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both"/>
        <w:rPr>
          <w:rFonts w:ascii="宋体" w:eastAsia="宋体" w:hAnsi="宋体" w:cs="宋体" w:hint="eastAsia"/>
          <w:kern w:val="2"/>
          <w:sz w:val="21"/>
          <w:szCs w:val="22"/>
          <w:lang w:eastAsia="zh-CN"/>
        </w:rPr>
      </w:pPr>
    </w:p>
    <w:p>
      <w:pPr>
        <w:widowControl/>
        <w:spacing w:beforeAutospacing="1" w:afterAutospacing="1"/>
        <w:jc w:val="center"/>
        <w:outlineLvl w:val="0"/>
        <w:rPr>
          <w:rFonts w:ascii="宋体" w:eastAsia="宋体" w:hAnsi="宋体" w:cs="宋体" w:hint="eastAsia"/>
          <w:sz w:val="40"/>
          <w:szCs w:val="40"/>
          <w:lang w:eastAsia="zh-CN"/>
        </w:rPr>
      </w:pPr>
    </w:p>
    <w:p>
      <w:pPr>
        <w:widowControl/>
        <w:spacing w:beforeAutospacing="1" w:afterAutospacing="1"/>
        <w:jc w:val="center"/>
        <w:outlineLvl w:val="0"/>
        <w:rPr>
          <w:rFonts w:ascii="宋体" w:eastAsia="宋体" w:hAnsi="宋体" w:cs="宋体" w:hint="eastAsia"/>
          <w:sz w:val="40"/>
          <w:szCs w:val="40"/>
          <w:lang w:eastAsia="zh-CN"/>
        </w:rPr>
      </w:pPr>
    </w:p>
    <w:p>
      <w:pPr>
        <w:widowControl/>
        <w:spacing w:beforeAutospacing="1" w:afterAutospacing="1"/>
        <w:jc w:val="center"/>
        <w:outlineLvl w:val="0"/>
        <w:rPr>
          <w:rFonts w:ascii="宋体" w:eastAsia="宋体" w:hAnsi="宋体" w:cs="宋体" w:hint="eastAsia"/>
          <w:sz w:val="40"/>
          <w:szCs w:val="40"/>
          <w:lang w:eastAsia="zh-CN"/>
        </w:rPr>
      </w:pPr>
      <w:r>
        <w:rPr>
          <w:rFonts w:ascii="宋体" w:eastAsia="宋体" w:hAnsi="宋体" w:cs="宋体" w:hint="eastAsia"/>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42"/>
        <w:gridCol w:w="6020"/>
      </w:tblGrid>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2722" w:type="dxa"/>
            <w:vAlign w:val="center"/>
          </w:tcPr>
          <w:p>
            <w:pPr>
              <w:widowControl w:val="0"/>
              <w:spacing w:line="600" w:lineRule="auto"/>
              <w:ind w:firstLine="600" w:firstLineChars="200"/>
              <w:jc w:val="left"/>
              <w:rPr>
                <w:rFonts w:ascii="宋体" w:eastAsia="宋体" w:hAnsi="宋体" w:cs="宋体" w:hint="eastAsia"/>
                <w:b/>
                <w:bCs/>
                <w:sz w:val="30"/>
                <w:szCs w:val="30"/>
                <w:lang w:eastAsia="zh-CN"/>
              </w:rPr>
            </w:pPr>
            <w:r>
              <w:rPr>
                <w:rFonts w:ascii="宋体" w:eastAsia="宋体" w:hAnsi="宋体" w:cs="宋体" w:hint="eastAsia"/>
                <w:b/>
                <w:bCs/>
                <w:sz w:val="30"/>
                <w:szCs w:val="30"/>
                <w:lang w:eastAsia="zh-CN"/>
              </w:rPr>
              <w:t>项目编号：</w:t>
            </w:r>
          </w:p>
        </w:tc>
        <w:tc>
          <w:tcPr>
            <w:tcW w:w="5216" w:type="dxa"/>
            <w:vAlign w:val="center"/>
          </w:tcPr>
          <w:p>
            <w:pPr>
              <w:widowControl w:val="0"/>
              <w:jc w:val="both"/>
              <w:rPr>
                <w:rFonts w:ascii="宋体" w:eastAsia="宋体" w:hAnsi="宋体" w:cs="宋体" w:hint="eastAsia"/>
                <w:kern w:val="2"/>
                <w:sz w:val="30"/>
                <w:szCs w:val="30"/>
                <w:lang w:eastAsia="zh-CN"/>
              </w:rPr>
            </w:pPr>
            <w:r>
              <w:rPr>
                <w:rFonts w:ascii="宋体" w:eastAsia="宋体" w:hAnsi="宋体" w:cs="宋体" w:hint="eastAsia"/>
                <w:sz w:val="30"/>
                <w:szCs w:val="30"/>
                <w:lang w:eastAsia="zh-CN"/>
              </w:rPr>
              <w:t>LHZXCG-2025-00011</w:t>
            </w:r>
          </w:p>
        </w:tc>
      </w:tr>
      <w:tr>
        <w:tblPrEx>
          <w:tblW w:w="5000" w:type="pct"/>
          <w:jc w:val="center"/>
          <w:tblCellSpacing w:w="0" w:type="dxa"/>
          <w:tblLayout w:type="fixed"/>
          <w:tblCellMar>
            <w:top w:w="45" w:type="dxa"/>
            <w:left w:w="45" w:type="dxa"/>
            <w:bottom w:w="45" w:type="dxa"/>
            <w:right w:w="45" w:type="dxa"/>
          </w:tblCellMar>
        </w:tblPrEx>
        <w:trPr>
          <w:trHeight w:val="962"/>
          <w:tblCellSpacing w:w="0" w:type="dxa"/>
          <w:jc w:val="center"/>
        </w:trPr>
        <w:tc>
          <w:tcPr>
            <w:tcW w:w="2722" w:type="dxa"/>
            <w:vAlign w:val="center"/>
          </w:tcPr>
          <w:p>
            <w:pPr>
              <w:widowControl w:val="0"/>
              <w:spacing w:line="600" w:lineRule="auto"/>
              <w:ind w:firstLine="600" w:firstLineChars="200"/>
              <w:jc w:val="left"/>
              <w:rPr>
                <w:rFonts w:ascii="宋体" w:eastAsia="宋体" w:hAnsi="宋体" w:cs="宋体" w:hint="eastAsia"/>
                <w:b/>
                <w:bCs/>
                <w:sz w:val="30"/>
                <w:szCs w:val="30"/>
                <w:lang w:eastAsia="zh-CN"/>
              </w:rPr>
            </w:pPr>
            <w:r>
              <w:rPr>
                <w:rFonts w:ascii="宋体" w:eastAsia="宋体" w:hAnsi="宋体" w:cs="宋体" w:hint="eastAsia"/>
                <w:b/>
                <w:bCs/>
                <w:sz w:val="30"/>
                <w:szCs w:val="30"/>
                <w:lang w:eastAsia="zh-CN"/>
              </w:rPr>
              <w:t>项目名称：</w:t>
            </w:r>
          </w:p>
        </w:tc>
        <w:tc>
          <w:tcPr>
            <w:tcW w:w="5216" w:type="dxa"/>
            <w:vAlign w:val="center"/>
          </w:tcPr>
          <w:p>
            <w:pPr>
              <w:widowControl w:val="0"/>
              <w:jc w:val="both"/>
              <w:rPr>
                <w:rFonts w:ascii="宋体" w:eastAsia="宋体" w:hAnsi="宋体" w:cs="宋体" w:hint="eastAsia"/>
                <w:kern w:val="2"/>
                <w:sz w:val="30"/>
                <w:szCs w:val="30"/>
                <w:lang w:eastAsia="zh-CN"/>
              </w:rPr>
            </w:pPr>
            <w:r>
              <w:rPr>
                <w:rFonts w:ascii="宋体" w:eastAsia="宋体" w:hAnsi="宋体" w:cs="宋体" w:hint="eastAsia"/>
                <w:sz w:val="30"/>
                <w:szCs w:val="30"/>
                <w:lang w:eastAsia="zh-CN"/>
              </w:rPr>
              <w:t>翠竹街道综合文体中心社会化运营项目</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2722" w:type="dxa"/>
            <w:vAlign w:val="center"/>
          </w:tcPr>
          <w:p>
            <w:pPr>
              <w:widowControl w:val="0"/>
              <w:spacing w:line="600" w:lineRule="auto"/>
              <w:ind w:firstLine="600" w:firstLineChars="200"/>
              <w:jc w:val="left"/>
              <w:rPr>
                <w:rFonts w:ascii="宋体" w:eastAsia="宋体" w:hAnsi="宋体" w:cs="宋体" w:hint="eastAsia"/>
                <w:kern w:val="2"/>
                <w:sz w:val="30"/>
                <w:szCs w:val="30"/>
                <w:lang w:eastAsia="zh-CN"/>
              </w:rPr>
            </w:pPr>
            <w:r>
              <w:rPr>
                <w:rFonts w:ascii="宋体" w:eastAsia="宋体" w:hAnsi="宋体" w:cs="宋体" w:hint="eastAsia"/>
                <w:b/>
                <w:bCs/>
                <w:sz w:val="30"/>
                <w:szCs w:val="30"/>
                <w:lang w:eastAsia="zh-CN"/>
              </w:rPr>
              <w:t>包号：</w:t>
            </w:r>
          </w:p>
        </w:tc>
        <w:tc>
          <w:tcPr>
            <w:tcW w:w="5216" w:type="dxa"/>
            <w:vAlign w:val="center"/>
          </w:tcPr>
          <w:p>
            <w:pPr>
              <w:widowControl w:val="0"/>
              <w:spacing w:line="600" w:lineRule="auto"/>
              <w:jc w:val="both"/>
              <w:rPr>
                <w:rFonts w:ascii="宋体" w:eastAsia="宋体" w:hAnsi="宋体" w:cs="宋体" w:hint="eastAsia"/>
                <w:kern w:val="2"/>
                <w:sz w:val="30"/>
                <w:szCs w:val="30"/>
                <w:lang w:eastAsia="zh-CN"/>
              </w:rPr>
            </w:pPr>
            <w:r>
              <w:rPr>
                <w:rFonts w:ascii="宋体" w:eastAsia="宋体" w:hAnsi="宋体" w:cs="宋体" w:hint="eastAsia"/>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2722" w:type="dxa"/>
            <w:vAlign w:val="center"/>
          </w:tcPr>
          <w:p>
            <w:pPr>
              <w:widowControl w:val="0"/>
              <w:spacing w:line="600" w:lineRule="auto"/>
              <w:ind w:firstLine="600" w:firstLineChars="200"/>
              <w:jc w:val="left"/>
              <w:rPr>
                <w:rFonts w:ascii="宋体" w:eastAsia="宋体" w:hAnsi="宋体" w:cs="宋体" w:hint="eastAsia"/>
                <w:kern w:val="2"/>
                <w:sz w:val="30"/>
                <w:szCs w:val="30"/>
                <w:lang w:eastAsia="zh-CN"/>
              </w:rPr>
            </w:pPr>
            <w:r>
              <w:rPr>
                <w:rFonts w:ascii="宋体" w:eastAsia="宋体" w:hAnsi="宋体" w:cs="宋体" w:hint="eastAsia"/>
                <w:b/>
                <w:bCs/>
                <w:sz w:val="30"/>
                <w:szCs w:val="30"/>
                <w:lang w:eastAsia="zh-CN"/>
              </w:rPr>
              <w:t>项目类型：</w:t>
            </w:r>
          </w:p>
        </w:tc>
        <w:tc>
          <w:tcPr>
            <w:tcW w:w="5216" w:type="dxa"/>
            <w:vAlign w:val="center"/>
          </w:tcPr>
          <w:p>
            <w:pPr>
              <w:widowControl w:val="0"/>
              <w:spacing w:line="600" w:lineRule="auto"/>
              <w:jc w:val="both"/>
              <w:rPr>
                <w:rFonts w:ascii="宋体" w:eastAsia="宋体" w:hAnsi="宋体" w:cs="宋体" w:hint="eastAsia"/>
                <w:kern w:val="2"/>
                <w:sz w:val="30"/>
                <w:szCs w:val="30"/>
                <w:lang w:eastAsia="zh-CN"/>
              </w:rPr>
            </w:pPr>
            <w:r>
              <w:rPr>
                <w:rFonts w:ascii="宋体" w:eastAsia="宋体" w:hAnsi="宋体" w:cs="宋体" w:hint="eastAsia"/>
                <w:sz w:val="30"/>
                <w:szCs w:val="30"/>
                <w:lang w:eastAsia="zh-CN"/>
              </w:rPr>
              <w:t>服务类</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2722" w:type="dxa"/>
            <w:vAlign w:val="center"/>
          </w:tcPr>
          <w:p>
            <w:pPr>
              <w:widowControl w:val="0"/>
              <w:spacing w:line="600" w:lineRule="auto"/>
              <w:ind w:firstLine="600" w:firstLineChars="200"/>
              <w:jc w:val="left"/>
              <w:rPr>
                <w:rFonts w:ascii="宋体" w:eastAsia="宋体" w:hAnsi="宋体" w:cs="宋体" w:hint="eastAsia"/>
                <w:kern w:val="2"/>
                <w:sz w:val="30"/>
                <w:szCs w:val="30"/>
                <w:lang w:eastAsia="zh-CN"/>
              </w:rPr>
            </w:pPr>
            <w:r>
              <w:rPr>
                <w:rFonts w:ascii="宋体" w:eastAsia="宋体" w:hAnsi="宋体" w:cs="宋体" w:hint="eastAsia"/>
                <w:b/>
                <w:bCs/>
                <w:sz w:val="30"/>
                <w:szCs w:val="30"/>
                <w:lang w:eastAsia="zh-CN"/>
              </w:rPr>
              <w:t>采购方式：</w:t>
            </w:r>
          </w:p>
        </w:tc>
        <w:tc>
          <w:tcPr>
            <w:tcW w:w="5216" w:type="dxa"/>
            <w:vAlign w:val="center"/>
          </w:tcPr>
          <w:p>
            <w:pPr>
              <w:widowControl w:val="0"/>
              <w:spacing w:line="600" w:lineRule="auto"/>
              <w:jc w:val="both"/>
              <w:rPr>
                <w:rFonts w:ascii="宋体" w:eastAsia="宋体" w:hAnsi="宋体" w:cs="宋体" w:hint="eastAsia"/>
                <w:kern w:val="2"/>
                <w:sz w:val="30"/>
                <w:szCs w:val="30"/>
                <w:lang w:eastAsia="zh-CN"/>
              </w:rPr>
            </w:pPr>
            <w:r>
              <w:rPr>
                <w:rFonts w:ascii="宋体" w:eastAsia="宋体" w:hAnsi="宋体" w:cs="宋体" w:hint="eastAsia"/>
                <w:sz w:val="30"/>
                <w:szCs w:val="30"/>
                <w:lang w:eastAsia="zh-CN"/>
              </w:rPr>
              <w:t>公开招标</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2722" w:type="dxa"/>
            <w:vAlign w:val="center"/>
          </w:tcPr>
          <w:p>
            <w:pPr>
              <w:widowControl w:val="0"/>
              <w:spacing w:line="600" w:lineRule="auto"/>
              <w:ind w:firstLine="600" w:firstLineChars="200"/>
              <w:jc w:val="left"/>
              <w:rPr>
                <w:rFonts w:ascii="宋体" w:eastAsia="宋体" w:hAnsi="宋体" w:cs="宋体" w:hint="eastAsia"/>
                <w:kern w:val="2"/>
                <w:sz w:val="30"/>
                <w:szCs w:val="30"/>
                <w:lang w:eastAsia="zh-CN"/>
              </w:rPr>
            </w:pPr>
            <w:r>
              <w:rPr>
                <w:rFonts w:ascii="宋体" w:eastAsia="宋体" w:hAnsi="宋体" w:cs="宋体" w:hint="eastAsia"/>
                <w:b/>
                <w:bCs/>
                <w:sz w:val="30"/>
                <w:szCs w:val="30"/>
                <w:lang w:eastAsia="zh-CN"/>
              </w:rPr>
              <w:t>货币类型：</w:t>
            </w:r>
          </w:p>
        </w:tc>
        <w:tc>
          <w:tcPr>
            <w:tcW w:w="5216" w:type="dxa"/>
            <w:vAlign w:val="center"/>
          </w:tcPr>
          <w:p>
            <w:pPr>
              <w:widowControl w:val="0"/>
              <w:spacing w:line="600" w:lineRule="auto"/>
              <w:jc w:val="both"/>
              <w:rPr>
                <w:rFonts w:ascii="宋体" w:eastAsia="宋体" w:hAnsi="宋体" w:cs="宋体" w:hint="eastAsia"/>
                <w:kern w:val="2"/>
                <w:sz w:val="30"/>
                <w:szCs w:val="30"/>
                <w:lang w:eastAsia="zh-CN"/>
              </w:rPr>
            </w:pPr>
            <w:r>
              <w:rPr>
                <w:rFonts w:ascii="宋体" w:eastAsia="宋体" w:hAnsi="宋体" w:cs="宋体" w:hint="eastAsia"/>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2722" w:type="dxa"/>
            <w:vAlign w:val="center"/>
          </w:tcPr>
          <w:p>
            <w:pPr>
              <w:widowControl w:val="0"/>
              <w:spacing w:line="600" w:lineRule="auto"/>
              <w:ind w:firstLine="600" w:firstLineChars="200"/>
              <w:jc w:val="left"/>
              <w:rPr>
                <w:rFonts w:ascii="宋体" w:eastAsia="宋体" w:hAnsi="宋体" w:cs="宋体" w:hint="eastAsia"/>
                <w:b/>
                <w:bCs/>
                <w:sz w:val="30"/>
                <w:szCs w:val="30"/>
                <w:lang w:eastAsia="zh-CN"/>
              </w:rPr>
            </w:pPr>
            <w:r>
              <w:rPr>
                <w:rFonts w:ascii="宋体" w:eastAsia="宋体" w:hAnsi="宋体" w:cs="宋体" w:hint="eastAsia"/>
                <w:b/>
                <w:bCs/>
                <w:sz w:val="30"/>
                <w:szCs w:val="30"/>
                <w:lang w:eastAsia="zh-CN"/>
              </w:rPr>
              <w:t>评标方法：</w:t>
            </w:r>
          </w:p>
        </w:tc>
        <w:tc>
          <w:tcPr>
            <w:tcW w:w="5216" w:type="dxa"/>
            <w:vAlign w:val="center"/>
          </w:tcPr>
          <w:p>
            <w:pPr>
              <w:widowControl w:val="0"/>
              <w:spacing w:line="600" w:lineRule="auto"/>
              <w:jc w:val="both"/>
              <w:rPr>
                <w:rFonts w:ascii="宋体" w:eastAsia="宋体" w:hAnsi="宋体" w:cs="宋体" w:hint="eastAsia"/>
                <w:sz w:val="30"/>
                <w:szCs w:val="30"/>
                <w:lang w:eastAsia="zh-CN"/>
              </w:rPr>
            </w:pPr>
            <w:r>
              <w:rPr>
                <w:rFonts w:ascii="宋体" w:eastAsia="宋体" w:hAnsi="宋体" w:cs="宋体" w:hint="eastAsia"/>
                <w:sz w:val="30"/>
                <w:szCs w:val="30"/>
                <w:lang w:eastAsia="zh-CN"/>
              </w:rPr>
              <w:t>综合评分法</w:t>
            </w:r>
          </w:p>
        </w:tc>
      </w:tr>
    </w:tbl>
    <w:p>
      <w:pPr>
        <w:widowControl w:val="0"/>
        <w:spacing w:line="600" w:lineRule="auto"/>
        <w:ind w:firstLine="600" w:firstLineChars="200"/>
        <w:jc w:val="left"/>
        <w:rPr>
          <w:rFonts w:ascii="宋体" w:eastAsia="宋体" w:hAnsi="宋体" w:cs="宋体" w:hint="eastAsia"/>
          <w:sz w:val="30"/>
          <w:szCs w:val="30"/>
          <w:lang w:eastAsia="zh-CN"/>
        </w:rPr>
      </w:pPr>
    </w:p>
    <w:p>
      <w:pPr>
        <w:widowControl w:val="0"/>
        <w:spacing w:line="360" w:lineRule="auto"/>
        <w:jc w:val="both"/>
        <w:rPr>
          <w:rFonts w:ascii="宋体" w:eastAsia="宋体" w:hAnsi="宋体" w:cs="宋体" w:hint="eastAsia"/>
          <w:b/>
          <w:bCs/>
          <w:sz w:val="30"/>
          <w:szCs w:val="30"/>
          <w:lang w:eastAsia="zh-CN"/>
        </w:rPr>
      </w:pPr>
    </w:p>
    <w:p>
      <w:pPr>
        <w:widowControl w:val="0"/>
        <w:jc w:val="left"/>
        <w:rPr>
          <w:rFonts w:ascii="宋体" w:eastAsia="宋体" w:hAnsi="宋体" w:cs="宋体" w:hint="eastAsia"/>
          <w:kern w:val="2"/>
          <w:sz w:val="30"/>
          <w:szCs w:val="30"/>
          <w:lang w:eastAsia="zh-CN"/>
        </w:rPr>
      </w:pPr>
      <w:r>
        <w:rPr>
          <w:rFonts w:ascii="宋体" w:eastAsia="宋体" w:hAnsi="宋体" w:cs="宋体" w:hint="eastAsia"/>
          <w:sz w:val="30"/>
          <w:szCs w:val="30"/>
          <w:lang w:eastAsia="zh-CN"/>
        </w:rPr>
        <w:br w:type="page"/>
      </w:r>
    </w:p>
    <w:p>
      <w:pPr>
        <w:widowControl w:val="0"/>
        <w:tabs>
          <w:tab w:val="left" w:pos="2790"/>
        </w:tabs>
        <w:snapToGrid w:val="0"/>
        <w:jc w:val="center"/>
        <w:outlineLvl w:val="0"/>
        <w:rPr>
          <w:rFonts w:ascii="宋体" w:eastAsia="宋体" w:hAnsi="宋体" w:cs="宋体" w:hint="eastAsia"/>
          <w:kern w:val="2"/>
          <w:sz w:val="40"/>
          <w:szCs w:val="40"/>
          <w:lang w:eastAsia="zh-CN"/>
        </w:rPr>
      </w:pPr>
      <w:r>
        <w:rPr>
          <w:rFonts w:ascii="宋体" w:eastAsia="宋体" w:hAnsi="宋体" w:cs="宋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83"/>
        <w:gridCol w:w="850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hint="eastAsia"/>
                <w:b/>
                <w:bCs/>
                <w:kern w:val="2"/>
                <w:lang w:eastAsia="zh-CN"/>
              </w:rPr>
            </w:pPr>
            <w:r>
              <w:rPr>
                <w:rFonts w:ascii="宋体" w:eastAsia="宋体" w:hAnsi="宋体" w:cs="宋体" w:hint="eastAsia"/>
                <w:b/>
                <w:bCs/>
                <w:kern w:val="2"/>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hint="eastAsia"/>
                <w:b/>
                <w:bCs/>
                <w:kern w:val="2"/>
                <w:lang w:eastAsia="zh-CN"/>
              </w:rPr>
            </w:pPr>
            <w:r>
              <w:rPr>
                <w:rFonts w:ascii="宋体" w:eastAsia="宋体" w:hAnsi="宋体" w:cs="宋体" w:hint="eastAsia"/>
                <w:b/>
                <w:bCs/>
                <w:kern w:val="2"/>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val="0"/>
              <w:spacing w:line="290" w:lineRule="exact"/>
              <w:jc w:val="center"/>
              <w:rPr>
                <w:rFonts w:ascii="宋体" w:eastAsia="宋体" w:hAnsi="宋体" w:cs="宋体" w:hint="eastAsia"/>
                <w:kern w:val="2"/>
                <w:sz w:val="21"/>
                <w:szCs w:val="21"/>
                <w:lang w:eastAsia="zh-CN"/>
              </w:rPr>
            </w:pPr>
            <w:r>
              <w:rPr>
                <w:rFonts w:ascii="宋体" w:eastAsia="宋体" w:hAnsi="宋体" w:cs="宋体" w:hint="eastAsia"/>
                <w:bCs/>
                <w:snapToGrid w:val="0"/>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snapToGrid w:val="0"/>
                <w:lang w:eastAsia="zh-CN"/>
              </w:rPr>
              <w:t>投标人不符合资格要求，或未提交相应的资格证明资料（详见招标公告投标人资格要求，即申请人的资格要求）。</w:t>
            </w:r>
          </w:p>
        </w:tc>
      </w:tr>
    </w:tbl>
    <w:p>
      <w:pPr>
        <w:widowControl w:val="0"/>
        <w:tabs>
          <w:tab w:val="left" w:pos="2790"/>
        </w:tabs>
        <w:snapToGrid w:val="0"/>
        <w:jc w:val="center"/>
        <w:rPr>
          <w:rFonts w:ascii="宋体" w:eastAsia="宋体" w:hAnsi="宋体" w:cs="宋体" w:hint="eastAsia"/>
          <w:kern w:val="2"/>
          <w:sz w:val="40"/>
          <w:szCs w:val="40"/>
          <w:lang w:eastAsia="zh-CN"/>
        </w:rPr>
      </w:pPr>
    </w:p>
    <w:p>
      <w:pPr>
        <w:widowControl w:val="0"/>
        <w:tabs>
          <w:tab w:val="left" w:pos="2790"/>
        </w:tabs>
        <w:snapToGrid w:val="0"/>
        <w:jc w:val="center"/>
        <w:outlineLvl w:val="0"/>
        <w:rPr>
          <w:rFonts w:ascii="宋体" w:eastAsia="宋体" w:hAnsi="宋体" w:cs="宋体" w:hint="eastAsia"/>
          <w:kern w:val="2"/>
          <w:sz w:val="40"/>
          <w:szCs w:val="40"/>
          <w:lang w:eastAsia="zh-CN"/>
        </w:rPr>
      </w:pPr>
      <w:r>
        <w:rPr>
          <w:rFonts w:ascii="宋体" w:eastAsia="宋体" w:hAnsi="宋体" w:cs="宋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81"/>
        <w:gridCol w:w="8507"/>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hint="eastAsia"/>
                <w:b/>
                <w:bCs/>
                <w:kern w:val="2"/>
                <w:lang w:eastAsia="zh-CN"/>
              </w:rPr>
            </w:pPr>
            <w:r>
              <w:rPr>
                <w:rFonts w:ascii="宋体" w:eastAsia="宋体" w:hAnsi="宋体" w:cs="宋体" w:hint="eastAsia"/>
                <w:b/>
                <w:bCs/>
                <w:kern w:val="2"/>
                <w:lang w:eastAsia="zh-CN"/>
              </w:rPr>
              <w:t>序号</w:t>
            </w:r>
          </w:p>
        </w:tc>
        <w:tc>
          <w:tcPr>
            <w:tcW w:w="870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hint="eastAsia"/>
                <w:b/>
                <w:bCs/>
                <w:kern w:val="2"/>
                <w:lang w:eastAsia="zh-CN"/>
              </w:rPr>
            </w:pPr>
            <w:r>
              <w:rPr>
                <w:rFonts w:ascii="宋体" w:eastAsia="宋体" w:hAnsi="宋体" w:cs="宋体" w:hint="eastAsia"/>
                <w:b/>
                <w:bCs/>
                <w:kern w:val="2"/>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1</w:t>
            </w:r>
          </w:p>
        </w:tc>
        <w:tc>
          <w:tcPr>
            <w:tcW w:w="8704"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bCs/>
                <w:kern w:val="2"/>
                <w:sz w:val="21"/>
                <w:szCs w:val="22"/>
                <w:highlight w:val="yellow"/>
                <w:lang w:eastAsia="zh-CN"/>
              </w:rPr>
            </w:pPr>
            <w:r>
              <w:rPr>
                <w:rFonts w:ascii="宋体" w:eastAsia="宋体" w:hAnsi="宋体" w:cs="宋体" w:hint="eastAsia"/>
                <w:bCs/>
                <w:snapToGrid w:val="0"/>
                <w:lang w:eastAsia="zh-CN"/>
              </w:rPr>
              <w:t>将一个包或一个标段的内容拆开投标；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2</w:t>
            </w:r>
          </w:p>
        </w:tc>
        <w:tc>
          <w:tcPr>
            <w:tcW w:w="8704"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bCs/>
                <w:kern w:val="2"/>
                <w:sz w:val="21"/>
                <w:szCs w:val="22"/>
                <w:lang w:eastAsia="zh-CN"/>
              </w:rPr>
            </w:pPr>
            <w:r>
              <w:rPr>
                <w:rFonts w:ascii="宋体" w:eastAsia="宋体" w:hAnsi="宋体" w:cs="宋体" w:hint="eastAsia"/>
                <w:bCs/>
                <w:snapToGrid w:val="0"/>
                <w:lang w:eastAsia="zh-CN"/>
              </w:rPr>
              <w:t>未按招标文件规定的形式和金额提交投标保证金的；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3</w:t>
            </w:r>
          </w:p>
        </w:tc>
        <w:tc>
          <w:tcPr>
            <w:tcW w:w="870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hint="eastAsia"/>
                <w:bCs/>
                <w:kern w:val="2"/>
                <w:sz w:val="21"/>
                <w:szCs w:val="22"/>
                <w:lang w:eastAsia="zh-CN"/>
              </w:rPr>
            </w:pPr>
            <w:r>
              <w:rPr>
                <w:rFonts w:ascii="宋体" w:eastAsia="宋体" w:hAnsi="宋体" w:cs="宋体" w:hint="eastAsia"/>
                <w:bCs/>
                <w:kern w:val="2"/>
                <w:lang w:eastAsia="zh-CN"/>
              </w:rPr>
              <w:t>对同一项目投标时，提供两套以上的投标方案（招标文件另有规定的除外）；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4</w:t>
            </w:r>
          </w:p>
        </w:tc>
        <w:tc>
          <w:tcPr>
            <w:tcW w:w="870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hint="eastAsia"/>
                <w:bCs/>
                <w:kern w:val="2"/>
                <w:sz w:val="21"/>
                <w:szCs w:val="22"/>
                <w:lang w:eastAsia="zh-CN"/>
              </w:rPr>
            </w:pPr>
            <w:r>
              <w:rPr>
                <w:rFonts w:ascii="宋体" w:eastAsia="宋体" w:hAnsi="宋体" w:cs="宋体" w:hint="eastAsia"/>
                <w:bCs/>
                <w:kern w:val="2"/>
                <w:lang w:eastAsia="zh-CN"/>
              </w:rPr>
              <w:t>所投货物、服务在技术、商务等方面没有实质性满足招标文件要求的（是否实质性满足招标文件要求，由评审委员会根据《实质性条款响应情况表》做出评判）；</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5</w:t>
            </w:r>
          </w:p>
        </w:tc>
        <w:tc>
          <w:tcPr>
            <w:tcW w:w="870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hint="eastAsia"/>
                <w:kern w:val="2"/>
                <w:sz w:val="21"/>
                <w:szCs w:val="22"/>
                <w:lang w:eastAsia="zh-CN"/>
              </w:rPr>
            </w:pPr>
            <w:r>
              <w:rPr>
                <w:rFonts w:ascii="宋体" w:eastAsia="宋体" w:hAnsi="宋体" w:cs="宋体" w:hint="eastAsia"/>
                <w:kern w:val="2"/>
                <w:lang w:eastAsia="zh-CN"/>
              </w:rPr>
              <w:t>未按招标文件所提供的样式填写《投标函》；未按招标文件所提供的《投标及履约承诺函》进行承诺；未按招标文件对投标文件组成的要求提供投标文件；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6</w:t>
            </w:r>
          </w:p>
        </w:tc>
        <w:tc>
          <w:tcPr>
            <w:tcW w:w="870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hint="eastAsia"/>
                <w:kern w:val="2"/>
                <w:sz w:val="21"/>
                <w:szCs w:val="22"/>
                <w:lang w:eastAsia="zh-CN"/>
              </w:rPr>
            </w:pPr>
            <w:r>
              <w:rPr>
                <w:rFonts w:ascii="宋体" w:eastAsia="宋体" w:hAnsi="宋体" w:cs="宋体" w:hint="eastAsia"/>
                <w:b/>
                <w:kern w:val="2"/>
                <w:lang w:eastAsia="zh-CN"/>
              </w:rPr>
              <w:t>采购标的/服务清单/报价等任意一类</w:t>
            </w:r>
            <w:r>
              <w:rPr>
                <w:rFonts w:ascii="宋体" w:eastAsia="宋体" w:hAnsi="宋体" w:cs="宋体" w:hint="eastAsia"/>
                <w:kern w:val="2"/>
                <w:lang w:eastAsia="zh-CN"/>
              </w:rPr>
              <w:t>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7</w:t>
            </w:r>
          </w:p>
        </w:tc>
        <w:tc>
          <w:tcPr>
            <w:tcW w:w="870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lang w:eastAsia="zh-CN"/>
              </w:rPr>
              <w:t>投标文件存在列放位置错误，导致属于信息公开情形的没有被公开；</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8</w:t>
            </w:r>
          </w:p>
        </w:tc>
        <w:tc>
          <w:tcPr>
            <w:tcW w:w="870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9</w:t>
            </w:r>
          </w:p>
        </w:tc>
        <w:tc>
          <w:tcPr>
            <w:tcW w:w="870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10</w:t>
            </w:r>
          </w:p>
        </w:tc>
        <w:tc>
          <w:tcPr>
            <w:tcW w:w="870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cs="宋体" w:hint="eastAsia"/>
                <w:kern w:val="2"/>
                <w:sz w:val="21"/>
                <w:szCs w:val="21"/>
                <w:lang w:eastAsia="zh-CN"/>
              </w:rPr>
            </w:pPr>
            <w:r>
              <w:rPr>
                <w:rFonts w:ascii="宋体" w:eastAsia="宋体" w:hAnsi="宋体" w:cs="宋体" w:hint="eastAsia"/>
                <w:kern w:val="2"/>
                <w:lang w:eastAsia="zh-CN"/>
              </w:rPr>
              <w:t>经核实，不同投标人的投标文件由同一电子设备编制、加密或者上传的；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11</w:t>
            </w:r>
          </w:p>
        </w:tc>
        <w:tc>
          <w:tcPr>
            <w:tcW w:w="8704"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hint="eastAsia"/>
                <w:kern w:val="2"/>
                <w:sz w:val="21"/>
                <w:szCs w:val="22"/>
                <w:lang w:eastAsia="zh-CN"/>
              </w:rPr>
            </w:pPr>
            <w:r>
              <w:rPr>
                <w:rFonts w:ascii="宋体" w:eastAsia="宋体" w:hAnsi="宋体" w:cs="宋体" w:hint="eastAsia"/>
                <w:kern w:val="2"/>
                <w:lang w:eastAsia="zh-CN"/>
              </w:rPr>
              <w:t>法律、法规、规章、规范性文件规定的其他情形。</w:t>
            </w:r>
          </w:p>
        </w:tc>
      </w:tr>
    </w:tbl>
    <w:p>
      <w:pPr>
        <w:widowControl/>
        <w:jc w:val="center"/>
        <w:outlineLvl w:val="0"/>
        <w:rPr>
          <w:rFonts w:ascii="宋体" w:eastAsia="宋体" w:hAnsi="宋体" w:cs="宋体" w:hint="eastAsia"/>
          <w:kern w:val="2"/>
          <w:sz w:val="40"/>
          <w:szCs w:val="40"/>
          <w:lang w:eastAsia="zh-CN"/>
        </w:rPr>
      </w:pPr>
      <w:r>
        <w:rPr>
          <w:rFonts w:ascii="宋体" w:eastAsia="宋体" w:hAnsi="宋体" w:cs="宋体" w:hint="eastAsia"/>
          <w:kern w:val="2"/>
          <w:sz w:val="40"/>
          <w:szCs w:val="40"/>
          <w:lang w:eastAsia="zh-CN"/>
        </w:rPr>
        <w:br w:type="page"/>
      </w:r>
    </w:p>
    <w:p>
      <w:pPr>
        <w:widowControl/>
        <w:spacing w:before="100" w:beforeAutospacing="1" w:afterAutospacing="1"/>
        <w:jc w:val="center"/>
        <w:outlineLvl w:val="0"/>
        <w:rPr>
          <w:rFonts w:ascii="宋体" w:eastAsia="宋体" w:hAnsi="宋体" w:cs="宋体" w:hint="eastAsia"/>
          <w:kern w:val="2"/>
          <w:sz w:val="40"/>
          <w:szCs w:val="40"/>
          <w:lang w:eastAsia="zh-CN"/>
        </w:rPr>
      </w:pPr>
      <w:r>
        <w:rPr>
          <w:rFonts w:ascii="宋体" w:eastAsia="宋体" w:hAnsi="宋体" w:cs="宋体" w:hint="eastAsia"/>
          <w:kern w:val="2"/>
          <w:sz w:val="40"/>
          <w:szCs w:val="40"/>
          <w:lang w:eastAsia="zh-CN"/>
        </w:rPr>
        <w:t>评标信息</w:t>
      </w:r>
    </w:p>
    <w:p>
      <w:pPr>
        <w:widowControl w:val="0"/>
        <w:jc w:val="both"/>
        <w:rPr>
          <w:rFonts w:ascii="宋体" w:eastAsia="宋体" w:hAnsi="宋体" w:cs="宋体" w:hint="eastAsia"/>
          <w:kern w:val="2"/>
          <w:lang w:eastAsia="zh-CN"/>
        </w:rPr>
      </w:pPr>
      <w:r>
        <w:rPr>
          <w:rFonts w:ascii="宋体" w:eastAsia="宋体" w:hAnsi="宋体" w:cs="宋体" w:hint="eastAsia"/>
          <w:b/>
          <w:bCs/>
          <w:kern w:val="2"/>
          <w:lang w:eastAsia="zh-CN"/>
        </w:rPr>
        <w:t>评标方法：综合评分法</w:t>
      </w:r>
    </w:p>
    <w:p>
      <w:pPr>
        <w:widowControl w:val="0"/>
        <w:spacing w:line="440" w:lineRule="exact"/>
        <w:jc w:val="both"/>
        <w:rPr>
          <w:rFonts w:ascii="宋体" w:eastAsia="宋体" w:hAnsi="宋体" w:cs="宋体" w:hint="eastAsia"/>
          <w:kern w:val="2"/>
          <w:lang w:eastAsia="zh-CN"/>
        </w:rPr>
      </w:pPr>
      <w:r>
        <w:rPr>
          <w:rFonts w:ascii="宋体" w:eastAsia="宋体" w:hAnsi="宋体" w:cs="宋体" w:hint="eastAsia"/>
          <w:kern w:val="2"/>
          <w:lang w:eastAsia="zh-CN"/>
        </w:rPr>
        <w:t>综合评分法，是指投标文件满足招标文件全部实质性要求，且按照招标文件规定的各项因素进行综合评审，评标总得分排名前列的投标人为中标候选人的评标方法。</w:t>
      </w:r>
    </w:p>
    <w:p>
      <w:pPr>
        <w:widowControl w:val="0"/>
        <w:spacing w:line="440" w:lineRule="exact"/>
        <w:jc w:val="both"/>
        <w:rPr>
          <w:rFonts w:ascii="宋体" w:eastAsia="宋体" w:hAnsi="宋体" w:cs="宋体" w:hint="eastAsia"/>
          <w:kern w:val="2"/>
          <w:lang w:eastAsia="zh-CN"/>
        </w:rPr>
      </w:pPr>
      <w:r>
        <w:rPr>
          <w:rFonts w:ascii="宋体" w:eastAsia="宋体" w:hAnsi="宋体" w:cs="宋体" w:hint="eastAsia"/>
          <w:kern w:val="2"/>
          <w:lang w:eastAsia="zh-CN"/>
        </w:rPr>
        <w:t>价格分计算方法：</w:t>
      </w:r>
    </w:p>
    <w:p>
      <w:pPr>
        <w:widowControl w:val="0"/>
        <w:spacing w:line="4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采用</w:t>
      </w:r>
      <w:r>
        <w:rPr>
          <w:rFonts w:ascii="宋体" w:eastAsia="宋体" w:hAnsi="宋体" w:cs="宋体" w:hint="eastAsia"/>
          <w:b/>
          <w:bCs/>
          <w:kern w:val="2"/>
          <w:lang w:eastAsia="zh-CN"/>
        </w:rPr>
        <w:t>高价优先法</w:t>
      </w:r>
      <w:r>
        <w:rPr>
          <w:rFonts w:ascii="宋体" w:eastAsia="宋体" w:hAnsi="宋体" w:cs="宋体" w:hint="eastAsia"/>
          <w:kern w:val="2"/>
          <w:lang w:eastAsia="zh-CN"/>
        </w:rPr>
        <w:t>计算，即满足招标文件要求且投标价格最高的投标报价为评标基准价，其价格分为满分。其他投标人的价格分统一按照下列公式计算：</w:t>
      </w:r>
    </w:p>
    <w:p>
      <w:pPr>
        <w:widowControl w:val="0"/>
        <w:spacing w:line="4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投标报价得分=(投标报价／评标基准价)×100分；</w:t>
      </w:r>
    </w:p>
    <w:p>
      <w:pPr>
        <w:widowControl w:val="0"/>
        <w:spacing w:line="4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评标总得分＝F1×A1＋F2×A2＋……＋Fn×An</w:t>
      </w:r>
    </w:p>
    <w:p>
      <w:pPr>
        <w:widowControl w:val="0"/>
        <w:spacing w:line="4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F1、F2……Fn分别为各项评审因素的得分；</w:t>
      </w:r>
    </w:p>
    <w:p>
      <w:pPr>
        <w:widowControl w:val="0"/>
        <w:spacing w:line="4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A1、A2、……An分别为各项评审因素所占的权重(A1＋A2＋……＋An＝1)。</w:t>
      </w:r>
    </w:p>
    <w:p>
      <w:pPr>
        <w:widowControl w:val="0"/>
        <w:spacing w:line="4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评标过程中，不得去掉报价中的最高报价和最低报价。</w:t>
      </w:r>
    </w:p>
    <w:p>
      <w:pPr>
        <w:widowControl w:val="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br w:type="page"/>
      </w:r>
    </w:p>
    <w:p>
      <w:pPr>
        <w:widowControl w:val="0"/>
        <w:jc w:val="both"/>
        <w:rPr>
          <w:rFonts w:ascii="Calibri" w:eastAsia="宋体" w:hAnsi="Calibri"/>
          <w:kern w:val="2"/>
          <w:sz w:val="21"/>
          <w:szCs w:val="22"/>
          <w:lang w:eastAsia="zh-CN"/>
        </w:rPr>
      </w:pPr>
    </w:p>
    <w:tbl>
      <w:tblPr>
        <w:tblStyle w:val="TableNormal"/>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9"/>
        <w:gridCol w:w="849"/>
        <w:gridCol w:w="1910"/>
        <w:gridCol w:w="905"/>
        <w:gridCol w:w="4845"/>
      </w:tblGrid>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blCellSpacing w:w="0" w:type="dxa"/>
          <w:jc w:val="center"/>
        </w:trPr>
        <w:tc>
          <w:tcPr>
            <w:tcW w:w="796"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wordWrap w:val="0"/>
              <w:spacing w:line="440" w:lineRule="exact"/>
              <w:jc w:val="center"/>
              <w:rPr>
                <w:rFonts w:ascii="宋体" w:eastAsia="宋体" w:hAnsi="宋体" w:cs="宋体" w:hint="eastAsia"/>
                <w:b/>
                <w:bCs/>
                <w:kern w:val="2"/>
                <w:lang w:eastAsia="zh-CN"/>
              </w:rPr>
            </w:pPr>
            <w:r>
              <w:rPr>
                <w:rFonts w:ascii="宋体" w:eastAsia="宋体" w:hAnsi="宋体" w:cs="宋体" w:hint="eastAsia"/>
                <w:b/>
                <w:bCs/>
                <w:kern w:val="2"/>
                <w:lang w:eastAsia="zh-CN"/>
              </w:rPr>
              <w:t>序号</w:t>
            </w:r>
          </w:p>
        </w:tc>
        <w:tc>
          <w:tcPr>
            <w:tcW w:w="3564"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wordWrap w:val="0"/>
              <w:spacing w:line="440" w:lineRule="exact"/>
              <w:jc w:val="center"/>
              <w:rPr>
                <w:rFonts w:ascii="宋体" w:eastAsia="宋体" w:hAnsi="宋体" w:cs="宋体" w:hint="eastAsia"/>
                <w:b/>
                <w:bCs/>
                <w:kern w:val="2"/>
                <w:lang w:eastAsia="zh-CN"/>
              </w:rPr>
            </w:pPr>
            <w:r>
              <w:rPr>
                <w:rFonts w:ascii="宋体" w:eastAsia="宋体" w:hAnsi="宋体" w:cs="宋体" w:hint="eastAsia"/>
                <w:b/>
                <w:bCs/>
                <w:kern w:val="2"/>
                <w:lang w:eastAsia="zh-CN"/>
              </w:rPr>
              <w:t>评分项</w:t>
            </w:r>
          </w:p>
        </w:tc>
        <w:tc>
          <w:tcPr>
            <w:tcW w:w="4712"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wordWrap w:val="0"/>
              <w:spacing w:line="440" w:lineRule="exact"/>
              <w:jc w:val="center"/>
              <w:rPr>
                <w:rFonts w:ascii="宋体" w:eastAsia="宋体" w:hAnsi="宋体" w:cs="宋体" w:hint="eastAsia"/>
                <w:b/>
                <w:bCs/>
                <w:kern w:val="2"/>
                <w:lang w:eastAsia="zh-CN"/>
              </w:rPr>
            </w:pPr>
            <w:r>
              <w:rPr>
                <w:rFonts w:ascii="宋体" w:eastAsia="宋体" w:hAnsi="宋体" w:cs="宋体" w:hint="eastAsia"/>
                <w:b/>
                <w:bCs/>
                <w:kern w:val="2"/>
                <w:lang w:eastAsia="zh-CN"/>
              </w:rPr>
              <w:t>分值</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96"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wordWrap w:val="0"/>
              <w:spacing w:line="440" w:lineRule="exact"/>
              <w:jc w:val="center"/>
              <w:rPr>
                <w:rFonts w:ascii="宋体" w:eastAsia="宋体" w:hAnsi="宋体" w:cs="宋体" w:hint="eastAsia"/>
                <w:b/>
                <w:bCs/>
                <w:kern w:val="2"/>
                <w:lang w:eastAsia="zh-CN"/>
              </w:rPr>
            </w:pPr>
            <w:r>
              <w:rPr>
                <w:rFonts w:ascii="宋体" w:eastAsia="宋体" w:hAnsi="宋体" w:cs="宋体" w:hint="eastAsia"/>
                <w:b/>
                <w:bCs/>
                <w:kern w:val="2"/>
                <w:lang w:eastAsia="zh-CN"/>
              </w:rPr>
              <w:t>1</w:t>
            </w:r>
          </w:p>
        </w:tc>
        <w:tc>
          <w:tcPr>
            <w:tcW w:w="3564" w:type="dxa"/>
            <w:gridSpan w:val="3"/>
            <w:tcBorders>
              <w:top w:val="single" w:sz="8" w:space="0" w:color="000000"/>
              <w:left w:val="single" w:sz="8" w:space="0" w:color="000000"/>
              <w:bottom w:val="single" w:sz="8" w:space="0" w:color="000000"/>
              <w:right w:val="single" w:sz="8" w:space="0" w:color="000000"/>
            </w:tcBorders>
            <w:shd w:val="clear" w:color="auto" w:fill="FFFFFF"/>
          </w:tcPr>
          <w:p>
            <w:pPr>
              <w:widowControl w:val="0"/>
              <w:wordWrap w:val="0"/>
              <w:spacing w:line="440" w:lineRule="exact"/>
              <w:jc w:val="center"/>
              <w:rPr>
                <w:rFonts w:ascii="宋体" w:eastAsia="宋体" w:hAnsi="宋体" w:cs="宋体" w:hint="eastAsia"/>
                <w:b/>
                <w:bCs/>
                <w:kern w:val="2"/>
                <w:lang w:eastAsia="zh-CN"/>
              </w:rPr>
            </w:pPr>
            <w:r>
              <w:rPr>
                <w:rFonts w:ascii="宋体" w:eastAsia="宋体" w:hAnsi="宋体" w:cs="宋体" w:hint="eastAsia"/>
                <w:b/>
                <w:bCs/>
                <w:color w:val="0000FF"/>
                <w:kern w:val="2"/>
                <w:lang w:eastAsia="zh-CN"/>
              </w:rPr>
              <w:t>价格</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Pr>
          <w:p>
            <w:pPr>
              <w:widowControl w:val="0"/>
              <w:wordWrap w:val="0"/>
              <w:spacing w:line="440" w:lineRule="exact"/>
              <w:jc w:val="center"/>
              <w:rPr>
                <w:rFonts w:ascii="宋体" w:eastAsia="宋体" w:hAnsi="宋体" w:cs="宋体" w:hint="eastAsia"/>
                <w:b/>
                <w:bCs/>
                <w:kern w:val="2"/>
                <w:lang w:eastAsia="zh-CN"/>
              </w:rPr>
            </w:pPr>
            <w:r>
              <w:rPr>
                <w:rFonts w:ascii="宋体" w:eastAsia="宋体" w:hAnsi="宋体" w:cs="宋体" w:hint="eastAsia"/>
                <w:b/>
                <w:bCs/>
                <w:color w:val="0000FF"/>
                <w:kern w:val="2"/>
                <w:lang w:eastAsia="zh-CN"/>
              </w:rPr>
              <w:t>0</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96"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wordWrap w:val="0"/>
              <w:spacing w:line="440" w:lineRule="exact"/>
              <w:jc w:val="center"/>
              <w:rPr>
                <w:rFonts w:ascii="宋体" w:eastAsia="宋体" w:hAnsi="宋体" w:cs="宋体" w:hint="eastAsia"/>
                <w:b/>
                <w:bCs/>
                <w:kern w:val="2"/>
                <w:lang w:eastAsia="zh-CN"/>
              </w:rPr>
            </w:pPr>
            <w:r>
              <w:rPr>
                <w:rFonts w:ascii="宋体" w:eastAsia="宋体" w:hAnsi="宋体" w:cs="宋体" w:hint="eastAsia"/>
                <w:b/>
                <w:bCs/>
                <w:kern w:val="2"/>
                <w:lang w:eastAsia="zh-CN"/>
              </w:rPr>
              <w:t>序号</w:t>
            </w:r>
          </w:p>
        </w:tc>
        <w:tc>
          <w:tcPr>
            <w:tcW w:w="3564"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wordWrap w:val="0"/>
              <w:spacing w:line="440" w:lineRule="exact"/>
              <w:jc w:val="center"/>
              <w:rPr>
                <w:rFonts w:ascii="宋体" w:eastAsia="宋体" w:hAnsi="宋体" w:cs="宋体" w:hint="eastAsia"/>
                <w:b/>
                <w:bCs/>
                <w:kern w:val="2"/>
                <w:lang w:eastAsia="zh-CN"/>
              </w:rPr>
            </w:pPr>
            <w:r>
              <w:rPr>
                <w:rFonts w:ascii="宋体" w:eastAsia="宋体" w:hAnsi="宋体" w:cs="宋体" w:hint="eastAsia"/>
                <w:b/>
                <w:bCs/>
                <w:kern w:val="2"/>
                <w:lang w:eastAsia="zh-CN"/>
              </w:rPr>
              <w:t>评分项</w:t>
            </w:r>
          </w:p>
        </w:tc>
        <w:tc>
          <w:tcPr>
            <w:tcW w:w="4712"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wordWrap w:val="0"/>
              <w:spacing w:line="440" w:lineRule="exact"/>
              <w:jc w:val="center"/>
              <w:rPr>
                <w:rFonts w:ascii="宋体" w:eastAsia="宋体" w:hAnsi="宋体" w:cs="宋体" w:hint="eastAsia"/>
                <w:b/>
                <w:bCs/>
                <w:kern w:val="2"/>
                <w:lang w:eastAsia="zh-CN"/>
              </w:rPr>
            </w:pPr>
            <w:r>
              <w:rPr>
                <w:rFonts w:ascii="宋体" w:eastAsia="宋体" w:hAnsi="宋体" w:cs="宋体" w:hint="eastAsia"/>
                <w:b/>
                <w:bCs/>
                <w:kern w:val="2"/>
                <w:lang w:eastAsia="zh-CN"/>
              </w:rPr>
              <w:t>分值</w:t>
            </w:r>
          </w:p>
        </w:tc>
      </w:tr>
      <w:tr>
        <w:tblPrEx>
          <w:tblW w:w="5000" w:type="pct"/>
          <w:jc w:val="center"/>
          <w:tblCellSpacing w:w="0" w:type="dxa"/>
          <w:tblLayout w:type="fixed"/>
          <w:tblCellMar>
            <w:top w:w="20" w:type="dxa"/>
            <w:left w:w="108" w:type="dxa"/>
            <w:bottom w:w="20" w:type="dxa"/>
            <w:right w:w="108" w:type="dxa"/>
          </w:tblCellMar>
        </w:tblPrEx>
        <w:trPr>
          <w:trHeight w:val="279"/>
          <w:tblCellSpacing w:w="0" w:type="dxa"/>
          <w:jc w:val="center"/>
        </w:trPr>
        <w:tc>
          <w:tcPr>
            <w:tcW w:w="796" w:type="dxa"/>
            <w:vMerge w:val="restart"/>
            <w:tcBorders>
              <w:top w:val="single" w:sz="8" w:space="0" w:color="000000"/>
              <w:left w:val="single" w:sz="8" w:space="0" w:color="000000"/>
              <w:right w:val="single" w:sz="8" w:space="0" w:color="000000"/>
            </w:tcBorders>
          </w:tcPr>
          <w:p>
            <w:pPr>
              <w:widowControl w:val="0"/>
              <w:wordWrap w:val="0"/>
              <w:spacing w:line="440" w:lineRule="exact"/>
              <w:jc w:val="center"/>
              <w:rPr>
                <w:rFonts w:ascii="宋体" w:eastAsia="宋体" w:hAnsi="宋体" w:cs="宋体" w:hint="eastAsia"/>
                <w:b/>
                <w:bCs/>
                <w:color w:val="0000FF"/>
                <w:kern w:val="2"/>
                <w:lang w:eastAsia="zh-CN"/>
              </w:rPr>
            </w:pPr>
            <w:r>
              <w:rPr>
                <w:rFonts w:ascii="宋体" w:eastAsia="宋体" w:hAnsi="宋体" w:cs="宋体" w:hint="eastAsia"/>
                <w:b/>
                <w:bCs/>
                <w:color w:val="0000FF"/>
                <w:kern w:val="2"/>
                <w:lang w:eastAsia="zh-CN"/>
              </w:rPr>
              <w:t>1</w:t>
            </w:r>
          </w:p>
        </w:tc>
        <w:tc>
          <w:tcPr>
            <w:tcW w:w="3564" w:type="dxa"/>
            <w:gridSpan w:val="3"/>
            <w:tcBorders>
              <w:top w:val="single" w:sz="8" w:space="0" w:color="000000"/>
              <w:left w:val="single" w:sz="8" w:space="0" w:color="000000"/>
              <w:bottom w:val="single" w:sz="8" w:space="0" w:color="000000"/>
              <w:right w:val="single" w:sz="8" w:space="0" w:color="000000"/>
            </w:tcBorders>
          </w:tcPr>
          <w:p>
            <w:pPr>
              <w:widowControl w:val="0"/>
              <w:wordWrap w:val="0"/>
              <w:spacing w:line="440" w:lineRule="exact"/>
              <w:jc w:val="center"/>
              <w:rPr>
                <w:rFonts w:ascii="宋体" w:eastAsia="宋体" w:hAnsi="宋体" w:cs="宋体" w:hint="eastAsia"/>
                <w:b/>
                <w:bCs/>
                <w:color w:val="0000FF"/>
                <w:kern w:val="2"/>
                <w:lang w:eastAsia="zh-CN"/>
              </w:rPr>
            </w:pPr>
            <w:r>
              <w:rPr>
                <w:rFonts w:ascii="宋体" w:eastAsia="宋体" w:hAnsi="宋体" w:cs="宋体" w:hint="eastAsia"/>
                <w:b/>
                <w:bCs/>
                <w:color w:val="0000FF"/>
                <w:kern w:val="2"/>
                <w:lang w:eastAsia="zh-CN"/>
              </w:rPr>
              <w:t>技术部分</w:t>
            </w:r>
          </w:p>
        </w:tc>
        <w:tc>
          <w:tcPr>
            <w:tcW w:w="4712" w:type="dxa"/>
            <w:tcBorders>
              <w:top w:val="single" w:sz="8" w:space="0" w:color="000000"/>
              <w:left w:val="single" w:sz="8" w:space="0" w:color="000000"/>
              <w:bottom w:val="single" w:sz="8" w:space="0" w:color="000000"/>
              <w:right w:val="single" w:sz="8" w:space="0" w:color="000000"/>
            </w:tcBorders>
          </w:tcPr>
          <w:p>
            <w:pPr>
              <w:widowControl w:val="0"/>
              <w:wordWrap w:val="0"/>
              <w:spacing w:line="440" w:lineRule="exact"/>
              <w:jc w:val="center"/>
              <w:rPr>
                <w:rFonts w:ascii="宋体" w:eastAsia="宋体" w:hAnsi="宋体" w:cs="宋体" w:hint="eastAsia"/>
                <w:b/>
                <w:bCs/>
                <w:color w:val="0000FF"/>
                <w:kern w:val="2"/>
                <w:lang w:eastAsia="zh-CN"/>
              </w:rPr>
            </w:pPr>
            <w:r>
              <w:rPr>
                <w:rFonts w:ascii="宋体" w:eastAsia="宋体" w:hAnsi="宋体" w:cs="宋体" w:hint="eastAsia"/>
                <w:b/>
                <w:bCs/>
                <w:color w:val="0000FF"/>
                <w:kern w:val="2"/>
                <w:lang w:eastAsia="zh-CN"/>
              </w:rPr>
              <w:t>45</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96" w:type="dxa"/>
            <w:vMerge/>
            <w:tcBorders>
              <w:left w:val="single" w:sz="8" w:space="0" w:color="000000"/>
              <w:right w:val="single" w:sz="8" w:space="0" w:color="000000"/>
            </w:tcBorders>
          </w:tcPr>
          <w:p>
            <w:pPr>
              <w:widowControl w:val="0"/>
              <w:wordWrap w:val="0"/>
              <w:spacing w:line="440" w:lineRule="exact"/>
              <w:jc w:val="center"/>
              <w:rPr>
                <w:rFonts w:ascii="宋体" w:eastAsia="宋体" w:hAnsi="宋体" w:cs="宋体" w:hint="eastAsia"/>
                <w:b/>
                <w:bCs/>
                <w:color w:val="0000FF"/>
                <w:kern w:val="2"/>
                <w:lang w:eastAsia="zh-CN"/>
              </w:rPr>
            </w:pPr>
          </w:p>
        </w:tc>
        <w:tc>
          <w:tcPr>
            <w:tcW w:w="826" w:type="dxa"/>
            <w:tcBorders>
              <w:top w:val="single" w:sz="8" w:space="0" w:color="000000"/>
              <w:left w:val="single" w:sz="8" w:space="0" w:color="000000"/>
              <w:bottom w:val="single" w:sz="8" w:space="0" w:color="000000"/>
              <w:right w:val="single" w:sz="8" w:space="0" w:color="000000"/>
            </w:tcBorders>
            <w:vAlign w:val="center"/>
          </w:tcPr>
          <w:p>
            <w:pPr>
              <w:widowControl w:val="0"/>
              <w:wordWrap w:val="0"/>
              <w:spacing w:line="440" w:lineRule="exact"/>
              <w:jc w:val="center"/>
              <w:rPr>
                <w:rFonts w:ascii="宋体" w:eastAsia="宋体" w:hAnsi="宋体" w:cs="宋体" w:hint="eastAsia"/>
                <w:kern w:val="2"/>
                <w:lang w:eastAsia="zh-CN"/>
              </w:rPr>
            </w:pPr>
            <w:r>
              <w:rPr>
                <w:rFonts w:ascii="宋体" w:eastAsia="宋体" w:hAnsi="宋体" w:cs="宋体" w:hint="eastAsia"/>
                <w:kern w:val="2"/>
                <w:lang w:eastAsia="zh-CN"/>
              </w:rPr>
              <w:t>序号</w:t>
            </w:r>
          </w:p>
        </w:tc>
        <w:tc>
          <w:tcPr>
            <w:tcW w:w="1858" w:type="dxa"/>
            <w:tcBorders>
              <w:top w:val="single" w:sz="8" w:space="0" w:color="000000"/>
              <w:left w:val="single" w:sz="8" w:space="0" w:color="000000"/>
              <w:bottom w:val="single" w:sz="8" w:space="0" w:color="000000"/>
              <w:right w:val="single" w:sz="8" w:space="0" w:color="000000"/>
            </w:tcBorders>
            <w:vAlign w:val="center"/>
          </w:tcPr>
          <w:p>
            <w:pPr>
              <w:widowControl w:val="0"/>
              <w:wordWrap w:val="0"/>
              <w:spacing w:line="440" w:lineRule="exact"/>
              <w:jc w:val="center"/>
              <w:rPr>
                <w:rFonts w:ascii="宋体" w:eastAsia="宋体" w:hAnsi="宋体" w:cs="宋体" w:hint="eastAsia"/>
                <w:kern w:val="2"/>
                <w:lang w:eastAsia="zh-CN"/>
              </w:rPr>
            </w:pPr>
            <w:r>
              <w:rPr>
                <w:rFonts w:ascii="宋体" w:eastAsia="宋体" w:hAnsi="宋体" w:cs="宋体" w:hint="eastAsia"/>
                <w:kern w:val="2"/>
                <w:lang w:eastAsia="zh-CN"/>
              </w:rPr>
              <w:t>评分因素</w:t>
            </w:r>
          </w:p>
        </w:tc>
        <w:tc>
          <w:tcPr>
            <w:tcW w:w="880" w:type="dxa"/>
            <w:tcBorders>
              <w:top w:val="single" w:sz="8" w:space="0" w:color="000000"/>
              <w:left w:val="single" w:sz="8" w:space="0" w:color="000000"/>
              <w:bottom w:val="single" w:sz="8" w:space="0" w:color="000000"/>
              <w:right w:val="single" w:sz="8" w:space="0" w:color="000000"/>
            </w:tcBorders>
            <w:vAlign w:val="center"/>
          </w:tcPr>
          <w:p>
            <w:pPr>
              <w:widowControl w:val="0"/>
              <w:wordWrap w:val="0"/>
              <w:spacing w:line="440" w:lineRule="exact"/>
              <w:jc w:val="center"/>
              <w:rPr>
                <w:rFonts w:ascii="宋体" w:eastAsia="宋体" w:hAnsi="宋体" w:cs="宋体" w:hint="eastAsia"/>
                <w:kern w:val="2"/>
                <w:lang w:eastAsia="zh-CN"/>
              </w:rPr>
            </w:pPr>
            <w:r>
              <w:rPr>
                <w:rFonts w:ascii="宋体" w:eastAsia="宋体" w:hAnsi="宋体" w:cs="宋体" w:hint="eastAsia"/>
                <w:b/>
                <w:bCs/>
                <w:kern w:val="2"/>
                <w:lang w:eastAsia="zh-CN"/>
              </w:rPr>
              <w:t>分值</w:t>
            </w:r>
          </w:p>
        </w:tc>
        <w:tc>
          <w:tcPr>
            <w:tcW w:w="4712" w:type="dxa"/>
            <w:tcBorders>
              <w:top w:val="single" w:sz="8" w:space="0" w:color="000000"/>
              <w:left w:val="single" w:sz="8" w:space="0" w:color="000000"/>
              <w:bottom w:val="single" w:sz="8" w:space="0" w:color="000000"/>
              <w:right w:val="single" w:sz="8" w:space="0" w:color="000000"/>
            </w:tcBorders>
            <w:vAlign w:val="center"/>
          </w:tcPr>
          <w:p>
            <w:pPr>
              <w:widowControl w:val="0"/>
              <w:wordWrap w:val="0"/>
              <w:spacing w:line="440" w:lineRule="exact"/>
              <w:jc w:val="center"/>
              <w:rPr>
                <w:rFonts w:ascii="宋体" w:eastAsia="宋体" w:hAnsi="宋体" w:cs="宋体" w:hint="eastAsia"/>
                <w:kern w:val="2"/>
                <w:lang w:eastAsia="zh-CN"/>
              </w:rPr>
            </w:pPr>
            <w:r>
              <w:rPr>
                <w:rFonts w:ascii="宋体" w:eastAsia="宋体" w:hAnsi="宋体" w:cs="宋体" w:hint="eastAsia"/>
                <w:kern w:val="2"/>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rHeight w:val="1221"/>
          <w:tblCellSpacing w:w="0" w:type="dxa"/>
          <w:jc w:val="center"/>
        </w:trPr>
        <w:tc>
          <w:tcPr>
            <w:tcW w:w="796" w:type="dxa"/>
            <w:vMerge/>
            <w:tcBorders>
              <w:left w:val="single" w:sz="8" w:space="0" w:color="000000"/>
              <w:right w:val="single" w:sz="8" w:space="0" w:color="000000"/>
            </w:tcBorders>
          </w:tcPr>
          <w:p>
            <w:pPr>
              <w:widowControl w:val="0"/>
              <w:wordWrap w:val="0"/>
              <w:spacing w:line="440" w:lineRule="exact"/>
              <w:jc w:val="center"/>
              <w:rPr>
                <w:rFonts w:ascii="宋体" w:eastAsia="宋体" w:hAnsi="宋体" w:cs="宋体" w:hint="eastAsia"/>
                <w:b/>
                <w:bCs/>
                <w:color w:val="0000FF"/>
                <w:kern w:val="2"/>
                <w:lang w:eastAsia="zh-CN"/>
              </w:rPr>
            </w:pPr>
          </w:p>
        </w:tc>
        <w:tc>
          <w:tcPr>
            <w:tcW w:w="826"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1</w:t>
            </w:r>
          </w:p>
        </w:tc>
        <w:tc>
          <w:tcPr>
            <w:tcW w:w="1858"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平面规划图</w:t>
            </w:r>
          </w:p>
        </w:tc>
        <w:tc>
          <w:tcPr>
            <w:tcW w:w="880"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6</w:t>
            </w:r>
          </w:p>
        </w:tc>
        <w:tc>
          <w:tcPr>
            <w:tcW w:w="4712"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b/>
                <w:kern w:val="2"/>
                <w:lang w:eastAsia="zh-CN"/>
              </w:rPr>
            </w:pPr>
            <w:r>
              <w:rPr>
                <w:rFonts w:ascii="宋体" w:eastAsia="宋体" w:hAnsi="宋体" w:cs="宋体" w:hint="eastAsia"/>
                <w:b/>
                <w:kern w:val="2"/>
                <w:lang w:eastAsia="zh-CN"/>
              </w:rPr>
              <w:t>评审内容：</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根据现场实际情况，提供总平面规划图，评标委员会根据投标人效果图进行综合评价。</w:t>
            </w:r>
          </w:p>
          <w:p>
            <w:pPr>
              <w:widowControl w:val="0"/>
              <w:jc w:val="both"/>
              <w:rPr>
                <w:rFonts w:ascii="宋体" w:eastAsia="宋体" w:hAnsi="宋体" w:cs="宋体" w:hint="eastAsia"/>
                <w:b/>
                <w:kern w:val="2"/>
                <w:lang w:eastAsia="zh-CN"/>
              </w:rPr>
            </w:pPr>
          </w:p>
          <w:p>
            <w:pPr>
              <w:widowControl w:val="0"/>
              <w:jc w:val="both"/>
              <w:rPr>
                <w:rFonts w:ascii="宋体" w:eastAsia="宋体" w:hAnsi="宋体" w:cs="宋体" w:hint="eastAsia"/>
                <w:b/>
                <w:kern w:val="2"/>
                <w:lang w:eastAsia="zh-CN"/>
              </w:rPr>
            </w:pPr>
            <w:r>
              <w:rPr>
                <w:rFonts w:ascii="宋体" w:eastAsia="宋体" w:hAnsi="宋体" w:cs="宋体" w:hint="eastAsia"/>
                <w:b/>
                <w:kern w:val="2"/>
                <w:lang w:eastAsia="zh-CN"/>
              </w:rPr>
              <w:t>评审依据：</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1、投标人提供的方案提供每一层平面规划图得1</w:t>
            </w:r>
            <w:r>
              <w:rPr>
                <w:rFonts w:ascii="宋体" w:eastAsia="宋体" w:hAnsi="宋体" w:cs="宋体" w:hint="eastAsia"/>
                <w:bCs/>
                <w:kern w:val="2"/>
                <w:lang w:eastAsia="zh-CN"/>
              </w:rPr>
              <w:t>.5</w:t>
            </w:r>
            <w:r>
              <w:rPr>
                <w:rFonts w:ascii="宋体" w:eastAsia="宋体" w:hAnsi="宋体" w:cs="宋体" w:hint="eastAsia"/>
                <w:bCs/>
                <w:kern w:val="2"/>
                <w:lang w:eastAsia="zh-CN"/>
              </w:rPr>
              <w:t>分，最多得3分；未提供不得分。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2、在第1项的基础上，根据以下标准进行评价评分：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（1）按要求规划各公共文化功能室布局；（2）科学合理设置每层各功能室面积；</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（3）平面规划图内容可操作性强。</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优评分标准：满足以上三项要求的评价为优，加3分；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良评分标准：满足以上两项要求的评价为良，加2分；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中评分标准：满足以上一项要求的评价为中，加1分；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差评分标准：其余情况评价为差，得0分。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注</w:t>
            </w:r>
            <w:r>
              <w:rPr>
                <w:rFonts w:ascii="宋体" w:eastAsia="宋体" w:hAnsi="宋体" w:cs="宋体" w:hint="eastAsia"/>
                <w:bCs/>
                <w:kern w:val="2"/>
                <w:lang w:val="zh-CN" w:eastAsia="zh-CN"/>
              </w:rPr>
              <w:t>：提供项目平面规划图并加盖投标人公章，格式自拟，未按要求提供或不清晰导致无法辨认的不得分。</w:t>
            </w:r>
          </w:p>
        </w:tc>
      </w:tr>
      <w:tr>
        <w:tblPrEx>
          <w:tblW w:w="5000" w:type="pct"/>
          <w:jc w:val="center"/>
          <w:tblCellSpacing w:w="0" w:type="dxa"/>
          <w:tblLayout w:type="fixed"/>
          <w:tblCellMar>
            <w:top w:w="20" w:type="dxa"/>
            <w:left w:w="108" w:type="dxa"/>
            <w:bottom w:w="20" w:type="dxa"/>
            <w:right w:w="108" w:type="dxa"/>
          </w:tblCellMar>
        </w:tblPrEx>
        <w:trPr>
          <w:trHeight w:val="1221"/>
          <w:tblCellSpacing w:w="0" w:type="dxa"/>
          <w:jc w:val="center"/>
        </w:trPr>
        <w:tc>
          <w:tcPr>
            <w:tcW w:w="796" w:type="dxa"/>
            <w:tcBorders>
              <w:left w:val="single" w:sz="8" w:space="0" w:color="000000"/>
              <w:right w:val="single" w:sz="8" w:space="0" w:color="000000"/>
            </w:tcBorders>
          </w:tcPr>
          <w:p>
            <w:pPr>
              <w:widowControl w:val="0"/>
              <w:wordWrap w:val="0"/>
              <w:spacing w:line="440" w:lineRule="exact"/>
              <w:jc w:val="center"/>
              <w:rPr>
                <w:rFonts w:ascii="宋体" w:eastAsia="宋体" w:hAnsi="宋体" w:cs="宋体" w:hint="eastAsia"/>
                <w:b/>
                <w:bCs/>
                <w:color w:val="0000FF"/>
                <w:kern w:val="2"/>
                <w:lang w:eastAsia="zh-CN"/>
              </w:rPr>
            </w:pPr>
          </w:p>
        </w:tc>
        <w:tc>
          <w:tcPr>
            <w:tcW w:w="826"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2</w:t>
            </w:r>
          </w:p>
        </w:tc>
        <w:tc>
          <w:tcPr>
            <w:tcW w:w="1858"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项目运营方</w:t>
            </w:r>
            <w:r>
              <w:rPr>
                <w:rFonts w:ascii="宋体" w:eastAsia="宋体" w:hAnsi="宋体" w:cs="宋体" w:hint="eastAsia"/>
                <w:bCs/>
                <w:kern w:val="2"/>
                <w:lang w:eastAsia="zh-CN"/>
              </w:rPr>
              <w:t>案</w:t>
            </w:r>
          </w:p>
        </w:tc>
        <w:tc>
          <w:tcPr>
            <w:tcW w:w="880"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15</w:t>
            </w:r>
          </w:p>
        </w:tc>
        <w:tc>
          <w:tcPr>
            <w:tcW w:w="4712" w:type="dxa"/>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宋体" w:cs="宋体" w:hint="eastAsia"/>
                <w:b/>
                <w:kern w:val="2"/>
                <w:lang w:eastAsia="zh-CN"/>
              </w:rPr>
            </w:pPr>
            <w:r>
              <w:rPr>
                <w:rFonts w:ascii="宋体" w:eastAsia="宋体" w:hAnsi="宋体" w:cs="宋体" w:hint="eastAsia"/>
                <w:b/>
                <w:kern w:val="2"/>
                <w:lang w:eastAsia="zh-CN"/>
              </w:rPr>
              <w:t>评审内容：</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投标人根据本项目需求，提供</w:t>
            </w:r>
            <w:r>
              <w:rPr>
                <w:rFonts w:ascii="宋体" w:eastAsia="宋体" w:hAnsi="宋体" w:cs="宋体" w:hint="eastAsia"/>
                <w:bCs/>
                <w:kern w:val="2"/>
                <w:lang w:eastAsia="zh-CN"/>
              </w:rPr>
              <w:t>项目运营方</w:t>
            </w:r>
            <w:r>
              <w:rPr>
                <w:rFonts w:ascii="宋体" w:eastAsia="宋体" w:hAnsi="宋体" w:cs="宋体" w:hint="eastAsia"/>
                <w:bCs/>
                <w:kern w:val="2"/>
                <w:lang w:eastAsia="zh-CN"/>
              </w:rPr>
              <w:t>案包括但不限于：</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1、装修方案；</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2、日常运营；</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3、品牌运营。</w:t>
            </w:r>
          </w:p>
          <w:p>
            <w:pPr>
              <w:widowControl w:val="0"/>
              <w:jc w:val="both"/>
              <w:rPr>
                <w:rFonts w:ascii="宋体" w:eastAsia="宋体" w:hAnsi="宋体" w:cs="宋体" w:hint="eastAsia"/>
                <w:b/>
                <w:kern w:val="2"/>
                <w:lang w:eastAsia="zh-CN"/>
              </w:rPr>
            </w:pPr>
          </w:p>
          <w:p>
            <w:pPr>
              <w:widowControl w:val="0"/>
              <w:jc w:val="both"/>
              <w:rPr>
                <w:rFonts w:ascii="宋体" w:eastAsia="宋体" w:hAnsi="宋体" w:cs="宋体" w:hint="eastAsia"/>
                <w:b/>
                <w:kern w:val="2"/>
                <w:lang w:eastAsia="zh-CN"/>
              </w:rPr>
            </w:pPr>
            <w:r>
              <w:rPr>
                <w:rFonts w:ascii="宋体" w:eastAsia="宋体" w:hAnsi="宋体" w:cs="宋体" w:hint="eastAsia"/>
                <w:b/>
                <w:kern w:val="2"/>
                <w:lang w:eastAsia="zh-CN"/>
              </w:rPr>
              <w:t>评审依据：</w:t>
            </w:r>
          </w:p>
          <w:p>
            <w:pPr>
              <w:widowControl w:val="0"/>
              <w:numPr>
                <w:ilvl w:val="12"/>
                <w:numId w:val="0"/>
              </w:numPr>
              <w:ind w:left="0" w:firstLine="0"/>
              <w:jc w:val="both"/>
              <w:rPr>
                <w:rFonts w:ascii="宋体" w:eastAsia="宋体" w:hAnsi="宋体" w:cs="宋体" w:hint="eastAsia"/>
                <w:bCs/>
                <w:kern w:val="2"/>
                <w:lang w:eastAsia="zh-CN"/>
              </w:rPr>
            </w:pPr>
            <w:r>
              <w:rPr>
                <w:rFonts w:ascii="宋体" w:eastAsia="宋体" w:hAnsi="宋体" w:cs="宋体" w:hint="eastAsia"/>
                <w:bCs/>
                <w:kern w:val="2"/>
                <w:lang w:eastAsia="zh-CN"/>
              </w:rPr>
              <w:t>1、</w:t>
            </w:r>
            <w:r>
              <w:rPr>
                <w:rFonts w:ascii="宋体" w:eastAsia="宋体" w:hAnsi="宋体" w:cs="宋体" w:hint="eastAsia"/>
                <w:bCs/>
                <w:kern w:val="2"/>
                <w:lang w:eastAsia="zh-CN"/>
              </w:rPr>
              <w:t>投标人提供的</w:t>
            </w:r>
            <w:r>
              <w:rPr>
                <w:rFonts w:ascii="宋体" w:eastAsia="宋体" w:hAnsi="宋体" w:cs="宋体" w:hint="eastAsia"/>
                <w:bCs/>
                <w:kern w:val="2"/>
                <w:lang w:eastAsia="zh-CN"/>
              </w:rPr>
              <w:t>项目运营方</w:t>
            </w:r>
            <w:r>
              <w:rPr>
                <w:rFonts w:ascii="宋体" w:eastAsia="宋体" w:hAnsi="宋体" w:cs="宋体" w:hint="eastAsia"/>
                <w:bCs/>
                <w:kern w:val="2"/>
                <w:lang w:eastAsia="zh-CN"/>
              </w:rPr>
              <w:t>案提供每一项得2分，最多得6分；其他情况不得分。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2、在第1项的基础上，根据以下标准进行评价评分：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优评分标准：内容非常完整具体，融合创新</w:t>
            </w:r>
            <w:r>
              <w:rPr>
                <w:rFonts w:ascii="宋体" w:eastAsia="宋体" w:hAnsi="宋体" w:cs="宋体" w:hint="eastAsia"/>
                <w:bCs/>
                <w:kern w:val="2"/>
                <w:lang w:eastAsia="zh-CN"/>
              </w:rPr>
              <w:t>项目运营方</w:t>
            </w:r>
            <w:r>
              <w:rPr>
                <w:rFonts w:ascii="宋体" w:eastAsia="宋体" w:hAnsi="宋体" w:cs="宋体" w:hint="eastAsia"/>
                <w:bCs/>
                <w:kern w:val="2"/>
                <w:lang w:eastAsia="zh-CN"/>
              </w:rPr>
              <w:t>式，条理非常清晰，非常贴合需求，方案数据测算非常详实、内容针对性非常强，且可执行性非常强的，得9分；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良评分标准：内容比较完整具体，融合创新</w:t>
            </w:r>
            <w:r>
              <w:rPr>
                <w:rFonts w:ascii="宋体" w:eastAsia="宋体" w:hAnsi="宋体" w:cs="宋体" w:hint="eastAsia"/>
                <w:bCs/>
                <w:kern w:val="2"/>
                <w:lang w:eastAsia="zh-CN"/>
              </w:rPr>
              <w:t>项目运营方</w:t>
            </w:r>
            <w:r>
              <w:rPr>
                <w:rFonts w:ascii="宋体" w:eastAsia="宋体" w:hAnsi="宋体" w:cs="宋体" w:hint="eastAsia"/>
                <w:bCs/>
                <w:kern w:val="2"/>
                <w:lang w:eastAsia="zh-CN"/>
              </w:rPr>
              <w:t>式，条理比较清晰，比较贴合需求，方案数据测算比较详实、内容针对性比较强，且可执行性比较强的，得5分；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中评分标准；方案内容简单，数据测算欠缺，针对性一般，可执行性一般的，得2分；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差评分标准：方案内容不完整，数据测算欠缺，可执行性差，不得分。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注：提供</w:t>
            </w:r>
            <w:r>
              <w:rPr>
                <w:rFonts w:ascii="宋体" w:eastAsia="宋体" w:hAnsi="宋体" w:cs="宋体" w:hint="eastAsia"/>
                <w:bCs/>
                <w:kern w:val="2"/>
                <w:lang w:eastAsia="zh-CN"/>
              </w:rPr>
              <w:t>项目运营方</w:t>
            </w:r>
            <w:r>
              <w:rPr>
                <w:rFonts w:ascii="宋体" w:eastAsia="宋体" w:hAnsi="宋体" w:cs="宋体" w:hint="eastAsia"/>
                <w:bCs/>
                <w:kern w:val="2"/>
                <w:lang w:eastAsia="zh-CN"/>
              </w:rPr>
              <w:t>案并加盖投标人公章，格式自拟，未按要求提供或不清晰导致无法辨认的不得分。</w:t>
            </w:r>
          </w:p>
        </w:tc>
      </w:tr>
      <w:tr>
        <w:tblPrEx>
          <w:tblW w:w="5000" w:type="pct"/>
          <w:jc w:val="center"/>
          <w:tblCellSpacing w:w="0" w:type="dxa"/>
          <w:tblLayout w:type="fixed"/>
          <w:tblCellMar>
            <w:top w:w="20" w:type="dxa"/>
            <w:left w:w="108" w:type="dxa"/>
            <w:bottom w:w="20" w:type="dxa"/>
            <w:right w:w="108" w:type="dxa"/>
          </w:tblCellMar>
        </w:tblPrEx>
        <w:trPr>
          <w:trHeight w:val="1221"/>
          <w:tblCellSpacing w:w="0" w:type="dxa"/>
          <w:jc w:val="center"/>
        </w:trPr>
        <w:tc>
          <w:tcPr>
            <w:tcW w:w="796" w:type="dxa"/>
            <w:tcBorders>
              <w:left w:val="single" w:sz="8" w:space="0" w:color="000000"/>
              <w:right w:val="single" w:sz="8" w:space="0" w:color="000000"/>
            </w:tcBorders>
          </w:tcPr>
          <w:p>
            <w:pPr>
              <w:widowControl w:val="0"/>
              <w:wordWrap w:val="0"/>
              <w:spacing w:line="440" w:lineRule="exact"/>
              <w:jc w:val="center"/>
              <w:rPr>
                <w:rFonts w:ascii="宋体" w:eastAsia="宋体" w:hAnsi="宋体" w:cs="宋体" w:hint="eastAsia"/>
                <w:b/>
                <w:bCs/>
                <w:color w:val="0000FF"/>
                <w:kern w:val="2"/>
                <w:lang w:eastAsia="zh-CN"/>
              </w:rPr>
            </w:pPr>
          </w:p>
        </w:tc>
        <w:tc>
          <w:tcPr>
            <w:tcW w:w="826"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3</w:t>
            </w:r>
          </w:p>
        </w:tc>
        <w:tc>
          <w:tcPr>
            <w:tcW w:w="1858"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项目公益性方案</w:t>
            </w:r>
          </w:p>
        </w:tc>
        <w:tc>
          <w:tcPr>
            <w:tcW w:w="880"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11</w:t>
            </w:r>
          </w:p>
        </w:tc>
        <w:tc>
          <w:tcPr>
            <w:tcW w:w="4712"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b/>
                <w:kern w:val="2"/>
                <w:lang w:val="zh-CN" w:eastAsia="zh-CN"/>
              </w:rPr>
            </w:pPr>
            <w:r>
              <w:rPr>
                <w:rFonts w:ascii="宋体" w:eastAsia="宋体" w:hAnsi="宋体" w:cs="宋体" w:hint="eastAsia"/>
                <w:b/>
                <w:kern w:val="2"/>
                <w:lang w:val="zh-CN" w:eastAsia="zh-CN"/>
              </w:rPr>
              <w:t>评审内容：</w:t>
            </w:r>
          </w:p>
          <w:p>
            <w:pPr>
              <w:widowControl w:val="0"/>
              <w:jc w:val="both"/>
              <w:rPr>
                <w:rFonts w:ascii="宋体" w:eastAsia="宋体" w:hAnsi="宋体" w:cs="宋体" w:hint="eastAsia"/>
                <w:bCs/>
                <w:kern w:val="2"/>
                <w:lang w:val="zh-CN" w:eastAsia="zh-CN"/>
              </w:rPr>
            </w:pPr>
            <w:r>
              <w:rPr>
                <w:rFonts w:ascii="宋体" w:eastAsia="宋体" w:hAnsi="宋体" w:cs="宋体" w:hint="eastAsia"/>
                <w:bCs/>
                <w:kern w:val="2"/>
                <w:lang w:val="zh-CN" w:eastAsia="zh-CN"/>
              </w:rPr>
              <w:t>投标人根据本项目需求，提供项目公益性方案包括但不限于：</w:t>
            </w:r>
          </w:p>
          <w:p>
            <w:pPr>
              <w:widowControl w:val="0"/>
              <w:jc w:val="both"/>
              <w:rPr>
                <w:rFonts w:ascii="宋体" w:eastAsia="宋体" w:hAnsi="宋体" w:cs="宋体" w:hint="eastAsia"/>
                <w:bCs/>
                <w:kern w:val="2"/>
                <w:lang w:val="zh-CN" w:eastAsia="zh-CN"/>
              </w:rPr>
            </w:pPr>
            <w:r>
              <w:rPr>
                <w:rFonts w:ascii="宋体" w:eastAsia="宋体" w:hAnsi="宋体" w:cs="宋体" w:hint="eastAsia"/>
                <w:bCs/>
                <w:kern w:val="2"/>
                <w:lang w:val="zh-CN" w:eastAsia="zh-CN"/>
              </w:rPr>
              <w:t>1、产业服务活动公益安排：</w:t>
            </w:r>
          </w:p>
          <w:p>
            <w:pPr>
              <w:widowControl w:val="0"/>
              <w:jc w:val="both"/>
              <w:rPr>
                <w:rFonts w:ascii="宋体" w:eastAsia="宋体" w:hAnsi="宋体" w:cs="宋体" w:hint="eastAsia"/>
                <w:bCs/>
                <w:kern w:val="2"/>
                <w:lang w:val="zh-CN" w:eastAsia="zh-CN"/>
              </w:rPr>
            </w:pPr>
            <w:r>
              <w:rPr>
                <w:rFonts w:ascii="宋体" w:eastAsia="宋体" w:hAnsi="宋体" w:cs="宋体" w:hint="eastAsia"/>
                <w:bCs/>
                <w:kern w:val="2"/>
                <w:lang w:val="zh-CN" w:eastAsia="zh-CN"/>
              </w:rPr>
              <w:t>2、公共服务活动公益安排；</w:t>
            </w:r>
          </w:p>
          <w:p>
            <w:pPr>
              <w:widowControl w:val="0"/>
              <w:jc w:val="both"/>
              <w:rPr>
                <w:rFonts w:ascii="宋体" w:eastAsia="宋体" w:hAnsi="宋体" w:cs="宋体" w:hint="eastAsia"/>
                <w:bCs/>
                <w:kern w:val="2"/>
                <w:lang w:val="zh-CN" w:eastAsia="zh-CN"/>
              </w:rPr>
            </w:pPr>
            <w:r>
              <w:rPr>
                <w:rFonts w:ascii="宋体" w:eastAsia="宋体" w:hAnsi="宋体" w:cs="宋体" w:hint="eastAsia"/>
                <w:bCs/>
                <w:kern w:val="2"/>
                <w:lang w:val="zh-CN" w:eastAsia="zh-CN"/>
              </w:rPr>
              <w:t>3、场地公益服务安排。</w:t>
            </w:r>
          </w:p>
          <w:p>
            <w:pPr>
              <w:widowControl w:val="0"/>
              <w:jc w:val="both"/>
              <w:rPr>
                <w:rFonts w:ascii="宋体" w:eastAsia="宋体" w:hAnsi="宋体" w:cs="宋体" w:hint="eastAsia"/>
                <w:b/>
                <w:kern w:val="2"/>
                <w:lang w:val="zh-CN" w:eastAsia="zh-CN"/>
              </w:rPr>
            </w:pPr>
          </w:p>
          <w:p>
            <w:pPr>
              <w:widowControl w:val="0"/>
              <w:jc w:val="both"/>
              <w:rPr>
                <w:rFonts w:ascii="宋体" w:eastAsia="宋体" w:hAnsi="宋体" w:cs="宋体" w:hint="eastAsia"/>
                <w:b/>
                <w:kern w:val="2"/>
                <w:lang w:val="zh-CN" w:eastAsia="zh-CN"/>
              </w:rPr>
            </w:pPr>
            <w:r>
              <w:rPr>
                <w:rFonts w:ascii="宋体" w:eastAsia="宋体" w:hAnsi="宋体" w:cs="宋体" w:hint="eastAsia"/>
                <w:b/>
                <w:kern w:val="2"/>
                <w:lang w:val="zh-CN" w:eastAsia="zh-CN"/>
              </w:rPr>
              <w:t>评审依据：</w:t>
            </w:r>
          </w:p>
          <w:p>
            <w:pPr>
              <w:widowControl w:val="0"/>
              <w:jc w:val="both"/>
              <w:rPr>
                <w:rFonts w:ascii="宋体" w:eastAsia="宋体" w:hAnsi="宋体" w:cs="宋体" w:hint="eastAsia"/>
                <w:bCs/>
                <w:kern w:val="2"/>
                <w:lang w:val="zh-CN" w:eastAsia="zh-CN"/>
              </w:rPr>
            </w:pPr>
            <w:r>
              <w:rPr>
                <w:rFonts w:ascii="宋体" w:eastAsia="宋体" w:hAnsi="宋体" w:cs="宋体" w:hint="eastAsia"/>
                <w:bCs/>
                <w:kern w:val="2"/>
                <w:lang w:eastAsia="zh-CN"/>
              </w:rPr>
              <w:t>1、</w:t>
            </w:r>
            <w:r>
              <w:rPr>
                <w:rFonts w:ascii="宋体" w:eastAsia="宋体" w:hAnsi="宋体" w:cs="宋体" w:hint="eastAsia"/>
                <w:bCs/>
                <w:kern w:val="2"/>
                <w:lang w:val="zh-CN" w:eastAsia="zh-CN"/>
              </w:rPr>
              <w:t>满足以上三点得</w:t>
            </w:r>
            <w:r>
              <w:rPr>
                <w:rFonts w:ascii="宋体" w:eastAsia="宋体" w:hAnsi="宋体" w:cs="宋体" w:hint="eastAsia"/>
                <w:bCs/>
                <w:kern w:val="2"/>
                <w:lang w:eastAsia="zh-CN"/>
              </w:rPr>
              <w:t>6</w:t>
            </w:r>
            <w:r>
              <w:rPr>
                <w:rFonts w:ascii="宋体" w:eastAsia="宋体" w:hAnsi="宋体" w:cs="宋体" w:hint="eastAsia"/>
                <w:bCs/>
                <w:kern w:val="2"/>
                <w:lang w:val="zh-CN" w:eastAsia="zh-CN"/>
              </w:rPr>
              <w:t>分，满足以上任意两点得</w:t>
            </w:r>
            <w:r>
              <w:rPr>
                <w:rFonts w:ascii="宋体" w:eastAsia="宋体" w:hAnsi="宋体" w:cs="宋体" w:hint="eastAsia"/>
                <w:bCs/>
                <w:kern w:val="2"/>
                <w:lang w:eastAsia="zh-CN"/>
              </w:rPr>
              <w:t>4</w:t>
            </w:r>
            <w:r>
              <w:rPr>
                <w:rFonts w:ascii="宋体" w:eastAsia="宋体" w:hAnsi="宋体" w:cs="宋体" w:hint="eastAsia"/>
                <w:bCs/>
                <w:kern w:val="2"/>
                <w:lang w:val="zh-CN" w:eastAsia="zh-CN"/>
              </w:rPr>
              <w:t>分，仅满足以上任意一点得</w:t>
            </w:r>
            <w:r>
              <w:rPr>
                <w:rFonts w:ascii="宋体" w:eastAsia="宋体" w:hAnsi="宋体" w:cs="宋体" w:hint="eastAsia"/>
                <w:bCs/>
                <w:kern w:val="2"/>
                <w:lang w:eastAsia="zh-CN"/>
              </w:rPr>
              <w:t>2</w:t>
            </w:r>
            <w:r>
              <w:rPr>
                <w:rFonts w:ascii="宋体" w:eastAsia="宋体" w:hAnsi="宋体" w:cs="宋体" w:hint="eastAsia"/>
                <w:bCs/>
                <w:kern w:val="2"/>
                <w:lang w:val="zh-CN" w:eastAsia="zh-CN"/>
              </w:rPr>
              <w:t>分，其他情况不得分。</w:t>
            </w:r>
          </w:p>
          <w:p>
            <w:pPr>
              <w:widowControl w:val="0"/>
              <w:jc w:val="both"/>
              <w:rPr>
                <w:rFonts w:ascii="宋体" w:eastAsia="宋体" w:hAnsi="宋体" w:cs="宋体" w:hint="eastAsia"/>
                <w:bCs/>
                <w:kern w:val="2"/>
                <w:lang w:val="zh-CN" w:eastAsia="zh-CN"/>
              </w:rPr>
            </w:pPr>
            <w:r>
              <w:rPr>
                <w:rFonts w:ascii="宋体" w:eastAsia="宋体" w:hAnsi="宋体" w:cs="宋体" w:hint="eastAsia"/>
                <w:bCs/>
                <w:kern w:val="2"/>
                <w:lang w:val="zh-CN" w:eastAsia="zh-CN"/>
              </w:rPr>
              <w:t>2、在第1项的基础上，根据以下标准进行评价评分：</w:t>
            </w:r>
          </w:p>
          <w:p>
            <w:pPr>
              <w:widowControl w:val="0"/>
              <w:jc w:val="both"/>
              <w:rPr>
                <w:rFonts w:ascii="宋体" w:eastAsia="宋体" w:hAnsi="宋体" w:cs="宋体" w:hint="eastAsia"/>
                <w:bCs/>
                <w:kern w:val="2"/>
                <w:lang w:val="zh-CN" w:eastAsia="zh-CN"/>
              </w:rPr>
            </w:pPr>
            <w:r>
              <w:rPr>
                <w:rFonts w:ascii="宋体" w:eastAsia="宋体" w:hAnsi="宋体" w:cs="宋体" w:hint="eastAsia"/>
                <w:bCs/>
                <w:kern w:val="2"/>
                <w:lang w:val="zh-CN" w:eastAsia="zh-CN"/>
              </w:rPr>
              <w:t>优评分标准：内容完整具体，思路清晰，贴合实际情况，方案内容详实、针对性强，且有较强的可执行性，得5分；</w:t>
            </w:r>
          </w:p>
          <w:p>
            <w:pPr>
              <w:widowControl w:val="0"/>
              <w:jc w:val="both"/>
              <w:rPr>
                <w:rFonts w:ascii="宋体" w:eastAsia="宋体" w:hAnsi="宋体" w:cs="宋体" w:hint="eastAsia"/>
                <w:bCs/>
                <w:kern w:val="2"/>
                <w:lang w:val="zh-CN" w:eastAsia="zh-CN"/>
              </w:rPr>
            </w:pPr>
            <w:r>
              <w:rPr>
                <w:rFonts w:ascii="宋体" w:eastAsia="宋体" w:hAnsi="宋体" w:cs="宋体" w:hint="eastAsia"/>
                <w:bCs/>
                <w:kern w:val="2"/>
                <w:lang w:val="zh-CN" w:eastAsia="zh-CN"/>
              </w:rPr>
              <w:t>良评分标准：内容完整，思路清晰，但针对性一般，可执行性一般，得3分：</w:t>
            </w:r>
          </w:p>
          <w:p>
            <w:pPr>
              <w:widowControl w:val="0"/>
              <w:jc w:val="both"/>
              <w:rPr>
                <w:rFonts w:ascii="宋体" w:eastAsia="宋体" w:hAnsi="宋体" w:cs="宋体" w:hint="eastAsia"/>
                <w:bCs/>
                <w:kern w:val="2"/>
                <w:lang w:val="zh-CN" w:eastAsia="zh-CN"/>
              </w:rPr>
            </w:pPr>
            <w:r>
              <w:rPr>
                <w:rFonts w:ascii="宋体" w:eastAsia="宋体" w:hAnsi="宋体" w:cs="宋体" w:hint="eastAsia"/>
                <w:bCs/>
                <w:kern w:val="2"/>
                <w:lang w:val="zh-CN" w:eastAsia="zh-CN"/>
              </w:rPr>
              <w:t>中评分标准：方案内容简单，针对性一般，可执行性一般，得1分：</w:t>
            </w:r>
          </w:p>
          <w:p>
            <w:pPr>
              <w:widowControl w:val="0"/>
              <w:jc w:val="both"/>
              <w:rPr>
                <w:rFonts w:ascii="宋体" w:eastAsia="宋体" w:hAnsi="宋体" w:cs="宋体" w:hint="eastAsia"/>
                <w:bCs/>
                <w:kern w:val="2"/>
                <w:lang w:val="zh-CN" w:eastAsia="zh-CN"/>
              </w:rPr>
            </w:pPr>
            <w:r>
              <w:rPr>
                <w:rFonts w:ascii="宋体" w:eastAsia="宋体" w:hAnsi="宋体" w:cs="宋体" w:hint="eastAsia"/>
                <w:bCs/>
                <w:kern w:val="2"/>
                <w:lang w:val="zh-CN" w:eastAsia="zh-CN"/>
              </w:rPr>
              <w:t>差评分标准：方案内容不完整，可执行性差，</w:t>
            </w:r>
            <w:r>
              <w:rPr>
                <w:rFonts w:ascii="宋体" w:eastAsia="宋体" w:hAnsi="宋体" w:cs="宋体" w:hint="eastAsia"/>
                <w:bCs/>
                <w:kern w:val="2"/>
                <w:lang w:eastAsia="zh-CN"/>
              </w:rPr>
              <w:t>不得分</w:t>
            </w:r>
            <w:r>
              <w:rPr>
                <w:rFonts w:ascii="宋体" w:eastAsia="宋体" w:hAnsi="宋体" w:cs="宋体" w:hint="eastAsia"/>
                <w:bCs/>
                <w:kern w:val="2"/>
                <w:lang w:val="zh-CN" w:eastAsia="zh-CN"/>
              </w:rPr>
              <w:t>。</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注</w:t>
            </w:r>
            <w:r>
              <w:rPr>
                <w:rFonts w:ascii="宋体" w:eastAsia="宋体" w:hAnsi="宋体" w:cs="宋体" w:hint="eastAsia"/>
                <w:bCs/>
                <w:kern w:val="2"/>
                <w:lang w:val="zh-CN" w:eastAsia="zh-CN"/>
              </w:rPr>
              <w:t>：提供项目公益性方案并加盖投标人公章，格式自拟，未按要求提供或不清晰导致无法辨认的不得分。</w:t>
            </w:r>
          </w:p>
        </w:tc>
      </w:tr>
      <w:tr>
        <w:tblPrEx>
          <w:tblW w:w="5000" w:type="pct"/>
          <w:jc w:val="center"/>
          <w:tblCellSpacing w:w="0" w:type="dxa"/>
          <w:tblLayout w:type="fixed"/>
          <w:tblCellMar>
            <w:top w:w="20" w:type="dxa"/>
            <w:left w:w="108" w:type="dxa"/>
            <w:bottom w:w="20" w:type="dxa"/>
            <w:right w:w="108" w:type="dxa"/>
          </w:tblCellMar>
        </w:tblPrEx>
        <w:trPr>
          <w:trHeight w:val="1221"/>
          <w:tblCellSpacing w:w="0" w:type="dxa"/>
          <w:jc w:val="center"/>
        </w:trPr>
        <w:tc>
          <w:tcPr>
            <w:tcW w:w="796" w:type="dxa"/>
            <w:tcBorders>
              <w:left w:val="single" w:sz="8" w:space="0" w:color="000000"/>
              <w:right w:val="single" w:sz="8" w:space="0" w:color="000000"/>
            </w:tcBorders>
          </w:tcPr>
          <w:p>
            <w:pPr>
              <w:widowControl w:val="0"/>
              <w:wordWrap w:val="0"/>
              <w:spacing w:line="440" w:lineRule="exact"/>
              <w:jc w:val="center"/>
              <w:rPr>
                <w:rFonts w:ascii="宋体" w:eastAsia="宋体" w:hAnsi="宋体" w:cs="宋体" w:hint="eastAsia"/>
                <w:b/>
                <w:bCs/>
                <w:color w:val="0000FF"/>
                <w:kern w:val="2"/>
                <w:lang w:eastAsia="zh-CN"/>
              </w:rPr>
            </w:pPr>
          </w:p>
        </w:tc>
        <w:tc>
          <w:tcPr>
            <w:tcW w:w="826"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4</w:t>
            </w:r>
          </w:p>
        </w:tc>
        <w:tc>
          <w:tcPr>
            <w:tcW w:w="1858"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质量（完成时间、安全、环保）保障措施及方案</w:t>
            </w:r>
          </w:p>
        </w:tc>
        <w:tc>
          <w:tcPr>
            <w:tcW w:w="880"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6</w:t>
            </w:r>
          </w:p>
        </w:tc>
        <w:tc>
          <w:tcPr>
            <w:tcW w:w="4712"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b/>
                <w:kern w:val="2"/>
                <w:lang w:val="zh-CN" w:eastAsia="zh-CN"/>
              </w:rPr>
            </w:pPr>
            <w:r>
              <w:rPr>
                <w:rFonts w:ascii="宋体" w:eastAsia="宋体" w:hAnsi="宋体" w:cs="宋体" w:hint="eastAsia"/>
                <w:b/>
                <w:kern w:val="2"/>
                <w:lang w:val="zh-CN" w:eastAsia="zh-CN"/>
              </w:rPr>
              <w:t>评审内容：</w:t>
            </w:r>
          </w:p>
          <w:p>
            <w:pPr>
              <w:widowControl w:val="0"/>
              <w:jc w:val="both"/>
              <w:rPr>
                <w:rFonts w:ascii="宋体" w:eastAsia="宋体" w:hAnsi="宋体" w:cs="宋体" w:hint="eastAsia"/>
                <w:bCs/>
                <w:kern w:val="2"/>
                <w:lang w:val="zh-CN" w:eastAsia="zh-CN"/>
              </w:rPr>
            </w:pPr>
            <w:r>
              <w:rPr>
                <w:rFonts w:ascii="宋体" w:eastAsia="宋体" w:hAnsi="宋体" w:cs="宋体" w:hint="eastAsia"/>
                <w:bCs/>
                <w:kern w:val="2"/>
                <w:lang w:val="zh-CN" w:eastAsia="zh-CN"/>
              </w:rPr>
              <w:t>投标人管理服务、应急反应等能力。</w:t>
            </w:r>
          </w:p>
          <w:p>
            <w:pPr>
              <w:widowControl w:val="0"/>
              <w:jc w:val="both"/>
              <w:rPr>
                <w:rFonts w:ascii="宋体" w:eastAsia="宋体" w:hAnsi="宋体" w:cs="宋体" w:hint="eastAsia"/>
                <w:bCs/>
                <w:kern w:val="2"/>
                <w:lang w:val="zh-CN" w:eastAsia="zh-CN"/>
              </w:rPr>
            </w:pPr>
            <w:r>
              <w:rPr>
                <w:rFonts w:ascii="宋体" w:eastAsia="宋体" w:hAnsi="宋体" w:cs="宋体" w:hint="eastAsia"/>
                <w:bCs/>
                <w:kern w:val="2"/>
                <w:lang w:val="zh-CN" w:eastAsia="zh-CN"/>
              </w:rPr>
              <w:t>1.具有项目管理制度、档案管理；</w:t>
            </w:r>
          </w:p>
          <w:p>
            <w:pPr>
              <w:widowControl w:val="0"/>
              <w:jc w:val="both"/>
              <w:rPr>
                <w:rFonts w:ascii="宋体" w:eastAsia="宋体" w:hAnsi="宋体" w:cs="宋体" w:hint="eastAsia"/>
                <w:bCs/>
                <w:kern w:val="2"/>
                <w:lang w:val="zh-CN" w:eastAsia="zh-CN"/>
              </w:rPr>
            </w:pPr>
            <w:r>
              <w:rPr>
                <w:rFonts w:ascii="宋体" w:eastAsia="宋体" w:hAnsi="宋体" w:cs="宋体" w:hint="eastAsia"/>
                <w:bCs/>
                <w:kern w:val="2"/>
                <w:lang w:val="zh-CN" w:eastAsia="zh-CN"/>
              </w:rPr>
              <w:t>2.具有服务质量保障及投诉处理方案；</w:t>
            </w:r>
          </w:p>
          <w:p>
            <w:pPr>
              <w:widowControl w:val="0"/>
              <w:jc w:val="both"/>
              <w:rPr>
                <w:rFonts w:ascii="宋体" w:eastAsia="宋体" w:hAnsi="宋体" w:cs="宋体" w:hint="eastAsia"/>
                <w:bCs/>
                <w:kern w:val="2"/>
                <w:lang w:val="zh-CN" w:eastAsia="zh-CN"/>
              </w:rPr>
            </w:pPr>
            <w:r>
              <w:rPr>
                <w:rFonts w:ascii="宋体" w:eastAsia="宋体" w:hAnsi="宋体" w:cs="宋体" w:hint="eastAsia"/>
                <w:bCs/>
                <w:kern w:val="2"/>
                <w:lang w:val="zh-CN" w:eastAsia="zh-CN"/>
              </w:rPr>
              <w:t>3.应急预案。</w:t>
            </w:r>
          </w:p>
          <w:p>
            <w:pPr>
              <w:widowControl w:val="0"/>
              <w:jc w:val="both"/>
              <w:rPr>
                <w:rFonts w:ascii="宋体" w:eastAsia="宋体" w:hAnsi="宋体" w:cs="宋体" w:hint="eastAsia"/>
                <w:b/>
                <w:kern w:val="2"/>
                <w:lang w:val="zh-CN" w:eastAsia="zh-CN"/>
              </w:rPr>
            </w:pPr>
          </w:p>
          <w:p>
            <w:pPr>
              <w:widowControl w:val="0"/>
              <w:jc w:val="both"/>
              <w:rPr>
                <w:rFonts w:ascii="宋体" w:eastAsia="宋体" w:hAnsi="宋体" w:cs="宋体" w:hint="eastAsia"/>
                <w:b/>
                <w:kern w:val="2"/>
                <w:lang w:val="zh-CN" w:eastAsia="zh-CN"/>
              </w:rPr>
            </w:pPr>
            <w:r>
              <w:rPr>
                <w:rFonts w:ascii="宋体" w:eastAsia="宋体" w:hAnsi="宋体" w:cs="宋体" w:hint="eastAsia"/>
                <w:b/>
                <w:kern w:val="2"/>
                <w:lang w:val="zh-CN" w:eastAsia="zh-CN"/>
              </w:rPr>
              <w:t>评审依据：</w:t>
            </w:r>
          </w:p>
          <w:p>
            <w:pPr>
              <w:widowControl w:val="0"/>
              <w:jc w:val="both"/>
              <w:rPr>
                <w:rFonts w:ascii="宋体" w:eastAsia="宋体" w:hAnsi="宋体" w:cs="宋体" w:hint="eastAsia"/>
                <w:bCs/>
                <w:kern w:val="2"/>
                <w:lang w:val="zh-CN" w:eastAsia="zh-CN"/>
              </w:rPr>
            </w:pPr>
            <w:r>
              <w:rPr>
                <w:rFonts w:ascii="宋体" w:eastAsia="宋体" w:hAnsi="宋体" w:cs="宋体" w:hint="eastAsia"/>
                <w:bCs/>
                <w:kern w:val="2"/>
                <w:lang w:eastAsia="zh-CN"/>
              </w:rPr>
              <w:t>1、</w:t>
            </w:r>
            <w:r>
              <w:rPr>
                <w:rFonts w:ascii="宋体" w:eastAsia="宋体" w:hAnsi="宋体" w:cs="宋体" w:hint="eastAsia"/>
                <w:bCs/>
                <w:kern w:val="2"/>
                <w:lang w:val="zh-CN" w:eastAsia="zh-CN"/>
              </w:rPr>
              <w:t>满足</w:t>
            </w:r>
            <w:r>
              <w:rPr>
                <w:rFonts w:ascii="宋体" w:eastAsia="宋体" w:hAnsi="宋体" w:cs="宋体" w:hint="eastAsia"/>
                <w:bCs/>
                <w:kern w:val="2"/>
                <w:lang w:eastAsia="zh-CN"/>
              </w:rPr>
              <w:t>以上</w:t>
            </w:r>
            <w:r>
              <w:rPr>
                <w:rFonts w:ascii="宋体" w:eastAsia="宋体" w:hAnsi="宋体" w:cs="宋体" w:hint="eastAsia"/>
                <w:bCs/>
                <w:kern w:val="2"/>
                <w:lang w:val="zh-CN" w:eastAsia="zh-CN"/>
              </w:rPr>
              <w:t>三点得3分，满足</w:t>
            </w:r>
            <w:r>
              <w:rPr>
                <w:rFonts w:ascii="宋体" w:eastAsia="宋体" w:hAnsi="宋体" w:cs="宋体" w:hint="eastAsia"/>
                <w:bCs/>
                <w:kern w:val="2"/>
                <w:lang w:eastAsia="zh-CN"/>
              </w:rPr>
              <w:t>以上任意</w:t>
            </w:r>
            <w:r>
              <w:rPr>
                <w:rFonts w:ascii="宋体" w:eastAsia="宋体" w:hAnsi="宋体" w:cs="宋体" w:hint="eastAsia"/>
                <w:bCs/>
                <w:kern w:val="2"/>
                <w:lang w:val="zh-CN" w:eastAsia="zh-CN"/>
              </w:rPr>
              <w:t>两点得2分，</w:t>
            </w:r>
            <w:r>
              <w:rPr>
                <w:rFonts w:ascii="宋体" w:eastAsia="宋体" w:hAnsi="宋体" w:cs="宋体" w:hint="eastAsia"/>
                <w:bCs/>
                <w:kern w:val="2"/>
                <w:lang w:eastAsia="zh-CN"/>
              </w:rPr>
              <w:t>仅</w:t>
            </w:r>
            <w:r>
              <w:rPr>
                <w:rFonts w:ascii="宋体" w:eastAsia="宋体" w:hAnsi="宋体" w:cs="宋体" w:hint="eastAsia"/>
                <w:bCs/>
                <w:kern w:val="2"/>
                <w:lang w:val="zh-CN" w:eastAsia="zh-CN"/>
              </w:rPr>
              <w:t>满足</w:t>
            </w:r>
            <w:r>
              <w:rPr>
                <w:rFonts w:ascii="宋体" w:eastAsia="宋体" w:hAnsi="宋体" w:cs="宋体" w:hint="eastAsia"/>
                <w:bCs/>
                <w:kern w:val="2"/>
                <w:lang w:eastAsia="zh-CN"/>
              </w:rPr>
              <w:t>以上任意</w:t>
            </w:r>
            <w:r>
              <w:rPr>
                <w:rFonts w:ascii="宋体" w:eastAsia="宋体" w:hAnsi="宋体" w:cs="宋体" w:hint="eastAsia"/>
                <w:bCs/>
                <w:kern w:val="2"/>
                <w:lang w:val="zh-CN" w:eastAsia="zh-CN"/>
              </w:rPr>
              <w:t>一点得1分，其他情况不得分。</w:t>
            </w:r>
          </w:p>
          <w:p>
            <w:pPr>
              <w:widowControl w:val="0"/>
              <w:jc w:val="both"/>
              <w:rPr>
                <w:rFonts w:ascii="宋体" w:eastAsia="宋体" w:hAnsi="宋体" w:cs="宋体" w:hint="eastAsia"/>
                <w:bCs/>
                <w:kern w:val="2"/>
                <w:lang w:val="zh-CN" w:eastAsia="zh-CN"/>
              </w:rPr>
            </w:pPr>
            <w:r>
              <w:rPr>
                <w:rFonts w:ascii="宋体" w:eastAsia="宋体" w:hAnsi="宋体" w:cs="宋体" w:hint="eastAsia"/>
                <w:bCs/>
                <w:kern w:val="2"/>
                <w:lang w:eastAsia="zh-CN"/>
              </w:rPr>
              <w:t>2、在第1项的基础上</w:t>
            </w:r>
            <w:r>
              <w:rPr>
                <w:rFonts w:ascii="宋体" w:eastAsia="宋体" w:hAnsi="宋体" w:cs="宋体" w:hint="eastAsia"/>
                <w:bCs/>
                <w:kern w:val="2"/>
                <w:lang w:val="zh-CN" w:eastAsia="zh-CN"/>
              </w:rPr>
              <w:t>，专家根据各供应商的具体响应内容进一步评审：</w:t>
            </w:r>
          </w:p>
          <w:p>
            <w:pPr>
              <w:widowControl w:val="0"/>
              <w:jc w:val="both"/>
              <w:rPr>
                <w:rFonts w:ascii="宋体" w:eastAsia="宋体" w:hAnsi="宋体" w:cs="宋体" w:hint="eastAsia"/>
                <w:bCs/>
                <w:kern w:val="2"/>
                <w:lang w:val="zh-CN" w:eastAsia="zh-CN"/>
              </w:rPr>
            </w:pPr>
            <w:r>
              <w:rPr>
                <w:rFonts w:ascii="宋体" w:eastAsia="宋体" w:hAnsi="宋体" w:cs="宋体" w:hint="eastAsia"/>
                <w:bCs/>
                <w:kern w:val="2"/>
                <w:lang w:val="zh-CN" w:eastAsia="zh-CN"/>
              </w:rPr>
              <w:t>评审为优：措施内容针对性强，全面具体，且科学合理可操作性强的，得3分；</w:t>
            </w:r>
          </w:p>
          <w:p>
            <w:pPr>
              <w:widowControl w:val="0"/>
              <w:jc w:val="both"/>
              <w:rPr>
                <w:rFonts w:ascii="宋体" w:eastAsia="宋体" w:hAnsi="宋体" w:cs="宋体" w:hint="eastAsia"/>
                <w:bCs/>
                <w:kern w:val="2"/>
                <w:lang w:val="zh-CN" w:eastAsia="zh-CN"/>
              </w:rPr>
            </w:pPr>
            <w:r>
              <w:rPr>
                <w:rFonts w:ascii="宋体" w:eastAsia="宋体" w:hAnsi="宋体" w:cs="宋体" w:hint="eastAsia"/>
                <w:bCs/>
                <w:kern w:val="2"/>
                <w:lang w:val="zh-CN" w:eastAsia="zh-CN"/>
              </w:rPr>
              <w:t>评审为良：内容措施针对性较强，较全面具体，科学合理可操作性较好的，得2分；</w:t>
            </w:r>
          </w:p>
          <w:p>
            <w:pPr>
              <w:widowControl w:val="0"/>
              <w:jc w:val="both"/>
              <w:rPr>
                <w:rFonts w:ascii="宋体" w:eastAsia="宋体" w:hAnsi="宋体" w:cs="宋体" w:hint="eastAsia"/>
                <w:bCs/>
                <w:kern w:val="2"/>
                <w:lang w:val="zh-CN" w:eastAsia="zh-CN"/>
              </w:rPr>
            </w:pPr>
            <w:r>
              <w:rPr>
                <w:rFonts w:ascii="宋体" w:eastAsia="宋体" w:hAnsi="宋体" w:cs="宋体" w:hint="eastAsia"/>
                <w:bCs/>
                <w:kern w:val="2"/>
                <w:lang w:val="zh-CN" w:eastAsia="zh-CN"/>
              </w:rPr>
              <w:t>评审为中，针对性一般，合理及可操作性一般的，得1分；</w:t>
            </w:r>
          </w:p>
          <w:p>
            <w:pPr>
              <w:widowControl w:val="0"/>
              <w:jc w:val="both"/>
              <w:rPr>
                <w:rFonts w:ascii="宋体" w:eastAsia="宋体" w:hAnsi="宋体" w:cs="宋体" w:hint="eastAsia"/>
                <w:bCs/>
                <w:kern w:val="2"/>
                <w:lang w:val="zh-CN" w:eastAsia="zh-CN"/>
              </w:rPr>
            </w:pPr>
            <w:r>
              <w:rPr>
                <w:rFonts w:ascii="宋体" w:eastAsia="宋体" w:hAnsi="宋体" w:cs="宋体" w:hint="eastAsia"/>
                <w:bCs/>
                <w:kern w:val="2"/>
                <w:lang w:val="zh-CN" w:eastAsia="zh-CN"/>
              </w:rPr>
              <w:t>评价为差，不得分。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注</w:t>
            </w:r>
            <w:r>
              <w:rPr>
                <w:rFonts w:ascii="宋体" w:eastAsia="宋体" w:hAnsi="宋体" w:cs="宋体" w:hint="eastAsia"/>
                <w:bCs/>
                <w:kern w:val="2"/>
                <w:lang w:val="zh-CN" w:eastAsia="zh-CN"/>
              </w:rPr>
              <w:t>：提供项目质量（完成时间、安全、环保）保障措施及方案并加盖投标人公章，格式自拟，未按要求提供或不清晰导致无法辨认的不得分。</w:t>
            </w:r>
          </w:p>
        </w:tc>
      </w:tr>
      <w:tr>
        <w:tblPrEx>
          <w:tblW w:w="5000" w:type="pct"/>
          <w:jc w:val="center"/>
          <w:tblCellSpacing w:w="0" w:type="dxa"/>
          <w:tblLayout w:type="fixed"/>
          <w:tblCellMar>
            <w:top w:w="20" w:type="dxa"/>
            <w:left w:w="108" w:type="dxa"/>
            <w:bottom w:w="20" w:type="dxa"/>
            <w:right w:w="108" w:type="dxa"/>
          </w:tblCellMar>
        </w:tblPrEx>
        <w:trPr>
          <w:trHeight w:val="1221"/>
          <w:tblCellSpacing w:w="0" w:type="dxa"/>
          <w:jc w:val="center"/>
        </w:trPr>
        <w:tc>
          <w:tcPr>
            <w:tcW w:w="796" w:type="dxa"/>
            <w:tcBorders>
              <w:left w:val="single" w:sz="8" w:space="0" w:color="000000"/>
              <w:right w:val="single" w:sz="8" w:space="0" w:color="000000"/>
            </w:tcBorders>
          </w:tcPr>
          <w:p>
            <w:pPr>
              <w:widowControl w:val="0"/>
              <w:wordWrap w:val="0"/>
              <w:spacing w:line="440" w:lineRule="exact"/>
              <w:jc w:val="center"/>
              <w:rPr>
                <w:rFonts w:ascii="宋体" w:eastAsia="宋体" w:hAnsi="宋体" w:cs="宋体" w:hint="eastAsia"/>
                <w:b/>
                <w:bCs/>
                <w:color w:val="0000FF"/>
                <w:kern w:val="2"/>
                <w:lang w:eastAsia="zh-CN"/>
              </w:rPr>
            </w:pPr>
          </w:p>
        </w:tc>
        <w:tc>
          <w:tcPr>
            <w:tcW w:w="826"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5</w:t>
            </w:r>
          </w:p>
        </w:tc>
        <w:tc>
          <w:tcPr>
            <w:tcW w:w="1858"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服务承诺</w:t>
            </w:r>
          </w:p>
        </w:tc>
        <w:tc>
          <w:tcPr>
            <w:tcW w:w="880"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4</w:t>
            </w:r>
          </w:p>
        </w:tc>
        <w:tc>
          <w:tcPr>
            <w:tcW w:w="4712"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b/>
                <w:kern w:val="2"/>
                <w:lang w:eastAsia="zh-CN"/>
              </w:rPr>
            </w:pPr>
            <w:r>
              <w:rPr>
                <w:rFonts w:ascii="宋体" w:eastAsia="宋体" w:hAnsi="宋体" w:cs="宋体" w:hint="eastAsia"/>
                <w:b/>
                <w:kern w:val="2"/>
                <w:lang w:eastAsia="zh-CN"/>
              </w:rPr>
              <w:t>评审内容：</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考察投标人的服务承诺得分。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1.服务承诺书；</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2.公共文化服务活动承诺。</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3.公益服务承诺。</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4.保留政府使用权利承诺。</w:t>
            </w:r>
          </w:p>
          <w:p>
            <w:pPr>
              <w:widowControl w:val="0"/>
              <w:jc w:val="both"/>
              <w:rPr>
                <w:rFonts w:ascii="宋体" w:eastAsia="宋体" w:hAnsi="宋体" w:cs="宋体" w:hint="eastAsia"/>
                <w:b/>
                <w:kern w:val="2"/>
                <w:lang w:eastAsia="zh-CN"/>
              </w:rPr>
            </w:pPr>
          </w:p>
          <w:p>
            <w:pPr>
              <w:widowControl w:val="0"/>
              <w:jc w:val="both"/>
              <w:rPr>
                <w:rFonts w:ascii="宋体" w:eastAsia="宋体" w:hAnsi="宋体" w:cs="宋体" w:hint="eastAsia"/>
                <w:b/>
                <w:kern w:val="2"/>
                <w:lang w:eastAsia="zh-CN"/>
              </w:rPr>
            </w:pPr>
            <w:r>
              <w:rPr>
                <w:rFonts w:ascii="宋体" w:eastAsia="宋体" w:hAnsi="宋体" w:cs="宋体" w:hint="eastAsia"/>
                <w:b/>
                <w:kern w:val="2"/>
                <w:lang w:eastAsia="zh-CN"/>
              </w:rPr>
              <w:t>评审依据：</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1、满足以上4点得4分，满足以上任意三点得3分，满足以上任意两点得2分，仅满足以上任意一点得1分，其他情况不得分。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备注：以上资料均要求提供扫描件，原件备查，评分中出现无证明资料或证书过期或专家无法凭所提供资料判断是否得分的情况，一律作不得分处理。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rHeight w:val="90"/>
          <w:tblCellSpacing w:w="0" w:type="dxa"/>
          <w:jc w:val="center"/>
        </w:trPr>
        <w:tc>
          <w:tcPr>
            <w:tcW w:w="796" w:type="dxa"/>
            <w:tcBorders>
              <w:left w:val="single" w:sz="8" w:space="0" w:color="000000"/>
              <w:right w:val="single" w:sz="8" w:space="0" w:color="000000"/>
            </w:tcBorders>
          </w:tcPr>
          <w:p>
            <w:pPr>
              <w:widowControl w:val="0"/>
              <w:wordWrap w:val="0"/>
              <w:spacing w:line="440" w:lineRule="exact"/>
              <w:jc w:val="center"/>
              <w:rPr>
                <w:rFonts w:ascii="宋体" w:eastAsia="宋体" w:hAnsi="宋体" w:cs="宋体" w:hint="eastAsia"/>
                <w:b/>
                <w:bCs/>
                <w:color w:val="0000FF"/>
                <w:kern w:val="2"/>
                <w:lang w:eastAsia="zh-CN"/>
              </w:rPr>
            </w:pPr>
          </w:p>
        </w:tc>
        <w:tc>
          <w:tcPr>
            <w:tcW w:w="826"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6</w:t>
            </w:r>
          </w:p>
        </w:tc>
        <w:tc>
          <w:tcPr>
            <w:tcW w:w="1858"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违约承诺</w:t>
            </w:r>
          </w:p>
        </w:tc>
        <w:tc>
          <w:tcPr>
            <w:tcW w:w="880"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3</w:t>
            </w:r>
          </w:p>
        </w:tc>
        <w:tc>
          <w:tcPr>
            <w:tcW w:w="4712"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b/>
                <w:kern w:val="2"/>
                <w:lang w:eastAsia="zh-CN"/>
              </w:rPr>
            </w:pPr>
            <w:r>
              <w:rPr>
                <w:rFonts w:ascii="宋体" w:eastAsia="宋体" w:hAnsi="宋体" w:cs="宋体" w:hint="eastAsia"/>
                <w:b/>
                <w:kern w:val="2"/>
                <w:lang w:eastAsia="zh-CN"/>
              </w:rPr>
              <w:t>评审内容：</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投标人承诺以下全部三项的得3分，否则不得分。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1、公共文化设施配置严格按照招标文件及投标承诺配置；</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2、文化场馆开放服务质量达到招标文件要求；</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3.对未能达到管理要求承担相应管理责任。</w:t>
            </w:r>
          </w:p>
          <w:p>
            <w:pPr>
              <w:widowControl w:val="0"/>
              <w:jc w:val="both"/>
              <w:rPr>
                <w:rFonts w:ascii="宋体" w:eastAsia="宋体" w:hAnsi="宋体" w:cs="宋体" w:hint="eastAsia"/>
                <w:b/>
                <w:kern w:val="2"/>
                <w:lang w:eastAsia="zh-CN"/>
              </w:rPr>
            </w:pPr>
          </w:p>
          <w:p>
            <w:pPr>
              <w:widowControl w:val="0"/>
              <w:jc w:val="both"/>
              <w:rPr>
                <w:rFonts w:ascii="宋体" w:eastAsia="宋体" w:hAnsi="宋体" w:cs="宋体" w:hint="eastAsia"/>
                <w:b/>
                <w:kern w:val="2"/>
                <w:lang w:eastAsia="zh-CN"/>
              </w:rPr>
            </w:pPr>
            <w:r>
              <w:rPr>
                <w:rFonts w:ascii="宋体" w:eastAsia="宋体" w:hAnsi="宋体" w:cs="宋体" w:hint="eastAsia"/>
                <w:b/>
                <w:kern w:val="2"/>
                <w:lang w:eastAsia="zh-CN"/>
              </w:rPr>
              <w:t>评审依据：</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要求提供承诺函（格式自拟）作为得分依据。</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备注：以上资料均要求提供扫描件，原件备查，评分中出现无证明资料或证书过期或专家无法凭所提供资料判断是否得分的情况，一律作不得分处理。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96" w:type="dxa"/>
            <w:vMerge w:val="restart"/>
            <w:tcBorders>
              <w:top w:val="single" w:sz="8" w:space="0" w:color="000000"/>
              <w:left w:val="single" w:sz="8" w:space="0" w:color="000000"/>
              <w:bottom w:val="single" w:sz="8" w:space="0" w:color="000000"/>
              <w:right w:val="single" w:sz="8" w:space="0" w:color="000000"/>
            </w:tcBorders>
          </w:tcPr>
          <w:p>
            <w:pPr>
              <w:widowControl w:val="0"/>
              <w:wordWrap w:val="0"/>
              <w:spacing w:line="440" w:lineRule="exact"/>
              <w:jc w:val="center"/>
              <w:rPr>
                <w:rFonts w:ascii="宋体" w:eastAsia="宋体" w:hAnsi="宋体" w:cs="宋体" w:hint="eastAsia"/>
                <w:b/>
                <w:bCs/>
                <w:color w:val="0000FF"/>
                <w:kern w:val="2"/>
                <w:lang w:eastAsia="zh-CN"/>
              </w:rPr>
            </w:pPr>
            <w:r>
              <w:rPr>
                <w:rFonts w:ascii="宋体" w:eastAsia="宋体" w:hAnsi="宋体" w:cs="宋体" w:hint="eastAsia"/>
                <w:b/>
                <w:bCs/>
                <w:color w:val="0000FF"/>
                <w:kern w:val="2"/>
                <w:lang w:eastAsia="zh-CN"/>
              </w:rPr>
              <w:t>2</w:t>
            </w:r>
          </w:p>
        </w:tc>
        <w:tc>
          <w:tcPr>
            <w:tcW w:w="3564" w:type="dxa"/>
            <w:gridSpan w:val="3"/>
            <w:tcBorders>
              <w:top w:val="single" w:sz="8" w:space="0" w:color="000000"/>
              <w:left w:val="single" w:sz="8" w:space="0" w:color="000000"/>
              <w:bottom w:val="single" w:sz="8" w:space="0" w:color="000000"/>
              <w:right w:val="single" w:sz="8" w:space="0" w:color="000000"/>
            </w:tcBorders>
          </w:tcPr>
          <w:p>
            <w:pPr>
              <w:widowControl w:val="0"/>
              <w:wordWrap w:val="0"/>
              <w:spacing w:line="440" w:lineRule="exact"/>
              <w:jc w:val="center"/>
              <w:rPr>
                <w:rFonts w:ascii="宋体" w:eastAsia="宋体" w:hAnsi="宋体" w:cs="宋体" w:hint="eastAsia"/>
                <w:b/>
                <w:bCs/>
                <w:color w:val="0000FF"/>
                <w:kern w:val="2"/>
                <w:lang w:eastAsia="zh-CN"/>
              </w:rPr>
            </w:pPr>
            <w:r>
              <w:rPr>
                <w:rFonts w:ascii="宋体" w:eastAsia="宋体" w:hAnsi="宋体" w:cs="宋体" w:hint="eastAsia"/>
                <w:b/>
                <w:bCs/>
                <w:color w:val="0000FF"/>
                <w:kern w:val="2"/>
                <w:lang w:eastAsia="zh-CN"/>
              </w:rPr>
              <w:t>综合实力</w:t>
            </w:r>
          </w:p>
        </w:tc>
        <w:tc>
          <w:tcPr>
            <w:tcW w:w="4712" w:type="dxa"/>
            <w:tcBorders>
              <w:top w:val="single" w:sz="8" w:space="0" w:color="000000"/>
              <w:left w:val="single" w:sz="8" w:space="0" w:color="000000"/>
              <w:bottom w:val="single" w:sz="8" w:space="0" w:color="000000"/>
              <w:right w:val="single" w:sz="8" w:space="0" w:color="000000"/>
            </w:tcBorders>
          </w:tcPr>
          <w:p>
            <w:pPr>
              <w:widowControl w:val="0"/>
              <w:wordWrap w:val="0"/>
              <w:spacing w:line="440" w:lineRule="exact"/>
              <w:jc w:val="center"/>
              <w:rPr>
                <w:rFonts w:ascii="宋体" w:eastAsia="宋体" w:hAnsi="宋体" w:cs="宋体" w:hint="eastAsia"/>
                <w:b/>
                <w:bCs/>
                <w:color w:val="0000FF"/>
                <w:kern w:val="2"/>
                <w:lang w:eastAsia="zh-CN"/>
              </w:rPr>
            </w:pPr>
            <w:r>
              <w:rPr>
                <w:rFonts w:ascii="宋体" w:eastAsia="宋体" w:hAnsi="宋体" w:cs="宋体" w:hint="eastAsia"/>
                <w:b/>
                <w:bCs/>
                <w:color w:val="0000FF"/>
                <w:kern w:val="2"/>
                <w:lang w:eastAsia="zh-CN"/>
              </w:rPr>
              <w:t>55</w:t>
            </w:r>
          </w:p>
        </w:tc>
      </w:tr>
      <w:tr>
        <w:tblPrEx>
          <w:tblW w:w="5000" w:type="pct"/>
          <w:jc w:val="center"/>
          <w:tblCellSpacing w:w="0" w:type="dxa"/>
          <w:tblLayout w:type="fixed"/>
          <w:tblCellMar>
            <w:top w:w="20" w:type="dxa"/>
            <w:left w:w="108" w:type="dxa"/>
            <w:bottom w:w="20" w:type="dxa"/>
            <w:right w:w="108" w:type="dxa"/>
          </w:tblCellMar>
        </w:tblPrEx>
        <w:trPr>
          <w:trHeight w:val="90"/>
          <w:tblCellSpacing w:w="0" w:type="dxa"/>
          <w:jc w:val="center"/>
        </w:trPr>
        <w:tc>
          <w:tcPr>
            <w:tcW w:w="796" w:type="dxa"/>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440" w:lineRule="exact"/>
              <w:jc w:val="both"/>
              <w:rPr>
                <w:rFonts w:ascii="宋体" w:eastAsia="宋体" w:hAnsi="宋体" w:cs="宋体" w:hint="eastAsia"/>
                <w:b/>
                <w:bCs/>
                <w:color w:val="0000FF"/>
                <w:kern w:val="2"/>
                <w:lang w:eastAsia="zh-CN"/>
              </w:rPr>
            </w:pPr>
          </w:p>
        </w:tc>
        <w:tc>
          <w:tcPr>
            <w:tcW w:w="826"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spacing w:line="440" w:lineRule="exact"/>
              <w:jc w:val="center"/>
              <w:rPr>
                <w:rFonts w:ascii="宋体" w:eastAsia="宋体" w:hAnsi="宋体" w:cs="宋体" w:hint="eastAsia"/>
                <w:kern w:val="2"/>
                <w:lang w:eastAsia="zh-CN"/>
              </w:rPr>
            </w:pPr>
            <w:r>
              <w:rPr>
                <w:rFonts w:ascii="宋体" w:eastAsia="宋体" w:hAnsi="宋体" w:cs="宋体" w:hint="eastAsia"/>
                <w:kern w:val="2"/>
                <w:lang w:eastAsia="zh-CN"/>
              </w:rPr>
              <w:t>序号</w:t>
            </w:r>
          </w:p>
        </w:tc>
        <w:tc>
          <w:tcPr>
            <w:tcW w:w="185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spacing w:line="440" w:lineRule="exact"/>
              <w:jc w:val="center"/>
              <w:rPr>
                <w:rFonts w:ascii="宋体" w:eastAsia="宋体" w:hAnsi="宋体" w:cs="宋体" w:hint="eastAsia"/>
                <w:kern w:val="2"/>
                <w:lang w:eastAsia="zh-CN"/>
              </w:rPr>
            </w:pPr>
            <w:r>
              <w:rPr>
                <w:rFonts w:ascii="宋体" w:eastAsia="宋体" w:hAnsi="宋体" w:cs="宋体" w:hint="eastAsia"/>
                <w:kern w:val="2"/>
                <w:lang w:eastAsia="zh-CN"/>
              </w:rPr>
              <w:t>评分因素</w:t>
            </w:r>
          </w:p>
        </w:tc>
        <w:tc>
          <w:tcPr>
            <w:tcW w:w="880"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spacing w:line="440" w:lineRule="exact"/>
              <w:jc w:val="center"/>
              <w:rPr>
                <w:rFonts w:ascii="宋体" w:eastAsia="宋体" w:hAnsi="宋体" w:cs="宋体" w:hint="eastAsia"/>
                <w:kern w:val="2"/>
                <w:lang w:eastAsia="zh-CN"/>
              </w:rPr>
            </w:pPr>
            <w:r>
              <w:rPr>
                <w:rFonts w:ascii="宋体" w:eastAsia="宋体" w:hAnsi="宋体" w:cs="宋体" w:hint="eastAsia"/>
                <w:b/>
                <w:bCs/>
                <w:kern w:val="2"/>
                <w:lang w:eastAsia="zh-CN"/>
              </w:rPr>
              <w:t>分值</w:t>
            </w:r>
          </w:p>
        </w:tc>
        <w:tc>
          <w:tcPr>
            <w:tcW w:w="4712"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spacing w:line="440" w:lineRule="exact"/>
              <w:jc w:val="center"/>
              <w:rPr>
                <w:rFonts w:ascii="宋体" w:eastAsia="宋体" w:hAnsi="宋体" w:cs="宋体" w:hint="eastAsia"/>
                <w:kern w:val="2"/>
                <w:lang w:eastAsia="zh-CN"/>
              </w:rPr>
            </w:pPr>
            <w:r>
              <w:rPr>
                <w:rFonts w:ascii="宋体" w:eastAsia="宋体" w:hAnsi="宋体" w:cs="宋体" w:hint="eastAsia"/>
                <w:kern w:val="2"/>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rHeight w:val="833"/>
          <w:tblCellSpacing w:w="0" w:type="dxa"/>
          <w:jc w:val="center"/>
        </w:trPr>
        <w:tc>
          <w:tcPr>
            <w:tcW w:w="796" w:type="dxa"/>
            <w:vMerge/>
            <w:tcBorders>
              <w:top w:val="single" w:sz="8" w:space="0" w:color="000000"/>
              <w:left w:val="single" w:sz="8" w:space="0" w:color="000000"/>
              <w:bottom w:val="single" w:sz="8" w:space="0" w:color="000000"/>
              <w:right w:val="single" w:sz="8" w:space="0" w:color="000000"/>
            </w:tcBorders>
            <w:vAlign w:val="center"/>
          </w:tcPr>
          <w:p>
            <w:pPr>
              <w:widowControl w:val="0"/>
              <w:spacing w:line="440" w:lineRule="exact"/>
              <w:jc w:val="both"/>
              <w:rPr>
                <w:rFonts w:ascii="宋体" w:eastAsia="宋体" w:hAnsi="宋体" w:cs="宋体" w:hint="eastAsia"/>
                <w:b/>
                <w:bCs/>
                <w:color w:val="0000FF"/>
                <w:kern w:val="2"/>
                <w:lang w:eastAsia="zh-CN"/>
              </w:rPr>
            </w:pPr>
          </w:p>
        </w:tc>
        <w:tc>
          <w:tcPr>
            <w:tcW w:w="826" w:type="dxa"/>
            <w:tcBorders>
              <w:top w:val="single" w:sz="8" w:space="0" w:color="000000"/>
              <w:left w:val="single" w:sz="8" w:space="0" w:color="000000"/>
              <w:right w:val="single" w:sz="8" w:space="0" w:color="000000"/>
            </w:tcBorders>
          </w:tcPr>
          <w:p>
            <w:pPr>
              <w:widowControl w:val="0"/>
              <w:jc w:val="center"/>
              <w:rPr>
                <w:rFonts w:ascii="宋体" w:eastAsia="宋体" w:hAnsi="宋体" w:cs="宋体" w:hint="eastAsia"/>
                <w:bCs/>
                <w:kern w:val="2"/>
                <w:lang w:eastAsia="zh-CN"/>
              </w:rPr>
            </w:pPr>
          </w:p>
          <w:p>
            <w:pPr>
              <w:widowControl w:val="0"/>
              <w:jc w:val="center"/>
              <w:rPr>
                <w:rFonts w:ascii="宋体" w:eastAsia="宋体" w:hAnsi="宋体" w:cs="宋体" w:hint="eastAsia"/>
                <w:bCs/>
                <w:kern w:val="2"/>
                <w:lang w:eastAsia="zh-CN"/>
              </w:rPr>
            </w:pPr>
          </w:p>
          <w:p>
            <w:pPr>
              <w:widowControl w:val="0"/>
              <w:jc w:val="center"/>
              <w:rPr>
                <w:rFonts w:ascii="宋体" w:eastAsia="宋体" w:hAnsi="宋体" w:cs="宋体" w:hint="eastAsia"/>
                <w:bCs/>
                <w:kern w:val="2"/>
                <w:lang w:eastAsia="zh-CN"/>
              </w:rPr>
            </w:pPr>
          </w:p>
          <w:p>
            <w:pPr>
              <w:widowControl w:val="0"/>
              <w:jc w:val="center"/>
              <w:rPr>
                <w:rFonts w:ascii="宋体" w:eastAsia="宋体" w:hAnsi="宋体" w:cs="宋体" w:hint="eastAsia"/>
                <w:bCs/>
                <w:kern w:val="2"/>
                <w:lang w:eastAsia="zh-CN"/>
              </w:rPr>
            </w:pPr>
          </w:p>
          <w:p>
            <w:pPr>
              <w:widowControl w:val="0"/>
              <w:jc w:val="center"/>
              <w:rPr>
                <w:rFonts w:ascii="宋体" w:eastAsia="宋体" w:hAnsi="宋体" w:cs="宋体" w:hint="eastAsia"/>
                <w:bCs/>
                <w:kern w:val="2"/>
                <w:lang w:eastAsia="zh-CN"/>
              </w:rPr>
            </w:pPr>
          </w:p>
          <w:p>
            <w:pPr>
              <w:widowControl w:val="0"/>
              <w:jc w:val="center"/>
              <w:rPr>
                <w:rFonts w:ascii="宋体" w:eastAsia="宋体" w:hAnsi="宋体" w:cs="宋体" w:hint="eastAsia"/>
                <w:bCs/>
                <w:kern w:val="2"/>
                <w:lang w:eastAsia="zh-CN"/>
              </w:rPr>
            </w:pPr>
          </w:p>
          <w:p>
            <w:pPr>
              <w:widowControl w:val="0"/>
              <w:jc w:val="center"/>
              <w:rPr>
                <w:rFonts w:ascii="宋体" w:eastAsia="宋体" w:hAnsi="宋体" w:cs="宋体" w:hint="eastAsia"/>
                <w:bCs/>
                <w:kern w:val="2"/>
                <w:lang w:eastAsia="zh-CN"/>
              </w:rPr>
            </w:pPr>
          </w:p>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1</w:t>
            </w:r>
          </w:p>
        </w:tc>
        <w:tc>
          <w:tcPr>
            <w:tcW w:w="1858" w:type="dxa"/>
            <w:tcBorders>
              <w:top w:val="single" w:sz="8" w:space="0" w:color="000000"/>
              <w:left w:val="single" w:sz="8" w:space="0" w:color="000000"/>
              <w:right w:val="single" w:sz="8" w:space="0" w:color="000000"/>
            </w:tcBorders>
          </w:tcPr>
          <w:p>
            <w:pPr>
              <w:widowControl w:val="0"/>
              <w:jc w:val="center"/>
              <w:rPr>
                <w:rFonts w:ascii="宋体" w:eastAsia="宋体" w:hAnsi="宋体" w:cs="宋体" w:hint="eastAsia"/>
                <w:bCs/>
                <w:kern w:val="2"/>
                <w:lang w:eastAsia="zh-CN"/>
              </w:rPr>
            </w:pPr>
          </w:p>
          <w:p>
            <w:pPr>
              <w:widowControl w:val="0"/>
              <w:jc w:val="center"/>
              <w:rPr>
                <w:rFonts w:ascii="宋体" w:eastAsia="宋体" w:hAnsi="宋体" w:cs="宋体" w:hint="eastAsia"/>
                <w:bCs/>
                <w:kern w:val="2"/>
                <w:lang w:eastAsia="zh-CN"/>
              </w:rPr>
            </w:pPr>
          </w:p>
          <w:p>
            <w:pPr>
              <w:widowControl w:val="0"/>
              <w:jc w:val="center"/>
              <w:rPr>
                <w:rFonts w:ascii="宋体" w:eastAsia="宋体" w:hAnsi="宋体" w:cs="宋体" w:hint="eastAsia"/>
                <w:bCs/>
                <w:kern w:val="2"/>
                <w:lang w:eastAsia="zh-CN"/>
              </w:rPr>
            </w:pPr>
          </w:p>
          <w:p>
            <w:pPr>
              <w:widowControl w:val="0"/>
              <w:jc w:val="center"/>
              <w:rPr>
                <w:rFonts w:ascii="宋体" w:eastAsia="宋体" w:hAnsi="宋体" w:cs="宋体" w:hint="eastAsia"/>
                <w:bCs/>
                <w:kern w:val="2"/>
                <w:lang w:eastAsia="zh-CN"/>
              </w:rPr>
            </w:pPr>
          </w:p>
          <w:p>
            <w:pPr>
              <w:widowControl w:val="0"/>
              <w:jc w:val="center"/>
              <w:rPr>
                <w:rFonts w:ascii="宋体" w:eastAsia="宋体" w:hAnsi="宋体" w:cs="宋体" w:hint="eastAsia"/>
                <w:bCs/>
                <w:kern w:val="2"/>
                <w:lang w:eastAsia="zh-CN"/>
              </w:rPr>
            </w:pPr>
          </w:p>
          <w:p>
            <w:pPr>
              <w:widowControl w:val="0"/>
              <w:jc w:val="center"/>
              <w:rPr>
                <w:rFonts w:ascii="宋体" w:eastAsia="宋体" w:hAnsi="宋体" w:cs="宋体" w:hint="eastAsia"/>
                <w:bCs/>
                <w:kern w:val="2"/>
                <w:lang w:eastAsia="zh-CN"/>
              </w:rPr>
            </w:pPr>
          </w:p>
          <w:p>
            <w:pPr>
              <w:widowControl w:val="0"/>
              <w:jc w:val="center"/>
              <w:rPr>
                <w:rFonts w:ascii="宋体" w:eastAsia="宋体" w:hAnsi="宋体" w:cs="宋体" w:hint="eastAsia"/>
                <w:bCs/>
                <w:kern w:val="2"/>
                <w:lang w:eastAsia="zh-CN"/>
              </w:rPr>
            </w:pPr>
          </w:p>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场馆运营能力</w:t>
            </w:r>
          </w:p>
        </w:tc>
        <w:tc>
          <w:tcPr>
            <w:tcW w:w="880" w:type="dxa"/>
            <w:tcBorders>
              <w:top w:val="single" w:sz="8" w:space="0" w:color="000000"/>
              <w:left w:val="single" w:sz="8" w:space="0" w:color="000000"/>
              <w:right w:val="single" w:sz="8" w:space="0" w:color="000000"/>
            </w:tcBorders>
          </w:tcPr>
          <w:p>
            <w:pPr>
              <w:widowControl w:val="0"/>
              <w:jc w:val="center"/>
              <w:rPr>
                <w:rFonts w:ascii="宋体" w:eastAsia="宋体" w:hAnsi="宋体" w:cs="宋体" w:hint="eastAsia"/>
                <w:bCs/>
                <w:kern w:val="2"/>
                <w:lang w:eastAsia="zh-CN"/>
              </w:rPr>
            </w:pPr>
          </w:p>
          <w:p>
            <w:pPr>
              <w:widowControl w:val="0"/>
              <w:jc w:val="center"/>
              <w:rPr>
                <w:rFonts w:ascii="宋体" w:eastAsia="宋体" w:hAnsi="宋体" w:cs="宋体" w:hint="eastAsia"/>
                <w:bCs/>
                <w:kern w:val="2"/>
                <w:lang w:eastAsia="zh-CN"/>
              </w:rPr>
            </w:pPr>
          </w:p>
          <w:p>
            <w:pPr>
              <w:widowControl w:val="0"/>
              <w:jc w:val="center"/>
              <w:rPr>
                <w:rFonts w:ascii="宋体" w:eastAsia="宋体" w:hAnsi="宋体" w:cs="宋体" w:hint="eastAsia"/>
                <w:bCs/>
                <w:kern w:val="2"/>
                <w:lang w:eastAsia="zh-CN"/>
              </w:rPr>
            </w:pPr>
          </w:p>
          <w:p>
            <w:pPr>
              <w:widowControl w:val="0"/>
              <w:jc w:val="center"/>
              <w:rPr>
                <w:rFonts w:ascii="宋体" w:eastAsia="宋体" w:hAnsi="宋体" w:cs="宋体" w:hint="eastAsia"/>
                <w:bCs/>
                <w:kern w:val="2"/>
                <w:lang w:eastAsia="zh-CN"/>
              </w:rPr>
            </w:pPr>
          </w:p>
          <w:p>
            <w:pPr>
              <w:widowControl w:val="0"/>
              <w:jc w:val="center"/>
              <w:rPr>
                <w:rFonts w:ascii="宋体" w:eastAsia="宋体" w:hAnsi="宋体" w:cs="宋体" w:hint="eastAsia"/>
                <w:bCs/>
                <w:kern w:val="2"/>
                <w:lang w:eastAsia="zh-CN"/>
              </w:rPr>
            </w:pPr>
          </w:p>
          <w:p>
            <w:pPr>
              <w:widowControl w:val="0"/>
              <w:jc w:val="center"/>
              <w:rPr>
                <w:rFonts w:ascii="宋体" w:eastAsia="宋体" w:hAnsi="宋体" w:cs="宋体" w:hint="eastAsia"/>
                <w:bCs/>
                <w:kern w:val="2"/>
                <w:lang w:eastAsia="zh-CN"/>
              </w:rPr>
            </w:pPr>
          </w:p>
          <w:p>
            <w:pPr>
              <w:widowControl w:val="0"/>
              <w:jc w:val="center"/>
              <w:rPr>
                <w:rFonts w:ascii="宋体" w:eastAsia="宋体" w:hAnsi="宋体" w:cs="宋体" w:hint="eastAsia"/>
                <w:bCs/>
                <w:kern w:val="2"/>
                <w:lang w:eastAsia="zh-CN"/>
              </w:rPr>
            </w:pPr>
          </w:p>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1</w:t>
            </w:r>
            <w:r>
              <w:rPr>
                <w:rFonts w:ascii="宋体" w:eastAsia="宋体" w:hAnsi="宋体" w:cs="宋体" w:hint="eastAsia"/>
                <w:bCs/>
                <w:kern w:val="2"/>
                <w:lang w:eastAsia="zh-CN"/>
              </w:rPr>
              <w:t>6</w:t>
            </w:r>
          </w:p>
        </w:tc>
        <w:tc>
          <w:tcPr>
            <w:tcW w:w="4712"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b/>
                <w:kern w:val="2"/>
                <w:lang w:eastAsia="zh-CN"/>
              </w:rPr>
            </w:pPr>
            <w:r>
              <w:rPr>
                <w:rFonts w:ascii="宋体" w:eastAsia="宋体" w:hAnsi="宋体" w:cs="宋体" w:hint="eastAsia"/>
                <w:b/>
                <w:kern w:val="2"/>
                <w:lang w:eastAsia="zh-CN"/>
              </w:rPr>
              <w:t>评审标准：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1.投标人自2020年1月至本项目投标截止日（以合同签订时间为准）</w:t>
            </w:r>
            <w:r>
              <w:rPr>
                <w:rFonts w:ascii="宋体" w:eastAsia="宋体" w:hAnsi="宋体" w:cs="宋体" w:hint="eastAsia"/>
                <w:bCs/>
                <w:kern w:val="2"/>
                <w:lang w:eastAsia="zh-CN"/>
              </w:rPr>
              <w:t>运营管理</w:t>
            </w:r>
            <w:r>
              <w:rPr>
                <w:rFonts w:ascii="宋体" w:eastAsia="宋体" w:hAnsi="宋体" w:cs="宋体" w:hint="eastAsia"/>
                <w:bCs/>
                <w:kern w:val="2"/>
                <w:lang w:eastAsia="zh-CN"/>
              </w:rPr>
              <w:t>的室内文体服务</w:t>
            </w:r>
            <w:r>
              <w:rPr>
                <w:rFonts w:ascii="宋体" w:eastAsia="宋体" w:hAnsi="宋体" w:cs="宋体" w:hint="eastAsia"/>
                <w:bCs/>
                <w:kern w:val="2"/>
                <w:lang w:eastAsia="zh-CN"/>
              </w:rPr>
              <w:t>场馆</w:t>
            </w:r>
            <w:r>
              <w:rPr>
                <w:rFonts w:ascii="宋体" w:eastAsia="宋体" w:hAnsi="宋体" w:cs="宋体" w:hint="eastAsia"/>
                <w:bCs/>
                <w:kern w:val="2"/>
                <w:lang w:eastAsia="zh-CN"/>
              </w:rPr>
              <w:t>（非室外体育馆、公园）运营经验业绩，提供1个业绩得</w:t>
            </w:r>
            <w:r>
              <w:rPr>
                <w:rFonts w:ascii="宋体" w:eastAsia="宋体" w:hAnsi="宋体" w:cs="宋体" w:hint="eastAsia"/>
                <w:bCs/>
                <w:kern w:val="2"/>
                <w:lang w:eastAsia="zh-CN"/>
              </w:rPr>
              <w:t>3</w:t>
            </w:r>
            <w:r>
              <w:rPr>
                <w:rFonts w:ascii="宋体" w:eastAsia="宋体" w:hAnsi="宋体" w:cs="宋体" w:hint="eastAsia"/>
                <w:bCs/>
                <w:kern w:val="2"/>
                <w:lang w:eastAsia="zh-CN"/>
              </w:rPr>
              <w:t>分，最高得</w:t>
            </w:r>
            <w:r>
              <w:rPr>
                <w:rFonts w:ascii="宋体" w:eastAsia="宋体" w:hAnsi="宋体" w:cs="宋体" w:hint="eastAsia"/>
                <w:bCs/>
                <w:kern w:val="2"/>
                <w:lang w:eastAsia="zh-CN"/>
              </w:rPr>
              <w:t>6</w:t>
            </w:r>
            <w:r>
              <w:rPr>
                <w:rFonts w:ascii="宋体" w:eastAsia="宋体" w:hAnsi="宋体" w:cs="宋体" w:hint="eastAsia"/>
                <w:bCs/>
                <w:kern w:val="2"/>
                <w:lang w:eastAsia="zh-CN"/>
              </w:rPr>
              <w:t>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2.投标人目前在运营管理或曾经运营管理的室内文体服务</w:t>
            </w:r>
            <w:r>
              <w:rPr>
                <w:rFonts w:ascii="宋体" w:eastAsia="宋体" w:hAnsi="宋体" w:cs="宋体" w:hint="eastAsia"/>
                <w:bCs/>
                <w:kern w:val="2"/>
                <w:lang w:eastAsia="zh-CN"/>
              </w:rPr>
              <w:t>场馆</w:t>
            </w:r>
            <w:r>
              <w:rPr>
                <w:rFonts w:ascii="宋体" w:eastAsia="宋体" w:hAnsi="宋体" w:cs="宋体" w:hint="eastAsia"/>
                <w:bCs/>
                <w:kern w:val="2"/>
                <w:lang w:eastAsia="zh-CN"/>
              </w:rPr>
              <w:t>（非室外体育馆、公园）累计总室内占地面积。</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①总室内占地面积≥</w:t>
            </w:r>
            <w:r>
              <w:rPr>
                <w:rFonts w:ascii="宋体" w:eastAsia="宋体" w:hAnsi="宋体" w:cs="宋体" w:hint="eastAsia"/>
                <w:bCs/>
                <w:kern w:val="2"/>
                <w:lang w:eastAsia="zh-CN"/>
              </w:rPr>
              <w:t>2</w:t>
            </w:r>
            <w:r>
              <w:rPr>
                <w:rFonts w:ascii="宋体" w:eastAsia="宋体" w:hAnsi="宋体" w:cs="宋体" w:hint="eastAsia"/>
                <w:bCs/>
                <w:kern w:val="2"/>
                <w:lang w:eastAsia="zh-CN"/>
              </w:rPr>
              <w:t>000平方米的，得</w:t>
            </w:r>
            <w:r>
              <w:rPr>
                <w:rFonts w:ascii="宋体" w:eastAsia="宋体" w:hAnsi="宋体" w:cs="宋体" w:hint="eastAsia"/>
                <w:bCs/>
                <w:kern w:val="2"/>
                <w:lang w:eastAsia="zh-CN"/>
              </w:rPr>
              <w:t>4</w:t>
            </w:r>
            <w:r>
              <w:rPr>
                <w:rFonts w:ascii="宋体" w:eastAsia="宋体" w:hAnsi="宋体" w:cs="宋体" w:hint="eastAsia"/>
                <w:bCs/>
                <w:kern w:val="2"/>
                <w:lang w:eastAsia="zh-CN"/>
              </w:rPr>
              <w:t>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②</w:t>
            </w:r>
            <w:r>
              <w:rPr>
                <w:rFonts w:ascii="宋体" w:eastAsia="宋体" w:hAnsi="宋体" w:cs="宋体" w:hint="eastAsia"/>
                <w:bCs/>
                <w:kern w:val="2"/>
                <w:lang w:eastAsia="zh-CN"/>
              </w:rPr>
              <w:t>500</w:t>
            </w:r>
            <w:r>
              <w:rPr>
                <w:rFonts w:ascii="宋体" w:eastAsia="宋体" w:hAnsi="宋体" w:cs="宋体" w:hint="eastAsia"/>
                <w:bCs/>
                <w:kern w:val="2"/>
                <w:lang w:eastAsia="zh-CN"/>
              </w:rPr>
              <w:t>平方米</w:t>
            </w:r>
            <w:r>
              <w:rPr>
                <w:rFonts w:ascii="宋体" w:eastAsia="宋体" w:hAnsi="宋体" w:cs="宋体" w:hint="eastAsia"/>
                <w:bCs/>
                <w:kern w:val="2"/>
                <w:lang w:eastAsia="zh-CN"/>
              </w:rPr>
              <w:t>≤</w:t>
            </w:r>
            <w:r>
              <w:rPr>
                <w:rFonts w:ascii="宋体" w:eastAsia="宋体" w:hAnsi="宋体" w:cs="宋体" w:hint="eastAsia"/>
                <w:bCs/>
                <w:kern w:val="2"/>
                <w:lang w:eastAsia="zh-CN"/>
              </w:rPr>
              <w:t>总占地面积＜2000平方米的，得</w:t>
            </w:r>
            <w:r>
              <w:rPr>
                <w:rFonts w:ascii="宋体" w:eastAsia="宋体" w:hAnsi="宋体" w:cs="宋体" w:hint="eastAsia"/>
                <w:bCs/>
                <w:kern w:val="2"/>
                <w:lang w:eastAsia="zh-CN"/>
              </w:rPr>
              <w:t>2</w:t>
            </w:r>
            <w:r>
              <w:rPr>
                <w:rFonts w:ascii="宋体" w:eastAsia="宋体" w:hAnsi="宋体" w:cs="宋体" w:hint="eastAsia"/>
                <w:bCs/>
                <w:kern w:val="2"/>
                <w:lang w:eastAsia="zh-CN"/>
              </w:rPr>
              <w:t>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其他情况不得分。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3.投标人曾经获得过的荣誉或奖项（荣誉主体是投标人公司本身），最高可得6分。</w:t>
            </w:r>
          </w:p>
          <w:p>
            <w:pPr>
              <w:widowControl w:val="0"/>
              <w:jc w:val="both"/>
              <w:rPr>
                <w:rFonts w:ascii="宋体" w:eastAsia="宋体" w:hAnsi="宋体" w:cs="宋体" w:hint="eastAsia"/>
                <w:bCs/>
                <w:kern w:val="2"/>
                <w:lang w:eastAsia="zh-CN"/>
              </w:rPr>
            </w:pPr>
            <w:r>
              <w:rPr>
                <w:rFonts w:ascii="Calibri" w:eastAsia="宋体" w:hAnsi="Calibri" w:cstheme="minorBidi" w:hint="eastAsia"/>
                <w:kern w:val="2"/>
                <w:sz w:val="21"/>
                <w:szCs w:val="22"/>
                <w:lang w:eastAsia="zh-CN"/>
              </w:rPr>
              <w:t>①获</w:t>
            </w:r>
            <w:r>
              <w:rPr>
                <w:rFonts w:ascii="宋体" w:eastAsia="宋体" w:hAnsi="宋体" w:cs="宋体" w:hint="eastAsia"/>
                <w:bCs/>
                <w:kern w:val="2"/>
                <w:lang w:eastAsia="zh-CN"/>
              </w:rPr>
              <w:t>得国家级荣誉或奖项，1项可得4分；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②获得省级（含副省级）荣誉或奖项，1项可得2分；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③获得市、县（或区）级荣誉或奖项，1项可得1分。</w:t>
            </w:r>
          </w:p>
          <w:p>
            <w:pPr>
              <w:widowControl w:val="0"/>
              <w:spacing w:line="360" w:lineRule="auto"/>
              <w:jc w:val="both"/>
              <w:rPr>
                <w:rFonts w:ascii="Calibri" w:eastAsia="宋体" w:hAnsi="Calibri"/>
                <w:kern w:val="2"/>
                <w:szCs w:val="22"/>
                <w:lang w:eastAsia="zh-CN"/>
              </w:rPr>
            </w:pPr>
          </w:p>
          <w:p>
            <w:pPr>
              <w:widowControl w:val="0"/>
              <w:jc w:val="both"/>
              <w:rPr>
                <w:rFonts w:ascii="宋体" w:eastAsia="宋体" w:hAnsi="宋体" w:cs="宋体" w:hint="eastAsia"/>
                <w:b/>
                <w:kern w:val="2"/>
                <w:lang w:eastAsia="zh-CN"/>
              </w:rPr>
            </w:pPr>
            <w:r>
              <w:rPr>
                <w:rFonts w:ascii="宋体" w:eastAsia="宋体" w:hAnsi="宋体" w:cs="宋体" w:hint="eastAsia"/>
                <w:b/>
                <w:kern w:val="2"/>
                <w:lang w:eastAsia="zh-CN"/>
              </w:rPr>
              <w:t>证明材料：</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1.提供合同关键页（包括但不限于合同项目名称、签章页、签订时间）扫描件；</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2.通过合同关键信息无法判断是否得分的，还需同时提供能证明得分的其它证明资料，如合同甲方出具的证明文件</w:t>
            </w:r>
            <w:r>
              <w:rPr>
                <w:rFonts w:ascii="宋体" w:eastAsia="宋体" w:hAnsi="宋体" w:cs="宋体" w:hint="eastAsia"/>
                <w:bCs/>
                <w:kern w:val="2"/>
                <w:lang w:eastAsia="zh-CN"/>
              </w:rPr>
              <w:t>；</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3.</w:t>
            </w:r>
            <w:r>
              <w:rPr>
                <w:rFonts w:ascii="宋体" w:eastAsia="宋体" w:hAnsi="宋体" w:cs="宋体" w:hint="eastAsia"/>
                <w:bCs/>
                <w:kern w:val="2"/>
                <w:lang w:eastAsia="zh-CN"/>
              </w:rPr>
              <w:t>涉及</w:t>
            </w:r>
            <w:r>
              <w:rPr>
                <w:rFonts w:ascii="宋体" w:eastAsia="宋体" w:hAnsi="宋体" w:cs="宋体" w:hint="eastAsia"/>
                <w:bCs/>
                <w:kern w:val="2"/>
                <w:lang w:eastAsia="zh-CN"/>
              </w:rPr>
              <w:t>荣誉或奖项</w:t>
            </w:r>
            <w:r>
              <w:rPr>
                <w:rFonts w:ascii="宋体" w:eastAsia="宋体" w:hAnsi="宋体" w:cs="宋体" w:hint="eastAsia"/>
                <w:bCs/>
                <w:kern w:val="2"/>
                <w:lang w:eastAsia="zh-CN"/>
              </w:rPr>
              <w:t>的须提供相关材料，原件备查</w:t>
            </w:r>
            <w:r>
              <w:rPr>
                <w:rFonts w:ascii="宋体" w:eastAsia="宋体" w:hAnsi="宋体" w:cs="宋体" w:hint="eastAsia"/>
                <w:bCs/>
                <w:kern w:val="2"/>
                <w:lang w:eastAsia="zh-CN"/>
              </w:rPr>
              <w:t>。</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备注：评分中出现无证明资料或证书过期或专家无法凭所提供资料判断是否得分的情况，一律作不得分处理。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96" w:type="dxa"/>
            <w:vMerge/>
            <w:tcBorders>
              <w:top w:val="single" w:sz="8" w:space="0" w:color="000000"/>
              <w:left w:val="single" w:sz="8" w:space="0" w:color="000000"/>
              <w:bottom w:val="single" w:sz="8" w:space="0" w:color="000000"/>
              <w:right w:val="single" w:sz="8" w:space="0" w:color="000000"/>
            </w:tcBorders>
            <w:vAlign w:val="center"/>
          </w:tcPr>
          <w:p>
            <w:pPr>
              <w:widowControl w:val="0"/>
              <w:spacing w:line="440" w:lineRule="exact"/>
              <w:jc w:val="both"/>
              <w:rPr>
                <w:rFonts w:ascii="宋体" w:eastAsia="宋体" w:hAnsi="宋体" w:cs="宋体" w:hint="eastAsia"/>
                <w:b/>
                <w:bCs/>
                <w:color w:val="0000FF"/>
                <w:kern w:val="2"/>
                <w:lang w:eastAsia="zh-CN"/>
              </w:rPr>
            </w:pPr>
          </w:p>
        </w:tc>
        <w:tc>
          <w:tcPr>
            <w:tcW w:w="826"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2</w:t>
            </w:r>
          </w:p>
        </w:tc>
        <w:tc>
          <w:tcPr>
            <w:tcW w:w="1858"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社会效益保障能力</w:t>
            </w:r>
          </w:p>
        </w:tc>
        <w:tc>
          <w:tcPr>
            <w:tcW w:w="880"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6</w:t>
            </w:r>
          </w:p>
        </w:tc>
        <w:tc>
          <w:tcPr>
            <w:tcW w:w="4712"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b/>
                <w:kern w:val="2"/>
                <w:lang w:eastAsia="zh-CN"/>
              </w:rPr>
            </w:pPr>
            <w:r>
              <w:rPr>
                <w:rFonts w:ascii="宋体" w:eastAsia="宋体" w:hAnsi="宋体" w:cs="宋体" w:hint="eastAsia"/>
                <w:b/>
                <w:kern w:val="2"/>
                <w:lang w:eastAsia="zh-CN"/>
              </w:rPr>
              <w:t>评审标准：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投标人自2020年1月至本项目投标截止日（以合同签订时间为准）承接公益文化活动</w:t>
            </w:r>
            <w:r>
              <w:rPr>
                <w:rFonts w:ascii="宋体" w:eastAsia="宋体" w:hAnsi="宋体" w:cs="宋体" w:hint="eastAsia"/>
                <w:bCs/>
                <w:kern w:val="2"/>
                <w:lang w:eastAsia="zh-CN"/>
              </w:rPr>
              <w:t>或公共文化体育场馆的公益惠民</w:t>
            </w:r>
            <w:r>
              <w:rPr>
                <w:rFonts w:ascii="宋体" w:eastAsia="宋体" w:hAnsi="宋体" w:cs="宋体" w:hint="eastAsia"/>
                <w:bCs/>
                <w:kern w:val="2"/>
                <w:lang w:eastAsia="zh-CN"/>
              </w:rPr>
              <w:t>服务经验证明，提供1个业绩得2分，最高得</w:t>
            </w:r>
            <w:r>
              <w:rPr>
                <w:rFonts w:ascii="宋体" w:eastAsia="宋体" w:hAnsi="宋体" w:cs="宋体" w:hint="eastAsia"/>
                <w:bCs/>
                <w:kern w:val="2"/>
                <w:lang w:eastAsia="zh-CN"/>
              </w:rPr>
              <w:t>6</w:t>
            </w:r>
            <w:r>
              <w:rPr>
                <w:rFonts w:ascii="宋体" w:eastAsia="宋体" w:hAnsi="宋体" w:cs="宋体" w:hint="eastAsia"/>
                <w:bCs/>
                <w:kern w:val="2"/>
                <w:lang w:eastAsia="zh-CN"/>
              </w:rPr>
              <w:t>分。</w:t>
            </w:r>
          </w:p>
          <w:p>
            <w:pPr>
              <w:widowControl w:val="0"/>
              <w:jc w:val="both"/>
              <w:rPr>
                <w:rFonts w:ascii="宋体" w:eastAsia="宋体" w:hAnsi="宋体" w:cs="宋体" w:hint="eastAsia"/>
                <w:b/>
                <w:kern w:val="2"/>
                <w:lang w:eastAsia="zh-CN"/>
              </w:rPr>
            </w:pPr>
          </w:p>
          <w:p>
            <w:pPr>
              <w:widowControl w:val="0"/>
              <w:jc w:val="both"/>
              <w:rPr>
                <w:rFonts w:ascii="宋体" w:eastAsia="宋体" w:hAnsi="宋体" w:cs="宋体" w:hint="eastAsia"/>
                <w:b/>
                <w:kern w:val="2"/>
                <w:lang w:eastAsia="zh-CN"/>
              </w:rPr>
            </w:pPr>
            <w:r>
              <w:rPr>
                <w:rFonts w:ascii="宋体" w:eastAsia="宋体" w:hAnsi="宋体" w:cs="宋体" w:hint="eastAsia"/>
                <w:b/>
                <w:kern w:val="2"/>
                <w:lang w:eastAsia="zh-CN"/>
              </w:rPr>
              <w:t>证明材料：</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1.提供合同关键页（包括但不限于合同项目名称、签章页、签订时间）扫描件；</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2.通过合同关键信息无法判断是否得分的，还需同时提供能证明得分的其它证明资料，如合同甲方出具的证明文件。</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备注：评分中出现无证明资料或证书过期或专家无法凭所提供资料判断是否得分的情况，一律作不得分处理。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96" w:type="dxa"/>
            <w:vMerge/>
            <w:tcBorders>
              <w:top w:val="single" w:sz="8" w:space="0" w:color="000000"/>
              <w:left w:val="single" w:sz="8" w:space="0" w:color="000000"/>
              <w:bottom w:val="single" w:sz="8" w:space="0" w:color="000000"/>
              <w:right w:val="single" w:sz="8" w:space="0" w:color="000000"/>
            </w:tcBorders>
            <w:vAlign w:val="center"/>
          </w:tcPr>
          <w:p>
            <w:pPr>
              <w:widowControl w:val="0"/>
              <w:spacing w:line="440" w:lineRule="exact"/>
              <w:jc w:val="both"/>
              <w:rPr>
                <w:rFonts w:ascii="宋体" w:eastAsia="宋体" w:hAnsi="宋体" w:cs="宋体" w:hint="eastAsia"/>
                <w:b/>
                <w:bCs/>
                <w:color w:val="0000FF"/>
                <w:kern w:val="2"/>
                <w:lang w:eastAsia="zh-CN"/>
              </w:rPr>
            </w:pPr>
          </w:p>
        </w:tc>
        <w:tc>
          <w:tcPr>
            <w:tcW w:w="826"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3</w:t>
            </w:r>
          </w:p>
        </w:tc>
        <w:tc>
          <w:tcPr>
            <w:tcW w:w="1858"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大型活动保障能力</w:t>
            </w:r>
          </w:p>
        </w:tc>
        <w:tc>
          <w:tcPr>
            <w:tcW w:w="880"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bCs/>
                <w:kern w:val="2"/>
                <w:lang w:eastAsia="zh-CN"/>
              </w:rPr>
            </w:pPr>
            <w:r>
              <w:rPr>
                <w:rFonts w:ascii="宋体" w:eastAsia="宋体" w:hAnsi="宋体" w:cs="宋体" w:hint="eastAsia"/>
                <w:bCs/>
                <w:kern w:val="2"/>
                <w:lang w:eastAsia="zh-CN"/>
              </w:rPr>
              <w:t>23</w:t>
            </w:r>
          </w:p>
        </w:tc>
        <w:tc>
          <w:tcPr>
            <w:tcW w:w="4712"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b/>
                <w:kern w:val="2"/>
                <w:lang w:eastAsia="zh-CN"/>
              </w:rPr>
            </w:pPr>
            <w:r>
              <w:rPr>
                <w:rFonts w:ascii="宋体" w:eastAsia="宋体" w:hAnsi="宋体" w:cs="宋体" w:hint="eastAsia"/>
                <w:b/>
                <w:kern w:val="2"/>
                <w:lang w:eastAsia="zh-CN"/>
              </w:rPr>
              <w:t>评审标准：</w:t>
            </w:r>
          </w:p>
          <w:p>
            <w:pPr>
              <w:widowControl/>
              <w:jc w:val="left"/>
              <w:rPr>
                <w:rFonts w:ascii="宋体" w:eastAsia="宋体" w:hAnsi="宋体" w:cs="宋体" w:hint="eastAsia"/>
                <w:bCs/>
                <w:kern w:val="2"/>
                <w:lang w:eastAsia="zh-CN" w:bidi="ar"/>
              </w:rPr>
            </w:pPr>
            <w:r>
              <w:rPr>
                <w:rFonts w:ascii="宋体" w:eastAsia="宋体" w:hAnsi="宋体" w:cs="宋体" w:hint="eastAsia"/>
                <w:bCs/>
                <w:kern w:val="2"/>
                <w:lang w:eastAsia="zh-CN"/>
              </w:rPr>
              <w:t>1</w:t>
            </w:r>
            <w:r>
              <w:rPr>
                <w:rFonts w:ascii="宋体" w:eastAsia="宋体" w:hAnsi="宋体" w:cs="宋体" w:hint="eastAsia"/>
                <w:bCs/>
                <w:kern w:val="2"/>
                <w:lang w:eastAsia="zh-CN"/>
              </w:rPr>
              <w:t>.</w:t>
            </w:r>
            <w:r>
              <w:rPr>
                <w:rFonts w:ascii="宋体" w:eastAsia="宋体" w:hAnsi="宋体" w:cs="宋体" w:hint="eastAsia"/>
                <w:bCs/>
                <w:kern w:val="2"/>
                <w:lang w:eastAsia="zh-CN"/>
              </w:rPr>
              <w:t>自2020年1月1日起至本项目投标截止日期止（以合同签订时间为准），投标人承接过行政机关（或事业单位</w:t>
            </w:r>
            <w:r>
              <w:rPr>
                <w:rFonts w:ascii="宋体" w:eastAsia="宋体" w:hAnsi="宋体" w:cs="宋体" w:hint="eastAsia"/>
                <w:bCs/>
                <w:kern w:val="2"/>
                <w:lang w:eastAsia="zh-CN"/>
              </w:rPr>
              <w:t>）</w:t>
            </w:r>
            <w:r>
              <w:rPr>
                <w:rFonts w:ascii="宋体" w:eastAsia="宋体" w:hAnsi="宋体" w:cs="宋体" w:hint="eastAsia"/>
                <w:bCs/>
                <w:kern w:val="2"/>
                <w:lang w:eastAsia="zh-CN"/>
              </w:rPr>
              <w:t>的文化活动（音乐节、文化月、博览会</w:t>
            </w:r>
            <w:r>
              <w:rPr>
                <w:rFonts w:ascii="宋体" w:eastAsia="宋体" w:hAnsi="宋体" w:cs="宋体" w:hint="eastAsia"/>
                <w:bCs/>
                <w:kern w:val="2"/>
                <w:lang w:eastAsia="zh-CN"/>
              </w:rPr>
              <w:t>、赛事</w:t>
            </w:r>
            <w:r>
              <w:rPr>
                <w:rFonts w:ascii="宋体" w:eastAsia="宋体" w:hAnsi="宋体" w:cs="宋体" w:hint="eastAsia"/>
                <w:bCs/>
                <w:kern w:val="2"/>
                <w:lang w:eastAsia="zh-CN"/>
              </w:rPr>
              <w:t>等）策划及落地执行的，每提供一个经验证明的得5分</w:t>
            </w:r>
            <w:r>
              <w:rPr>
                <w:rFonts w:ascii="宋体" w:eastAsia="宋体" w:hAnsi="宋体" w:cs="宋体" w:hint="eastAsia"/>
                <w:bCs/>
                <w:kern w:val="2"/>
                <w:lang w:eastAsia="zh-CN" w:bidi="ar"/>
              </w:rPr>
              <w:t>，最高得1</w:t>
            </w:r>
            <w:r>
              <w:rPr>
                <w:rFonts w:ascii="宋体" w:eastAsia="宋体" w:hAnsi="宋体" w:cs="宋体" w:hint="eastAsia"/>
                <w:bCs/>
                <w:kern w:val="2"/>
                <w:lang w:eastAsia="zh-CN" w:bidi="ar"/>
              </w:rPr>
              <w:t>5</w:t>
            </w:r>
            <w:r>
              <w:rPr>
                <w:rFonts w:ascii="宋体" w:eastAsia="宋体" w:hAnsi="宋体" w:cs="宋体" w:hint="eastAsia"/>
                <w:bCs/>
                <w:kern w:val="2"/>
                <w:lang w:eastAsia="zh-CN" w:bidi="ar"/>
              </w:rPr>
              <w:t>分。</w:t>
            </w:r>
          </w:p>
          <w:p>
            <w:pPr>
              <w:widowControl/>
              <w:jc w:val="left"/>
              <w:rPr>
                <w:rFonts w:ascii="宋体" w:eastAsia="宋体" w:hAnsi="宋体" w:cs="宋体" w:hint="eastAsia"/>
                <w:bCs/>
                <w:kern w:val="2"/>
                <w:lang w:eastAsia="zh-CN"/>
              </w:rPr>
            </w:pPr>
            <w:r>
              <w:rPr>
                <w:rFonts w:ascii="宋体" w:eastAsia="宋体" w:hAnsi="宋体" w:cs="宋体" w:hint="eastAsia"/>
                <w:bCs/>
                <w:kern w:val="2"/>
                <w:lang w:eastAsia="zh-CN" w:bidi="ar"/>
              </w:rPr>
              <w:t>2</w:t>
            </w:r>
            <w:r>
              <w:rPr>
                <w:rFonts w:ascii="宋体" w:eastAsia="宋体" w:hAnsi="宋体" w:cs="宋体" w:hint="eastAsia"/>
                <w:bCs/>
                <w:kern w:val="2"/>
                <w:lang w:eastAsia="zh-CN" w:bidi="ar"/>
              </w:rPr>
              <w:t>.</w:t>
            </w:r>
            <w:r>
              <w:rPr>
                <w:rFonts w:ascii="宋体" w:eastAsia="宋体" w:hAnsi="宋体" w:cs="宋体" w:hint="eastAsia"/>
                <w:bCs/>
                <w:kern w:val="2"/>
                <w:lang w:eastAsia="zh-CN" w:bidi="ar"/>
              </w:rPr>
              <w:t>在评审标准1的基础上，如对应项目有获得</w:t>
            </w:r>
            <w:r>
              <w:rPr>
                <w:rFonts w:ascii="宋体" w:eastAsia="宋体" w:hAnsi="宋体" w:cs="宋体" w:hint="eastAsia"/>
                <w:bCs/>
                <w:kern w:val="2"/>
                <w:lang w:eastAsia="zh-CN" w:bidi="ar"/>
              </w:rPr>
              <w:t>荣誉或奖项</w:t>
            </w:r>
            <w:r>
              <w:rPr>
                <w:rFonts w:ascii="宋体" w:eastAsia="宋体" w:hAnsi="宋体" w:cs="宋体" w:hint="eastAsia"/>
                <w:bCs/>
                <w:kern w:val="2"/>
                <w:lang w:eastAsia="zh-CN" w:bidi="ar"/>
              </w:rPr>
              <w:t>可加分，同一个项目不累计，本项</w:t>
            </w:r>
            <w:r>
              <w:rPr>
                <w:rFonts w:ascii="宋体" w:eastAsia="宋体" w:hAnsi="宋体" w:cs="宋体" w:hint="eastAsia"/>
                <w:bCs/>
                <w:kern w:val="2"/>
                <w:lang w:eastAsia="zh-CN"/>
              </w:rPr>
              <w:t>最高得</w:t>
            </w:r>
            <w:r>
              <w:rPr>
                <w:rFonts w:ascii="宋体" w:eastAsia="宋体" w:hAnsi="宋体" w:cs="宋体" w:hint="eastAsia"/>
                <w:bCs/>
                <w:kern w:val="2"/>
                <w:lang w:eastAsia="zh-CN"/>
              </w:rPr>
              <w:t>8</w:t>
            </w:r>
            <w:r>
              <w:rPr>
                <w:rFonts w:ascii="宋体" w:eastAsia="宋体" w:hAnsi="宋体" w:cs="宋体" w:hint="eastAsia"/>
                <w:bCs/>
                <w:kern w:val="2"/>
                <w:lang w:eastAsia="zh-CN"/>
              </w:rPr>
              <w:t>分。</w:t>
            </w:r>
          </w:p>
          <w:p>
            <w:pPr>
              <w:widowControl/>
              <w:jc w:val="left"/>
              <w:rPr>
                <w:rFonts w:ascii="宋体" w:eastAsia="宋体" w:hAnsi="宋体" w:cs="宋体" w:hint="eastAsia"/>
                <w:bCs/>
                <w:kern w:val="2"/>
                <w:lang w:eastAsia="zh-CN"/>
              </w:rPr>
            </w:pPr>
            <w:r>
              <w:rPr>
                <w:rFonts w:ascii="宋体" w:eastAsia="宋体" w:hAnsi="宋体" w:cs="宋体" w:hint="eastAsia"/>
                <w:bCs/>
                <w:kern w:val="2"/>
                <w:lang w:eastAsia="zh-CN"/>
              </w:rPr>
              <w:t>①获得国家级荣誉或奖项，1项可得</w:t>
            </w:r>
            <w:r>
              <w:rPr>
                <w:rFonts w:ascii="宋体" w:eastAsia="宋体" w:hAnsi="宋体" w:cs="宋体" w:hint="eastAsia"/>
                <w:bCs/>
                <w:kern w:val="2"/>
                <w:lang w:eastAsia="zh-CN"/>
              </w:rPr>
              <w:t>5</w:t>
            </w:r>
            <w:r>
              <w:rPr>
                <w:rFonts w:ascii="宋体" w:eastAsia="宋体" w:hAnsi="宋体" w:cs="宋体" w:hint="eastAsia"/>
                <w:bCs/>
                <w:kern w:val="2"/>
                <w:lang w:eastAsia="zh-CN"/>
              </w:rPr>
              <w:t>分；</w:t>
            </w:r>
          </w:p>
          <w:p>
            <w:pPr>
              <w:widowControl/>
              <w:jc w:val="left"/>
              <w:rPr>
                <w:rFonts w:ascii="宋体" w:eastAsia="宋体" w:hAnsi="宋体" w:cs="宋体" w:hint="eastAsia"/>
                <w:bCs/>
                <w:kern w:val="2"/>
                <w:lang w:eastAsia="zh-CN"/>
              </w:rPr>
            </w:pPr>
            <w:r>
              <w:rPr>
                <w:rFonts w:ascii="宋体" w:eastAsia="宋体" w:hAnsi="宋体" w:cs="宋体" w:hint="eastAsia"/>
                <w:bCs/>
                <w:kern w:val="2"/>
                <w:lang w:eastAsia="zh-CN"/>
              </w:rPr>
              <w:t>②获得省级</w:t>
            </w:r>
            <w:r>
              <w:rPr>
                <w:rFonts w:ascii="宋体" w:eastAsia="宋体" w:hAnsi="宋体" w:cs="宋体" w:hint="eastAsia"/>
                <w:bCs/>
                <w:kern w:val="2"/>
                <w:lang w:eastAsia="zh-CN"/>
              </w:rPr>
              <w:t>（含副省级）</w:t>
            </w:r>
            <w:r>
              <w:rPr>
                <w:rFonts w:ascii="宋体" w:eastAsia="宋体" w:hAnsi="宋体" w:cs="宋体" w:hint="eastAsia"/>
                <w:bCs/>
                <w:kern w:val="2"/>
                <w:lang w:eastAsia="zh-CN"/>
              </w:rPr>
              <w:t>荣誉或奖项，1项可得</w:t>
            </w:r>
            <w:r>
              <w:rPr>
                <w:rFonts w:ascii="宋体" w:eastAsia="宋体" w:hAnsi="宋体" w:cs="宋体" w:hint="eastAsia"/>
                <w:bCs/>
                <w:kern w:val="2"/>
                <w:lang w:eastAsia="zh-CN"/>
              </w:rPr>
              <w:t>3</w:t>
            </w:r>
            <w:r>
              <w:rPr>
                <w:rFonts w:ascii="宋体" w:eastAsia="宋体" w:hAnsi="宋体" w:cs="宋体" w:hint="eastAsia"/>
                <w:bCs/>
                <w:kern w:val="2"/>
                <w:lang w:eastAsia="zh-CN"/>
              </w:rPr>
              <w:t>分；</w:t>
            </w:r>
          </w:p>
          <w:p>
            <w:pPr>
              <w:widowControl/>
              <w:jc w:val="left"/>
              <w:rPr>
                <w:rFonts w:ascii="宋体" w:eastAsia="宋体" w:hAnsi="宋体" w:cs="宋体" w:hint="eastAsia"/>
                <w:bCs/>
                <w:kern w:val="2"/>
                <w:lang w:eastAsia="zh-CN"/>
              </w:rPr>
            </w:pPr>
            <w:r>
              <w:rPr>
                <w:rFonts w:ascii="宋体" w:eastAsia="宋体" w:hAnsi="宋体" w:cs="宋体" w:hint="eastAsia"/>
                <w:bCs/>
                <w:kern w:val="2"/>
                <w:lang w:eastAsia="zh-CN"/>
              </w:rPr>
              <w:t>③获得市、</w:t>
            </w:r>
            <w:r>
              <w:rPr>
                <w:rFonts w:ascii="宋体" w:eastAsia="宋体" w:hAnsi="宋体" w:cs="宋体" w:hint="eastAsia"/>
                <w:bCs/>
                <w:kern w:val="2"/>
                <w:lang w:eastAsia="zh-CN"/>
              </w:rPr>
              <w:t>县（或区）</w:t>
            </w:r>
            <w:r>
              <w:rPr>
                <w:rFonts w:ascii="宋体" w:eastAsia="宋体" w:hAnsi="宋体" w:cs="宋体" w:hint="eastAsia"/>
                <w:bCs/>
                <w:kern w:val="2"/>
                <w:lang w:eastAsia="zh-CN"/>
              </w:rPr>
              <w:t>级荣誉或奖项，1项可得</w:t>
            </w:r>
            <w:r>
              <w:rPr>
                <w:rFonts w:ascii="宋体" w:eastAsia="宋体" w:hAnsi="宋体" w:cs="宋体" w:hint="eastAsia"/>
                <w:bCs/>
                <w:kern w:val="2"/>
                <w:lang w:eastAsia="zh-CN"/>
              </w:rPr>
              <w:t>2</w:t>
            </w:r>
            <w:r>
              <w:rPr>
                <w:rFonts w:ascii="宋体" w:eastAsia="宋体" w:hAnsi="宋体" w:cs="宋体" w:hint="eastAsia"/>
                <w:bCs/>
                <w:kern w:val="2"/>
                <w:lang w:eastAsia="zh-CN"/>
              </w:rPr>
              <w:t>分。</w:t>
            </w:r>
          </w:p>
          <w:p>
            <w:pPr>
              <w:widowControl w:val="0"/>
              <w:jc w:val="both"/>
              <w:rPr>
                <w:rFonts w:ascii="宋体" w:eastAsia="宋体" w:hAnsi="宋体" w:cs="宋体" w:hint="eastAsia"/>
                <w:b/>
                <w:kern w:val="2"/>
                <w:lang w:eastAsia="zh-CN"/>
              </w:rPr>
            </w:pPr>
          </w:p>
          <w:p>
            <w:pPr>
              <w:widowControl w:val="0"/>
              <w:jc w:val="both"/>
              <w:rPr>
                <w:rFonts w:ascii="宋体" w:eastAsia="宋体" w:hAnsi="宋体" w:cs="宋体" w:hint="eastAsia"/>
                <w:b/>
                <w:kern w:val="2"/>
                <w:lang w:eastAsia="zh-CN"/>
              </w:rPr>
            </w:pPr>
            <w:r>
              <w:rPr>
                <w:rFonts w:ascii="宋体" w:eastAsia="宋体" w:hAnsi="宋体" w:cs="宋体" w:hint="eastAsia"/>
                <w:b/>
                <w:kern w:val="2"/>
                <w:lang w:eastAsia="zh-CN"/>
              </w:rPr>
              <w:t>证明材料：</w:t>
            </w:r>
          </w:p>
          <w:p>
            <w:pPr>
              <w:widowControl/>
              <w:jc w:val="left"/>
              <w:rPr>
                <w:rFonts w:ascii="宋体" w:eastAsia="宋体" w:hAnsi="宋体" w:cs="宋体" w:hint="eastAsia"/>
                <w:bCs/>
                <w:kern w:val="2"/>
                <w:lang w:eastAsia="zh-CN" w:bidi="ar"/>
              </w:rPr>
            </w:pPr>
            <w:r>
              <w:rPr>
                <w:rFonts w:ascii="宋体" w:eastAsia="宋体" w:hAnsi="宋体" w:cs="宋体" w:hint="eastAsia"/>
                <w:bCs/>
                <w:kern w:val="2"/>
                <w:lang w:eastAsia="zh-CN"/>
              </w:rPr>
              <w:t>1</w:t>
            </w:r>
            <w:r>
              <w:rPr>
                <w:rFonts w:ascii="宋体" w:eastAsia="宋体" w:hAnsi="宋体" w:cs="宋体" w:hint="eastAsia"/>
                <w:bCs/>
                <w:kern w:val="2"/>
                <w:lang w:eastAsia="zh-CN" w:bidi="ar"/>
              </w:rPr>
              <w:t>.投标人必须提供项目列表，并提供合同关键页（包括但不限于合同项目服务内容、签字盖章页、签订日期），涉及</w:t>
            </w:r>
            <w:r>
              <w:rPr>
                <w:rFonts w:ascii="宋体" w:eastAsia="宋体" w:hAnsi="宋体" w:cs="宋体" w:hint="eastAsia"/>
                <w:bCs/>
                <w:kern w:val="2"/>
                <w:lang w:eastAsia="zh-CN" w:bidi="ar"/>
              </w:rPr>
              <w:t>荣誉或奖项</w:t>
            </w:r>
            <w:r>
              <w:rPr>
                <w:rFonts w:ascii="宋体" w:eastAsia="宋体" w:hAnsi="宋体" w:cs="宋体" w:hint="eastAsia"/>
                <w:bCs/>
                <w:kern w:val="2"/>
                <w:lang w:eastAsia="zh-CN" w:bidi="ar"/>
              </w:rPr>
              <w:t>的须提供相关材料，原件备查。</w:t>
            </w:r>
          </w:p>
          <w:p>
            <w:pPr>
              <w:widowControl w:val="0"/>
              <w:jc w:val="both"/>
              <w:rPr>
                <w:rFonts w:ascii="宋体" w:eastAsia="宋体" w:hAnsi="宋体" w:cs="宋体" w:hint="eastAsia"/>
                <w:kern w:val="2"/>
                <w:sz w:val="21"/>
                <w:szCs w:val="22"/>
                <w:lang w:eastAsia="zh-CN"/>
              </w:rPr>
            </w:pPr>
            <w:r>
              <w:rPr>
                <w:rFonts w:ascii="宋体" w:eastAsia="宋体" w:hAnsi="宋体" w:cs="宋体" w:hint="eastAsia"/>
                <w:bCs/>
                <w:kern w:val="2"/>
                <w:lang w:eastAsia="zh-CN"/>
              </w:rPr>
              <w:t>2.通过合同关键信息无法判断是否得分的，提供能证明得分的其它证明资料，如项目报告或合同甲方出具的证明文件等；</w:t>
            </w:r>
          </w:p>
          <w:p>
            <w:pPr>
              <w:widowControl w:val="0"/>
              <w:jc w:val="both"/>
              <w:rPr>
                <w:rFonts w:ascii="宋体" w:eastAsia="宋体" w:hAnsi="宋体" w:cs="宋体" w:hint="eastAsia"/>
                <w:bCs/>
                <w:kern w:val="2"/>
                <w:lang w:val="zh-CN" w:eastAsia="zh-CN"/>
              </w:rPr>
            </w:pPr>
            <w:r>
              <w:rPr>
                <w:rFonts w:ascii="宋体" w:eastAsia="宋体" w:hAnsi="宋体" w:cs="宋体" w:hint="eastAsia"/>
                <w:bCs/>
                <w:kern w:val="2"/>
                <w:lang w:eastAsia="zh-CN"/>
              </w:rPr>
              <w:t>备注：评分中出现无证明资料或证书过期或专家无法凭所提供资料判断是否得分的情况，一律作不得分处理。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96" w:type="dxa"/>
            <w:vMerge/>
            <w:tcBorders>
              <w:top w:val="single" w:sz="8" w:space="0" w:color="000000"/>
              <w:left w:val="single" w:sz="8" w:space="0" w:color="000000"/>
              <w:bottom w:val="single" w:sz="8" w:space="0" w:color="000000"/>
              <w:right w:val="single" w:sz="8" w:space="0" w:color="000000"/>
            </w:tcBorders>
            <w:vAlign w:val="center"/>
          </w:tcPr>
          <w:p>
            <w:pPr>
              <w:widowControl w:val="0"/>
              <w:spacing w:line="440" w:lineRule="exact"/>
              <w:jc w:val="both"/>
              <w:rPr>
                <w:rFonts w:ascii="宋体" w:eastAsia="宋体" w:hAnsi="宋体" w:cs="宋体" w:hint="eastAsia"/>
                <w:b/>
                <w:bCs/>
                <w:color w:val="0000FF"/>
                <w:kern w:val="2"/>
                <w:lang w:eastAsia="zh-CN"/>
              </w:rPr>
            </w:pPr>
          </w:p>
        </w:tc>
        <w:tc>
          <w:tcPr>
            <w:tcW w:w="826"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lang w:eastAsia="zh-CN"/>
              </w:rPr>
            </w:pPr>
            <w:r>
              <w:rPr>
                <w:rFonts w:ascii="宋体" w:eastAsia="宋体" w:hAnsi="宋体" w:cs="宋体" w:hint="eastAsia"/>
                <w:bCs/>
                <w:kern w:val="2"/>
                <w:lang w:eastAsia="zh-CN"/>
              </w:rPr>
              <w:t>4</w:t>
            </w:r>
          </w:p>
        </w:tc>
        <w:tc>
          <w:tcPr>
            <w:tcW w:w="1858"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服务网点</w:t>
            </w:r>
          </w:p>
        </w:tc>
        <w:tc>
          <w:tcPr>
            <w:tcW w:w="880"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5</w:t>
            </w:r>
          </w:p>
        </w:tc>
        <w:tc>
          <w:tcPr>
            <w:tcW w:w="4712"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b/>
                <w:kern w:val="2"/>
                <w:lang w:eastAsia="zh-CN"/>
              </w:rPr>
            </w:pPr>
            <w:r>
              <w:rPr>
                <w:rFonts w:ascii="宋体" w:eastAsia="宋体" w:hAnsi="宋体" w:cs="宋体" w:hint="eastAsia"/>
                <w:b/>
                <w:kern w:val="2"/>
                <w:lang w:eastAsia="zh-CN"/>
              </w:rPr>
              <w:t>评审标准：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1.深圳供应商得5分；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2.非深圳供应商投标，但其在深圳有分公司或售后机构的，得5分；</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3.外地供应商承诺中标后设立本地经营（服务）网点的，得5分。</w:t>
            </w:r>
          </w:p>
          <w:p>
            <w:pPr>
              <w:widowControl w:val="0"/>
              <w:jc w:val="both"/>
              <w:rPr>
                <w:rFonts w:ascii="宋体" w:eastAsia="宋体" w:hAnsi="宋体" w:cs="宋体" w:hint="eastAsia"/>
                <w:b/>
                <w:kern w:val="2"/>
                <w:lang w:eastAsia="zh-CN"/>
              </w:rPr>
            </w:pPr>
          </w:p>
          <w:p>
            <w:pPr>
              <w:widowControl w:val="0"/>
              <w:jc w:val="both"/>
              <w:rPr>
                <w:rFonts w:ascii="宋体" w:eastAsia="宋体" w:hAnsi="宋体" w:cs="宋体" w:hint="eastAsia"/>
                <w:b/>
                <w:kern w:val="2"/>
                <w:lang w:eastAsia="zh-CN"/>
              </w:rPr>
            </w:pPr>
            <w:r>
              <w:rPr>
                <w:rFonts w:ascii="宋体" w:eastAsia="宋体" w:hAnsi="宋体" w:cs="宋体" w:hint="eastAsia"/>
                <w:b/>
                <w:kern w:val="2"/>
                <w:lang w:eastAsia="zh-CN"/>
              </w:rPr>
              <w:t>证明材料：</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1.深圳供应商要求提供营业执照扫描件，原件备查；</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2.分公司要求提供营业执照扫描件，原件备查；售后机构必须同时提供售后服务合作合同（或售后服务合作协议）及售后机构营业执照证明文件。</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3.外地供应商提供承诺函（格式自拟）证明文件。</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备注：以上资料均要求提供扫描件，原件备查，评分中出现无证明资料或证书过期或专家无法凭所提供资料判断是否得分的情况，一律作不得分处理。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rHeight w:val="443"/>
          <w:tblCellSpacing w:w="0" w:type="dxa"/>
          <w:jc w:val="center"/>
        </w:trPr>
        <w:tc>
          <w:tcPr>
            <w:tcW w:w="796" w:type="dxa"/>
            <w:vMerge/>
            <w:tcBorders>
              <w:top w:val="single" w:sz="8" w:space="0" w:color="000000"/>
              <w:left w:val="single" w:sz="8" w:space="0" w:color="000000"/>
              <w:bottom w:val="single" w:sz="8" w:space="0" w:color="000000"/>
              <w:right w:val="single" w:sz="8" w:space="0" w:color="000000"/>
            </w:tcBorders>
            <w:vAlign w:val="center"/>
          </w:tcPr>
          <w:p>
            <w:pPr>
              <w:widowControl w:val="0"/>
              <w:spacing w:line="440" w:lineRule="exact"/>
              <w:jc w:val="both"/>
              <w:rPr>
                <w:rFonts w:ascii="宋体" w:eastAsia="宋体" w:hAnsi="宋体" w:cs="宋体" w:hint="eastAsia"/>
                <w:b/>
                <w:bCs/>
                <w:color w:val="0000FF"/>
                <w:kern w:val="2"/>
                <w:lang w:eastAsia="zh-CN"/>
              </w:rPr>
            </w:pPr>
          </w:p>
        </w:tc>
        <w:tc>
          <w:tcPr>
            <w:tcW w:w="826" w:type="dxa"/>
            <w:tcBorders>
              <w:top w:val="single" w:sz="8" w:space="0" w:color="000000"/>
              <w:left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5</w:t>
            </w:r>
          </w:p>
        </w:tc>
        <w:tc>
          <w:tcPr>
            <w:tcW w:w="1858" w:type="dxa"/>
            <w:tcBorders>
              <w:top w:val="single" w:sz="8" w:space="0" w:color="000000"/>
              <w:left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诚信管理情况</w:t>
            </w:r>
          </w:p>
        </w:tc>
        <w:tc>
          <w:tcPr>
            <w:tcW w:w="880" w:type="dxa"/>
            <w:tcBorders>
              <w:top w:val="single" w:sz="8" w:space="0" w:color="000000"/>
              <w:left w:val="single" w:sz="8" w:space="0" w:color="000000"/>
              <w:right w:val="single" w:sz="8" w:space="0" w:color="000000"/>
            </w:tcBorders>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5</w:t>
            </w:r>
          </w:p>
        </w:tc>
        <w:tc>
          <w:tcPr>
            <w:tcW w:w="4712"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pPr>
        <w:widowControl w:val="0"/>
        <w:jc w:val="both"/>
        <w:rPr>
          <w:rFonts w:ascii="宋体" w:eastAsia="宋体" w:hAnsi="宋体" w:cs="宋体" w:hint="eastAsia"/>
          <w:kern w:val="2"/>
          <w:sz w:val="21"/>
          <w:szCs w:val="22"/>
          <w:lang w:eastAsia="zh-CN"/>
        </w:rPr>
      </w:pPr>
      <w:r>
        <w:rPr>
          <w:rFonts w:ascii="宋体" w:eastAsia="宋体" w:hAnsi="宋体" w:cs="宋体" w:hint="eastAsia"/>
          <w:b/>
          <w:bCs/>
          <w:kern w:val="44"/>
          <w:sz w:val="32"/>
          <w:szCs w:val="32"/>
          <w:lang w:eastAsia="zh-CN"/>
        </w:rPr>
        <w:br w:type="page"/>
      </w:r>
    </w:p>
    <w:p>
      <w:pPr>
        <w:keepNext/>
        <w:keepLines/>
        <w:widowControl w:val="0"/>
        <w:spacing w:before="340" w:after="78" w:afterLines="25" w:line="578" w:lineRule="auto"/>
        <w:jc w:val="center"/>
        <w:outlineLvl w:val="0"/>
        <w:rPr>
          <w:rFonts w:ascii="宋体" w:eastAsia="宋体" w:hAnsi="宋体" w:cs="宋体" w:hint="eastAsia"/>
          <w:b/>
          <w:bCs/>
          <w:kern w:val="44"/>
          <w:sz w:val="32"/>
          <w:szCs w:val="32"/>
          <w:lang w:eastAsia="zh-CN"/>
        </w:rPr>
      </w:pPr>
      <w:r>
        <w:rPr>
          <w:rFonts w:ascii="宋体" w:eastAsia="宋体" w:hAnsi="宋体" w:cs="宋体" w:hint="eastAsia"/>
          <w:b/>
          <w:bCs/>
          <w:kern w:val="44"/>
          <w:sz w:val="32"/>
          <w:szCs w:val="32"/>
          <w:lang w:eastAsia="zh-CN"/>
        </w:rPr>
        <w:t>目录</w:t>
      </w:r>
    </w:p>
    <w:p>
      <w:pPr>
        <w:widowControl w:val="0"/>
        <w:jc w:val="both"/>
        <w:rPr>
          <w:rFonts w:ascii="宋体" w:eastAsia="宋体" w:hAnsi="宋体" w:cs="宋体" w:hint="eastAsia"/>
          <w:b/>
          <w:kern w:val="2"/>
          <w:lang w:eastAsia="zh-CN"/>
        </w:rPr>
      </w:pPr>
      <w:r>
        <w:rPr>
          <w:rFonts w:ascii="宋体" w:eastAsia="宋体" w:hAnsi="宋体" w:cs="宋体" w:hint="eastAsia"/>
          <w:b/>
          <w:kern w:val="2"/>
          <w:lang w:eastAsia="zh-CN"/>
        </w:rPr>
        <w:t>第一册专用条款</w:t>
      </w:r>
    </w:p>
    <w:p>
      <w:pPr>
        <w:widowControl w:val="0"/>
        <w:ind w:left="720" w:firstLine="470" w:leftChars="300" w:firstLineChars="196"/>
        <w:jc w:val="both"/>
        <w:rPr>
          <w:rFonts w:ascii="宋体" w:eastAsia="宋体" w:hAnsi="宋体" w:cs="宋体" w:hint="eastAsia"/>
          <w:b/>
          <w:kern w:val="2"/>
          <w:lang w:eastAsia="zh-CN"/>
        </w:rPr>
      </w:pPr>
      <w:r>
        <w:rPr>
          <w:rFonts w:ascii="宋体" w:eastAsia="宋体" w:hAnsi="宋体" w:cs="宋体" w:hint="eastAsia"/>
          <w:kern w:val="2"/>
          <w:lang w:eastAsia="zh-CN"/>
        </w:rPr>
        <w:t>关键信息</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第一章招标公告</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第二章对通用条款的补充内容及其他关键信息</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第三章用户需求书</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第四章投标文件组成要求及格式</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第五章协议条款及格式</w:t>
      </w:r>
    </w:p>
    <w:p>
      <w:pPr>
        <w:widowControl w:val="0"/>
        <w:jc w:val="both"/>
        <w:rPr>
          <w:rFonts w:ascii="宋体" w:eastAsia="宋体" w:hAnsi="宋体" w:cs="宋体" w:hint="eastAsia"/>
          <w:b/>
          <w:kern w:val="2"/>
          <w:lang w:eastAsia="zh-CN"/>
        </w:rPr>
      </w:pPr>
      <w:r>
        <w:rPr>
          <w:rFonts w:ascii="宋体" w:eastAsia="宋体" w:hAnsi="宋体" w:cs="宋体" w:hint="eastAsia"/>
          <w:b/>
          <w:kern w:val="2"/>
          <w:lang w:eastAsia="zh-CN"/>
        </w:rPr>
        <w:t>第二册通用条款</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第一章总则</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第二章招标文件</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第三章投标文件的编制</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第四章投标文件的递交</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第五章开标</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第六章评审要求</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第七章评审程序及评审方法</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第八章定标及公示</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第九章公开招标失败的后续处理</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第十章协议的授予与备案</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第十一章质疑处理</w:t>
      </w:r>
    </w:p>
    <w:p>
      <w:pPr>
        <w:widowControl w:val="0"/>
        <w:jc w:val="both"/>
        <w:rPr>
          <w:rFonts w:ascii="宋体" w:eastAsia="宋体" w:hAnsi="宋体" w:cs="宋体" w:hint="eastAsia"/>
          <w:kern w:val="2"/>
          <w:sz w:val="21"/>
          <w:szCs w:val="22"/>
          <w:lang w:eastAsia="zh-CN"/>
        </w:rPr>
      </w:pPr>
    </w:p>
    <w:p>
      <w:pPr>
        <w:widowControl w:val="0"/>
        <w:jc w:val="both"/>
        <w:rPr>
          <w:rFonts w:ascii="宋体" w:eastAsia="宋体" w:hAnsi="宋体" w:cs="宋体" w:hint="eastAsia"/>
          <w:kern w:val="2"/>
          <w:sz w:val="21"/>
          <w:szCs w:val="22"/>
          <w:lang w:eastAsia="zh-CN"/>
        </w:rPr>
      </w:pPr>
    </w:p>
    <w:p>
      <w:pPr>
        <w:widowControl/>
        <w:jc w:val="left"/>
        <w:rPr>
          <w:rFonts w:ascii="宋体" w:eastAsia="宋体" w:hAnsi="宋体" w:cs="宋体" w:hint="eastAsia"/>
          <w:b/>
          <w:bCs/>
          <w:color w:val="0000FF"/>
          <w:kern w:val="44"/>
          <w:sz w:val="36"/>
          <w:szCs w:val="44"/>
          <w:lang w:eastAsia="zh-CN"/>
        </w:rPr>
      </w:pPr>
      <w:r>
        <w:rPr>
          <w:rFonts w:ascii="宋体" w:eastAsia="宋体" w:hAnsi="宋体" w:cs="宋体" w:hint="eastAsia"/>
          <w:b/>
          <w:bCs/>
          <w:color w:val="0000FF"/>
          <w:kern w:val="44"/>
          <w:sz w:val="36"/>
          <w:szCs w:val="44"/>
          <w:lang w:eastAsia="zh-CN"/>
        </w:rPr>
        <w:br w:type="page"/>
      </w:r>
    </w:p>
    <w:p>
      <w:pPr>
        <w:keepNext/>
        <w:keepLines/>
        <w:widowControl w:val="0"/>
        <w:spacing w:before="340" w:after="78" w:afterLines="25" w:line="578" w:lineRule="auto"/>
        <w:jc w:val="center"/>
        <w:outlineLvl w:val="0"/>
        <w:rPr>
          <w:rFonts w:ascii="宋体" w:eastAsia="宋体" w:hAnsi="宋体" w:cs="宋体" w:hint="eastAsia"/>
          <w:b/>
          <w:bCs/>
          <w:kern w:val="44"/>
          <w:sz w:val="32"/>
          <w:szCs w:val="32"/>
          <w:lang w:eastAsia="zh-CN"/>
        </w:rPr>
      </w:pPr>
      <w:r>
        <w:rPr>
          <w:rFonts w:ascii="宋体" w:eastAsia="宋体" w:hAnsi="宋体" w:cs="宋体" w:hint="eastAsia"/>
          <w:b/>
          <w:bCs/>
          <w:kern w:val="44"/>
          <w:sz w:val="32"/>
          <w:szCs w:val="32"/>
          <w:lang w:eastAsia="zh-CN"/>
        </w:rPr>
        <w:t>第一册专用条款</w:t>
      </w:r>
    </w:p>
    <w:p>
      <w:pPr>
        <w:keepNext/>
        <w:keepLines/>
        <w:widowControl w:val="0"/>
        <w:adjustRightInd w:val="0"/>
        <w:spacing w:before="260" w:after="260"/>
        <w:jc w:val="center"/>
        <w:textAlignment w:val="baseline"/>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第一章招标公告</w:t>
      </w:r>
    </w:p>
    <w:p>
      <w:pPr>
        <w:widowControl w:val="0"/>
        <w:snapToGrid w:val="0"/>
        <w:spacing w:line="300" w:lineRule="exact"/>
        <w:jc w:val="both"/>
        <w:rPr>
          <w:rFonts w:ascii="宋体" w:eastAsia="宋体" w:hAnsi="宋体" w:cs="宋体" w:hint="eastAsia"/>
          <w:b/>
          <w:bCs/>
          <w:kern w:val="2"/>
          <w:lang w:eastAsia="zh-CN"/>
        </w:rPr>
      </w:pPr>
      <w:r>
        <w:rPr>
          <w:rFonts w:ascii="宋体" w:eastAsia="宋体" w:hAnsi="宋体" w:cs="宋体" w:hint="eastAsia"/>
          <w:b/>
          <w:bCs/>
          <w:kern w:val="2"/>
          <w:lang w:eastAsia="zh-CN"/>
        </w:rPr>
        <w:t>申请人的资格要求：</w:t>
      </w:r>
    </w:p>
    <w:p>
      <w:pPr>
        <w:widowControl w:val="0"/>
        <w:wordWrap w:val="0"/>
        <w:spacing w:line="360" w:lineRule="auto"/>
        <w:jc w:val="left"/>
        <w:rPr>
          <w:rFonts w:ascii="宋体" w:eastAsia="宋体" w:hAnsi="宋体" w:cs="宋体" w:hint="eastAsia"/>
          <w:b/>
          <w:bCs/>
          <w:kern w:val="2"/>
          <w:lang w:eastAsia="zh-CN"/>
        </w:rPr>
      </w:pPr>
      <w:r>
        <w:rPr>
          <w:rFonts w:ascii="宋体" w:eastAsia="宋体" w:hAnsi="宋体" w:cs="宋体" w:hint="eastAsia"/>
          <w:b/>
          <w:bCs/>
          <w:kern w:val="2"/>
          <w:lang w:eastAsia="zh-CN"/>
        </w:rPr>
        <w:t>（1）具有独立法人资格或具有独立承担民事责任的能力的其它组织（提供营业执照或事业单位法人证等法人证明扫描件，原件备查）。</w:t>
      </w:r>
    </w:p>
    <w:p>
      <w:pPr>
        <w:widowControl w:val="0"/>
        <w:wordWrap w:val="0"/>
        <w:spacing w:line="360" w:lineRule="auto"/>
        <w:jc w:val="left"/>
        <w:rPr>
          <w:rFonts w:ascii="宋体" w:eastAsia="宋体" w:hAnsi="宋体" w:cs="宋体" w:hint="eastAsia"/>
          <w:b/>
          <w:bCs/>
          <w:kern w:val="2"/>
          <w:lang w:eastAsia="zh-CN"/>
        </w:rPr>
      </w:pPr>
      <w:r>
        <w:rPr>
          <w:rFonts w:ascii="宋体" w:eastAsia="宋体" w:hAnsi="宋体" w:cs="宋体" w:hint="eastAsia"/>
          <w:b/>
          <w:bCs/>
          <w:kern w:val="2"/>
          <w:lang w:eastAsia="zh-CN"/>
        </w:rPr>
        <w:t>（2）参与本项目投标前三年内，在经营活动中没有重大违法记录（须按本项目投标文件格式要求提供《投标函》加盖投标人公章）。</w:t>
      </w:r>
    </w:p>
    <w:p>
      <w:pPr>
        <w:widowControl w:val="0"/>
        <w:wordWrap w:val="0"/>
        <w:spacing w:line="360" w:lineRule="auto"/>
        <w:jc w:val="left"/>
        <w:rPr>
          <w:rFonts w:ascii="宋体" w:eastAsia="宋体" w:hAnsi="宋体" w:cs="宋体" w:hint="eastAsia"/>
          <w:b/>
          <w:bCs/>
          <w:kern w:val="2"/>
          <w:lang w:eastAsia="zh-CN"/>
        </w:rPr>
      </w:pPr>
      <w:r>
        <w:rPr>
          <w:rFonts w:ascii="宋体" w:eastAsia="宋体" w:hAnsi="宋体" w:cs="宋体" w:hint="eastAsia"/>
          <w:b/>
          <w:bCs/>
          <w:kern w:val="2"/>
          <w:lang w:eastAsia="zh-CN"/>
        </w:rPr>
        <w:t>（3）参与本项目采购活动时不存在被有关部门禁止参与采购活动且在有效期内的情况（须按本项目投标文件格式要求提供《投标函》加盖投标人公章）。</w:t>
      </w:r>
    </w:p>
    <w:p>
      <w:pPr>
        <w:widowControl w:val="0"/>
        <w:wordWrap w:val="0"/>
        <w:spacing w:line="360" w:lineRule="auto"/>
        <w:jc w:val="left"/>
        <w:rPr>
          <w:rFonts w:ascii="宋体" w:eastAsia="宋体" w:hAnsi="宋体" w:cs="宋体" w:hint="eastAsia"/>
          <w:b/>
          <w:bCs/>
          <w:kern w:val="2"/>
          <w:lang w:eastAsia="zh-CN"/>
        </w:rPr>
      </w:pPr>
      <w:r>
        <w:rPr>
          <w:rFonts w:ascii="宋体" w:eastAsia="宋体" w:hAnsi="宋体" w:cs="宋体" w:hint="eastAsia"/>
          <w:b/>
          <w:bCs/>
          <w:kern w:val="2"/>
          <w:lang w:eastAsia="zh-CN"/>
        </w:rPr>
        <w:t>（4）单位负责人为同一人或者存在直接控股、管理关系的不同供应商，不得参加同一合同项下的采购活动（须按本项目投标文件格式要求提供《投标函》加盖投标人公章）。</w:t>
      </w:r>
    </w:p>
    <w:p>
      <w:pPr>
        <w:widowControl w:val="0"/>
        <w:wordWrap w:val="0"/>
        <w:spacing w:line="360" w:lineRule="auto"/>
        <w:jc w:val="left"/>
        <w:rPr>
          <w:rFonts w:ascii="宋体" w:eastAsia="宋体" w:hAnsi="宋体" w:cs="宋体" w:hint="eastAsia"/>
          <w:b/>
          <w:bCs/>
          <w:kern w:val="2"/>
          <w:lang w:eastAsia="zh-CN"/>
        </w:rPr>
      </w:pPr>
      <w:r>
        <w:rPr>
          <w:rFonts w:ascii="宋体" w:eastAsia="宋体" w:hAnsi="宋体" w:cs="宋体" w:hint="eastAsia"/>
          <w:b/>
          <w:bCs/>
          <w:kern w:val="2"/>
          <w:lang w:eastAsia="zh-CN"/>
        </w:rPr>
        <w:t>（5）除单一来源采购项目外，为采购项目提供整体设计、规范编制或者项目管理、监理、检测等服务的供应商，不得再参加该采购项目的其他采购活动（须按本项目投标文件格式要求提供《投标函》加盖投标人公章）。</w:t>
      </w:r>
    </w:p>
    <w:p>
      <w:pPr>
        <w:widowControl w:val="0"/>
        <w:wordWrap w:val="0"/>
        <w:spacing w:line="360" w:lineRule="auto"/>
        <w:jc w:val="left"/>
        <w:rPr>
          <w:rFonts w:ascii="宋体" w:eastAsia="宋体" w:hAnsi="宋体" w:cs="宋体" w:hint="eastAsia"/>
          <w:b/>
          <w:bCs/>
          <w:kern w:val="2"/>
          <w:lang w:eastAsia="zh-CN"/>
        </w:rPr>
      </w:pPr>
      <w:r>
        <w:rPr>
          <w:rFonts w:ascii="宋体" w:eastAsia="宋体" w:hAnsi="宋体" w:cs="宋体" w:hint="eastAsia"/>
          <w:b/>
          <w:bCs/>
          <w:kern w:val="2"/>
          <w:lang w:eastAsia="zh-CN"/>
        </w:rPr>
        <w:t>（6）投标人未被列入失信被执行人、重大税收违法案件当事人名单及政府采购严重违法失信行为记录名单（“信用中国”（www.creditchina.gov.cn），“中国政府采购”</w:t>
      </w:r>
      <w:r>
        <w:rPr>
          <w:rFonts w:ascii="宋体" w:eastAsia="宋体" w:hAnsi="宋体" w:cs="宋体" w:hint="eastAsia"/>
          <w:b/>
          <w:bCs/>
          <w:kern w:val="2"/>
          <w:lang w:eastAsia="zh-CN"/>
        </w:rPr>
        <w:tab/>
      </w:r>
      <w:r>
        <w:rPr>
          <w:rFonts w:ascii="宋体" w:eastAsia="宋体" w:hAnsi="宋体" w:cs="宋体" w:hint="eastAsia"/>
          <w:b/>
          <w:bCs/>
          <w:kern w:val="2"/>
          <w:lang w:eastAsia="zh-CN"/>
        </w:rPr>
        <w:t>（www.ccgp.gov.cn）“政府采购严重违法失信行为记录名单”以及“深圳市政府采购监管网”（zfcg.sz.gov.cn）为投标人信用信息查询渠道，相关信息以开标当日的查询结果为准。由采购代理机构查询，投标人无需提供证明材料。</w:t>
      </w:r>
    </w:p>
    <w:p>
      <w:pPr>
        <w:widowControl w:val="0"/>
        <w:wordWrap w:val="0"/>
        <w:spacing w:line="360" w:lineRule="auto"/>
        <w:jc w:val="left"/>
        <w:rPr>
          <w:rFonts w:ascii="宋体" w:eastAsia="宋体" w:hAnsi="宋体" w:cs="宋体" w:hint="eastAsia"/>
          <w:b/>
          <w:bCs/>
          <w:kern w:val="2"/>
          <w:lang w:eastAsia="zh-CN"/>
        </w:rPr>
      </w:pPr>
      <w:r>
        <w:rPr>
          <w:rFonts w:ascii="宋体" w:eastAsia="宋体" w:hAnsi="宋体" w:cs="宋体" w:hint="eastAsia"/>
          <w:b/>
          <w:bCs/>
          <w:kern w:val="2"/>
          <w:lang w:eastAsia="zh-CN"/>
        </w:rPr>
        <w:t>（7）投标人须提供国家企业信用信息公示系统（https://www.gsxt.gov.cn/index.html）或机关赋码和事业单位登记管理网（http://www.gjsy.gov.cn/sydwfrxxcx/）或全国社会组织信用信息公示平台</w:t>
      </w:r>
      <w:r>
        <w:rPr>
          <w:rFonts w:ascii="宋体" w:eastAsia="宋体" w:hAnsi="宋体" w:cs="宋体" w:hint="eastAsia"/>
          <w:b/>
          <w:bCs/>
          <w:kern w:val="2"/>
          <w:lang w:eastAsia="zh-CN"/>
        </w:rPr>
        <w:tab/>
      </w:r>
      <w:r>
        <w:rPr>
          <w:rFonts w:ascii="宋体" w:eastAsia="宋体" w:hAnsi="宋体" w:cs="宋体" w:hint="eastAsia"/>
          <w:b/>
          <w:bCs/>
          <w:kern w:val="2"/>
          <w:lang w:eastAsia="zh-CN"/>
        </w:rPr>
        <w:t>（https://xxgs.chinanpo.mca.gov.cn/gsxt/newList）网站截图，作为不同供应商之间不存在单位负责人为同一人或者直接控股、管理关系的补充证明。</w:t>
      </w:r>
    </w:p>
    <w:p>
      <w:pPr>
        <w:widowControl w:val="0"/>
        <w:wordWrap w:val="0"/>
        <w:spacing w:line="360" w:lineRule="auto"/>
        <w:jc w:val="left"/>
        <w:rPr>
          <w:rFonts w:ascii="宋体" w:eastAsia="宋体" w:hAnsi="宋体" w:cs="宋体" w:hint="eastAsia"/>
          <w:b/>
          <w:bCs/>
          <w:kern w:val="2"/>
          <w:lang w:eastAsia="zh-CN"/>
        </w:rPr>
      </w:pPr>
      <w:r>
        <w:rPr>
          <w:rFonts w:ascii="宋体" w:eastAsia="宋体" w:hAnsi="宋体" w:cs="宋体" w:hint="eastAsia"/>
          <w:b/>
          <w:bCs/>
          <w:kern w:val="2"/>
          <w:lang w:eastAsia="zh-CN"/>
        </w:rPr>
        <w:t>（8）本项目不接受联合体投标，不允许分包或转包。</w:t>
      </w:r>
    </w:p>
    <w:p>
      <w:pPr>
        <w:widowControl w:val="0"/>
        <w:jc w:val="both"/>
        <w:rPr>
          <w:rFonts w:ascii="宋体" w:eastAsia="宋体" w:hAnsi="宋体" w:cs="宋体" w:hint="eastAsia"/>
          <w:kern w:val="2"/>
          <w:sz w:val="21"/>
          <w:szCs w:val="22"/>
          <w:lang w:eastAsia="zh-CN"/>
        </w:rPr>
      </w:pPr>
    </w:p>
    <w:p>
      <w:pPr>
        <w:widowControl w:val="0"/>
        <w:snapToGrid w:val="0"/>
        <w:spacing w:line="360" w:lineRule="exact"/>
        <w:jc w:val="both"/>
        <w:rPr>
          <w:rFonts w:ascii="宋体" w:eastAsia="宋体" w:hAnsi="宋体" w:cs="宋体" w:hint="eastAsia"/>
          <w:kern w:val="2"/>
          <w:lang w:eastAsia="zh-CN"/>
        </w:rPr>
      </w:pPr>
      <w:r>
        <w:rPr>
          <w:rFonts w:ascii="宋体" w:eastAsia="宋体" w:hAnsi="宋体" w:cs="宋体" w:hint="eastAsia"/>
          <w:b/>
          <w:bCs/>
          <w:kern w:val="2"/>
          <w:lang w:eastAsia="zh-CN"/>
        </w:rPr>
        <w:t>注：</w:t>
      </w:r>
      <w:r>
        <w:rPr>
          <w:rFonts w:ascii="宋体" w:eastAsia="宋体" w:hAnsi="宋体" w:cs="宋体" w:hint="eastAsia"/>
          <w:lang w:eastAsia="zh-CN"/>
        </w:rPr>
        <w:t>投标人</w:t>
      </w:r>
      <w:r>
        <w:rPr>
          <w:rFonts w:ascii="宋体" w:eastAsia="宋体" w:hAnsi="宋体" w:cs="宋体" w:hint="eastAsia"/>
          <w:kern w:val="2"/>
          <w:lang w:eastAsia="zh-CN"/>
        </w:rPr>
        <w:t>投标（上传投标文件）必须先行办理注册手续。</w:t>
      </w:r>
    </w:p>
    <w:p>
      <w:pPr>
        <w:widowControl w:val="0"/>
        <w:wordWrap w:val="0"/>
        <w:jc w:val="left"/>
        <w:rPr>
          <w:rFonts w:ascii="宋体" w:eastAsia="宋体" w:hAnsi="宋体" w:cs="宋体" w:hint="eastAsia"/>
          <w:b/>
          <w:bCs/>
          <w:lang w:eastAsia="zh-CN"/>
        </w:rPr>
      </w:pPr>
      <w:r>
        <w:rPr>
          <w:rFonts w:ascii="宋体" w:eastAsia="宋体" w:hAnsi="宋体" w:cs="宋体" w:hint="eastAsia"/>
          <w:b/>
          <w:color w:val="0000FF"/>
          <w:kern w:val="2"/>
          <w:sz w:val="22"/>
          <w:szCs w:val="18"/>
          <w:lang w:eastAsia="zh-CN"/>
        </w:rPr>
        <w:t>完整公告内容详见：深圳交易集团网（</w:t>
      </w:r>
      <w:bookmarkStart w:id="0" w:name="OLE_LINK3"/>
      <w:r>
        <w:rPr>
          <w:rFonts w:ascii="宋体" w:eastAsia="宋体" w:hAnsi="宋体" w:cs="宋体" w:hint="eastAsia"/>
          <w:b/>
          <w:color w:val="0000FF"/>
          <w:kern w:val="2"/>
          <w:sz w:val="22"/>
          <w:szCs w:val="18"/>
          <w:lang w:eastAsia="zh-CN"/>
        </w:rPr>
        <w:t>https://www.szexgrp.com/jyfw/zfcg-view.html?id=zfcg</w:t>
      </w:r>
      <w:bookmarkEnd w:id="0"/>
      <w:r>
        <w:rPr>
          <w:rFonts w:ascii="宋体" w:eastAsia="宋体" w:hAnsi="宋体" w:cs="宋体" w:hint="eastAsia"/>
          <w:b/>
          <w:color w:val="0000FF"/>
          <w:kern w:val="2"/>
          <w:sz w:val="22"/>
          <w:szCs w:val="18"/>
          <w:lang w:eastAsia="zh-CN"/>
        </w:rPr>
        <w:t>）</w:t>
      </w:r>
      <w:bookmarkStart w:id="1" w:name="_Toc73517639"/>
      <w:bookmarkStart w:id="2" w:name="_Toc73518117"/>
      <w:bookmarkStart w:id="3" w:name="_Toc73521547"/>
      <w:bookmarkStart w:id="4" w:name="_Toc100052364"/>
      <w:bookmarkStart w:id="5" w:name="_Toc73521635"/>
      <w:bookmarkStart w:id="6" w:name="_Toc60631620"/>
      <w:bookmarkStart w:id="7" w:name="_Toc101074876"/>
      <w:bookmarkStart w:id="8" w:name="_Toc60560625"/>
    </w:p>
    <w:p>
      <w:pPr>
        <w:keepNext/>
        <w:keepLines/>
        <w:widowControl w:val="0"/>
        <w:adjustRightInd w:val="0"/>
        <w:spacing w:before="156" w:beforeLines="50" w:after="156" w:afterLines="50"/>
        <w:jc w:val="center"/>
        <w:textAlignment w:val="baseline"/>
        <w:outlineLvl w:val="2"/>
        <w:rPr>
          <w:rFonts w:ascii="宋体" w:eastAsia="宋体" w:hAnsi="宋体" w:cs="宋体" w:hint="eastAsia"/>
          <w:b/>
          <w:bCs/>
          <w:lang w:eastAsia="zh-CN"/>
        </w:rPr>
      </w:pPr>
      <w:r>
        <w:rPr>
          <w:rFonts w:ascii="宋体" w:eastAsia="宋体" w:hAnsi="宋体" w:cs="宋体" w:hint="eastAsia"/>
          <w:b/>
          <w:bCs/>
          <w:lang w:eastAsia="zh-CN"/>
        </w:rPr>
        <w:t>一、对通用条款的补充内容</w:t>
      </w:r>
    </w:p>
    <w:bookmarkEnd w:id="1"/>
    <w:bookmarkEnd w:id="2"/>
    <w:bookmarkEnd w:id="3"/>
    <w:bookmarkEnd w:id="4"/>
    <w:bookmarkEnd w:id="5"/>
    <w:bookmarkEnd w:id="6"/>
    <w:bookmarkEnd w:id="7"/>
    <w:bookmarkEnd w:id="8"/>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723"/>
        <w:gridCol w:w="1939"/>
        <w:gridCol w:w="662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651" w:type="dxa"/>
            <w:vAlign w:val="center"/>
          </w:tcPr>
          <w:p>
            <w:pPr>
              <w:widowControl w:val="0"/>
              <w:ind w:right="2" w:rightChars="1"/>
              <w:jc w:val="center"/>
              <w:rPr>
                <w:rFonts w:ascii="宋体" w:eastAsia="宋体" w:hAnsi="宋体" w:cs="宋体" w:hint="eastAsia"/>
                <w:b/>
                <w:bCs/>
                <w:kern w:val="2"/>
                <w:lang w:eastAsia="zh-CN"/>
              </w:rPr>
            </w:pPr>
            <w:r>
              <w:rPr>
                <w:rFonts w:ascii="宋体" w:eastAsia="宋体" w:hAnsi="宋体" w:cs="宋体" w:hint="eastAsia"/>
                <w:b/>
                <w:bCs/>
                <w:kern w:val="2"/>
                <w:lang w:eastAsia="zh-CN"/>
              </w:rPr>
              <w:t>序号</w:t>
            </w:r>
          </w:p>
        </w:tc>
        <w:tc>
          <w:tcPr>
            <w:tcW w:w="1747" w:type="dxa"/>
            <w:vAlign w:val="center"/>
          </w:tcPr>
          <w:p>
            <w:pPr>
              <w:widowControl w:val="0"/>
              <w:ind w:right="2" w:rightChars="1"/>
              <w:jc w:val="center"/>
              <w:rPr>
                <w:rFonts w:ascii="宋体" w:eastAsia="宋体" w:hAnsi="宋体" w:cs="宋体" w:hint="eastAsia"/>
                <w:b/>
                <w:bCs/>
                <w:kern w:val="2"/>
                <w:lang w:eastAsia="zh-CN"/>
              </w:rPr>
            </w:pPr>
            <w:r>
              <w:rPr>
                <w:rFonts w:ascii="宋体" w:eastAsia="宋体" w:hAnsi="宋体" w:cs="宋体" w:hint="eastAsia"/>
                <w:b/>
                <w:bCs/>
                <w:kern w:val="2"/>
                <w:lang w:eastAsia="zh-CN"/>
              </w:rPr>
              <w:t>内容</w:t>
            </w:r>
          </w:p>
        </w:tc>
        <w:tc>
          <w:tcPr>
            <w:tcW w:w="5969" w:type="dxa"/>
            <w:vAlign w:val="center"/>
          </w:tcPr>
          <w:p>
            <w:pPr>
              <w:widowControl w:val="0"/>
              <w:ind w:right="2" w:rightChars="1"/>
              <w:jc w:val="center"/>
              <w:rPr>
                <w:rFonts w:ascii="宋体" w:eastAsia="宋体" w:hAnsi="宋体" w:cs="宋体" w:hint="eastAsia"/>
                <w:b/>
                <w:bCs/>
                <w:kern w:val="2"/>
                <w:lang w:eastAsia="zh-CN"/>
              </w:rPr>
            </w:pPr>
            <w:r>
              <w:rPr>
                <w:rFonts w:ascii="宋体" w:eastAsia="宋体" w:hAnsi="宋体" w:cs="宋体" w:hint="eastAsia"/>
                <w:b/>
                <w:bCs/>
                <w:kern w:val="2"/>
                <w:lang w:eastAsia="zh-CN"/>
              </w:rPr>
              <w:t>规定</w:t>
            </w:r>
          </w:p>
        </w:tc>
      </w:tr>
      <w:tr>
        <w:tblPrEx>
          <w:tblW w:w="5000" w:type="pct"/>
          <w:jc w:val="center"/>
          <w:tblLayout w:type="fixed"/>
          <w:tblCellMar>
            <w:top w:w="0" w:type="dxa"/>
            <w:left w:w="108" w:type="dxa"/>
            <w:bottom w:w="0" w:type="dxa"/>
            <w:right w:w="108" w:type="dxa"/>
          </w:tblCellMar>
        </w:tblPrEx>
        <w:trPr>
          <w:cantSplit/>
          <w:trHeight w:val="90"/>
          <w:jc w:val="center"/>
        </w:trPr>
        <w:tc>
          <w:tcPr>
            <w:tcW w:w="651" w:type="dxa"/>
            <w:vAlign w:val="center"/>
          </w:tcPr>
          <w:p>
            <w:pPr>
              <w:widowControl w:val="0"/>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1</w:t>
            </w:r>
          </w:p>
        </w:tc>
        <w:tc>
          <w:tcPr>
            <w:tcW w:w="1747" w:type="dxa"/>
            <w:vAlign w:val="center"/>
          </w:tcPr>
          <w:p>
            <w:pPr>
              <w:widowControl w:val="0"/>
              <w:jc w:val="center"/>
              <w:rPr>
                <w:rFonts w:ascii="宋体" w:eastAsia="宋体" w:hAnsi="宋体" w:cs="宋体" w:hint="eastAsia"/>
                <w:kern w:val="2"/>
                <w:lang w:eastAsia="zh-CN"/>
              </w:rPr>
            </w:pPr>
            <w:bookmarkStart w:id="9" w:name="OLE_LINK6"/>
            <w:r>
              <w:rPr>
                <w:rFonts w:ascii="宋体" w:eastAsia="宋体" w:hAnsi="宋体" w:cs="宋体" w:hint="eastAsia"/>
                <w:kern w:val="2"/>
                <w:lang w:eastAsia="zh-CN"/>
              </w:rPr>
              <w:t>招标人</w:t>
            </w:r>
            <w:bookmarkEnd w:id="9"/>
          </w:p>
        </w:tc>
        <w:tc>
          <w:tcPr>
            <w:tcW w:w="5969" w:type="dxa"/>
            <w:vAlign w:val="center"/>
          </w:tcPr>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深圳市罗湖区翠竹街道办事处</w:t>
            </w:r>
          </w:p>
        </w:tc>
      </w:tr>
      <w:tr>
        <w:tblPrEx>
          <w:tblW w:w="5000" w:type="pct"/>
          <w:jc w:val="center"/>
          <w:tblLayout w:type="fixed"/>
          <w:tblCellMar>
            <w:top w:w="0" w:type="dxa"/>
            <w:left w:w="108" w:type="dxa"/>
            <w:bottom w:w="0" w:type="dxa"/>
            <w:right w:w="108" w:type="dxa"/>
          </w:tblCellMar>
        </w:tblPrEx>
        <w:trPr>
          <w:cantSplit/>
          <w:trHeight w:val="20"/>
          <w:jc w:val="center"/>
        </w:trPr>
        <w:tc>
          <w:tcPr>
            <w:tcW w:w="651" w:type="dxa"/>
            <w:vAlign w:val="center"/>
          </w:tcPr>
          <w:p>
            <w:pPr>
              <w:widowControl w:val="0"/>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2</w:t>
            </w:r>
          </w:p>
        </w:tc>
        <w:tc>
          <w:tcPr>
            <w:tcW w:w="1747"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项目名称</w:t>
            </w:r>
          </w:p>
        </w:tc>
        <w:tc>
          <w:tcPr>
            <w:tcW w:w="5969" w:type="dxa"/>
            <w:vAlign w:val="center"/>
          </w:tcPr>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翠竹街道综合文体中心社会化运营项目</w:t>
            </w:r>
          </w:p>
        </w:tc>
      </w:tr>
      <w:tr>
        <w:tblPrEx>
          <w:tblW w:w="5000" w:type="pct"/>
          <w:jc w:val="center"/>
          <w:tblLayout w:type="fixed"/>
          <w:tblCellMar>
            <w:top w:w="0" w:type="dxa"/>
            <w:left w:w="108" w:type="dxa"/>
            <w:bottom w:w="0" w:type="dxa"/>
            <w:right w:w="108" w:type="dxa"/>
          </w:tblCellMar>
        </w:tblPrEx>
        <w:trPr>
          <w:cantSplit/>
          <w:trHeight w:val="516"/>
          <w:jc w:val="center"/>
        </w:trPr>
        <w:tc>
          <w:tcPr>
            <w:tcW w:w="651" w:type="dxa"/>
            <w:vAlign w:val="center"/>
          </w:tcPr>
          <w:p>
            <w:pPr>
              <w:widowControl w:val="0"/>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3</w:t>
            </w:r>
          </w:p>
        </w:tc>
        <w:tc>
          <w:tcPr>
            <w:tcW w:w="1747"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开标一览表填写</w:t>
            </w:r>
          </w:p>
        </w:tc>
        <w:tc>
          <w:tcPr>
            <w:tcW w:w="5969" w:type="dxa"/>
            <w:vAlign w:val="center"/>
          </w:tcPr>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本项目为运营权招标，</w:t>
            </w:r>
            <w:r>
              <w:rPr>
                <w:rFonts w:ascii="宋体" w:eastAsia="宋体" w:hAnsi="宋体" w:cs="宋体" w:hint="eastAsia"/>
                <w:snapToGrid w:val="0"/>
                <w:lang w:eastAsia="zh-CN"/>
              </w:rPr>
              <w:t>开标一览表的填写不做要求，评审委员会不得以开标一览表的填写问题为由判定投标人投标无效。</w:t>
            </w:r>
          </w:p>
        </w:tc>
      </w:tr>
      <w:tr>
        <w:tblPrEx>
          <w:tblW w:w="5000" w:type="pct"/>
          <w:jc w:val="center"/>
          <w:tblLayout w:type="fixed"/>
          <w:tblCellMar>
            <w:top w:w="0" w:type="dxa"/>
            <w:left w:w="108" w:type="dxa"/>
            <w:bottom w:w="0" w:type="dxa"/>
            <w:right w:w="108" w:type="dxa"/>
          </w:tblCellMar>
        </w:tblPrEx>
        <w:trPr>
          <w:cantSplit/>
          <w:trHeight w:val="20"/>
          <w:jc w:val="center"/>
        </w:trPr>
        <w:tc>
          <w:tcPr>
            <w:tcW w:w="651" w:type="dxa"/>
            <w:vAlign w:val="center"/>
          </w:tcPr>
          <w:p>
            <w:pPr>
              <w:widowControl w:val="0"/>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4</w:t>
            </w:r>
          </w:p>
        </w:tc>
        <w:tc>
          <w:tcPr>
            <w:tcW w:w="1747"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投标报价</w:t>
            </w:r>
          </w:p>
        </w:tc>
        <w:tc>
          <w:tcPr>
            <w:tcW w:w="5969" w:type="dxa"/>
            <w:vAlign w:val="center"/>
          </w:tcPr>
          <w:p>
            <w:pPr>
              <w:widowControl w:val="0"/>
              <w:ind w:right="2" w:rightChars="1"/>
              <w:jc w:val="both"/>
              <w:rPr>
                <w:rFonts w:ascii="宋体" w:eastAsia="宋体" w:hAnsi="宋体" w:cs="宋体" w:hint="eastAsia"/>
                <w:kern w:val="2"/>
                <w:u w:val="single"/>
                <w:lang w:eastAsia="zh-CN"/>
              </w:rPr>
            </w:pPr>
            <w:r>
              <w:rPr>
                <w:rFonts w:ascii="宋体" w:eastAsia="宋体" w:hAnsi="宋体" w:cs="宋体" w:hint="eastAsia"/>
                <w:kern w:val="2"/>
                <w:lang w:eastAsia="zh-CN"/>
              </w:rPr>
              <w:t>☑人民币□其他：</w:t>
            </w:r>
          </w:p>
          <w:p>
            <w:pPr>
              <w:widowControl w:val="0"/>
              <w:ind w:right="2" w:rightChars="1"/>
              <w:jc w:val="both"/>
              <w:rPr>
                <w:rFonts w:ascii="宋体" w:eastAsia="宋体" w:hAnsi="宋体" w:cs="宋体" w:hint="eastAsia"/>
                <w:kern w:val="2"/>
                <w:lang w:eastAsia="zh-CN"/>
              </w:rPr>
            </w:pPr>
            <w:r>
              <w:rPr>
                <w:rFonts w:ascii="宋体" w:eastAsia="宋体" w:hAnsi="宋体" w:cs="宋体" w:hint="eastAsia"/>
                <w:kern w:val="2"/>
                <w:lang w:eastAsia="zh-CN"/>
              </w:rPr>
              <w:t>1）投标报价：招标人指定目的地服务价。</w:t>
            </w:r>
          </w:p>
          <w:p>
            <w:pPr>
              <w:widowControl w:val="0"/>
              <w:ind w:right="2" w:rightChars="1"/>
              <w:jc w:val="both"/>
              <w:rPr>
                <w:rFonts w:ascii="宋体" w:eastAsia="宋体" w:hAnsi="宋体" w:cs="宋体" w:hint="eastAsia"/>
                <w:kern w:val="2"/>
                <w:lang w:eastAsia="zh-CN"/>
              </w:rPr>
            </w:pPr>
            <w:r>
              <w:rPr>
                <w:rFonts w:ascii="宋体" w:eastAsia="宋体" w:hAnsi="宋体" w:cs="宋体" w:hint="eastAsia"/>
                <w:kern w:val="2"/>
                <w:lang w:eastAsia="zh-CN"/>
              </w:rPr>
              <w:t>2）投标报价应包含的相关费用有：服务期内应含所投服务的费用、税费（包括但不限于增值税等）及其他所发生的费用。本次投标产生的一切费用由投标人自理。投标报价为最终报价，投标人不得要求追加任何费用。</w:t>
            </w:r>
          </w:p>
        </w:tc>
      </w:tr>
      <w:tr>
        <w:tblPrEx>
          <w:tblW w:w="5000" w:type="pct"/>
          <w:jc w:val="center"/>
          <w:tblLayout w:type="fixed"/>
          <w:tblCellMar>
            <w:top w:w="0" w:type="dxa"/>
            <w:left w:w="108" w:type="dxa"/>
            <w:bottom w:w="0" w:type="dxa"/>
            <w:right w:w="108" w:type="dxa"/>
          </w:tblCellMar>
        </w:tblPrEx>
        <w:trPr>
          <w:cantSplit/>
          <w:trHeight w:val="20"/>
          <w:jc w:val="center"/>
        </w:trPr>
        <w:tc>
          <w:tcPr>
            <w:tcW w:w="651" w:type="dxa"/>
            <w:vAlign w:val="center"/>
          </w:tcPr>
          <w:p>
            <w:pPr>
              <w:widowControl w:val="0"/>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5</w:t>
            </w:r>
          </w:p>
        </w:tc>
        <w:tc>
          <w:tcPr>
            <w:tcW w:w="1747"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投标人的资格要求</w:t>
            </w:r>
          </w:p>
        </w:tc>
        <w:tc>
          <w:tcPr>
            <w:tcW w:w="5969" w:type="dxa"/>
            <w:vAlign w:val="center"/>
          </w:tcPr>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详见“招标公告”。</w:t>
            </w:r>
          </w:p>
        </w:tc>
      </w:tr>
      <w:tr>
        <w:tblPrEx>
          <w:tblW w:w="5000" w:type="pct"/>
          <w:jc w:val="center"/>
          <w:tblLayout w:type="fixed"/>
          <w:tblCellMar>
            <w:top w:w="0" w:type="dxa"/>
            <w:left w:w="108" w:type="dxa"/>
            <w:bottom w:w="0" w:type="dxa"/>
            <w:right w:w="108" w:type="dxa"/>
          </w:tblCellMar>
        </w:tblPrEx>
        <w:trPr>
          <w:cantSplit/>
          <w:trHeight w:val="20"/>
          <w:jc w:val="center"/>
        </w:trPr>
        <w:tc>
          <w:tcPr>
            <w:tcW w:w="651" w:type="dxa"/>
            <w:vAlign w:val="center"/>
          </w:tcPr>
          <w:p>
            <w:pPr>
              <w:widowControl w:val="0"/>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6</w:t>
            </w:r>
          </w:p>
        </w:tc>
        <w:tc>
          <w:tcPr>
            <w:tcW w:w="1747"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联合体投标</w:t>
            </w:r>
          </w:p>
        </w:tc>
        <w:tc>
          <w:tcPr>
            <w:tcW w:w="5969" w:type="dxa"/>
            <w:vAlign w:val="center"/>
          </w:tcPr>
          <w:p>
            <w:pPr>
              <w:widowControl w:val="0"/>
              <w:spacing w:before="78" w:beforeLines="25" w:after="78" w:afterLines="25"/>
              <w:ind w:firstLine="0"/>
              <w:jc w:val="both"/>
              <w:rPr>
                <w:rFonts w:ascii="宋体" w:eastAsia="宋体" w:hAnsi="宋体" w:cs="宋体" w:hint="eastAsia"/>
                <w:kern w:val="2"/>
                <w:lang w:eastAsia="zh-CN"/>
              </w:rPr>
            </w:pPr>
            <w:r>
              <w:rPr>
                <w:rFonts w:ascii="宋体" w:eastAsia="宋体" w:hAnsi="宋体" w:cs="宋体" w:hint="eastAsia"/>
                <w:kern w:val="2"/>
                <w:lang w:eastAsia="zh-CN"/>
              </w:rPr>
              <w:t>本</w:t>
            </w:r>
            <w:r>
              <w:rPr>
                <w:rFonts w:ascii="宋体" w:eastAsia="宋体" w:hAnsi="宋体" w:cs="宋体" w:hint="eastAsia"/>
                <w:kern w:val="2"/>
                <w:lang w:eastAsia="zh-CN"/>
              </w:rPr>
              <w:t>项目</w:t>
            </w:r>
            <w:r>
              <w:rPr>
                <w:rFonts w:ascii="宋体" w:eastAsia="宋体" w:hAnsi="宋体" w:cs="宋体" w:hint="eastAsia"/>
                <w:lang w:eastAsia="zh-CN"/>
              </w:rPr>
              <w:t>不接受</w:t>
            </w:r>
            <w:r>
              <w:rPr>
                <w:rFonts w:ascii="宋体" w:eastAsia="宋体" w:hAnsi="宋体" w:cs="宋体" w:hint="eastAsia"/>
                <w:kern w:val="2"/>
                <w:lang w:eastAsia="zh-CN"/>
              </w:rPr>
              <w:t>联合体投标</w:t>
            </w:r>
            <w:r>
              <w:rPr>
                <w:rFonts w:ascii="宋体" w:eastAsia="宋体" w:hAnsi="宋体" w:cs="宋体" w:hint="eastAsia"/>
                <w:kern w:val="2"/>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651" w:type="dxa"/>
            <w:vAlign w:val="center"/>
          </w:tcPr>
          <w:p>
            <w:pPr>
              <w:widowControl w:val="0"/>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7</w:t>
            </w:r>
          </w:p>
        </w:tc>
        <w:tc>
          <w:tcPr>
            <w:tcW w:w="1747" w:type="dxa"/>
            <w:vAlign w:val="center"/>
          </w:tcPr>
          <w:p>
            <w:pPr>
              <w:widowControl w:val="0"/>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投标有效期</w:t>
            </w:r>
          </w:p>
        </w:tc>
        <w:tc>
          <w:tcPr>
            <w:tcW w:w="5969" w:type="dxa"/>
            <w:vAlign w:val="center"/>
          </w:tcPr>
          <w:p>
            <w:pPr>
              <w:widowControl w:val="0"/>
              <w:ind w:right="2" w:rightChars="1"/>
              <w:jc w:val="both"/>
              <w:rPr>
                <w:rFonts w:ascii="宋体" w:eastAsia="宋体" w:hAnsi="宋体" w:cs="宋体" w:hint="eastAsia"/>
                <w:kern w:val="2"/>
                <w:lang w:eastAsia="zh-CN"/>
              </w:rPr>
            </w:pPr>
            <w:r>
              <w:rPr>
                <w:rFonts w:ascii="宋体" w:eastAsia="宋体" w:hAnsi="宋体" w:cs="宋体" w:hint="eastAsia"/>
                <w:kern w:val="2"/>
                <w:u w:val="single"/>
                <w:lang w:eastAsia="zh-CN"/>
              </w:rPr>
              <w:t>120日历天</w:t>
            </w:r>
            <w:r>
              <w:rPr>
                <w:rFonts w:ascii="宋体" w:eastAsia="宋体" w:hAnsi="宋体" w:cs="宋体" w:hint="eastAsia"/>
                <w:kern w:val="2"/>
                <w:lang w:eastAsia="zh-CN"/>
              </w:rPr>
              <w:t>（从投标截止之日算起）。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651" w:type="dxa"/>
            <w:vAlign w:val="center"/>
          </w:tcPr>
          <w:p>
            <w:pPr>
              <w:widowControl w:val="0"/>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8</w:t>
            </w:r>
          </w:p>
        </w:tc>
        <w:tc>
          <w:tcPr>
            <w:tcW w:w="1747" w:type="dxa"/>
            <w:vAlign w:val="center"/>
          </w:tcPr>
          <w:p>
            <w:pPr>
              <w:widowControl w:val="0"/>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投标人的替代方案</w:t>
            </w:r>
          </w:p>
        </w:tc>
        <w:tc>
          <w:tcPr>
            <w:tcW w:w="5969" w:type="dxa"/>
            <w:vAlign w:val="center"/>
          </w:tcPr>
          <w:p>
            <w:pPr>
              <w:widowControl w:val="0"/>
              <w:ind w:right="2" w:rightChars="1"/>
              <w:jc w:val="both"/>
              <w:rPr>
                <w:rFonts w:ascii="宋体" w:eastAsia="宋体" w:hAnsi="宋体" w:cs="宋体" w:hint="eastAsia"/>
                <w:kern w:val="2"/>
                <w:lang w:eastAsia="zh-CN"/>
              </w:rPr>
            </w:pPr>
            <w:r>
              <w:rPr>
                <w:rFonts w:ascii="宋体" w:eastAsia="宋体" w:hAnsi="宋体" w:cs="宋体" w:hint="eastAsia"/>
                <w:kern w:val="2"/>
                <w:lang w:eastAsia="zh-CN"/>
              </w:rPr>
              <w:t>不允许。</w:t>
            </w:r>
          </w:p>
        </w:tc>
      </w:tr>
      <w:tr>
        <w:tblPrEx>
          <w:tblW w:w="5000" w:type="pct"/>
          <w:jc w:val="center"/>
          <w:tblLayout w:type="fixed"/>
          <w:tblCellMar>
            <w:top w:w="0" w:type="dxa"/>
            <w:left w:w="108" w:type="dxa"/>
            <w:bottom w:w="0" w:type="dxa"/>
            <w:right w:w="108" w:type="dxa"/>
          </w:tblCellMar>
        </w:tblPrEx>
        <w:trPr>
          <w:cantSplit/>
          <w:trHeight w:val="326"/>
          <w:jc w:val="center"/>
        </w:trPr>
        <w:tc>
          <w:tcPr>
            <w:tcW w:w="651" w:type="dxa"/>
            <w:tcBorders>
              <w:bottom w:val="single" w:sz="4" w:space="0" w:color="auto"/>
            </w:tcBorders>
            <w:vAlign w:val="center"/>
          </w:tcPr>
          <w:p>
            <w:pPr>
              <w:widowControl w:val="0"/>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9</w:t>
            </w:r>
          </w:p>
        </w:tc>
        <w:tc>
          <w:tcPr>
            <w:tcW w:w="1747" w:type="dxa"/>
            <w:tcBorders>
              <w:bottom w:val="single" w:sz="4" w:space="0" w:color="auto"/>
            </w:tcBorders>
            <w:vAlign w:val="center"/>
          </w:tcPr>
          <w:p>
            <w:pPr>
              <w:widowControl w:val="0"/>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投标文件的投递</w:t>
            </w:r>
          </w:p>
        </w:tc>
        <w:tc>
          <w:tcPr>
            <w:tcW w:w="5969" w:type="dxa"/>
            <w:tcBorders>
              <w:bottom w:val="single" w:sz="4" w:space="0" w:color="auto"/>
            </w:tcBorders>
            <w:vAlign w:val="center"/>
          </w:tcPr>
          <w:p>
            <w:pPr>
              <w:widowControl w:val="0"/>
              <w:ind w:right="2" w:rightChars="1"/>
              <w:jc w:val="both"/>
              <w:rPr>
                <w:rFonts w:ascii="宋体" w:eastAsia="宋体" w:hAnsi="宋体" w:cs="宋体" w:hint="eastAsia"/>
                <w:kern w:val="2"/>
                <w:lang w:eastAsia="zh-CN"/>
              </w:rPr>
            </w:pPr>
            <w:r>
              <w:rPr>
                <w:rFonts w:ascii="宋体" w:eastAsia="宋体" w:hAnsi="宋体" w:cs="宋体" w:hint="eastAsia"/>
                <w:kern w:val="2"/>
                <w:lang w:eastAsia="zh-CN"/>
              </w:rPr>
              <w:t>本项目实行网上投标，投标人必须在招标文件规定的投标截止时间前将编制好的电子投标文件上传，投标文件大小不得超过100MB。</w:t>
            </w:r>
          </w:p>
        </w:tc>
      </w:tr>
      <w:tr>
        <w:tblPrEx>
          <w:tblW w:w="5000" w:type="pct"/>
          <w:jc w:val="center"/>
          <w:tblLayout w:type="fixed"/>
          <w:tblCellMar>
            <w:top w:w="0" w:type="dxa"/>
            <w:left w:w="108" w:type="dxa"/>
            <w:bottom w:w="0" w:type="dxa"/>
            <w:right w:w="108" w:type="dxa"/>
          </w:tblCellMar>
        </w:tblPrEx>
        <w:trPr>
          <w:cantSplit/>
          <w:trHeight w:val="326"/>
          <w:jc w:val="center"/>
        </w:trPr>
        <w:tc>
          <w:tcPr>
            <w:tcW w:w="651" w:type="dxa"/>
            <w:tcBorders>
              <w:bottom w:val="single" w:sz="4" w:space="0" w:color="auto"/>
            </w:tcBorders>
            <w:vAlign w:val="center"/>
          </w:tcPr>
          <w:p>
            <w:pPr>
              <w:widowControl w:val="0"/>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10</w:t>
            </w:r>
          </w:p>
        </w:tc>
        <w:tc>
          <w:tcPr>
            <w:tcW w:w="1747" w:type="dxa"/>
            <w:tcBorders>
              <w:bottom w:val="single" w:sz="4" w:space="0" w:color="auto"/>
            </w:tcBorders>
            <w:vAlign w:val="center"/>
          </w:tcPr>
          <w:p>
            <w:pPr>
              <w:widowControl w:val="0"/>
              <w:ind w:right="2" w:rightChars="1"/>
              <w:jc w:val="center"/>
              <w:rPr>
                <w:rFonts w:ascii="宋体" w:eastAsia="宋体" w:hAnsi="宋体" w:cs="宋体" w:hint="eastAsia"/>
                <w:b/>
                <w:bCs/>
                <w:kern w:val="2"/>
                <w:lang w:eastAsia="zh-CN"/>
              </w:rPr>
            </w:pPr>
            <w:r>
              <w:rPr>
                <w:rFonts w:ascii="宋体" w:eastAsia="宋体" w:hAnsi="宋体" w:cs="宋体" w:hint="eastAsia"/>
                <w:b/>
                <w:bCs/>
                <w:kern w:val="2"/>
                <w:lang w:eastAsia="zh-CN"/>
              </w:rPr>
              <w:t>投标保证金</w:t>
            </w:r>
          </w:p>
        </w:tc>
        <w:tc>
          <w:tcPr>
            <w:tcW w:w="5969" w:type="dxa"/>
            <w:tcBorders>
              <w:bottom w:val="single" w:sz="4" w:space="0" w:color="auto"/>
            </w:tcBorders>
            <w:vAlign w:val="center"/>
          </w:tcPr>
          <w:p>
            <w:pPr>
              <w:widowControl w:val="0"/>
              <w:jc w:val="both"/>
              <w:rPr>
                <w:rFonts w:ascii="宋体" w:eastAsia="宋体" w:hAnsi="宋体" w:cs="宋体" w:hint="eastAsia"/>
                <w:kern w:val="2"/>
                <w:sz w:val="21"/>
                <w:szCs w:val="22"/>
                <w:lang w:eastAsia="zh-CN"/>
              </w:rPr>
            </w:pPr>
            <w:r>
              <w:rPr>
                <w:rFonts w:ascii="宋体" w:eastAsia="宋体" w:hAnsi="宋体" w:cs="宋体" w:hint="eastAsia"/>
                <w:kern w:val="2"/>
                <w:lang w:eastAsia="zh-CN"/>
              </w:rPr>
              <w:t>是否要求递交投标保证金：□要求☑不要求</w:t>
            </w:r>
          </w:p>
        </w:tc>
      </w:tr>
      <w:tr>
        <w:tblPrEx>
          <w:tblW w:w="5000" w:type="pct"/>
          <w:jc w:val="center"/>
          <w:tblLayout w:type="fixed"/>
          <w:tblCellMar>
            <w:top w:w="0" w:type="dxa"/>
            <w:left w:w="108" w:type="dxa"/>
            <w:bottom w:w="0" w:type="dxa"/>
            <w:right w:w="108" w:type="dxa"/>
          </w:tblCellMar>
        </w:tblPrEx>
        <w:trPr>
          <w:cantSplit/>
          <w:trHeight w:val="326"/>
          <w:jc w:val="center"/>
        </w:trPr>
        <w:tc>
          <w:tcPr>
            <w:tcW w:w="651" w:type="dxa"/>
            <w:vAlign w:val="center"/>
          </w:tcPr>
          <w:p>
            <w:pPr>
              <w:widowControl w:val="0"/>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11</w:t>
            </w:r>
          </w:p>
        </w:tc>
        <w:tc>
          <w:tcPr>
            <w:tcW w:w="1747" w:type="dxa"/>
            <w:vAlign w:val="center"/>
          </w:tcPr>
          <w:p>
            <w:pPr>
              <w:widowControl w:val="0"/>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项目类型及参照法规</w:t>
            </w:r>
          </w:p>
        </w:tc>
        <w:tc>
          <w:tcPr>
            <w:tcW w:w="5969" w:type="dxa"/>
            <w:vAlign w:val="center"/>
          </w:tcPr>
          <w:p>
            <w:pPr>
              <w:widowControl w:val="0"/>
              <w:ind w:right="2" w:rightChars="1"/>
              <w:jc w:val="both"/>
              <w:rPr>
                <w:rFonts w:ascii="宋体" w:eastAsia="宋体" w:hAnsi="宋体" w:cs="宋体" w:hint="eastAsia"/>
                <w:kern w:val="2"/>
                <w:lang w:eastAsia="zh-CN"/>
              </w:rPr>
            </w:pPr>
            <w:r>
              <w:rPr>
                <w:rFonts w:ascii="宋体" w:eastAsia="宋体" w:hAnsi="宋体" w:cs="宋体" w:hint="eastAsia"/>
                <w:kern w:val="2"/>
                <w:lang w:eastAsia="zh-CN"/>
              </w:rPr>
              <w:t>本项目为运营权项目，参照《中华人民共和国招标投标法》《中华人民共和国政府采购法》《</w:t>
            </w:r>
            <w:hyperlink r:id="rId4" w:tgtFrame="https://www.baidu.com/_blank" w:history="1">
              <w:r>
                <w:rPr>
                  <w:rFonts w:ascii="宋体" w:eastAsia="宋体" w:hAnsi="宋体" w:cs="宋体" w:hint="eastAsia"/>
                  <w:kern w:val="2"/>
                  <w:lang w:eastAsia="zh-CN"/>
                </w:rPr>
                <w:t>中华人民共和国民法典</w:t>
              </w:r>
            </w:hyperlink>
            <w:r>
              <w:rPr>
                <w:rFonts w:ascii="宋体" w:eastAsia="宋体" w:hAnsi="宋体" w:cs="宋体" w:hint="eastAsia"/>
                <w:kern w:val="2"/>
                <w:lang w:eastAsia="zh-CN"/>
              </w:rPr>
              <w:t>》，并参照有关法规、政策、规章、规定通过公开招标择优选定</w:t>
            </w:r>
            <w:r>
              <w:rPr>
                <w:rFonts w:ascii="宋体" w:eastAsia="宋体" w:hAnsi="宋体" w:cs="宋体" w:hint="eastAsia"/>
                <w:kern w:val="2"/>
                <w:lang w:eastAsia="zh-CN"/>
              </w:rPr>
              <w:t>运营方</w:t>
            </w:r>
            <w:r>
              <w:rPr>
                <w:rFonts w:ascii="宋体" w:eastAsia="宋体" w:hAnsi="宋体" w:cs="宋体" w:hint="eastAsia"/>
                <w:kern w:val="2"/>
                <w:lang w:eastAsia="zh-CN"/>
              </w:rPr>
              <w:t>。</w:t>
            </w:r>
          </w:p>
        </w:tc>
      </w:tr>
      <w:tr>
        <w:tblPrEx>
          <w:tblW w:w="5000" w:type="pct"/>
          <w:jc w:val="center"/>
          <w:tblLayout w:type="fixed"/>
          <w:tblCellMar>
            <w:top w:w="0" w:type="dxa"/>
            <w:left w:w="108" w:type="dxa"/>
            <w:bottom w:w="0" w:type="dxa"/>
            <w:right w:w="108" w:type="dxa"/>
          </w:tblCellMar>
        </w:tblPrEx>
        <w:trPr>
          <w:cantSplit/>
          <w:trHeight w:val="326"/>
          <w:jc w:val="center"/>
        </w:trPr>
        <w:tc>
          <w:tcPr>
            <w:tcW w:w="651" w:type="dxa"/>
            <w:vAlign w:val="center"/>
          </w:tcPr>
          <w:p>
            <w:pPr>
              <w:widowControl w:val="0"/>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12</w:t>
            </w:r>
          </w:p>
        </w:tc>
        <w:tc>
          <w:tcPr>
            <w:tcW w:w="1747" w:type="dxa"/>
            <w:vAlign w:val="center"/>
          </w:tcPr>
          <w:p>
            <w:pPr>
              <w:widowControl w:val="0"/>
              <w:ind w:right="2" w:rightChars="1"/>
              <w:jc w:val="center"/>
              <w:rPr>
                <w:rFonts w:ascii="宋体" w:eastAsia="宋体" w:hAnsi="宋体" w:cs="宋体" w:hint="eastAsia"/>
                <w:kern w:val="2"/>
                <w:lang w:eastAsia="zh-CN"/>
              </w:rPr>
            </w:pPr>
            <w:r>
              <w:rPr>
                <w:rFonts w:ascii="宋体" w:eastAsia="宋体" w:hAnsi="宋体" w:cs="宋体" w:hint="eastAsia"/>
                <w:b/>
                <w:bCs/>
                <w:kern w:val="2"/>
                <w:lang w:eastAsia="zh-CN"/>
              </w:rPr>
              <w:t>招标代理服务费</w:t>
            </w:r>
          </w:p>
        </w:tc>
        <w:tc>
          <w:tcPr>
            <w:tcW w:w="5969" w:type="dxa"/>
            <w:vAlign w:val="center"/>
          </w:tcPr>
          <w:p>
            <w:pPr>
              <w:widowControl w:val="0"/>
              <w:jc w:val="left"/>
              <w:rPr>
                <w:rFonts w:ascii="宋体" w:eastAsia="宋体" w:hAnsi="宋体" w:cs="宋体" w:hint="eastAsia"/>
                <w:bCs/>
                <w:kern w:val="2"/>
                <w:lang w:eastAsia="zh-CN"/>
              </w:rPr>
            </w:pPr>
            <w:r>
              <w:rPr>
                <w:rFonts w:ascii="宋体" w:eastAsia="宋体" w:hAnsi="宋体" w:cs="宋体" w:hint="eastAsia"/>
                <w:bCs/>
                <w:kern w:val="2"/>
                <w:lang w:eastAsia="zh-CN"/>
              </w:rPr>
              <w:t>本项目为运营权招标，招标代理费以</w:t>
            </w:r>
            <w:r>
              <w:rPr>
                <w:rFonts w:ascii="宋体" w:eastAsia="宋体" w:hAnsi="宋体" w:cs="宋体" w:hint="eastAsia"/>
                <w:bCs/>
                <w:kern w:val="2"/>
                <w:u w:val="single"/>
                <w:lang w:eastAsia="zh-CN"/>
              </w:rPr>
              <w:t>与采购单位确认的预估五年总收入</w:t>
            </w:r>
            <w:r>
              <w:rPr>
                <w:rFonts w:ascii="宋体" w:eastAsia="宋体" w:hAnsi="宋体" w:cs="宋体" w:hint="eastAsia"/>
                <w:bCs/>
                <w:kern w:val="2"/>
                <w:u w:val="single"/>
                <w:lang w:eastAsia="zh-CN"/>
              </w:rPr>
              <w:t>1462.23</w:t>
            </w:r>
            <w:r>
              <w:rPr>
                <w:rFonts w:ascii="宋体" w:eastAsia="宋体" w:hAnsi="宋体" w:cs="宋体" w:hint="eastAsia"/>
                <w:bCs/>
                <w:kern w:val="2"/>
                <w:u w:val="single"/>
                <w:lang w:eastAsia="zh-CN"/>
              </w:rPr>
              <w:t>万元</w:t>
            </w:r>
            <w:r>
              <w:rPr>
                <w:rFonts w:ascii="宋体" w:eastAsia="宋体" w:hAnsi="宋体" w:cs="宋体" w:hint="eastAsia"/>
                <w:bCs/>
                <w:kern w:val="2"/>
                <w:lang w:eastAsia="zh-CN"/>
              </w:rPr>
              <w:t>作为计费基数，根据《关于印发深圳交易集团有限公司（深圳公共资源交易中心）业务收费标准的通知》（深交易〔2023〕69号），按“经营权交易业务”计算，为</w:t>
            </w:r>
            <w:r>
              <w:rPr>
                <w:rFonts w:ascii="宋体" w:eastAsia="宋体" w:hAnsi="宋体" w:cs="宋体" w:hint="eastAsia"/>
                <w:bCs/>
                <w:kern w:val="2"/>
                <w:u w:val="single"/>
                <w:lang w:eastAsia="zh-CN"/>
              </w:rPr>
              <w:t>人民币</w:t>
            </w:r>
            <w:r>
              <w:rPr>
                <w:rFonts w:ascii="宋体" w:eastAsia="宋体" w:hAnsi="宋体" w:cs="宋体" w:hint="eastAsia"/>
                <w:bCs/>
                <w:kern w:val="2"/>
                <w:u w:val="single"/>
                <w:lang w:eastAsia="zh-CN"/>
              </w:rPr>
              <w:t>捌万壹仟零伍拾伍</w:t>
            </w:r>
            <w:r>
              <w:rPr>
                <w:rFonts w:ascii="宋体" w:eastAsia="宋体" w:hAnsi="宋体" w:cs="宋体" w:hint="eastAsia"/>
                <w:bCs/>
                <w:kern w:val="2"/>
                <w:u w:val="single"/>
                <w:lang w:eastAsia="zh-CN"/>
              </w:rPr>
              <w:t>元</w:t>
            </w:r>
            <w:r>
              <w:rPr>
                <w:rFonts w:ascii="宋体" w:eastAsia="宋体" w:hAnsi="宋体" w:cs="宋体" w:hint="eastAsia"/>
                <w:bCs/>
                <w:kern w:val="2"/>
                <w:u w:val="single"/>
                <w:lang w:eastAsia="zh-CN"/>
              </w:rPr>
              <w:t>柒</w:t>
            </w:r>
            <w:r>
              <w:rPr>
                <w:rFonts w:ascii="宋体" w:eastAsia="宋体" w:hAnsi="宋体" w:cs="宋体" w:hint="eastAsia"/>
                <w:bCs/>
                <w:kern w:val="2"/>
                <w:u w:val="single"/>
                <w:lang w:eastAsia="zh-CN"/>
              </w:rPr>
              <w:t>角</w:t>
            </w:r>
            <w:r>
              <w:rPr>
                <w:rFonts w:ascii="宋体" w:eastAsia="宋体" w:hAnsi="宋体" w:cs="宋体" w:hint="eastAsia"/>
                <w:bCs/>
                <w:kern w:val="2"/>
                <w:u w:val="single"/>
                <w:lang w:eastAsia="zh-CN"/>
              </w:rPr>
              <w:t>伍</w:t>
            </w:r>
            <w:r>
              <w:rPr>
                <w:rFonts w:ascii="宋体" w:eastAsia="宋体" w:hAnsi="宋体" w:cs="宋体" w:hint="eastAsia"/>
                <w:bCs/>
                <w:kern w:val="2"/>
                <w:u w:val="single"/>
                <w:lang w:eastAsia="zh-CN"/>
              </w:rPr>
              <w:t>分</w:t>
            </w:r>
            <w:r>
              <w:rPr>
                <w:rFonts w:ascii="宋体" w:eastAsia="宋体" w:hAnsi="宋体" w:cs="宋体" w:hint="eastAsia"/>
                <w:bCs/>
                <w:kern w:val="2"/>
                <w:lang w:eastAsia="zh-CN"/>
              </w:rPr>
              <w:t>（￥</w:t>
            </w:r>
            <w:r>
              <w:rPr>
                <w:rFonts w:ascii="宋体" w:eastAsia="宋体" w:hAnsi="宋体" w:cs="宋体" w:hint="eastAsia"/>
                <w:bCs/>
                <w:kern w:val="2"/>
                <w:lang w:eastAsia="zh-CN"/>
              </w:rPr>
              <w:t>81055.75</w:t>
            </w:r>
            <w:r>
              <w:rPr>
                <w:rFonts w:ascii="宋体" w:eastAsia="宋体" w:hAnsi="宋体" w:cs="宋体" w:hint="eastAsia"/>
                <w:bCs/>
                <w:kern w:val="2"/>
                <w:lang w:eastAsia="zh-CN"/>
              </w:rPr>
              <w:t>元），由中标人向招标代理机构支付。</w:t>
            </w:r>
          </w:p>
        </w:tc>
      </w:tr>
      <w:tr>
        <w:tblPrEx>
          <w:tblW w:w="5000" w:type="pct"/>
          <w:jc w:val="center"/>
          <w:tblLayout w:type="fixed"/>
          <w:tblCellMar>
            <w:top w:w="0" w:type="dxa"/>
            <w:left w:w="108" w:type="dxa"/>
            <w:bottom w:w="0" w:type="dxa"/>
            <w:right w:w="108" w:type="dxa"/>
          </w:tblCellMar>
        </w:tblPrEx>
        <w:trPr>
          <w:cantSplit/>
          <w:trHeight w:val="326"/>
          <w:jc w:val="center"/>
        </w:trPr>
        <w:tc>
          <w:tcPr>
            <w:tcW w:w="651" w:type="dxa"/>
            <w:vAlign w:val="center"/>
          </w:tcPr>
          <w:p>
            <w:pPr>
              <w:widowControl w:val="0"/>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13</w:t>
            </w:r>
          </w:p>
        </w:tc>
        <w:tc>
          <w:tcPr>
            <w:tcW w:w="1747" w:type="dxa"/>
            <w:vAlign w:val="center"/>
          </w:tcPr>
          <w:p>
            <w:pPr>
              <w:widowControl w:val="0"/>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是否</w:t>
            </w:r>
            <w:bookmarkStart w:id="10" w:name="OLE_LINK12"/>
            <w:r>
              <w:rPr>
                <w:rFonts w:ascii="宋体" w:eastAsia="宋体" w:hAnsi="宋体" w:cs="宋体" w:hint="eastAsia"/>
                <w:kern w:val="2"/>
                <w:lang w:eastAsia="zh-CN"/>
              </w:rPr>
              <w:t>评定分离</w:t>
            </w:r>
            <w:bookmarkEnd w:id="10"/>
          </w:p>
        </w:tc>
        <w:tc>
          <w:tcPr>
            <w:tcW w:w="5969" w:type="dxa"/>
            <w:vAlign w:val="center"/>
          </w:tcPr>
          <w:p>
            <w:pPr>
              <w:widowControl w:val="0"/>
              <w:jc w:val="both"/>
              <w:rPr>
                <w:rFonts w:ascii="宋体" w:eastAsia="宋体" w:hAnsi="宋体" w:cs="宋体" w:hint="eastAsia"/>
                <w:b/>
                <w:kern w:val="2"/>
                <w:lang w:eastAsia="zh-CN"/>
              </w:rPr>
            </w:pPr>
            <w:r>
              <w:rPr>
                <w:rFonts w:ascii="宋体" w:eastAsia="宋体" w:hAnsi="宋体" w:cs="宋体" w:hint="eastAsia"/>
                <w:lang w:eastAsia="zh-CN"/>
              </w:rPr>
              <w:t>是</w:t>
            </w:r>
          </w:p>
        </w:tc>
      </w:tr>
      <w:tr>
        <w:tblPrEx>
          <w:tblW w:w="5000" w:type="pct"/>
          <w:jc w:val="center"/>
          <w:tblLayout w:type="fixed"/>
          <w:tblCellMar>
            <w:top w:w="0" w:type="dxa"/>
            <w:left w:w="108" w:type="dxa"/>
            <w:bottom w:w="0" w:type="dxa"/>
            <w:right w:w="108" w:type="dxa"/>
          </w:tblCellMar>
        </w:tblPrEx>
        <w:trPr>
          <w:cantSplit/>
          <w:trHeight w:val="326"/>
          <w:jc w:val="center"/>
        </w:trPr>
        <w:tc>
          <w:tcPr>
            <w:tcW w:w="651" w:type="dxa"/>
            <w:vAlign w:val="center"/>
          </w:tcPr>
          <w:p>
            <w:pPr>
              <w:widowControl w:val="0"/>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14</w:t>
            </w:r>
          </w:p>
        </w:tc>
        <w:tc>
          <w:tcPr>
            <w:tcW w:w="1747" w:type="dxa"/>
            <w:vAlign w:val="center"/>
          </w:tcPr>
          <w:p>
            <w:pPr>
              <w:widowControl w:val="0"/>
              <w:ind w:right="2" w:rightChars="1"/>
              <w:jc w:val="center"/>
              <w:rPr>
                <w:rFonts w:ascii="宋体" w:eastAsia="宋体" w:hAnsi="宋体" w:cs="宋体" w:hint="eastAsia"/>
                <w:kern w:val="2"/>
                <w:lang w:eastAsia="zh-CN"/>
              </w:rPr>
            </w:pPr>
            <w:r>
              <w:rPr>
                <w:rFonts w:ascii="宋体" w:eastAsia="宋体" w:hAnsi="宋体" w:cs="宋体" w:hint="eastAsia"/>
                <w:b/>
                <w:bCs/>
                <w:kern w:val="2"/>
                <w:lang w:eastAsia="zh-CN"/>
              </w:rPr>
              <w:t>履约担保</w:t>
            </w:r>
          </w:p>
        </w:tc>
        <w:tc>
          <w:tcPr>
            <w:tcW w:w="5969" w:type="dxa"/>
            <w:vAlign w:val="center"/>
          </w:tcPr>
          <w:p>
            <w:pPr>
              <w:widowControl w:val="0"/>
              <w:ind w:right="2" w:rightChars="1"/>
              <w:jc w:val="both"/>
              <w:rPr>
                <w:rFonts w:ascii="宋体" w:eastAsia="宋体" w:hAnsi="宋体" w:cs="宋体" w:hint="eastAsia"/>
                <w:lang w:eastAsia="zh-CN"/>
              </w:rPr>
            </w:pPr>
            <w:r>
              <w:rPr>
                <w:rFonts w:ascii="宋体" w:eastAsia="宋体" w:hAnsi="宋体" w:cs="宋体" w:hint="eastAsia"/>
                <w:lang w:eastAsia="zh-CN"/>
              </w:rPr>
              <w:t>是否要求中标人提交履约担保：</w:t>
            </w:r>
            <w:r>
              <w:rPr>
                <w:rFonts w:ascii="宋体" w:eastAsia="宋体" w:hAnsi="宋体" w:cs="宋体" w:hint="eastAsia"/>
                <w:lang w:eastAsia="zh-CN"/>
              </w:rPr>
              <w:t>☑</w:t>
            </w:r>
            <w:r>
              <w:rPr>
                <w:rFonts w:ascii="宋体" w:eastAsia="宋体" w:hAnsi="宋体" w:cs="宋体" w:hint="eastAsia"/>
                <w:lang w:eastAsia="zh-CN"/>
              </w:rPr>
              <w:t>要求</w:t>
            </w:r>
            <w:r>
              <w:rPr>
                <w:rFonts w:ascii="宋体" w:eastAsia="宋体" w:hAnsi="宋体" w:cs="宋体" w:hint="eastAsia"/>
                <w:lang w:eastAsia="zh-CN"/>
              </w:rPr>
              <w:t xml:space="preserve"> </w:t>
            </w:r>
            <w:r>
              <w:rPr>
                <w:rFonts w:ascii="宋体" w:eastAsia="宋体" w:hAnsi="宋体" w:cs="宋体" w:hint="eastAsia"/>
                <w:lang w:eastAsia="zh-CN"/>
              </w:rPr>
              <w:t>□</w:t>
            </w:r>
            <w:r>
              <w:rPr>
                <w:rFonts w:ascii="宋体" w:eastAsia="宋体" w:hAnsi="宋体" w:cs="宋体" w:hint="eastAsia"/>
                <w:lang w:eastAsia="zh-CN"/>
              </w:rPr>
              <w:t>不要求</w:t>
            </w:r>
          </w:p>
          <w:p>
            <w:pPr>
              <w:widowControl w:val="0"/>
              <w:ind w:right="2" w:rightChars="1"/>
              <w:jc w:val="both"/>
              <w:rPr>
                <w:rFonts w:ascii="宋体" w:eastAsia="宋体" w:hAnsi="宋体" w:cs="宋体" w:hint="eastAsia"/>
                <w:lang w:eastAsia="zh-CN"/>
              </w:rPr>
            </w:pPr>
            <w:r>
              <w:rPr>
                <w:rFonts w:ascii="宋体" w:eastAsia="宋体" w:hAnsi="宋体" w:cs="宋体" w:hint="eastAsia"/>
                <w:lang w:eastAsia="zh-CN"/>
              </w:rPr>
              <w:t>履约担保的形式：□现金  ☑银行保函</w:t>
            </w:r>
          </w:p>
          <w:p>
            <w:pPr>
              <w:widowControl w:val="0"/>
              <w:ind w:right="2" w:rightChars="1"/>
              <w:jc w:val="both"/>
              <w:rPr>
                <w:rFonts w:ascii="Calibri" w:eastAsia="宋体" w:hAnsi="Calibri" w:hint="eastAsia"/>
                <w:kern w:val="2"/>
                <w:sz w:val="21"/>
                <w:szCs w:val="22"/>
                <w:lang w:eastAsia="zh-CN"/>
              </w:rPr>
            </w:pPr>
            <w:r>
              <w:rPr>
                <w:rFonts w:ascii="宋体" w:eastAsia="宋体" w:hAnsi="宋体" w:cs="宋体" w:hint="eastAsia"/>
                <w:lang w:eastAsia="zh-CN"/>
              </w:rPr>
              <w:t xml:space="preserve">履约担保的金额：100万元 </w:t>
            </w:r>
            <w:r>
              <w:rPr>
                <w:rFonts w:ascii="宋体" w:eastAsia="宋体" w:hAnsi="宋体" w:cs="宋体" w:hint="eastAsia"/>
                <w:lang w:eastAsia="zh-CN"/>
              </w:rPr>
              <w:t xml:space="preserve"> </w:t>
            </w:r>
          </w:p>
        </w:tc>
      </w:tr>
      <w:tr>
        <w:tblPrEx>
          <w:tblW w:w="5000" w:type="pct"/>
          <w:jc w:val="center"/>
          <w:tblLayout w:type="fixed"/>
          <w:tblCellMar>
            <w:top w:w="0" w:type="dxa"/>
            <w:left w:w="108" w:type="dxa"/>
            <w:bottom w:w="0" w:type="dxa"/>
            <w:right w:w="108" w:type="dxa"/>
          </w:tblCellMar>
        </w:tblPrEx>
        <w:trPr>
          <w:cantSplit/>
          <w:trHeight w:val="326"/>
          <w:jc w:val="center"/>
        </w:trPr>
        <w:tc>
          <w:tcPr>
            <w:tcW w:w="651" w:type="dxa"/>
            <w:vAlign w:val="center"/>
          </w:tcPr>
          <w:p>
            <w:pPr>
              <w:widowControl w:val="0"/>
              <w:ind w:right="2" w:rightChars="1"/>
              <w:jc w:val="center"/>
              <w:rPr>
                <w:rFonts w:ascii="宋体" w:eastAsia="宋体" w:hAnsi="宋体" w:cs="宋体" w:hint="eastAsia"/>
                <w:kern w:val="2"/>
                <w:lang w:eastAsia="zh-CN"/>
              </w:rPr>
            </w:pPr>
            <w:r>
              <w:rPr>
                <w:rFonts w:ascii="宋体" w:eastAsia="宋体" w:hAnsi="宋体" w:cs="宋体" w:hint="eastAsia"/>
                <w:kern w:val="2"/>
                <w:lang w:eastAsia="zh-CN"/>
              </w:rPr>
              <w:t>15</w:t>
            </w:r>
          </w:p>
        </w:tc>
        <w:tc>
          <w:tcPr>
            <w:tcW w:w="1747" w:type="dxa"/>
            <w:vAlign w:val="center"/>
          </w:tcPr>
          <w:p>
            <w:pPr>
              <w:widowControl w:val="0"/>
              <w:ind w:right="2" w:rightChars="1"/>
              <w:jc w:val="center"/>
              <w:rPr>
                <w:rFonts w:ascii="宋体" w:eastAsia="宋体" w:hAnsi="宋体" w:cs="宋体" w:hint="eastAsia"/>
                <w:b/>
                <w:bCs/>
                <w:kern w:val="2"/>
                <w:lang w:eastAsia="zh-CN"/>
              </w:rPr>
            </w:pPr>
            <w:r>
              <w:rPr>
                <w:rFonts w:ascii="宋体" w:eastAsia="宋体" w:hAnsi="宋体" w:cs="宋体" w:hint="eastAsia"/>
                <w:b/>
                <w:bCs/>
                <w:kern w:val="2"/>
                <w:lang w:eastAsia="zh-CN"/>
              </w:rPr>
              <w:t>踏勘现场</w:t>
            </w:r>
          </w:p>
        </w:tc>
        <w:tc>
          <w:tcPr>
            <w:tcW w:w="5969" w:type="dxa"/>
            <w:vAlign w:val="center"/>
          </w:tcPr>
          <w:p>
            <w:pPr>
              <w:widowControl w:val="0"/>
              <w:ind w:right="2" w:rightChars="1"/>
              <w:jc w:val="both"/>
              <w:rPr>
                <w:rFonts w:ascii="宋体" w:eastAsia="宋体" w:hAnsi="宋体" w:cs="宋体" w:hint="eastAsia"/>
                <w:lang w:eastAsia="zh-CN"/>
              </w:rPr>
            </w:pPr>
            <w:r>
              <w:rPr>
                <w:rFonts w:ascii="宋体" w:eastAsia="宋体" w:hAnsi="宋体" w:cs="宋体" w:hint="eastAsia"/>
                <w:lang w:eastAsia="zh-CN"/>
              </w:rPr>
              <w:t>不组织，各投标运营商自行前往踏勘现场。</w:t>
            </w:r>
          </w:p>
        </w:tc>
      </w:tr>
    </w:tbl>
    <w:p>
      <w:pPr>
        <w:widowControl/>
        <w:jc w:val="both"/>
        <w:rPr>
          <w:rFonts w:ascii="宋体" w:eastAsia="宋体" w:hAnsi="宋体" w:cs="宋体" w:hint="eastAsia"/>
          <w:kern w:val="2"/>
          <w:sz w:val="21"/>
          <w:szCs w:val="21"/>
          <w:lang w:eastAsia="zh-CN"/>
        </w:rPr>
      </w:pPr>
    </w:p>
    <w:p>
      <w:pPr>
        <w:keepNext/>
        <w:keepLines/>
        <w:widowControl w:val="0"/>
        <w:adjustRightInd w:val="0"/>
        <w:spacing w:before="156" w:beforeLines="50" w:after="156" w:afterLines="50"/>
        <w:jc w:val="center"/>
        <w:textAlignment w:val="baseline"/>
        <w:outlineLvl w:val="2"/>
        <w:rPr>
          <w:rFonts w:ascii="宋体" w:eastAsia="宋体" w:hAnsi="宋体" w:cs="宋体" w:hint="eastAsia"/>
          <w:b/>
          <w:bCs/>
          <w:lang w:eastAsia="zh-CN"/>
        </w:rPr>
      </w:pPr>
      <w:r>
        <w:rPr>
          <w:rFonts w:ascii="宋体" w:eastAsia="宋体" w:hAnsi="宋体" w:cs="宋体" w:hint="eastAsia"/>
          <w:b/>
          <w:bCs/>
          <w:lang w:eastAsia="zh-CN"/>
        </w:rPr>
        <w:t>二、其他关键信息</w:t>
      </w:r>
    </w:p>
    <w:p>
      <w:pPr>
        <w:widowControl w:val="0"/>
        <w:tabs>
          <w:tab w:val="left" w:pos="720"/>
        </w:tabs>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（一）</w:t>
      </w:r>
      <w:r>
        <w:rPr>
          <w:rFonts w:ascii="宋体" w:eastAsia="宋体" w:hAnsi="宋体" w:cs="宋体" w:hint="eastAsia"/>
          <w:bCs/>
          <w:kern w:val="2"/>
          <w:szCs w:val="22"/>
          <w:lang w:eastAsia="zh-CN"/>
        </w:rPr>
        <w:t>与“对通用条款的补充内容”章节相关的事项</w:t>
      </w:r>
    </w:p>
    <w:p>
      <w:pPr>
        <w:widowControl w:val="0"/>
        <w:tabs>
          <w:tab w:val="left" w:pos="720"/>
        </w:tabs>
        <w:ind w:firstLine="480" w:firstLineChars="200"/>
        <w:jc w:val="both"/>
        <w:rPr>
          <w:rFonts w:ascii="宋体" w:eastAsia="宋体" w:hAnsi="宋体" w:cs="宋体" w:hint="eastAsia"/>
          <w:b/>
          <w:bCs/>
          <w:kern w:val="2"/>
          <w:lang w:eastAsia="zh-CN"/>
        </w:rPr>
      </w:pPr>
    </w:p>
    <w:p>
      <w:pPr>
        <w:widowControl w:val="0"/>
        <w:spacing w:line="400" w:lineRule="exact"/>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1、评标定标信息</w:t>
      </w:r>
    </w:p>
    <w:p>
      <w:pPr>
        <w:widowControl w:val="0"/>
        <w:jc w:val="center"/>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43"/>
        <w:gridCol w:w="464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rFonts w:ascii="宋体" w:hAnsi="宋体" w:cs="宋体" w:hint="eastAsia"/>
                <w:b/>
                <w:bCs/>
                <w:kern w:val="2"/>
                <w:sz w:val="21"/>
                <w:szCs w:val="22"/>
                <w:lang w:eastAsia="zh-CN"/>
              </w:rPr>
            </w:pPr>
            <w:r>
              <w:rPr>
                <w:rFonts w:ascii="宋体" w:hAnsi="宋体" w:cs="宋体" w:hint="eastAsia"/>
                <w:b/>
                <w:bCs/>
                <w:kern w:val="2"/>
                <w:sz w:val="21"/>
                <w:szCs w:val="22"/>
                <w:lang w:eastAsia="zh-CN"/>
              </w:rPr>
              <w:t>评标方法</w:t>
            </w:r>
          </w:p>
        </w:tc>
        <w:tc>
          <w:tcPr>
            <w:tcW w:w="4265" w:type="dxa"/>
          </w:tcPr>
          <w:p>
            <w:pPr>
              <w:jc w:val="center"/>
              <w:rPr>
                <w:rFonts w:ascii="宋体" w:hAnsi="宋体" w:cs="宋体" w:hint="eastAsia"/>
                <w:kern w:val="2"/>
                <w:sz w:val="21"/>
                <w:szCs w:val="22"/>
                <w:lang w:eastAsia="zh-CN"/>
              </w:rPr>
            </w:pPr>
            <w:r>
              <w:rPr>
                <w:rFonts w:ascii="宋体" w:hAnsi="宋体" w:cs="宋体"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264" w:type="dxa"/>
          </w:tcPr>
          <w:p>
            <w:pPr>
              <w:jc w:val="center"/>
              <w:rPr>
                <w:rFonts w:ascii="宋体" w:hAnsi="宋体" w:cs="宋体" w:hint="eastAsia"/>
                <w:b/>
                <w:bCs/>
                <w:kern w:val="2"/>
                <w:sz w:val="21"/>
                <w:szCs w:val="22"/>
                <w:lang w:eastAsia="zh-CN"/>
              </w:rPr>
            </w:pPr>
            <w:r>
              <w:rPr>
                <w:rFonts w:ascii="宋体" w:hAnsi="宋体" w:cs="宋体" w:hint="eastAsia"/>
                <w:b/>
                <w:bCs/>
                <w:kern w:val="2"/>
                <w:sz w:val="21"/>
                <w:szCs w:val="22"/>
                <w:lang w:eastAsia="zh-CN"/>
              </w:rPr>
              <w:t>定标方法</w:t>
            </w:r>
          </w:p>
        </w:tc>
        <w:tc>
          <w:tcPr>
            <w:tcW w:w="4265" w:type="dxa"/>
          </w:tcPr>
          <w:p>
            <w:pPr>
              <w:jc w:val="center"/>
              <w:rPr>
                <w:rFonts w:ascii="宋体" w:hAnsi="宋体" w:cs="宋体" w:hint="eastAsia"/>
                <w:kern w:val="2"/>
                <w:sz w:val="21"/>
                <w:szCs w:val="22"/>
                <w:lang w:eastAsia="zh-CN"/>
              </w:rPr>
            </w:pPr>
            <w:r>
              <w:rPr>
                <w:rFonts w:ascii="宋体" w:hAnsi="宋体" w:cs="宋体" w:hint="eastAsia"/>
                <w:kern w:val="2"/>
                <w:sz w:val="21"/>
                <w:szCs w:val="22"/>
                <w:lang w:eastAsia="zh-CN"/>
              </w:rPr>
              <w:t>自定法</w:t>
            </w:r>
          </w:p>
        </w:tc>
      </w:tr>
      <w:tr>
        <w:tblPrEx>
          <w:tblW w:w="5000" w:type="pct"/>
          <w:tblInd w:w="0" w:type="dxa"/>
          <w:tblLayout w:type="fixed"/>
          <w:tblCellMar>
            <w:top w:w="0" w:type="dxa"/>
            <w:left w:w="108" w:type="dxa"/>
            <w:bottom w:w="0" w:type="dxa"/>
            <w:right w:w="108" w:type="dxa"/>
          </w:tblCellMar>
        </w:tblPrEx>
        <w:tc>
          <w:tcPr>
            <w:tcW w:w="4264" w:type="dxa"/>
          </w:tcPr>
          <w:p>
            <w:pPr>
              <w:jc w:val="center"/>
              <w:rPr>
                <w:rFonts w:ascii="宋体" w:hAnsi="宋体" w:cs="宋体" w:hint="eastAsia"/>
                <w:b/>
                <w:bCs/>
                <w:kern w:val="2"/>
                <w:sz w:val="21"/>
                <w:szCs w:val="22"/>
                <w:lang w:eastAsia="zh-CN"/>
              </w:rPr>
            </w:pPr>
            <w:r>
              <w:rPr>
                <w:rFonts w:ascii="宋体" w:hAnsi="宋体" w:cs="宋体" w:hint="eastAsia"/>
                <w:b/>
                <w:bCs/>
                <w:kern w:val="2"/>
                <w:sz w:val="21"/>
                <w:szCs w:val="22"/>
                <w:lang w:eastAsia="zh-CN"/>
              </w:rPr>
              <w:t>推荐候选中标人家数</w:t>
            </w:r>
          </w:p>
        </w:tc>
        <w:tc>
          <w:tcPr>
            <w:tcW w:w="4265" w:type="dxa"/>
          </w:tcPr>
          <w:p>
            <w:pPr>
              <w:jc w:val="center"/>
              <w:rPr>
                <w:rFonts w:ascii="宋体" w:hAnsi="宋体" w:cs="宋体" w:hint="eastAsia"/>
                <w:kern w:val="2"/>
                <w:sz w:val="21"/>
                <w:szCs w:val="22"/>
                <w:lang w:eastAsia="zh-CN"/>
              </w:rPr>
            </w:pPr>
            <w:r>
              <w:rPr>
                <w:rFonts w:ascii="宋体" w:hAnsi="宋体" w:cs="宋体"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264" w:type="dxa"/>
          </w:tcPr>
          <w:p>
            <w:pPr>
              <w:jc w:val="center"/>
              <w:rPr>
                <w:rFonts w:ascii="宋体" w:hAnsi="宋体" w:cs="宋体" w:hint="eastAsia"/>
                <w:b/>
                <w:bCs/>
                <w:kern w:val="2"/>
                <w:sz w:val="21"/>
                <w:szCs w:val="22"/>
                <w:lang w:eastAsia="zh-CN"/>
              </w:rPr>
            </w:pPr>
            <w:r>
              <w:rPr>
                <w:rFonts w:ascii="宋体" w:hAnsi="宋体" w:cs="宋体" w:hint="eastAsia"/>
                <w:b/>
                <w:bCs/>
                <w:kern w:val="2"/>
                <w:sz w:val="21"/>
                <w:szCs w:val="22"/>
                <w:lang w:eastAsia="zh-CN"/>
              </w:rPr>
              <w:t>中标人家数</w:t>
            </w:r>
          </w:p>
        </w:tc>
        <w:tc>
          <w:tcPr>
            <w:tcW w:w="4265" w:type="dxa"/>
          </w:tcPr>
          <w:p>
            <w:pPr>
              <w:jc w:val="center"/>
              <w:rPr>
                <w:rFonts w:ascii="宋体" w:hAnsi="宋体" w:cs="宋体" w:hint="eastAsia"/>
                <w:kern w:val="2"/>
                <w:sz w:val="21"/>
                <w:szCs w:val="22"/>
                <w:lang w:eastAsia="zh-CN"/>
              </w:rPr>
            </w:pPr>
            <w:r>
              <w:rPr>
                <w:rFonts w:ascii="宋体" w:hAnsi="宋体" w:cs="宋体" w:hint="eastAsia"/>
                <w:kern w:val="2"/>
                <w:sz w:val="21"/>
                <w:szCs w:val="22"/>
                <w:lang w:eastAsia="zh-CN"/>
              </w:rPr>
              <w:t>1</w:t>
            </w:r>
          </w:p>
        </w:tc>
      </w:tr>
    </w:tbl>
    <w:p>
      <w:pPr>
        <w:widowControl w:val="0"/>
        <w:spacing w:line="400" w:lineRule="exact"/>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2、履约担保</w:t>
      </w:r>
    </w:p>
    <w:p>
      <w:pPr>
        <w:widowControl w:val="0"/>
        <w:spacing w:line="40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本项目的履约担保体系主要包括运营维护保函及移交维修保函，具体的提供、担保事项及解除详见招标文件</w:t>
      </w:r>
      <w:r>
        <w:rPr>
          <w:rFonts w:ascii="宋体" w:eastAsia="宋体" w:hAnsi="宋体" w:cs="宋体" w:hint="eastAsia"/>
          <w:kern w:val="2"/>
          <w:lang w:eastAsia="zh-CN"/>
        </w:rPr>
        <w:t>“四、技术条款”中相关内容</w:t>
      </w:r>
      <w:r>
        <w:rPr>
          <w:rFonts w:ascii="宋体" w:eastAsia="宋体" w:hAnsi="宋体" w:cs="宋体" w:hint="eastAsia"/>
          <w:kern w:val="2"/>
          <w:lang w:eastAsia="zh-CN"/>
        </w:rPr>
        <w:t>。</w:t>
      </w:r>
    </w:p>
    <w:p>
      <w:pPr>
        <w:widowControl w:val="0"/>
        <w:spacing w:line="400" w:lineRule="exact"/>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3</w:t>
      </w:r>
      <w:r>
        <w:rPr>
          <w:rFonts w:ascii="宋体" w:eastAsia="宋体" w:hAnsi="宋体" w:cs="宋体" w:hint="eastAsia"/>
          <w:b/>
          <w:kern w:val="2"/>
          <w:lang w:eastAsia="zh-CN"/>
        </w:rPr>
        <w:t>、本项目为代理服务项目，将向中标（成交）人收取代理服务费。</w:t>
      </w:r>
    </w:p>
    <w:p>
      <w:pPr>
        <w:widowControl w:val="0"/>
        <w:spacing w:line="40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（1）本项目招标代理服务费由中标人支付。中标人须以银行转账方式向深圳交易集团有限公司罗湖分公司缴纳代理费，具体要求以缴费通知书为准。</w:t>
      </w:r>
    </w:p>
    <w:p>
      <w:pPr>
        <w:widowControl w:val="0"/>
        <w:spacing w:line="40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（2）本项目招标代理服务费按照</w:t>
      </w:r>
      <w:r>
        <w:rPr>
          <w:rFonts w:ascii="宋体" w:eastAsia="宋体" w:hAnsi="宋体" w:cs="宋体" w:hint="eastAsia"/>
          <w:bCs/>
          <w:kern w:val="2"/>
          <w:lang w:eastAsia="zh-CN"/>
        </w:rPr>
        <w:t>《关于印发深圳交易集团有限公司（深圳公共资源交易中心）业务收费标准的通知》（深交易〔2023〕69号）</w:t>
      </w:r>
      <w:r>
        <w:rPr>
          <w:rFonts w:ascii="宋体" w:eastAsia="宋体" w:hAnsi="宋体" w:cs="宋体" w:hint="eastAsia"/>
          <w:kern w:val="2"/>
          <w:lang w:eastAsia="zh-CN"/>
        </w:rPr>
        <w:t>中“经营权交易业务”的收费标准，以差额定率累进法计算收取。</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63"/>
        <w:gridCol w:w="482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1"/>
          <w:jc w:val="center"/>
        </w:trPr>
        <w:tc>
          <w:tcPr>
            <w:tcW w:w="3853" w:type="dxa"/>
            <w:tcBorders>
              <w:top w:val="single" w:sz="4" w:space="0" w:color="auto"/>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计费基数（万元）</w:t>
            </w:r>
          </w:p>
        </w:tc>
        <w:tc>
          <w:tcPr>
            <w:tcW w:w="4166" w:type="dxa"/>
            <w:tcBorders>
              <w:top w:val="single" w:sz="4" w:space="0" w:color="auto"/>
              <w:left w:val="single" w:sz="4" w:space="0" w:color="auto"/>
              <w:bottom w:val="single" w:sz="4" w:space="0" w:color="auto"/>
              <w:right w:val="single" w:sz="4" w:space="0" w:color="auto"/>
            </w:tcBorders>
            <w:vAlign w:val="center"/>
          </w:tcPr>
          <w:p>
            <w:pPr>
              <w:widowControl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服务招标收费费率</w:t>
            </w:r>
          </w:p>
        </w:tc>
      </w:tr>
      <w:tr>
        <w:tblPrEx>
          <w:tblW w:w="5000" w:type="pct"/>
          <w:jc w:val="center"/>
          <w:tblLayout w:type="fixed"/>
          <w:tblCellMar>
            <w:top w:w="0" w:type="dxa"/>
            <w:left w:w="108" w:type="dxa"/>
            <w:bottom w:w="0" w:type="dxa"/>
            <w:right w:w="108" w:type="dxa"/>
          </w:tblCellMar>
        </w:tblPrEx>
        <w:trPr>
          <w:trHeight w:val="431"/>
          <w:jc w:val="center"/>
        </w:trPr>
        <w:tc>
          <w:tcPr>
            <w:tcW w:w="3853" w:type="dxa"/>
            <w:tcBorders>
              <w:top w:val="single" w:sz="4" w:space="0" w:color="auto"/>
              <w:left w:val="single" w:sz="4" w:space="0" w:color="auto"/>
              <w:bottom w:val="single" w:sz="4" w:space="0" w:color="auto"/>
              <w:right w:val="single" w:sz="4" w:space="0" w:color="auto"/>
            </w:tcBorders>
          </w:tcPr>
          <w:p>
            <w:pPr>
              <w:widowControl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100以下</w:t>
            </w:r>
          </w:p>
        </w:tc>
        <w:tc>
          <w:tcPr>
            <w:tcW w:w="4166" w:type="dxa"/>
            <w:tcBorders>
              <w:top w:val="single" w:sz="4" w:space="0" w:color="auto"/>
              <w:left w:val="single" w:sz="4" w:space="0" w:color="auto"/>
              <w:bottom w:val="single" w:sz="4" w:space="0" w:color="auto"/>
              <w:right w:val="single" w:sz="4" w:space="0" w:color="auto"/>
            </w:tcBorders>
          </w:tcPr>
          <w:p>
            <w:pPr>
              <w:widowControl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1.50%</w:t>
            </w:r>
          </w:p>
        </w:tc>
      </w:tr>
      <w:tr>
        <w:tblPrEx>
          <w:tblW w:w="5000" w:type="pct"/>
          <w:jc w:val="center"/>
          <w:tblLayout w:type="fixed"/>
          <w:tblCellMar>
            <w:top w:w="0" w:type="dxa"/>
            <w:left w:w="108" w:type="dxa"/>
            <w:bottom w:w="0" w:type="dxa"/>
            <w:right w:w="108" w:type="dxa"/>
          </w:tblCellMar>
        </w:tblPrEx>
        <w:trPr>
          <w:trHeight w:val="431"/>
          <w:jc w:val="center"/>
        </w:trPr>
        <w:tc>
          <w:tcPr>
            <w:tcW w:w="3853" w:type="dxa"/>
            <w:tcBorders>
              <w:top w:val="single" w:sz="4" w:space="0" w:color="auto"/>
              <w:left w:val="single" w:sz="4" w:space="0" w:color="auto"/>
              <w:bottom w:val="single" w:sz="4" w:space="0" w:color="auto"/>
              <w:right w:val="single" w:sz="4" w:space="0" w:color="auto"/>
            </w:tcBorders>
          </w:tcPr>
          <w:p>
            <w:pPr>
              <w:widowControl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100-500</w:t>
            </w:r>
          </w:p>
        </w:tc>
        <w:tc>
          <w:tcPr>
            <w:tcW w:w="4166" w:type="dxa"/>
            <w:tcBorders>
              <w:top w:val="single" w:sz="4" w:space="0" w:color="auto"/>
              <w:left w:val="single" w:sz="4" w:space="0" w:color="auto"/>
              <w:bottom w:val="single" w:sz="4" w:space="0" w:color="auto"/>
              <w:right w:val="single" w:sz="4" w:space="0" w:color="auto"/>
            </w:tcBorders>
          </w:tcPr>
          <w:p>
            <w:pPr>
              <w:widowControl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0.80%</w:t>
            </w:r>
          </w:p>
        </w:tc>
      </w:tr>
      <w:tr>
        <w:tblPrEx>
          <w:tblW w:w="5000" w:type="pct"/>
          <w:jc w:val="center"/>
          <w:tblLayout w:type="fixed"/>
          <w:tblCellMar>
            <w:top w:w="0" w:type="dxa"/>
            <w:left w:w="108" w:type="dxa"/>
            <w:bottom w:w="0" w:type="dxa"/>
            <w:right w:w="108" w:type="dxa"/>
          </w:tblCellMar>
        </w:tblPrEx>
        <w:trPr>
          <w:trHeight w:val="431"/>
          <w:jc w:val="center"/>
        </w:trPr>
        <w:tc>
          <w:tcPr>
            <w:tcW w:w="3853" w:type="dxa"/>
            <w:tcBorders>
              <w:top w:val="single" w:sz="4" w:space="0" w:color="auto"/>
              <w:left w:val="single" w:sz="4" w:space="0" w:color="auto"/>
              <w:bottom w:val="single" w:sz="4" w:space="0" w:color="auto"/>
              <w:right w:val="single" w:sz="4" w:space="0" w:color="auto"/>
            </w:tcBorders>
          </w:tcPr>
          <w:p>
            <w:pPr>
              <w:widowControl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500-1000</w:t>
            </w:r>
          </w:p>
        </w:tc>
        <w:tc>
          <w:tcPr>
            <w:tcW w:w="4166" w:type="dxa"/>
            <w:tcBorders>
              <w:top w:val="single" w:sz="4" w:space="0" w:color="auto"/>
              <w:left w:val="single" w:sz="4" w:space="0" w:color="auto"/>
              <w:bottom w:val="single" w:sz="4" w:space="0" w:color="auto"/>
              <w:right w:val="single" w:sz="4" w:space="0" w:color="auto"/>
            </w:tcBorders>
          </w:tcPr>
          <w:p>
            <w:pPr>
              <w:widowControl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0.45%</w:t>
            </w:r>
          </w:p>
        </w:tc>
      </w:tr>
      <w:tr>
        <w:tblPrEx>
          <w:tblW w:w="5000" w:type="pct"/>
          <w:jc w:val="center"/>
          <w:tblLayout w:type="fixed"/>
          <w:tblCellMar>
            <w:top w:w="0" w:type="dxa"/>
            <w:left w:w="108" w:type="dxa"/>
            <w:bottom w:w="0" w:type="dxa"/>
            <w:right w:w="108" w:type="dxa"/>
          </w:tblCellMar>
        </w:tblPrEx>
        <w:trPr>
          <w:trHeight w:val="431"/>
          <w:jc w:val="center"/>
        </w:trPr>
        <w:tc>
          <w:tcPr>
            <w:tcW w:w="3853" w:type="dxa"/>
            <w:tcBorders>
              <w:top w:val="single" w:sz="4" w:space="0" w:color="auto"/>
              <w:left w:val="single" w:sz="4" w:space="0" w:color="auto"/>
              <w:bottom w:val="single" w:sz="4" w:space="0" w:color="auto"/>
              <w:right w:val="single" w:sz="4" w:space="0" w:color="auto"/>
            </w:tcBorders>
          </w:tcPr>
          <w:p>
            <w:pPr>
              <w:widowControl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1000-5000</w:t>
            </w:r>
          </w:p>
        </w:tc>
        <w:tc>
          <w:tcPr>
            <w:tcW w:w="4166" w:type="dxa"/>
            <w:tcBorders>
              <w:top w:val="single" w:sz="4" w:space="0" w:color="auto"/>
              <w:left w:val="single" w:sz="4" w:space="0" w:color="auto"/>
              <w:bottom w:val="single" w:sz="4" w:space="0" w:color="auto"/>
              <w:right w:val="single" w:sz="4" w:space="0" w:color="auto"/>
            </w:tcBorders>
          </w:tcPr>
          <w:p>
            <w:pPr>
              <w:widowControl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0.25%</w:t>
            </w:r>
          </w:p>
        </w:tc>
      </w:tr>
      <w:tr>
        <w:tblPrEx>
          <w:tblW w:w="5000" w:type="pct"/>
          <w:jc w:val="center"/>
          <w:tblLayout w:type="fixed"/>
          <w:tblCellMar>
            <w:top w:w="0" w:type="dxa"/>
            <w:left w:w="108" w:type="dxa"/>
            <w:bottom w:w="0" w:type="dxa"/>
            <w:right w:w="108" w:type="dxa"/>
          </w:tblCellMar>
        </w:tblPrEx>
        <w:trPr>
          <w:trHeight w:val="431"/>
          <w:jc w:val="center"/>
        </w:trPr>
        <w:tc>
          <w:tcPr>
            <w:tcW w:w="3853" w:type="dxa"/>
            <w:tcBorders>
              <w:top w:val="single" w:sz="4" w:space="0" w:color="auto"/>
              <w:left w:val="single" w:sz="4" w:space="0" w:color="auto"/>
              <w:bottom w:val="single" w:sz="4" w:space="0" w:color="auto"/>
              <w:right w:val="single" w:sz="4" w:space="0" w:color="auto"/>
            </w:tcBorders>
          </w:tcPr>
          <w:p>
            <w:pPr>
              <w:widowControl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5000-10000</w:t>
            </w:r>
          </w:p>
        </w:tc>
        <w:tc>
          <w:tcPr>
            <w:tcW w:w="4166" w:type="dxa"/>
            <w:tcBorders>
              <w:top w:val="single" w:sz="4" w:space="0" w:color="auto"/>
              <w:left w:val="single" w:sz="4" w:space="0" w:color="auto"/>
              <w:bottom w:val="single" w:sz="4" w:space="0" w:color="auto"/>
              <w:right w:val="single" w:sz="4" w:space="0" w:color="auto"/>
            </w:tcBorders>
          </w:tcPr>
          <w:p>
            <w:pPr>
              <w:widowControl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0.10%</w:t>
            </w:r>
          </w:p>
        </w:tc>
      </w:tr>
      <w:tr>
        <w:tblPrEx>
          <w:tblW w:w="5000" w:type="pct"/>
          <w:jc w:val="center"/>
          <w:tblLayout w:type="fixed"/>
          <w:tblCellMar>
            <w:top w:w="0" w:type="dxa"/>
            <w:left w:w="108" w:type="dxa"/>
            <w:bottom w:w="0" w:type="dxa"/>
            <w:right w:w="108" w:type="dxa"/>
          </w:tblCellMar>
        </w:tblPrEx>
        <w:trPr>
          <w:trHeight w:val="431"/>
          <w:jc w:val="center"/>
        </w:trPr>
        <w:tc>
          <w:tcPr>
            <w:tcW w:w="3853" w:type="dxa"/>
            <w:tcBorders>
              <w:top w:val="single" w:sz="4" w:space="0" w:color="auto"/>
              <w:left w:val="single" w:sz="4" w:space="0" w:color="auto"/>
              <w:bottom w:val="single" w:sz="4" w:space="0" w:color="auto"/>
              <w:right w:val="single" w:sz="4" w:space="0" w:color="auto"/>
            </w:tcBorders>
          </w:tcPr>
          <w:p>
            <w:pPr>
              <w:widowControl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10000-50000</w:t>
            </w:r>
          </w:p>
        </w:tc>
        <w:tc>
          <w:tcPr>
            <w:tcW w:w="4166" w:type="dxa"/>
            <w:tcBorders>
              <w:top w:val="single" w:sz="4" w:space="0" w:color="auto"/>
              <w:left w:val="single" w:sz="4" w:space="0" w:color="auto"/>
              <w:bottom w:val="single" w:sz="4" w:space="0" w:color="auto"/>
              <w:right w:val="single" w:sz="4" w:space="0" w:color="auto"/>
            </w:tcBorders>
          </w:tcPr>
          <w:p>
            <w:pPr>
              <w:widowControl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0.05%</w:t>
            </w:r>
          </w:p>
        </w:tc>
      </w:tr>
      <w:tr>
        <w:tblPrEx>
          <w:tblW w:w="5000" w:type="pct"/>
          <w:jc w:val="center"/>
          <w:tblLayout w:type="fixed"/>
          <w:tblCellMar>
            <w:top w:w="0" w:type="dxa"/>
            <w:left w:w="108" w:type="dxa"/>
            <w:bottom w:w="0" w:type="dxa"/>
            <w:right w:w="108" w:type="dxa"/>
          </w:tblCellMar>
        </w:tblPrEx>
        <w:trPr>
          <w:trHeight w:val="431"/>
          <w:jc w:val="center"/>
        </w:trPr>
        <w:tc>
          <w:tcPr>
            <w:tcW w:w="3853" w:type="dxa"/>
            <w:tcBorders>
              <w:top w:val="single" w:sz="4" w:space="0" w:color="auto"/>
              <w:left w:val="single" w:sz="4" w:space="0" w:color="auto"/>
              <w:bottom w:val="single" w:sz="4" w:space="0" w:color="auto"/>
              <w:right w:val="single" w:sz="4" w:space="0" w:color="auto"/>
            </w:tcBorders>
          </w:tcPr>
          <w:p>
            <w:pPr>
              <w:widowControl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50000-100000</w:t>
            </w:r>
          </w:p>
        </w:tc>
        <w:tc>
          <w:tcPr>
            <w:tcW w:w="4166" w:type="dxa"/>
            <w:tcBorders>
              <w:top w:val="single" w:sz="4" w:space="0" w:color="auto"/>
              <w:left w:val="single" w:sz="4" w:space="0" w:color="auto"/>
              <w:bottom w:val="single" w:sz="4" w:space="0" w:color="auto"/>
              <w:right w:val="single" w:sz="4" w:space="0" w:color="auto"/>
            </w:tcBorders>
          </w:tcPr>
          <w:p>
            <w:pPr>
              <w:widowControl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0.035%</w:t>
            </w:r>
          </w:p>
        </w:tc>
      </w:tr>
      <w:tr>
        <w:tblPrEx>
          <w:tblW w:w="5000" w:type="pct"/>
          <w:jc w:val="center"/>
          <w:tblLayout w:type="fixed"/>
          <w:tblCellMar>
            <w:top w:w="0" w:type="dxa"/>
            <w:left w:w="108" w:type="dxa"/>
            <w:bottom w:w="0" w:type="dxa"/>
            <w:right w:w="108" w:type="dxa"/>
          </w:tblCellMar>
        </w:tblPrEx>
        <w:trPr>
          <w:trHeight w:val="431"/>
          <w:jc w:val="center"/>
        </w:trPr>
        <w:tc>
          <w:tcPr>
            <w:tcW w:w="3853" w:type="dxa"/>
            <w:tcBorders>
              <w:top w:val="single" w:sz="4" w:space="0" w:color="auto"/>
              <w:left w:val="single" w:sz="4" w:space="0" w:color="auto"/>
              <w:bottom w:val="single" w:sz="4" w:space="0" w:color="auto"/>
              <w:right w:val="single" w:sz="4" w:space="0" w:color="auto"/>
            </w:tcBorders>
          </w:tcPr>
          <w:p>
            <w:pPr>
              <w:widowControl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100000-500000</w:t>
            </w:r>
          </w:p>
        </w:tc>
        <w:tc>
          <w:tcPr>
            <w:tcW w:w="4166" w:type="dxa"/>
            <w:tcBorders>
              <w:top w:val="single" w:sz="4" w:space="0" w:color="auto"/>
              <w:left w:val="single" w:sz="4" w:space="0" w:color="auto"/>
              <w:bottom w:val="single" w:sz="4" w:space="0" w:color="auto"/>
              <w:right w:val="single" w:sz="4" w:space="0" w:color="auto"/>
            </w:tcBorders>
          </w:tcPr>
          <w:p>
            <w:pPr>
              <w:widowControl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0.008%</w:t>
            </w:r>
          </w:p>
        </w:tc>
      </w:tr>
      <w:tr>
        <w:tblPrEx>
          <w:tblW w:w="5000" w:type="pct"/>
          <w:jc w:val="center"/>
          <w:tblLayout w:type="fixed"/>
          <w:tblCellMar>
            <w:top w:w="0" w:type="dxa"/>
            <w:left w:w="108" w:type="dxa"/>
            <w:bottom w:w="0" w:type="dxa"/>
            <w:right w:w="108" w:type="dxa"/>
          </w:tblCellMar>
        </w:tblPrEx>
        <w:trPr>
          <w:trHeight w:val="431"/>
          <w:jc w:val="center"/>
        </w:trPr>
        <w:tc>
          <w:tcPr>
            <w:tcW w:w="3853" w:type="dxa"/>
            <w:tcBorders>
              <w:top w:val="single" w:sz="4" w:space="0" w:color="auto"/>
              <w:left w:val="single" w:sz="4" w:space="0" w:color="auto"/>
              <w:bottom w:val="single" w:sz="4" w:space="0" w:color="auto"/>
              <w:right w:val="single" w:sz="4" w:space="0" w:color="auto"/>
            </w:tcBorders>
          </w:tcPr>
          <w:p>
            <w:pPr>
              <w:widowControl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500000-1000000</w:t>
            </w:r>
          </w:p>
        </w:tc>
        <w:tc>
          <w:tcPr>
            <w:tcW w:w="4166" w:type="dxa"/>
            <w:tcBorders>
              <w:top w:val="single" w:sz="4" w:space="0" w:color="auto"/>
              <w:left w:val="single" w:sz="4" w:space="0" w:color="auto"/>
              <w:bottom w:val="single" w:sz="4" w:space="0" w:color="auto"/>
              <w:right w:val="single" w:sz="4" w:space="0" w:color="auto"/>
            </w:tcBorders>
          </w:tcPr>
          <w:p>
            <w:pPr>
              <w:widowControl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0.006%</w:t>
            </w:r>
          </w:p>
        </w:tc>
      </w:tr>
      <w:tr>
        <w:tblPrEx>
          <w:tblW w:w="5000" w:type="pct"/>
          <w:jc w:val="center"/>
          <w:tblLayout w:type="fixed"/>
          <w:tblCellMar>
            <w:top w:w="0" w:type="dxa"/>
            <w:left w:w="108" w:type="dxa"/>
            <w:bottom w:w="0" w:type="dxa"/>
            <w:right w:w="108" w:type="dxa"/>
          </w:tblCellMar>
        </w:tblPrEx>
        <w:trPr>
          <w:trHeight w:val="453"/>
          <w:jc w:val="center"/>
        </w:trPr>
        <w:tc>
          <w:tcPr>
            <w:tcW w:w="3853" w:type="dxa"/>
            <w:tcBorders>
              <w:top w:val="single" w:sz="4" w:space="0" w:color="auto"/>
              <w:left w:val="single" w:sz="4" w:space="0" w:color="auto"/>
              <w:bottom w:val="single" w:sz="4" w:space="0" w:color="auto"/>
              <w:right w:val="single" w:sz="4" w:space="0" w:color="auto"/>
            </w:tcBorders>
          </w:tcPr>
          <w:p>
            <w:pPr>
              <w:widowControl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1000000以上</w:t>
            </w:r>
          </w:p>
        </w:tc>
        <w:tc>
          <w:tcPr>
            <w:tcW w:w="4166" w:type="dxa"/>
            <w:tcBorders>
              <w:top w:val="single" w:sz="4" w:space="0" w:color="auto"/>
              <w:left w:val="single" w:sz="4" w:space="0" w:color="auto"/>
              <w:bottom w:val="single" w:sz="4" w:space="0" w:color="auto"/>
              <w:right w:val="single" w:sz="4" w:space="0" w:color="auto"/>
            </w:tcBorders>
          </w:tcPr>
          <w:p>
            <w:pPr>
              <w:widowControl w:val="0"/>
              <w:spacing w:line="400" w:lineRule="exact"/>
              <w:jc w:val="center"/>
              <w:rPr>
                <w:rFonts w:ascii="宋体" w:eastAsia="宋体" w:hAnsi="宋体" w:cs="宋体" w:hint="eastAsia"/>
                <w:kern w:val="2"/>
                <w:lang w:eastAsia="zh-CN"/>
              </w:rPr>
            </w:pPr>
            <w:r>
              <w:rPr>
                <w:rFonts w:ascii="宋体" w:eastAsia="宋体" w:hAnsi="宋体" w:cs="宋体" w:hint="eastAsia"/>
                <w:kern w:val="2"/>
                <w:lang w:eastAsia="zh-CN"/>
              </w:rPr>
              <w:t>0.004%</w:t>
            </w:r>
          </w:p>
        </w:tc>
      </w:tr>
    </w:tbl>
    <w:p>
      <w:pPr>
        <w:widowControl w:val="0"/>
        <w:jc w:val="both"/>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br w:type="page"/>
      </w:r>
    </w:p>
    <w:p>
      <w:pPr>
        <w:keepNext/>
        <w:keepLines/>
        <w:widowControl w:val="0"/>
        <w:adjustRightInd w:val="0"/>
        <w:spacing w:before="260" w:after="260"/>
        <w:jc w:val="center"/>
        <w:textAlignment w:val="baseline"/>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第三章用户需求书</w:t>
      </w:r>
    </w:p>
    <w:p>
      <w:pPr>
        <w:widowControl w:val="0"/>
        <w:spacing w:line="600" w:lineRule="exact"/>
        <w:ind w:firstLine="480" w:firstLineChars="200"/>
        <w:jc w:val="center"/>
        <w:rPr>
          <w:rFonts w:ascii="宋体" w:eastAsia="宋体" w:hAnsi="宋体" w:cs="宋体" w:hint="eastAsia"/>
          <w:b/>
          <w:bCs/>
          <w:kern w:val="2"/>
          <w:lang w:eastAsia="zh-CN"/>
        </w:rPr>
      </w:pPr>
      <w:r>
        <w:rPr>
          <w:rFonts w:ascii="宋体" w:eastAsia="宋体" w:hAnsi="宋体" w:cs="宋体" w:hint="eastAsia"/>
          <w:b/>
          <w:bCs/>
          <w:kern w:val="2"/>
          <w:lang w:eastAsia="zh-CN"/>
        </w:rPr>
        <w:t>一、项目概况</w:t>
      </w:r>
    </w:p>
    <w:p>
      <w:pPr>
        <w:widowControl w:val="0"/>
        <w:spacing w:line="60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本项目拟移交社会化运营面积1500平方米（具体平面布置方案详见第四点技术条款的委托运营的范围委托）。</w:t>
      </w:r>
    </w:p>
    <w:p>
      <w:pPr>
        <w:widowControl w:val="0"/>
        <w:spacing w:line="60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根据</w:t>
      </w:r>
      <w:r>
        <w:rPr>
          <w:rFonts w:ascii="宋体" w:eastAsia="宋体" w:hAnsi="宋体" w:cs="宋体"/>
          <w:kern w:val="2"/>
          <w:lang w:eastAsia="zh-CN"/>
        </w:rPr>
        <w:t>国众联资产评估土地房地产估价有限公司</w:t>
      </w:r>
      <w:r>
        <w:rPr>
          <w:rFonts w:ascii="宋体" w:eastAsia="宋体" w:hAnsi="宋体" w:cs="宋体" w:hint="eastAsia"/>
          <w:kern w:val="2"/>
          <w:lang w:eastAsia="zh-CN"/>
        </w:rPr>
        <w:t>出具的《</w:t>
      </w:r>
      <w:r>
        <w:rPr>
          <w:rFonts w:ascii="宋体" w:eastAsia="宋体" w:hAnsi="宋体" w:cs="宋体"/>
          <w:kern w:val="2"/>
          <w:lang w:eastAsia="zh-CN"/>
        </w:rPr>
        <w:t>翠竹街道综合文体中心项目</w:t>
      </w:r>
      <w:r>
        <w:rPr>
          <w:rFonts w:ascii="宋体" w:eastAsia="宋体" w:hAnsi="宋体" w:cs="宋体" w:hint="eastAsia"/>
          <w:kern w:val="2"/>
          <w:lang w:eastAsia="zh-CN"/>
        </w:rPr>
        <w:t>可行性研究报告》，经测算，</w:t>
      </w:r>
      <w:r>
        <w:rPr>
          <w:rFonts w:ascii="宋体" w:eastAsia="宋体" w:hAnsi="宋体" w:cs="宋体" w:hint="eastAsia"/>
          <w:kern w:val="2"/>
          <w:lang w:eastAsia="zh-CN"/>
        </w:rPr>
        <w:t>5年</w:t>
      </w:r>
      <w:r>
        <w:rPr>
          <w:rFonts w:ascii="宋体" w:eastAsia="宋体" w:hAnsi="宋体" w:cs="宋体"/>
          <w:kern w:val="2"/>
          <w:lang w:eastAsia="zh-CN"/>
        </w:rPr>
        <w:t>项目</w:t>
      </w:r>
      <w:r>
        <w:rPr>
          <w:rFonts w:ascii="宋体" w:eastAsia="宋体" w:hAnsi="宋体" w:cs="宋体" w:hint="eastAsia"/>
          <w:kern w:val="2"/>
          <w:lang w:eastAsia="zh-CN"/>
        </w:rPr>
        <w:t>运营收入共计约</w:t>
      </w:r>
      <w:r>
        <w:rPr>
          <w:rFonts w:ascii="宋体" w:eastAsia="宋体" w:hAnsi="宋体" w:cs="宋体" w:hint="eastAsia"/>
          <w:kern w:val="2"/>
          <w:lang w:eastAsia="zh-CN"/>
        </w:rPr>
        <w:t>1462.23</w:t>
      </w:r>
      <w:r>
        <w:rPr>
          <w:rFonts w:ascii="宋体" w:eastAsia="宋体" w:hAnsi="宋体" w:cs="宋体"/>
          <w:kern w:val="2"/>
          <w:lang w:eastAsia="zh-CN"/>
        </w:rPr>
        <w:t>万元</w:t>
      </w:r>
      <w:r>
        <w:rPr>
          <w:rFonts w:ascii="宋体" w:eastAsia="宋体" w:hAnsi="宋体" w:cs="宋体" w:hint="eastAsia"/>
          <w:kern w:val="2"/>
          <w:lang w:eastAsia="zh-CN"/>
        </w:rPr>
        <w:t>，软装投入、设备投入、项目人员投入等运营成本及税费共计约</w:t>
      </w:r>
      <w:r>
        <w:rPr>
          <w:rFonts w:ascii="宋体" w:eastAsia="宋体" w:hAnsi="宋体" w:cs="宋体" w:hint="eastAsia"/>
          <w:kern w:val="2"/>
          <w:lang w:eastAsia="zh-CN"/>
        </w:rPr>
        <w:t>1440.93</w:t>
      </w:r>
      <w:r>
        <w:rPr>
          <w:rFonts w:ascii="宋体" w:eastAsia="宋体" w:hAnsi="宋体" w:cs="宋体"/>
          <w:kern w:val="2"/>
          <w:lang w:eastAsia="zh-CN"/>
        </w:rPr>
        <w:t>万元，</w:t>
      </w:r>
      <w:r>
        <w:rPr>
          <w:rFonts w:ascii="宋体" w:eastAsia="宋体" w:hAnsi="宋体" w:cs="宋体" w:hint="eastAsia"/>
          <w:kern w:val="2"/>
          <w:lang w:eastAsia="zh-CN"/>
        </w:rPr>
        <w:t>项目总净利润为</w:t>
      </w:r>
      <w:r>
        <w:rPr>
          <w:rFonts w:ascii="宋体" w:eastAsia="宋体" w:hAnsi="宋体" w:cs="宋体" w:hint="eastAsia"/>
          <w:kern w:val="2"/>
          <w:lang w:eastAsia="zh-CN"/>
        </w:rPr>
        <w:t>21.3</w:t>
      </w:r>
      <w:r>
        <w:rPr>
          <w:rFonts w:ascii="宋体" w:eastAsia="宋体" w:hAnsi="宋体" w:cs="宋体" w:hint="eastAsia"/>
          <w:kern w:val="2"/>
          <w:lang w:eastAsia="zh-CN"/>
        </w:rPr>
        <w:t>万元</w:t>
      </w:r>
      <w:r>
        <w:rPr>
          <w:rFonts w:ascii="宋体" w:eastAsia="宋体" w:hAnsi="宋体" w:cs="宋体" w:hint="eastAsia"/>
          <w:kern w:val="2"/>
          <w:lang w:eastAsia="zh-CN"/>
        </w:rPr>
        <w:t>。</w:t>
      </w:r>
    </w:p>
    <w:p>
      <w:pPr>
        <w:widowControl w:val="0"/>
        <w:spacing w:line="60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为减少政府财政支出，根据社会化运营模式需求，</w:t>
      </w:r>
      <w:r>
        <w:rPr>
          <w:rFonts w:ascii="宋体" w:eastAsia="宋体" w:hAnsi="宋体" w:cs="宋体" w:hint="eastAsia"/>
          <w:kern w:val="2"/>
          <w:lang w:eastAsia="zh-CN"/>
        </w:rPr>
        <w:t>移交给</w:t>
      </w:r>
      <w:r>
        <w:rPr>
          <w:rFonts w:ascii="宋体" w:eastAsia="宋体" w:hAnsi="宋体" w:cs="宋体" w:hint="eastAsia"/>
          <w:kern w:val="2"/>
          <w:lang w:eastAsia="zh-CN"/>
        </w:rPr>
        <w:t>乙方（中标方）</w:t>
      </w:r>
      <w:r>
        <w:rPr>
          <w:rFonts w:ascii="宋体" w:eastAsia="宋体" w:hAnsi="宋体" w:cs="宋体" w:hint="eastAsia"/>
          <w:kern w:val="2"/>
          <w:lang w:eastAsia="zh-CN"/>
        </w:rPr>
        <w:t>的场地不收取场地租金等其他费用，该场地产生的</w:t>
      </w:r>
      <w:r>
        <w:rPr>
          <w:rFonts w:ascii="宋体" w:eastAsia="宋体" w:hAnsi="宋体" w:cs="宋体" w:hint="eastAsia"/>
          <w:kern w:val="2"/>
          <w:lang w:eastAsia="zh-CN"/>
        </w:rPr>
        <w:t>装修、运营、</w:t>
      </w:r>
      <w:r>
        <w:rPr>
          <w:rFonts w:ascii="宋体" w:eastAsia="宋体" w:hAnsi="宋体" w:cs="宋体" w:hint="eastAsia"/>
          <w:kern w:val="2"/>
          <w:lang w:eastAsia="zh-CN"/>
        </w:rPr>
        <w:t>水电</w:t>
      </w:r>
      <w:r>
        <w:rPr>
          <w:rFonts w:ascii="宋体" w:eastAsia="宋体" w:hAnsi="宋体" w:cs="宋体" w:hint="eastAsia"/>
          <w:kern w:val="2"/>
          <w:lang w:eastAsia="zh-CN"/>
        </w:rPr>
        <w:t>、物业等</w:t>
      </w:r>
      <w:r>
        <w:rPr>
          <w:rFonts w:ascii="宋体" w:eastAsia="宋体" w:hAnsi="宋体" w:cs="宋体" w:hint="eastAsia"/>
          <w:kern w:val="2"/>
          <w:lang w:eastAsia="zh-CN"/>
        </w:rPr>
        <w:t>费用均由</w:t>
      </w:r>
      <w:r>
        <w:rPr>
          <w:rFonts w:ascii="宋体" w:eastAsia="宋体" w:hAnsi="宋体" w:cs="宋体" w:hint="eastAsia"/>
          <w:kern w:val="2"/>
          <w:lang w:eastAsia="zh-CN"/>
        </w:rPr>
        <w:t>乙方</w:t>
      </w:r>
      <w:r>
        <w:rPr>
          <w:rFonts w:ascii="宋体" w:eastAsia="宋体" w:hAnsi="宋体" w:cs="宋体" w:hint="eastAsia"/>
          <w:kern w:val="2"/>
          <w:lang w:eastAsia="zh-CN"/>
        </w:rPr>
        <w:t>承担。</w:t>
      </w:r>
    </w:p>
    <w:p>
      <w:pPr>
        <w:widowControl w:val="0"/>
        <w:spacing w:line="600" w:lineRule="exact"/>
        <w:ind w:firstLine="480" w:firstLineChars="200"/>
        <w:jc w:val="center"/>
        <w:rPr>
          <w:rFonts w:ascii="宋体" w:eastAsia="宋体" w:hAnsi="宋体" w:cs="宋体" w:hint="eastAsia"/>
          <w:b/>
          <w:bCs/>
          <w:spacing w:val="-6"/>
          <w:kern w:val="2"/>
          <w:lang w:eastAsia="zh-CN"/>
        </w:rPr>
      </w:pPr>
      <w:r>
        <w:rPr>
          <w:rFonts w:ascii="宋体" w:eastAsia="宋体" w:hAnsi="宋体" w:cs="宋体" w:hint="eastAsia"/>
          <w:b/>
          <w:bCs/>
          <w:spacing w:val="-6"/>
          <w:kern w:val="2"/>
          <w:lang w:eastAsia="zh-CN"/>
        </w:rPr>
        <w:t>二、项目运营要求</w:t>
      </w:r>
    </w:p>
    <w:p>
      <w:pPr>
        <w:widowControl w:val="0"/>
        <w:spacing w:line="600" w:lineRule="exact"/>
        <w:ind w:firstLine="480" w:firstLineChars="200"/>
        <w:jc w:val="both"/>
        <w:rPr>
          <w:rFonts w:ascii="宋体" w:eastAsia="宋体" w:hAnsi="宋体" w:cs="宋体" w:hint="eastAsia"/>
          <w:kern w:val="2"/>
          <w:lang w:val="en" w:eastAsia="zh-CN"/>
        </w:rPr>
      </w:pPr>
      <w:r>
        <w:rPr>
          <w:rFonts w:ascii="宋体" w:eastAsia="宋体" w:hAnsi="宋体" w:cs="宋体" w:hint="eastAsia"/>
          <w:kern w:val="2"/>
          <w:lang w:val="en" w:eastAsia="zh-CN"/>
        </w:rPr>
        <w:t>（一）</w:t>
      </w:r>
      <w:r>
        <w:rPr>
          <w:rFonts w:ascii="宋体" w:eastAsia="宋体" w:hAnsi="宋体" w:cs="宋体" w:hint="eastAsia"/>
          <w:kern w:val="2"/>
          <w:lang w:val="en" w:eastAsia="zh-CN"/>
        </w:rPr>
        <w:t>乙方</w:t>
      </w:r>
      <w:r>
        <w:rPr>
          <w:rFonts w:ascii="宋体" w:eastAsia="宋体" w:hAnsi="宋体" w:cs="宋体" w:hint="eastAsia"/>
          <w:kern w:val="2"/>
          <w:lang w:val="en" w:eastAsia="zh-CN"/>
        </w:rPr>
        <w:t>必须按</w:t>
      </w:r>
      <w:r>
        <w:rPr>
          <w:rFonts w:ascii="宋体" w:eastAsia="宋体" w:hAnsi="宋体" w:cs="宋体" w:hint="eastAsia"/>
          <w:kern w:val="2"/>
          <w:lang w:val="en" w:eastAsia="zh-CN"/>
        </w:rPr>
        <w:t>甲方</w:t>
      </w:r>
      <w:r>
        <w:rPr>
          <w:rFonts w:ascii="宋体" w:eastAsia="宋体" w:hAnsi="宋体" w:cs="宋体" w:hint="eastAsia"/>
          <w:kern w:val="2"/>
          <w:lang w:val="en" w:eastAsia="zh-CN"/>
        </w:rPr>
        <w:t>要求开展文体等类别的运营服务项目，不得在该场地开展违法及有违政府形象的运营服务项目。</w:t>
      </w:r>
    </w:p>
    <w:p>
      <w:pPr>
        <w:widowControl w:val="0"/>
        <w:spacing w:line="600" w:lineRule="exact"/>
        <w:ind w:firstLine="480" w:firstLineChars="200"/>
        <w:jc w:val="both"/>
        <w:rPr>
          <w:rFonts w:ascii="宋体" w:eastAsia="宋体" w:hAnsi="宋体" w:cs="宋体" w:hint="eastAsia"/>
          <w:kern w:val="2"/>
          <w:lang w:val="en" w:eastAsia="zh-CN"/>
        </w:rPr>
      </w:pPr>
      <w:r>
        <w:rPr>
          <w:rFonts w:ascii="宋体" w:eastAsia="宋体" w:hAnsi="宋体" w:cs="宋体" w:hint="eastAsia"/>
          <w:kern w:val="2"/>
          <w:lang w:val="en" w:eastAsia="zh-CN"/>
        </w:rPr>
        <w:t>（二）为降低财政资金风险和供应商履约风险，本项目原则不允许</w:t>
      </w:r>
      <w:r>
        <w:rPr>
          <w:rFonts w:ascii="宋体" w:eastAsia="宋体" w:hAnsi="宋体" w:cs="宋体" w:hint="eastAsia"/>
          <w:kern w:val="2"/>
          <w:lang w:val="en" w:eastAsia="zh-CN"/>
        </w:rPr>
        <w:t>乙方</w:t>
      </w:r>
      <w:r>
        <w:rPr>
          <w:rFonts w:ascii="宋体" w:eastAsia="宋体" w:hAnsi="宋体" w:cs="宋体" w:hint="eastAsia"/>
          <w:kern w:val="2"/>
          <w:lang w:val="en" w:eastAsia="zh-CN"/>
        </w:rPr>
        <w:t>提前预售服务费用，确需进行预售服务的需报</w:t>
      </w:r>
      <w:r>
        <w:rPr>
          <w:rFonts w:ascii="宋体" w:eastAsia="宋体" w:hAnsi="宋体" w:cs="宋体" w:hint="eastAsia"/>
          <w:kern w:val="2"/>
          <w:lang w:val="en" w:eastAsia="zh-CN"/>
        </w:rPr>
        <w:t>甲方</w:t>
      </w:r>
      <w:r>
        <w:rPr>
          <w:rFonts w:ascii="宋体" w:eastAsia="宋体" w:hAnsi="宋体" w:cs="宋体" w:hint="eastAsia"/>
          <w:kern w:val="2"/>
          <w:lang w:val="en" w:eastAsia="zh-CN"/>
        </w:rPr>
        <w:t>审批同意后方可实施。</w:t>
      </w:r>
    </w:p>
    <w:p>
      <w:pPr>
        <w:widowControl w:val="0"/>
        <w:spacing w:line="600" w:lineRule="exact"/>
        <w:ind w:firstLine="480" w:firstLineChars="200"/>
        <w:jc w:val="both"/>
        <w:rPr>
          <w:rFonts w:ascii="宋体" w:eastAsia="宋体" w:hAnsi="宋体" w:cs="宋体" w:hint="eastAsia"/>
          <w:kern w:val="2"/>
          <w:lang w:val="en" w:eastAsia="zh-CN"/>
        </w:rPr>
      </w:pPr>
      <w:r>
        <w:rPr>
          <w:rFonts w:ascii="宋体" w:eastAsia="宋体" w:hAnsi="宋体" w:cs="宋体" w:hint="eastAsia"/>
          <w:kern w:val="2"/>
          <w:lang w:val="en" w:eastAsia="zh-CN"/>
        </w:rPr>
        <w:t>（三）</w:t>
      </w:r>
      <w:r>
        <w:rPr>
          <w:rFonts w:ascii="宋体" w:eastAsia="宋体" w:hAnsi="宋体" w:cs="宋体" w:hint="eastAsia"/>
          <w:kern w:val="2"/>
          <w:lang w:val="en" w:eastAsia="zh-CN"/>
        </w:rPr>
        <w:t>乙方</w:t>
      </w:r>
      <w:r>
        <w:rPr>
          <w:rFonts w:ascii="宋体" w:eastAsia="宋体" w:hAnsi="宋体" w:cs="宋体" w:hint="eastAsia"/>
          <w:kern w:val="2"/>
          <w:lang w:val="en" w:eastAsia="zh-CN"/>
        </w:rPr>
        <w:t>需自行投资完成该场地的软装、门禁及各类设施设备采购工作。</w:t>
      </w:r>
    </w:p>
    <w:p>
      <w:pPr>
        <w:widowControl w:val="0"/>
        <w:spacing w:line="600" w:lineRule="exact"/>
        <w:ind w:firstLine="480" w:firstLineChars="200"/>
        <w:jc w:val="both"/>
        <w:rPr>
          <w:rFonts w:ascii="宋体" w:eastAsia="宋体" w:hAnsi="宋体" w:cs="宋体" w:hint="eastAsia"/>
          <w:kern w:val="2"/>
          <w:lang w:val="en" w:eastAsia="zh-CN"/>
        </w:rPr>
      </w:pPr>
      <w:r>
        <w:rPr>
          <w:rFonts w:ascii="宋体" w:eastAsia="宋体" w:hAnsi="宋体" w:cs="宋体" w:hint="eastAsia"/>
          <w:kern w:val="2"/>
          <w:lang w:val="en" w:eastAsia="zh-CN"/>
        </w:rPr>
        <w:t>（四）</w:t>
      </w:r>
      <w:r>
        <w:rPr>
          <w:rFonts w:ascii="宋体" w:eastAsia="宋体" w:hAnsi="宋体" w:cs="宋体" w:hint="eastAsia"/>
          <w:kern w:val="2"/>
          <w:lang w:val="en" w:eastAsia="zh-CN"/>
        </w:rPr>
        <w:t>乙方</w:t>
      </w:r>
      <w:r>
        <w:rPr>
          <w:rFonts w:ascii="宋体" w:eastAsia="宋体" w:hAnsi="宋体" w:cs="宋体" w:hint="eastAsia"/>
          <w:kern w:val="2"/>
          <w:lang w:val="en" w:eastAsia="zh-CN"/>
        </w:rPr>
        <w:t>对场地布局及使用空间进行改变或对公共区域空间进行装修使用时需征得</w:t>
      </w:r>
      <w:r>
        <w:rPr>
          <w:rFonts w:ascii="宋体" w:eastAsia="宋体" w:hAnsi="宋体" w:cs="宋体" w:hint="eastAsia"/>
          <w:kern w:val="2"/>
          <w:lang w:val="en" w:eastAsia="zh-CN"/>
        </w:rPr>
        <w:t>甲方</w:t>
      </w:r>
      <w:r>
        <w:rPr>
          <w:rFonts w:ascii="宋体" w:eastAsia="宋体" w:hAnsi="宋体" w:cs="宋体" w:hint="eastAsia"/>
          <w:kern w:val="2"/>
          <w:lang w:val="en" w:eastAsia="zh-CN"/>
        </w:rPr>
        <w:t>同意后方可实施。</w:t>
      </w:r>
    </w:p>
    <w:p>
      <w:pPr>
        <w:widowControl w:val="0"/>
        <w:spacing w:line="600" w:lineRule="exact"/>
        <w:ind w:firstLine="480" w:firstLineChars="200"/>
        <w:jc w:val="both"/>
        <w:rPr>
          <w:rFonts w:ascii="宋体" w:eastAsia="宋体" w:hAnsi="宋体" w:cs="宋体" w:hint="eastAsia"/>
          <w:kern w:val="2"/>
          <w:lang w:val="en" w:eastAsia="zh-CN"/>
        </w:rPr>
      </w:pPr>
      <w:r>
        <w:rPr>
          <w:rFonts w:ascii="宋体" w:eastAsia="宋体" w:hAnsi="宋体" w:cs="宋体" w:hint="eastAsia"/>
          <w:kern w:val="2"/>
          <w:lang w:val="en" w:eastAsia="zh-CN"/>
        </w:rPr>
        <w:t>（五）</w:t>
      </w:r>
      <w:r>
        <w:rPr>
          <w:rFonts w:ascii="宋体" w:eastAsia="宋体" w:hAnsi="宋体" w:cs="宋体" w:hint="eastAsia"/>
          <w:kern w:val="2"/>
          <w:lang w:val="en" w:eastAsia="zh-CN"/>
        </w:rPr>
        <w:t>乙方</w:t>
      </w:r>
      <w:r>
        <w:rPr>
          <w:rFonts w:ascii="宋体" w:eastAsia="宋体" w:hAnsi="宋体" w:cs="宋体" w:hint="eastAsia"/>
          <w:kern w:val="2"/>
          <w:lang w:val="en" w:eastAsia="zh-CN"/>
        </w:rPr>
        <w:t>必须按照《翠竹街道综合文体中心绩效考核指标》的要求，组织综合性大型活动、举办品牌活动或特色活动项目、开展非物质文化遗产和民间文化艺术活动等公益性文化活动≥150场次，并按要求对居民免费开放。</w:t>
      </w:r>
    </w:p>
    <w:p>
      <w:pPr>
        <w:widowControl w:val="0"/>
        <w:spacing w:line="600" w:lineRule="exact"/>
        <w:ind w:firstLine="480" w:firstLineChars="200"/>
        <w:jc w:val="both"/>
        <w:rPr>
          <w:rFonts w:ascii="宋体" w:eastAsia="宋体" w:hAnsi="宋体" w:cs="宋体" w:hint="eastAsia"/>
          <w:kern w:val="2"/>
          <w:lang w:val="en" w:eastAsia="zh-CN"/>
        </w:rPr>
      </w:pPr>
      <w:r>
        <w:rPr>
          <w:rFonts w:ascii="宋体" w:eastAsia="宋体" w:hAnsi="宋体" w:cs="宋体" w:hint="eastAsia"/>
          <w:kern w:val="2"/>
          <w:lang w:val="en" w:eastAsia="zh-CN"/>
        </w:rPr>
        <w:t>（六）</w:t>
      </w:r>
      <w:r>
        <w:rPr>
          <w:rFonts w:ascii="宋体" w:eastAsia="宋体" w:hAnsi="宋体" w:cs="宋体" w:hint="eastAsia"/>
          <w:kern w:val="2"/>
          <w:lang w:val="en" w:eastAsia="zh-CN"/>
        </w:rPr>
        <w:t>甲方</w:t>
      </w:r>
      <w:r>
        <w:rPr>
          <w:rFonts w:ascii="宋体" w:eastAsia="宋体" w:hAnsi="宋体" w:cs="宋体" w:hint="eastAsia"/>
          <w:kern w:val="2"/>
          <w:lang w:val="en" w:eastAsia="zh-CN"/>
        </w:rPr>
        <w:t>对场地有使用需求时，</w:t>
      </w:r>
      <w:r>
        <w:rPr>
          <w:rFonts w:ascii="宋体" w:eastAsia="宋体" w:hAnsi="宋体" w:cs="宋体" w:hint="eastAsia"/>
          <w:kern w:val="2"/>
          <w:lang w:val="en" w:eastAsia="zh-CN"/>
        </w:rPr>
        <w:t>乙方</w:t>
      </w:r>
      <w:r>
        <w:rPr>
          <w:rFonts w:ascii="宋体" w:eastAsia="宋体" w:hAnsi="宋体" w:cs="宋体" w:hint="eastAsia"/>
          <w:kern w:val="2"/>
          <w:lang w:val="en" w:eastAsia="zh-CN"/>
        </w:rPr>
        <w:t>需配合提供场地。</w:t>
      </w:r>
    </w:p>
    <w:p>
      <w:pPr>
        <w:widowControl w:val="0"/>
        <w:spacing w:line="600" w:lineRule="exact"/>
        <w:ind w:firstLine="480" w:firstLineChars="200"/>
        <w:jc w:val="both"/>
        <w:rPr>
          <w:rFonts w:ascii="宋体" w:eastAsia="宋体" w:hAnsi="宋体" w:cs="宋体" w:hint="eastAsia"/>
          <w:kern w:val="2"/>
          <w:lang w:val="en" w:eastAsia="zh-CN"/>
        </w:rPr>
      </w:pPr>
      <w:r>
        <w:rPr>
          <w:rFonts w:ascii="宋体" w:eastAsia="宋体" w:hAnsi="宋体" w:cs="宋体" w:hint="eastAsia"/>
          <w:kern w:val="2"/>
          <w:lang w:val="en" w:eastAsia="zh-CN"/>
        </w:rPr>
        <w:t>（七）</w:t>
      </w:r>
      <w:r>
        <w:rPr>
          <w:rFonts w:ascii="宋体" w:eastAsia="宋体" w:hAnsi="宋体" w:cs="宋体" w:hint="eastAsia"/>
          <w:kern w:val="2"/>
          <w:lang w:val="en" w:eastAsia="zh-CN"/>
        </w:rPr>
        <w:t>乙方</w:t>
      </w:r>
      <w:r>
        <w:rPr>
          <w:rFonts w:ascii="宋体" w:eastAsia="宋体" w:hAnsi="宋体" w:cs="宋体" w:hint="eastAsia"/>
          <w:kern w:val="2"/>
          <w:lang w:val="en" w:eastAsia="zh-CN"/>
        </w:rPr>
        <w:t>负责做好该场地的安全及管理，并承担安全生产责任，同时购买场地险等相关保险。</w:t>
      </w:r>
    </w:p>
    <w:p>
      <w:pPr>
        <w:widowControl w:val="0"/>
        <w:spacing w:line="600" w:lineRule="exact"/>
        <w:ind w:firstLine="480" w:firstLineChars="200"/>
        <w:jc w:val="both"/>
        <w:rPr>
          <w:rFonts w:ascii="宋体" w:eastAsia="宋体" w:hAnsi="宋体" w:cs="宋体" w:hint="eastAsia"/>
          <w:kern w:val="2"/>
          <w:lang w:val="en" w:eastAsia="zh-CN"/>
        </w:rPr>
      </w:pPr>
      <w:r>
        <w:rPr>
          <w:rFonts w:ascii="宋体" w:eastAsia="宋体" w:hAnsi="宋体" w:cs="宋体" w:hint="eastAsia"/>
          <w:kern w:val="2"/>
          <w:lang w:val="en" w:eastAsia="zh-CN"/>
        </w:rPr>
        <w:t>（八）要求</w:t>
      </w:r>
      <w:r>
        <w:rPr>
          <w:rFonts w:ascii="宋体" w:eastAsia="宋体" w:hAnsi="宋体" w:cs="宋体" w:hint="eastAsia"/>
          <w:kern w:val="2"/>
          <w:lang w:val="en" w:eastAsia="zh-CN"/>
        </w:rPr>
        <w:t>乙方</w:t>
      </w:r>
      <w:r>
        <w:rPr>
          <w:rFonts w:ascii="宋体" w:eastAsia="宋体" w:hAnsi="宋体" w:cs="宋体" w:hint="eastAsia"/>
          <w:kern w:val="2"/>
          <w:lang w:val="en" w:eastAsia="zh-CN"/>
        </w:rPr>
        <w:t>在一、二层楼配备足够的工作人员做好服务保障工作，并做好运营区域内的四害消杀防治工作。</w:t>
      </w:r>
    </w:p>
    <w:p>
      <w:pPr>
        <w:widowControl w:val="0"/>
        <w:spacing w:line="600" w:lineRule="exact"/>
        <w:ind w:firstLine="480" w:firstLineChars="200"/>
        <w:jc w:val="center"/>
        <w:rPr>
          <w:rFonts w:ascii="宋体" w:eastAsia="宋体" w:hAnsi="宋体" w:cs="宋体" w:hint="eastAsia"/>
          <w:b/>
          <w:bCs/>
          <w:spacing w:val="-6"/>
          <w:kern w:val="2"/>
          <w:lang w:eastAsia="zh-CN"/>
        </w:rPr>
      </w:pPr>
      <w:bookmarkStart w:id="11" w:name="bookmark24"/>
      <w:bookmarkEnd w:id="11"/>
      <w:bookmarkStart w:id="12" w:name="bookmark25"/>
      <w:bookmarkEnd w:id="12"/>
      <w:r>
        <w:rPr>
          <w:rFonts w:ascii="宋体" w:eastAsia="宋体" w:hAnsi="宋体" w:cs="宋体" w:hint="eastAsia"/>
          <w:b/>
          <w:bCs/>
          <w:spacing w:val="-6"/>
          <w:kern w:val="2"/>
          <w:lang w:eastAsia="zh-CN"/>
        </w:rPr>
        <w:t>三、商务条款</w:t>
      </w:r>
    </w:p>
    <w:p>
      <w:pPr>
        <w:widowControl w:val="0"/>
        <w:kinsoku w:val="0"/>
        <w:autoSpaceDE w:val="0"/>
        <w:autoSpaceDN w:val="0"/>
        <w:adjustRightInd w:val="0"/>
        <w:snapToGrid w:val="0"/>
        <w:spacing w:line="266" w:lineRule="auto"/>
        <w:jc w:val="both"/>
        <w:textAlignment w:val="baseline"/>
        <w:rPr>
          <w:rFonts w:ascii="宋体" w:eastAsia="宋体" w:hAnsi="宋体" w:cs="宋体" w:hint="eastAsia"/>
          <w:b/>
          <w:bCs/>
          <w:kern w:val="2"/>
          <w:szCs w:val="22"/>
          <w:lang w:eastAsia="zh-CN"/>
        </w:rPr>
      </w:pPr>
    </w:p>
    <w:p>
      <w:pPr>
        <w:widowControl w:val="0"/>
        <w:numPr>
          <w:ilvl w:val="12"/>
          <w:numId w:val="0"/>
        </w:numPr>
        <w:kinsoku w:val="0"/>
        <w:autoSpaceDE w:val="0"/>
        <w:autoSpaceDN w:val="0"/>
        <w:adjustRightInd w:val="0"/>
        <w:snapToGrid w:val="0"/>
        <w:spacing w:before="72" w:line="307" w:lineRule="auto"/>
        <w:ind w:left="0" w:right="70" w:firstLine="480" w:firstLineChars="200"/>
        <w:jc w:val="both"/>
        <w:textAlignment w:val="baseline"/>
        <w:rPr>
          <w:rFonts w:ascii="宋体" w:eastAsia="宋体" w:hAnsi="宋体" w:cs="宋体" w:hint="eastAsia"/>
          <w:kern w:val="2"/>
          <w:lang w:eastAsia="zh-CN"/>
        </w:rPr>
      </w:pPr>
      <w:r>
        <w:rPr>
          <w:rFonts w:ascii="宋体" w:eastAsia="宋体" w:hAnsi="宋体" w:cs="宋体" w:hint="eastAsia"/>
          <w:b/>
          <w:bCs/>
          <w:spacing w:val="-2"/>
          <w:kern w:val="2"/>
          <w:lang w:eastAsia="zh-CN"/>
        </w:rPr>
        <w:t>一、服务期限</w:t>
      </w:r>
      <w:r>
        <w:rPr>
          <w:rFonts w:ascii="宋体" w:eastAsia="宋体" w:hAnsi="宋体" w:cs="宋体" w:hint="eastAsia"/>
          <w:spacing w:val="-2"/>
          <w:kern w:val="2"/>
          <w:lang w:eastAsia="zh-CN"/>
        </w:rPr>
        <w:t>：本项目服务期限为</w:t>
      </w:r>
      <w:r>
        <w:rPr>
          <w:rFonts w:ascii="宋体" w:eastAsia="宋体" w:hAnsi="宋体" w:cs="宋体" w:hint="eastAsia"/>
          <w:spacing w:val="-15"/>
          <w:kern w:val="2"/>
          <w:lang w:eastAsia="zh-CN"/>
        </w:rPr>
        <w:t>五</w:t>
      </w:r>
      <w:r>
        <w:rPr>
          <w:rFonts w:ascii="宋体" w:eastAsia="宋体" w:hAnsi="宋体" w:cs="宋体" w:hint="eastAsia"/>
          <w:spacing w:val="-2"/>
          <w:kern w:val="2"/>
          <w:lang w:eastAsia="zh-CN"/>
        </w:rPr>
        <w:t>年。</w:t>
      </w:r>
    </w:p>
    <w:p>
      <w:pPr>
        <w:widowControl w:val="0"/>
        <w:kinsoku w:val="0"/>
        <w:autoSpaceDE w:val="0"/>
        <w:autoSpaceDN w:val="0"/>
        <w:adjustRightInd w:val="0"/>
        <w:snapToGrid w:val="0"/>
        <w:spacing w:before="86" w:line="220" w:lineRule="auto"/>
        <w:ind w:firstLine="480" w:firstLineChars="200"/>
        <w:jc w:val="both"/>
        <w:textAlignment w:val="baseline"/>
        <w:rPr>
          <w:rFonts w:ascii="宋体" w:eastAsia="宋体" w:hAnsi="宋体" w:cs="宋体" w:hint="eastAsia"/>
          <w:kern w:val="2"/>
          <w:lang w:eastAsia="zh-CN"/>
        </w:rPr>
      </w:pPr>
      <w:r>
        <w:rPr>
          <w:rFonts w:ascii="宋体" w:eastAsia="宋体" w:hAnsi="宋体" w:cs="宋体" w:hint="eastAsia"/>
          <w:b/>
          <w:bCs/>
          <w:spacing w:val="-3"/>
          <w:kern w:val="2"/>
          <w:lang w:eastAsia="zh-CN"/>
        </w:rPr>
        <w:t>二、服务地点：</w:t>
      </w:r>
      <w:r>
        <w:rPr>
          <w:rFonts w:ascii="宋体" w:eastAsia="宋体" w:hAnsi="宋体" w:cs="宋体" w:hint="eastAsia"/>
          <w:spacing w:val="-3"/>
          <w:kern w:val="2"/>
          <w:lang w:eastAsia="zh-CN"/>
        </w:rPr>
        <w:t>罗湖区</w:t>
      </w:r>
      <w:r>
        <w:rPr>
          <w:rFonts w:ascii="宋体" w:eastAsia="宋体" w:hAnsi="宋体" w:cs="宋体"/>
          <w:spacing w:val="-3"/>
          <w:kern w:val="2"/>
          <w:lang w:eastAsia="zh-CN"/>
        </w:rPr>
        <w:t>益田御龙天地7栋1-2楼</w:t>
      </w:r>
    </w:p>
    <w:p>
      <w:pPr>
        <w:widowControl w:val="0"/>
        <w:kinsoku w:val="0"/>
        <w:autoSpaceDE w:val="0"/>
        <w:autoSpaceDN w:val="0"/>
        <w:adjustRightInd w:val="0"/>
        <w:snapToGrid w:val="0"/>
        <w:spacing w:before="136" w:line="322" w:lineRule="auto"/>
        <w:ind w:right="75" w:firstLine="480" w:firstLineChars="200"/>
        <w:jc w:val="both"/>
        <w:textAlignment w:val="baseline"/>
        <w:rPr>
          <w:rFonts w:ascii="宋体" w:eastAsia="宋体" w:hAnsi="宋体" w:cs="宋体" w:hint="eastAsia"/>
          <w:kern w:val="2"/>
          <w:lang w:eastAsia="zh-CN"/>
        </w:rPr>
      </w:pPr>
      <w:r>
        <w:rPr>
          <w:rFonts w:ascii="宋体" w:eastAsia="宋体" w:hAnsi="宋体" w:cs="宋体" w:hint="eastAsia"/>
          <w:b/>
          <w:bCs/>
          <w:spacing w:val="-3"/>
          <w:kern w:val="2"/>
          <w:lang w:eastAsia="zh-CN"/>
        </w:rPr>
        <w:t>三、</w:t>
      </w:r>
      <w:r>
        <w:rPr>
          <w:rFonts w:ascii="宋体" w:eastAsia="宋体" w:hAnsi="宋体" w:cs="宋体" w:hint="eastAsia"/>
          <w:b/>
          <w:bCs/>
          <w:spacing w:val="-6"/>
          <w:kern w:val="2"/>
          <w:lang w:eastAsia="zh-CN"/>
        </w:rPr>
        <w:t>提前终止：</w:t>
      </w:r>
    </w:p>
    <w:p>
      <w:pPr>
        <w:widowControl w:val="0"/>
        <w:kinsoku w:val="0"/>
        <w:autoSpaceDE w:val="0"/>
        <w:autoSpaceDN w:val="0"/>
        <w:adjustRightInd w:val="0"/>
        <w:snapToGrid w:val="0"/>
        <w:spacing w:before="98" w:line="220" w:lineRule="auto"/>
        <w:ind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3"/>
          <w:kern w:val="2"/>
          <w:lang w:eastAsia="zh-CN"/>
        </w:rPr>
        <w:t>1.提前终止的事由</w:t>
      </w:r>
    </w:p>
    <w:p>
      <w:pPr>
        <w:widowControl w:val="0"/>
        <w:kinsoku w:val="0"/>
        <w:autoSpaceDE w:val="0"/>
        <w:autoSpaceDN w:val="0"/>
        <w:adjustRightInd w:val="0"/>
        <w:snapToGrid w:val="0"/>
        <w:spacing w:before="148" w:line="277" w:lineRule="auto"/>
        <w:ind w:right="125"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1.1</w:t>
      </w:r>
      <w:r>
        <w:rPr>
          <w:rFonts w:ascii="宋体" w:eastAsia="宋体" w:hAnsi="宋体" w:cs="宋体" w:hint="eastAsia"/>
          <w:kern w:val="2"/>
          <w:lang w:val="en" w:eastAsia="zh-CN"/>
        </w:rPr>
        <w:t>甲方</w:t>
      </w:r>
      <w:r>
        <w:rPr>
          <w:rFonts w:ascii="宋体" w:eastAsia="宋体" w:hAnsi="宋体" w:cs="宋体" w:hint="eastAsia"/>
          <w:spacing w:val="-2"/>
          <w:kern w:val="2"/>
          <w:lang w:eastAsia="zh-CN"/>
        </w:rPr>
        <w:t>违约：发生</w:t>
      </w:r>
      <w:r>
        <w:rPr>
          <w:rFonts w:ascii="宋体" w:eastAsia="宋体" w:hAnsi="宋体" w:cs="宋体" w:hint="eastAsia"/>
          <w:kern w:val="2"/>
          <w:lang w:val="en" w:eastAsia="zh-CN"/>
        </w:rPr>
        <w:t>甲方</w:t>
      </w:r>
      <w:r>
        <w:rPr>
          <w:rFonts w:ascii="宋体" w:eastAsia="宋体" w:hAnsi="宋体" w:cs="宋体" w:hint="eastAsia"/>
          <w:spacing w:val="-2"/>
          <w:kern w:val="2"/>
          <w:lang w:eastAsia="zh-CN"/>
        </w:rPr>
        <w:t>违约事件，且</w:t>
      </w:r>
      <w:r>
        <w:rPr>
          <w:rFonts w:ascii="宋体" w:eastAsia="宋体" w:hAnsi="宋体" w:cs="宋体" w:hint="eastAsia"/>
          <w:kern w:val="2"/>
          <w:lang w:val="en" w:eastAsia="zh-CN"/>
        </w:rPr>
        <w:t>甲方</w:t>
      </w:r>
      <w:r>
        <w:rPr>
          <w:rFonts w:ascii="宋体" w:eastAsia="宋体" w:hAnsi="宋体" w:cs="宋体" w:hint="eastAsia"/>
          <w:spacing w:val="-2"/>
          <w:kern w:val="2"/>
          <w:lang w:eastAsia="zh-CN"/>
        </w:rPr>
        <w:t>未在双方约定的期限内补救的，</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可根据本项目合同约定主张终止委托运营</w:t>
      </w:r>
      <w:r>
        <w:rPr>
          <w:rFonts w:ascii="宋体" w:eastAsia="宋体" w:hAnsi="宋体" w:cs="宋体" w:hint="eastAsia"/>
          <w:spacing w:val="-3"/>
          <w:kern w:val="2"/>
          <w:lang w:eastAsia="zh-CN"/>
        </w:rPr>
        <w:t>合同；</w:t>
      </w:r>
    </w:p>
    <w:p>
      <w:pPr>
        <w:widowControl w:val="0"/>
        <w:kinsoku w:val="0"/>
        <w:autoSpaceDE w:val="0"/>
        <w:autoSpaceDN w:val="0"/>
        <w:adjustRightInd w:val="0"/>
        <w:snapToGrid w:val="0"/>
        <w:spacing w:before="138" w:line="297" w:lineRule="auto"/>
        <w:ind w:right="75"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1.2</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违约：发生</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违约事件，且</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和其指定的第三方均未能在双方</w:t>
      </w:r>
      <w:r>
        <w:rPr>
          <w:rFonts w:ascii="宋体" w:eastAsia="宋体" w:hAnsi="宋体" w:cs="宋体" w:hint="eastAsia"/>
          <w:kern w:val="2"/>
          <w:lang w:eastAsia="zh-CN"/>
        </w:rPr>
        <w:t>约定的期限内对该违约进行补救的，</w:t>
      </w:r>
      <w:r>
        <w:rPr>
          <w:rFonts w:ascii="宋体" w:eastAsia="宋体" w:hAnsi="宋体" w:cs="宋体" w:hint="eastAsia"/>
          <w:kern w:val="2"/>
          <w:lang w:val="en" w:eastAsia="zh-CN"/>
        </w:rPr>
        <w:t>甲方</w:t>
      </w:r>
      <w:r>
        <w:rPr>
          <w:rFonts w:ascii="宋体" w:eastAsia="宋体" w:hAnsi="宋体" w:cs="宋体" w:hint="eastAsia"/>
          <w:kern w:val="2"/>
          <w:lang w:eastAsia="zh-CN"/>
        </w:rPr>
        <w:t>可根据本项目合</w:t>
      </w:r>
      <w:r>
        <w:rPr>
          <w:rFonts w:ascii="宋体" w:eastAsia="宋体" w:hAnsi="宋体" w:cs="宋体" w:hint="eastAsia"/>
          <w:spacing w:val="-1"/>
          <w:kern w:val="2"/>
          <w:lang w:eastAsia="zh-CN"/>
        </w:rPr>
        <w:t>同约定主张终止委托运营</w:t>
      </w:r>
      <w:r>
        <w:rPr>
          <w:rFonts w:ascii="宋体" w:eastAsia="宋体" w:hAnsi="宋体" w:cs="宋体" w:hint="eastAsia"/>
          <w:spacing w:val="-9"/>
          <w:kern w:val="2"/>
          <w:lang w:eastAsia="zh-CN"/>
        </w:rPr>
        <w:t>合同；</w:t>
      </w:r>
    </w:p>
    <w:p>
      <w:pPr>
        <w:widowControl w:val="0"/>
        <w:kinsoku w:val="0"/>
        <w:autoSpaceDE w:val="0"/>
        <w:autoSpaceDN w:val="0"/>
        <w:adjustRightInd w:val="0"/>
        <w:snapToGrid w:val="0"/>
        <w:spacing w:before="148" w:line="277" w:lineRule="auto"/>
        <w:ind w:right="125" w:firstLine="480" w:firstLineChars="200"/>
        <w:jc w:val="both"/>
        <w:textAlignment w:val="baseline"/>
        <w:rPr>
          <w:rFonts w:ascii="宋体" w:eastAsia="宋体" w:hAnsi="宋体" w:cs="宋体" w:hint="eastAsia"/>
          <w:spacing w:val="-2"/>
          <w:kern w:val="2"/>
          <w:lang w:eastAsia="zh-CN"/>
        </w:rPr>
      </w:pPr>
      <w:r>
        <w:rPr>
          <w:rFonts w:ascii="宋体" w:eastAsia="宋体" w:hAnsi="宋体" w:cs="宋体" w:hint="eastAsia"/>
          <w:spacing w:val="-2"/>
          <w:kern w:val="2"/>
          <w:lang w:eastAsia="zh-CN"/>
        </w:rPr>
        <w:t>1.3双方合意进行提前终止；</w:t>
      </w:r>
    </w:p>
    <w:p>
      <w:pPr>
        <w:widowControl w:val="0"/>
        <w:kinsoku w:val="0"/>
        <w:autoSpaceDE w:val="0"/>
        <w:autoSpaceDN w:val="0"/>
        <w:adjustRightInd w:val="0"/>
        <w:snapToGrid w:val="0"/>
        <w:spacing w:before="148" w:line="277" w:lineRule="auto"/>
        <w:ind w:right="125" w:firstLine="480" w:firstLineChars="200"/>
        <w:jc w:val="both"/>
        <w:textAlignment w:val="baseline"/>
        <w:rPr>
          <w:rFonts w:ascii="宋体" w:eastAsia="宋体" w:hAnsi="宋体" w:cs="宋体" w:hint="eastAsia"/>
          <w:spacing w:val="-2"/>
          <w:kern w:val="2"/>
          <w:lang w:eastAsia="zh-CN"/>
        </w:rPr>
      </w:pPr>
      <w:r>
        <w:rPr>
          <w:rFonts w:ascii="宋体" w:eastAsia="宋体" w:hAnsi="宋体" w:cs="宋体" w:hint="eastAsia"/>
          <w:spacing w:val="-2"/>
          <w:kern w:val="2"/>
          <w:lang w:eastAsia="zh-CN"/>
        </w:rPr>
        <w:t>1.4不可抗力事件：发生不可抗力事件导致项目提前终止。</w:t>
      </w:r>
    </w:p>
    <w:p>
      <w:pPr>
        <w:widowControl w:val="0"/>
        <w:kinsoku w:val="0"/>
        <w:autoSpaceDE w:val="0"/>
        <w:autoSpaceDN w:val="0"/>
        <w:adjustRightInd w:val="0"/>
        <w:snapToGrid w:val="0"/>
        <w:spacing w:before="148" w:line="277" w:lineRule="auto"/>
        <w:ind w:right="125" w:firstLine="480" w:firstLineChars="200"/>
        <w:jc w:val="both"/>
        <w:textAlignment w:val="baseline"/>
        <w:rPr>
          <w:rFonts w:ascii="宋体" w:eastAsia="宋体" w:hAnsi="宋体" w:cs="宋体" w:hint="eastAsia"/>
          <w:spacing w:val="-2"/>
          <w:kern w:val="2"/>
          <w:lang w:eastAsia="zh-CN"/>
        </w:rPr>
      </w:pPr>
      <w:r>
        <w:rPr>
          <w:rFonts w:ascii="宋体" w:eastAsia="宋体" w:hAnsi="宋体" w:cs="宋体" w:hint="eastAsia"/>
          <w:spacing w:val="-2"/>
          <w:kern w:val="2"/>
          <w:lang w:eastAsia="zh-CN"/>
        </w:rPr>
        <w:t xml:space="preserve">1.5 </w:t>
      </w:r>
      <w:r>
        <w:rPr>
          <w:rFonts w:ascii="宋体" w:eastAsia="宋体" w:hAnsi="宋体" w:cs="宋体" w:hint="eastAsia"/>
          <w:spacing w:val="-2"/>
          <w:kern w:val="2"/>
          <w:lang w:eastAsia="zh-CN"/>
        </w:rPr>
        <w:t>法律政策变更：本合同生效后，对于不可归责于双方的法律政策变更，如国家、省、市等上级政府或上级人大统一修订、实施的新法律、法规、规章、规范性文件、政策规定等，双方应根据现行有效或最新修订的法律政策对原合同相应条款进行协商变更，并签订书面补充协议。法律政策变更导致乙方运营维护成本费用显著增加的，双方可基于公平原则协商变更合同，协商不成的，甲方有权单方通知乙方提前终止合同，甲方不承担违约责任。如法律政策变更直接导致合同无法继续履行、合同目的无法实现的，视为不可抗力，甲方可通知乙方提前终止合同，不承担违约责任。</w:t>
      </w:r>
    </w:p>
    <w:p>
      <w:pPr>
        <w:widowControl w:val="0"/>
        <w:kinsoku w:val="0"/>
        <w:autoSpaceDE w:val="0"/>
        <w:autoSpaceDN w:val="0"/>
        <w:adjustRightInd w:val="0"/>
        <w:snapToGrid w:val="0"/>
        <w:spacing w:before="148" w:line="277" w:lineRule="auto"/>
        <w:ind w:right="125" w:firstLine="480" w:firstLineChars="200"/>
        <w:jc w:val="both"/>
        <w:textAlignment w:val="baseline"/>
        <w:rPr>
          <w:rFonts w:ascii="宋体" w:eastAsia="宋体" w:hAnsi="宋体" w:cs="宋体" w:hint="eastAsia"/>
          <w:spacing w:val="-2"/>
          <w:kern w:val="2"/>
          <w:lang w:eastAsia="zh-CN"/>
        </w:rPr>
      </w:pPr>
      <w:r>
        <w:rPr>
          <w:rFonts w:ascii="宋体" w:eastAsia="宋体" w:hAnsi="宋体" w:cs="宋体" w:hint="eastAsia"/>
          <w:spacing w:val="-2"/>
          <w:kern w:val="2"/>
          <w:lang w:eastAsia="zh-CN"/>
        </w:rPr>
        <w:t>1.6 巡察审计需要：本级或上级党委、政府、人大、审计机关等开展的巡察、审计、专项检查等监督程序，明确提出要求终止本合同的，此情况可由双方合意提前终止，甲方不承担违约责任。</w:t>
      </w:r>
    </w:p>
    <w:p>
      <w:pPr>
        <w:keepNext w:val="0"/>
        <w:keepLines w:val="0"/>
        <w:pageBreakBefore w:val="0"/>
        <w:widowControl w:val="0"/>
        <w:kinsoku w:val="0"/>
        <w:wordWrap/>
        <w:overflowPunct/>
        <w:topLinePunct w:val="0"/>
        <w:autoSpaceDE w:val="0"/>
        <w:autoSpaceDN w:val="0"/>
        <w:bidi w:val="0"/>
        <w:adjustRightInd w:val="0"/>
        <w:snapToGrid w:val="0"/>
        <w:spacing w:before="138" w:line="221" w:lineRule="auto"/>
        <w:ind w:left="0"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3"/>
          <w:kern w:val="2"/>
          <w:lang w:eastAsia="zh-CN"/>
        </w:rPr>
        <w:t>2.终止后的补偿</w:t>
      </w:r>
    </w:p>
    <w:p>
      <w:pPr>
        <w:keepNext w:val="0"/>
        <w:keepLines w:val="0"/>
        <w:pageBreakBefore w:val="0"/>
        <w:widowControl w:val="0"/>
        <w:kinsoku w:val="0"/>
        <w:wordWrap/>
        <w:overflowPunct/>
        <w:topLinePunct w:val="0"/>
        <w:autoSpaceDE w:val="0"/>
        <w:autoSpaceDN w:val="0"/>
        <w:bidi w:val="0"/>
        <w:adjustRightInd w:val="0"/>
        <w:snapToGrid w:val="0"/>
        <w:spacing w:before="138" w:line="332" w:lineRule="auto"/>
        <w:ind w:left="0" w:right="0" w:firstLine="480" w:firstLineChars="200"/>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对于因</w:t>
      </w:r>
      <w:r>
        <w:rPr>
          <w:rFonts w:ascii="宋体" w:eastAsia="宋体" w:hAnsi="宋体" w:cs="宋体" w:hint="eastAsia"/>
          <w:kern w:val="2"/>
          <w:lang w:eastAsia="zh-CN"/>
        </w:rPr>
        <w:t>甲方</w:t>
      </w:r>
      <w:r>
        <w:rPr>
          <w:rFonts w:ascii="宋体" w:eastAsia="宋体" w:hAnsi="宋体" w:cs="宋体" w:hint="eastAsia"/>
          <w:kern w:val="2"/>
          <w:lang w:eastAsia="zh-CN"/>
        </w:rPr>
        <w:t>违约事件所导致的委托运营合同终止，一般的补偿原则是确保</w:t>
      </w:r>
      <w:r>
        <w:rPr>
          <w:rFonts w:ascii="宋体" w:eastAsia="宋体" w:hAnsi="宋体" w:cs="宋体" w:hint="eastAsia"/>
          <w:kern w:val="2"/>
          <w:lang w:eastAsia="zh-CN"/>
        </w:rPr>
        <w:t>乙方</w:t>
      </w:r>
      <w:r>
        <w:rPr>
          <w:rFonts w:ascii="宋体" w:eastAsia="宋体" w:hAnsi="宋体" w:cs="宋体" w:hint="eastAsia"/>
          <w:kern w:val="2"/>
          <w:lang w:eastAsia="zh-CN"/>
        </w:rPr>
        <w:t>不会因项目提前终止而受损或获得额外利益；对于因</w:t>
      </w:r>
      <w:r>
        <w:rPr>
          <w:rFonts w:ascii="宋体" w:eastAsia="宋体" w:hAnsi="宋体" w:cs="宋体" w:hint="eastAsia"/>
          <w:kern w:val="2"/>
          <w:lang w:eastAsia="zh-CN"/>
        </w:rPr>
        <w:t>乙方</w:t>
      </w:r>
      <w:r>
        <w:rPr>
          <w:rFonts w:ascii="宋体" w:eastAsia="宋体" w:hAnsi="宋体" w:cs="宋体" w:hint="eastAsia"/>
          <w:kern w:val="2"/>
          <w:lang w:eastAsia="zh-CN"/>
        </w:rPr>
        <w:t>违约事件导致的委托运营合同终止，如果政府选择合同终止时，</w:t>
      </w:r>
      <w:r>
        <w:rPr>
          <w:rFonts w:ascii="宋体" w:eastAsia="宋体" w:hAnsi="宋体" w:cs="宋体" w:hint="eastAsia"/>
          <w:kern w:val="2"/>
          <w:lang w:eastAsia="zh-CN"/>
        </w:rPr>
        <w:t>甲方</w:t>
      </w:r>
      <w:r>
        <w:rPr>
          <w:rFonts w:ascii="宋体" w:eastAsia="宋体" w:hAnsi="宋体" w:cs="宋体" w:hint="eastAsia"/>
          <w:kern w:val="2"/>
          <w:lang w:eastAsia="zh-CN"/>
        </w:rPr>
        <w:t>有权清退</w:t>
      </w:r>
      <w:r>
        <w:rPr>
          <w:rFonts w:ascii="宋体" w:eastAsia="宋体" w:hAnsi="宋体" w:cs="宋体" w:hint="eastAsia"/>
          <w:kern w:val="2"/>
          <w:lang w:eastAsia="zh-CN"/>
        </w:rPr>
        <w:t>乙方</w:t>
      </w:r>
      <w:r>
        <w:rPr>
          <w:rFonts w:ascii="宋体" w:eastAsia="宋体" w:hAnsi="宋体" w:cs="宋体" w:hint="eastAsia"/>
          <w:kern w:val="2"/>
          <w:lang w:eastAsia="zh-CN"/>
        </w:rPr>
        <w:t>且无需就合同终止支付相应补偿，给</w:t>
      </w:r>
      <w:r>
        <w:rPr>
          <w:rFonts w:ascii="宋体" w:eastAsia="宋体" w:hAnsi="宋体" w:cs="宋体" w:hint="eastAsia"/>
          <w:kern w:val="2"/>
          <w:lang w:eastAsia="zh-CN"/>
        </w:rPr>
        <w:t>甲方</w:t>
      </w:r>
      <w:r>
        <w:rPr>
          <w:rFonts w:ascii="宋体" w:eastAsia="宋体" w:hAnsi="宋体" w:cs="宋体" w:hint="eastAsia"/>
          <w:kern w:val="2"/>
          <w:lang w:eastAsia="zh-CN"/>
        </w:rPr>
        <w:t>造成损失的，</w:t>
      </w:r>
      <w:r>
        <w:rPr>
          <w:rFonts w:ascii="宋体" w:eastAsia="宋体" w:hAnsi="宋体" w:cs="宋体" w:hint="eastAsia"/>
          <w:kern w:val="2"/>
          <w:lang w:eastAsia="zh-CN"/>
        </w:rPr>
        <w:t>甲方</w:t>
      </w:r>
      <w:r>
        <w:rPr>
          <w:rFonts w:ascii="宋体" w:eastAsia="宋体" w:hAnsi="宋体" w:cs="宋体" w:hint="eastAsia"/>
          <w:kern w:val="2"/>
          <w:lang w:eastAsia="zh-CN"/>
        </w:rPr>
        <w:t>有权对</w:t>
      </w:r>
      <w:r>
        <w:rPr>
          <w:rFonts w:ascii="宋体" w:eastAsia="宋体" w:hAnsi="宋体" w:cs="宋体" w:hint="eastAsia"/>
          <w:kern w:val="2"/>
          <w:lang w:eastAsia="zh-CN"/>
        </w:rPr>
        <w:t>乙方</w:t>
      </w:r>
      <w:r>
        <w:rPr>
          <w:rFonts w:ascii="宋体" w:eastAsia="宋体" w:hAnsi="宋体" w:cs="宋体" w:hint="eastAsia"/>
          <w:kern w:val="2"/>
          <w:lang w:eastAsia="zh-CN"/>
        </w:rPr>
        <w:t>进行追偿；对于不可抗力、政策法律变更、巡察审计等导致的终止，一般的原则是互不承担违约责任及补偿责任，各自承担损失。</w:t>
      </w:r>
    </w:p>
    <w:p>
      <w:pPr>
        <w:widowControl w:val="0"/>
        <w:kinsoku w:val="0"/>
        <w:autoSpaceDE w:val="0"/>
        <w:autoSpaceDN w:val="0"/>
        <w:adjustRightInd w:val="0"/>
        <w:snapToGrid w:val="0"/>
        <w:spacing w:before="138" w:line="330" w:lineRule="auto"/>
        <w:ind w:left="217" w:right="184" w:firstLine="219"/>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不同情形下</w:t>
      </w:r>
      <w:r>
        <w:rPr>
          <w:rFonts w:ascii="宋体" w:eastAsia="宋体" w:hAnsi="宋体" w:cs="宋体" w:hint="eastAsia"/>
          <w:kern w:val="2"/>
          <w:lang w:eastAsia="zh-CN"/>
        </w:rPr>
        <w:t>甲方</w:t>
      </w:r>
      <w:r>
        <w:rPr>
          <w:rFonts w:ascii="宋体" w:eastAsia="宋体" w:hAnsi="宋体" w:cs="宋体" w:hint="eastAsia"/>
          <w:kern w:val="2"/>
          <w:lang w:eastAsia="zh-CN"/>
        </w:rPr>
        <w:t>向</w:t>
      </w:r>
      <w:r>
        <w:rPr>
          <w:rFonts w:ascii="宋体" w:eastAsia="宋体" w:hAnsi="宋体" w:cs="宋体" w:hint="eastAsia"/>
          <w:kern w:val="2"/>
          <w:lang w:eastAsia="zh-CN"/>
        </w:rPr>
        <w:t>乙方</w:t>
      </w:r>
      <w:r>
        <w:rPr>
          <w:rFonts w:ascii="宋体" w:eastAsia="宋体" w:hAnsi="宋体" w:cs="宋体" w:hint="eastAsia"/>
          <w:kern w:val="2"/>
          <w:lang w:eastAsia="zh-CN"/>
        </w:rPr>
        <w:t>支付的提前终止补偿金额按以下方式计算：</w:t>
      </w:r>
    </w:p>
    <w:p>
      <w:pPr>
        <w:widowControl w:val="0"/>
        <w:kinsoku w:val="0"/>
        <w:autoSpaceDE w:val="0"/>
        <w:autoSpaceDN w:val="0"/>
        <w:adjustRightInd w:val="0"/>
        <w:snapToGrid w:val="0"/>
        <w:spacing w:line="230" w:lineRule="exact"/>
        <w:jc w:val="both"/>
        <w:textAlignment w:val="baseline"/>
        <w:rPr>
          <w:rFonts w:ascii="宋体" w:eastAsia="宋体" w:hAnsi="宋体" w:cs="宋体" w:hint="eastAsia"/>
          <w:kern w:val="2"/>
          <w:lang w:eastAsia="zh-CN"/>
        </w:rPr>
      </w:pP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1124"/>
        <w:gridCol w:w="4748"/>
        <w:gridCol w:w="3206"/>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05"/>
          <w:jc w:val="center"/>
        </w:trPr>
        <w:tc>
          <w:tcPr>
            <w:tcW w:w="1038" w:type="dxa"/>
            <w:shd w:val="clear" w:color="auto" w:fill="D9D9D9"/>
            <w:vAlign w:val="center"/>
          </w:tcPr>
          <w:p>
            <w:pPr>
              <w:keepNext w:val="0"/>
              <w:keepLines w:val="0"/>
              <w:pageBreakBefore w:val="0"/>
              <w:widowControl w:val="0"/>
              <w:kinsoku w:val="0"/>
              <w:wordWrap/>
              <w:overflowPunct/>
              <w:topLinePunct w:val="0"/>
              <w:autoSpaceDE w:val="0"/>
              <w:autoSpaceDN w:val="0"/>
              <w:bidi w:val="0"/>
              <w:adjustRightInd w:val="0"/>
              <w:snapToGrid w:val="0"/>
              <w:spacing w:line="220" w:lineRule="auto"/>
              <w:ind w:left="0"/>
              <w:jc w:val="center"/>
              <w:textAlignment w:val="baseline"/>
              <w:rPr>
                <w:rFonts w:ascii="宋体" w:hAnsi="宋体" w:cs="宋体" w:hint="eastAsia"/>
                <w:kern w:val="2"/>
              </w:rPr>
            </w:pPr>
            <w:r>
              <w:rPr>
                <w:rFonts w:ascii="宋体" w:hAnsi="宋体" w:cs="宋体" w:hint="eastAsia"/>
                <w:spacing w:val="-4"/>
                <w:kern w:val="2"/>
              </w:rPr>
              <w:t>项次</w:t>
            </w:r>
          </w:p>
        </w:tc>
        <w:tc>
          <w:tcPr>
            <w:tcW w:w="4386" w:type="dxa"/>
            <w:shd w:val="clear" w:color="auto" w:fill="D9D9D9"/>
            <w:vAlign w:val="center"/>
          </w:tcPr>
          <w:p>
            <w:pPr>
              <w:keepNext w:val="0"/>
              <w:keepLines w:val="0"/>
              <w:pageBreakBefore w:val="0"/>
              <w:widowControl w:val="0"/>
              <w:kinsoku w:val="0"/>
              <w:wordWrap/>
              <w:overflowPunct/>
              <w:topLinePunct w:val="0"/>
              <w:autoSpaceDE w:val="0"/>
              <w:autoSpaceDN w:val="0"/>
              <w:bidi w:val="0"/>
              <w:adjustRightInd w:val="0"/>
              <w:snapToGrid w:val="0"/>
              <w:spacing w:line="220" w:lineRule="auto"/>
              <w:ind w:left="0"/>
              <w:jc w:val="center"/>
              <w:textAlignment w:val="baseline"/>
              <w:rPr>
                <w:rFonts w:ascii="宋体" w:hAnsi="宋体" w:cs="宋体" w:hint="eastAsia"/>
                <w:kern w:val="2"/>
              </w:rPr>
            </w:pPr>
            <w:r>
              <w:rPr>
                <w:rFonts w:ascii="宋体" w:hAnsi="宋体" w:cs="宋体" w:hint="eastAsia"/>
                <w:spacing w:val="-2"/>
                <w:kern w:val="2"/>
              </w:rPr>
              <w:t>提前终止情形</w:t>
            </w:r>
          </w:p>
        </w:tc>
        <w:tc>
          <w:tcPr>
            <w:tcW w:w="2961" w:type="dxa"/>
            <w:shd w:val="clear" w:color="auto" w:fill="D9D9D9"/>
            <w:vAlign w:val="center"/>
          </w:tcPr>
          <w:p>
            <w:pPr>
              <w:keepNext w:val="0"/>
              <w:keepLines w:val="0"/>
              <w:pageBreakBefore w:val="0"/>
              <w:widowControl w:val="0"/>
              <w:kinsoku w:val="0"/>
              <w:wordWrap/>
              <w:overflowPunct/>
              <w:topLinePunct w:val="0"/>
              <w:autoSpaceDE w:val="0"/>
              <w:autoSpaceDN w:val="0"/>
              <w:bidi w:val="0"/>
              <w:adjustRightInd w:val="0"/>
              <w:snapToGrid w:val="0"/>
              <w:spacing w:line="220" w:lineRule="auto"/>
              <w:ind w:left="0"/>
              <w:jc w:val="center"/>
              <w:textAlignment w:val="baseline"/>
              <w:rPr>
                <w:rFonts w:ascii="宋体" w:hAnsi="宋体" w:cs="宋体" w:hint="eastAsia"/>
                <w:kern w:val="2"/>
              </w:rPr>
            </w:pPr>
            <w:r>
              <w:rPr>
                <w:rFonts w:ascii="宋体" w:hAnsi="宋体" w:cs="宋体" w:hint="eastAsia"/>
                <w:spacing w:val="-2"/>
                <w:kern w:val="2"/>
              </w:rPr>
              <w:t>终止补偿金</w:t>
            </w:r>
          </w:p>
        </w:tc>
      </w:tr>
      <w:tr>
        <w:tblPrEx>
          <w:tblW w:w="5000" w:type="pct"/>
          <w:jc w:val="center"/>
          <w:tblLayout w:type="fixed"/>
          <w:tblCellMar>
            <w:top w:w="0" w:type="dxa"/>
            <w:left w:w="0" w:type="dxa"/>
            <w:bottom w:w="0" w:type="dxa"/>
            <w:right w:w="0" w:type="dxa"/>
          </w:tblCellMar>
        </w:tblPrEx>
        <w:trPr>
          <w:trHeight w:val="627"/>
          <w:jc w:val="center"/>
        </w:trPr>
        <w:tc>
          <w:tcPr>
            <w:tcW w:w="103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171" w:lineRule="exact"/>
              <w:ind w:left="0"/>
              <w:jc w:val="center"/>
              <w:textAlignment w:val="baseline"/>
              <w:rPr>
                <w:rFonts w:ascii="宋体" w:hAnsi="宋体" w:cs="宋体" w:hint="eastAsia"/>
                <w:kern w:val="2"/>
              </w:rPr>
            </w:pPr>
            <w:r>
              <w:rPr>
                <w:rFonts w:ascii="宋体" w:hAnsi="宋体" w:cs="宋体" w:hint="eastAsia"/>
                <w:kern w:val="2"/>
                <w:position w:val="-4"/>
              </w:rPr>
              <w:t>一</w:t>
            </w:r>
          </w:p>
        </w:tc>
        <w:tc>
          <w:tcPr>
            <w:tcW w:w="4386"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20" w:lineRule="auto"/>
              <w:ind w:left="0"/>
              <w:jc w:val="center"/>
              <w:textAlignment w:val="baseline"/>
              <w:rPr>
                <w:rFonts w:ascii="宋体" w:hAnsi="宋体" w:cs="宋体" w:hint="eastAsia"/>
                <w:kern w:val="2"/>
              </w:rPr>
            </w:pPr>
            <w:r>
              <w:rPr>
                <w:rFonts w:ascii="宋体" w:hAnsi="宋体" w:cs="宋体" w:hint="eastAsia"/>
                <w:spacing w:val="-2"/>
                <w:kern w:val="2"/>
                <w:lang w:eastAsia="zh-CN"/>
              </w:rPr>
              <w:t>乙方</w:t>
            </w:r>
            <w:r>
              <w:rPr>
                <w:rFonts w:ascii="宋体" w:hAnsi="宋体" w:cs="宋体" w:hint="eastAsia"/>
                <w:spacing w:val="-2"/>
                <w:kern w:val="2"/>
              </w:rPr>
              <w:t>违约</w:t>
            </w:r>
          </w:p>
        </w:tc>
        <w:tc>
          <w:tcPr>
            <w:tcW w:w="2961" w:type="dxa"/>
            <w:vAlign w:val="center"/>
          </w:tcPr>
          <w:p>
            <w:pPr>
              <w:keepNext w:val="0"/>
              <w:keepLines w:val="0"/>
              <w:pageBreakBefore w:val="0"/>
              <w:widowControl w:val="0"/>
              <w:wordWrap/>
              <w:overflowPunct/>
              <w:topLinePunct w:val="0"/>
              <w:bidi w:val="0"/>
              <w:spacing w:line="600" w:lineRule="exact"/>
              <w:ind w:left="0" w:right="0" w:rightChars="0"/>
              <w:jc w:val="center"/>
              <w:rPr>
                <w:rFonts w:ascii="宋体" w:hAnsi="宋体" w:cs="宋体" w:hint="eastAsia"/>
                <w:spacing w:val="-2"/>
                <w:kern w:val="2"/>
                <w:lang w:eastAsia="zh-CN"/>
              </w:rPr>
            </w:pPr>
            <w:r>
              <w:rPr>
                <w:rFonts w:ascii="宋体" w:hAnsi="宋体" w:cs="宋体" w:hint="eastAsia"/>
                <w:spacing w:val="-2"/>
                <w:kern w:val="2"/>
                <w:lang w:eastAsia="zh-CN"/>
              </w:rPr>
              <w:t>不支付补偿金</w:t>
            </w:r>
          </w:p>
        </w:tc>
      </w:tr>
      <w:tr>
        <w:tblPrEx>
          <w:tblW w:w="5000" w:type="pct"/>
          <w:jc w:val="center"/>
          <w:tblLayout w:type="fixed"/>
          <w:tblCellMar>
            <w:top w:w="0" w:type="dxa"/>
            <w:left w:w="0" w:type="dxa"/>
            <w:bottom w:w="0" w:type="dxa"/>
            <w:right w:w="0" w:type="dxa"/>
          </w:tblCellMar>
        </w:tblPrEx>
        <w:trPr>
          <w:trHeight w:val="574"/>
          <w:jc w:val="center"/>
        </w:trPr>
        <w:tc>
          <w:tcPr>
            <w:tcW w:w="103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178" w:lineRule="auto"/>
              <w:ind w:left="0"/>
              <w:jc w:val="center"/>
              <w:textAlignment w:val="baseline"/>
              <w:rPr>
                <w:rFonts w:ascii="宋体" w:hAnsi="宋体" w:cs="宋体" w:hint="eastAsia"/>
                <w:kern w:val="2"/>
              </w:rPr>
            </w:pPr>
            <w:r>
              <w:rPr>
                <w:rFonts w:ascii="宋体" w:hAnsi="宋体" w:cs="宋体" w:hint="eastAsia"/>
                <w:kern w:val="2"/>
              </w:rPr>
              <w:t>二</w:t>
            </w:r>
          </w:p>
        </w:tc>
        <w:tc>
          <w:tcPr>
            <w:tcW w:w="4386"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19" w:lineRule="auto"/>
              <w:ind w:left="0"/>
              <w:jc w:val="center"/>
              <w:textAlignment w:val="baseline"/>
              <w:rPr>
                <w:rFonts w:ascii="宋体" w:hAnsi="宋体" w:cs="宋体" w:hint="eastAsia"/>
                <w:kern w:val="2"/>
              </w:rPr>
            </w:pPr>
            <w:r>
              <w:rPr>
                <w:rFonts w:ascii="宋体" w:hAnsi="宋体" w:cs="宋体" w:hint="eastAsia"/>
                <w:spacing w:val="-2"/>
                <w:kern w:val="2"/>
                <w:lang w:eastAsia="zh-CN"/>
              </w:rPr>
              <w:t>甲方</w:t>
            </w:r>
            <w:r>
              <w:rPr>
                <w:rFonts w:ascii="宋体" w:hAnsi="宋体" w:cs="宋体" w:hint="eastAsia"/>
                <w:spacing w:val="-2"/>
                <w:kern w:val="2"/>
              </w:rPr>
              <w:t>违约</w:t>
            </w:r>
          </w:p>
        </w:tc>
        <w:tc>
          <w:tcPr>
            <w:tcW w:w="2961" w:type="dxa"/>
            <w:vAlign w:val="center"/>
          </w:tcPr>
          <w:p>
            <w:pPr>
              <w:keepNext w:val="0"/>
              <w:keepLines w:val="0"/>
              <w:pageBreakBefore w:val="0"/>
              <w:widowControl w:val="0"/>
              <w:wordWrap/>
              <w:overflowPunct/>
              <w:topLinePunct w:val="0"/>
              <w:bidi w:val="0"/>
              <w:spacing w:line="600" w:lineRule="exact"/>
              <w:ind w:left="0" w:right="0" w:rightChars="0"/>
              <w:jc w:val="center"/>
              <w:rPr>
                <w:rFonts w:ascii="宋体" w:hAnsi="宋体" w:cs="宋体" w:hint="eastAsia"/>
                <w:spacing w:val="-2"/>
                <w:kern w:val="2"/>
                <w:lang w:eastAsia="zh-CN"/>
              </w:rPr>
            </w:pPr>
            <w:r>
              <w:rPr>
                <w:rFonts w:ascii="宋体" w:hAnsi="宋体" w:cs="宋体" w:hint="eastAsia"/>
                <w:spacing w:val="-2"/>
                <w:kern w:val="2"/>
                <w:lang w:eastAsia="zh-CN"/>
              </w:rPr>
              <w:t>A</w:t>
            </w:r>
          </w:p>
        </w:tc>
      </w:tr>
      <w:tr>
        <w:tblPrEx>
          <w:tblW w:w="5000" w:type="pct"/>
          <w:jc w:val="center"/>
          <w:tblLayout w:type="fixed"/>
          <w:tblCellMar>
            <w:top w:w="0" w:type="dxa"/>
            <w:left w:w="0" w:type="dxa"/>
            <w:bottom w:w="0" w:type="dxa"/>
            <w:right w:w="0" w:type="dxa"/>
          </w:tblCellMar>
        </w:tblPrEx>
        <w:trPr>
          <w:trHeight w:val="569"/>
          <w:jc w:val="center"/>
        </w:trPr>
        <w:tc>
          <w:tcPr>
            <w:tcW w:w="103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37" w:lineRule="auto"/>
              <w:ind w:left="0"/>
              <w:jc w:val="center"/>
              <w:textAlignment w:val="baseline"/>
              <w:rPr>
                <w:rFonts w:ascii="宋体" w:hAnsi="宋体" w:cs="宋体" w:hint="eastAsia"/>
                <w:kern w:val="2"/>
              </w:rPr>
            </w:pPr>
            <w:r>
              <w:rPr>
                <w:rFonts w:ascii="宋体" w:hAnsi="宋体" w:cs="宋体" w:hint="eastAsia"/>
                <w:kern w:val="2"/>
              </w:rPr>
              <w:t>三</w:t>
            </w:r>
          </w:p>
        </w:tc>
        <w:tc>
          <w:tcPr>
            <w:tcW w:w="4386"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20" w:lineRule="auto"/>
              <w:ind w:left="0"/>
              <w:jc w:val="center"/>
              <w:textAlignment w:val="baseline"/>
              <w:rPr>
                <w:rFonts w:ascii="宋体" w:hAnsi="宋体" w:cs="宋体" w:hint="eastAsia"/>
                <w:kern w:val="2"/>
              </w:rPr>
            </w:pPr>
            <w:r>
              <w:rPr>
                <w:rFonts w:ascii="宋体" w:hAnsi="宋体" w:cs="宋体" w:hint="eastAsia"/>
                <w:spacing w:val="-1"/>
                <w:kern w:val="2"/>
              </w:rPr>
              <w:t>政策、法律变更导致的终止</w:t>
            </w:r>
          </w:p>
        </w:tc>
        <w:tc>
          <w:tcPr>
            <w:tcW w:w="2961" w:type="dxa"/>
            <w:vAlign w:val="center"/>
          </w:tcPr>
          <w:p>
            <w:pPr>
              <w:keepNext w:val="0"/>
              <w:keepLines w:val="0"/>
              <w:pageBreakBefore w:val="0"/>
              <w:widowControl w:val="0"/>
              <w:wordWrap/>
              <w:overflowPunct/>
              <w:topLinePunct w:val="0"/>
              <w:bidi w:val="0"/>
              <w:spacing w:line="600" w:lineRule="exact"/>
              <w:ind w:left="0" w:right="0" w:rightChars="0"/>
              <w:jc w:val="center"/>
              <w:rPr>
                <w:rFonts w:ascii="宋体" w:hAnsi="宋体" w:cs="宋体" w:hint="eastAsia"/>
                <w:spacing w:val="-2"/>
                <w:kern w:val="2"/>
                <w:lang w:eastAsia="zh-CN"/>
              </w:rPr>
            </w:pPr>
            <w:r>
              <w:rPr>
                <w:rFonts w:ascii="宋体" w:hAnsi="宋体" w:cs="宋体" w:hint="eastAsia"/>
                <w:spacing w:val="-2"/>
                <w:kern w:val="2"/>
                <w:lang w:eastAsia="zh-CN"/>
              </w:rPr>
              <w:t>不支付补偿金</w:t>
            </w:r>
          </w:p>
        </w:tc>
      </w:tr>
      <w:tr>
        <w:tblPrEx>
          <w:tblW w:w="5000" w:type="pct"/>
          <w:jc w:val="center"/>
          <w:tblLayout w:type="fixed"/>
          <w:tblCellMar>
            <w:top w:w="0" w:type="dxa"/>
            <w:left w:w="0" w:type="dxa"/>
            <w:bottom w:w="0" w:type="dxa"/>
            <w:right w:w="0" w:type="dxa"/>
          </w:tblCellMar>
        </w:tblPrEx>
        <w:trPr>
          <w:trHeight w:val="569"/>
          <w:jc w:val="center"/>
        </w:trPr>
        <w:tc>
          <w:tcPr>
            <w:tcW w:w="103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22" w:lineRule="auto"/>
              <w:ind w:left="0"/>
              <w:jc w:val="center"/>
              <w:textAlignment w:val="baseline"/>
              <w:rPr>
                <w:rFonts w:ascii="宋体" w:hAnsi="宋体" w:cs="宋体" w:hint="eastAsia"/>
                <w:kern w:val="2"/>
              </w:rPr>
            </w:pPr>
            <w:r>
              <w:rPr>
                <w:rFonts w:ascii="宋体" w:hAnsi="宋体" w:cs="宋体" w:hint="eastAsia"/>
                <w:kern w:val="2"/>
              </w:rPr>
              <w:t>四</w:t>
            </w:r>
          </w:p>
        </w:tc>
        <w:tc>
          <w:tcPr>
            <w:tcW w:w="4386"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20" w:lineRule="auto"/>
              <w:ind w:left="0"/>
              <w:jc w:val="center"/>
              <w:textAlignment w:val="baseline"/>
              <w:rPr>
                <w:rFonts w:ascii="宋体" w:hAnsi="宋体" w:cs="宋体" w:hint="eastAsia"/>
                <w:kern w:val="2"/>
              </w:rPr>
            </w:pPr>
            <w:r>
              <w:rPr>
                <w:rFonts w:ascii="宋体" w:hAnsi="宋体" w:cs="宋体" w:hint="eastAsia"/>
                <w:spacing w:val="-1"/>
                <w:kern w:val="2"/>
              </w:rPr>
              <w:t>双方合意的提前终止</w:t>
            </w:r>
          </w:p>
        </w:tc>
        <w:tc>
          <w:tcPr>
            <w:tcW w:w="2961" w:type="dxa"/>
            <w:vAlign w:val="center"/>
          </w:tcPr>
          <w:p>
            <w:pPr>
              <w:keepNext w:val="0"/>
              <w:keepLines w:val="0"/>
              <w:pageBreakBefore w:val="0"/>
              <w:widowControl w:val="0"/>
              <w:wordWrap/>
              <w:overflowPunct/>
              <w:topLinePunct w:val="0"/>
              <w:bidi w:val="0"/>
              <w:spacing w:line="600" w:lineRule="exact"/>
              <w:ind w:left="0" w:right="0" w:rightChars="0"/>
              <w:jc w:val="center"/>
              <w:rPr>
                <w:rFonts w:ascii="宋体" w:hAnsi="宋体" w:cs="宋体" w:hint="eastAsia"/>
                <w:spacing w:val="-2"/>
                <w:kern w:val="2"/>
                <w:lang w:eastAsia="zh-CN"/>
              </w:rPr>
            </w:pPr>
            <w:r>
              <w:rPr>
                <w:rFonts w:ascii="宋体" w:hAnsi="宋体" w:cs="宋体" w:hint="eastAsia"/>
                <w:spacing w:val="-2"/>
                <w:kern w:val="2"/>
                <w:lang w:eastAsia="zh-CN"/>
              </w:rPr>
              <w:t>双方自行协商</w:t>
            </w:r>
          </w:p>
        </w:tc>
      </w:tr>
      <w:tr>
        <w:tblPrEx>
          <w:tblW w:w="5000" w:type="pct"/>
          <w:jc w:val="center"/>
          <w:tblLayout w:type="fixed"/>
          <w:tblCellMar>
            <w:top w:w="0" w:type="dxa"/>
            <w:left w:w="0" w:type="dxa"/>
            <w:bottom w:w="0" w:type="dxa"/>
            <w:right w:w="0" w:type="dxa"/>
          </w:tblCellMar>
        </w:tblPrEx>
        <w:trPr>
          <w:trHeight w:val="577"/>
          <w:jc w:val="center"/>
        </w:trPr>
        <w:tc>
          <w:tcPr>
            <w:tcW w:w="103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30" w:lineRule="auto"/>
              <w:ind w:left="0"/>
              <w:jc w:val="center"/>
              <w:textAlignment w:val="baseline"/>
              <w:rPr>
                <w:rFonts w:ascii="宋体" w:hAnsi="宋体" w:cs="宋体" w:hint="eastAsia"/>
                <w:kern w:val="2"/>
              </w:rPr>
            </w:pPr>
            <w:r>
              <w:rPr>
                <w:rFonts w:ascii="宋体" w:hAnsi="宋体" w:cs="宋体" w:hint="eastAsia"/>
                <w:kern w:val="2"/>
              </w:rPr>
              <w:t>五</w:t>
            </w:r>
          </w:p>
        </w:tc>
        <w:tc>
          <w:tcPr>
            <w:tcW w:w="4386"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20" w:lineRule="auto"/>
              <w:ind w:left="0"/>
              <w:jc w:val="center"/>
              <w:textAlignment w:val="baseline"/>
              <w:rPr>
                <w:rFonts w:ascii="宋体" w:hAnsi="宋体" w:cs="宋体" w:hint="eastAsia"/>
                <w:kern w:val="2"/>
              </w:rPr>
            </w:pPr>
            <w:r>
              <w:rPr>
                <w:rFonts w:ascii="宋体" w:hAnsi="宋体" w:cs="宋体" w:hint="eastAsia"/>
                <w:spacing w:val="-4"/>
                <w:kern w:val="2"/>
              </w:rPr>
              <w:t>不可抗力事件导致的终止</w:t>
            </w:r>
          </w:p>
        </w:tc>
        <w:tc>
          <w:tcPr>
            <w:tcW w:w="2961" w:type="dxa"/>
            <w:vAlign w:val="center"/>
          </w:tcPr>
          <w:p>
            <w:pPr>
              <w:keepNext w:val="0"/>
              <w:keepLines w:val="0"/>
              <w:pageBreakBefore w:val="0"/>
              <w:widowControl w:val="0"/>
              <w:wordWrap/>
              <w:overflowPunct/>
              <w:topLinePunct w:val="0"/>
              <w:bidi w:val="0"/>
              <w:spacing w:line="600" w:lineRule="exact"/>
              <w:ind w:left="0" w:right="0" w:rightChars="0"/>
              <w:jc w:val="center"/>
              <w:rPr>
                <w:rFonts w:ascii="宋体" w:hAnsi="宋体" w:cs="宋体" w:hint="eastAsia"/>
                <w:spacing w:val="-2"/>
                <w:kern w:val="2"/>
                <w:lang w:eastAsia="zh-CN"/>
              </w:rPr>
            </w:pPr>
            <w:r>
              <w:rPr>
                <w:rFonts w:ascii="宋体" w:hAnsi="宋体" w:cs="宋体" w:hint="eastAsia"/>
                <w:spacing w:val="-2"/>
                <w:kern w:val="2"/>
                <w:lang w:eastAsia="zh-CN"/>
              </w:rPr>
              <w:t>不支付补偿金</w:t>
            </w:r>
          </w:p>
        </w:tc>
      </w:tr>
    </w:tbl>
    <w:p>
      <w:pPr>
        <w:widowControl w:val="0"/>
        <w:kinsoku w:val="0"/>
        <w:autoSpaceDE w:val="0"/>
        <w:autoSpaceDN w:val="0"/>
        <w:adjustRightInd w:val="0"/>
        <w:snapToGrid w:val="0"/>
        <w:spacing w:before="149" w:line="220" w:lineRule="auto"/>
        <w:ind w:left="438"/>
        <w:jc w:val="both"/>
        <w:textAlignment w:val="baseline"/>
        <w:rPr>
          <w:rFonts w:ascii="宋体" w:eastAsia="宋体" w:hAnsi="宋体" w:cs="宋体" w:hint="eastAsia"/>
          <w:kern w:val="2"/>
          <w:lang w:eastAsia="zh-CN"/>
        </w:rPr>
      </w:pPr>
      <w:r>
        <w:rPr>
          <w:rFonts w:ascii="宋体" w:eastAsia="宋体" w:hAnsi="宋体" w:cs="宋体" w:hint="eastAsia"/>
          <w:spacing w:val="-14"/>
          <w:kern w:val="2"/>
          <w:lang w:eastAsia="zh-CN"/>
        </w:rPr>
        <w:t>其中：</w:t>
      </w:r>
    </w:p>
    <w:p>
      <w:pPr>
        <w:widowControl w:val="0"/>
        <w:kinsoku w:val="0"/>
        <w:autoSpaceDE w:val="0"/>
        <w:autoSpaceDN w:val="0"/>
        <w:adjustRightInd w:val="0"/>
        <w:snapToGrid w:val="0"/>
        <w:spacing w:before="31" w:line="220" w:lineRule="auto"/>
        <w:ind w:left="435"/>
        <w:jc w:val="both"/>
        <w:textAlignment w:val="baseline"/>
        <w:rPr>
          <w:rFonts w:ascii="宋体" w:eastAsia="宋体" w:hAnsi="宋体" w:cs="宋体" w:hint="eastAsia"/>
          <w:kern w:val="2"/>
          <w:lang w:eastAsia="zh-CN"/>
        </w:rPr>
      </w:pPr>
      <w:r>
        <w:rPr>
          <w:rFonts w:ascii="宋体" w:eastAsia="宋体" w:hAnsi="宋体" w:cs="宋体" w:hint="eastAsia"/>
          <w:spacing w:val="-3"/>
          <w:kern w:val="2"/>
          <w:lang w:eastAsia="zh-CN"/>
        </w:rPr>
        <w:t>A为经第三方评估的乙方投入资金所形成资产的折旧后账面价值。</w:t>
      </w:r>
    </w:p>
    <w:p>
      <w:pPr>
        <w:widowControl w:val="0"/>
        <w:kinsoku w:val="0"/>
        <w:autoSpaceDE w:val="0"/>
        <w:autoSpaceDN w:val="0"/>
        <w:adjustRightInd w:val="0"/>
        <w:snapToGrid w:val="0"/>
        <w:spacing w:before="88" w:line="220" w:lineRule="auto"/>
        <w:ind w:left="336"/>
        <w:jc w:val="both"/>
        <w:textAlignment w:val="baseline"/>
        <w:rPr>
          <w:rFonts w:ascii="宋体" w:eastAsia="宋体" w:hAnsi="宋体" w:cs="宋体" w:hint="eastAsia"/>
          <w:kern w:val="2"/>
          <w:lang w:eastAsia="zh-CN"/>
        </w:rPr>
      </w:pPr>
      <w:r>
        <w:rPr>
          <w:rFonts w:ascii="宋体" w:eastAsia="宋体" w:hAnsi="宋体" w:cs="宋体" w:hint="eastAsia"/>
          <w:b/>
          <w:bCs/>
          <w:spacing w:val="2"/>
          <w:kern w:val="2"/>
          <w:lang w:eastAsia="zh-CN"/>
        </w:rPr>
        <w:t>四、绩效考核:</w:t>
      </w:r>
    </w:p>
    <w:p>
      <w:pPr>
        <w:widowControl w:val="0"/>
        <w:kinsoku w:val="0"/>
        <w:autoSpaceDE w:val="0"/>
        <w:autoSpaceDN w:val="0"/>
        <w:adjustRightInd w:val="0"/>
        <w:snapToGrid w:val="0"/>
        <w:spacing w:before="98" w:line="219" w:lineRule="auto"/>
        <w:ind w:left="348"/>
        <w:jc w:val="both"/>
        <w:textAlignment w:val="baseline"/>
        <w:rPr>
          <w:rFonts w:ascii="宋体" w:eastAsia="宋体" w:hAnsi="宋体" w:cs="宋体" w:hint="eastAsia"/>
          <w:spacing w:val="-3"/>
          <w:kern w:val="2"/>
          <w:lang w:eastAsia="zh-CN"/>
        </w:rPr>
      </w:pPr>
      <w:r>
        <w:rPr>
          <w:rFonts w:ascii="宋体" w:eastAsia="宋体" w:hAnsi="宋体" w:cs="宋体" w:hint="eastAsia"/>
          <w:spacing w:val="-3"/>
          <w:kern w:val="2"/>
          <w:lang w:eastAsia="zh-CN"/>
        </w:rPr>
        <w:t>1</w:t>
      </w:r>
      <w:r>
        <w:rPr>
          <w:rFonts w:ascii="宋体" w:eastAsia="宋体" w:hAnsi="宋体" w:cs="宋体" w:hint="eastAsia"/>
          <w:spacing w:val="-3"/>
          <w:kern w:val="2"/>
          <w:lang w:eastAsia="zh-CN"/>
        </w:rPr>
        <w:t>.</w:t>
      </w:r>
      <w:r>
        <w:rPr>
          <w:rFonts w:ascii="宋体" w:eastAsia="宋体" w:hAnsi="宋体" w:cs="宋体" w:hint="eastAsia"/>
          <w:spacing w:val="-3"/>
          <w:kern w:val="2"/>
          <w:lang w:eastAsia="zh-CN"/>
        </w:rPr>
        <w:t>项目绩效考核指标（供参考）</w:t>
      </w:r>
    </w:p>
    <w:p>
      <w:pPr>
        <w:widowControl/>
        <w:jc w:val="both"/>
        <w:rPr>
          <w:rFonts w:ascii="宋体" w:eastAsia="宋体" w:hAnsi="宋体" w:cs="宋体" w:hint="eastAsia"/>
          <w:spacing w:val="-3"/>
          <w:kern w:val="2"/>
          <w:lang w:eastAsia="zh-CN"/>
        </w:rPr>
      </w:pPr>
      <w:r>
        <w:rPr>
          <w:rFonts w:ascii="宋体" w:eastAsia="宋体" w:hAnsi="宋体" w:cs="宋体" w:hint="eastAsia"/>
          <w:spacing w:val="-3"/>
          <w:kern w:val="2"/>
          <w:lang w:eastAsia="zh-CN"/>
        </w:rPr>
        <w:br w:type="page"/>
      </w:r>
    </w:p>
    <w:p>
      <w:pPr>
        <w:widowControl w:val="0"/>
        <w:spacing w:after="120" w:line="240" w:lineRule="auto"/>
        <w:ind w:left="480" w:firstLine="420" w:leftChars="200" w:firstLineChars="200"/>
        <w:jc w:val="both"/>
        <w:rPr>
          <w:rFonts w:ascii="Calibri" w:eastAsia="宋体" w:hAnsi="Calibri"/>
          <w:kern w:val="2"/>
          <w:sz w:val="21"/>
          <w:szCs w:val="22"/>
          <w:lang w:eastAsia="zh-CN"/>
        </w:rPr>
      </w:pPr>
    </w:p>
    <w:tbl>
      <w:tblPr>
        <w:tblStyle w:val="TableNormal"/>
        <w:tblW w:w="5000" w:type="pct"/>
        <w:tblInd w:w="96" w:type="dxa"/>
        <w:tblLayout w:type="fixed"/>
        <w:tblCellMar>
          <w:top w:w="0" w:type="dxa"/>
          <w:left w:w="108" w:type="dxa"/>
          <w:bottom w:w="0" w:type="dxa"/>
          <w:right w:w="108" w:type="dxa"/>
        </w:tblCellMar>
      </w:tblPr>
      <w:tblGrid>
        <w:gridCol w:w="651"/>
        <w:gridCol w:w="1089"/>
        <w:gridCol w:w="1089"/>
        <w:gridCol w:w="1014"/>
        <w:gridCol w:w="5445"/>
      </w:tblGrid>
      <w:tr>
        <w:tblPrEx>
          <w:tblW w:w="5000" w:type="pct"/>
          <w:tblInd w:w="96" w:type="dxa"/>
          <w:tblLayout w:type="fixed"/>
          <w:tblCellMar>
            <w:top w:w="0" w:type="dxa"/>
            <w:left w:w="108" w:type="dxa"/>
            <w:bottom w:w="0" w:type="dxa"/>
            <w:right w:w="108" w:type="dxa"/>
          </w:tblCellMar>
        </w:tblPrEx>
        <w:trPr>
          <w:trHeight w:val="700"/>
        </w:trPr>
        <w:tc>
          <w:tcPr>
            <w:tcW w:w="8290" w:type="dxa"/>
            <w:gridSpan w:val="5"/>
            <w:tcBorders>
              <w:top w:val="nil"/>
              <w:left w:val="nil"/>
              <w:bottom w:val="nil"/>
              <w:right w:val="nil"/>
            </w:tcBorders>
            <w:shd w:val="clear" w:color="auto" w:fill="auto"/>
            <w:noWrap/>
            <w:vAlign w:val="center"/>
          </w:tcPr>
          <w:p>
            <w:pPr>
              <w:widowControl/>
              <w:jc w:val="center"/>
              <w:textAlignment w:val="center"/>
              <w:rPr>
                <w:rFonts w:ascii="宋体" w:eastAsia="宋体" w:hAnsi="宋体" w:cs="宋体" w:hint="eastAsia"/>
                <w:b/>
                <w:bCs/>
                <w:color w:val="000000"/>
                <w:kern w:val="2"/>
                <w:sz w:val="36"/>
                <w:szCs w:val="36"/>
                <w:lang w:eastAsia="zh-CN"/>
              </w:rPr>
            </w:pPr>
            <w:r>
              <w:rPr>
                <w:rFonts w:ascii="宋体" w:eastAsia="宋体" w:hAnsi="宋体" w:cs="宋体" w:hint="eastAsia"/>
                <w:b/>
                <w:bCs/>
                <w:color w:val="000000"/>
                <w:sz w:val="36"/>
                <w:szCs w:val="36"/>
                <w:lang w:eastAsia="zh-CN" w:bidi="ar"/>
              </w:rPr>
              <w:t>翠竹街道综合文体中心绩效考核指标</w:t>
            </w:r>
          </w:p>
        </w:tc>
      </w:tr>
      <w:tr>
        <w:tblPrEx>
          <w:tblW w:w="5000" w:type="pct"/>
          <w:tblInd w:w="96" w:type="dxa"/>
          <w:tblLayout w:type="fixed"/>
          <w:tblCellMar>
            <w:top w:w="0" w:type="dxa"/>
            <w:left w:w="108" w:type="dxa"/>
            <w:bottom w:w="0" w:type="dxa"/>
            <w:right w:w="108" w:type="dxa"/>
          </w:tblCellMar>
        </w:tblPrEx>
        <w:trPr>
          <w:trHeight w:val="696"/>
        </w:trPr>
        <w:tc>
          <w:tcPr>
            <w:tcW w:w="581" w:type="dxa"/>
            <w:tcBorders>
              <w:top w:val="single" w:sz="4" w:space="0" w:color="000000"/>
              <w:left w:val="single" w:sz="4" w:space="0" w:color="000000"/>
              <w:bottom w:val="single" w:sz="4" w:space="0" w:color="000000"/>
              <w:right w:val="single" w:sz="4" w:space="0" w:color="000000"/>
            </w:tcBorders>
            <w:shd w:val="clear" w:color="auto" w:fill="D9D9D9"/>
            <w:vAlign w:val="center"/>
          </w:tcPr>
          <w:p>
            <w:pPr>
              <w:widowControl/>
              <w:jc w:val="center"/>
              <w:textAlignment w:val="center"/>
              <w:rPr>
                <w:rFonts w:ascii="宋体" w:eastAsia="宋体" w:hAnsi="宋体" w:cs="宋体" w:hint="eastAsia"/>
                <w:b/>
                <w:bCs/>
                <w:color w:val="000000"/>
                <w:kern w:val="2"/>
                <w:lang w:eastAsia="zh-CN"/>
              </w:rPr>
            </w:pPr>
            <w:r>
              <w:rPr>
                <w:rFonts w:ascii="宋体" w:eastAsia="宋体" w:hAnsi="宋体" w:cs="宋体" w:hint="eastAsia"/>
                <w:b/>
                <w:bCs/>
                <w:color w:val="000000"/>
                <w:lang w:eastAsia="zh-CN" w:bidi="ar"/>
              </w:rPr>
              <w:t>序号</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pPr>
              <w:widowControl/>
              <w:jc w:val="center"/>
              <w:textAlignment w:val="center"/>
              <w:rPr>
                <w:rFonts w:ascii="宋体" w:eastAsia="宋体" w:hAnsi="宋体" w:cs="宋体" w:hint="eastAsia"/>
                <w:b/>
                <w:bCs/>
                <w:color w:val="000000"/>
                <w:kern w:val="2"/>
                <w:lang w:eastAsia="zh-CN"/>
              </w:rPr>
            </w:pPr>
            <w:r>
              <w:rPr>
                <w:rFonts w:ascii="宋体" w:eastAsia="宋体" w:hAnsi="宋体" w:cs="宋体" w:hint="eastAsia"/>
                <w:b/>
                <w:bCs/>
                <w:color w:val="000000"/>
                <w:lang w:eastAsia="zh-CN" w:bidi="ar"/>
              </w:rPr>
              <w:t>考核</w:t>
            </w:r>
            <w:r>
              <w:rPr>
                <w:rFonts w:ascii="宋体" w:eastAsia="宋体" w:hAnsi="宋体" w:cs="宋体" w:hint="eastAsia"/>
                <w:b/>
                <w:bCs/>
                <w:color w:val="000000"/>
                <w:lang w:eastAsia="zh-CN" w:bidi="ar"/>
              </w:rPr>
              <w:br/>
            </w:r>
            <w:r>
              <w:rPr>
                <w:rFonts w:ascii="宋体" w:eastAsia="宋体" w:hAnsi="宋体" w:cs="宋体" w:hint="eastAsia"/>
                <w:b/>
                <w:bCs/>
                <w:color w:val="000000"/>
                <w:lang w:eastAsia="zh-CN" w:bidi="ar"/>
              </w:rPr>
              <w:t>项目</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pPr>
              <w:widowControl/>
              <w:jc w:val="center"/>
              <w:textAlignment w:val="center"/>
              <w:rPr>
                <w:rFonts w:ascii="宋体" w:eastAsia="宋体" w:hAnsi="宋体" w:cs="宋体" w:hint="eastAsia"/>
                <w:b/>
                <w:bCs/>
                <w:color w:val="000000"/>
                <w:kern w:val="2"/>
                <w:lang w:eastAsia="zh-CN"/>
              </w:rPr>
            </w:pPr>
            <w:r>
              <w:rPr>
                <w:rFonts w:ascii="宋体" w:eastAsia="宋体" w:hAnsi="宋体" w:cs="宋体" w:hint="eastAsia"/>
                <w:b/>
                <w:bCs/>
                <w:color w:val="000000"/>
                <w:lang w:eastAsia="zh-CN" w:bidi="ar"/>
              </w:rPr>
              <w:t>考核</w:t>
            </w:r>
            <w:r>
              <w:rPr>
                <w:rFonts w:ascii="宋体" w:eastAsia="宋体" w:hAnsi="宋体" w:cs="宋体" w:hint="eastAsia"/>
                <w:b/>
                <w:bCs/>
                <w:color w:val="000000"/>
                <w:lang w:eastAsia="zh-CN" w:bidi="ar"/>
              </w:rPr>
              <w:br/>
            </w:r>
            <w:r>
              <w:rPr>
                <w:rFonts w:ascii="宋体" w:eastAsia="宋体" w:hAnsi="宋体" w:cs="宋体" w:hint="eastAsia"/>
                <w:b/>
                <w:bCs/>
                <w:color w:val="000000"/>
                <w:lang w:eastAsia="zh-CN" w:bidi="ar"/>
              </w:rPr>
              <w:t>内容</w:t>
            </w:r>
          </w:p>
        </w:tc>
        <w:tc>
          <w:tcPr>
            <w:tcW w:w="905" w:type="dxa"/>
            <w:tcBorders>
              <w:top w:val="single" w:sz="4" w:space="0" w:color="000000"/>
              <w:left w:val="single" w:sz="4" w:space="0" w:color="000000"/>
              <w:bottom w:val="single" w:sz="4" w:space="0" w:color="000000"/>
              <w:right w:val="single" w:sz="4" w:space="0" w:color="000000"/>
            </w:tcBorders>
            <w:shd w:val="clear" w:color="auto" w:fill="D9D9D9"/>
            <w:vAlign w:val="center"/>
          </w:tcPr>
          <w:p>
            <w:pPr>
              <w:widowControl/>
              <w:jc w:val="center"/>
              <w:textAlignment w:val="center"/>
              <w:rPr>
                <w:rFonts w:ascii="宋体" w:eastAsia="宋体" w:hAnsi="宋体" w:cs="宋体" w:hint="eastAsia"/>
                <w:b/>
                <w:bCs/>
                <w:color w:val="000000"/>
                <w:kern w:val="2"/>
                <w:lang w:eastAsia="zh-CN"/>
              </w:rPr>
            </w:pPr>
            <w:r>
              <w:rPr>
                <w:rFonts w:ascii="宋体" w:eastAsia="宋体" w:hAnsi="宋体" w:cs="宋体" w:hint="eastAsia"/>
                <w:b/>
                <w:bCs/>
                <w:color w:val="000000"/>
                <w:lang w:eastAsia="zh-CN" w:bidi="ar"/>
              </w:rPr>
              <w:t>评分</w:t>
            </w:r>
            <w:r>
              <w:rPr>
                <w:rFonts w:ascii="宋体" w:eastAsia="宋体" w:hAnsi="宋体" w:cs="宋体" w:hint="eastAsia"/>
                <w:b/>
                <w:bCs/>
                <w:color w:val="000000"/>
                <w:lang w:eastAsia="zh-CN" w:bidi="ar"/>
              </w:rPr>
              <w:br/>
            </w:r>
            <w:r>
              <w:rPr>
                <w:rFonts w:ascii="宋体" w:eastAsia="宋体" w:hAnsi="宋体" w:cs="宋体" w:hint="eastAsia"/>
                <w:b/>
                <w:bCs/>
                <w:color w:val="000000"/>
                <w:lang w:eastAsia="zh-CN" w:bidi="ar"/>
              </w:rPr>
              <w:t>细则</w:t>
            </w:r>
          </w:p>
        </w:tc>
        <w:tc>
          <w:tcPr>
            <w:tcW w:w="4860" w:type="dxa"/>
            <w:tcBorders>
              <w:top w:val="single" w:sz="4" w:space="0" w:color="000000"/>
              <w:left w:val="single" w:sz="4" w:space="0" w:color="000000"/>
              <w:bottom w:val="single" w:sz="4" w:space="0" w:color="000000"/>
              <w:right w:val="single" w:sz="4" w:space="0" w:color="000000"/>
            </w:tcBorders>
            <w:shd w:val="clear" w:color="auto" w:fill="D9D9D9"/>
            <w:vAlign w:val="center"/>
          </w:tcPr>
          <w:p>
            <w:pPr>
              <w:widowControl/>
              <w:jc w:val="center"/>
              <w:textAlignment w:val="center"/>
              <w:rPr>
                <w:rFonts w:ascii="宋体" w:eastAsia="宋体" w:hAnsi="宋体" w:cs="宋体" w:hint="eastAsia"/>
                <w:b/>
                <w:bCs/>
                <w:color w:val="000000"/>
                <w:kern w:val="2"/>
                <w:lang w:eastAsia="zh-CN"/>
              </w:rPr>
            </w:pPr>
            <w:r>
              <w:rPr>
                <w:rFonts w:ascii="宋体" w:eastAsia="宋体" w:hAnsi="宋体" w:cs="宋体" w:hint="eastAsia"/>
                <w:b/>
                <w:bCs/>
                <w:color w:val="000000"/>
                <w:lang w:eastAsia="zh-CN" w:bidi="ar"/>
              </w:rPr>
              <w:t>计分细则</w:t>
            </w:r>
          </w:p>
        </w:tc>
      </w:tr>
      <w:tr>
        <w:tblPrEx>
          <w:tblW w:w="5000" w:type="pct"/>
          <w:tblInd w:w="96" w:type="dxa"/>
          <w:tblLayout w:type="fixed"/>
          <w:tblCellMar>
            <w:top w:w="0" w:type="dxa"/>
            <w:left w:w="108" w:type="dxa"/>
            <w:bottom w:w="0" w:type="dxa"/>
            <w:right w:w="108" w:type="dxa"/>
          </w:tblCellMar>
        </w:tblPrEx>
        <w:trPr>
          <w:trHeight w:val="616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1</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基础工作考评</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(60分)</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主要考核项目设施是否按照标准进行运营。</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公益文化服务情况</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(20分)</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街道综合文体中心每年组织公益性文化活动（指面向全辖区群众、内容为综合性的活动，需含阅读推广、展览展示、艺术培训、艺术导赏活动）≥150场次</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包括：</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（1）组织综合性大型活动≥7场；</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（2）每年举办品牌活动或特色活动项目6个（持续开展3年以上的综合性大型文化活动）；</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（3）每年组织开展非物质文化遗产和民间文化艺术活动≥4次；</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（4）每年面向全辖区群众举办的科普、法制、农技、卫生等讲座、培训不少于6次；</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（5）每年编辑文艺、信息等刊物、资料（期）不少于4期；</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（6）每年编印本地业务作者文艺作品集不少于3本；</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（7）提供艺术普及门类不少于6个；</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（8）每年至少举办4场展览展示；</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（9）文艺培训不少于60课时；培训项目不少于40天；其中文艺骨干文化培训不少于4期；</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（10）艺术导赏讲座不少于20场；</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每发现一处不符合扣2分；</w:t>
            </w:r>
          </w:p>
        </w:tc>
      </w:tr>
      <w:tr>
        <w:tblPrEx>
          <w:tblW w:w="5000" w:type="pct"/>
          <w:tblInd w:w="96" w:type="dxa"/>
          <w:tblLayout w:type="fixed"/>
          <w:tblCellMar>
            <w:top w:w="0" w:type="dxa"/>
            <w:left w:w="108" w:type="dxa"/>
            <w:bottom w:w="0" w:type="dxa"/>
            <w:right w:w="108" w:type="dxa"/>
          </w:tblCellMar>
        </w:tblPrEx>
        <w:trPr>
          <w:trHeight w:val="1248"/>
        </w:trPr>
        <w:tc>
          <w:tcPr>
            <w:tcW w:w="5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平台录入情况</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(6分)</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录入深圳文体旅智慧服务平台（不少于150条文体活动），满足得3分；</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罗湖区文化云平台（不少于60条文化活动），满足得3分；</w:t>
            </w:r>
          </w:p>
        </w:tc>
      </w:tr>
      <w:tr>
        <w:tblPrEx>
          <w:tblW w:w="5000" w:type="pct"/>
          <w:tblInd w:w="96" w:type="dxa"/>
          <w:tblLayout w:type="fixed"/>
          <w:tblCellMar>
            <w:top w:w="0" w:type="dxa"/>
            <w:left w:w="108" w:type="dxa"/>
            <w:bottom w:w="0" w:type="dxa"/>
            <w:right w:w="108" w:type="dxa"/>
          </w:tblCellMar>
        </w:tblPrEx>
        <w:trPr>
          <w:trHeight w:val="1248"/>
        </w:trPr>
        <w:tc>
          <w:tcPr>
            <w:tcW w:w="5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活动实施情况</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(4分)</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确保各项活动高效顺利开展：活动前期预告、宣传招募、中期活动开展、后期活动回顾推文，资料归档总结。</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满足得4分；</w:t>
            </w:r>
          </w:p>
        </w:tc>
      </w:tr>
      <w:tr>
        <w:tblPrEx>
          <w:tblW w:w="5000" w:type="pct"/>
          <w:tblInd w:w="96" w:type="dxa"/>
          <w:tblLayout w:type="fixed"/>
          <w:tblCellMar>
            <w:top w:w="0" w:type="dxa"/>
            <w:left w:w="108" w:type="dxa"/>
            <w:bottom w:w="0" w:type="dxa"/>
            <w:right w:w="108" w:type="dxa"/>
          </w:tblCellMar>
        </w:tblPrEx>
        <w:trPr>
          <w:trHeight w:val="4992"/>
        </w:trPr>
        <w:tc>
          <w:tcPr>
            <w:tcW w:w="5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场地开放情况</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(10分)</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（1）场馆按时开放（公示开放时间）；</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（2）每周开放时间≥48小时；</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（3）错峰开放时间不少于总开放时间的三分之一；</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（4）公示文化服务内容情况，内容包括：项目、时间、地点、组织者；</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（5）每年常设性公共文化服务项目不少于15项；</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（6）陈列展览、群众文化活动项目年开放时间不少于100天；</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（7）展览更新不少于2次；</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（8）培训项目不少于40天；</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（9）演出、讲座项目每月平均不少于1次纳入统计；</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（10）场馆纳入“i深圳”一键预约平台;</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每发现一处不符合扣1分；</w:t>
            </w:r>
          </w:p>
        </w:tc>
      </w:tr>
      <w:tr>
        <w:tblPrEx>
          <w:tblW w:w="5000" w:type="pct"/>
          <w:tblInd w:w="96" w:type="dxa"/>
          <w:tblLayout w:type="fixed"/>
          <w:tblCellMar>
            <w:top w:w="0" w:type="dxa"/>
            <w:left w:w="108" w:type="dxa"/>
            <w:bottom w:w="0" w:type="dxa"/>
            <w:right w:w="108" w:type="dxa"/>
          </w:tblCellMar>
        </w:tblPrEx>
        <w:trPr>
          <w:trHeight w:val="2184"/>
        </w:trPr>
        <w:tc>
          <w:tcPr>
            <w:tcW w:w="5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配合考核工作</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(5分)</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积极配合开展广东省公共文化服务评价、广东省行政村（社区）综合性文化服务中心提质增效、深圳市公共文化服务评价、罗湖区公共文化服务评价等省、市、区公共文化服务体系重点改革任务及考核工作。</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未按要求配合以上服务评价检查或考核工作检查，造成不良影响的，每次扣2分；</w:t>
            </w:r>
          </w:p>
        </w:tc>
      </w:tr>
      <w:tr>
        <w:tblPrEx>
          <w:tblW w:w="5000" w:type="pct"/>
          <w:tblInd w:w="96" w:type="dxa"/>
          <w:tblLayout w:type="fixed"/>
          <w:tblCellMar>
            <w:top w:w="0" w:type="dxa"/>
            <w:left w:w="108" w:type="dxa"/>
            <w:bottom w:w="0" w:type="dxa"/>
            <w:right w:w="108" w:type="dxa"/>
          </w:tblCellMar>
        </w:tblPrEx>
        <w:trPr>
          <w:trHeight w:val="1248"/>
        </w:trPr>
        <w:tc>
          <w:tcPr>
            <w:tcW w:w="5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经营活动合法合规</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(10分)</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全部经营活动满足合同约定要求得10分</w:t>
            </w:r>
            <w:r>
              <w:rPr>
                <w:rFonts w:ascii="宋体" w:eastAsia="宋体" w:hAnsi="宋体" w:cs="宋体" w:hint="eastAsia"/>
                <w:color w:val="000000"/>
                <w:lang w:eastAsia="zh-CN" w:bidi="ar"/>
              </w:rPr>
              <w:t>，</w:t>
            </w:r>
            <w:r>
              <w:rPr>
                <w:rFonts w:ascii="宋体" w:eastAsia="宋体" w:hAnsi="宋体" w:cs="宋体" w:hint="eastAsia"/>
                <w:color w:val="000000"/>
                <w:lang w:eastAsia="zh-CN" w:bidi="ar"/>
              </w:rPr>
              <w:t>发现约定以外商业活动一次扣5分，拒不整改扣10分；</w:t>
            </w:r>
          </w:p>
        </w:tc>
      </w:tr>
      <w:tr>
        <w:tblPrEx>
          <w:tblW w:w="5000" w:type="pct"/>
          <w:tblInd w:w="96" w:type="dxa"/>
          <w:tblLayout w:type="fixed"/>
          <w:tblCellMar>
            <w:top w:w="0" w:type="dxa"/>
            <w:left w:w="108" w:type="dxa"/>
            <w:bottom w:w="0" w:type="dxa"/>
            <w:right w:w="108" w:type="dxa"/>
          </w:tblCellMar>
        </w:tblPrEx>
        <w:trPr>
          <w:trHeight w:val="1248"/>
        </w:trPr>
        <w:tc>
          <w:tcPr>
            <w:tcW w:w="5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文化宣传情况</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(5分)</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坚持正确舆论宣传导向，宣传典型和亮点、取得的经验和成效，通过纸媒、网络媒体、现场活动等多种渠道进行文化宣传，每年宣传不少于5次，每缺少一次扣1分。</w:t>
            </w:r>
          </w:p>
        </w:tc>
      </w:tr>
      <w:tr>
        <w:tblPrEx>
          <w:tblW w:w="5000" w:type="pct"/>
          <w:tblInd w:w="96" w:type="dxa"/>
          <w:tblLayout w:type="fixed"/>
          <w:tblCellMar>
            <w:top w:w="0" w:type="dxa"/>
            <w:left w:w="108" w:type="dxa"/>
            <w:bottom w:w="0" w:type="dxa"/>
            <w:right w:w="108" w:type="dxa"/>
          </w:tblCellMar>
        </w:tblPrEx>
        <w:trPr>
          <w:trHeight w:val="1680"/>
        </w:trPr>
        <w:tc>
          <w:tcPr>
            <w:tcW w:w="5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57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备注：若因不可抗力因素导致考核当年确实无法完成相关基本公共文化服务的，</w:t>
            </w:r>
            <w:r>
              <w:rPr>
                <w:rFonts w:ascii="宋体" w:eastAsia="宋体" w:hAnsi="宋体" w:cs="宋体" w:hint="eastAsia"/>
                <w:color w:val="000000"/>
                <w:lang w:eastAsia="zh-CN" w:bidi="ar"/>
              </w:rPr>
              <w:t>乙方</w:t>
            </w:r>
            <w:r>
              <w:rPr>
                <w:rFonts w:ascii="宋体" w:eastAsia="宋体" w:hAnsi="宋体" w:cs="宋体" w:hint="eastAsia"/>
                <w:color w:val="000000"/>
                <w:lang w:eastAsia="zh-CN" w:bidi="ar"/>
              </w:rPr>
              <w:t>应在知晓或理应知晓无法完成的15日内向</w:t>
            </w:r>
            <w:r>
              <w:rPr>
                <w:rFonts w:ascii="宋体" w:eastAsia="宋体" w:hAnsi="宋体" w:cs="宋体" w:hint="eastAsia"/>
                <w:color w:val="000000"/>
                <w:lang w:eastAsia="zh-CN" w:bidi="ar"/>
              </w:rPr>
              <w:t>甲方</w:t>
            </w:r>
            <w:r>
              <w:rPr>
                <w:rFonts w:ascii="宋体" w:eastAsia="宋体" w:hAnsi="宋体" w:cs="宋体" w:hint="eastAsia"/>
                <w:color w:val="000000"/>
                <w:lang w:eastAsia="zh-CN" w:bidi="ar"/>
              </w:rPr>
              <w:t>提出书面说明，经</w:t>
            </w:r>
            <w:r>
              <w:rPr>
                <w:rFonts w:ascii="宋体" w:eastAsia="宋体" w:hAnsi="宋体" w:cs="宋体" w:hint="eastAsia"/>
                <w:color w:val="000000"/>
                <w:lang w:eastAsia="zh-CN" w:bidi="ar"/>
              </w:rPr>
              <w:t>甲方</w:t>
            </w:r>
            <w:r>
              <w:rPr>
                <w:rFonts w:ascii="宋体" w:eastAsia="宋体" w:hAnsi="宋体" w:cs="宋体" w:hint="eastAsia"/>
                <w:color w:val="000000"/>
                <w:lang w:eastAsia="zh-CN" w:bidi="ar"/>
              </w:rPr>
              <w:t>审批同意后，当年考核暂不扣分，但应在下一年度考核前对未完成事项进行补足，若未能补足，</w:t>
            </w:r>
            <w:r>
              <w:rPr>
                <w:rFonts w:ascii="宋体" w:eastAsia="宋体" w:hAnsi="宋体" w:cs="宋体" w:hint="eastAsia"/>
                <w:color w:val="000000"/>
                <w:lang w:eastAsia="zh-CN" w:bidi="ar"/>
              </w:rPr>
              <w:t>甲方</w:t>
            </w:r>
            <w:r>
              <w:rPr>
                <w:rFonts w:ascii="宋体" w:eastAsia="宋体" w:hAnsi="宋体" w:cs="宋体" w:hint="eastAsia"/>
                <w:color w:val="000000"/>
                <w:lang w:eastAsia="zh-CN" w:bidi="ar"/>
              </w:rPr>
              <w:t>有权在相应考核年度按上述标准直接在总分中扣减得分。</w:t>
            </w:r>
          </w:p>
        </w:tc>
      </w:tr>
      <w:tr>
        <w:tblPrEx>
          <w:tblW w:w="5000" w:type="pct"/>
          <w:tblInd w:w="96" w:type="dxa"/>
          <w:tblLayout w:type="fixed"/>
          <w:tblCellMar>
            <w:top w:w="0" w:type="dxa"/>
            <w:left w:w="108" w:type="dxa"/>
            <w:bottom w:w="0" w:type="dxa"/>
            <w:right w:w="108" w:type="dxa"/>
          </w:tblCellMar>
        </w:tblPrEx>
        <w:trPr>
          <w:trHeight w:val="1248"/>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2</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日常管理考评</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(25分)</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对场地消防检查、建筑物、设备设施维护进行考核</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消防检查</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(5分)</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消防检查完全合格，得5分；</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消防检查基本合格，得3分；</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消防检查不合格，整改后合格得1分；</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消防检查不合格，拒不整改得0分；</w:t>
            </w:r>
          </w:p>
        </w:tc>
      </w:tr>
      <w:tr>
        <w:tblPrEx>
          <w:tblW w:w="5000" w:type="pct"/>
          <w:tblInd w:w="96" w:type="dxa"/>
          <w:tblLayout w:type="fixed"/>
          <w:tblCellMar>
            <w:top w:w="0" w:type="dxa"/>
            <w:left w:w="108" w:type="dxa"/>
            <w:bottom w:w="0" w:type="dxa"/>
            <w:right w:w="108" w:type="dxa"/>
          </w:tblCellMar>
        </w:tblPrEx>
        <w:trPr>
          <w:trHeight w:val="1872"/>
        </w:trPr>
        <w:tc>
          <w:tcPr>
            <w:tcW w:w="5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日常维护</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(10分)</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建筑物结构无变形，建筑物内楼梯、走道、扶手、天花板等完好、整洁，得5分。每发现一处不符合扣0.5分；</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发现显示设备等连续10个工作日未正常工作情况，每次扣1分（除正常更新、大修等），最多扣5分；</w:t>
            </w:r>
          </w:p>
        </w:tc>
      </w:tr>
      <w:tr>
        <w:tblPrEx>
          <w:tblW w:w="5000" w:type="pct"/>
          <w:tblInd w:w="96" w:type="dxa"/>
          <w:tblLayout w:type="fixed"/>
          <w:tblCellMar>
            <w:top w:w="0" w:type="dxa"/>
            <w:left w:w="108" w:type="dxa"/>
            <w:bottom w:w="0" w:type="dxa"/>
            <w:right w:w="108" w:type="dxa"/>
          </w:tblCellMar>
        </w:tblPrEx>
        <w:trPr>
          <w:trHeight w:val="936"/>
        </w:trPr>
        <w:tc>
          <w:tcPr>
            <w:tcW w:w="5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环境卫生</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(5分)</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场馆保持清洁、无污染，垃圾日常日清。每发现一次不符合扣1分，最多扣5分。</w:t>
            </w:r>
          </w:p>
        </w:tc>
      </w:tr>
      <w:tr>
        <w:tblPrEx>
          <w:tblW w:w="5000" w:type="pct"/>
          <w:tblInd w:w="96" w:type="dxa"/>
          <w:tblLayout w:type="fixed"/>
          <w:tblCellMar>
            <w:top w:w="0" w:type="dxa"/>
            <w:left w:w="108" w:type="dxa"/>
            <w:bottom w:w="0" w:type="dxa"/>
            <w:right w:w="108" w:type="dxa"/>
          </w:tblCellMar>
        </w:tblPrEx>
        <w:trPr>
          <w:trHeight w:val="936"/>
        </w:trPr>
        <w:tc>
          <w:tcPr>
            <w:tcW w:w="5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安全管理</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(5分)</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按要求定期组织并进行安全巡查，未定期组织或组织不符合要求的视情况进行扣分，最多扣5分。</w:t>
            </w:r>
          </w:p>
        </w:tc>
      </w:tr>
      <w:tr>
        <w:tblPrEx>
          <w:tblW w:w="5000" w:type="pct"/>
          <w:tblInd w:w="96" w:type="dxa"/>
          <w:tblLayout w:type="fixed"/>
          <w:tblCellMar>
            <w:top w:w="0" w:type="dxa"/>
            <w:left w:w="108" w:type="dxa"/>
            <w:bottom w:w="0" w:type="dxa"/>
            <w:right w:w="108" w:type="dxa"/>
          </w:tblCellMar>
        </w:tblPrEx>
        <w:trPr>
          <w:trHeight w:val="98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3</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社会监督考评</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(15)</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对12345热线、新闻媒体曝光及社会公众满意度进行考评</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12345热线反馈</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(5分)</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群众反馈情况经查属实的，发现一次扣2分，特别严重的，直接扣5分；</w:t>
            </w:r>
          </w:p>
        </w:tc>
      </w:tr>
      <w:tr>
        <w:tblPrEx>
          <w:tblW w:w="5000" w:type="pct"/>
          <w:tblInd w:w="96" w:type="dxa"/>
          <w:tblLayout w:type="fixed"/>
          <w:tblCellMar>
            <w:top w:w="0" w:type="dxa"/>
            <w:left w:w="108" w:type="dxa"/>
            <w:bottom w:w="0" w:type="dxa"/>
            <w:right w:w="108" w:type="dxa"/>
          </w:tblCellMar>
        </w:tblPrEx>
        <w:trPr>
          <w:trHeight w:val="980"/>
        </w:trPr>
        <w:tc>
          <w:tcPr>
            <w:tcW w:w="5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新闻媒体曝光</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(5分)</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市级以上新闻媒体（不含网络媒体）不良行为曝光一次扣5分（正面宣传一次加5分，综合计算）；</w:t>
            </w:r>
          </w:p>
        </w:tc>
      </w:tr>
      <w:tr>
        <w:tblPrEx>
          <w:tblW w:w="5000" w:type="pct"/>
          <w:tblInd w:w="96" w:type="dxa"/>
          <w:tblLayout w:type="fixed"/>
          <w:tblCellMar>
            <w:top w:w="0" w:type="dxa"/>
            <w:left w:w="108" w:type="dxa"/>
            <w:bottom w:w="0" w:type="dxa"/>
            <w:right w:w="108" w:type="dxa"/>
          </w:tblCellMar>
        </w:tblPrEx>
        <w:trPr>
          <w:trHeight w:val="980"/>
        </w:trPr>
        <w:tc>
          <w:tcPr>
            <w:tcW w:w="5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满意度调查</w:t>
            </w:r>
            <w:r>
              <w:rPr>
                <w:rFonts w:ascii="宋体" w:eastAsia="宋体" w:hAnsi="宋体" w:cs="宋体" w:hint="eastAsia"/>
                <w:color w:val="000000"/>
                <w:lang w:eastAsia="zh-CN" w:bidi="ar"/>
              </w:rPr>
              <w:br/>
            </w:r>
            <w:r>
              <w:rPr>
                <w:rFonts w:ascii="宋体" w:eastAsia="宋体" w:hAnsi="宋体" w:cs="宋体" w:hint="eastAsia"/>
                <w:color w:val="000000"/>
                <w:lang w:eastAsia="zh-CN" w:bidi="ar"/>
              </w:rPr>
              <w:t>(5分)</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根据满意度调查结果按比例给分；</w:t>
            </w:r>
          </w:p>
        </w:tc>
      </w:tr>
    </w:tbl>
    <w:p>
      <w:pPr>
        <w:widowControl w:val="0"/>
        <w:kinsoku w:val="0"/>
        <w:autoSpaceDE w:val="0"/>
        <w:autoSpaceDN w:val="0"/>
        <w:adjustRightInd w:val="0"/>
        <w:snapToGrid w:val="0"/>
        <w:spacing w:before="98" w:line="219" w:lineRule="auto"/>
        <w:ind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本项目绩效考核指标（参考）详见上表，具体由</w:t>
      </w:r>
      <w:r>
        <w:rPr>
          <w:rFonts w:ascii="宋体" w:eastAsia="宋体" w:hAnsi="宋体" w:cs="宋体" w:hint="eastAsia"/>
          <w:spacing w:val="-1"/>
          <w:kern w:val="2"/>
          <w:lang w:eastAsia="zh-CN"/>
        </w:rPr>
        <w:t>甲方</w:t>
      </w:r>
      <w:r>
        <w:rPr>
          <w:rFonts w:ascii="宋体" w:eastAsia="宋体" w:hAnsi="宋体" w:cs="宋体" w:hint="eastAsia"/>
          <w:spacing w:val="-1"/>
          <w:kern w:val="2"/>
          <w:lang w:eastAsia="zh-CN"/>
        </w:rPr>
        <w:t>在此</w:t>
      </w:r>
      <w:r>
        <w:rPr>
          <w:rFonts w:ascii="宋体" w:eastAsia="宋体" w:hAnsi="宋体" w:cs="宋体" w:hint="eastAsia"/>
          <w:spacing w:val="-2"/>
          <w:kern w:val="2"/>
          <w:lang w:eastAsia="zh-CN"/>
        </w:rPr>
        <w:t>基础上进行制定。</w:t>
      </w:r>
    </w:p>
    <w:p>
      <w:pPr>
        <w:widowControl w:val="0"/>
        <w:kinsoku w:val="0"/>
        <w:autoSpaceDE w:val="0"/>
        <w:autoSpaceDN w:val="0"/>
        <w:adjustRightInd w:val="0"/>
        <w:snapToGrid w:val="0"/>
        <w:spacing w:before="98" w:line="220" w:lineRule="auto"/>
        <w:ind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2．绩效考核评分</w:t>
      </w:r>
    </w:p>
    <w:p>
      <w:pPr>
        <w:widowControl w:val="0"/>
        <w:kinsoku w:val="0"/>
        <w:autoSpaceDE w:val="0"/>
        <w:autoSpaceDN w:val="0"/>
        <w:adjustRightInd w:val="0"/>
        <w:snapToGrid w:val="0"/>
        <w:spacing w:before="97" w:line="220" w:lineRule="auto"/>
        <w:ind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项目绩效考核评分结果按照实际考核结果计算。</w:t>
      </w:r>
    </w:p>
    <w:p>
      <w:pPr>
        <w:widowControl w:val="0"/>
        <w:kinsoku w:val="0"/>
        <w:autoSpaceDE w:val="0"/>
        <w:autoSpaceDN w:val="0"/>
        <w:adjustRightInd w:val="0"/>
        <w:snapToGrid w:val="0"/>
        <w:spacing w:before="98" w:line="220" w:lineRule="auto"/>
        <w:ind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3.运营期绩效考核方式</w:t>
      </w:r>
    </w:p>
    <w:p>
      <w:pPr>
        <w:widowControl w:val="0"/>
        <w:kinsoku w:val="0"/>
        <w:autoSpaceDE w:val="0"/>
        <w:autoSpaceDN w:val="0"/>
        <w:adjustRightInd w:val="0"/>
        <w:snapToGrid w:val="0"/>
        <w:ind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本项目的考核方式为定期考核，</w:t>
      </w:r>
      <w:r>
        <w:rPr>
          <w:rFonts w:ascii="宋体" w:eastAsia="宋体" w:hAnsi="宋体" w:cs="宋体" w:hint="eastAsia"/>
          <w:spacing w:val="-7"/>
          <w:kern w:val="2"/>
          <w:lang w:eastAsia="zh-CN"/>
        </w:rPr>
        <w:t>考核标准如下：</w:t>
      </w:r>
    </w:p>
    <w:p>
      <w:pPr>
        <w:widowControl w:val="0"/>
        <w:kinsoku w:val="0"/>
        <w:autoSpaceDE w:val="0"/>
        <w:autoSpaceDN w:val="0"/>
        <w:adjustRightInd w:val="0"/>
        <w:snapToGrid w:val="0"/>
        <w:spacing w:before="101" w:line="295" w:lineRule="auto"/>
        <w:ind w:right="122"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4"/>
          <w:kern w:val="2"/>
          <w:lang w:eastAsia="zh-CN"/>
        </w:rPr>
        <w:t>定期考核应于每运营年度结束后的一个月内进行</w:t>
      </w:r>
      <w:r>
        <w:rPr>
          <w:rFonts w:ascii="宋体" w:eastAsia="宋体" w:hAnsi="宋体" w:cs="宋体" w:hint="eastAsia"/>
          <w:spacing w:val="4"/>
          <w:kern w:val="2"/>
          <w:lang w:eastAsia="zh-CN"/>
        </w:rPr>
        <w:t>，</w:t>
      </w:r>
      <w:r>
        <w:rPr>
          <w:rFonts w:ascii="宋体" w:eastAsia="宋体" w:hAnsi="宋体" w:cs="宋体" w:hint="eastAsia"/>
          <w:spacing w:val="4"/>
          <w:kern w:val="2"/>
          <w:lang w:eastAsia="zh-CN"/>
        </w:rPr>
        <w:t>将按照运营期绩效考核指标的标准执行(总分设计为百分制)</w:t>
      </w:r>
      <w:r>
        <w:rPr>
          <w:rFonts w:ascii="宋体" w:eastAsia="宋体" w:hAnsi="宋体" w:cs="宋体" w:hint="eastAsia"/>
          <w:spacing w:val="4"/>
          <w:kern w:val="2"/>
          <w:lang w:eastAsia="zh-CN"/>
        </w:rPr>
        <w:t>；甲方</w:t>
      </w:r>
      <w:r>
        <w:rPr>
          <w:rFonts w:ascii="宋体" w:eastAsia="宋体" w:hAnsi="宋体" w:cs="宋体" w:hint="eastAsia"/>
          <w:spacing w:val="4"/>
          <w:kern w:val="2"/>
          <w:lang w:eastAsia="zh-CN"/>
        </w:rPr>
        <w:t>应于考核前通知中标社会资本</w:t>
      </w:r>
      <w:r>
        <w:rPr>
          <w:rFonts w:ascii="宋体" w:eastAsia="宋体" w:hAnsi="宋体" w:cs="宋体" w:hint="eastAsia"/>
          <w:spacing w:val="4"/>
          <w:kern w:val="2"/>
          <w:lang w:eastAsia="zh-CN"/>
        </w:rPr>
        <w:t>，</w:t>
      </w:r>
      <w:r>
        <w:rPr>
          <w:rFonts w:ascii="宋体" w:eastAsia="宋体" w:hAnsi="宋体" w:cs="宋体" w:hint="eastAsia"/>
          <w:spacing w:val="4"/>
          <w:kern w:val="2"/>
          <w:lang w:eastAsia="zh-CN"/>
        </w:rPr>
        <w:t>并在</w:t>
      </w:r>
      <w:r>
        <w:rPr>
          <w:rFonts w:ascii="宋体" w:eastAsia="宋体" w:hAnsi="宋体" w:cs="宋体" w:hint="eastAsia"/>
          <w:spacing w:val="3"/>
          <w:kern w:val="2"/>
          <w:lang w:eastAsia="zh-CN"/>
        </w:rPr>
        <w:t>十个</w:t>
      </w:r>
      <w:r>
        <w:rPr>
          <w:rFonts w:ascii="宋体" w:eastAsia="宋体" w:hAnsi="宋体" w:cs="宋体" w:hint="eastAsia"/>
          <w:spacing w:val="1"/>
          <w:kern w:val="2"/>
          <w:lang w:eastAsia="zh-CN"/>
        </w:rPr>
        <w:t>工作日内完成当年度定期考核。考核依据《翠竹街道综合文体中心绩效考核指标》打分</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有权要求</w:t>
      </w:r>
      <w:r>
        <w:rPr>
          <w:rFonts w:ascii="宋体" w:eastAsia="宋体" w:hAnsi="宋体" w:cs="宋体" w:hint="eastAsia"/>
          <w:spacing w:val="1"/>
          <w:kern w:val="2"/>
          <w:lang w:eastAsia="zh-CN"/>
        </w:rPr>
        <w:t>甲方</w:t>
      </w:r>
      <w:r>
        <w:rPr>
          <w:rFonts w:ascii="宋体" w:eastAsia="宋体" w:hAnsi="宋体" w:cs="宋体" w:hint="eastAsia"/>
          <w:spacing w:val="1"/>
          <w:kern w:val="2"/>
          <w:lang w:eastAsia="zh-CN"/>
        </w:rPr>
        <w:t>说</w:t>
      </w:r>
      <w:r>
        <w:rPr>
          <w:rFonts w:ascii="宋体" w:eastAsia="宋体" w:hAnsi="宋体" w:cs="宋体" w:hint="eastAsia"/>
          <w:spacing w:val="-6"/>
          <w:kern w:val="2"/>
          <w:lang w:eastAsia="zh-CN"/>
        </w:rPr>
        <w:t>明扣分原因。</w:t>
      </w:r>
    </w:p>
    <w:p>
      <w:pPr>
        <w:widowControl w:val="0"/>
        <w:kinsoku w:val="0"/>
        <w:autoSpaceDE w:val="0"/>
        <w:autoSpaceDN w:val="0"/>
        <w:adjustRightInd w:val="0"/>
        <w:snapToGrid w:val="0"/>
        <w:spacing w:before="32" w:line="293" w:lineRule="auto"/>
        <w:ind w:right="122"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定期考核中发现的问题</w:t>
      </w:r>
      <w:r>
        <w:rPr>
          <w:rFonts w:ascii="宋体" w:eastAsia="宋体" w:hAnsi="宋体" w:cs="宋体" w:hint="eastAsia"/>
          <w:spacing w:val="1"/>
          <w:kern w:val="2"/>
          <w:lang w:eastAsia="zh-CN"/>
        </w:rPr>
        <w:t>，甲方</w:t>
      </w:r>
      <w:r>
        <w:rPr>
          <w:rFonts w:ascii="宋体" w:eastAsia="宋体" w:hAnsi="宋体" w:cs="宋体" w:hint="eastAsia"/>
          <w:spacing w:val="1"/>
          <w:kern w:val="2"/>
          <w:lang w:eastAsia="zh-CN"/>
        </w:rPr>
        <w:t>提出问题清单(列明需整改的问题事项)</w:t>
      </w:r>
      <w:r>
        <w:rPr>
          <w:rFonts w:ascii="宋体" w:eastAsia="宋体" w:hAnsi="宋体" w:cs="宋体" w:hint="eastAsia"/>
          <w:spacing w:val="4"/>
          <w:kern w:val="2"/>
          <w:lang w:eastAsia="zh-CN"/>
        </w:rPr>
        <w:t>并有权要求</w:t>
      </w:r>
      <w:r>
        <w:rPr>
          <w:rFonts w:ascii="宋体" w:eastAsia="宋体" w:hAnsi="宋体" w:cs="宋体" w:hint="eastAsia"/>
          <w:spacing w:val="4"/>
          <w:kern w:val="2"/>
          <w:lang w:eastAsia="zh-CN"/>
        </w:rPr>
        <w:t>乙方</w:t>
      </w:r>
      <w:r>
        <w:rPr>
          <w:rFonts w:ascii="宋体" w:eastAsia="宋体" w:hAnsi="宋体" w:cs="宋体" w:hint="eastAsia"/>
          <w:spacing w:val="4"/>
          <w:kern w:val="2"/>
          <w:lang w:eastAsia="zh-CN"/>
        </w:rPr>
        <w:t>限期整改</w:t>
      </w:r>
      <w:r>
        <w:rPr>
          <w:rFonts w:ascii="宋体" w:eastAsia="宋体" w:hAnsi="宋体" w:cs="宋体" w:hint="eastAsia"/>
          <w:spacing w:val="-3"/>
          <w:kern w:val="2"/>
          <w:lang w:eastAsia="zh-CN"/>
        </w:rPr>
        <w:t>。</w:t>
      </w:r>
    </w:p>
    <w:p>
      <w:pPr>
        <w:widowControl w:val="0"/>
        <w:kinsoku w:val="0"/>
        <w:autoSpaceDE w:val="0"/>
        <w:autoSpaceDN w:val="0"/>
        <w:adjustRightInd w:val="0"/>
        <w:snapToGrid w:val="0"/>
        <w:spacing w:before="38" w:line="295" w:lineRule="auto"/>
        <w:ind w:right="122" w:firstLine="480" w:firstLineChars="200"/>
        <w:jc w:val="both"/>
        <w:textAlignment w:val="baseline"/>
        <w:rPr>
          <w:rFonts w:ascii="宋体" w:eastAsia="宋体" w:hAnsi="宋体" w:cs="宋体" w:hint="eastAsia"/>
          <w:spacing w:val="-2"/>
          <w:kern w:val="2"/>
          <w:lang w:eastAsia="zh-CN"/>
        </w:rPr>
      </w:pP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绩效考核不合格(绩效考核得分低于90分)时</w:t>
      </w:r>
      <w:r>
        <w:rPr>
          <w:rFonts w:ascii="宋体" w:eastAsia="宋体" w:hAnsi="宋体" w:cs="宋体" w:hint="eastAsia"/>
          <w:spacing w:val="-2"/>
          <w:kern w:val="2"/>
          <w:lang w:eastAsia="zh-CN"/>
        </w:rPr>
        <w:t>，甲方</w:t>
      </w:r>
      <w:r>
        <w:rPr>
          <w:rFonts w:ascii="宋体" w:eastAsia="宋体" w:hAnsi="宋体" w:cs="宋体" w:hint="eastAsia"/>
          <w:spacing w:val="-2"/>
          <w:kern w:val="2"/>
          <w:lang w:eastAsia="zh-CN"/>
        </w:rPr>
        <w:t>有权书面通知</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限期整改</w:t>
      </w:r>
      <w:r>
        <w:rPr>
          <w:rFonts w:ascii="宋体" w:eastAsia="宋体" w:hAnsi="宋体" w:cs="宋体" w:hint="eastAsia"/>
          <w:spacing w:val="-2"/>
          <w:kern w:val="2"/>
          <w:lang w:eastAsia="zh-CN"/>
        </w:rPr>
        <w:t>，</w:t>
      </w:r>
      <w:r>
        <w:rPr>
          <w:rFonts w:ascii="宋体" w:eastAsia="宋体" w:hAnsi="宋体" w:cs="宋体" w:hint="eastAsia"/>
          <w:spacing w:val="-2"/>
          <w:kern w:val="2"/>
          <w:lang w:eastAsia="zh-CN"/>
        </w:rPr>
        <w:t>如</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未按要求整改完毕</w:t>
      </w:r>
      <w:r>
        <w:rPr>
          <w:rFonts w:ascii="宋体" w:eastAsia="宋体" w:hAnsi="宋体" w:cs="宋体" w:hint="eastAsia"/>
          <w:spacing w:val="-2"/>
          <w:kern w:val="2"/>
          <w:lang w:eastAsia="zh-CN"/>
        </w:rPr>
        <w:t>，甲方</w:t>
      </w:r>
      <w:r>
        <w:rPr>
          <w:rFonts w:ascii="宋体" w:eastAsia="宋体" w:hAnsi="宋体" w:cs="宋体" w:hint="eastAsia"/>
          <w:spacing w:val="-2"/>
          <w:kern w:val="2"/>
          <w:lang w:eastAsia="zh-CN"/>
        </w:rPr>
        <w:t>有权根据</w:t>
      </w:r>
      <w:r>
        <w:rPr>
          <w:rFonts w:ascii="宋体" w:eastAsia="宋体" w:hAnsi="宋体" w:cs="宋体" w:hint="eastAsia"/>
          <w:spacing w:val="-2"/>
          <w:kern w:val="2"/>
          <w:lang w:eastAsia="zh-CN"/>
        </w:rPr>
        <w:t>《委托运营合同》</w:t>
      </w:r>
      <w:r>
        <w:rPr>
          <w:rFonts w:ascii="宋体" w:eastAsia="宋体" w:hAnsi="宋体" w:cs="宋体" w:hint="eastAsia"/>
          <w:spacing w:val="-2"/>
          <w:kern w:val="2"/>
          <w:lang w:eastAsia="zh-CN"/>
        </w:rPr>
        <w:t>违约情形的相关约定</w:t>
      </w:r>
      <w:r>
        <w:rPr>
          <w:rFonts w:ascii="宋体" w:eastAsia="宋体" w:hAnsi="宋体" w:cs="宋体" w:hint="eastAsia"/>
          <w:spacing w:val="-2"/>
          <w:kern w:val="2"/>
          <w:lang w:eastAsia="zh-CN"/>
        </w:rPr>
        <w:t>，</w:t>
      </w:r>
      <w:r>
        <w:rPr>
          <w:rFonts w:ascii="宋体" w:eastAsia="宋体" w:hAnsi="宋体" w:cs="宋体" w:hint="eastAsia"/>
          <w:spacing w:val="-2"/>
          <w:kern w:val="2"/>
          <w:lang w:eastAsia="zh-CN"/>
        </w:rPr>
        <w:t>要求</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承担违约责任。</w:t>
      </w:r>
    </w:p>
    <w:p>
      <w:pPr>
        <w:widowControl w:val="0"/>
        <w:kinsoku w:val="0"/>
        <w:autoSpaceDE w:val="0"/>
        <w:autoSpaceDN w:val="0"/>
        <w:adjustRightInd w:val="0"/>
        <w:snapToGrid w:val="0"/>
        <w:spacing w:before="38" w:line="295" w:lineRule="auto"/>
        <w:ind w:right="122"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运营期内完成本合同约定的公益性服务，按照省、市关于综合文化站评估定级、公</w:t>
      </w:r>
      <w:r>
        <w:rPr>
          <w:rFonts w:ascii="宋体" w:eastAsia="宋体" w:hAnsi="宋体" w:cs="宋体" w:hint="eastAsia"/>
          <w:spacing w:val="-2"/>
          <w:kern w:val="2"/>
          <w:lang w:eastAsia="zh-CN"/>
        </w:rPr>
        <w:t>共</w:t>
      </w:r>
      <w:r>
        <w:rPr>
          <w:rFonts w:ascii="宋体" w:eastAsia="宋体" w:hAnsi="宋体" w:cs="宋体" w:hint="eastAsia"/>
          <w:spacing w:val="-2"/>
          <w:kern w:val="2"/>
          <w:lang w:eastAsia="zh-CN"/>
        </w:rPr>
        <w:t>文化服务实施标准、公共文化服务评价指标体系相关规范性文件或政策要求完成公益性服务，每年具体绩效考核指标由</w:t>
      </w:r>
      <w:r>
        <w:rPr>
          <w:rFonts w:ascii="宋体" w:eastAsia="宋体" w:hAnsi="宋体" w:cs="宋体" w:hint="eastAsia"/>
          <w:spacing w:val="-2"/>
          <w:kern w:val="2"/>
          <w:lang w:eastAsia="zh-CN"/>
        </w:rPr>
        <w:t>甲方</w:t>
      </w:r>
      <w:r>
        <w:rPr>
          <w:rFonts w:ascii="宋体" w:eastAsia="宋体" w:hAnsi="宋体" w:cs="宋体" w:hint="eastAsia"/>
          <w:spacing w:val="-2"/>
          <w:kern w:val="2"/>
          <w:lang w:eastAsia="zh-CN"/>
        </w:rPr>
        <w:t>按照上述相关规范性文件或政策要求制定，</w:t>
      </w:r>
      <w:r>
        <w:rPr>
          <w:rFonts w:ascii="宋体" w:eastAsia="宋体" w:hAnsi="宋体" w:cs="宋体" w:hint="eastAsia"/>
          <w:spacing w:val="-2"/>
          <w:kern w:val="2"/>
          <w:lang w:eastAsia="zh-CN"/>
        </w:rPr>
        <w:t>乙方</w:t>
      </w:r>
      <w:r>
        <w:rPr>
          <w:rFonts w:ascii="宋体" w:eastAsia="宋体" w:hAnsi="宋体" w:cs="宋体" w:hint="eastAsia"/>
          <w:spacing w:val="-4"/>
          <w:kern w:val="2"/>
          <w:lang w:eastAsia="zh-CN"/>
        </w:rPr>
        <w:t>每年绩效考核</w:t>
      </w:r>
      <w:r>
        <w:rPr>
          <w:rFonts w:ascii="宋体" w:eastAsia="宋体" w:hAnsi="宋体" w:cs="宋体" w:hint="eastAsia"/>
          <w:spacing w:val="-4"/>
          <w:kern w:val="2"/>
          <w:lang w:eastAsia="zh-CN"/>
        </w:rPr>
        <w:t>得分</w:t>
      </w:r>
      <w:r>
        <w:rPr>
          <w:rFonts w:ascii="宋体" w:eastAsia="宋体" w:hAnsi="宋体" w:cs="宋体" w:hint="eastAsia"/>
          <w:spacing w:val="-4"/>
          <w:kern w:val="2"/>
          <w:lang w:eastAsia="zh-CN"/>
        </w:rPr>
        <w:t>须</w:t>
      </w:r>
      <w:r>
        <w:rPr>
          <w:rFonts w:ascii="宋体" w:eastAsia="宋体" w:hAnsi="宋体" w:cs="宋体" w:hint="eastAsia"/>
          <w:spacing w:val="-4"/>
          <w:kern w:val="2"/>
          <w:lang w:eastAsia="zh-CN"/>
        </w:rPr>
        <w:t>≥</w:t>
      </w:r>
      <w:r>
        <w:rPr>
          <w:rFonts w:ascii="宋体" w:eastAsia="宋体" w:hAnsi="宋体" w:cs="宋体" w:hint="eastAsia"/>
          <w:spacing w:val="-4"/>
          <w:kern w:val="2"/>
          <w:lang w:eastAsia="zh-CN"/>
        </w:rPr>
        <w:t>90分。</w:t>
      </w:r>
    </w:p>
    <w:p>
      <w:pPr>
        <w:widowControl w:val="0"/>
        <w:kinsoku w:val="0"/>
        <w:autoSpaceDE w:val="0"/>
        <w:autoSpaceDN w:val="0"/>
        <w:adjustRightInd w:val="0"/>
        <w:snapToGrid w:val="0"/>
        <w:spacing w:before="31" w:line="220" w:lineRule="auto"/>
        <w:ind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4"/>
          <w:kern w:val="2"/>
          <w:lang w:eastAsia="zh-CN"/>
        </w:rPr>
        <w:t>4.运营期绩效考核指标制定方式：</w:t>
      </w:r>
    </w:p>
    <w:p>
      <w:pPr>
        <w:widowControl w:val="0"/>
        <w:kinsoku w:val="0"/>
        <w:autoSpaceDE w:val="0"/>
        <w:autoSpaceDN w:val="0"/>
        <w:adjustRightInd w:val="0"/>
        <w:snapToGrid w:val="0"/>
        <w:spacing w:before="72" w:line="275" w:lineRule="auto"/>
        <w:ind w:right="163" w:firstLine="480" w:firstLineChars="200"/>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(1)</w:t>
      </w:r>
      <w:r>
        <w:rPr>
          <w:rFonts w:ascii="宋体" w:eastAsia="宋体" w:hAnsi="宋体" w:cs="宋体" w:hint="eastAsia"/>
          <w:kern w:val="2"/>
          <w:lang w:eastAsia="zh-CN"/>
        </w:rPr>
        <w:t>乙方</w:t>
      </w:r>
      <w:r>
        <w:rPr>
          <w:rFonts w:ascii="宋体" w:eastAsia="宋体" w:hAnsi="宋体" w:cs="宋体" w:hint="eastAsia"/>
          <w:kern w:val="2"/>
          <w:lang w:eastAsia="zh-CN"/>
        </w:rPr>
        <w:t>在运营期内应完成本项目约定的公益性服务，且按照省、市关于</w:t>
      </w:r>
      <w:r>
        <w:rPr>
          <w:rFonts w:ascii="宋体" w:eastAsia="宋体" w:hAnsi="宋体" w:cs="宋体" w:hint="eastAsia"/>
          <w:spacing w:val="-2"/>
          <w:kern w:val="2"/>
          <w:lang w:eastAsia="zh-CN"/>
        </w:rPr>
        <w:t>综合文化站评估定级、公共文化服务实施标准、公共文化服务评价指标体系相关规范性</w:t>
      </w:r>
      <w:r>
        <w:rPr>
          <w:rFonts w:ascii="宋体" w:eastAsia="宋体" w:hAnsi="宋体" w:cs="宋体" w:hint="eastAsia"/>
          <w:spacing w:val="-3"/>
          <w:kern w:val="2"/>
          <w:lang w:eastAsia="zh-CN"/>
        </w:rPr>
        <w:t>文件或政策要求完成公益性服务。</w:t>
      </w:r>
    </w:p>
    <w:p>
      <w:pPr>
        <w:widowControl w:val="0"/>
        <w:kinsoku w:val="0"/>
        <w:autoSpaceDE w:val="0"/>
        <w:autoSpaceDN w:val="0"/>
        <w:adjustRightInd w:val="0"/>
        <w:snapToGrid w:val="0"/>
        <w:spacing w:before="97" w:line="261" w:lineRule="auto"/>
        <w:ind w:right="163" w:firstLine="480" w:firstLineChars="200"/>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(2)</w:t>
      </w:r>
      <w:r>
        <w:rPr>
          <w:rFonts w:ascii="宋体" w:eastAsia="宋体" w:hAnsi="宋体" w:cs="宋体" w:hint="eastAsia"/>
          <w:kern w:val="2"/>
          <w:lang w:eastAsia="zh-CN"/>
        </w:rPr>
        <w:t>乙方</w:t>
      </w:r>
      <w:r>
        <w:rPr>
          <w:rFonts w:ascii="宋体" w:eastAsia="宋体" w:hAnsi="宋体" w:cs="宋体" w:hint="eastAsia"/>
          <w:kern w:val="2"/>
          <w:lang w:eastAsia="zh-CN"/>
        </w:rPr>
        <w:t>在运营期内开展的全部商业运营项目应满足合同约定要求，以文</w:t>
      </w:r>
      <w:r>
        <w:rPr>
          <w:rFonts w:ascii="宋体" w:eastAsia="宋体" w:hAnsi="宋体" w:cs="宋体" w:hint="eastAsia"/>
          <w:spacing w:val="-6"/>
          <w:kern w:val="2"/>
          <w:lang w:eastAsia="zh-CN"/>
        </w:rPr>
        <w:t>体服务为主。</w:t>
      </w:r>
    </w:p>
    <w:p>
      <w:pPr>
        <w:widowControl w:val="0"/>
        <w:kinsoku w:val="0"/>
        <w:autoSpaceDE w:val="0"/>
        <w:autoSpaceDN w:val="0"/>
        <w:adjustRightInd w:val="0"/>
        <w:snapToGrid w:val="0"/>
        <w:spacing w:before="98" w:line="281" w:lineRule="auto"/>
        <w:ind w:right="163" w:firstLine="480" w:firstLineChars="200"/>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(3)每年定期考核的具体绩效考核指标由</w:t>
      </w:r>
      <w:r>
        <w:rPr>
          <w:rFonts w:ascii="宋体" w:eastAsia="宋体" w:hAnsi="宋体" w:cs="宋体" w:hint="eastAsia"/>
          <w:kern w:val="2"/>
          <w:lang w:eastAsia="zh-CN"/>
        </w:rPr>
        <w:t>甲方</w:t>
      </w:r>
      <w:r>
        <w:rPr>
          <w:rFonts w:ascii="宋体" w:eastAsia="宋体" w:hAnsi="宋体" w:cs="宋体" w:hint="eastAsia"/>
          <w:kern w:val="2"/>
          <w:lang w:eastAsia="zh-CN"/>
        </w:rPr>
        <w:t>按照上述相关规范性文件或政策要求制定，如《广东省地市、县(市、区)公</w:t>
      </w:r>
      <w:r>
        <w:rPr>
          <w:rFonts w:ascii="宋体" w:eastAsia="宋体" w:hAnsi="宋体" w:cs="宋体" w:hint="eastAsia"/>
          <w:spacing w:val="-1"/>
          <w:kern w:val="2"/>
          <w:lang w:eastAsia="zh-CN"/>
        </w:rPr>
        <w:t>共文化服务评价指标体系(2022年</w:t>
      </w:r>
      <w:r>
        <w:rPr>
          <w:rFonts w:ascii="宋体" w:eastAsia="宋体" w:hAnsi="宋体" w:cs="宋体" w:hint="eastAsia"/>
          <w:spacing w:val="1"/>
          <w:kern w:val="2"/>
          <w:lang w:eastAsia="zh-CN"/>
        </w:rPr>
        <w:t>度)的通知》、《广东省文化和旅游厅关千开展第十次广东省乡镇（街道）综合文化站</w:t>
      </w:r>
      <w:r>
        <w:rPr>
          <w:rFonts w:ascii="宋体" w:eastAsia="宋体" w:hAnsi="宋体" w:cs="宋体" w:hint="eastAsia"/>
          <w:spacing w:val="2"/>
          <w:kern w:val="2"/>
          <w:lang w:eastAsia="zh-CN"/>
        </w:rPr>
        <w:t>评估定级工作的通知》（粤文旅公〔2023〕94号）、《深圳市公共文化服务实施标准</w:t>
      </w:r>
      <w:r>
        <w:rPr>
          <w:rFonts w:ascii="宋体" w:eastAsia="宋体" w:hAnsi="宋体" w:cs="宋体" w:hint="eastAsia"/>
          <w:kern w:val="2"/>
          <w:lang w:eastAsia="zh-CN"/>
        </w:rPr>
        <w:t>（2022-2025年）》的通知（深文〔2022〕320号）等文件，</w:t>
      </w:r>
      <w:r>
        <w:rPr>
          <w:rFonts w:ascii="宋体" w:eastAsia="宋体" w:hAnsi="宋体" w:cs="宋体" w:hint="eastAsia"/>
          <w:kern w:val="2"/>
          <w:lang w:eastAsia="zh-CN"/>
        </w:rPr>
        <w:t>乙方</w:t>
      </w:r>
      <w:r>
        <w:rPr>
          <w:rFonts w:ascii="宋体" w:eastAsia="宋体" w:hAnsi="宋体" w:cs="宋体" w:hint="eastAsia"/>
          <w:kern w:val="2"/>
          <w:lang w:eastAsia="zh-CN"/>
        </w:rPr>
        <w:t>每年绩效考</w:t>
      </w:r>
      <w:r>
        <w:rPr>
          <w:rFonts w:ascii="宋体" w:eastAsia="宋体" w:hAnsi="宋体" w:cs="宋体" w:hint="eastAsia"/>
          <w:spacing w:val="-3"/>
          <w:kern w:val="2"/>
          <w:lang w:eastAsia="zh-CN"/>
        </w:rPr>
        <w:t>核须取得</w:t>
      </w:r>
      <w:r>
        <w:rPr>
          <w:rFonts w:ascii="宋体" w:eastAsia="宋体" w:hAnsi="宋体" w:cs="宋体" w:hint="eastAsia"/>
          <w:spacing w:val="-3"/>
          <w:kern w:val="2"/>
          <w:lang w:eastAsia="zh-CN"/>
        </w:rPr>
        <w:t>甲方</w:t>
      </w:r>
      <w:r>
        <w:rPr>
          <w:rFonts w:ascii="宋体" w:eastAsia="宋体" w:hAnsi="宋体" w:cs="宋体" w:hint="eastAsia"/>
          <w:spacing w:val="-3"/>
          <w:kern w:val="2"/>
          <w:lang w:eastAsia="zh-CN"/>
        </w:rPr>
        <w:t>要求的合格分值。</w:t>
      </w:r>
    </w:p>
    <w:p>
      <w:pPr>
        <w:widowControl w:val="0"/>
        <w:kinsoku w:val="0"/>
        <w:autoSpaceDE w:val="0"/>
        <w:autoSpaceDN w:val="0"/>
        <w:adjustRightInd w:val="0"/>
        <w:snapToGrid w:val="0"/>
        <w:spacing w:before="34" w:line="295" w:lineRule="auto"/>
        <w:ind w:right="163" w:firstLine="480" w:firstLineChars="200"/>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(4)</w:t>
      </w:r>
      <w:r>
        <w:rPr>
          <w:rFonts w:ascii="宋体" w:eastAsia="宋体" w:hAnsi="宋体" w:cs="宋体" w:hint="eastAsia"/>
          <w:kern w:val="2"/>
          <w:lang w:eastAsia="zh-CN"/>
        </w:rPr>
        <w:t>甲方</w:t>
      </w:r>
      <w:r>
        <w:rPr>
          <w:rFonts w:ascii="宋体" w:eastAsia="宋体" w:hAnsi="宋体" w:cs="宋体" w:hint="eastAsia"/>
          <w:kern w:val="2"/>
          <w:lang w:eastAsia="zh-CN"/>
        </w:rPr>
        <w:t>提前告知</w:t>
      </w:r>
      <w:r>
        <w:rPr>
          <w:rFonts w:ascii="宋体" w:eastAsia="宋体" w:hAnsi="宋体" w:cs="宋体" w:hint="eastAsia"/>
          <w:kern w:val="2"/>
          <w:lang w:eastAsia="zh-CN"/>
        </w:rPr>
        <w:t>乙方</w:t>
      </w:r>
      <w:r>
        <w:rPr>
          <w:rFonts w:ascii="宋体" w:eastAsia="宋体" w:hAnsi="宋体" w:cs="宋体" w:hint="eastAsia"/>
          <w:kern w:val="2"/>
          <w:lang w:eastAsia="zh-CN"/>
        </w:rPr>
        <w:t>每年具体绩效考核指标及考核合格分值，定</w:t>
      </w:r>
      <w:r>
        <w:rPr>
          <w:rFonts w:ascii="宋体" w:eastAsia="宋体" w:hAnsi="宋体" w:cs="宋体" w:hint="eastAsia"/>
          <w:spacing w:val="-3"/>
          <w:kern w:val="2"/>
          <w:lang w:eastAsia="zh-CN"/>
        </w:rPr>
        <w:t>期考核具体绩效考核指标的下达应提前不少于180天</w:t>
      </w:r>
      <w:r>
        <w:rPr>
          <w:rFonts w:ascii="宋体" w:eastAsia="宋体" w:hAnsi="宋体" w:cs="宋体" w:hint="eastAsia"/>
          <w:spacing w:val="1"/>
          <w:kern w:val="2"/>
          <w:lang w:eastAsia="zh-CN"/>
        </w:rPr>
        <w:t>。如因政策变动或辖区民</w:t>
      </w:r>
      <w:r>
        <w:rPr>
          <w:rFonts w:ascii="宋体" w:eastAsia="宋体" w:hAnsi="宋体" w:cs="宋体" w:hint="eastAsia"/>
          <w:kern w:val="2"/>
          <w:lang w:eastAsia="zh-CN"/>
        </w:rPr>
        <w:t>众文化服务需求需要紧急调整，</w:t>
      </w:r>
      <w:r>
        <w:rPr>
          <w:rFonts w:ascii="宋体" w:eastAsia="宋体" w:hAnsi="宋体" w:cs="宋体" w:hint="eastAsia"/>
          <w:kern w:val="2"/>
          <w:lang w:eastAsia="zh-CN"/>
        </w:rPr>
        <w:t>甲方</w:t>
      </w:r>
      <w:r>
        <w:rPr>
          <w:rFonts w:ascii="宋体" w:eastAsia="宋体" w:hAnsi="宋体" w:cs="宋体" w:hint="eastAsia"/>
          <w:spacing w:val="-1"/>
          <w:kern w:val="2"/>
          <w:lang w:eastAsia="zh-CN"/>
        </w:rPr>
        <w:t>有权进行调整，但上述调整应</w:t>
      </w:r>
      <w:r>
        <w:rPr>
          <w:rFonts w:ascii="宋体" w:eastAsia="宋体" w:hAnsi="宋体" w:cs="宋体" w:hint="eastAsia"/>
          <w:spacing w:val="-1"/>
          <w:kern w:val="2"/>
          <w:lang w:eastAsia="zh-CN"/>
        </w:rPr>
        <w:t>尽量</w:t>
      </w:r>
      <w:r>
        <w:rPr>
          <w:rFonts w:ascii="宋体" w:eastAsia="宋体" w:hAnsi="宋体" w:cs="宋体" w:hint="eastAsia"/>
          <w:spacing w:val="-1"/>
          <w:kern w:val="2"/>
          <w:lang w:eastAsia="zh-CN"/>
        </w:rPr>
        <w:t>避免使</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的运营效益发</w:t>
      </w:r>
      <w:r>
        <w:rPr>
          <w:rFonts w:ascii="宋体" w:eastAsia="宋体" w:hAnsi="宋体" w:cs="宋体" w:hint="eastAsia"/>
          <w:spacing w:val="-2"/>
          <w:kern w:val="2"/>
          <w:lang w:eastAsia="zh-CN"/>
        </w:rPr>
        <w:t>生变化。</w:t>
      </w:r>
    </w:p>
    <w:p>
      <w:pPr>
        <w:widowControl w:val="0"/>
        <w:kinsoku w:val="0"/>
        <w:autoSpaceDE w:val="0"/>
        <w:autoSpaceDN w:val="0"/>
        <w:adjustRightInd w:val="0"/>
        <w:snapToGrid w:val="0"/>
        <w:spacing w:before="31" w:line="294" w:lineRule="auto"/>
        <w:ind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本项目绩效考核主要包括“基础工作考评”、“日常管理考评”、“社会监</w:t>
      </w:r>
      <w:r>
        <w:rPr>
          <w:rFonts w:ascii="宋体" w:eastAsia="宋体" w:hAnsi="宋体" w:cs="宋体" w:hint="eastAsia"/>
          <w:spacing w:val="1"/>
          <w:kern w:val="2"/>
          <w:lang w:eastAsia="zh-CN"/>
        </w:rPr>
        <w:t>督考评”</w:t>
      </w:r>
      <w:r>
        <w:rPr>
          <w:rFonts w:ascii="宋体" w:eastAsia="宋体" w:hAnsi="宋体" w:cs="宋体" w:hint="eastAsia"/>
          <w:spacing w:val="-2"/>
          <w:kern w:val="2"/>
          <w:lang w:eastAsia="zh-CN"/>
        </w:rPr>
        <w:t>三个方面，绩效考核指标参考附表具体要求以</w:t>
      </w:r>
      <w:r>
        <w:rPr>
          <w:rFonts w:ascii="宋体" w:eastAsia="宋体" w:hAnsi="宋体" w:cs="宋体" w:hint="eastAsia"/>
          <w:spacing w:val="-2"/>
          <w:kern w:val="2"/>
          <w:lang w:eastAsia="zh-CN"/>
        </w:rPr>
        <w:t>甲方</w:t>
      </w:r>
      <w:r>
        <w:rPr>
          <w:rFonts w:ascii="宋体" w:eastAsia="宋体" w:hAnsi="宋体" w:cs="宋体" w:hint="eastAsia"/>
          <w:spacing w:val="-2"/>
          <w:kern w:val="2"/>
          <w:lang w:eastAsia="zh-CN"/>
        </w:rPr>
        <w:t>和</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签订的《委托运营合</w:t>
      </w:r>
      <w:r>
        <w:rPr>
          <w:rFonts w:ascii="宋体" w:eastAsia="宋体" w:hAnsi="宋体" w:cs="宋体" w:hint="eastAsia"/>
          <w:spacing w:val="-7"/>
          <w:kern w:val="2"/>
          <w:lang w:eastAsia="zh-CN"/>
        </w:rPr>
        <w:t>同》为准。</w:t>
      </w:r>
    </w:p>
    <w:p>
      <w:pPr>
        <w:widowControl w:val="0"/>
        <w:spacing w:line="600" w:lineRule="exact"/>
        <w:ind w:firstLine="480" w:firstLineChars="200"/>
        <w:jc w:val="center"/>
        <w:rPr>
          <w:rFonts w:ascii="宋体" w:eastAsia="宋体" w:hAnsi="宋体" w:cs="宋体" w:hint="eastAsia"/>
          <w:b/>
          <w:bCs/>
          <w:spacing w:val="-6"/>
          <w:kern w:val="2"/>
          <w:lang w:eastAsia="zh-CN"/>
        </w:rPr>
      </w:pPr>
      <w:bookmarkStart w:id="13" w:name="bookmark26"/>
      <w:bookmarkEnd w:id="13"/>
      <w:bookmarkStart w:id="14" w:name="bookmark27"/>
      <w:bookmarkEnd w:id="14"/>
      <w:r>
        <w:rPr>
          <w:rFonts w:ascii="宋体" w:eastAsia="宋体" w:hAnsi="宋体" w:cs="宋体" w:hint="eastAsia"/>
          <w:b/>
          <w:bCs/>
          <w:spacing w:val="-6"/>
          <w:kern w:val="2"/>
          <w:lang w:eastAsia="zh-CN"/>
        </w:rPr>
        <w:t>四、技术条款</w:t>
      </w:r>
    </w:p>
    <w:p>
      <w:pPr>
        <w:widowControl w:val="0"/>
        <w:kinsoku w:val="0"/>
        <w:autoSpaceDE w:val="0"/>
        <w:autoSpaceDN w:val="0"/>
        <w:adjustRightInd w:val="0"/>
        <w:snapToGrid w:val="0"/>
        <w:spacing w:before="300" w:line="221" w:lineRule="auto"/>
        <w:ind w:left="466"/>
        <w:jc w:val="both"/>
        <w:textAlignment w:val="baseline"/>
        <w:rPr>
          <w:rFonts w:ascii="宋体" w:eastAsia="宋体" w:hAnsi="宋体" w:cs="宋体" w:hint="eastAsia"/>
          <w:kern w:val="2"/>
          <w:lang w:eastAsia="zh-CN"/>
        </w:rPr>
      </w:pPr>
      <w:r>
        <w:rPr>
          <w:rFonts w:ascii="宋体" w:eastAsia="宋体" w:hAnsi="宋体" w:cs="宋体" w:hint="eastAsia"/>
          <w:b/>
          <w:bCs/>
          <w:spacing w:val="-4"/>
          <w:kern w:val="2"/>
          <w:lang w:eastAsia="zh-CN"/>
        </w:rPr>
        <w:t>一、项目背景</w:t>
      </w:r>
    </w:p>
    <w:p>
      <w:pPr>
        <w:widowControl w:val="0"/>
        <w:kinsoku w:val="0"/>
        <w:autoSpaceDE w:val="0"/>
        <w:autoSpaceDN w:val="0"/>
        <w:adjustRightInd w:val="0"/>
        <w:snapToGrid w:val="0"/>
        <w:spacing w:before="97" w:line="225" w:lineRule="auto"/>
        <w:ind w:left="503"/>
        <w:jc w:val="both"/>
        <w:textAlignment w:val="baseline"/>
        <w:rPr>
          <w:rFonts w:ascii="宋体" w:eastAsia="宋体" w:hAnsi="宋体" w:cs="宋体" w:hint="eastAsia"/>
          <w:kern w:val="2"/>
          <w:lang w:eastAsia="zh-CN"/>
        </w:rPr>
      </w:pPr>
      <w:r>
        <w:rPr>
          <w:rFonts w:ascii="宋体" w:eastAsia="宋体" w:hAnsi="宋体" w:cs="宋体" w:hint="eastAsia"/>
          <w:spacing w:val="-8"/>
          <w:kern w:val="2"/>
          <w:lang w:eastAsia="zh-CN"/>
        </w:rPr>
        <w:t>（一）</w:t>
      </w:r>
      <w:r>
        <w:rPr>
          <w:rFonts w:ascii="宋体" w:eastAsia="宋体" w:hAnsi="宋体" w:cs="宋体" w:hint="eastAsia"/>
          <w:spacing w:val="-8"/>
          <w:kern w:val="2"/>
          <w:lang w:eastAsia="zh-CN"/>
        </w:rPr>
        <w:t>背景情况</w:t>
      </w:r>
    </w:p>
    <w:p>
      <w:pPr>
        <w:widowControl w:val="0"/>
        <w:kinsoku w:val="0"/>
        <w:autoSpaceDE w:val="0"/>
        <w:autoSpaceDN w:val="0"/>
        <w:adjustRightInd w:val="0"/>
        <w:snapToGrid w:val="0"/>
        <w:spacing w:before="91" w:line="220" w:lineRule="auto"/>
        <w:ind w:left="478"/>
        <w:jc w:val="both"/>
        <w:textAlignment w:val="baseline"/>
        <w:rPr>
          <w:rFonts w:ascii="宋体" w:eastAsia="宋体" w:hAnsi="宋体" w:cs="宋体" w:hint="eastAsia"/>
          <w:kern w:val="2"/>
          <w:lang w:eastAsia="zh-CN"/>
        </w:rPr>
      </w:pPr>
      <w:r>
        <w:rPr>
          <w:rFonts w:ascii="宋体" w:eastAsia="宋体" w:hAnsi="宋体" w:cs="宋体" w:hint="eastAsia"/>
          <w:spacing w:val="-6"/>
          <w:kern w:val="2"/>
          <w:lang w:eastAsia="zh-CN"/>
        </w:rPr>
        <w:t>1、项目名称：翠竹街道综合文体中心社会化运营项目</w:t>
      </w:r>
    </w:p>
    <w:p>
      <w:pPr>
        <w:widowControl w:val="0"/>
        <w:kinsoku w:val="0"/>
        <w:autoSpaceDE w:val="0"/>
        <w:autoSpaceDN w:val="0"/>
        <w:adjustRightInd w:val="0"/>
        <w:snapToGrid w:val="0"/>
        <w:spacing w:before="98" w:line="219" w:lineRule="auto"/>
        <w:ind w:left="465"/>
        <w:jc w:val="both"/>
        <w:textAlignment w:val="baseline"/>
        <w:rPr>
          <w:rFonts w:ascii="宋体" w:eastAsia="宋体" w:hAnsi="宋体" w:cs="宋体" w:hint="eastAsia"/>
          <w:kern w:val="2"/>
          <w:lang w:eastAsia="zh-CN"/>
        </w:rPr>
      </w:pPr>
      <w:r>
        <w:rPr>
          <w:rFonts w:ascii="宋体" w:eastAsia="宋体" w:hAnsi="宋体" w:cs="宋体" w:hint="eastAsia"/>
          <w:spacing w:val="-3"/>
          <w:kern w:val="2"/>
          <w:lang w:eastAsia="zh-CN"/>
        </w:rPr>
        <w:t>2、</w:t>
      </w:r>
      <w:r>
        <w:rPr>
          <w:rFonts w:ascii="宋体" w:eastAsia="宋体" w:hAnsi="宋体" w:cs="宋体" w:hint="eastAsia"/>
          <w:spacing w:val="-3"/>
          <w:kern w:val="2"/>
          <w:lang w:eastAsia="zh-CN"/>
        </w:rPr>
        <w:t>甲乙方</w:t>
      </w:r>
    </w:p>
    <w:p>
      <w:pPr>
        <w:widowControl w:val="0"/>
        <w:kinsoku w:val="0"/>
        <w:autoSpaceDE w:val="0"/>
        <w:autoSpaceDN w:val="0"/>
        <w:adjustRightInd w:val="0"/>
        <w:snapToGrid w:val="0"/>
        <w:spacing w:before="99" w:line="219" w:lineRule="auto"/>
        <w:ind w:left="467"/>
        <w:jc w:val="both"/>
        <w:textAlignment w:val="baseline"/>
        <w:rPr>
          <w:rFonts w:ascii="宋体" w:eastAsia="宋体" w:hAnsi="宋体" w:cs="宋体" w:hint="eastAsia"/>
          <w:spacing w:val="-2"/>
          <w:kern w:val="2"/>
          <w:lang w:eastAsia="zh-CN"/>
        </w:rPr>
      </w:pPr>
      <w:r>
        <w:rPr>
          <w:rFonts w:ascii="宋体" w:eastAsia="宋体" w:hAnsi="宋体" w:cs="宋体" w:hint="eastAsia"/>
          <w:spacing w:val="-2"/>
          <w:kern w:val="2"/>
          <w:lang w:eastAsia="zh-CN"/>
        </w:rPr>
        <w:t>甲方</w:t>
      </w:r>
      <w:r>
        <w:rPr>
          <w:rFonts w:ascii="宋体" w:eastAsia="宋体" w:hAnsi="宋体" w:cs="宋体" w:hint="eastAsia"/>
          <w:spacing w:val="-2"/>
          <w:kern w:val="2"/>
          <w:lang w:eastAsia="zh-CN"/>
        </w:rPr>
        <w:t>：深圳市罗湖区翠竹街道办事处。</w:t>
      </w:r>
    </w:p>
    <w:p>
      <w:pPr>
        <w:widowControl w:val="0"/>
        <w:kinsoku w:val="0"/>
        <w:autoSpaceDE w:val="0"/>
        <w:autoSpaceDN w:val="0"/>
        <w:adjustRightInd w:val="0"/>
        <w:snapToGrid w:val="0"/>
        <w:spacing w:before="99" w:line="219" w:lineRule="auto"/>
        <w:ind w:left="467"/>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乙方：项目中标方。</w:t>
      </w:r>
    </w:p>
    <w:p>
      <w:pPr>
        <w:widowControl w:val="0"/>
        <w:kinsoku w:val="0"/>
        <w:autoSpaceDE w:val="0"/>
        <w:autoSpaceDN w:val="0"/>
        <w:adjustRightInd w:val="0"/>
        <w:snapToGrid w:val="0"/>
        <w:spacing w:before="99" w:line="220" w:lineRule="auto"/>
        <w:ind w:left="466"/>
        <w:jc w:val="both"/>
        <w:textAlignment w:val="baseline"/>
        <w:rPr>
          <w:rFonts w:ascii="宋体" w:eastAsia="宋体" w:hAnsi="宋体" w:cs="宋体" w:hint="eastAsia"/>
          <w:kern w:val="2"/>
          <w:lang w:eastAsia="zh-CN"/>
        </w:rPr>
      </w:pPr>
      <w:r>
        <w:rPr>
          <w:rFonts w:ascii="宋体" w:eastAsia="宋体" w:hAnsi="宋体" w:cs="宋体" w:hint="eastAsia"/>
          <w:spacing w:val="-3"/>
          <w:kern w:val="2"/>
          <w:lang w:eastAsia="zh-CN"/>
        </w:rPr>
        <w:t>3、项目提出背景</w:t>
      </w:r>
    </w:p>
    <w:p>
      <w:pPr>
        <w:widowControl w:val="0"/>
        <w:kinsoku w:val="0"/>
        <w:autoSpaceDE w:val="0"/>
        <w:autoSpaceDN w:val="0"/>
        <w:adjustRightInd w:val="0"/>
        <w:snapToGrid w:val="0"/>
        <w:spacing w:before="101" w:line="296" w:lineRule="auto"/>
        <w:ind w:left="21" w:right="227" w:firstLine="441"/>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作为本项目的主管单位，结合该项目实际情况、市民需求，</w:t>
      </w:r>
      <w:r>
        <w:rPr>
          <w:rFonts w:ascii="宋体" w:eastAsia="宋体" w:hAnsi="宋体" w:cs="宋体" w:hint="eastAsia"/>
          <w:spacing w:val="-1"/>
          <w:kern w:val="2"/>
          <w:lang w:eastAsia="zh-CN"/>
        </w:rPr>
        <w:t>决定以委托运营模式</w:t>
      </w:r>
      <w:r>
        <w:rPr>
          <w:rFonts w:ascii="宋体" w:eastAsia="宋体" w:hAnsi="宋体" w:cs="宋体" w:hint="eastAsia"/>
          <w:kern w:val="2"/>
          <w:lang w:eastAsia="zh-CN"/>
        </w:rPr>
        <w:t>引入社会力量参与该项目的运营管理，</w:t>
      </w:r>
      <w:r>
        <w:rPr>
          <w:rFonts w:ascii="宋体" w:eastAsia="宋体" w:hAnsi="宋体" w:cs="宋体" w:hint="eastAsia"/>
          <w:kern w:val="2"/>
          <w:lang w:eastAsia="zh-CN"/>
        </w:rPr>
        <w:t>乙方</w:t>
      </w:r>
      <w:r>
        <w:rPr>
          <w:rFonts w:ascii="宋体" w:eastAsia="宋体" w:hAnsi="宋体" w:cs="宋体" w:hint="eastAsia"/>
          <w:kern w:val="2"/>
          <w:lang w:eastAsia="zh-CN"/>
        </w:rPr>
        <w:t>可在向辖区居</w:t>
      </w:r>
      <w:r>
        <w:rPr>
          <w:rFonts w:ascii="宋体" w:eastAsia="宋体" w:hAnsi="宋体" w:cs="宋体" w:hint="eastAsia"/>
          <w:spacing w:val="-1"/>
          <w:kern w:val="2"/>
          <w:lang w:eastAsia="zh-CN"/>
        </w:rPr>
        <w:t>民提供满足需求的公益文体服务的同时，可以低于市场价的方式开展配</w:t>
      </w:r>
      <w:r>
        <w:rPr>
          <w:rFonts w:ascii="宋体" w:eastAsia="宋体" w:hAnsi="宋体" w:cs="宋体" w:hint="eastAsia"/>
          <w:spacing w:val="-2"/>
          <w:kern w:val="2"/>
          <w:lang w:eastAsia="zh-CN"/>
        </w:rPr>
        <w:t>套文体经营性项目。</w:t>
      </w:r>
    </w:p>
    <w:p>
      <w:pPr>
        <w:widowControl w:val="0"/>
        <w:kinsoku w:val="0"/>
        <w:autoSpaceDE w:val="0"/>
        <w:autoSpaceDN w:val="0"/>
        <w:adjustRightInd w:val="0"/>
        <w:snapToGrid w:val="0"/>
        <w:spacing w:before="34" w:line="225" w:lineRule="auto"/>
        <w:ind w:left="477"/>
        <w:jc w:val="left"/>
        <w:textAlignment w:val="baseline"/>
        <w:rPr>
          <w:rFonts w:ascii="宋体" w:eastAsia="宋体" w:hAnsi="宋体" w:cs="宋体" w:hint="eastAsia"/>
          <w:kern w:val="2"/>
          <w:lang w:eastAsia="zh-CN"/>
        </w:rPr>
      </w:pPr>
      <w:r>
        <w:rPr>
          <w:rFonts w:ascii="宋体" w:eastAsia="宋体" w:hAnsi="宋体" w:cs="宋体" w:hint="eastAsia"/>
          <w:spacing w:val="-3"/>
          <w:kern w:val="2"/>
          <w:lang w:eastAsia="zh-CN"/>
        </w:rPr>
        <w:t>（二）项目运营模式和内容</w:t>
      </w:r>
    </w:p>
    <w:p>
      <w:pPr>
        <w:widowControl w:val="0"/>
        <w:kinsoku w:val="0"/>
        <w:autoSpaceDE w:val="0"/>
        <w:autoSpaceDN w:val="0"/>
        <w:adjustRightInd w:val="0"/>
        <w:snapToGrid w:val="0"/>
        <w:spacing w:before="33" w:line="343" w:lineRule="auto"/>
        <w:ind w:left="39" w:firstLine="422"/>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根据对周边市场的判断，本项目需求长期稳定，采用委托运营模式，可以满足人民</w:t>
      </w:r>
      <w:r>
        <w:rPr>
          <w:rFonts w:ascii="宋体" w:eastAsia="宋体" w:hAnsi="宋体" w:cs="宋体" w:hint="eastAsia"/>
          <w:spacing w:val="-6"/>
          <w:kern w:val="2"/>
          <w:lang w:eastAsia="zh-CN"/>
        </w:rPr>
        <w:t>日益旺盛的公共文化需求，通过引入专业社会资本，可以改善文体公配物业的</w:t>
      </w:r>
      <w:r>
        <w:rPr>
          <w:rFonts w:ascii="宋体" w:eastAsia="宋体" w:hAnsi="宋体" w:cs="宋体" w:hint="eastAsia"/>
          <w:spacing w:val="-7"/>
          <w:kern w:val="2"/>
          <w:lang w:eastAsia="zh-CN"/>
        </w:rPr>
        <w:t>经营管理，</w:t>
      </w:r>
      <w:r>
        <w:rPr>
          <w:rFonts w:ascii="宋体" w:eastAsia="宋体" w:hAnsi="宋体" w:cs="宋体" w:hint="eastAsia"/>
          <w:spacing w:val="-2"/>
          <w:kern w:val="2"/>
          <w:lang w:eastAsia="zh-CN"/>
        </w:rPr>
        <w:t>降低运行成本，提高服务质量，有效提升文化事业的运营效率。</w:t>
      </w:r>
    </w:p>
    <w:p>
      <w:pPr>
        <w:widowControl w:val="0"/>
        <w:kinsoku w:val="0"/>
        <w:autoSpaceDE w:val="0"/>
        <w:autoSpaceDN w:val="0"/>
        <w:adjustRightInd w:val="0"/>
        <w:snapToGrid w:val="0"/>
        <w:spacing w:before="35" w:line="347" w:lineRule="auto"/>
        <w:ind w:left="20" w:right="60" w:firstLine="442"/>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本项目土地使用权及资产归属</w:t>
      </w:r>
      <w:r>
        <w:rPr>
          <w:rFonts w:ascii="宋体" w:eastAsia="宋体" w:hAnsi="宋体" w:cs="宋体" w:hint="eastAsia"/>
          <w:spacing w:val="-2"/>
          <w:kern w:val="2"/>
          <w:lang w:eastAsia="zh-CN"/>
        </w:rPr>
        <w:t>甲方</w:t>
      </w:r>
      <w:r>
        <w:rPr>
          <w:rFonts w:ascii="宋体" w:eastAsia="宋体" w:hAnsi="宋体" w:cs="宋体" w:hint="eastAsia"/>
          <w:spacing w:val="-2"/>
          <w:kern w:val="2"/>
          <w:lang w:eastAsia="zh-CN"/>
        </w:rPr>
        <w:t>所有，</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仅拥有项目资产经营权，并负责相应的运营管理和维护，</w:t>
      </w:r>
      <w:r>
        <w:rPr>
          <w:rFonts w:ascii="宋体" w:eastAsia="宋体" w:hAnsi="宋体" w:cs="宋体" w:hint="eastAsia"/>
          <w:spacing w:val="-2"/>
          <w:kern w:val="2"/>
          <w:lang w:eastAsia="zh-CN"/>
        </w:rPr>
        <w:t>甲方</w:t>
      </w:r>
      <w:r>
        <w:rPr>
          <w:rFonts w:ascii="宋体" w:eastAsia="宋体" w:hAnsi="宋体" w:cs="宋体" w:hint="eastAsia"/>
          <w:spacing w:val="-2"/>
          <w:kern w:val="2"/>
          <w:lang w:eastAsia="zh-CN"/>
        </w:rPr>
        <w:t>按照协议约定期限，仅将项目场地无偿提供给</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使用，不对项目建筑主体的资产权属进行移交</w:t>
      </w:r>
      <w:r>
        <w:rPr>
          <w:rFonts w:ascii="宋体" w:eastAsia="宋体" w:hAnsi="宋体" w:cs="宋体" w:hint="eastAsia"/>
          <w:spacing w:val="-2"/>
          <w:kern w:val="2"/>
          <w:lang w:eastAsia="zh-CN"/>
        </w:rPr>
        <w:t>，</w:t>
      </w:r>
      <w:r>
        <w:rPr>
          <w:rFonts w:ascii="宋体" w:eastAsia="宋体" w:hAnsi="宋体" w:cs="宋体" w:hint="eastAsia"/>
          <w:spacing w:val="-2"/>
          <w:kern w:val="2"/>
          <w:lang w:eastAsia="zh-CN"/>
        </w:rPr>
        <w:t>引入具有综合实力、具备行业先进技术经验和丰富运营管理经验的社会资本开展合作，由</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负责本项目的</w:t>
      </w:r>
      <w:r>
        <w:rPr>
          <w:rFonts w:ascii="宋体" w:eastAsia="宋体" w:hAnsi="宋体" w:cs="宋体" w:hint="eastAsia"/>
          <w:spacing w:val="-7"/>
          <w:kern w:val="2"/>
          <w:lang w:eastAsia="zh-CN"/>
        </w:rPr>
        <w:t>具体实施。</w:t>
      </w:r>
    </w:p>
    <w:p>
      <w:pPr>
        <w:widowControl w:val="0"/>
        <w:kinsoku w:val="0"/>
        <w:autoSpaceDE w:val="0"/>
        <w:autoSpaceDN w:val="0"/>
        <w:adjustRightInd w:val="0"/>
        <w:snapToGrid w:val="0"/>
        <w:spacing w:before="30" w:line="225" w:lineRule="auto"/>
        <w:ind w:left="503"/>
        <w:jc w:val="both"/>
        <w:textAlignment w:val="baseline"/>
        <w:rPr>
          <w:rFonts w:ascii="宋体" w:eastAsia="宋体" w:hAnsi="宋体" w:cs="宋体" w:hint="eastAsia"/>
          <w:kern w:val="2"/>
          <w:lang w:eastAsia="zh-CN"/>
        </w:rPr>
      </w:pPr>
      <w:r>
        <w:rPr>
          <w:rFonts w:ascii="宋体" w:eastAsia="宋体" w:hAnsi="宋体" w:cs="宋体" w:hint="eastAsia"/>
          <w:spacing w:val="-6"/>
          <w:kern w:val="2"/>
          <w:lang w:eastAsia="zh-CN"/>
        </w:rPr>
        <w:t>（三）</w:t>
      </w:r>
      <w:r>
        <w:rPr>
          <w:rFonts w:ascii="宋体" w:eastAsia="宋体" w:hAnsi="宋体" w:cs="宋体" w:hint="eastAsia"/>
          <w:spacing w:val="-6"/>
          <w:kern w:val="2"/>
          <w:lang w:eastAsia="zh-CN"/>
        </w:rPr>
        <w:t>项目运营条件</w:t>
      </w:r>
    </w:p>
    <w:p>
      <w:pPr>
        <w:widowControl w:val="0"/>
        <w:kinsoku w:val="0"/>
        <w:autoSpaceDE w:val="0"/>
        <w:autoSpaceDN w:val="0"/>
        <w:adjustRightInd w:val="0"/>
        <w:snapToGrid w:val="0"/>
        <w:spacing w:before="114" w:line="297" w:lineRule="auto"/>
        <w:ind w:left="21" w:right="196" w:firstLine="444"/>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项目运营期内，</w:t>
      </w:r>
      <w:r>
        <w:rPr>
          <w:rFonts w:ascii="宋体" w:eastAsia="宋体" w:hAnsi="宋体" w:cs="宋体" w:hint="eastAsia"/>
          <w:kern w:val="2"/>
          <w:lang w:eastAsia="zh-CN"/>
        </w:rPr>
        <w:t>甲方</w:t>
      </w:r>
      <w:r>
        <w:rPr>
          <w:rFonts w:ascii="宋体" w:eastAsia="宋体" w:hAnsi="宋体" w:cs="宋体" w:hint="eastAsia"/>
          <w:kern w:val="2"/>
          <w:lang w:eastAsia="zh-CN"/>
        </w:rPr>
        <w:t>将项目资产的运营权</w:t>
      </w:r>
      <w:r>
        <w:rPr>
          <w:rFonts w:ascii="宋体" w:eastAsia="宋体" w:hAnsi="宋体" w:cs="宋体" w:hint="eastAsia"/>
          <w:spacing w:val="-1"/>
          <w:kern w:val="2"/>
          <w:lang w:eastAsia="zh-CN"/>
        </w:rPr>
        <w:t>交付给</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，由</w:t>
      </w:r>
      <w:r>
        <w:rPr>
          <w:rFonts w:ascii="宋体" w:eastAsia="宋体" w:hAnsi="宋体" w:cs="宋体" w:hint="eastAsia"/>
          <w:spacing w:val="-1"/>
          <w:kern w:val="2"/>
          <w:lang w:eastAsia="zh-CN"/>
        </w:rPr>
        <w:t>乙方</w:t>
      </w:r>
      <w:r>
        <w:rPr>
          <w:rFonts w:ascii="宋体" w:eastAsia="宋体" w:hAnsi="宋体" w:cs="宋体" w:hint="eastAsia"/>
          <w:kern w:val="2"/>
          <w:lang w:eastAsia="zh-CN"/>
        </w:rPr>
        <w:t>负责本项目运营期内的前期装修、设备购置、运营维护管</w:t>
      </w:r>
      <w:r>
        <w:rPr>
          <w:rFonts w:ascii="宋体" w:eastAsia="宋体" w:hAnsi="宋体" w:cs="宋体" w:hint="eastAsia"/>
          <w:spacing w:val="-1"/>
          <w:kern w:val="2"/>
          <w:lang w:eastAsia="zh-CN"/>
        </w:rPr>
        <w:t>理工作（具体方案需</w:t>
      </w:r>
      <w:r>
        <w:rPr>
          <w:rFonts w:ascii="宋体" w:eastAsia="宋体" w:hAnsi="宋体" w:cs="宋体" w:hint="eastAsia"/>
          <w:kern w:val="2"/>
          <w:lang w:eastAsia="zh-CN"/>
        </w:rPr>
        <w:t>经</w:t>
      </w:r>
      <w:r>
        <w:rPr>
          <w:rFonts w:ascii="宋体" w:eastAsia="宋体" w:hAnsi="宋体" w:cs="宋体" w:hint="eastAsia"/>
          <w:kern w:val="2"/>
          <w:lang w:eastAsia="zh-CN"/>
        </w:rPr>
        <w:t>甲方</w:t>
      </w:r>
      <w:r>
        <w:rPr>
          <w:rFonts w:ascii="宋体" w:eastAsia="宋体" w:hAnsi="宋体" w:cs="宋体" w:hint="eastAsia"/>
          <w:kern w:val="2"/>
          <w:lang w:eastAsia="zh-CN"/>
        </w:rPr>
        <w:t>审核），在符合合同相关约定前提下通过</w:t>
      </w:r>
      <w:r>
        <w:rPr>
          <w:rFonts w:ascii="宋体" w:eastAsia="宋体" w:hAnsi="宋体" w:cs="宋体" w:hint="eastAsia"/>
          <w:spacing w:val="-1"/>
          <w:kern w:val="2"/>
          <w:lang w:eastAsia="zh-CN"/>
        </w:rPr>
        <w:t>自主经营获取合理收益。</w:t>
      </w:r>
      <w:r>
        <w:rPr>
          <w:rFonts w:ascii="宋体" w:eastAsia="宋体" w:hAnsi="宋体" w:cs="宋体" w:hint="eastAsia"/>
          <w:b/>
          <w:bCs/>
          <w:spacing w:val="-1"/>
          <w:kern w:val="2"/>
          <w:lang w:eastAsia="zh-CN"/>
        </w:rPr>
        <w:t>运营</w:t>
      </w:r>
      <w:r>
        <w:rPr>
          <w:rFonts w:ascii="宋体" w:eastAsia="宋体" w:hAnsi="宋体" w:cs="宋体" w:hint="eastAsia"/>
          <w:b/>
          <w:bCs/>
          <w:spacing w:val="-2"/>
          <w:kern w:val="2"/>
          <w:lang w:eastAsia="zh-CN"/>
        </w:rPr>
        <w:t>内容包括但不限于：场地日常维护管理；提供满足要求的公益性文化活动；开展符合</w:t>
      </w:r>
      <w:r>
        <w:rPr>
          <w:rFonts w:ascii="宋体" w:eastAsia="宋体" w:hAnsi="宋体" w:cs="宋体" w:hint="eastAsia"/>
          <w:b/>
          <w:bCs/>
          <w:spacing w:val="-3"/>
          <w:kern w:val="2"/>
          <w:lang w:eastAsia="zh-CN"/>
        </w:rPr>
        <w:t>要求的经营性活动。</w:t>
      </w:r>
    </w:p>
    <w:p>
      <w:pPr>
        <w:widowControl w:val="0"/>
        <w:kinsoku w:val="0"/>
        <w:autoSpaceDE w:val="0"/>
        <w:autoSpaceDN w:val="0"/>
        <w:adjustRightInd w:val="0"/>
        <w:snapToGrid w:val="0"/>
        <w:spacing w:before="71" w:line="226" w:lineRule="auto"/>
        <w:ind w:left="503"/>
        <w:jc w:val="both"/>
        <w:textAlignment w:val="baseline"/>
        <w:rPr>
          <w:rFonts w:ascii="宋体" w:eastAsia="宋体" w:hAnsi="宋体" w:cs="宋体" w:hint="eastAsia"/>
          <w:kern w:val="2"/>
          <w:lang w:eastAsia="zh-CN"/>
        </w:rPr>
      </w:pPr>
      <w:r>
        <w:rPr>
          <w:rFonts w:ascii="宋体" w:eastAsia="宋体" w:hAnsi="宋体" w:cs="宋体" w:hint="eastAsia"/>
          <w:spacing w:val="-6"/>
          <w:kern w:val="2"/>
          <w:lang w:eastAsia="zh-CN"/>
        </w:rPr>
        <w:t>（四）</w:t>
      </w:r>
      <w:r>
        <w:rPr>
          <w:rFonts w:ascii="宋体" w:eastAsia="宋体" w:hAnsi="宋体" w:cs="宋体" w:hint="eastAsia"/>
          <w:spacing w:val="-6"/>
          <w:kern w:val="2"/>
          <w:lang w:eastAsia="zh-CN"/>
        </w:rPr>
        <w:t>投资建设方案</w:t>
      </w:r>
    </w:p>
    <w:p>
      <w:pPr>
        <w:widowControl w:val="0"/>
        <w:kinsoku w:val="0"/>
        <w:autoSpaceDE w:val="0"/>
        <w:autoSpaceDN w:val="0"/>
        <w:adjustRightInd w:val="0"/>
        <w:snapToGrid w:val="0"/>
        <w:spacing w:before="114" w:line="295" w:lineRule="auto"/>
        <w:ind w:left="23" w:right="383" w:firstLine="440"/>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本项目由</w:t>
      </w:r>
      <w:r>
        <w:rPr>
          <w:rFonts w:ascii="宋体" w:eastAsia="宋体" w:hAnsi="宋体" w:cs="宋体" w:hint="eastAsia"/>
          <w:kern w:val="2"/>
          <w:lang w:eastAsia="zh-CN"/>
        </w:rPr>
        <w:t>甲方</w:t>
      </w:r>
      <w:r>
        <w:rPr>
          <w:rFonts w:ascii="宋体" w:eastAsia="宋体" w:hAnsi="宋体" w:cs="宋体" w:hint="eastAsia"/>
          <w:kern w:val="2"/>
          <w:lang w:eastAsia="zh-CN"/>
        </w:rPr>
        <w:t>针对文体公配物业设施的功能提出了相应</w:t>
      </w:r>
      <w:r>
        <w:rPr>
          <w:rFonts w:ascii="宋体" w:eastAsia="宋体" w:hAnsi="宋体" w:cs="宋体" w:hint="eastAsia"/>
          <w:spacing w:val="-1"/>
          <w:kern w:val="2"/>
          <w:lang w:eastAsia="zh-CN"/>
        </w:rPr>
        <w:t>的标准和要求，</w:t>
      </w:r>
      <w:r>
        <w:rPr>
          <w:rFonts w:ascii="宋体" w:eastAsia="宋体" w:hAnsi="宋体" w:cs="宋体" w:hint="eastAsia"/>
          <w:spacing w:val="-1"/>
          <w:kern w:val="2"/>
          <w:lang w:eastAsia="zh-CN"/>
        </w:rPr>
        <w:t>乙方</w:t>
      </w:r>
      <w:r>
        <w:rPr>
          <w:rFonts w:ascii="宋体" w:eastAsia="宋体" w:hAnsi="宋体" w:cs="宋体" w:hint="eastAsia"/>
          <w:kern w:val="2"/>
          <w:lang w:eastAsia="zh-CN"/>
        </w:rPr>
        <w:t>按照此标准，在项目运营期内，基于运营效率、服务质</w:t>
      </w:r>
      <w:r>
        <w:rPr>
          <w:rFonts w:ascii="宋体" w:eastAsia="宋体" w:hAnsi="宋体" w:cs="宋体" w:hint="eastAsia"/>
          <w:spacing w:val="-1"/>
          <w:kern w:val="2"/>
          <w:lang w:eastAsia="zh-CN"/>
        </w:rPr>
        <w:t>量的提升和管理成本考量</w:t>
      </w:r>
      <w:r>
        <w:rPr>
          <w:rFonts w:ascii="宋体" w:eastAsia="宋体" w:hAnsi="宋体" w:cs="宋体" w:hint="eastAsia"/>
          <w:kern w:val="2"/>
          <w:lang w:eastAsia="zh-CN"/>
        </w:rPr>
        <w:t>而对项目进行装修改造和购置设备，装修和设备须达到服务</w:t>
      </w:r>
      <w:r>
        <w:rPr>
          <w:rFonts w:ascii="宋体" w:eastAsia="宋体" w:hAnsi="宋体" w:cs="宋体" w:hint="eastAsia"/>
          <w:spacing w:val="-1"/>
          <w:kern w:val="2"/>
          <w:lang w:eastAsia="zh-CN"/>
        </w:rPr>
        <w:t>标准要求，并按照</w:t>
      </w:r>
      <w:r>
        <w:rPr>
          <w:rFonts w:ascii="宋体" w:eastAsia="宋体" w:hAnsi="宋体" w:cs="宋体" w:hint="eastAsia"/>
          <w:spacing w:val="-1"/>
          <w:kern w:val="2"/>
          <w:lang w:eastAsia="zh-CN"/>
        </w:rPr>
        <w:t>甲方</w:t>
      </w:r>
      <w:r>
        <w:rPr>
          <w:rFonts w:ascii="宋体" w:eastAsia="宋体" w:hAnsi="宋体" w:cs="宋体" w:hint="eastAsia"/>
          <w:spacing w:val="-3"/>
          <w:kern w:val="2"/>
          <w:lang w:eastAsia="zh-CN"/>
        </w:rPr>
        <w:t>的要求组织实施公益性服务内容。</w:t>
      </w:r>
    </w:p>
    <w:p>
      <w:pPr>
        <w:widowControl w:val="0"/>
        <w:kinsoku w:val="0"/>
        <w:autoSpaceDE w:val="0"/>
        <w:autoSpaceDN w:val="0"/>
        <w:adjustRightInd w:val="0"/>
        <w:snapToGrid w:val="0"/>
        <w:spacing w:before="69" w:line="230" w:lineRule="auto"/>
        <w:ind w:left="477"/>
        <w:jc w:val="both"/>
        <w:textAlignment w:val="baseline"/>
        <w:rPr>
          <w:rFonts w:ascii="宋体" w:eastAsia="宋体" w:hAnsi="宋体" w:cs="宋体" w:hint="eastAsia"/>
          <w:kern w:val="2"/>
          <w:lang w:eastAsia="zh-CN"/>
        </w:rPr>
      </w:pPr>
      <w:r>
        <w:rPr>
          <w:rFonts w:ascii="宋体" w:eastAsia="宋体" w:hAnsi="宋体" w:cs="宋体" w:hint="eastAsia"/>
          <w:spacing w:val="-4"/>
          <w:kern w:val="2"/>
          <w:lang w:eastAsia="zh-CN"/>
        </w:rPr>
        <w:t>（五）项目实施方式</w:t>
      </w:r>
    </w:p>
    <w:p>
      <w:pPr>
        <w:widowControl w:val="0"/>
        <w:kinsoku w:val="0"/>
        <w:autoSpaceDE w:val="0"/>
        <w:autoSpaceDN w:val="0"/>
        <w:adjustRightInd w:val="0"/>
        <w:snapToGrid w:val="0"/>
        <w:spacing w:before="108" w:line="219" w:lineRule="auto"/>
        <w:ind w:left="478"/>
        <w:jc w:val="both"/>
        <w:textAlignment w:val="baseline"/>
        <w:rPr>
          <w:rFonts w:ascii="宋体" w:eastAsia="宋体" w:hAnsi="宋体" w:cs="宋体" w:hint="eastAsia"/>
          <w:kern w:val="2"/>
          <w:lang w:eastAsia="zh-CN"/>
        </w:rPr>
      </w:pPr>
      <w:r>
        <w:rPr>
          <w:rFonts w:ascii="宋体" w:eastAsia="宋体" w:hAnsi="宋体" w:cs="宋体" w:hint="eastAsia"/>
          <w:spacing w:val="-6"/>
          <w:kern w:val="2"/>
          <w:lang w:eastAsia="zh-CN"/>
        </w:rPr>
        <w:t>1、</w:t>
      </w:r>
      <w:r>
        <w:rPr>
          <w:rFonts w:ascii="宋体" w:eastAsia="宋体" w:hAnsi="宋体" w:cs="宋体" w:hint="eastAsia"/>
          <w:spacing w:val="-6"/>
          <w:kern w:val="2"/>
          <w:lang w:eastAsia="zh-CN"/>
        </w:rPr>
        <w:t>甲方</w:t>
      </w:r>
      <w:r>
        <w:rPr>
          <w:rFonts w:ascii="宋体" w:eastAsia="宋体" w:hAnsi="宋体" w:cs="宋体" w:hint="eastAsia"/>
          <w:spacing w:val="-6"/>
          <w:kern w:val="2"/>
          <w:lang w:eastAsia="zh-CN"/>
        </w:rPr>
        <w:t>作为项目实施机构，通过公开招标方式采购符合要求的</w:t>
      </w:r>
      <w:r>
        <w:rPr>
          <w:rFonts w:ascii="宋体" w:eastAsia="宋体" w:hAnsi="宋体" w:cs="宋体" w:hint="eastAsia"/>
          <w:spacing w:val="-6"/>
          <w:kern w:val="2"/>
          <w:lang w:eastAsia="zh-CN"/>
        </w:rPr>
        <w:t>乙方</w:t>
      </w:r>
      <w:r>
        <w:rPr>
          <w:rFonts w:ascii="宋体" w:eastAsia="宋体" w:hAnsi="宋体" w:cs="宋体" w:hint="eastAsia"/>
          <w:spacing w:val="-6"/>
          <w:kern w:val="2"/>
          <w:lang w:eastAsia="zh-CN"/>
        </w:rPr>
        <w:t>。</w:t>
      </w:r>
    </w:p>
    <w:p>
      <w:pPr>
        <w:widowControl w:val="0"/>
        <w:kinsoku w:val="0"/>
        <w:autoSpaceDE w:val="0"/>
        <w:autoSpaceDN w:val="0"/>
        <w:adjustRightInd w:val="0"/>
        <w:snapToGrid w:val="0"/>
        <w:spacing w:before="97" w:line="275" w:lineRule="auto"/>
        <w:ind w:left="25" w:right="216" w:firstLine="440"/>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2、</w:t>
      </w:r>
      <w:r>
        <w:rPr>
          <w:rFonts w:ascii="宋体" w:eastAsia="宋体" w:hAnsi="宋体" w:cs="宋体" w:hint="eastAsia"/>
          <w:spacing w:val="-2"/>
          <w:kern w:val="2"/>
          <w:lang w:eastAsia="zh-CN"/>
        </w:rPr>
        <w:t>甲方</w:t>
      </w:r>
      <w:r>
        <w:rPr>
          <w:rFonts w:ascii="宋体" w:eastAsia="宋体" w:hAnsi="宋体" w:cs="宋体" w:hint="eastAsia"/>
          <w:spacing w:val="-2"/>
          <w:kern w:val="2"/>
          <w:lang w:eastAsia="zh-CN"/>
        </w:rPr>
        <w:t>与</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签订《委托运营合同》，授予</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一定期限的经营权，由</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负责本项目运营期内的前期装修、设备购置、运营维护管理工作，在符合合同相关约定前提下通过自主经营获取合理收益。</w:t>
      </w:r>
    </w:p>
    <w:p>
      <w:pPr>
        <w:widowControl w:val="0"/>
        <w:kinsoku w:val="0"/>
        <w:autoSpaceDE w:val="0"/>
        <w:autoSpaceDN w:val="0"/>
        <w:adjustRightInd w:val="0"/>
        <w:snapToGrid w:val="0"/>
        <w:spacing w:before="100" w:line="281" w:lineRule="auto"/>
        <w:ind w:left="21" w:right="216" w:firstLine="445"/>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3、项目运营期满，由</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将本项目归属于政府方的全部资产和涉及本项</w:t>
      </w:r>
      <w:r>
        <w:rPr>
          <w:rFonts w:ascii="宋体" w:eastAsia="宋体" w:hAnsi="宋体" w:cs="宋体" w:hint="eastAsia"/>
          <w:spacing w:val="-2"/>
          <w:kern w:val="2"/>
          <w:lang w:eastAsia="zh-CN"/>
        </w:rPr>
        <w:t>目的所有存档资料在保证其完整性、可用性且不设担保的前提下无偿移交给</w:t>
      </w:r>
      <w:r>
        <w:rPr>
          <w:rFonts w:ascii="宋体" w:eastAsia="宋体" w:hAnsi="宋体" w:cs="宋体" w:hint="eastAsia"/>
          <w:spacing w:val="-2"/>
          <w:kern w:val="2"/>
          <w:lang w:eastAsia="zh-CN"/>
        </w:rPr>
        <w:t>甲方或甲方</w:t>
      </w:r>
      <w:r>
        <w:rPr>
          <w:rFonts w:ascii="宋体" w:eastAsia="宋体" w:hAnsi="宋体" w:cs="宋体" w:hint="eastAsia"/>
          <w:spacing w:val="-4"/>
          <w:kern w:val="2"/>
          <w:lang w:eastAsia="zh-CN"/>
        </w:rPr>
        <w:t>指定的其他机构，</w:t>
      </w:r>
      <w:r>
        <w:rPr>
          <w:rFonts w:ascii="宋体" w:eastAsia="宋体" w:hAnsi="宋体" w:cs="宋体" w:hint="eastAsia"/>
          <w:spacing w:val="-4"/>
          <w:kern w:val="2"/>
          <w:lang w:eastAsia="zh-CN"/>
        </w:rPr>
        <w:t>乙方</w:t>
      </w:r>
      <w:r>
        <w:rPr>
          <w:rFonts w:ascii="宋体" w:eastAsia="宋体" w:hAnsi="宋体" w:cs="宋体" w:hint="eastAsia"/>
          <w:spacing w:val="-4"/>
          <w:kern w:val="2"/>
          <w:lang w:eastAsia="zh-CN"/>
        </w:rPr>
        <w:t>承担并做好移交承</w:t>
      </w:r>
      <w:r>
        <w:rPr>
          <w:rFonts w:ascii="宋体" w:eastAsia="宋体" w:hAnsi="宋体" w:cs="宋体" w:hint="eastAsia"/>
          <w:spacing w:val="-5"/>
          <w:kern w:val="2"/>
          <w:lang w:eastAsia="zh-CN"/>
        </w:rPr>
        <w:t>接工作。项目移交后，</w:t>
      </w:r>
      <w:r>
        <w:rPr>
          <w:rFonts w:ascii="宋体" w:eastAsia="宋体" w:hAnsi="宋体" w:cs="宋体" w:hint="eastAsia"/>
          <w:spacing w:val="-5"/>
          <w:kern w:val="2"/>
          <w:lang w:eastAsia="zh-CN"/>
        </w:rPr>
        <w:t>甲方</w:t>
      </w:r>
      <w:r>
        <w:rPr>
          <w:rFonts w:ascii="宋体" w:eastAsia="宋体" w:hAnsi="宋体" w:cs="宋体" w:hint="eastAsia"/>
          <w:spacing w:val="-5"/>
          <w:kern w:val="2"/>
          <w:lang w:eastAsia="zh-CN"/>
        </w:rPr>
        <w:t>或</w:t>
      </w:r>
      <w:r>
        <w:rPr>
          <w:rFonts w:ascii="宋体" w:eastAsia="宋体" w:hAnsi="宋体" w:cs="宋体" w:hint="eastAsia"/>
          <w:spacing w:val="-5"/>
          <w:kern w:val="2"/>
          <w:lang w:eastAsia="zh-CN"/>
        </w:rPr>
        <w:t>甲方</w:t>
      </w:r>
      <w:r>
        <w:rPr>
          <w:rFonts w:ascii="宋体" w:eastAsia="宋体" w:hAnsi="宋体" w:cs="宋体" w:hint="eastAsia"/>
          <w:spacing w:val="-2"/>
          <w:kern w:val="2"/>
          <w:lang w:eastAsia="zh-CN"/>
        </w:rPr>
        <w:t>指定的其他机构负责开展移交后管理工作。</w:t>
      </w:r>
    </w:p>
    <w:p>
      <w:pPr>
        <w:widowControl w:val="0"/>
        <w:kinsoku w:val="0"/>
        <w:autoSpaceDE w:val="0"/>
        <w:autoSpaceDN w:val="0"/>
        <w:adjustRightInd w:val="0"/>
        <w:snapToGrid w:val="0"/>
        <w:spacing w:before="97" w:line="275" w:lineRule="auto"/>
        <w:ind w:left="25" w:right="216" w:firstLine="440"/>
        <w:jc w:val="both"/>
        <w:textAlignment w:val="baseline"/>
        <w:rPr>
          <w:rFonts w:ascii="宋体" w:eastAsia="宋体" w:hAnsi="宋体" w:cs="宋体" w:hint="eastAsia"/>
          <w:b/>
          <w:bCs/>
          <w:spacing w:val="-2"/>
          <w:kern w:val="2"/>
          <w:lang w:eastAsia="zh-CN"/>
        </w:rPr>
      </w:pPr>
      <w:r>
        <w:rPr>
          <w:rFonts w:ascii="宋体" w:eastAsia="宋体" w:hAnsi="宋体" w:cs="宋体" w:hint="eastAsia"/>
          <w:b/>
          <w:bCs/>
          <w:spacing w:val="-2"/>
          <w:kern w:val="2"/>
          <w:lang w:eastAsia="zh-CN"/>
        </w:rPr>
        <w:t>二、委托运营的范围</w:t>
      </w:r>
    </w:p>
    <w:p>
      <w:pPr>
        <w:widowControl w:val="0"/>
        <w:kinsoku w:val="0"/>
        <w:autoSpaceDE w:val="0"/>
        <w:autoSpaceDN w:val="0"/>
        <w:adjustRightInd w:val="0"/>
        <w:snapToGrid w:val="0"/>
        <w:spacing w:before="97" w:line="275" w:lineRule="auto"/>
        <w:ind w:left="25" w:right="216" w:firstLine="440"/>
        <w:jc w:val="both"/>
        <w:textAlignment w:val="baseline"/>
        <w:rPr>
          <w:rFonts w:ascii="宋体" w:eastAsia="宋体" w:hAnsi="宋体" w:cs="宋体" w:hint="eastAsia"/>
          <w:spacing w:val="-2"/>
          <w:kern w:val="2"/>
          <w:lang w:eastAsia="zh-CN"/>
        </w:rPr>
      </w:pPr>
      <w:r>
        <w:rPr>
          <w:rFonts w:ascii="宋体" w:eastAsia="宋体" w:hAnsi="宋体" w:cs="宋体" w:hint="eastAsia"/>
          <w:spacing w:val="-2"/>
          <w:kern w:val="2"/>
          <w:lang w:eastAsia="zh-CN"/>
        </w:rPr>
        <w:t>本项目委托运营范围为益田御龙天地7栋1、2F政府公配物业，建筑面积为1500平方米，具体详见平面布局方案。</w:t>
      </w:r>
    </w:p>
    <w:p>
      <w:pPr>
        <w:widowControl w:val="0"/>
        <w:kinsoku w:val="0"/>
        <w:autoSpaceDE w:val="0"/>
        <w:autoSpaceDN w:val="0"/>
        <w:adjustRightInd w:val="0"/>
        <w:snapToGrid w:val="0"/>
        <w:spacing w:line="93" w:lineRule="exact"/>
        <w:jc w:val="both"/>
        <w:textAlignment w:val="baseline"/>
        <w:rPr>
          <w:rFonts w:ascii="宋体" w:eastAsia="宋体" w:hAnsi="宋体" w:cs="宋体" w:hint="eastAsia"/>
          <w:kern w:val="2"/>
          <w:lang w:eastAsia="zh-CN"/>
        </w:rPr>
      </w:pPr>
    </w:p>
    <w:p>
      <w:pPr>
        <w:keepNext w:val="0"/>
        <w:keepLines w:val="0"/>
        <w:pageBreakBefore w:val="0"/>
        <w:widowControl w:val="0"/>
        <w:kinsoku w:val="0"/>
        <w:wordWrap/>
        <w:overflowPunct/>
        <w:topLinePunct w:val="0"/>
        <w:autoSpaceDE w:val="0"/>
        <w:autoSpaceDN w:val="0"/>
        <w:bidi w:val="0"/>
        <w:adjustRightInd w:val="0"/>
        <w:snapToGrid w:val="0"/>
        <w:ind w:firstLine="480" w:firstLineChars="200"/>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具体</w:t>
      </w:r>
      <w:r>
        <w:rPr>
          <w:rFonts w:ascii="宋体" w:eastAsia="宋体" w:hAnsi="宋体" w:cs="宋体" w:hint="eastAsia"/>
          <w:spacing w:val="-1"/>
          <w:kern w:val="2"/>
          <w:lang w:eastAsia="zh-CN"/>
        </w:rPr>
        <w:t>平面布局方案</w:t>
      </w:r>
      <w:r>
        <w:rPr>
          <w:rFonts w:ascii="宋体" w:eastAsia="宋体" w:hAnsi="宋体" w:cs="宋体" w:hint="eastAsia"/>
          <w:spacing w:val="-6"/>
          <w:kern w:val="2"/>
          <w:lang w:eastAsia="zh-CN"/>
        </w:rPr>
        <w:t>如下</w:t>
      </w:r>
      <w:r>
        <w:rPr>
          <w:rFonts w:ascii="宋体" w:eastAsia="宋体" w:hAnsi="宋体" w:cs="宋体" w:hint="eastAsia"/>
          <w:b/>
          <w:bCs/>
          <w:kern w:val="2"/>
          <w:lang w:eastAsia="zh-CN"/>
        </w:rPr>
        <w:t>（平面图中仅标色部分为本项目的移交区域）</w:t>
      </w:r>
      <w:r>
        <w:rPr>
          <w:rFonts w:ascii="宋体" w:eastAsia="宋体" w:hAnsi="宋体" w:cs="宋体" w:hint="eastAsia"/>
          <w:kern w:val="2"/>
          <w:lang w:eastAsia="zh-CN"/>
        </w:rPr>
        <w:t>：</w:t>
      </w:r>
    </w:p>
    <w:p>
      <w:pPr>
        <w:widowControl w:val="0"/>
        <w:kinsoku w:val="0"/>
        <w:autoSpaceDE w:val="0"/>
        <w:autoSpaceDN w:val="0"/>
        <w:adjustRightInd w:val="0"/>
        <w:snapToGrid w:val="0"/>
        <w:spacing w:before="32" w:line="220" w:lineRule="auto"/>
        <w:ind w:firstLine="480" w:firstLineChars="200"/>
        <w:jc w:val="both"/>
        <w:textAlignment w:val="baseline"/>
        <w:rPr>
          <w:rFonts w:ascii="宋体" w:eastAsia="宋体" w:hAnsi="宋体" w:cs="宋体" w:hint="eastAsia"/>
          <w:kern w:val="2"/>
          <w:sz w:val="21"/>
          <w:szCs w:val="22"/>
          <w:lang w:eastAsia="zh-CN"/>
        </w:rPr>
      </w:pPr>
      <w:r>
        <w:rPr>
          <w:rFonts w:ascii="宋体" w:eastAsia="宋体" w:hAnsi="宋体" w:cs="宋体" w:hint="eastAsia"/>
          <w:b/>
          <w:bCs/>
          <w:kern w:val="2"/>
          <w:lang w:eastAsia="zh-CN"/>
        </w:rPr>
        <w:t>（一）</w:t>
      </w:r>
      <w:r>
        <w:rPr>
          <w:rFonts w:ascii="宋体" w:eastAsia="宋体" w:hAnsi="宋体" w:cs="宋体" w:hint="eastAsia"/>
          <w:b/>
          <w:bCs/>
          <w:kern w:val="2"/>
          <w:lang w:eastAsia="zh-CN"/>
        </w:rPr>
        <w:t>一楼布局平面图</w:t>
      </w:r>
    </w:p>
    <w:p>
      <w:pPr>
        <w:widowControl w:val="0"/>
        <w:kinsoku w:val="0"/>
        <w:autoSpaceDE w:val="0"/>
        <w:autoSpaceDN w:val="0"/>
        <w:adjustRightInd w:val="0"/>
        <w:snapToGrid w:val="0"/>
        <w:spacing w:after="156" w:afterLines="50" w:line="360" w:lineRule="auto"/>
        <w:ind w:firstLine="480" w:firstLineChars="200"/>
        <w:jc w:val="both"/>
        <w:textAlignment w:val="baseline"/>
        <w:rPr>
          <w:rFonts w:ascii="宋体" w:eastAsia="宋体" w:hAnsi="宋体" w:cs="宋体" w:hint="eastAsia"/>
          <w:kern w:val="2"/>
          <w:sz w:val="21"/>
          <w:szCs w:val="21"/>
          <w:lang w:eastAsia="zh-CN"/>
        </w:rPr>
      </w:pPr>
      <w:r>
        <w:rPr>
          <w:rFonts w:asciiTheme="minorEastAsia" w:hAnsiTheme="minorEastAsia" w:cstheme="minorEastAsia"/>
          <w:spacing w:val="-2"/>
          <w:sz w:val="24"/>
          <w:szCs w:val="24"/>
        </w:rPr>
        <w:drawing>
          <wp:inline distT="0" distB="0" distL="114300" distR="114300">
            <wp:extent cx="4523740" cy="4866640"/>
            <wp:effectExtent l="0" t="0" r="10160" b="10160"/>
            <wp:docPr id="13314" name="picture 362" descr="图示, 工程绘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 name="picture 362" descr="图示, 工程绘图&#10;&#10;AI 生成的内容可能不正确。"/>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4523740" cy="4866640"/>
                    </a:xfrm>
                    <a:prstGeom prst="rect">
                      <a:avLst/>
                    </a:prstGeom>
                    <a:noFill/>
                    <a:ln w="9525">
                      <a:noFill/>
                    </a:ln>
                  </pic:spPr>
                </pic:pic>
              </a:graphicData>
            </a:graphic>
          </wp:inline>
        </w:drawing>
      </w:r>
    </w:p>
    <w:p>
      <w:pPr>
        <w:keepNext w:val="0"/>
        <w:keepLines w:val="0"/>
        <w:pageBreakBefore w:val="0"/>
        <w:widowControl w:val="0"/>
        <w:kinsoku w:val="0"/>
        <w:wordWrap/>
        <w:overflowPunct/>
        <w:topLinePunct w:val="0"/>
        <w:autoSpaceDE w:val="0"/>
        <w:autoSpaceDN w:val="0"/>
        <w:bidi w:val="0"/>
        <w:adjustRightInd w:val="0"/>
        <w:snapToGrid w:val="0"/>
        <w:spacing w:after="156" w:afterLines="50" w:line="360" w:lineRule="auto"/>
        <w:ind w:firstLine="0" w:firstLineChars="0"/>
        <w:jc w:val="center"/>
        <w:textAlignment w:val="baseline"/>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一楼布局平面图</w:t>
      </w:r>
    </w:p>
    <w:p>
      <w:pPr>
        <w:keepNext w:val="0"/>
        <w:keepLines w:val="0"/>
        <w:pageBreakBefore w:val="0"/>
        <w:widowControl w:val="0"/>
        <w:kinsoku w:val="0"/>
        <w:wordWrap/>
        <w:overflowPunct/>
        <w:topLinePunct w:val="0"/>
        <w:autoSpaceDE w:val="0"/>
        <w:autoSpaceDN w:val="0"/>
        <w:bidi w:val="0"/>
        <w:adjustRightInd w:val="0"/>
        <w:snapToGrid w:val="0"/>
        <w:spacing w:after="156" w:afterLines="50" w:line="360" w:lineRule="auto"/>
        <w:ind w:firstLine="480" w:firstLineChars="200"/>
        <w:jc w:val="both"/>
        <w:textAlignment w:val="baseline"/>
        <w:rPr>
          <w:rFonts w:ascii="宋体" w:eastAsia="宋体" w:hAnsi="宋体" w:cs="宋体" w:hint="eastAsia"/>
          <w:b/>
          <w:bCs/>
          <w:kern w:val="2"/>
          <w:lang w:eastAsia="zh-CN"/>
        </w:rPr>
      </w:pPr>
      <w:r>
        <w:rPr>
          <w:rFonts w:ascii="宋体" w:eastAsia="宋体" w:hAnsi="宋体" w:cs="宋体" w:hint="eastAsia"/>
          <w:b/>
          <w:bCs/>
          <w:kern w:val="2"/>
          <w:lang w:eastAsia="zh-CN"/>
        </w:rPr>
        <w:t>（二）二楼布局平面图</w:t>
      </w:r>
    </w:p>
    <w:p>
      <w:pPr>
        <w:widowControl w:val="0"/>
        <w:kinsoku w:val="0"/>
        <w:autoSpaceDE w:val="0"/>
        <w:autoSpaceDN w:val="0"/>
        <w:adjustRightInd w:val="0"/>
        <w:snapToGrid w:val="0"/>
        <w:spacing w:after="156" w:afterLines="50" w:line="360" w:lineRule="auto"/>
        <w:ind w:firstLine="480" w:firstLineChars="200"/>
        <w:jc w:val="both"/>
        <w:textAlignment w:val="baseline"/>
        <w:rPr>
          <w:rFonts w:ascii="宋体" w:eastAsia="宋体" w:hAnsi="宋体" w:cs="宋体" w:hint="eastAsia"/>
          <w:kern w:val="2"/>
          <w:sz w:val="21"/>
          <w:szCs w:val="21"/>
          <w:lang w:eastAsia="zh-CN"/>
        </w:rPr>
      </w:pPr>
      <w:r>
        <w:rPr>
          <w:rFonts w:asciiTheme="minorEastAsia" w:hAnsiTheme="minorEastAsia" w:cstheme="minorEastAsia"/>
        </w:rPr>
        <w:drawing>
          <wp:inline distT="0" distB="0" distL="0" distR="0">
            <wp:extent cx="5175250" cy="4335780"/>
            <wp:effectExtent l="0" t="0" r="6350" b="7620"/>
            <wp:docPr id="14338" name="picture 926"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926" descr="图示&#10;&#10;AI 生成的内容可能不正确。"/>
                    <pic:cNvPicPr>
                      <a:picLocks noChangeAspect="1"/>
                    </pic:cNvPicPr>
                  </pic:nvPicPr>
                  <pic:blipFill>
                    <a:blip xmlns:r="http://schemas.openxmlformats.org/officeDocument/2006/relationships" r:embed="rId6"/>
                    <a:stretch>
                      <a:fillRect/>
                    </a:stretch>
                  </pic:blipFill>
                  <pic:spPr>
                    <a:xfrm>
                      <a:off x="0" y="0"/>
                      <a:ext cx="5175250" cy="4335780"/>
                    </a:xfrm>
                    <a:prstGeom prst="rect">
                      <a:avLst/>
                    </a:prstGeom>
                    <a:noFill/>
                    <a:ln w="9525">
                      <a:noFill/>
                    </a:ln>
                  </pic:spPr>
                </pic:pic>
              </a:graphicData>
            </a:graphic>
          </wp:inline>
        </w:drawing>
      </w:r>
    </w:p>
    <w:p>
      <w:pPr>
        <w:widowControl w:val="0"/>
        <w:kinsoku w:val="0"/>
        <w:autoSpaceDE w:val="0"/>
        <w:autoSpaceDN w:val="0"/>
        <w:adjustRightInd w:val="0"/>
        <w:snapToGrid w:val="0"/>
        <w:spacing w:after="156" w:afterLines="50" w:line="360" w:lineRule="auto"/>
        <w:ind w:firstLine="0" w:firstLineChars="0"/>
        <w:jc w:val="center"/>
        <w:textAlignment w:val="baseline"/>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二楼布局平面图</w:t>
      </w:r>
    </w:p>
    <w:p>
      <w:pPr>
        <w:keepNext w:val="0"/>
        <w:keepLines w:val="0"/>
        <w:pageBreakBefore w:val="0"/>
        <w:widowControl w:val="0"/>
        <w:kinsoku w:val="0"/>
        <w:wordWrap/>
        <w:overflowPunct/>
        <w:topLinePunct w:val="0"/>
        <w:autoSpaceDE w:val="0"/>
        <w:autoSpaceDN w:val="0"/>
        <w:bidi w:val="0"/>
        <w:adjustRightInd w:val="0"/>
        <w:snapToGrid w:val="0"/>
        <w:spacing w:line="293" w:lineRule="auto"/>
        <w:ind w:left="462"/>
        <w:jc w:val="both"/>
        <w:textAlignment w:val="baseline"/>
        <w:rPr>
          <w:rFonts w:ascii="宋体" w:eastAsia="宋体" w:hAnsi="宋体" w:cs="宋体" w:hint="eastAsia"/>
          <w:kern w:val="2"/>
          <w:lang w:eastAsia="zh-CN"/>
        </w:rPr>
      </w:pPr>
      <w:r>
        <w:rPr>
          <w:rFonts w:ascii="宋体" w:eastAsia="宋体" w:hAnsi="宋体" w:cs="宋体" w:hint="eastAsia"/>
          <w:b/>
          <w:bCs/>
          <w:spacing w:val="-3"/>
          <w:kern w:val="2"/>
          <w:lang w:eastAsia="zh-CN"/>
        </w:rPr>
        <w:t>三、项目委托运营内容</w:t>
      </w:r>
    </w:p>
    <w:p>
      <w:pPr>
        <w:keepNext w:val="0"/>
        <w:keepLines w:val="0"/>
        <w:pageBreakBefore w:val="0"/>
        <w:widowControl w:val="0"/>
        <w:kinsoku w:val="0"/>
        <w:wordWrap/>
        <w:overflowPunct/>
        <w:topLinePunct w:val="0"/>
        <w:autoSpaceDE w:val="0"/>
        <w:autoSpaceDN w:val="0"/>
        <w:bidi w:val="0"/>
        <w:adjustRightInd w:val="0"/>
        <w:snapToGrid w:val="0"/>
        <w:spacing w:line="293" w:lineRule="auto"/>
        <w:ind w:left="501"/>
        <w:jc w:val="both"/>
        <w:textAlignment w:val="baseline"/>
        <w:rPr>
          <w:rFonts w:ascii="宋体" w:eastAsia="宋体" w:hAnsi="宋体" w:cs="宋体" w:hint="eastAsia"/>
          <w:kern w:val="2"/>
          <w:lang w:eastAsia="zh-CN"/>
        </w:rPr>
      </w:pPr>
      <w:r>
        <w:rPr>
          <w:rFonts w:ascii="宋体" w:eastAsia="宋体" w:hAnsi="宋体" w:cs="宋体" w:hint="eastAsia"/>
          <w:spacing w:val="-6"/>
          <w:kern w:val="2"/>
          <w:lang w:eastAsia="zh-CN"/>
        </w:rPr>
        <w:t>（一）</w:t>
      </w:r>
      <w:r>
        <w:rPr>
          <w:rFonts w:ascii="宋体" w:eastAsia="宋体" w:hAnsi="宋体" w:cs="宋体" w:hint="eastAsia"/>
          <w:spacing w:val="-6"/>
          <w:kern w:val="2"/>
          <w:lang w:eastAsia="zh-CN"/>
        </w:rPr>
        <w:t>项目经营权</w:t>
      </w:r>
    </w:p>
    <w:p>
      <w:pPr>
        <w:keepNext w:val="0"/>
        <w:keepLines w:val="0"/>
        <w:pageBreakBefore w:val="0"/>
        <w:widowControl w:val="0"/>
        <w:kinsoku w:val="0"/>
        <w:wordWrap/>
        <w:overflowPunct/>
        <w:topLinePunct w:val="0"/>
        <w:autoSpaceDE w:val="0"/>
        <w:autoSpaceDN w:val="0"/>
        <w:bidi w:val="0"/>
        <w:adjustRightInd w:val="0"/>
        <w:snapToGrid w:val="0"/>
        <w:spacing w:line="293" w:lineRule="auto"/>
        <w:ind w:left="0" w:right="0"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经</w:t>
      </w:r>
      <w:r>
        <w:rPr>
          <w:rFonts w:ascii="宋体" w:eastAsia="宋体" w:hAnsi="宋体" w:cs="宋体" w:hint="eastAsia"/>
          <w:spacing w:val="-2"/>
          <w:kern w:val="2"/>
          <w:lang w:eastAsia="zh-CN"/>
        </w:rPr>
        <w:t>甲方</w:t>
      </w:r>
      <w:r>
        <w:rPr>
          <w:rFonts w:ascii="宋体" w:eastAsia="宋体" w:hAnsi="宋体" w:cs="宋体" w:hint="eastAsia"/>
          <w:spacing w:val="-2"/>
          <w:kern w:val="2"/>
          <w:lang w:eastAsia="zh-CN"/>
        </w:rPr>
        <w:t>授予</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在运营期内为本项目提供运营服务的权利，即：</w:t>
      </w:r>
    </w:p>
    <w:p>
      <w:pPr>
        <w:keepNext w:val="0"/>
        <w:keepLines w:val="0"/>
        <w:pageBreakBefore w:val="0"/>
        <w:widowControl w:val="0"/>
        <w:kinsoku w:val="0"/>
        <w:wordWrap/>
        <w:overflowPunct/>
        <w:topLinePunct w:val="0"/>
        <w:autoSpaceDE w:val="0"/>
        <w:autoSpaceDN w:val="0"/>
        <w:bidi w:val="0"/>
        <w:adjustRightInd w:val="0"/>
        <w:snapToGrid w:val="0"/>
        <w:spacing w:line="293" w:lineRule="auto"/>
        <w:ind w:left="0" w:right="0"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1、按照合同约定和经确定的服务范围及层次水平，自行承担费用、责任和</w:t>
      </w:r>
      <w:r>
        <w:rPr>
          <w:rFonts w:ascii="宋体" w:eastAsia="宋体" w:hAnsi="宋体" w:cs="宋体" w:hint="eastAsia"/>
          <w:spacing w:val="-3"/>
          <w:kern w:val="2"/>
          <w:lang w:eastAsia="zh-CN"/>
        </w:rPr>
        <w:t>风险，</w:t>
      </w:r>
      <w:r>
        <w:rPr>
          <w:rFonts w:ascii="宋体" w:eastAsia="宋体" w:hAnsi="宋体" w:cs="宋体" w:hint="eastAsia"/>
          <w:spacing w:val="-7"/>
          <w:kern w:val="2"/>
          <w:lang w:eastAsia="zh-CN"/>
        </w:rPr>
        <w:t>负责本项目的服务；</w:t>
      </w:r>
    </w:p>
    <w:p>
      <w:pPr>
        <w:keepNext w:val="0"/>
        <w:keepLines w:val="0"/>
        <w:pageBreakBefore w:val="0"/>
        <w:widowControl w:val="0"/>
        <w:kinsoku w:val="0"/>
        <w:wordWrap/>
        <w:overflowPunct/>
        <w:topLinePunct w:val="0"/>
        <w:autoSpaceDE w:val="0"/>
        <w:autoSpaceDN w:val="0"/>
        <w:bidi w:val="0"/>
        <w:adjustRightInd w:val="0"/>
        <w:snapToGrid w:val="0"/>
        <w:spacing w:line="293" w:lineRule="auto"/>
        <w:ind w:left="0" w:right="0"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2、项目根据市场状况获得合理运营收入，以收回投资、运营成本并获得合</w:t>
      </w:r>
      <w:r>
        <w:rPr>
          <w:rFonts w:ascii="宋体" w:eastAsia="宋体" w:hAnsi="宋体" w:cs="宋体" w:hint="eastAsia"/>
          <w:spacing w:val="-2"/>
          <w:kern w:val="2"/>
          <w:lang w:eastAsia="zh-CN"/>
        </w:rPr>
        <w:t>理回</w:t>
      </w:r>
      <w:r>
        <w:rPr>
          <w:rFonts w:ascii="宋体" w:eastAsia="宋体" w:hAnsi="宋体" w:cs="宋体" w:hint="eastAsia"/>
          <w:spacing w:val="-15"/>
          <w:kern w:val="2"/>
          <w:lang w:eastAsia="zh-CN"/>
        </w:rPr>
        <w:t>报；</w:t>
      </w:r>
    </w:p>
    <w:p>
      <w:pPr>
        <w:keepNext w:val="0"/>
        <w:keepLines w:val="0"/>
        <w:pageBreakBefore w:val="0"/>
        <w:widowControl w:val="0"/>
        <w:kinsoku w:val="0"/>
        <w:wordWrap/>
        <w:overflowPunct/>
        <w:topLinePunct w:val="0"/>
        <w:autoSpaceDE w:val="0"/>
        <w:autoSpaceDN w:val="0"/>
        <w:bidi w:val="0"/>
        <w:adjustRightInd w:val="0"/>
        <w:snapToGrid w:val="0"/>
        <w:spacing w:line="293" w:lineRule="auto"/>
        <w:ind w:left="0" w:right="0"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3、运营期届满时，将项目设备设施移交给</w:t>
      </w:r>
      <w:r>
        <w:rPr>
          <w:rFonts w:ascii="宋体" w:eastAsia="宋体" w:hAnsi="宋体" w:cs="宋体" w:hint="eastAsia"/>
          <w:spacing w:val="-1"/>
          <w:kern w:val="2"/>
          <w:lang w:eastAsia="zh-CN"/>
        </w:rPr>
        <w:t>甲方</w:t>
      </w:r>
      <w:r>
        <w:rPr>
          <w:rFonts w:ascii="宋体" w:eastAsia="宋体" w:hAnsi="宋体" w:cs="宋体" w:hint="eastAsia"/>
          <w:spacing w:val="-1"/>
          <w:kern w:val="2"/>
          <w:lang w:eastAsia="zh-CN"/>
        </w:rPr>
        <w:t>或</w:t>
      </w:r>
      <w:r>
        <w:rPr>
          <w:rFonts w:ascii="宋体" w:eastAsia="宋体" w:hAnsi="宋体" w:cs="宋体" w:hint="eastAsia"/>
          <w:spacing w:val="-1"/>
          <w:kern w:val="2"/>
          <w:lang w:eastAsia="zh-CN"/>
        </w:rPr>
        <w:t>甲方</w:t>
      </w:r>
      <w:r>
        <w:rPr>
          <w:rFonts w:ascii="宋体" w:eastAsia="宋体" w:hAnsi="宋体" w:cs="宋体" w:hint="eastAsia"/>
          <w:spacing w:val="-2"/>
          <w:kern w:val="2"/>
          <w:lang w:eastAsia="zh-CN"/>
        </w:rPr>
        <w:t>指定的其他机构。</w:t>
      </w:r>
    </w:p>
    <w:p>
      <w:pPr>
        <w:keepNext w:val="0"/>
        <w:keepLines w:val="0"/>
        <w:pageBreakBefore w:val="0"/>
        <w:widowControl w:val="0"/>
        <w:kinsoku w:val="0"/>
        <w:wordWrap/>
        <w:overflowPunct/>
        <w:topLinePunct w:val="0"/>
        <w:autoSpaceDE w:val="0"/>
        <w:autoSpaceDN w:val="0"/>
        <w:bidi w:val="0"/>
        <w:adjustRightInd w:val="0"/>
        <w:snapToGrid w:val="0"/>
        <w:spacing w:line="293" w:lineRule="auto"/>
        <w:ind w:left="0" w:right="0"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6"/>
          <w:kern w:val="2"/>
          <w:lang w:eastAsia="zh-CN"/>
        </w:rPr>
        <w:t>（二）</w:t>
      </w:r>
      <w:r>
        <w:rPr>
          <w:rFonts w:ascii="宋体" w:eastAsia="宋体" w:hAnsi="宋体" w:cs="宋体" w:hint="eastAsia"/>
          <w:spacing w:val="-6"/>
          <w:kern w:val="2"/>
          <w:lang w:eastAsia="zh-CN"/>
        </w:rPr>
        <w:t>委托运营内容</w:t>
      </w:r>
    </w:p>
    <w:p>
      <w:pPr>
        <w:keepNext w:val="0"/>
        <w:keepLines w:val="0"/>
        <w:pageBreakBefore w:val="0"/>
        <w:widowControl w:val="0"/>
        <w:kinsoku w:val="0"/>
        <w:wordWrap/>
        <w:overflowPunct/>
        <w:topLinePunct w:val="0"/>
        <w:autoSpaceDE w:val="0"/>
        <w:autoSpaceDN w:val="0"/>
        <w:bidi w:val="0"/>
        <w:adjustRightInd w:val="0"/>
        <w:snapToGrid w:val="0"/>
        <w:spacing w:line="293" w:lineRule="auto"/>
        <w:ind w:left="0" w:right="0" w:firstLine="480" w:firstLineChars="200"/>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本项目通过委托运营模式运作，项目运营期内</w:t>
      </w:r>
      <w:r>
        <w:rPr>
          <w:rFonts w:ascii="宋体" w:eastAsia="宋体" w:hAnsi="宋体" w:cs="宋体" w:hint="eastAsia"/>
          <w:kern w:val="2"/>
          <w:lang w:eastAsia="zh-CN"/>
        </w:rPr>
        <w:t>，甲方</w:t>
      </w:r>
      <w:r>
        <w:rPr>
          <w:rFonts w:ascii="宋体" w:eastAsia="宋体" w:hAnsi="宋体" w:cs="宋体" w:hint="eastAsia"/>
          <w:spacing w:val="-1"/>
          <w:kern w:val="2"/>
          <w:lang w:eastAsia="zh-CN"/>
        </w:rPr>
        <w:t>将项目资产的运营权</w:t>
      </w:r>
      <w:r>
        <w:rPr>
          <w:rFonts w:ascii="宋体" w:eastAsia="宋体" w:hAnsi="宋体" w:cs="宋体" w:hint="eastAsia"/>
          <w:kern w:val="2"/>
          <w:lang w:eastAsia="zh-CN"/>
        </w:rPr>
        <w:t>交付给</w:t>
      </w:r>
      <w:r>
        <w:rPr>
          <w:rFonts w:ascii="宋体" w:eastAsia="宋体" w:hAnsi="宋体" w:cs="宋体" w:hint="eastAsia"/>
          <w:kern w:val="2"/>
          <w:lang w:eastAsia="zh-CN"/>
        </w:rPr>
        <w:t>乙方</w:t>
      </w:r>
      <w:r>
        <w:rPr>
          <w:rFonts w:ascii="宋体" w:eastAsia="宋体" w:hAnsi="宋体" w:cs="宋体" w:hint="eastAsia"/>
          <w:kern w:val="2"/>
          <w:lang w:eastAsia="zh-CN"/>
        </w:rPr>
        <w:t>，</w:t>
      </w:r>
      <w:r>
        <w:rPr>
          <w:rFonts w:ascii="宋体" w:eastAsia="宋体" w:hAnsi="宋体" w:cs="宋体" w:hint="eastAsia"/>
          <w:kern w:val="2"/>
          <w:lang w:eastAsia="zh-CN"/>
        </w:rPr>
        <w:t>乙方</w:t>
      </w:r>
      <w:r>
        <w:rPr>
          <w:rFonts w:ascii="宋体" w:eastAsia="宋体" w:hAnsi="宋体" w:cs="宋体" w:hint="eastAsia"/>
          <w:kern w:val="2"/>
          <w:lang w:eastAsia="zh-CN"/>
        </w:rPr>
        <w:t>负责对本项目进</w:t>
      </w:r>
      <w:r>
        <w:rPr>
          <w:rFonts w:ascii="宋体" w:eastAsia="宋体" w:hAnsi="宋体" w:cs="宋体" w:hint="eastAsia"/>
          <w:spacing w:val="-1"/>
          <w:kern w:val="2"/>
          <w:lang w:eastAsia="zh-CN"/>
        </w:rPr>
        <w:t>行运营管理，运营内容包括但不</w:t>
      </w:r>
      <w:r>
        <w:rPr>
          <w:rFonts w:ascii="宋体" w:eastAsia="宋体" w:hAnsi="宋体" w:cs="宋体" w:hint="eastAsia"/>
          <w:spacing w:val="-15"/>
          <w:kern w:val="2"/>
          <w:lang w:eastAsia="zh-CN"/>
        </w:rPr>
        <w:t>限于：</w:t>
      </w:r>
    </w:p>
    <w:p>
      <w:pPr>
        <w:keepNext w:val="0"/>
        <w:keepLines w:val="0"/>
        <w:pageBreakBefore w:val="0"/>
        <w:widowControl w:val="0"/>
        <w:kinsoku w:val="0"/>
        <w:wordWrap/>
        <w:overflowPunct/>
        <w:topLinePunct w:val="0"/>
        <w:autoSpaceDE w:val="0"/>
        <w:autoSpaceDN w:val="0"/>
        <w:bidi w:val="0"/>
        <w:adjustRightInd w:val="0"/>
        <w:snapToGrid w:val="0"/>
        <w:spacing w:line="293" w:lineRule="auto"/>
        <w:ind w:left="0" w:right="0"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7"/>
          <w:kern w:val="2"/>
          <w:lang w:eastAsia="zh-CN"/>
        </w:rPr>
        <w:t>1、场地日常维护管理；</w:t>
      </w:r>
    </w:p>
    <w:p>
      <w:pPr>
        <w:keepNext w:val="0"/>
        <w:keepLines w:val="0"/>
        <w:pageBreakBefore w:val="0"/>
        <w:widowControl w:val="0"/>
        <w:kinsoku w:val="0"/>
        <w:wordWrap/>
        <w:overflowPunct/>
        <w:topLinePunct w:val="0"/>
        <w:autoSpaceDE w:val="0"/>
        <w:autoSpaceDN w:val="0"/>
        <w:bidi w:val="0"/>
        <w:adjustRightInd w:val="0"/>
        <w:snapToGrid w:val="0"/>
        <w:spacing w:line="293" w:lineRule="auto"/>
        <w:ind w:left="0" w:right="0"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2、提供满足需求的文化艺术类展演展示、文艺培训和讲座等公益性文化活动；</w:t>
      </w:r>
    </w:p>
    <w:p>
      <w:pPr>
        <w:keepNext w:val="0"/>
        <w:keepLines w:val="0"/>
        <w:pageBreakBefore w:val="0"/>
        <w:widowControl w:val="0"/>
        <w:kinsoku w:val="0"/>
        <w:wordWrap/>
        <w:overflowPunct/>
        <w:topLinePunct w:val="0"/>
        <w:autoSpaceDE w:val="0"/>
        <w:autoSpaceDN w:val="0"/>
        <w:bidi w:val="0"/>
        <w:adjustRightInd w:val="0"/>
        <w:snapToGrid w:val="0"/>
        <w:spacing w:line="293" w:lineRule="auto"/>
        <w:ind w:left="0"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3、开展符合要求的文化类培训或其他经</w:t>
      </w:r>
      <w:r>
        <w:rPr>
          <w:rFonts w:ascii="宋体" w:eastAsia="宋体" w:hAnsi="宋体" w:cs="宋体" w:hint="eastAsia"/>
          <w:spacing w:val="-2"/>
          <w:kern w:val="2"/>
          <w:lang w:eastAsia="zh-CN"/>
        </w:rPr>
        <w:t>甲方</w:t>
      </w:r>
      <w:r>
        <w:rPr>
          <w:rFonts w:ascii="宋体" w:eastAsia="宋体" w:hAnsi="宋体" w:cs="宋体" w:hint="eastAsia"/>
          <w:spacing w:val="-2"/>
          <w:kern w:val="2"/>
          <w:lang w:eastAsia="zh-CN"/>
        </w:rPr>
        <w:t>同意的配套服务活动。</w:t>
      </w:r>
    </w:p>
    <w:p>
      <w:pPr>
        <w:keepNext w:val="0"/>
        <w:keepLines w:val="0"/>
        <w:pageBreakBefore w:val="0"/>
        <w:widowControl w:val="0"/>
        <w:kinsoku w:val="0"/>
        <w:wordWrap/>
        <w:overflowPunct/>
        <w:topLinePunct w:val="0"/>
        <w:autoSpaceDE w:val="0"/>
        <w:autoSpaceDN w:val="0"/>
        <w:bidi w:val="0"/>
        <w:adjustRightInd w:val="0"/>
        <w:snapToGrid w:val="0"/>
        <w:spacing w:line="293" w:lineRule="auto"/>
        <w:ind w:left="468"/>
        <w:jc w:val="both"/>
        <w:textAlignment w:val="baseline"/>
        <w:rPr>
          <w:rFonts w:ascii="宋体" w:eastAsia="宋体" w:hAnsi="宋体" w:cs="宋体" w:hint="eastAsia"/>
          <w:kern w:val="2"/>
          <w:lang w:eastAsia="zh-CN"/>
        </w:rPr>
      </w:pPr>
      <w:r>
        <w:rPr>
          <w:rFonts w:ascii="宋体" w:eastAsia="宋体" w:hAnsi="宋体" w:cs="宋体" w:hint="eastAsia"/>
          <w:spacing w:val="-3"/>
          <w:kern w:val="2"/>
          <w:lang w:eastAsia="zh-CN"/>
        </w:rPr>
        <w:t>（三）项目投资规模</w:t>
      </w:r>
    </w:p>
    <w:p>
      <w:pPr>
        <w:keepNext w:val="0"/>
        <w:keepLines w:val="0"/>
        <w:pageBreakBefore w:val="0"/>
        <w:widowControl w:val="0"/>
        <w:kinsoku w:val="0"/>
        <w:wordWrap/>
        <w:overflowPunct/>
        <w:topLinePunct w:val="0"/>
        <w:autoSpaceDE w:val="0"/>
        <w:autoSpaceDN w:val="0"/>
        <w:bidi w:val="0"/>
        <w:adjustRightInd w:val="0"/>
        <w:snapToGrid w:val="0"/>
        <w:spacing w:line="293" w:lineRule="auto"/>
        <w:ind w:left="0" w:right="0" w:firstLine="480" w:firstLineChars="200"/>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为保证项目提供良好的运营服务，</w:t>
      </w:r>
      <w:r>
        <w:rPr>
          <w:rFonts w:ascii="宋体" w:eastAsia="宋体" w:hAnsi="宋体" w:cs="宋体" w:hint="eastAsia"/>
          <w:kern w:val="2"/>
          <w:lang w:eastAsia="zh-CN"/>
        </w:rPr>
        <w:t>乙方</w:t>
      </w:r>
      <w:r>
        <w:rPr>
          <w:rFonts w:ascii="宋体" w:eastAsia="宋体" w:hAnsi="宋体" w:cs="宋体" w:hint="eastAsia"/>
          <w:spacing w:val="-1"/>
          <w:kern w:val="2"/>
          <w:lang w:eastAsia="zh-CN"/>
        </w:rPr>
        <w:t>需根据设计方案和运营需求对</w:t>
      </w:r>
      <w:r>
        <w:rPr>
          <w:rFonts w:ascii="宋体" w:eastAsia="宋体" w:hAnsi="宋体" w:cs="宋体" w:hint="eastAsia"/>
          <w:kern w:val="2"/>
          <w:lang w:eastAsia="zh-CN"/>
        </w:rPr>
        <w:t>本项目进行装修改造和设备购置，装修和设备购置，经第三</w:t>
      </w:r>
      <w:r>
        <w:rPr>
          <w:rFonts w:ascii="宋体" w:eastAsia="宋体" w:hAnsi="宋体" w:cs="宋体" w:hint="eastAsia"/>
          <w:spacing w:val="-1"/>
          <w:kern w:val="2"/>
          <w:lang w:eastAsia="zh-CN"/>
        </w:rPr>
        <w:t>方专业机构评估测算，项</w:t>
      </w:r>
      <w:r>
        <w:rPr>
          <w:rFonts w:ascii="宋体" w:eastAsia="宋体" w:hAnsi="宋体" w:cs="宋体" w:hint="eastAsia"/>
          <w:spacing w:val="-4"/>
          <w:kern w:val="2"/>
          <w:lang w:eastAsia="zh-CN"/>
        </w:rPr>
        <w:t>目总投入约为</w:t>
      </w:r>
      <w:r>
        <w:rPr>
          <w:rFonts w:ascii="宋体" w:eastAsia="宋体" w:hAnsi="宋体" w:cs="宋体" w:hint="eastAsia"/>
          <w:spacing w:val="-4"/>
          <w:kern w:val="2"/>
          <w:lang w:eastAsia="zh-CN"/>
        </w:rPr>
        <w:t>345</w:t>
      </w:r>
      <w:r>
        <w:rPr>
          <w:rFonts w:ascii="宋体" w:eastAsia="宋体" w:hAnsi="宋体" w:cs="宋体" w:hint="eastAsia"/>
          <w:spacing w:val="-4"/>
          <w:kern w:val="2"/>
          <w:lang w:eastAsia="zh-CN"/>
        </w:rPr>
        <w:t>万元。</w:t>
      </w:r>
    </w:p>
    <w:p>
      <w:pPr>
        <w:widowControl w:val="0"/>
        <w:kinsoku w:val="0"/>
        <w:autoSpaceDE w:val="0"/>
        <w:autoSpaceDN w:val="0"/>
        <w:adjustRightInd w:val="0"/>
        <w:snapToGrid w:val="0"/>
        <w:spacing w:before="30" w:line="219" w:lineRule="auto"/>
        <w:ind w:left="468"/>
        <w:jc w:val="both"/>
        <w:textAlignment w:val="baseline"/>
        <w:rPr>
          <w:rFonts w:ascii="宋体" w:eastAsia="宋体" w:hAnsi="宋体" w:cs="宋体" w:hint="eastAsia"/>
          <w:kern w:val="2"/>
          <w:lang w:eastAsia="zh-CN"/>
        </w:rPr>
      </w:pPr>
      <w:r>
        <w:rPr>
          <w:rFonts w:ascii="宋体" w:eastAsia="宋体" w:hAnsi="宋体" w:cs="宋体" w:hint="eastAsia"/>
          <w:spacing w:val="-4"/>
          <w:kern w:val="2"/>
          <w:lang w:eastAsia="zh-CN"/>
        </w:rPr>
        <w:t>（四）项目回报机制</w:t>
      </w:r>
    </w:p>
    <w:p>
      <w:pPr>
        <w:widowControl w:val="0"/>
        <w:kinsoku w:val="0"/>
        <w:autoSpaceDE w:val="0"/>
        <w:autoSpaceDN w:val="0"/>
        <w:adjustRightInd w:val="0"/>
        <w:snapToGrid w:val="0"/>
        <w:spacing w:before="71" w:line="293" w:lineRule="auto"/>
        <w:ind w:left="21" w:right="180" w:firstLine="444"/>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项目运营期内，</w:t>
      </w:r>
      <w:r>
        <w:rPr>
          <w:rFonts w:ascii="宋体" w:eastAsia="宋体" w:hAnsi="宋体" w:cs="宋体" w:hint="eastAsia"/>
          <w:kern w:val="2"/>
          <w:lang w:eastAsia="zh-CN"/>
        </w:rPr>
        <w:t>乙方</w:t>
      </w:r>
      <w:r>
        <w:rPr>
          <w:rFonts w:ascii="宋体" w:eastAsia="宋体" w:hAnsi="宋体" w:cs="宋体" w:hint="eastAsia"/>
          <w:kern w:val="2"/>
          <w:lang w:eastAsia="zh-CN"/>
        </w:rPr>
        <w:t>在合作范围内通过自</w:t>
      </w:r>
      <w:r>
        <w:rPr>
          <w:rFonts w:ascii="宋体" w:eastAsia="宋体" w:hAnsi="宋体" w:cs="宋体" w:hint="eastAsia"/>
          <w:spacing w:val="-1"/>
          <w:kern w:val="2"/>
          <w:lang w:eastAsia="zh-CN"/>
        </w:rPr>
        <w:t>主经营获得合理回报，其收入来</w:t>
      </w:r>
      <w:r>
        <w:rPr>
          <w:rFonts w:ascii="宋体" w:eastAsia="宋体" w:hAnsi="宋体" w:cs="宋体" w:hint="eastAsia"/>
          <w:kern w:val="2"/>
          <w:lang w:eastAsia="zh-CN"/>
        </w:rPr>
        <w:t>源包括但不限于：文体培训、健身课程及</w:t>
      </w:r>
      <w:r>
        <w:rPr>
          <w:rFonts w:ascii="宋体" w:eastAsia="宋体" w:hAnsi="宋体" w:cs="宋体" w:hint="eastAsia"/>
          <w:kern w:val="2"/>
          <w:lang w:eastAsia="zh-CN"/>
        </w:rPr>
        <w:t>甲方</w:t>
      </w:r>
      <w:r>
        <w:rPr>
          <w:rFonts w:ascii="宋体" w:eastAsia="宋体" w:hAnsi="宋体" w:cs="宋体" w:hint="eastAsia"/>
          <w:kern w:val="2"/>
          <w:lang w:eastAsia="zh-CN"/>
        </w:rPr>
        <w:t>允许的其他合法</w:t>
      </w:r>
      <w:r>
        <w:rPr>
          <w:rFonts w:ascii="宋体" w:eastAsia="宋体" w:hAnsi="宋体" w:cs="宋体" w:hint="eastAsia"/>
          <w:spacing w:val="-1"/>
          <w:kern w:val="2"/>
          <w:lang w:eastAsia="zh-CN"/>
        </w:rPr>
        <w:t>收入等。</w:t>
      </w:r>
      <w:r>
        <w:rPr>
          <w:rFonts w:ascii="宋体" w:eastAsia="宋体" w:hAnsi="宋体" w:cs="宋体" w:hint="eastAsia"/>
          <w:spacing w:val="-1"/>
          <w:kern w:val="2"/>
          <w:lang w:eastAsia="zh-CN"/>
        </w:rPr>
        <w:t>乙方</w:t>
      </w:r>
      <w:r>
        <w:rPr>
          <w:rFonts w:ascii="宋体" w:eastAsia="宋体" w:hAnsi="宋体" w:cs="宋体" w:hint="eastAsia"/>
          <w:spacing w:val="-2"/>
          <w:kern w:val="2"/>
          <w:lang w:eastAsia="zh-CN"/>
        </w:rPr>
        <w:t>依法获取各项收入，承担运营成本，自负盈亏。</w:t>
      </w:r>
    </w:p>
    <w:p>
      <w:pPr>
        <w:widowControl w:val="0"/>
        <w:kinsoku w:val="0"/>
        <w:autoSpaceDE w:val="0"/>
        <w:autoSpaceDN w:val="0"/>
        <w:adjustRightInd w:val="0"/>
        <w:snapToGrid w:val="0"/>
        <w:spacing w:before="32" w:line="218" w:lineRule="auto"/>
        <w:ind w:left="468"/>
        <w:jc w:val="both"/>
        <w:textAlignment w:val="baseline"/>
        <w:rPr>
          <w:rFonts w:ascii="宋体" w:eastAsia="宋体" w:hAnsi="宋体" w:cs="宋体" w:hint="eastAsia"/>
          <w:kern w:val="2"/>
          <w:lang w:eastAsia="zh-CN"/>
        </w:rPr>
      </w:pPr>
      <w:r>
        <w:rPr>
          <w:rFonts w:ascii="宋体" w:eastAsia="宋体" w:hAnsi="宋体" w:cs="宋体" w:hint="eastAsia"/>
          <w:spacing w:val="-3"/>
          <w:kern w:val="2"/>
          <w:lang w:eastAsia="zh-CN"/>
        </w:rPr>
        <w:t>（五）运营收费及定价</w:t>
      </w:r>
    </w:p>
    <w:p>
      <w:pPr>
        <w:widowControl w:val="0"/>
        <w:kinsoku w:val="0"/>
        <w:autoSpaceDE w:val="0"/>
        <w:autoSpaceDN w:val="0"/>
        <w:adjustRightInd w:val="0"/>
        <w:snapToGrid w:val="0"/>
        <w:spacing w:before="101" w:line="288" w:lineRule="auto"/>
        <w:ind w:left="24" w:right="180" w:firstLine="438"/>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拟收费项目及相应的收费标准由</w:t>
      </w:r>
      <w:r>
        <w:rPr>
          <w:rFonts w:ascii="宋体" w:eastAsia="宋体" w:hAnsi="宋体" w:cs="宋体" w:hint="eastAsia"/>
          <w:kern w:val="2"/>
          <w:lang w:eastAsia="zh-CN"/>
        </w:rPr>
        <w:t>乙方</w:t>
      </w:r>
      <w:r>
        <w:rPr>
          <w:rFonts w:ascii="宋体" w:eastAsia="宋体" w:hAnsi="宋体" w:cs="宋体" w:hint="eastAsia"/>
          <w:kern w:val="2"/>
          <w:lang w:eastAsia="zh-CN"/>
        </w:rPr>
        <w:t>参考周边同类</w:t>
      </w:r>
      <w:r>
        <w:rPr>
          <w:rFonts w:ascii="宋体" w:eastAsia="宋体" w:hAnsi="宋体" w:cs="宋体" w:hint="eastAsia"/>
          <w:spacing w:val="-1"/>
          <w:kern w:val="2"/>
          <w:lang w:eastAsia="zh-CN"/>
        </w:rPr>
        <w:t>项目并综合本项目实际</w:t>
      </w:r>
      <w:r>
        <w:rPr>
          <w:rFonts w:ascii="宋体" w:eastAsia="宋体" w:hAnsi="宋体" w:cs="宋体" w:hint="eastAsia"/>
          <w:spacing w:val="-5"/>
          <w:kern w:val="2"/>
          <w:lang w:eastAsia="zh-CN"/>
        </w:rPr>
        <w:t>成本及服务水平合理制定，并于每年度1月31日前向</w:t>
      </w:r>
      <w:r>
        <w:rPr>
          <w:rFonts w:ascii="宋体" w:eastAsia="宋体" w:hAnsi="宋体" w:cs="宋体" w:hint="eastAsia"/>
          <w:spacing w:val="-5"/>
          <w:kern w:val="2"/>
          <w:lang w:eastAsia="zh-CN"/>
        </w:rPr>
        <w:t>甲方</w:t>
      </w:r>
      <w:r>
        <w:rPr>
          <w:rFonts w:ascii="宋体" w:eastAsia="宋体" w:hAnsi="宋体" w:cs="宋体" w:hint="eastAsia"/>
          <w:spacing w:val="-5"/>
          <w:kern w:val="2"/>
          <w:lang w:eastAsia="zh-CN"/>
        </w:rPr>
        <w:t>备案。</w:t>
      </w:r>
    </w:p>
    <w:p>
      <w:pPr>
        <w:widowControl w:val="0"/>
        <w:kinsoku w:val="0"/>
        <w:autoSpaceDE w:val="0"/>
        <w:autoSpaceDN w:val="0"/>
        <w:adjustRightInd w:val="0"/>
        <w:snapToGrid w:val="0"/>
        <w:spacing w:before="32" w:line="288" w:lineRule="auto"/>
        <w:ind w:left="24" w:right="180" w:firstLine="439"/>
        <w:jc w:val="both"/>
        <w:textAlignment w:val="baseline"/>
        <w:rPr>
          <w:rFonts w:ascii="宋体" w:eastAsia="宋体" w:hAnsi="宋体" w:cs="宋体" w:hint="eastAsia"/>
          <w:spacing w:val="-2"/>
          <w:kern w:val="2"/>
          <w:lang w:eastAsia="zh-CN"/>
        </w:rPr>
      </w:pPr>
      <w:r>
        <w:rPr>
          <w:rFonts w:ascii="宋体" w:eastAsia="宋体" w:hAnsi="宋体" w:cs="宋体" w:hint="eastAsia"/>
          <w:kern w:val="2"/>
          <w:lang w:eastAsia="zh-CN"/>
        </w:rPr>
        <w:t>甲方</w:t>
      </w:r>
      <w:r>
        <w:rPr>
          <w:rFonts w:ascii="宋体" w:eastAsia="宋体" w:hAnsi="宋体" w:cs="宋体" w:hint="eastAsia"/>
          <w:kern w:val="2"/>
          <w:lang w:eastAsia="zh-CN"/>
        </w:rPr>
        <w:t>及物价主管部门认为</w:t>
      </w:r>
      <w:r>
        <w:rPr>
          <w:rFonts w:ascii="宋体" w:eastAsia="宋体" w:hAnsi="宋体" w:cs="宋体" w:hint="eastAsia"/>
          <w:kern w:val="2"/>
          <w:lang w:eastAsia="zh-CN"/>
        </w:rPr>
        <w:t>乙方</w:t>
      </w:r>
      <w:r>
        <w:rPr>
          <w:rFonts w:ascii="宋体" w:eastAsia="宋体" w:hAnsi="宋体" w:cs="宋体" w:hint="eastAsia"/>
          <w:kern w:val="2"/>
          <w:lang w:eastAsia="zh-CN"/>
        </w:rPr>
        <w:t>制定的</w:t>
      </w:r>
      <w:r>
        <w:rPr>
          <w:rFonts w:ascii="宋体" w:eastAsia="宋体" w:hAnsi="宋体" w:cs="宋体" w:hint="eastAsia"/>
          <w:spacing w:val="-1"/>
          <w:kern w:val="2"/>
          <w:lang w:eastAsia="zh-CN"/>
        </w:rPr>
        <w:t>价格不合理的，有权要求</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调整相应的价格，并按调整后的价格执行。</w:t>
      </w:r>
    </w:p>
    <w:p>
      <w:pPr>
        <w:widowControl w:val="0"/>
        <w:kinsoku w:val="0"/>
        <w:autoSpaceDE w:val="0"/>
        <w:autoSpaceDN w:val="0"/>
        <w:adjustRightInd w:val="0"/>
        <w:snapToGrid w:val="0"/>
        <w:spacing w:before="32" w:line="288" w:lineRule="auto"/>
        <w:ind w:left="24" w:right="180" w:firstLine="439"/>
        <w:jc w:val="both"/>
        <w:textAlignment w:val="baseline"/>
        <w:rPr>
          <w:rFonts w:ascii="宋体" w:eastAsia="宋体" w:hAnsi="宋体" w:cs="宋体" w:hint="eastAsia"/>
          <w:spacing w:val="-2"/>
          <w:kern w:val="2"/>
          <w:lang w:eastAsia="zh-CN"/>
        </w:rPr>
      </w:pPr>
      <w:r>
        <w:rPr>
          <w:rFonts w:ascii="宋体" w:eastAsia="宋体" w:hAnsi="宋体" w:cs="宋体" w:hint="eastAsia"/>
          <w:spacing w:val="-2"/>
          <w:kern w:val="2"/>
          <w:lang w:eastAsia="zh-CN"/>
        </w:rPr>
        <w:t>（六）</w:t>
      </w:r>
      <w:r>
        <w:rPr>
          <w:rFonts w:ascii="宋体" w:eastAsia="宋体" w:hAnsi="宋体" w:cs="宋体" w:hint="eastAsia"/>
          <w:spacing w:val="-2"/>
          <w:kern w:val="2"/>
          <w:lang w:eastAsia="zh-CN"/>
        </w:rPr>
        <w:t>超额收益分享机制</w:t>
      </w:r>
    </w:p>
    <w:p>
      <w:pPr>
        <w:widowControl w:val="0"/>
        <w:kinsoku w:val="0"/>
        <w:autoSpaceDE w:val="0"/>
        <w:autoSpaceDN w:val="0"/>
        <w:adjustRightInd w:val="0"/>
        <w:snapToGrid w:val="0"/>
        <w:spacing w:before="32" w:line="288" w:lineRule="auto"/>
        <w:ind w:left="24" w:right="180" w:firstLine="439"/>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当项目平均净利润率超过8%（年平均净利润/年平均总收入）时，</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应按</w:t>
      </w:r>
      <w:r>
        <w:rPr>
          <w:rFonts w:ascii="宋体" w:eastAsia="宋体" w:hAnsi="宋体" w:cs="宋体" w:hint="eastAsia"/>
          <w:spacing w:val="-2"/>
          <w:kern w:val="2"/>
          <w:lang w:eastAsia="zh-CN"/>
        </w:rPr>
        <w:t>甲方</w:t>
      </w:r>
      <w:r>
        <w:rPr>
          <w:rFonts w:ascii="宋体" w:eastAsia="宋体" w:hAnsi="宋体" w:cs="宋体" w:hint="eastAsia"/>
          <w:spacing w:val="-2"/>
          <w:kern w:val="2"/>
          <w:lang w:eastAsia="zh-CN"/>
        </w:rPr>
        <w:t>要求将8%以上部分净利润的30%捐赠给社区基金或</w:t>
      </w:r>
      <w:r>
        <w:rPr>
          <w:rFonts w:ascii="宋体" w:eastAsia="宋体" w:hAnsi="宋体" w:cs="宋体" w:hint="eastAsia"/>
          <w:spacing w:val="-2"/>
          <w:kern w:val="2"/>
          <w:lang w:eastAsia="zh-CN"/>
        </w:rPr>
        <w:t>甲方</w:t>
      </w:r>
      <w:r>
        <w:rPr>
          <w:rFonts w:ascii="宋体" w:eastAsia="宋体" w:hAnsi="宋体" w:cs="宋体" w:hint="eastAsia"/>
          <w:spacing w:val="-2"/>
          <w:kern w:val="2"/>
          <w:lang w:eastAsia="zh-CN"/>
        </w:rPr>
        <w:t>指定的其他机构，用于公共慈善事业或其他公益事业的发展。</w:t>
      </w:r>
    </w:p>
    <w:p>
      <w:pPr>
        <w:widowControl w:val="0"/>
        <w:kinsoku w:val="0"/>
        <w:autoSpaceDE w:val="0"/>
        <w:autoSpaceDN w:val="0"/>
        <w:adjustRightInd w:val="0"/>
        <w:snapToGrid w:val="0"/>
        <w:spacing w:before="33" w:line="220" w:lineRule="auto"/>
        <w:ind w:left="483"/>
        <w:jc w:val="both"/>
        <w:textAlignment w:val="baseline"/>
        <w:rPr>
          <w:rFonts w:ascii="宋体" w:eastAsia="宋体" w:hAnsi="宋体" w:cs="宋体" w:hint="eastAsia"/>
          <w:kern w:val="2"/>
          <w:lang w:eastAsia="zh-CN"/>
        </w:rPr>
      </w:pPr>
      <w:r>
        <w:rPr>
          <w:rFonts w:ascii="宋体" w:eastAsia="宋体" w:hAnsi="宋体" w:cs="宋体" w:hint="eastAsia"/>
          <w:b/>
          <w:bCs/>
          <w:spacing w:val="-5"/>
          <w:kern w:val="2"/>
          <w:lang w:eastAsia="zh-CN"/>
        </w:rPr>
        <w:t>四、公益性服务内容</w:t>
      </w:r>
    </w:p>
    <w:p>
      <w:pPr>
        <w:widowControl w:val="0"/>
        <w:kinsoku w:val="0"/>
        <w:autoSpaceDE w:val="0"/>
        <w:autoSpaceDN w:val="0"/>
        <w:adjustRightInd w:val="0"/>
        <w:snapToGrid w:val="0"/>
        <w:spacing w:before="98" w:line="220" w:lineRule="auto"/>
        <w:ind w:left="478"/>
        <w:jc w:val="both"/>
        <w:textAlignment w:val="baseline"/>
        <w:rPr>
          <w:rFonts w:ascii="宋体" w:eastAsia="宋体" w:hAnsi="宋体" w:cs="宋体" w:hint="eastAsia"/>
          <w:kern w:val="2"/>
          <w:lang w:eastAsia="zh-CN"/>
        </w:rPr>
      </w:pPr>
      <w:r>
        <w:rPr>
          <w:rFonts w:ascii="宋体" w:eastAsia="宋体" w:hAnsi="宋体" w:cs="宋体" w:hint="eastAsia"/>
          <w:spacing w:val="-4"/>
          <w:kern w:val="2"/>
          <w:lang w:eastAsia="zh-CN"/>
        </w:rPr>
        <w:t>1、公共文化设施配置</w:t>
      </w:r>
    </w:p>
    <w:p>
      <w:pPr>
        <w:widowControl w:val="0"/>
        <w:kinsoku w:val="0"/>
        <w:autoSpaceDE w:val="0"/>
        <w:autoSpaceDN w:val="0"/>
        <w:adjustRightInd w:val="0"/>
        <w:snapToGrid w:val="0"/>
        <w:spacing w:before="97" w:line="275" w:lineRule="auto"/>
        <w:ind w:left="22" w:right="180" w:firstLine="445"/>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（1）站舍建筑面积：建设1个综合性文化服务中心</w:t>
      </w:r>
      <w:r>
        <w:rPr>
          <w:rFonts w:ascii="宋体" w:eastAsia="宋体" w:hAnsi="宋体" w:cs="宋体" w:hint="eastAsia"/>
          <w:spacing w:val="-2"/>
          <w:kern w:val="2"/>
          <w:lang w:eastAsia="zh-CN"/>
        </w:rPr>
        <w:t>，</w:t>
      </w:r>
      <w:r>
        <w:rPr>
          <w:rFonts w:ascii="宋体" w:eastAsia="宋体" w:hAnsi="宋体" w:cs="宋体" w:hint="eastAsia"/>
          <w:spacing w:val="-2"/>
          <w:kern w:val="2"/>
          <w:lang w:eastAsia="zh-CN"/>
        </w:rPr>
        <w:t>室内建筑面积≥1500平方</w:t>
      </w:r>
      <w:r>
        <w:rPr>
          <w:rFonts w:ascii="宋体" w:eastAsia="宋体" w:hAnsi="宋体" w:cs="宋体" w:hint="eastAsia"/>
          <w:kern w:val="2"/>
          <w:lang w:eastAsia="zh-CN"/>
        </w:rPr>
        <w:t>米，具备图书阅读、文艺演出、展览展示、线上服务等功能。</w:t>
      </w:r>
      <w:r>
        <w:rPr>
          <w:rFonts w:ascii="宋体" w:eastAsia="宋体" w:hAnsi="宋体" w:cs="宋体" w:hint="eastAsia"/>
          <w:spacing w:val="-1"/>
          <w:kern w:val="2"/>
          <w:lang w:eastAsia="zh-CN"/>
        </w:rPr>
        <w:t>街道综合文体中心建设</w:t>
      </w:r>
      <w:r>
        <w:rPr>
          <w:rFonts w:ascii="宋体" w:eastAsia="宋体" w:hAnsi="宋体" w:cs="宋体" w:hint="eastAsia"/>
          <w:spacing w:val="-4"/>
          <w:kern w:val="2"/>
          <w:lang w:eastAsia="zh-CN"/>
        </w:rPr>
        <w:t>应达到广东省特级站标准。</w:t>
      </w:r>
    </w:p>
    <w:p>
      <w:pPr>
        <w:widowControl w:val="0"/>
        <w:kinsoku w:val="0"/>
        <w:autoSpaceDE w:val="0"/>
        <w:autoSpaceDN w:val="0"/>
        <w:adjustRightInd w:val="0"/>
        <w:snapToGrid w:val="0"/>
        <w:spacing w:before="98" w:line="221" w:lineRule="auto"/>
        <w:ind w:left="468"/>
        <w:jc w:val="both"/>
        <w:textAlignment w:val="baseline"/>
        <w:rPr>
          <w:rFonts w:ascii="宋体" w:eastAsia="宋体" w:hAnsi="宋体" w:cs="宋体" w:hint="eastAsia"/>
          <w:kern w:val="2"/>
          <w:lang w:eastAsia="zh-CN"/>
        </w:rPr>
      </w:pPr>
      <w:r>
        <w:rPr>
          <w:rFonts w:ascii="宋体" w:eastAsia="宋体" w:hAnsi="宋体" w:cs="宋体" w:hint="eastAsia"/>
          <w:spacing w:val="-7"/>
          <w:kern w:val="2"/>
          <w:lang w:eastAsia="zh-CN"/>
        </w:rPr>
        <w:t>（2）功能室设置：</w:t>
      </w:r>
    </w:p>
    <w:p>
      <w:pPr>
        <w:widowControl w:val="0"/>
        <w:kinsoku w:val="0"/>
        <w:autoSpaceDE w:val="0"/>
        <w:autoSpaceDN w:val="0"/>
        <w:adjustRightInd w:val="0"/>
        <w:snapToGrid w:val="0"/>
        <w:spacing w:before="97" w:line="217" w:lineRule="auto"/>
        <w:ind w:left="461"/>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①需集宣传文化、党员教育、科学普及、法制教育、体育健身功能于一</w:t>
      </w:r>
      <w:r>
        <w:rPr>
          <w:rFonts w:ascii="宋体" w:eastAsia="宋体" w:hAnsi="宋体" w:cs="宋体" w:hint="eastAsia"/>
          <w:spacing w:val="-2"/>
          <w:kern w:val="2"/>
          <w:lang w:eastAsia="zh-CN"/>
        </w:rPr>
        <w:t>体；</w:t>
      </w:r>
    </w:p>
    <w:p>
      <w:pPr>
        <w:widowControl w:val="0"/>
        <w:kinsoku w:val="0"/>
        <w:autoSpaceDE w:val="0"/>
        <w:autoSpaceDN w:val="0"/>
        <w:adjustRightInd w:val="0"/>
        <w:snapToGrid w:val="0"/>
        <w:spacing w:before="101" w:line="261" w:lineRule="auto"/>
        <w:ind w:left="26" w:right="180" w:firstLine="433"/>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②设有</w:t>
      </w:r>
      <w:r>
        <w:rPr>
          <w:rFonts w:ascii="宋体" w:eastAsia="宋体" w:hAnsi="宋体" w:cs="宋体" w:hint="eastAsia"/>
          <w:spacing w:val="-3"/>
          <w:kern w:val="2"/>
          <w:lang w:eastAsia="zh-CN"/>
        </w:rPr>
        <w:t>少儿、老年活动室</w:t>
      </w:r>
      <w:r>
        <w:rPr>
          <w:rFonts w:ascii="宋体" w:eastAsia="宋体" w:hAnsi="宋体" w:cs="宋体" w:hint="eastAsia"/>
          <w:kern w:val="2"/>
          <w:lang w:eastAsia="zh-CN"/>
        </w:rPr>
        <w:t>、陈列展览室、皮影制作室、多功能室、书画室</w:t>
      </w:r>
      <w:r>
        <w:rPr>
          <w:rFonts w:ascii="宋体" w:eastAsia="宋体" w:hAnsi="宋体" w:cs="宋体" w:hint="eastAsia"/>
          <w:spacing w:val="-1"/>
          <w:kern w:val="2"/>
          <w:lang w:eastAsia="zh-CN"/>
        </w:rPr>
        <w:t>、健身房</w:t>
      </w:r>
      <w:r>
        <w:rPr>
          <w:rFonts w:ascii="宋体" w:eastAsia="宋体" w:hAnsi="宋体" w:cs="宋体" w:hint="eastAsia"/>
          <w:spacing w:val="-3"/>
          <w:kern w:val="2"/>
          <w:lang w:eastAsia="zh-CN"/>
        </w:rPr>
        <w:t>等功能室，总数不少于10个，功能室标识清晰、醒目；</w:t>
      </w:r>
    </w:p>
    <w:p>
      <w:pPr>
        <w:widowControl w:val="0"/>
        <w:kinsoku w:val="0"/>
        <w:autoSpaceDE w:val="0"/>
        <w:autoSpaceDN w:val="0"/>
        <w:adjustRightInd w:val="0"/>
        <w:snapToGrid w:val="0"/>
        <w:spacing w:before="98" w:line="217" w:lineRule="auto"/>
        <w:ind w:left="460"/>
        <w:jc w:val="both"/>
        <w:textAlignment w:val="baseline"/>
        <w:rPr>
          <w:rFonts w:ascii="宋体" w:eastAsia="宋体" w:hAnsi="宋体" w:cs="宋体" w:hint="eastAsia"/>
          <w:kern w:val="2"/>
          <w:lang w:eastAsia="zh-CN"/>
        </w:rPr>
      </w:pPr>
      <w:r>
        <w:rPr>
          <w:rFonts w:ascii="宋体" w:eastAsia="宋体" w:hAnsi="宋体" w:cs="宋体" w:hint="eastAsia"/>
          <w:spacing w:val="-5"/>
          <w:kern w:val="2"/>
          <w:lang w:eastAsia="zh-CN"/>
        </w:rPr>
        <w:t>③每个功能室不得少于30平方米；</w:t>
      </w:r>
    </w:p>
    <w:p>
      <w:pPr>
        <w:widowControl w:val="0"/>
        <w:kinsoku w:val="0"/>
        <w:autoSpaceDE w:val="0"/>
        <w:autoSpaceDN w:val="0"/>
        <w:adjustRightInd w:val="0"/>
        <w:snapToGrid w:val="0"/>
        <w:spacing w:before="102" w:line="217" w:lineRule="auto"/>
        <w:ind w:left="460"/>
        <w:jc w:val="both"/>
        <w:textAlignment w:val="baseline"/>
        <w:rPr>
          <w:rFonts w:ascii="宋体" w:eastAsia="宋体" w:hAnsi="宋体" w:cs="宋体" w:hint="eastAsia"/>
          <w:kern w:val="2"/>
          <w:lang w:eastAsia="zh-CN"/>
        </w:rPr>
      </w:pPr>
      <w:r>
        <w:rPr>
          <w:rFonts w:ascii="宋体" w:eastAsia="宋体" w:hAnsi="宋体" w:cs="宋体" w:hint="eastAsia"/>
          <w:spacing w:val="-4"/>
          <w:kern w:val="2"/>
          <w:lang w:eastAsia="zh-CN"/>
        </w:rPr>
        <w:t>④鼓励配置影剧院。</w:t>
      </w:r>
    </w:p>
    <w:p>
      <w:pPr>
        <w:widowControl w:val="0"/>
        <w:kinsoku w:val="0"/>
        <w:autoSpaceDE w:val="0"/>
        <w:autoSpaceDN w:val="0"/>
        <w:adjustRightInd w:val="0"/>
        <w:snapToGrid w:val="0"/>
        <w:spacing w:before="100" w:line="220" w:lineRule="auto"/>
        <w:ind w:left="468"/>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（3）数字化服务设施配置:</w:t>
      </w:r>
    </w:p>
    <w:p>
      <w:pPr>
        <w:widowControl w:val="0"/>
        <w:kinsoku w:val="0"/>
        <w:autoSpaceDE w:val="0"/>
        <w:autoSpaceDN w:val="0"/>
        <w:adjustRightInd w:val="0"/>
        <w:snapToGrid w:val="0"/>
        <w:spacing w:before="99" w:line="217" w:lineRule="auto"/>
        <w:ind w:left="461"/>
        <w:jc w:val="both"/>
        <w:textAlignment w:val="baseline"/>
        <w:rPr>
          <w:rFonts w:ascii="宋体" w:eastAsia="宋体" w:hAnsi="宋体" w:cs="宋体" w:hint="eastAsia"/>
          <w:kern w:val="2"/>
          <w:lang w:eastAsia="zh-CN"/>
        </w:rPr>
      </w:pPr>
      <w:r>
        <w:rPr>
          <w:rFonts w:ascii="宋体" w:eastAsia="宋体" w:hAnsi="宋体" w:cs="宋体" w:hint="eastAsia"/>
          <w:spacing w:val="-5"/>
          <w:kern w:val="2"/>
          <w:lang w:eastAsia="zh-CN"/>
        </w:rPr>
        <w:t>①馆内免费网络全覆盖；</w:t>
      </w:r>
    </w:p>
    <w:p>
      <w:pPr>
        <w:widowControl w:val="0"/>
        <w:kinsoku w:val="0"/>
        <w:autoSpaceDE w:val="0"/>
        <w:autoSpaceDN w:val="0"/>
        <w:adjustRightInd w:val="0"/>
        <w:snapToGrid w:val="0"/>
        <w:spacing w:before="101" w:line="217" w:lineRule="auto"/>
        <w:ind w:left="460"/>
        <w:jc w:val="both"/>
        <w:textAlignment w:val="baseline"/>
        <w:rPr>
          <w:rFonts w:ascii="宋体" w:eastAsia="宋体" w:hAnsi="宋体" w:cs="宋体" w:hint="eastAsia"/>
          <w:kern w:val="2"/>
          <w:lang w:eastAsia="zh-CN"/>
        </w:rPr>
      </w:pPr>
      <w:r>
        <w:rPr>
          <w:rFonts w:ascii="宋体" w:eastAsia="宋体" w:hAnsi="宋体" w:cs="宋体" w:hint="eastAsia"/>
          <w:spacing w:val="-5"/>
          <w:kern w:val="2"/>
          <w:lang w:eastAsia="zh-CN"/>
        </w:rPr>
        <w:t>②公用上网设备不少于3台；</w:t>
      </w:r>
    </w:p>
    <w:p>
      <w:pPr>
        <w:widowControl w:val="0"/>
        <w:kinsoku w:val="0"/>
        <w:autoSpaceDE w:val="0"/>
        <w:autoSpaceDN w:val="0"/>
        <w:adjustRightInd w:val="0"/>
        <w:snapToGrid w:val="0"/>
        <w:spacing w:before="102" w:line="217" w:lineRule="auto"/>
        <w:ind w:left="460"/>
        <w:jc w:val="both"/>
        <w:textAlignment w:val="baseline"/>
        <w:rPr>
          <w:rFonts w:ascii="宋体" w:eastAsia="宋体" w:hAnsi="宋体" w:cs="宋体" w:hint="eastAsia"/>
          <w:kern w:val="2"/>
          <w:lang w:eastAsia="zh-CN"/>
        </w:rPr>
      </w:pPr>
      <w:r>
        <w:rPr>
          <w:rFonts w:ascii="宋体" w:eastAsia="宋体" w:hAnsi="宋体" w:cs="宋体" w:hint="eastAsia"/>
          <w:spacing w:val="-3"/>
          <w:kern w:val="2"/>
          <w:lang w:eastAsia="zh-CN"/>
        </w:rPr>
        <w:t>③建有标准配置的公共电子阅览室。</w:t>
      </w:r>
    </w:p>
    <w:p>
      <w:pPr>
        <w:widowControl w:val="0"/>
        <w:kinsoku w:val="0"/>
        <w:autoSpaceDE w:val="0"/>
        <w:autoSpaceDN w:val="0"/>
        <w:adjustRightInd w:val="0"/>
        <w:snapToGrid w:val="0"/>
        <w:spacing w:before="100" w:line="220" w:lineRule="auto"/>
        <w:ind w:left="465"/>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2、公共文化设施开放</w:t>
      </w:r>
    </w:p>
    <w:p>
      <w:pPr>
        <w:widowControl w:val="0"/>
        <w:kinsoku w:val="0"/>
        <w:autoSpaceDE w:val="0"/>
        <w:autoSpaceDN w:val="0"/>
        <w:adjustRightInd w:val="0"/>
        <w:snapToGrid w:val="0"/>
        <w:spacing w:before="98" w:line="220" w:lineRule="auto"/>
        <w:ind w:left="468"/>
        <w:jc w:val="both"/>
        <w:textAlignment w:val="baseline"/>
        <w:rPr>
          <w:rFonts w:ascii="宋体" w:eastAsia="宋体" w:hAnsi="宋体" w:cs="宋体" w:hint="eastAsia"/>
          <w:kern w:val="2"/>
          <w:lang w:eastAsia="zh-CN"/>
        </w:rPr>
      </w:pPr>
      <w:r>
        <w:rPr>
          <w:rFonts w:ascii="宋体" w:eastAsia="宋体" w:hAnsi="宋体" w:cs="宋体" w:hint="eastAsia"/>
          <w:spacing w:val="-4"/>
          <w:kern w:val="2"/>
          <w:lang w:eastAsia="zh-CN"/>
        </w:rPr>
        <w:t>（1）场馆按时开放（按公示时间</w:t>
      </w:r>
      <w:r>
        <w:rPr>
          <w:rFonts w:ascii="宋体" w:eastAsia="宋体" w:hAnsi="宋体" w:cs="宋体" w:hint="eastAsia"/>
          <w:spacing w:val="-2"/>
          <w:kern w:val="2"/>
          <w:lang w:eastAsia="zh-CN"/>
        </w:rPr>
        <w:t>）；</w:t>
      </w:r>
    </w:p>
    <w:p>
      <w:pPr>
        <w:widowControl w:val="0"/>
        <w:kinsoku w:val="0"/>
        <w:autoSpaceDE w:val="0"/>
        <w:autoSpaceDN w:val="0"/>
        <w:adjustRightInd w:val="0"/>
        <w:snapToGrid w:val="0"/>
        <w:spacing w:before="98" w:line="220" w:lineRule="auto"/>
        <w:ind w:left="468"/>
        <w:jc w:val="both"/>
        <w:textAlignment w:val="baseline"/>
        <w:rPr>
          <w:rFonts w:ascii="宋体" w:eastAsia="宋体" w:hAnsi="宋体" w:cs="宋体" w:hint="eastAsia"/>
          <w:kern w:val="2"/>
          <w:lang w:eastAsia="zh-CN"/>
        </w:rPr>
      </w:pPr>
      <w:r>
        <w:rPr>
          <w:rFonts w:ascii="宋体" w:eastAsia="宋体" w:hAnsi="宋体" w:cs="宋体" w:hint="eastAsia"/>
          <w:spacing w:val="-4"/>
          <w:kern w:val="2"/>
          <w:lang w:eastAsia="zh-CN"/>
        </w:rPr>
        <w:t>（2）每周开放时间≥48小时；</w:t>
      </w:r>
    </w:p>
    <w:p>
      <w:pPr>
        <w:widowControl w:val="0"/>
        <w:kinsoku w:val="0"/>
        <w:autoSpaceDE w:val="0"/>
        <w:autoSpaceDN w:val="0"/>
        <w:adjustRightInd w:val="0"/>
        <w:snapToGrid w:val="0"/>
        <w:spacing w:before="98" w:line="220" w:lineRule="auto"/>
        <w:ind w:left="468"/>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（3）错峰开放时间不少于总开放时间的三分之一；</w:t>
      </w:r>
    </w:p>
    <w:p>
      <w:pPr>
        <w:widowControl w:val="0"/>
        <w:kinsoku w:val="0"/>
        <w:autoSpaceDE w:val="0"/>
        <w:autoSpaceDN w:val="0"/>
        <w:adjustRightInd w:val="0"/>
        <w:snapToGrid w:val="0"/>
        <w:spacing w:before="97" w:line="275" w:lineRule="auto"/>
        <w:ind w:left="23" w:right="70" w:firstLine="445"/>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（4）每年常设性公共文化服务项目不少于15项，陈列展览</w:t>
      </w:r>
      <w:r>
        <w:rPr>
          <w:rFonts w:ascii="宋体" w:eastAsia="宋体" w:hAnsi="宋体" w:cs="宋体" w:hint="eastAsia"/>
          <w:spacing w:val="-3"/>
          <w:kern w:val="2"/>
          <w:lang w:eastAsia="zh-CN"/>
        </w:rPr>
        <w:t>、群众文化活动项目</w:t>
      </w:r>
      <w:r>
        <w:rPr>
          <w:rFonts w:ascii="宋体" w:eastAsia="宋体" w:hAnsi="宋体" w:cs="宋体" w:hint="eastAsia"/>
          <w:spacing w:val="-2"/>
          <w:kern w:val="2"/>
          <w:lang w:eastAsia="zh-CN"/>
        </w:rPr>
        <w:t>年开放时间不少于100天；展览更新不少于2次</w:t>
      </w:r>
      <w:r>
        <w:rPr>
          <w:rFonts w:ascii="宋体" w:eastAsia="宋体" w:hAnsi="宋体" w:cs="宋体" w:hint="eastAsia"/>
          <w:spacing w:val="-3"/>
          <w:kern w:val="2"/>
          <w:lang w:eastAsia="zh-CN"/>
        </w:rPr>
        <w:t>；培训项目不少于40天；演出、讲座</w:t>
      </w:r>
      <w:r>
        <w:rPr>
          <w:rFonts w:ascii="宋体" w:eastAsia="宋体" w:hAnsi="宋体" w:cs="宋体" w:hint="eastAsia"/>
          <w:spacing w:val="-6"/>
          <w:kern w:val="2"/>
          <w:lang w:eastAsia="zh-CN"/>
        </w:rPr>
        <w:t>项目每月平均不少于1次纳入统计；</w:t>
      </w:r>
    </w:p>
    <w:p>
      <w:pPr>
        <w:widowControl w:val="0"/>
        <w:kinsoku w:val="0"/>
        <w:autoSpaceDE w:val="0"/>
        <w:autoSpaceDN w:val="0"/>
        <w:adjustRightInd w:val="0"/>
        <w:snapToGrid w:val="0"/>
        <w:spacing w:before="98" w:line="220" w:lineRule="auto"/>
        <w:ind w:left="468"/>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（5）场馆纳入“i深圳”一键预约平台；</w:t>
      </w:r>
    </w:p>
    <w:p>
      <w:pPr>
        <w:widowControl w:val="0"/>
        <w:kinsoku w:val="0"/>
        <w:autoSpaceDE w:val="0"/>
        <w:autoSpaceDN w:val="0"/>
        <w:adjustRightInd w:val="0"/>
        <w:snapToGrid w:val="0"/>
        <w:spacing w:before="97" w:line="220" w:lineRule="auto"/>
        <w:ind w:left="468"/>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（6）公示文化服务内容情况，内容包括：项目，时间，地点，组织者。</w:t>
      </w:r>
    </w:p>
    <w:p>
      <w:pPr>
        <w:widowControl w:val="0"/>
        <w:kinsoku w:val="0"/>
        <w:autoSpaceDE w:val="0"/>
        <w:autoSpaceDN w:val="0"/>
        <w:adjustRightInd w:val="0"/>
        <w:snapToGrid w:val="0"/>
        <w:spacing w:before="98" w:line="220" w:lineRule="auto"/>
        <w:ind w:left="466"/>
        <w:jc w:val="both"/>
        <w:textAlignment w:val="baseline"/>
        <w:rPr>
          <w:rFonts w:ascii="宋体" w:eastAsia="宋体" w:hAnsi="宋体" w:cs="宋体" w:hint="eastAsia"/>
          <w:kern w:val="2"/>
          <w:lang w:eastAsia="zh-CN"/>
        </w:rPr>
      </w:pPr>
      <w:r>
        <w:rPr>
          <w:rFonts w:ascii="宋体" w:eastAsia="宋体" w:hAnsi="宋体" w:cs="宋体" w:hint="eastAsia"/>
          <w:spacing w:val="-3"/>
          <w:kern w:val="2"/>
          <w:lang w:eastAsia="zh-CN"/>
        </w:rPr>
        <w:t>3、文化场馆服务</w:t>
      </w:r>
    </w:p>
    <w:p>
      <w:pPr>
        <w:widowControl w:val="0"/>
        <w:kinsoku w:val="0"/>
        <w:autoSpaceDE w:val="0"/>
        <w:autoSpaceDN w:val="0"/>
        <w:adjustRightInd w:val="0"/>
        <w:snapToGrid w:val="0"/>
        <w:spacing w:before="98" w:line="220" w:lineRule="auto"/>
        <w:ind w:left="468"/>
        <w:jc w:val="both"/>
        <w:textAlignment w:val="baseline"/>
        <w:rPr>
          <w:rFonts w:ascii="宋体" w:eastAsia="宋体" w:hAnsi="宋体" w:cs="宋体" w:hint="eastAsia"/>
          <w:kern w:val="2"/>
          <w:lang w:eastAsia="zh-CN"/>
        </w:rPr>
      </w:pPr>
      <w:r>
        <w:rPr>
          <w:rFonts w:ascii="宋体" w:eastAsia="宋体" w:hAnsi="宋体" w:cs="宋体" w:hint="eastAsia"/>
          <w:spacing w:val="-3"/>
          <w:kern w:val="2"/>
          <w:lang w:eastAsia="zh-CN"/>
        </w:rPr>
        <w:t>（1）街道综合文体中心月均进站服务人次达到300人次（不含文体广场服务</w:t>
      </w:r>
      <w:r>
        <w:rPr>
          <w:rFonts w:ascii="宋体" w:eastAsia="宋体" w:hAnsi="宋体" w:cs="宋体" w:hint="eastAsia"/>
          <w:spacing w:val="2"/>
          <w:kern w:val="2"/>
          <w:lang w:eastAsia="zh-CN"/>
        </w:rPr>
        <w:t>）；</w:t>
      </w:r>
    </w:p>
    <w:p>
      <w:pPr>
        <w:widowControl w:val="0"/>
        <w:kinsoku w:val="0"/>
        <w:autoSpaceDE w:val="0"/>
        <w:autoSpaceDN w:val="0"/>
        <w:adjustRightInd w:val="0"/>
        <w:snapToGrid w:val="0"/>
        <w:spacing w:before="98" w:line="261" w:lineRule="auto"/>
        <w:ind w:left="23" w:right="80" w:firstLine="445"/>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（2）街道综合文体中心每年组织公益性文化活动（指面向全辖区群众、内容为综</w:t>
      </w:r>
      <w:r>
        <w:rPr>
          <w:rFonts w:ascii="宋体" w:eastAsia="宋体" w:hAnsi="宋体" w:cs="宋体" w:hint="eastAsia"/>
          <w:spacing w:val="-4"/>
          <w:kern w:val="2"/>
          <w:lang w:eastAsia="zh-CN"/>
        </w:rPr>
        <w:t>合性的活动）≥150场次，包括：</w:t>
      </w:r>
    </w:p>
    <w:p>
      <w:pPr>
        <w:widowControl w:val="0"/>
        <w:kinsoku w:val="0"/>
        <w:autoSpaceDE w:val="0"/>
        <w:autoSpaceDN w:val="0"/>
        <w:adjustRightInd w:val="0"/>
        <w:snapToGrid w:val="0"/>
        <w:spacing w:before="99" w:line="217" w:lineRule="auto"/>
        <w:ind w:left="461"/>
        <w:jc w:val="both"/>
        <w:textAlignment w:val="baseline"/>
        <w:rPr>
          <w:rFonts w:ascii="宋体" w:eastAsia="宋体" w:hAnsi="宋体" w:cs="宋体" w:hint="eastAsia"/>
          <w:kern w:val="2"/>
          <w:lang w:eastAsia="zh-CN"/>
        </w:rPr>
      </w:pPr>
      <w:r>
        <w:rPr>
          <w:rFonts w:ascii="宋体" w:eastAsia="宋体" w:hAnsi="宋体" w:cs="宋体" w:hint="eastAsia"/>
          <w:spacing w:val="-3"/>
          <w:kern w:val="2"/>
          <w:lang w:eastAsia="zh-CN"/>
        </w:rPr>
        <w:t>①组织综合性大型活动≥7场；</w:t>
      </w:r>
    </w:p>
    <w:p>
      <w:pPr>
        <w:widowControl w:val="0"/>
        <w:kinsoku w:val="0"/>
        <w:autoSpaceDE w:val="0"/>
        <w:autoSpaceDN w:val="0"/>
        <w:adjustRightInd w:val="0"/>
        <w:snapToGrid w:val="0"/>
        <w:spacing w:before="72" w:line="261" w:lineRule="auto"/>
        <w:ind w:left="26" w:right="180" w:firstLine="434"/>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②每年举办品牌活动或特色活动项目6个（持</w:t>
      </w:r>
      <w:r>
        <w:rPr>
          <w:rFonts w:ascii="宋体" w:eastAsia="宋体" w:hAnsi="宋体" w:cs="宋体" w:hint="eastAsia"/>
          <w:spacing w:val="-2"/>
          <w:kern w:val="2"/>
          <w:lang w:eastAsia="zh-CN"/>
        </w:rPr>
        <w:t>续开展3年以上的综合性大型文化</w:t>
      </w:r>
      <w:r>
        <w:rPr>
          <w:rFonts w:ascii="宋体" w:eastAsia="宋体" w:hAnsi="宋体" w:cs="宋体" w:hint="eastAsia"/>
          <w:spacing w:val="-16"/>
          <w:kern w:val="2"/>
          <w:lang w:eastAsia="zh-CN"/>
        </w:rPr>
        <w:t>活动</w:t>
      </w:r>
      <w:r>
        <w:rPr>
          <w:rFonts w:ascii="宋体" w:eastAsia="宋体" w:hAnsi="宋体" w:cs="宋体" w:hint="eastAsia"/>
          <w:spacing w:val="-8"/>
          <w:kern w:val="2"/>
          <w:lang w:eastAsia="zh-CN"/>
        </w:rPr>
        <w:t>）；</w:t>
      </w:r>
    </w:p>
    <w:p>
      <w:pPr>
        <w:widowControl w:val="0"/>
        <w:kinsoku w:val="0"/>
        <w:autoSpaceDE w:val="0"/>
        <w:autoSpaceDN w:val="0"/>
        <w:adjustRightInd w:val="0"/>
        <w:snapToGrid w:val="0"/>
        <w:spacing w:before="97" w:line="217" w:lineRule="auto"/>
        <w:ind w:left="460"/>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③每年组织开展非物质文化遗产和民间文化艺术活动≥4次；</w:t>
      </w:r>
    </w:p>
    <w:p>
      <w:pPr>
        <w:widowControl w:val="0"/>
        <w:kinsoku w:val="0"/>
        <w:autoSpaceDE w:val="0"/>
        <w:autoSpaceDN w:val="0"/>
        <w:adjustRightInd w:val="0"/>
        <w:snapToGrid w:val="0"/>
        <w:spacing w:before="101" w:line="217" w:lineRule="auto"/>
        <w:ind w:left="460"/>
        <w:jc w:val="both"/>
        <w:textAlignment w:val="baseline"/>
        <w:rPr>
          <w:rFonts w:ascii="宋体" w:eastAsia="宋体" w:hAnsi="宋体" w:cs="宋体" w:hint="eastAsia"/>
          <w:kern w:val="2"/>
          <w:lang w:eastAsia="zh-CN"/>
        </w:rPr>
      </w:pPr>
      <w:r>
        <w:rPr>
          <w:rFonts w:ascii="宋体" w:eastAsia="宋体" w:hAnsi="宋体" w:cs="宋体" w:hint="eastAsia"/>
          <w:spacing w:val="-3"/>
          <w:kern w:val="2"/>
          <w:lang w:eastAsia="zh-CN"/>
        </w:rPr>
        <w:t>④每年举办辖区文艺骨干文化培训不少于4期；</w:t>
      </w:r>
    </w:p>
    <w:p>
      <w:pPr>
        <w:widowControl w:val="0"/>
        <w:kinsoku w:val="0"/>
        <w:autoSpaceDE w:val="0"/>
        <w:autoSpaceDN w:val="0"/>
        <w:adjustRightInd w:val="0"/>
        <w:snapToGrid w:val="0"/>
        <w:spacing w:before="101" w:line="217" w:lineRule="auto"/>
        <w:ind w:left="460"/>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⑤每年编辑文艺、信息等刊物、资料（期）不少于4期；</w:t>
      </w:r>
    </w:p>
    <w:p>
      <w:pPr>
        <w:widowControl w:val="0"/>
        <w:kinsoku w:val="0"/>
        <w:autoSpaceDE w:val="0"/>
        <w:autoSpaceDN w:val="0"/>
        <w:adjustRightInd w:val="0"/>
        <w:snapToGrid w:val="0"/>
        <w:spacing w:before="101" w:line="217" w:lineRule="auto"/>
        <w:ind w:left="460"/>
        <w:jc w:val="both"/>
        <w:textAlignment w:val="baseline"/>
        <w:rPr>
          <w:rFonts w:ascii="宋体" w:eastAsia="宋体" w:hAnsi="宋体" w:cs="宋体" w:hint="eastAsia"/>
          <w:kern w:val="2"/>
          <w:lang w:eastAsia="zh-CN"/>
        </w:rPr>
      </w:pPr>
      <w:r>
        <w:rPr>
          <w:rFonts w:ascii="宋体" w:eastAsia="宋体" w:hAnsi="宋体" w:cs="宋体" w:hint="eastAsia"/>
          <w:spacing w:val="-3"/>
          <w:kern w:val="2"/>
          <w:lang w:eastAsia="zh-CN"/>
        </w:rPr>
        <w:t>⑥每年编印本地业务作者文艺作品集不少于3本；</w:t>
      </w:r>
    </w:p>
    <w:p>
      <w:pPr>
        <w:widowControl w:val="0"/>
        <w:kinsoku w:val="0"/>
        <w:autoSpaceDE w:val="0"/>
        <w:autoSpaceDN w:val="0"/>
        <w:adjustRightInd w:val="0"/>
        <w:snapToGrid w:val="0"/>
        <w:spacing w:before="102" w:line="217" w:lineRule="auto"/>
        <w:ind w:left="460"/>
        <w:jc w:val="both"/>
        <w:textAlignment w:val="baseline"/>
        <w:rPr>
          <w:rFonts w:ascii="宋体" w:eastAsia="宋体" w:hAnsi="宋体" w:cs="宋体" w:hint="eastAsia"/>
          <w:kern w:val="2"/>
          <w:lang w:eastAsia="zh-CN"/>
        </w:rPr>
      </w:pPr>
      <w:r>
        <w:rPr>
          <w:rFonts w:ascii="宋体" w:eastAsia="宋体" w:hAnsi="宋体" w:cs="宋体" w:hint="eastAsia"/>
          <w:spacing w:val="-4"/>
          <w:kern w:val="2"/>
          <w:lang w:eastAsia="zh-CN"/>
        </w:rPr>
        <w:t>⑦提供艺术普及门类不少于6个；</w:t>
      </w:r>
    </w:p>
    <w:p>
      <w:pPr>
        <w:widowControl w:val="0"/>
        <w:kinsoku w:val="0"/>
        <w:autoSpaceDE w:val="0"/>
        <w:autoSpaceDN w:val="0"/>
        <w:adjustRightInd w:val="0"/>
        <w:snapToGrid w:val="0"/>
        <w:spacing w:before="100" w:line="289" w:lineRule="auto"/>
        <w:ind w:left="24" w:right="180" w:firstLine="445"/>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公益性服务内容根据省、市、区相关文件或政策制定，如因政策变动或辖区民众</w:t>
      </w:r>
      <w:r>
        <w:rPr>
          <w:rFonts w:ascii="宋体" w:eastAsia="宋体" w:hAnsi="宋体" w:cs="宋体" w:hint="eastAsia"/>
          <w:spacing w:val="-2"/>
          <w:kern w:val="2"/>
          <w:lang w:eastAsia="zh-CN"/>
        </w:rPr>
        <w:t>文化服务需求需要紧急调整，</w:t>
      </w:r>
      <w:r>
        <w:rPr>
          <w:rFonts w:ascii="宋体" w:eastAsia="宋体" w:hAnsi="宋体" w:cs="宋体" w:hint="eastAsia"/>
          <w:spacing w:val="-2"/>
          <w:kern w:val="2"/>
          <w:lang w:eastAsia="zh-CN"/>
        </w:rPr>
        <w:t>甲方</w:t>
      </w:r>
      <w:r>
        <w:rPr>
          <w:rFonts w:ascii="宋体" w:eastAsia="宋体" w:hAnsi="宋体" w:cs="宋体" w:hint="eastAsia"/>
          <w:spacing w:val="-2"/>
          <w:kern w:val="2"/>
          <w:lang w:eastAsia="zh-CN"/>
        </w:rPr>
        <w:t>有权进行调整。</w:t>
      </w:r>
    </w:p>
    <w:p>
      <w:pPr>
        <w:widowControl w:val="0"/>
        <w:kinsoku w:val="0"/>
        <w:autoSpaceDE w:val="0"/>
        <w:autoSpaceDN w:val="0"/>
        <w:adjustRightInd w:val="0"/>
        <w:snapToGrid w:val="0"/>
        <w:spacing w:before="31" w:line="220" w:lineRule="auto"/>
        <w:ind w:left="461"/>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4、公益服务豁免条款</w:t>
      </w:r>
    </w:p>
    <w:p>
      <w:pPr>
        <w:widowControl w:val="0"/>
        <w:kinsoku w:val="0"/>
        <w:autoSpaceDE w:val="0"/>
        <w:autoSpaceDN w:val="0"/>
        <w:adjustRightInd w:val="0"/>
        <w:snapToGrid w:val="0"/>
        <w:spacing w:before="97" w:line="298" w:lineRule="auto"/>
        <w:ind w:left="21" w:right="70" w:firstLine="444"/>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项目运营期内，</w:t>
      </w:r>
      <w:r>
        <w:rPr>
          <w:rFonts w:ascii="宋体" w:eastAsia="宋体" w:hAnsi="宋体" w:cs="宋体" w:hint="eastAsia"/>
          <w:kern w:val="2"/>
          <w:lang w:eastAsia="zh-CN"/>
        </w:rPr>
        <w:t>乙方</w:t>
      </w:r>
      <w:r>
        <w:rPr>
          <w:rFonts w:ascii="宋体" w:eastAsia="宋体" w:hAnsi="宋体" w:cs="宋体" w:hint="eastAsia"/>
          <w:kern w:val="2"/>
          <w:lang w:eastAsia="zh-CN"/>
        </w:rPr>
        <w:t>应按上述要求提供公</w:t>
      </w:r>
      <w:r>
        <w:rPr>
          <w:rFonts w:ascii="宋体" w:eastAsia="宋体" w:hAnsi="宋体" w:cs="宋体" w:hint="eastAsia"/>
          <w:spacing w:val="-1"/>
          <w:kern w:val="2"/>
          <w:lang w:eastAsia="zh-CN"/>
        </w:rPr>
        <w:t>益服务。因非</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原因导</w:t>
      </w:r>
      <w:r>
        <w:rPr>
          <w:rFonts w:ascii="宋体" w:eastAsia="宋体" w:hAnsi="宋体" w:cs="宋体" w:hint="eastAsia"/>
          <w:kern w:val="2"/>
          <w:lang w:eastAsia="zh-CN"/>
        </w:rPr>
        <w:t>致上述场地使用场次、使用时长、使用面积等未达约定的，</w:t>
      </w:r>
      <w:r>
        <w:rPr>
          <w:rFonts w:ascii="宋体" w:eastAsia="宋体" w:hAnsi="宋体" w:cs="宋体" w:hint="eastAsia"/>
          <w:kern w:val="2"/>
          <w:lang w:eastAsia="zh-CN"/>
        </w:rPr>
        <w:t>乙方</w:t>
      </w:r>
      <w:r>
        <w:rPr>
          <w:rFonts w:ascii="宋体" w:eastAsia="宋体" w:hAnsi="宋体" w:cs="宋体" w:hint="eastAsia"/>
          <w:spacing w:val="-1"/>
          <w:kern w:val="2"/>
          <w:lang w:eastAsia="zh-CN"/>
        </w:rPr>
        <w:t>不承担违约责</w:t>
      </w:r>
      <w:r>
        <w:rPr>
          <w:rFonts w:ascii="宋体" w:eastAsia="宋体" w:hAnsi="宋体" w:cs="宋体" w:hint="eastAsia"/>
          <w:kern w:val="2"/>
          <w:lang w:eastAsia="zh-CN"/>
        </w:rPr>
        <w:t>任，</w:t>
      </w:r>
      <w:r>
        <w:rPr>
          <w:rFonts w:ascii="宋体" w:eastAsia="宋体" w:hAnsi="宋体" w:cs="宋体" w:hint="eastAsia"/>
          <w:kern w:val="2"/>
          <w:lang w:eastAsia="zh-CN"/>
        </w:rPr>
        <w:t>甲方</w:t>
      </w:r>
      <w:r>
        <w:rPr>
          <w:rFonts w:ascii="宋体" w:eastAsia="宋体" w:hAnsi="宋体" w:cs="宋体" w:hint="eastAsia"/>
          <w:kern w:val="2"/>
          <w:lang w:eastAsia="zh-CN"/>
        </w:rPr>
        <w:t>不得因此收取违约金或认定绩效考核不及格或进行其</w:t>
      </w:r>
      <w:r>
        <w:rPr>
          <w:rFonts w:ascii="宋体" w:eastAsia="宋体" w:hAnsi="宋体" w:cs="宋体" w:hint="eastAsia"/>
          <w:spacing w:val="-1"/>
          <w:kern w:val="2"/>
          <w:lang w:eastAsia="zh-CN"/>
        </w:rPr>
        <w:t>他处罚。本项目运营</w:t>
      </w:r>
      <w:r>
        <w:rPr>
          <w:rFonts w:ascii="宋体" w:eastAsia="宋体" w:hAnsi="宋体" w:cs="宋体" w:hint="eastAsia"/>
          <w:kern w:val="2"/>
          <w:lang w:eastAsia="zh-CN"/>
        </w:rPr>
        <w:t>期内，如因辖区民众文化服务需求调整，</w:t>
      </w:r>
      <w:r>
        <w:rPr>
          <w:rFonts w:ascii="宋体" w:eastAsia="宋体" w:hAnsi="宋体" w:cs="宋体" w:hint="eastAsia"/>
          <w:kern w:val="2"/>
          <w:lang w:eastAsia="zh-CN"/>
        </w:rPr>
        <w:t>甲方</w:t>
      </w:r>
      <w:r>
        <w:rPr>
          <w:rFonts w:ascii="宋体" w:eastAsia="宋体" w:hAnsi="宋体" w:cs="宋体" w:hint="eastAsia"/>
          <w:kern w:val="2"/>
          <w:lang w:eastAsia="zh-CN"/>
        </w:rPr>
        <w:t>有权对上述约定</w:t>
      </w:r>
      <w:r>
        <w:rPr>
          <w:rFonts w:ascii="宋体" w:eastAsia="宋体" w:hAnsi="宋体" w:cs="宋体" w:hint="eastAsia"/>
          <w:spacing w:val="-1"/>
          <w:kern w:val="2"/>
          <w:lang w:eastAsia="zh-CN"/>
        </w:rPr>
        <w:t>的公益服务内容进行</w:t>
      </w:r>
      <w:r>
        <w:rPr>
          <w:rFonts w:ascii="宋体" w:eastAsia="宋体" w:hAnsi="宋体" w:cs="宋体" w:hint="eastAsia"/>
          <w:kern w:val="2"/>
          <w:lang w:eastAsia="zh-CN"/>
        </w:rPr>
        <w:t>调整以满足民众需求，上述调整应</w:t>
      </w:r>
      <w:r>
        <w:rPr>
          <w:rFonts w:ascii="宋体" w:eastAsia="宋体" w:hAnsi="宋体" w:cs="宋体" w:hint="eastAsia"/>
          <w:kern w:val="2"/>
          <w:lang w:eastAsia="zh-CN"/>
        </w:rPr>
        <w:t>尽量</w:t>
      </w:r>
      <w:r>
        <w:rPr>
          <w:rFonts w:ascii="宋体" w:eastAsia="宋体" w:hAnsi="宋体" w:cs="宋体" w:hint="eastAsia"/>
          <w:kern w:val="2"/>
          <w:lang w:eastAsia="zh-CN"/>
        </w:rPr>
        <w:t>避免使</w:t>
      </w:r>
      <w:r>
        <w:rPr>
          <w:rFonts w:ascii="宋体" w:eastAsia="宋体" w:hAnsi="宋体" w:cs="宋体" w:hint="eastAsia"/>
          <w:kern w:val="2"/>
          <w:lang w:eastAsia="zh-CN"/>
        </w:rPr>
        <w:t>乙方</w:t>
      </w:r>
      <w:r>
        <w:rPr>
          <w:rFonts w:ascii="宋体" w:eastAsia="宋体" w:hAnsi="宋体" w:cs="宋体" w:hint="eastAsia"/>
          <w:kern w:val="2"/>
          <w:lang w:eastAsia="zh-CN"/>
        </w:rPr>
        <w:t>的运营效益</w:t>
      </w:r>
      <w:r>
        <w:rPr>
          <w:rFonts w:ascii="宋体" w:eastAsia="宋体" w:hAnsi="宋体" w:cs="宋体" w:hint="eastAsia"/>
          <w:spacing w:val="-1"/>
          <w:kern w:val="2"/>
          <w:lang w:eastAsia="zh-CN"/>
        </w:rPr>
        <w:t>发生变化，具体调整</w:t>
      </w:r>
      <w:r>
        <w:rPr>
          <w:rFonts w:ascii="宋体" w:eastAsia="宋体" w:hAnsi="宋体" w:cs="宋体" w:hint="eastAsia"/>
          <w:spacing w:val="-4"/>
          <w:kern w:val="2"/>
          <w:lang w:eastAsia="zh-CN"/>
        </w:rPr>
        <w:t>方式届时由双方协商确定。</w:t>
      </w:r>
    </w:p>
    <w:p>
      <w:pPr>
        <w:widowControl w:val="0"/>
        <w:kinsoku w:val="0"/>
        <w:autoSpaceDE w:val="0"/>
        <w:autoSpaceDN w:val="0"/>
        <w:adjustRightInd w:val="0"/>
        <w:snapToGrid w:val="0"/>
        <w:spacing w:before="30" w:line="220" w:lineRule="auto"/>
        <w:ind w:left="466"/>
        <w:jc w:val="both"/>
        <w:textAlignment w:val="baseline"/>
        <w:rPr>
          <w:rFonts w:ascii="宋体" w:eastAsia="宋体" w:hAnsi="宋体" w:cs="宋体" w:hint="eastAsia"/>
          <w:kern w:val="2"/>
          <w:lang w:eastAsia="zh-CN"/>
        </w:rPr>
      </w:pPr>
      <w:r>
        <w:rPr>
          <w:rFonts w:ascii="宋体" w:eastAsia="宋体" w:hAnsi="宋体" w:cs="宋体" w:hint="eastAsia"/>
          <w:spacing w:val="-3"/>
          <w:kern w:val="2"/>
          <w:lang w:eastAsia="zh-CN"/>
        </w:rPr>
        <w:t>5、经营负面清单</w:t>
      </w:r>
    </w:p>
    <w:p>
      <w:pPr>
        <w:widowControl w:val="0"/>
        <w:kinsoku w:val="0"/>
        <w:autoSpaceDE w:val="0"/>
        <w:autoSpaceDN w:val="0"/>
        <w:adjustRightInd w:val="0"/>
        <w:snapToGrid w:val="0"/>
        <w:spacing w:before="98" w:line="219" w:lineRule="auto"/>
        <w:ind w:left="483"/>
        <w:jc w:val="both"/>
        <w:textAlignment w:val="baseline"/>
        <w:rPr>
          <w:rFonts w:ascii="宋体" w:eastAsia="宋体" w:hAnsi="宋体" w:cs="宋体" w:hint="eastAsia"/>
          <w:kern w:val="2"/>
          <w:lang w:eastAsia="zh-CN"/>
        </w:rPr>
      </w:pPr>
      <w:r>
        <w:rPr>
          <w:rFonts w:ascii="宋体" w:eastAsia="宋体" w:hAnsi="宋体" w:cs="宋体" w:hint="eastAsia"/>
          <w:spacing w:val="-3"/>
          <w:kern w:val="2"/>
          <w:lang w:eastAsia="zh-CN"/>
        </w:rPr>
        <w:t>乙方</w:t>
      </w:r>
      <w:r>
        <w:rPr>
          <w:rFonts w:ascii="宋体" w:eastAsia="宋体" w:hAnsi="宋体" w:cs="宋体" w:hint="eastAsia"/>
          <w:spacing w:val="-3"/>
          <w:kern w:val="2"/>
          <w:lang w:eastAsia="zh-CN"/>
        </w:rPr>
        <w:t>开展或引入的经营活动不得涉及如下负面清单列示的业态：</w:t>
      </w:r>
    </w:p>
    <w:p>
      <w:pPr>
        <w:widowControl w:val="0"/>
        <w:kinsoku w:val="0"/>
        <w:autoSpaceDE w:val="0"/>
        <w:autoSpaceDN w:val="0"/>
        <w:adjustRightInd w:val="0"/>
        <w:snapToGrid w:val="0"/>
        <w:spacing w:before="99" w:line="219" w:lineRule="auto"/>
        <w:ind w:left="468"/>
        <w:jc w:val="both"/>
        <w:textAlignment w:val="baseline"/>
        <w:rPr>
          <w:rFonts w:ascii="宋体" w:eastAsia="宋体" w:hAnsi="宋体" w:cs="宋体" w:hint="eastAsia"/>
          <w:kern w:val="2"/>
          <w:lang w:eastAsia="zh-CN"/>
        </w:rPr>
      </w:pPr>
      <w:r>
        <w:rPr>
          <w:rFonts w:ascii="宋体" w:eastAsia="宋体" w:hAnsi="宋体" w:cs="宋体" w:hint="eastAsia"/>
          <w:spacing w:val="-3"/>
          <w:kern w:val="2"/>
          <w:lang w:eastAsia="zh-CN"/>
        </w:rPr>
        <w:t>（1）歌舞厅、游戏机厅、KTV等娱乐活动；</w:t>
      </w:r>
    </w:p>
    <w:p>
      <w:pPr>
        <w:widowControl w:val="0"/>
        <w:kinsoku w:val="0"/>
        <w:autoSpaceDE w:val="0"/>
        <w:autoSpaceDN w:val="0"/>
        <w:adjustRightInd w:val="0"/>
        <w:snapToGrid w:val="0"/>
        <w:spacing w:before="99" w:line="220" w:lineRule="auto"/>
        <w:ind w:left="468"/>
        <w:jc w:val="both"/>
        <w:textAlignment w:val="baseline"/>
        <w:rPr>
          <w:rFonts w:ascii="宋体" w:eastAsia="宋体" w:hAnsi="宋体" w:cs="宋体" w:hint="eastAsia"/>
          <w:kern w:val="2"/>
          <w:lang w:eastAsia="zh-CN"/>
        </w:rPr>
      </w:pPr>
      <w:r>
        <w:rPr>
          <w:rFonts w:ascii="宋体" w:eastAsia="宋体" w:hAnsi="宋体" w:cs="宋体" w:hint="eastAsia"/>
          <w:spacing w:val="-4"/>
          <w:kern w:val="2"/>
          <w:lang w:eastAsia="zh-CN"/>
        </w:rPr>
        <w:t>（2）产生高噪音和环境污染的非文化活动；</w:t>
      </w:r>
    </w:p>
    <w:p>
      <w:pPr>
        <w:widowControl w:val="0"/>
        <w:kinsoku w:val="0"/>
        <w:autoSpaceDE w:val="0"/>
        <w:autoSpaceDN w:val="0"/>
        <w:adjustRightInd w:val="0"/>
        <w:snapToGrid w:val="0"/>
        <w:spacing w:before="98" w:line="220" w:lineRule="auto"/>
        <w:ind w:left="468"/>
        <w:jc w:val="both"/>
        <w:textAlignment w:val="baseline"/>
        <w:rPr>
          <w:rFonts w:ascii="宋体" w:eastAsia="宋体" w:hAnsi="宋体" w:cs="宋体" w:hint="eastAsia"/>
          <w:kern w:val="2"/>
          <w:lang w:eastAsia="zh-CN"/>
        </w:rPr>
      </w:pPr>
      <w:r>
        <w:rPr>
          <w:rFonts w:ascii="宋体" w:eastAsia="宋体" w:hAnsi="宋体" w:cs="宋体" w:hint="eastAsia"/>
          <w:spacing w:val="-3"/>
          <w:kern w:val="2"/>
          <w:lang w:eastAsia="zh-CN"/>
        </w:rPr>
        <w:t>（3）违法以及违背公序良俗，如赌场经营</w:t>
      </w:r>
      <w:r>
        <w:rPr>
          <w:rFonts w:ascii="宋体" w:eastAsia="宋体" w:hAnsi="宋体" w:cs="宋体" w:hint="eastAsia"/>
          <w:spacing w:val="-4"/>
          <w:kern w:val="2"/>
          <w:lang w:eastAsia="zh-CN"/>
        </w:rPr>
        <w:t>等；</w:t>
      </w:r>
    </w:p>
    <w:p>
      <w:pPr>
        <w:widowControl w:val="0"/>
        <w:kinsoku w:val="0"/>
        <w:autoSpaceDE w:val="0"/>
        <w:autoSpaceDN w:val="0"/>
        <w:adjustRightInd w:val="0"/>
        <w:snapToGrid w:val="0"/>
        <w:spacing w:before="98" w:line="219" w:lineRule="auto"/>
        <w:ind w:left="468"/>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（4）对运营效果或本项目的形象产生不良影响的，如足浴城、按摩店等；</w:t>
      </w:r>
    </w:p>
    <w:p>
      <w:pPr>
        <w:widowControl w:val="0"/>
        <w:kinsoku w:val="0"/>
        <w:autoSpaceDE w:val="0"/>
        <w:autoSpaceDN w:val="0"/>
        <w:adjustRightInd w:val="0"/>
        <w:snapToGrid w:val="0"/>
        <w:spacing w:before="100" w:line="262" w:lineRule="auto"/>
        <w:ind w:left="64" w:right="304" w:firstLine="403"/>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（5）有可能招致公众批评或反对，经过解释与补救之后仍然无法消除影响的项</w:t>
      </w:r>
      <w:r>
        <w:rPr>
          <w:rFonts w:ascii="宋体" w:eastAsia="宋体" w:hAnsi="宋体" w:cs="宋体" w:hint="eastAsia"/>
          <w:spacing w:val="-21"/>
          <w:kern w:val="2"/>
          <w:lang w:eastAsia="zh-CN"/>
        </w:rPr>
        <w:t>目。</w:t>
      </w:r>
    </w:p>
    <w:p>
      <w:pPr>
        <w:widowControl w:val="0"/>
        <w:kinsoku w:val="0"/>
        <w:autoSpaceDE w:val="0"/>
        <w:autoSpaceDN w:val="0"/>
        <w:adjustRightInd w:val="0"/>
        <w:snapToGrid w:val="0"/>
        <w:spacing w:before="94" w:line="220" w:lineRule="auto"/>
        <w:ind w:left="464"/>
        <w:jc w:val="both"/>
        <w:textAlignment w:val="baseline"/>
        <w:rPr>
          <w:rFonts w:ascii="宋体" w:eastAsia="宋体" w:hAnsi="宋体" w:cs="宋体" w:hint="eastAsia"/>
          <w:kern w:val="2"/>
          <w:lang w:eastAsia="zh-CN"/>
        </w:rPr>
      </w:pPr>
      <w:r>
        <w:rPr>
          <w:rFonts w:ascii="宋体" w:eastAsia="宋体" w:hAnsi="宋体" w:cs="宋体" w:hint="eastAsia"/>
          <w:b/>
          <w:bCs/>
          <w:spacing w:val="-4"/>
          <w:kern w:val="2"/>
          <w:lang w:eastAsia="zh-CN"/>
        </w:rPr>
        <w:t>六、履约保障</w:t>
      </w:r>
    </w:p>
    <w:p>
      <w:pPr>
        <w:widowControl w:val="0"/>
        <w:kinsoku w:val="0"/>
        <w:autoSpaceDE w:val="0"/>
        <w:autoSpaceDN w:val="0"/>
        <w:adjustRightInd w:val="0"/>
        <w:snapToGrid w:val="0"/>
        <w:spacing w:before="99" w:line="220" w:lineRule="auto"/>
        <w:ind w:left="501"/>
        <w:jc w:val="both"/>
        <w:textAlignment w:val="baseline"/>
        <w:rPr>
          <w:rFonts w:ascii="宋体" w:eastAsia="宋体" w:hAnsi="宋体" w:cs="宋体" w:hint="eastAsia"/>
          <w:kern w:val="2"/>
          <w:lang w:eastAsia="zh-CN"/>
        </w:rPr>
      </w:pPr>
      <w:r>
        <w:rPr>
          <w:rFonts w:ascii="宋体" w:eastAsia="宋体" w:hAnsi="宋体" w:cs="宋体" w:hint="eastAsia"/>
          <w:spacing w:val="-6"/>
          <w:kern w:val="2"/>
          <w:lang w:eastAsia="zh-CN"/>
        </w:rPr>
        <w:t>（一）</w:t>
      </w:r>
      <w:r>
        <w:rPr>
          <w:rFonts w:ascii="宋体" w:eastAsia="宋体" w:hAnsi="宋体" w:cs="宋体" w:hint="eastAsia"/>
          <w:spacing w:val="-6"/>
          <w:kern w:val="2"/>
          <w:lang w:eastAsia="zh-CN"/>
        </w:rPr>
        <w:t>强制保险方案</w:t>
      </w:r>
    </w:p>
    <w:p>
      <w:pPr>
        <w:widowControl w:val="0"/>
        <w:kinsoku w:val="0"/>
        <w:autoSpaceDE w:val="0"/>
        <w:autoSpaceDN w:val="0"/>
        <w:adjustRightInd w:val="0"/>
        <w:snapToGrid w:val="0"/>
        <w:spacing w:before="98" w:line="293" w:lineRule="auto"/>
        <w:ind w:left="21" w:right="180" w:firstLine="440"/>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运营期间可能遇到不可预期或不可控制的风险，购买保险</w:t>
      </w:r>
      <w:r>
        <w:rPr>
          <w:rFonts w:ascii="宋体" w:eastAsia="宋体" w:hAnsi="宋体" w:cs="宋体" w:hint="eastAsia"/>
          <w:spacing w:val="-1"/>
          <w:kern w:val="2"/>
          <w:lang w:eastAsia="zh-CN"/>
        </w:rPr>
        <w:t>作为风险转移的重要措</w:t>
      </w:r>
      <w:r>
        <w:rPr>
          <w:rFonts w:ascii="宋体" w:eastAsia="宋体" w:hAnsi="宋体" w:cs="宋体" w:hint="eastAsia"/>
          <w:kern w:val="2"/>
          <w:lang w:eastAsia="zh-CN"/>
        </w:rPr>
        <w:t>施，在一定程度上可以弥补</w:t>
      </w:r>
      <w:r>
        <w:rPr>
          <w:rFonts w:ascii="宋体" w:eastAsia="宋体" w:hAnsi="宋体" w:cs="宋体" w:hint="eastAsia"/>
          <w:kern w:val="2"/>
          <w:lang w:eastAsia="zh-CN"/>
        </w:rPr>
        <w:t>乙方</w:t>
      </w:r>
      <w:r>
        <w:rPr>
          <w:rFonts w:ascii="宋体" w:eastAsia="宋体" w:hAnsi="宋体" w:cs="宋体" w:hint="eastAsia"/>
          <w:kern w:val="2"/>
          <w:lang w:eastAsia="zh-CN"/>
        </w:rPr>
        <w:t>的损失。故</w:t>
      </w:r>
      <w:r>
        <w:rPr>
          <w:rFonts w:ascii="宋体" w:eastAsia="宋体" w:hAnsi="宋体" w:cs="宋体" w:hint="eastAsia"/>
          <w:kern w:val="2"/>
          <w:lang w:eastAsia="zh-CN"/>
        </w:rPr>
        <w:t>乙方</w:t>
      </w:r>
      <w:r>
        <w:rPr>
          <w:rFonts w:ascii="宋体" w:eastAsia="宋体" w:hAnsi="宋体" w:cs="宋体" w:hint="eastAsia"/>
          <w:spacing w:val="-1"/>
          <w:kern w:val="2"/>
          <w:lang w:eastAsia="zh-CN"/>
        </w:rPr>
        <w:t>应按行业的国家管</w:t>
      </w:r>
      <w:r>
        <w:rPr>
          <w:rFonts w:ascii="宋体" w:eastAsia="宋体" w:hAnsi="宋体" w:cs="宋体" w:hint="eastAsia"/>
          <w:spacing w:val="-3"/>
          <w:kern w:val="2"/>
          <w:lang w:eastAsia="zh-CN"/>
        </w:rPr>
        <w:t>理规定办理和维持合理的运营保险。</w:t>
      </w:r>
    </w:p>
    <w:p>
      <w:pPr>
        <w:widowControl w:val="0"/>
        <w:kinsoku w:val="0"/>
        <w:autoSpaceDE w:val="0"/>
        <w:autoSpaceDN w:val="0"/>
        <w:adjustRightInd w:val="0"/>
        <w:snapToGrid w:val="0"/>
        <w:spacing w:before="98" w:line="293" w:lineRule="auto"/>
        <w:ind w:left="21" w:right="180" w:firstLine="440"/>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乙方</w:t>
      </w:r>
      <w:r>
        <w:rPr>
          <w:rFonts w:ascii="宋体" w:eastAsia="宋体" w:hAnsi="宋体" w:cs="宋体" w:hint="eastAsia"/>
          <w:kern w:val="2"/>
          <w:lang w:eastAsia="zh-CN"/>
        </w:rPr>
        <w:t>应在本项目运营期开始之日起十五（15）日内，足额投保本项目的财产一切险、公众责任险及其他法律法规规定的保险险种，</w:t>
      </w:r>
      <w:r>
        <w:rPr>
          <w:rFonts w:ascii="宋体" w:eastAsia="宋体" w:hAnsi="宋体" w:cs="宋体" w:hint="eastAsia"/>
          <w:kern w:val="2"/>
          <w:lang w:eastAsia="zh-CN"/>
        </w:rPr>
        <w:t>乙方</w:t>
      </w:r>
      <w:r>
        <w:rPr>
          <w:rFonts w:ascii="宋体" w:eastAsia="宋体" w:hAnsi="宋体" w:cs="宋体" w:hint="eastAsia"/>
          <w:kern w:val="2"/>
          <w:lang w:eastAsia="zh-CN"/>
        </w:rPr>
        <w:t>及</w:t>
      </w:r>
      <w:r>
        <w:rPr>
          <w:rFonts w:ascii="宋体" w:eastAsia="宋体" w:hAnsi="宋体" w:cs="宋体" w:hint="eastAsia"/>
          <w:kern w:val="2"/>
          <w:lang w:eastAsia="zh-CN"/>
        </w:rPr>
        <w:t>甲方</w:t>
      </w:r>
      <w:r>
        <w:rPr>
          <w:rFonts w:ascii="宋体" w:eastAsia="宋体" w:hAnsi="宋体" w:cs="宋体" w:hint="eastAsia"/>
          <w:kern w:val="2"/>
          <w:lang w:eastAsia="zh-CN"/>
        </w:rPr>
        <w:t>为共同被保险人。</w:t>
      </w:r>
      <w:r>
        <w:rPr>
          <w:rFonts w:ascii="宋体" w:eastAsia="宋体" w:hAnsi="宋体" w:cs="宋体" w:hint="eastAsia"/>
          <w:kern w:val="2"/>
          <w:lang w:eastAsia="zh-CN"/>
        </w:rPr>
        <w:t>乙方</w:t>
      </w:r>
      <w:r>
        <w:rPr>
          <w:rFonts w:ascii="宋体" w:eastAsia="宋体" w:hAnsi="宋体" w:cs="宋体" w:hint="eastAsia"/>
          <w:kern w:val="2"/>
          <w:lang w:eastAsia="zh-CN"/>
        </w:rPr>
        <w:t>应同时维持项目运营期内保险始终足额、有效。保险合同文件应于签署之日起七（7）日内提交</w:t>
      </w:r>
      <w:r>
        <w:rPr>
          <w:rFonts w:ascii="宋体" w:eastAsia="宋体" w:hAnsi="宋体" w:cs="宋体" w:hint="eastAsia"/>
          <w:kern w:val="2"/>
          <w:lang w:eastAsia="zh-CN"/>
        </w:rPr>
        <w:t>甲方</w:t>
      </w:r>
      <w:r>
        <w:rPr>
          <w:rFonts w:ascii="宋体" w:eastAsia="宋体" w:hAnsi="宋体" w:cs="宋体" w:hint="eastAsia"/>
          <w:kern w:val="2"/>
          <w:lang w:eastAsia="zh-CN"/>
        </w:rPr>
        <w:t>备案。</w:t>
      </w:r>
    </w:p>
    <w:p>
      <w:pPr>
        <w:widowControl w:val="0"/>
        <w:kinsoku w:val="0"/>
        <w:autoSpaceDE w:val="0"/>
        <w:autoSpaceDN w:val="0"/>
        <w:adjustRightInd w:val="0"/>
        <w:snapToGrid w:val="0"/>
        <w:spacing w:before="32" w:line="220" w:lineRule="auto"/>
        <w:ind w:left="501"/>
        <w:jc w:val="both"/>
        <w:textAlignment w:val="baseline"/>
        <w:rPr>
          <w:rFonts w:ascii="宋体" w:eastAsia="宋体" w:hAnsi="宋体" w:cs="宋体" w:hint="eastAsia"/>
          <w:spacing w:val="-7"/>
          <w:kern w:val="2"/>
          <w:lang w:eastAsia="zh-CN"/>
        </w:rPr>
      </w:pPr>
      <w:r>
        <w:rPr>
          <w:rFonts w:ascii="宋体" w:eastAsia="宋体" w:hAnsi="宋体" w:cs="宋体" w:hint="eastAsia"/>
          <w:spacing w:val="-7"/>
          <w:kern w:val="2"/>
          <w:lang w:eastAsia="zh-CN"/>
        </w:rPr>
        <w:t>（二）</w:t>
      </w:r>
      <w:r>
        <w:rPr>
          <w:rFonts w:ascii="宋体" w:eastAsia="宋体" w:hAnsi="宋体" w:cs="宋体" w:hint="eastAsia"/>
          <w:spacing w:val="-7"/>
          <w:kern w:val="2"/>
          <w:lang w:eastAsia="zh-CN"/>
        </w:rPr>
        <w:t>履约担保体系</w:t>
      </w:r>
    </w:p>
    <w:p>
      <w:pPr>
        <w:widowControl w:val="0"/>
        <w:kinsoku w:val="0"/>
        <w:autoSpaceDE w:val="0"/>
        <w:autoSpaceDN w:val="0"/>
        <w:adjustRightInd w:val="0"/>
        <w:snapToGrid w:val="0"/>
        <w:spacing w:before="98" w:line="293" w:lineRule="auto"/>
        <w:ind w:left="21" w:right="180" w:firstLine="440"/>
        <w:jc w:val="both"/>
        <w:textAlignment w:val="baseline"/>
        <w:rPr>
          <w:rFonts w:ascii="宋体" w:eastAsia="宋体" w:hAnsi="宋体" w:cs="宋体" w:hint="eastAsia"/>
          <w:spacing w:val="-7"/>
          <w:kern w:val="2"/>
          <w:lang w:eastAsia="zh-CN"/>
        </w:rPr>
      </w:pPr>
      <w:r>
        <w:rPr>
          <w:rFonts w:ascii="宋体" w:eastAsia="宋体" w:hAnsi="宋体" w:cs="宋体" w:hint="eastAsia"/>
          <w:kern w:val="2"/>
          <w:lang w:eastAsia="zh-CN"/>
        </w:rPr>
        <w:t>履约担保体系主要包括运营维护保函及移交维修保函。任一保函被提取任意金额后，</w:t>
      </w:r>
      <w:r>
        <w:rPr>
          <w:rFonts w:ascii="宋体" w:eastAsia="宋体" w:hAnsi="宋体" w:cs="宋体" w:hint="eastAsia"/>
          <w:kern w:val="2"/>
          <w:lang w:eastAsia="zh-CN"/>
        </w:rPr>
        <w:t>乙方</w:t>
      </w:r>
      <w:r>
        <w:rPr>
          <w:rFonts w:ascii="宋体" w:eastAsia="宋体" w:hAnsi="宋体" w:cs="宋体" w:hint="eastAsia"/>
          <w:kern w:val="2"/>
          <w:lang w:eastAsia="zh-CN"/>
        </w:rPr>
        <w:t>应在运营合同约定期限内将保函担保金额恢复至原始金额。</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0"/>
        <w:gridCol w:w="3626"/>
        <w:gridCol w:w="425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43"/>
          <w:jc w:val="center"/>
        </w:trPr>
        <w:tc>
          <w:tcPr>
            <w:tcW w:w="8371" w:type="dxa"/>
            <w:gridSpan w:val="3"/>
            <w:tcBorders>
              <w:top w:val="nil"/>
              <w:left w:val="nil"/>
              <w:bottom w:val="single" w:sz="4" w:space="0" w:color="auto"/>
              <w:right w:val="nil"/>
            </w:tcBorders>
            <w:noWrap w:val="0"/>
            <w:vAlign w:val="center"/>
          </w:tcPr>
          <w:p>
            <w:pPr>
              <w:widowControl w:val="0"/>
              <w:jc w:val="center"/>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t>项目履约担保体系</w:t>
            </w:r>
          </w:p>
        </w:tc>
      </w:tr>
      <w:tr>
        <w:tblPrEx>
          <w:tblW w:w="5000" w:type="pct"/>
          <w:jc w:val="center"/>
          <w:tblLayout w:type="fixed"/>
          <w:tblCellMar>
            <w:top w:w="0" w:type="dxa"/>
            <w:left w:w="108" w:type="dxa"/>
            <w:bottom w:w="0" w:type="dxa"/>
            <w:right w:w="108" w:type="dxa"/>
          </w:tblCellMar>
        </w:tblPrEx>
        <w:trPr>
          <w:trHeight w:val="643"/>
          <w:jc w:val="center"/>
        </w:trPr>
        <w:tc>
          <w:tcPr>
            <w:tcW w:w="1271" w:type="dxa"/>
            <w:tcBorders>
              <w:top w:val="single" w:sz="4" w:space="0" w:color="auto"/>
            </w:tcBorders>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条款</w:t>
            </w:r>
          </w:p>
        </w:tc>
        <w:tc>
          <w:tcPr>
            <w:tcW w:w="3268" w:type="dxa"/>
            <w:tcBorders>
              <w:top w:val="single" w:sz="4" w:space="0" w:color="auto"/>
            </w:tcBorders>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运营维护保函</w:t>
            </w:r>
          </w:p>
        </w:tc>
        <w:tc>
          <w:tcPr>
            <w:tcW w:w="3832" w:type="dxa"/>
            <w:tcBorders>
              <w:top w:val="single" w:sz="4" w:space="0" w:color="auto"/>
            </w:tcBorders>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移交维修保函</w:t>
            </w:r>
          </w:p>
        </w:tc>
      </w:tr>
      <w:tr>
        <w:tblPrEx>
          <w:tblW w:w="5000" w:type="pct"/>
          <w:jc w:val="center"/>
          <w:tblLayout w:type="fixed"/>
          <w:tblCellMar>
            <w:top w:w="0" w:type="dxa"/>
            <w:left w:w="108" w:type="dxa"/>
            <w:bottom w:w="0" w:type="dxa"/>
            <w:right w:w="108" w:type="dxa"/>
          </w:tblCellMar>
        </w:tblPrEx>
        <w:trPr>
          <w:trHeight w:val="487"/>
          <w:jc w:val="center"/>
        </w:trPr>
        <w:tc>
          <w:tcPr>
            <w:tcW w:w="1271"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提交主体</w:t>
            </w:r>
          </w:p>
        </w:tc>
        <w:tc>
          <w:tcPr>
            <w:tcW w:w="3268"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乙方</w:t>
            </w:r>
          </w:p>
        </w:tc>
        <w:tc>
          <w:tcPr>
            <w:tcW w:w="3832"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乙方</w:t>
            </w:r>
          </w:p>
        </w:tc>
      </w:tr>
      <w:tr>
        <w:tblPrEx>
          <w:tblW w:w="5000" w:type="pct"/>
          <w:jc w:val="center"/>
          <w:tblLayout w:type="fixed"/>
          <w:tblCellMar>
            <w:top w:w="0" w:type="dxa"/>
            <w:left w:w="108" w:type="dxa"/>
            <w:bottom w:w="0" w:type="dxa"/>
            <w:right w:w="108" w:type="dxa"/>
          </w:tblCellMar>
        </w:tblPrEx>
        <w:trPr>
          <w:trHeight w:val="692"/>
          <w:jc w:val="center"/>
        </w:trPr>
        <w:tc>
          <w:tcPr>
            <w:tcW w:w="1271"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提交时间</w:t>
            </w:r>
          </w:p>
        </w:tc>
        <w:tc>
          <w:tcPr>
            <w:tcW w:w="3268" w:type="dxa"/>
            <w:noWrap w:val="0"/>
            <w:vAlign w:val="center"/>
          </w:tcPr>
          <w:p>
            <w:pPr>
              <w:widowControl w:val="0"/>
              <w:jc w:val="center"/>
              <w:rPr>
                <w:rFonts w:ascii="宋体" w:eastAsia="宋体" w:hAnsi="宋体" w:cs="宋体" w:hint="eastAsia"/>
                <w:kern w:val="2"/>
                <w:sz w:val="21"/>
                <w:szCs w:val="21"/>
                <w:lang w:eastAsia="zh-CN"/>
              </w:rPr>
            </w:pPr>
            <w:bookmarkStart w:id="15" w:name="_Hlk517897195"/>
            <w:r>
              <w:rPr>
                <w:rFonts w:ascii="宋体" w:eastAsia="宋体" w:hAnsi="宋体" w:cs="宋体" w:hint="eastAsia"/>
                <w:kern w:val="2"/>
                <w:sz w:val="21"/>
                <w:szCs w:val="21"/>
                <w:lang w:eastAsia="zh-CN"/>
              </w:rPr>
              <w:t>运营合同</w:t>
            </w:r>
            <w:bookmarkEnd w:id="15"/>
            <w:r>
              <w:rPr>
                <w:rFonts w:ascii="宋体" w:eastAsia="宋体" w:hAnsi="宋体" w:cs="宋体" w:hint="eastAsia"/>
                <w:kern w:val="2"/>
                <w:sz w:val="21"/>
                <w:szCs w:val="21"/>
                <w:lang w:eastAsia="zh-CN"/>
              </w:rPr>
              <w:t>签订后30日内</w:t>
            </w:r>
          </w:p>
        </w:tc>
        <w:tc>
          <w:tcPr>
            <w:tcW w:w="3832"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合作期最后一个运营年开始前十五个工作日内</w:t>
            </w:r>
          </w:p>
        </w:tc>
      </w:tr>
      <w:tr>
        <w:tblPrEx>
          <w:tblW w:w="5000" w:type="pct"/>
          <w:jc w:val="center"/>
          <w:tblLayout w:type="fixed"/>
          <w:tblCellMar>
            <w:top w:w="0" w:type="dxa"/>
            <w:left w:w="108" w:type="dxa"/>
            <w:bottom w:w="0" w:type="dxa"/>
            <w:right w:w="108" w:type="dxa"/>
          </w:tblCellMar>
        </w:tblPrEx>
        <w:trPr>
          <w:trHeight w:val="561"/>
          <w:jc w:val="center"/>
        </w:trPr>
        <w:tc>
          <w:tcPr>
            <w:tcW w:w="1271"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退还时间</w:t>
            </w:r>
          </w:p>
        </w:tc>
        <w:tc>
          <w:tcPr>
            <w:tcW w:w="3268"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运营主体提交移交维修保函后</w:t>
            </w:r>
          </w:p>
        </w:tc>
        <w:tc>
          <w:tcPr>
            <w:tcW w:w="3832"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项目移交完毕后</w:t>
            </w:r>
          </w:p>
        </w:tc>
      </w:tr>
      <w:tr>
        <w:tblPrEx>
          <w:tblW w:w="5000" w:type="pct"/>
          <w:jc w:val="center"/>
          <w:tblLayout w:type="fixed"/>
          <w:tblCellMar>
            <w:top w:w="0" w:type="dxa"/>
            <w:left w:w="108" w:type="dxa"/>
            <w:bottom w:w="0" w:type="dxa"/>
            <w:right w:w="108" w:type="dxa"/>
          </w:tblCellMar>
        </w:tblPrEx>
        <w:trPr>
          <w:trHeight w:val="144"/>
          <w:jc w:val="center"/>
        </w:trPr>
        <w:tc>
          <w:tcPr>
            <w:tcW w:w="1271"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担保金额</w:t>
            </w:r>
          </w:p>
        </w:tc>
        <w:tc>
          <w:tcPr>
            <w:tcW w:w="3268"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100万元</w:t>
            </w:r>
          </w:p>
        </w:tc>
        <w:tc>
          <w:tcPr>
            <w:tcW w:w="3832"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00万元</w:t>
            </w:r>
          </w:p>
        </w:tc>
      </w:tr>
      <w:tr>
        <w:tblPrEx>
          <w:tblW w:w="5000" w:type="pct"/>
          <w:jc w:val="center"/>
          <w:tblLayout w:type="fixed"/>
          <w:tblCellMar>
            <w:top w:w="0" w:type="dxa"/>
            <w:left w:w="108" w:type="dxa"/>
            <w:bottom w:w="0" w:type="dxa"/>
            <w:right w:w="108" w:type="dxa"/>
          </w:tblCellMar>
        </w:tblPrEx>
        <w:trPr>
          <w:trHeight w:val="144"/>
          <w:jc w:val="center"/>
        </w:trPr>
        <w:tc>
          <w:tcPr>
            <w:tcW w:w="1271"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受益人</w:t>
            </w:r>
          </w:p>
        </w:tc>
        <w:tc>
          <w:tcPr>
            <w:tcW w:w="3268"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甲方</w:t>
            </w:r>
          </w:p>
        </w:tc>
        <w:tc>
          <w:tcPr>
            <w:tcW w:w="3832"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甲方</w:t>
            </w:r>
          </w:p>
        </w:tc>
      </w:tr>
      <w:tr>
        <w:tblPrEx>
          <w:tblW w:w="5000" w:type="pct"/>
          <w:jc w:val="center"/>
          <w:tblLayout w:type="fixed"/>
          <w:tblCellMar>
            <w:top w:w="0" w:type="dxa"/>
            <w:left w:w="108" w:type="dxa"/>
            <w:bottom w:w="0" w:type="dxa"/>
            <w:right w:w="108" w:type="dxa"/>
          </w:tblCellMar>
        </w:tblPrEx>
        <w:trPr>
          <w:trHeight w:val="699"/>
          <w:jc w:val="center"/>
        </w:trPr>
        <w:tc>
          <w:tcPr>
            <w:tcW w:w="1271"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担保事项</w:t>
            </w:r>
          </w:p>
        </w:tc>
        <w:tc>
          <w:tcPr>
            <w:tcW w:w="3268" w:type="dxa"/>
            <w:noWrap w:val="0"/>
            <w:vAlign w:val="center"/>
          </w:tcPr>
          <w:p>
            <w:pPr>
              <w:widowControl w:val="0"/>
              <w:spacing w:after="0" w:line="360" w:lineRule="auto"/>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功能优化升级的投入及效果、建（构）筑物的维护与保养、设备维修维护、项目运营效率、持续稳定普遍服务义务、服务质量反馈情况、安全保障、移交维修保函提交等。</w:t>
            </w:r>
          </w:p>
        </w:tc>
        <w:tc>
          <w:tcPr>
            <w:tcW w:w="3832" w:type="dxa"/>
            <w:noWrap w:val="0"/>
            <w:vAlign w:val="center"/>
          </w:tcPr>
          <w:p>
            <w:pPr>
              <w:widowControl w:val="0"/>
              <w:spacing w:after="0" w:line="360" w:lineRule="auto"/>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最后一个运营年的运营效果、服务质量、建（构）筑物的移交、主要设备移交标准、全套项目文档及知识产权移交、人员培训、建（构）筑物与项目设施存在隐蔽性缺陷修复、经证明由于</w:t>
            </w:r>
            <w:r>
              <w:rPr>
                <w:rFonts w:ascii="宋体" w:eastAsia="宋体" w:hAnsi="宋体" w:cs="宋体" w:hint="eastAsia"/>
                <w:b/>
                <w:bCs/>
                <w:kern w:val="2"/>
                <w:sz w:val="21"/>
                <w:szCs w:val="21"/>
                <w:lang w:eastAsia="zh-CN"/>
              </w:rPr>
              <w:t>乙方</w:t>
            </w:r>
            <w:r>
              <w:rPr>
                <w:rFonts w:ascii="宋体" w:eastAsia="宋体" w:hAnsi="宋体" w:cs="宋体" w:hint="eastAsia"/>
                <w:b/>
                <w:bCs/>
                <w:kern w:val="2"/>
                <w:sz w:val="21"/>
                <w:szCs w:val="21"/>
                <w:lang w:eastAsia="zh-CN"/>
              </w:rPr>
              <w:t>合作期内对设施的运营不善所造成的瑕疵修复等。</w:t>
            </w:r>
          </w:p>
        </w:tc>
      </w:tr>
    </w:tbl>
    <w:p>
      <w:pPr>
        <w:widowControl w:val="0"/>
        <w:kinsoku w:val="0"/>
        <w:autoSpaceDE w:val="0"/>
        <w:autoSpaceDN w:val="0"/>
        <w:adjustRightInd w:val="0"/>
        <w:snapToGrid w:val="0"/>
        <w:spacing w:before="32" w:line="220" w:lineRule="auto"/>
        <w:ind w:left="501"/>
        <w:jc w:val="both"/>
        <w:textAlignment w:val="baseline"/>
        <w:rPr>
          <w:rFonts w:ascii="宋体" w:eastAsia="宋体" w:hAnsi="宋体" w:cs="宋体" w:hint="eastAsia"/>
          <w:spacing w:val="-7"/>
          <w:kern w:val="2"/>
          <w:lang w:eastAsia="zh-CN"/>
        </w:rPr>
      </w:pPr>
    </w:p>
    <w:p>
      <w:pPr>
        <w:widowControl w:val="0"/>
        <w:kinsoku w:val="0"/>
        <w:autoSpaceDE w:val="0"/>
        <w:autoSpaceDN w:val="0"/>
        <w:adjustRightInd w:val="0"/>
        <w:snapToGrid w:val="0"/>
        <w:spacing w:before="32" w:line="220" w:lineRule="auto"/>
        <w:ind w:left="501"/>
        <w:jc w:val="both"/>
        <w:textAlignment w:val="baseline"/>
        <w:rPr>
          <w:rFonts w:ascii="宋体" w:eastAsia="宋体" w:hAnsi="宋体" w:cs="宋体" w:hint="eastAsia"/>
          <w:kern w:val="2"/>
          <w:lang w:eastAsia="zh-CN"/>
        </w:rPr>
      </w:pPr>
      <w:r>
        <w:rPr>
          <w:rFonts w:ascii="宋体" w:eastAsia="宋体" w:hAnsi="宋体" w:cs="宋体" w:hint="eastAsia"/>
          <w:spacing w:val="-7"/>
          <w:kern w:val="2"/>
          <w:lang w:eastAsia="zh-CN"/>
        </w:rPr>
        <w:t>（三）</w:t>
      </w:r>
      <w:r>
        <w:rPr>
          <w:rFonts w:ascii="宋体" w:eastAsia="宋体" w:hAnsi="宋体" w:cs="宋体" w:hint="eastAsia"/>
          <w:spacing w:val="-7"/>
          <w:kern w:val="2"/>
          <w:lang w:eastAsia="zh-CN"/>
        </w:rPr>
        <w:t>项目监管</w:t>
      </w:r>
    </w:p>
    <w:p>
      <w:pPr>
        <w:widowControl w:val="0"/>
        <w:kinsoku w:val="0"/>
        <w:autoSpaceDE w:val="0"/>
        <w:autoSpaceDN w:val="0"/>
        <w:adjustRightInd w:val="0"/>
        <w:snapToGrid w:val="0"/>
        <w:spacing w:before="99" w:line="218" w:lineRule="auto"/>
        <w:ind w:left="478"/>
        <w:jc w:val="both"/>
        <w:textAlignment w:val="baseline"/>
        <w:rPr>
          <w:rFonts w:ascii="宋体" w:eastAsia="宋体" w:hAnsi="宋体" w:cs="宋体" w:hint="eastAsia"/>
          <w:kern w:val="2"/>
          <w:lang w:eastAsia="zh-CN"/>
        </w:rPr>
      </w:pPr>
      <w:r>
        <w:rPr>
          <w:rFonts w:ascii="宋体" w:eastAsia="宋体" w:hAnsi="宋体" w:cs="宋体" w:hint="eastAsia"/>
          <w:spacing w:val="-4"/>
          <w:kern w:val="2"/>
          <w:lang w:eastAsia="zh-CN"/>
        </w:rPr>
        <w:t>1、运营维护总结报告</w:t>
      </w:r>
    </w:p>
    <w:p>
      <w:pPr>
        <w:widowControl w:val="0"/>
        <w:kinsoku w:val="0"/>
        <w:autoSpaceDE w:val="0"/>
        <w:autoSpaceDN w:val="0"/>
        <w:adjustRightInd w:val="0"/>
        <w:snapToGrid w:val="0"/>
        <w:spacing w:before="100" w:line="288" w:lineRule="auto"/>
        <w:ind w:left="21" w:right="191" w:firstLine="440"/>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运营期内，</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应于每个运营年度结束之日起三十（30）日内，向</w:t>
      </w:r>
      <w:r>
        <w:rPr>
          <w:rFonts w:ascii="宋体" w:eastAsia="宋体" w:hAnsi="宋体" w:cs="宋体" w:hint="eastAsia"/>
          <w:spacing w:val="-1"/>
          <w:kern w:val="2"/>
          <w:lang w:eastAsia="zh-CN"/>
        </w:rPr>
        <w:t>甲方</w:t>
      </w:r>
      <w:r>
        <w:rPr>
          <w:rFonts w:ascii="宋体" w:eastAsia="宋体" w:hAnsi="宋体" w:cs="宋体" w:hint="eastAsia"/>
          <w:spacing w:val="-3"/>
          <w:kern w:val="2"/>
          <w:lang w:eastAsia="zh-CN"/>
        </w:rPr>
        <w:t>提交上年度运营维护总结报告。</w:t>
      </w:r>
    </w:p>
    <w:p>
      <w:pPr>
        <w:widowControl w:val="0"/>
        <w:kinsoku w:val="0"/>
        <w:autoSpaceDE w:val="0"/>
        <w:autoSpaceDN w:val="0"/>
        <w:adjustRightInd w:val="0"/>
        <w:snapToGrid w:val="0"/>
        <w:spacing w:before="34" w:line="218" w:lineRule="auto"/>
        <w:ind w:left="465"/>
        <w:jc w:val="both"/>
        <w:textAlignment w:val="baseline"/>
        <w:rPr>
          <w:rFonts w:ascii="宋体" w:eastAsia="宋体" w:hAnsi="宋体" w:cs="宋体" w:hint="eastAsia"/>
          <w:spacing w:val="-4"/>
          <w:kern w:val="2"/>
          <w:lang w:eastAsia="zh-CN"/>
        </w:rPr>
      </w:pPr>
      <w:r>
        <w:rPr>
          <w:rFonts w:ascii="宋体" w:eastAsia="宋体" w:hAnsi="宋体" w:cs="宋体" w:hint="eastAsia"/>
          <w:spacing w:val="-4"/>
          <w:kern w:val="2"/>
          <w:lang w:eastAsia="zh-CN"/>
        </w:rPr>
        <w:t>2、财务报告</w:t>
      </w:r>
    </w:p>
    <w:p>
      <w:pPr>
        <w:widowControl w:val="0"/>
        <w:kinsoku w:val="0"/>
        <w:autoSpaceDE w:val="0"/>
        <w:autoSpaceDN w:val="0"/>
        <w:adjustRightInd w:val="0"/>
        <w:snapToGrid w:val="0"/>
        <w:spacing w:before="100" w:line="288" w:lineRule="auto"/>
        <w:ind w:left="21" w:right="191" w:firstLine="440"/>
        <w:jc w:val="both"/>
        <w:textAlignment w:val="baseline"/>
        <w:rPr>
          <w:rFonts w:ascii="宋体" w:eastAsia="宋体" w:hAnsi="宋体" w:cs="宋体" w:hint="eastAsia"/>
          <w:spacing w:val="-1"/>
          <w:kern w:val="2"/>
          <w:lang w:eastAsia="zh-CN"/>
        </w:rPr>
      </w:pPr>
      <w:r>
        <w:rPr>
          <w:rFonts w:ascii="宋体" w:eastAsia="宋体" w:hAnsi="宋体" w:cs="宋体" w:hint="eastAsia"/>
          <w:spacing w:val="-1"/>
          <w:kern w:val="2"/>
          <w:lang w:eastAsia="zh-CN"/>
        </w:rPr>
        <w:t>本项目运营期内，</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应为本项目运营维护设立专项账户，本项目支出及收入均通过专项账户单独核算。</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应建立合理的财务记录，以便准确确定项目各项收入、成本情况。</w:t>
      </w:r>
    </w:p>
    <w:p>
      <w:pPr>
        <w:widowControl w:val="0"/>
        <w:kinsoku w:val="0"/>
        <w:autoSpaceDE w:val="0"/>
        <w:autoSpaceDN w:val="0"/>
        <w:adjustRightInd w:val="0"/>
        <w:snapToGrid w:val="0"/>
        <w:spacing w:before="33" w:line="288" w:lineRule="auto"/>
        <w:ind w:left="21" w:right="180" w:firstLine="441"/>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本项目运营期内</w:t>
      </w:r>
      <w:r>
        <w:rPr>
          <w:rFonts w:ascii="宋体" w:eastAsia="宋体" w:hAnsi="宋体" w:cs="宋体" w:hint="eastAsia"/>
          <w:kern w:val="2"/>
          <w:lang w:eastAsia="zh-CN"/>
        </w:rPr>
        <w:t>，甲方</w:t>
      </w:r>
      <w:r>
        <w:rPr>
          <w:rFonts w:ascii="宋体" w:eastAsia="宋体" w:hAnsi="宋体" w:cs="宋体" w:hint="eastAsia"/>
          <w:kern w:val="2"/>
          <w:lang w:eastAsia="zh-CN"/>
        </w:rPr>
        <w:t>有权自行或者会同财政、审</w:t>
      </w:r>
      <w:r>
        <w:rPr>
          <w:rFonts w:ascii="宋体" w:eastAsia="宋体" w:hAnsi="宋体" w:cs="宋体" w:hint="eastAsia"/>
          <w:spacing w:val="-1"/>
          <w:kern w:val="2"/>
          <w:lang w:eastAsia="zh-CN"/>
        </w:rPr>
        <w:t>计等部门的相关人员组织</w:t>
      </w:r>
      <w:r>
        <w:rPr>
          <w:rFonts w:ascii="宋体" w:eastAsia="宋体" w:hAnsi="宋体" w:cs="宋体" w:hint="eastAsia"/>
          <w:spacing w:val="-2"/>
          <w:kern w:val="2"/>
          <w:lang w:eastAsia="zh-CN"/>
        </w:rPr>
        <w:t>对本项目运营情况进行财务审计，</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应予以配合。</w:t>
      </w:r>
    </w:p>
    <w:p>
      <w:pPr>
        <w:widowControl w:val="0"/>
        <w:kinsoku w:val="0"/>
        <w:autoSpaceDE w:val="0"/>
        <w:autoSpaceDN w:val="0"/>
        <w:adjustRightInd w:val="0"/>
        <w:snapToGrid w:val="0"/>
        <w:spacing w:before="32" w:line="220" w:lineRule="auto"/>
        <w:ind w:left="461"/>
        <w:jc w:val="both"/>
        <w:textAlignment w:val="baseline"/>
        <w:rPr>
          <w:rFonts w:ascii="宋体" w:eastAsia="宋体" w:hAnsi="宋体" w:cs="宋体" w:hint="eastAsia"/>
          <w:kern w:val="2"/>
          <w:lang w:eastAsia="zh-CN"/>
        </w:rPr>
      </w:pPr>
      <w:r>
        <w:rPr>
          <w:rFonts w:ascii="宋体" w:eastAsia="宋体" w:hAnsi="宋体" w:cs="宋体" w:hint="eastAsia"/>
          <w:b/>
          <w:bCs/>
          <w:spacing w:val="-3"/>
          <w:kern w:val="2"/>
          <w:lang w:eastAsia="zh-CN"/>
        </w:rPr>
        <w:t>七、其他要求</w:t>
      </w:r>
    </w:p>
    <w:p>
      <w:pPr>
        <w:widowControl w:val="0"/>
        <w:kinsoku w:val="0"/>
        <w:autoSpaceDE w:val="0"/>
        <w:autoSpaceDN w:val="0"/>
        <w:adjustRightInd w:val="0"/>
        <w:snapToGrid w:val="0"/>
        <w:spacing w:before="98" w:line="220" w:lineRule="auto"/>
        <w:ind w:left="501"/>
        <w:jc w:val="both"/>
        <w:textAlignment w:val="baseline"/>
        <w:rPr>
          <w:rFonts w:ascii="宋体" w:eastAsia="宋体" w:hAnsi="宋体" w:cs="宋体" w:hint="eastAsia"/>
          <w:kern w:val="2"/>
          <w:lang w:eastAsia="zh-CN"/>
        </w:rPr>
      </w:pPr>
      <w:r>
        <w:rPr>
          <w:rFonts w:ascii="宋体" w:eastAsia="宋体" w:hAnsi="宋体" w:cs="宋体" w:hint="eastAsia"/>
          <w:spacing w:val="-7"/>
          <w:kern w:val="2"/>
          <w:lang w:eastAsia="zh-CN"/>
        </w:rPr>
        <w:t>（一）</w:t>
      </w:r>
      <w:r>
        <w:rPr>
          <w:rFonts w:ascii="宋体" w:eastAsia="宋体" w:hAnsi="宋体" w:cs="宋体" w:hint="eastAsia"/>
          <w:spacing w:val="-7"/>
          <w:kern w:val="2"/>
          <w:lang w:eastAsia="zh-CN"/>
        </w:rPr>
        <w:t>应急预案</w:t>
      </w:r>
    </w:p>
    <w:p>
      <w:pPr>
        <w:widowControl w:val="0"/>
        <w:kinsoku w:val="0"/>
        <w:autoSpaceDE w:val="0"/>
        <w:autoSpaceDN w:val="0"/>
        <w:adjustRightInd w:val="0"/>
        <w:snapToGrid w:val="0"/>
        <w:spacing w:before="99" w:line="298" w:lineRule="auto"/>
        <w:ind w:left="22" w:right="70" w:firstLine="460"/>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应在本项目运营开始之日前，制定项目运营、管理、维护过程中的</w:t>
      </w:r>
      <w:r>
        <w:rPr>
          <w:rFonts w:ascii="宋体" w:eastAsia="宋体" w:hAnsi="宋体" w:cs="宋体" w:hint="eastAsia"/>
          <w:kern w:val="2"/>
          <w:lang w:eastAsia="zh-CN"/>
        </w:rPr>
        <w:t>应急管理预案，包括针对自然灾害、事故灾难、公共卫生事件</w:t>
      </w:r>
      <w:r>
        <w:rPr>
          <w:rFonts w:ascii="宋体" w:eastAsia="宋体" w:hAnsi="宋体" w:cs="宋体" w:hint="eastAsia"/>
          <w:spacing w:val="-1"/>
          <w:kern w:val="2"/>
          <w:lang w:eastAsia="zh-CN"/>
        </w:rPr>
        <w:t>、社会安全事件等各类</w:t>
      </w:r>
      <w:r>
        <w:rPr>
          <w:rFonts w:ascii="宋体" w:eastAsia="宋体" w:hAnsi="宋体" w:cs="宋体" w:hint="eastAsia"/>
          <w:kern w:val="2"/>
          <w:lang w:eastAsia="zh-CN"/>
        </w:rPr>
        <w:t>可能发生的事故和所有危险源制定应急预案和现场处置方案，</w:t>
      </w:r>
      <w:r>
        <w:rPr>
          <w:rFonts w:ascii="宋体" w:eastAsia="宋体" w:hAnsi="宋体" w:cs="宋体" w:hint="eastAsia"/>
          <w:spacing w:val="-1"/>
          <w:kern w:val="2"/>
          <w:lang w:eastAsia="zh-CN"/>
        </w:rPr>
        <w:t>明确事前、事中、事后</w:t>
      </w:r>
      <w:r>
        <w:rPr>
          <w:rFonts w:ascii="宋体" w:eastAsia="宋体" w:hAnsi="宋体" w:cs="宋体" w:hint="eastAsia"/>
          <w:kern w:val="2"/>
          <w:lang w:eastAsia="zh-CN"/>
        </w:rPr>
        <w:t>的各个过程中相关部门和有关人员的职责。运营期内的所有管</w:t>
      </w:r>
      <w:r>
        <w:rPr>
          <w:rFonts w:ascii="宋体" w:eastAsia="宋体" w:hAnsi="宋体" w:cs="宋体" w:hint="eastAsia"/>
          <w:spacing w:val="-1"/>
          <w:kern w:val="2"/>
          <w:lang w:eastAsia="zh-CN"/>
        </w:rPr>
        <w:t>理制度及应急方案，均</w:t>
      </w:r>
      <w:r>
        <w:rPr>
          <w:rFonts w:ascii="宋体" w:eastAsia="宋体" w:hAnsi="宋体" w:cs="宋体" w:hint="eastAsia"/>
          <w:kern w:val="2"/>
          <w:lang w:eastAsia="zh-CN"/>
        </w:rPr>
        <w:t>应具有针对性和可操作性，并体现如何防范事故的发生，消除</w:t>
      </w:r>
      <w:r>
        <w:rPr>
          <w:rFonts w:ascii="宋体" w:eastAsia="宋体" w:hAnsi="宋体" w:cs="宋体" w:hint="eastAsia"/>
          <w:spacing w:val="-1"/>
          <w:kern w:val="2"/>
          <w:lang w:eastAsia="zh-CN"/>
        </w:rPr>
        <w:t>发生事故的隐患，以及万一发生事故时如何恢复秩序、将损失减少到最低限度等。</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制定的</w:t>
      </w:r>
      <w:r>
        <w:rPr>
          <w:rFonts w:ascii="宋体" w:eastAsia="宋体" w:hAnsi="宋体" w:cs="宋体" w:hint="eastAsia"/>
          <w:spacing w:val="-2"/>
          <w:kern w:val="2"/>
          <w:lang w:eastAsia="zh-CN"/>
        </w:rPr>
        <w:t>应急</w:t>
      </w:r>
      <w:r>
        <w:rPr>
          <w:rFonts w:ascii="宋体" w:eastAsia="宋体" w:hAnsi="宋体" w:cs="宋体" w:hint="eastAsia"/>
          <w:spacing w:val="-1"/>
          <w:kern w:val="2"/>
          <w:lang w:eastAsia="zh-CN"/>
        </w:rPr>
        <w:t>预案过程中应征求</w:t>
      </w:r>
      <w:r>
        <w:rPr>
          <w:rFonts w:ascii="宋体" w:eastAsia="宋体" w:hAnsi="宋体" w:cs="宋体" w:hint="eastAsia"/>
          <w:spacing w:val="-1"/>
          <w:kern w:val="2"/>
          <w:lang w:eastAsia="zh-CN"/>
        </w:rPr>
        <w:t>甲方</w:t>
      </w:r>
      <w:r>
        <w:rPr>
          <w:rFonts w:ascii="宋体" w:eastAsia="宋体" w:hAnsi="宋体" w:cs="宋体" w:hint="eastAsia"/>
          <w:spacing w:val="-1"/>
          <w:kern w:val="2"/>
          <w:lang w:eastAsia="zh-CN"/>
        </w:rPr>
        <w:t>的意见，并应于本项目开始运营之日起</w:t>
      </w:r>
      <w:r>
        <w:rPr>
          <w:rFonts w:ascii="宋体" w:eastAsia="宋体" w:hAnsi="宋体" w:cs="宋体" w:hint="eastAsia"/>
          <w:spacing w:val="-2"/>
          <w:kern w:val="2"/>
          <w:lang w:eastAsia="zh-CN"/>
        </w:rPr>
        <w:t>十五（15）日内，</w:t>
      </w:r>
      <w:r>
        <w:rPr>
          <w:rFonts w:ascii="宋体" w:eastAsia="宋体" w:hAnsi="宋体" w:cs="宋体" w:hint="eastAsia"/>
          <w:spacing w:val="-4"/>
          <w:kern w:val="2"/>
          <w:lang w:eastAsia="zh-CN"/>
        </w:rPr>
        <w:t>提交给</w:t>
      </w:r>
      <w:r>
        <w:rPr>
          <w:rFonts w:ascii="宋体" w:eastAsia="宋体" w:hAnsi="宋体" w:cs="宋体" w:hint="eastAsia"/>
          <w:spacing w:val="-4"/>
          <w:kern w:val="2"/>
          <w:lang w:eastAsia="zh-CN"/>
        </w:rPr>
        <w:t>甲方</w:t>
      </w:r>
      <w:r>
        <w:rPr>
          <w:rFonts w:ascii="宋体" w:eastAsia="宋体" w:hAnsi="宋体" w:cs="宋体" w:hint="eastAsia"/>
          <w:spacing w:val="-4"/>
          <w:kern w:val="2"/>
          <w:lang w:eastAsia="zh-CN"/>
        </w:rPr>
        <w:t>备案。</w:t>
      </w:r>
    </w:p>
    <w:p>
      <w:pPr>
        <w:widowControl w:val="0"/>
        <w:kinsoku w:val="0"/>
        <w:autoSpaceDE w:val="0"/>
        <w:autoSpaceDN w:val="0"/>
        <w:adjustRightInd w:val="0"/>
        <w:snapToGrid w:val="0"/>
        <w:spacing w:before="99" w:line="293" w:lineRule="auto"/>
        <w:ind w:left="23" w:right="180" w:firstLine="459"/>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应积极配合</w:t>
      </w:r>
      <w:r>
        <w:rPr>
          <w:rFonts w:ascii="宋体" w:eastAsia="宋体" w:hAnsi="宋体" w:cs="宋体" w:hint="eastAsia"/>
          <w:spacing w:val="-1"/>
          <w:kern w:val="2"/>
          <w:lang w:eastAsia="zh-CN"/>
        </w:rPr>
        <w:t>甲方</w:t>
      </w:r>
      <w:r>
        <w:rPr>
          <w:rFonts w:ascii="宋体" w:eastAsia="宋体" w:hAnsi="宋体" w:cs="宋体" w:hint="eastAsia"/>
          <w:spacing w:val="-1"/>
          <w:kern w:val="2"/>
          <w:lang w:eastAsia="zh-CN"/>
        </w:rPr>
        <w:t>及政府有关部门进行突发紧急事件的演练等工</w:t>
      </w:r>
      <w:r>
        <w:rPr>
          <w:rFonts w:ascii="宋体" w:eastAsia="宋体" w:hAnsi="宋体" w:cs="宋体" w:hint="eastAsia"/>
          <w:kern w:val="2"/>
          <w:lang w:eastAsia="zh-CN"/>
        </w:rPr>
        <w:t>作。发生突发紧急事件时，</w:t>
      </w:r>
      <w:r>
        <w:rPr>
          <w:rFonts w:ascii="宋体" w:eastAsia="宋体" w:hAnsi="宋体" w:cs="宋体" w:hint="eastAsia"/>
          <w:kern w:val="2"/>
          <w:lang w:eastAsia="zh-CN"/>
        </w:rPr>
        <w:t>乙方</w:t>
      </w:r>
      <w:r>
        <w:rPr>
          <w:rFonts w:ascii="宋体" w:eastAsia="宋体" w:hAnsi="宋体" w:cs="宋体" w:hint="eastAsia"/>
          <w:kern w:val="2"/>
          <w:lang w:eastAsia="zh-CN"/>
        </w:rPr>
        <w:t>应当依据应急预案</w:t>
      </w:r>
      <w:r>
        <w:rPr>
          <w:rFonts w:ascii="宋体" w:eastAsia="宋体" w:hAnsi="宋体" w:cs="宋体" w:hint="eastAsia"/>
          <w:spacing w:val="-1"/>
          <w:kern w:val="2"/>
          <w:lang w:eastAsia="zh-CN"/>
        </w:rPr>
        <w:t>和政府要求进行处理，并按照国家有关规定及时向</w:t>
      </w:r>
      <w:r>
        <w:rPr>
          <w:rFonts w:ascii="宋体" w:eastAsia="宋体" w:hAnsi="宋体" w:cs="宋体" w:hint="eastAsia"/>
          <w:spacing w:val="-1"/>
          <w:kern w:val="2"/>
          <w:lang w:eastAsia="zh-CN"/>
        </w:rPr>
        <w:t>甲方</w:t>
      </w:r>
      <w:r>
        <w:rPr>
          <w:rFonts w:ascii="宋体" w:eastAsia="宋体" w:hAnsi="宋体" w:cs="宋体" w:hint="eastAsia"/>
          <w:spacing w:val="-1"/>
          <w:kern w:val="2"/>
          <w:lang w:eastAsia="zh-CN"/>
        </w:rPr>
        <w:t>和罗湖区政府、深圳市政</w:t>
      </w:r>
      <w:r>
        <w:rPr>
          <w:rFonts w:ascii="宋体" w:eastAsia="宋体" w:hAnsi="宋体" w:cs="宋体" w:hint="eastAsia"/>
          <w:spacing w:val="-2"/>
          <w:kern w:val="2"/>
          <w:lang w:eastAsia="zh-CN"/>
        </w:rPr>
        <w:t>府有关部门报告。</w:t>
      </w:r>
    </w:p>
    <w:p>
      <w:pPr>
        <w:widowControl w:val="0"/>
        <w:kinsoku w:val="0"/>
        <w:autoSpaceDE w:val="0"/>
        <w:autoSpaceDN w:val="0"/>
        <w:adjustRightInd w:val="0"/>
        <w:snapToGrid w:val="0"/>
        <w:spacing w:before="33" w:line="297" w:lineRule="auto"/>
        <w:ind w:left="23" w:right="180" w:firstLine="438"/>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在紧急情况下，</w:t>
      </w:r>
      <w:r>
        <w:rPr>
          <w:rFonts w:ascii="宋体" w:eastAsia="宋体" w:hAnsi="宋体" w:cs="宋体" w:hint="eastAsia"/>
          <w:kern w:val="2"/>
          <w:lang w:eastAsia="zh-CN"/>
        </w:rPr>
        <w:t>乙方</w:t>
      </w:r>
      <w:r>
        <w:rPr>
          <w:rFonts w:ascii="宋体" w:eastAsia="宋体" w:hAnsi="宋体" w:cs="宋体" w:hint="eastAsia"/>
          <w:kern w:val="2"/>
          <w:lang w:eastAsia="zh-CN"/>
        </w:rPr>
        <w:t>应采取各种应急措施进行补救</w:t>
      </w:r>
      <w:r>
        <w:rPr>
          <w:rFonts w:ascii="宋体" w:eastAsia="宋体" w:hAnsi="宋体" w:cs="宋体" w:hint="eastAsia"/>
          <w:spacing w:val="-1"/>
          <w:kern w:val="2"/>
          <w:lang w:eastAsia="zh-CN"/>
        </w:rPr>
        <w:t>，尽量减轻事故的影</w:t>
      </w:r>
      <w:r>
        <w:rPr>
          <w:rFonts w:ascii="宋体" w:eastAsia="宋体" w:hAnsi="宋体" w:cs="宋体" w:hint="eastAsia"/>
          <w:kern w:val="2"/>
          <w:lang w:eastAsia="zh-CN"/>
        </w:rPr>
        <w:t>响，</w:t>
      </w:r>
      <w:r>
        <w:rPr>
          <w:rFonts w:ascii="宋体" w:eastAsia="宋体" w:hAnsi="宋体" w:cs="宋体" w:hint="eastAsia"/>
          <w:kern w:val="2"/>
          <w:lang w:eastAsia="zh-CN"/>
        </w:rPr>
        <w:t>甲方</w:t>
      </w:r>
      <w:r>
        <w:rPr>
          <w:rFonts w:ascii="宋体" w:eastAsia="宋体" w:hAnsi="宋体" w:cs="宋体" w:hint="eastAsia"/>
          <w:kern w:val="2"/>
          <w:lang w:eastAsia="zh-CN"/>
        </w:rPr>
        <w:t>协调相关政府部门给予必要的配合。</w:t>
      </w:r>
      <w:r>
        <w:rPr>
          <w:rFonts w:ascii="宋体" w:eastAsia="宋体" w:hAnsi="宋体" w:cs="宋体" w:hint="eastAsia"/>
          <w:kern w:val="2"/>
          <w:lang w:eastAsia="zh-CN"/>
        </w:rPr>
        <w:t>甲方</w:t>
      </w:r>
      <w:r>
        <w:rPr>
          <w:rFonts w:ascii="宋体" w:eastAsia="宋体" w:hAnsi="宋体" w:cs="宋体" w:hint="eastAsia"/>
          <w:spacing w:val="-1"/>
          <w:kern w:val="2"/>
          <w:lang w:eastAsia="zh-CN"/>
        </w:rPr>
        <w:t>协调职能部门加强对</w:t>
      </w:r>
      <w:r>
        <w:rPr>
          <w:rFonts w:ascii="宋体" w:eastAsia="宋体" w:hAnsi="宋体" w:cs="宋体" w:hint="eastAsia"/>
          <w:spacing w:val="-1"/>
          <w:kern w:val="2"/>
          <w:lang w:eastAsia="zh-CN"/>
        </w:rPr>
        <w:t>乙方</w:t>
      </w:r>
      <w:r>
        <w:rPr>
          <w:rFonts w:ascii="宋体" w:eastAsia="宋体" w:hAnsi="宋体" w:cs="宋体" w:hint="eastAsia"/>
          <w:kern w:val="2"/>
          <w:lang w:eastAsia="zh-CN"/>
        </w:rPr>
        <w:t>应对自然灾害等突发事件的指导，监督</w:t>
      </w:r>
      <w:r>
        <w:rPr>
          <w:rFonts w:ascii="宋体" w:eastAsia="宋体" w:hAnsi="宋体" w:cs="宋体" w:hint="eastAsia"/>
          <w:kern w:val="2"/>
          <w:lang w:eastAsia="zh-CN"/>
        </w:rPr>
        <w:t>乙方</w:t>
      </w:r>
      <w:r>
        <w:rPr>
          <w:rFonts w:ascii="宋体" w:eastAsia="宋体" w:hAnsi="宋体" w:cs="宋体" w:hint="eastAsia"/>
          <w:spacing w:val="-1"/>
          <w:kern w:val="2"/>
          <w:lang w:eastAsia="zh-CN"/>
        </w:rPr>
        <w:t>完善和落实各类应急预</w:t>
      </w:r>
      <w:r>
        <w:rPr>
          <w:rFonts w:ascii="宋体" w:eastAsia="宋体" w:hAnsi="宋体" w:cs="宋体" w:hint="eastAsia"/>
          <w:kern w:val="2"/>
          <w:lang w:eastAsia="zh-CN"/>
        </w:rPr>
        <w:t>案。在发生及或可能危及公共利益、公共安全等紧急情况时</w:t>
      </w:r>
      <w:r>
        <w:rPr>
          <w:rFonts w:ascii="宋体" w:eastAsia="宋体" w:hAnsi="宋体" w:cs="宋体" w:hint="eastAsia"/>
          <w:spacing w:val="-1"/>
          <w:kern w:val="2"/>
          <w:lang w:eastAsia="zh-CN"/>
        </w:rPr>
        <w:t>，</w:t>
      </w:r>
      <w:r>
        <w:rPr>
          <w:rFonts w:ascii="宋体" w:eastAsia="宋体" w:hAnsi="宋体" w:cs="宋体" w:hint="eastAsia"/>
          <w:spacing w:val="-1"/>
          <w:kern w:val="2"/>
          <w:lang w:eastAsia="zh-CN"/>
        </w:rPr>
        <w:t>甲方</w:t>
      </w:r>
      <w:r>
        <w:rPr>
          <w:rFonts w:ascii="宋体" w:eastAsia="宋体" w:hAnsi="宋体" w:cs="宋体" w:hint="eastAsia"/>
          <w:spacing w:val="-1"/>
          <w:kern w:val="2"/>
          <w:lang w:eastAsia="zh-CN"/>
        </w:rPr>
        <w:t>可采取应急管</w:t>
      </w:r>
      <w:r>
        <w:rPr>
          <w:rFonts w:ascii="宋体" w:eastAsia="宋体" w:hAnsi="宋体" w:cs="宋体" w:hint="eastAsia"/>
          <w:spacing w:val="-8"/>
          <w:kern w:val="2"/>
          <w:lang w:eastAsia="zh-CN"/>
        </w:rPr>
        <w:t>制措施。</w:t>
      </w:r>
    </w:p>
    <w:p>
      <w:pPr>
        <w:widowControl w:val="0"/>
        <w:kinsoku w:val="0"/>
        <w:autoSpaceDE w:val="0"/>
        <w:autoSpaceDN w:val="0"/>
        <w:adjustRightInd w:val="0"/>
        <w:snapToGrid w:val="0"/>
        <w:spacing w:before="30" w:line="220" w:lineRule="auto"/>
        <w:ind w:left="501"/>
        <w:jc w:val="both"/>
        <w:textAlignment w:val="baseline"/>
        <w:rPr>
          <w:rFonts w:ascii="宋体" w:eastAsia="宋体" w:hAnsi="宋体" w:cs="宋体" w:hint="eastAsia"/>
          <w:kern w:val="2"/>
          <w:lang w:eastAsia="zh-CN"/>
        </w:rPr>
      </w:pPr>
      <w:r>
        <w:rPr>
          <w:rFonts w:ascii="宋体" w:eastAsia="宋体" w:hAnsi="宋体" w:cs="宋体" w:hint="eastAsia"/>
          <w:spacing w:val="-7"/>
          <w:kern w:val="2"/>
          <w:lang w:eastAsia="zh-CN"/>
        </w:rPr>
        <w:t>（二）</w:t>
      </w:r>
      <w:r>
        <w:rPr>
          <w:rFonts w:ascii="宋体" w:eastAsia="宋体" w:hAnsi="宋体" w:cs="宋体" w:hint="eastAsia"/>
          <w:spacing w:val="-7"/>
          <w:kern w:val="2"/>
          <w:lang w:eastAsia="zh-CN"/>
        </w:rPr>
        <w:t>临时接管</w:t>
      </w:r>
    </w:p>
    <w:p>
      <w:pPr>
        <w:widowControl w:val="0"/>
        <w:kinsoku w:val="0"/>
        <w:autoSpaceDE w:val="0"/>
        <w:autoSpaceDN w:val="0"/>
        <w:adjustRightInd w:val="0"/>
        <w:snapToGrid w:val="0"/>
        <w:spacing w:before="96" w:line="296" w:lineRule="auto"/>
        <w:ind w:left="20" w:right="180" w:firstLine="468"/>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由于本项目具有较高的“公共属性”，项目的运营密切影响着区域政府和居</w:t>
      </w:r>
      <w:r>
        <w:rPr>
          <w:rFonts w:ascii="宋体" w:eastAsia="宋体" w:hAnsi="宋体" w:cs="宋体" w:hint="eastAsia"/>
          <w:spacing w:val="-2"/>
          <w:kern w:val="2"/>
          <w:lang w:eastAsia="zh-CN"/>
        </w:rPr>
        <w:t>民的</w:t>
      </w:r>
      <w:r>
        <w:rPr>
          <w:rFonts w:ascii="宋体" w:eastAsia="宋体" w:hAnsi="宋体" w:cs="宋体" w:hint="eastAsia"/>
          <w:kern w:val="2"/>
          <w:lang w:eastAsia="zh-CN"/>
        </w:rPr>
        <w:t>权益。在项目出现严重问题时，均需要一定的时间通过相关程序予</w:t>
      </w:r>
      <w:r>
        <w:rPr>
          <w:rFonts w:ascii="宋体" w:eastAsia="宋体" w:hAnsi="宋体" w:cs="宋体" w:hint="eastAsia"/>
          <w:spacing w:val="-1"/>
          <w:kern w:val="2"/>
          <w:lang w:eastAsia="zh-CN"/>
        </w:rPr>
        <w:t>以解决，从而影响</w:t>
      </w:r>
      <w:r>
        <w:rPr>
          <w:rFonts w:ascii="宋体" w:eastAsia="宋体" w:hAnsi="宋体" w:cs="宋体" w:hint="eastAsia"/>
          <w:kern w:val="2"/>
          <w:lang w:eastAsia="zh-CN"/>
        </w:rPr>
        <w:t>公共产品或服务的供给。因此需要设立临时接管机制，以保障公共</w:t>
      </w:r>
      <w:r>
        <w:rPr>
          <w:rFonts w:ascii="宋体" w:eastAsia="宋体" w:hAnsi="宋体" w:cs="宋体" w:hint="eastAsia"/>
          <w:spacing w:val="-1"/>
          <w:kern w:val="2"/>
          <w:lang w:eastAsia="zh-CN"/>
        </w:rPr>
        <w:t>产品或服务的持续</w:t>
      </w:r>
      <w:r>
        <w:rPr>
          <w:rFonts w:ascii="宋体" w:eastAsia="宋体" w:hAnsi="宋体" w:cs="宋体" w:hint="eastAsia"/>
          <w:spacing w:val="-9"/>
          <w:kern w:val="2"/>
          <w:lang w:eastAsia="zh-CN"/>
        </w:rPr>
        <w:t>进行。</w:t>
      </w:r>
    </w:p>
    <w:p>
      <w:pPr>
        <w:widowControl w:val="0"/>
        <w:kinsoku w:val="0"/>
        <w:autoSpaceDE w:val="0"/>
        <w:autoSpaceDN w:val="0"/>
        <w:adjustRightInd w:val="0"/>
        <w:snapToGrid w:val="0"/>
        <w:spacing w:before="29" w:line="298" w:lineRule="auto"/>
        <w:ind w:left="21" w:right="70" w:firstLine="441"/>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本项目自委托运营合同生效后，在项目存在危及或者可</w:t>
      </w:r>
      <w:r>
        <w:rPr>
          <w:rFonts w:ascii="宋体" w:eastAsia="宋体" w:hAnsi="宋体" w:cs="宋体" w:hint="eastAsia"/>
          <w:spacing w:val="-1"/>
          <w:kern w:val="2"/>
          <w:lang w:eastAsia="zh-CN"/>
        </w:rPr>
        <w:t>能危及公众利益、公共安</w:t>
      </w:r>
      <w:r>
        <w:rPr>
          <w:rFonts w:ascii="宋体" w:eastAsia="宋体" w:hAnsi="宋体" w:cs="宋体" w:hint="eastAsia"/>
          <w:kern w:val="2"/>
          <w:lang w:eastAsia="zh-CN"/>
        </w:rPr>
        <w:t>全等紧急情况下，或者其他适用法律规定的导致临时接管情形的</w:t>
      </w:r>
      <w:r>
        <w:rPr>
          <w:rFonts w:ascii="宋体" w:eastAsia="宋体" w:hAnsi="宋体" w:cs="宋体" w:hint="eastAsia"/>
          <w:spacing w:val="-1"/>
          <w:kern w:val="2"/>
          <w:lang w:eastAsia="zh-CN"/>
        </w:rPr>
        <w:t>，</w:t>
      </w:r>
      <w:r>
        <w:rPr>
          <w:rFonts w:ascii="宋体" w:eastAsia="宋体" w:hAnsi="宋体" w:cs="宋体" w:hint="eastAsia"/>
          <w:spacing w:val="-1"/>
          <w:kern w:val="2"/>
          <w:lang w:eastAsia="zh-CN"/>
        </w:rPr>
        <w:t>甲方</w:t>
      </w:r>
      <w:r>
        <w:rPr>
          <w:rFonts w:ascii="宋体" w:eastAsia="宋体" w:hAnsi="宋体" w:cs="宋体" w:hint="eastAsia"/>
          <w:spacing w:val="-1"/>
          <w:kern w:val="2"/>
          <w:lang w:eastAsia="zh-CN"/>
        </w:rPr>
        <w:t>有权</w:t>
      </w:r>
      <w:r>
        <w:rPr>
          <w:rFonts w:ascii="宋体" w:eastAsia="宋体" w:hAnsi="宋体" w:cs="宋体" w:hint="eastAsia"/>
          <w:kern w:val="2"/>
          <w:lang w:eastAsia="zh-CN"/>
        </w:rPr>
        <w:t>依法临时终止委托运营合同，临时取消其运营权。临时接管期间</w:t>
      </w:r>
      <w:r>
        <w:rPr>
          <w:rFonts w:ascii="宋体" w:eastAsia="宋体" w:hAnsi="宋体" w:cs="宋体" w:hint="eastAsia"/>
          <w:spacing w:val="-1"/>
          <w:kern w:val="2"/>
          <w:lang w:eastAsia="zh-CN"/>
        </w:rPr>
        <w:t>，</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须无</w:t>
      </w:r>
      <w:r>
        <w:rPr>
          <w:rFonts w:ascii="宋体" w:eastAsia="宋体" w:hAnsi="宋体" w:cs="宋体" w:hint="eastAsia"/>
          <w:kern w:val="2"/>
          <w:lang w:eastAsia="zh-CN"/>
        </w:rPr>
        <w:t>条件服从</w:t>
      </w:r>
      <w:r>
        <w:rPr>
          <w:rFonts w:ascii="宋体" w:eastAsia="宋体" w:hAnsi="宋体" w:cs="宋体" w:hint="eastAsia"/>
          <w:kern w:val="2"/>
          <w:lang w:eastAsia="zh-CN"/>
        </w:rPr>
        <w:t>甲方</w:t>
      </w:r>
      <w:r>
        <w:rPr>
          <w:rFonts w:ascii="宋体" w:eastAsia="宋体" w:hAnsi="宋体" w:cs="宋体" w:hint="eastAsia"/>
          <w:kern w:val="2"/>
          <w:lang w:eastAsia="zh-CN"/>
        </w:rPr>
        <w:t>或政府指定机构接收或接管本项目的所有</w:t>
      </w:r>
      <w:r>
        <w:rPr>
          <w:rFonts w:ascii="宋体" w:eastAsia="宋体" w:hAnsi="宋体" w:cs="宋体" w:hint="eastAsia"/>
          <w:spacing w:val="-1"/>
          <w:kern w:val="2"/>
          <w:lang w:eastAsia="zh-CN"/>
        </w:rPr>
        <w:t>指令、命令，</w:t>
      </w:r>
      <w:r>
        <w:rPr>
          <w:rFonts w:ascii="宋体" w:eastAsia="宋体" w:hAnsi="宋体" w:cs="宋体" w:hint="eastAsia"/>
          <w:spacing w:val="-1"/>
          <w:kern w:val="2"/>
          <w:lang w:eastAsia="zh-CN"/>
        </w:rPr>
        <w:t>乙方</w:t>
      </w:r>
      <w:r>
        <w:rPr>
          <w:rFonts w:ascii="宋体" w:eastAsia="宋体" w:hAnsi="宋体" w:cs="宋体" w:hint="eastAsia"/>
          <w:kern w:val="2"/>
          <w:lang w:eastAsia="zh-CN"/>
        </w:rPr>
        <w:t>应当在</w:t>
      </w:r>
      <w:r>
        <w:rPr>
          <w:rFonts w:ascii="宋体" w:eastAsia="宋体" w:hAnsi="宋体" w:cs="宋体" w:hint="eastAsia"/>
          <w:kern w:val="2"/>
          <w:lang w:eastAsia="zh-CN"/>
        </w:rPr>
        <w:t>甲方</w:t>
      </w:r>
      <w:r>
        <w:rPr>
          <w:rFonts w:ascii="宋体" w:eastAsia="宋体" w:hAnsi="宋体" w:cs="宋体" w:hint="eastAsia"/>
          <w:kern w:val="2"/>
          <w:lang w:eastAsia="zh-CN"/>
        </w:rPr>
        <w:t>接管前善意履行看守职责，并继续履行</w:t>
      </w:r>
      <w:r>
        <w:rPr>
          <w:rFonts w:ascii="宋体" w:eastAsia="宋体" w:hAnsi="宋体" w:cs="宋体" w:hint="eastAsia"/>
          <w:spacing w:val="-1"/>
          <w:kern w:val="2"/>
          <w:lang w:eastAsia="zh-CN"/>
        </w:rPr>
        <w:t>委托运营合同项下</w:t>
      </w:r>
      <w:r>
        <w:rPr>
          <w:rFonts w:ascii="宋体" w:eastAsia="宋体" w:hAnsi="宋体" w:cs="宋体" w:hint="eastAsia"/>
          <w:spacing w:val="-8"/>
          <w:kern w:val="2"/>
          <w:lang w:eastAsia="zh-CN"/>
        </w:rPr>
        <w:t>的义务。</w:t>
      </w:r>
    </w:p>
    <w:p>
      <w:pPr>
        <w:widowControl w:val="0"/>
        <w:kinsoku w:val="0"/>
        <w:autoSpaceDE w:val="0"/>
        <w:autoSpaceDN w:val="0"/>
        <w:adjustRightInd w:val="0"/>
        <w:snapToGrid w:val="0"/>
        <w:spacing w:before="32" w:line="220" w:lineRule="auto"/>
        <w:ind w:left="478"/>
        <w:jc w:val="both"/>
        <w:textAlignment w:val="baseline"/>
        <w:rPr>
          <w:rFonts w:ascii="宋体" w:eastAsia="宋体" w:hAnsi="宋体" w:cs="宋体" w:hint="eastAsia"/>
          <w:kern w:val="2"/>
          <w:lang w:eastAsia="zh-CN"/>
        </w:rPr>
      </w:pPr>
      <w:r>
        <w:rPr>
          <w:rFonts w:ascii="宋体" w:eastAsia="宋体" w:hAnsi="宋体" w:cs="宋体" w:hint="eastAsia"/>
          <w:spacing w:val="-6"/>
          <w:kern w:val="2"/>
          <w:lang w:eastAsia="zh-CN"/>
        </w:rPr>
        <w:t>1、启动情形</w:t>
      </w:r>
    </w:p>
    <w:p>
      <w:pPr>
        <w:widowControl w:val="0"/>
        <w:kinsoku w:val="0"/>
        <w:autoSpaceDE w:val="0"/>
        <w:autoSpaceDN w:val="0"/>
        <w:adjustRightInd w:val="0"/>
        <w:snapToGrid w:val="0"/>
        <w:spacing w:before="97" w:line="219" w:lineRule="auto"/>
        <w:ind w:left="468"/>
        <w:jc w:val="both"/>
        <w:textAlignment w:val="baseline"/>
        <w:rPr>
          <w:rFonts w:ascii="宋体" w:eastAsia="宋体" w:hAnsi="宋体" w:cs="宋体" w:hint="eastAsia"/>
          <w:kern w:val="2"/>
          <w:lang w:eastAsia="zh-CN"/>
        </w:rPr>
      </w:pPr>
      <w:r>
        <w:rPr>
          <w:rFonts w:ascii="宋体" w:eastAsia="宋体" w:hAnsi="宋体" w:cs="宋体" w:hint="eastAsia"/>
          <w:spacing w:val="-3"/>
          <w:kern w:val="2"/>
          <w:lang w:eastAsia="zh-CN"/>
        </w:rPr>
        <w:t>（1）</w:t>
      </w:r>
      <w:r>
        <w:rPr>
          <w:rFonts w:ascii="宋体" w:eastAsia="宋体" w:hAnsi="宋体" w:cs="宋体" w:hint="eastAsia"/>
          <w:spacing w:val="-3"/>
          <w:kern w:val="2"/>
          <w:lang w:eastAsia="zh-CN"/>
        </w:rPr>
        <w:t>乙方</w:t>
      </w:r>
      <w:r>
        <w:rPr>
          <w:rFonts w:ascii="宋体" w:eastAsia="宋体" w:hAnsi="宋体" w:cs="宋体" w:hint="eastAsia"/>
          <w:spacing w:val="-3"/>
          <w:kern w:val="2"/>
          <w:lang w:eastAsia="zh-CN"/>
        </w:rPr>
        <w:t>违反委托运营合同的约</w:t>
      </w:r>
      <w:r>
        <w:rPr>
          <w:rFonts w:ascii="宋体" w:eastAsia="宋体" w:hAnsi="宋体" w:cs="宋体" w:hint="eastAsia"/>
          <w:spacing w:val="-4"/>
          <w:kern w:val="2"/>
          <w:lang w:eastAsia="zh-CN"/>
        </w:rPr>
        <w:t>定；</w:t>
      </w:r>
    </w:p>
    <w:p>
      <w:pPr>
        <w:widowControl w:val="0"/>
        <w:kinsoku w:val="0"/>
        <w:autoSpaceDE w:val="0"/>
        <w:autoSpaceDN w:val="0"/>
        <w:adjustRightInd w:val="0"/>
        <w:snapToGrid w:val="0"/>
        <w:spacing w:before="99" w:line="219" w:lineRule="auto"/>
        <w:ind w:left="468"/>
        <w:jc w:val="both"/>
        <w:textAlignment w:val="baseline"/>
        <w:rPr>
          <w:rFonts w:ascii="宋体" w:eastAsia="宋体" w:hAnsi="宋体" w:cs="宋体" w:hint="eastAsia"/>
          <w:kern w:val="2"/>
          <w:lang w:eastAsia="zh-CN"/>
        </w:rPr>
      </w:pPr>
      <w:r>
        <w:rPr>
          <w:rFonts w:ascii="宋体" w:eastAsia="宋体" w:hAnsi="宋体" w:cs="宋体" w:hint="eastAsia"/>
          <w:spacing w:val="-3"/>
          <w:kern w:val="2"/>
          <w:lang w:eastAsia="zh-CN"/>
        </w:rPr>
        <w:t>（2）威胁公共产品或服务持续稳定安全供</w:t>
      </w:r>
      <w:r>
        <w:rPr>
          <w:rFonts w:ascii="宋体" w:eastAsia="宋体" w:hAnsi="宋体" w:cs="宋体" w:hint="eastAsia"/>
          <w:spacing w:val="-4"/>
          <w:kern w:val="2"/>
          <w:lang w:eastAsia="zh-CN"/>
        </w:rPr>
        <w:t>给；</w:t>
      </w:r>
    </w:p>
    <w:p>
      <w:pPr>
        <w:widowControl w:val="0"/>
        <w:kinsoku w:val="0"/>
        <w:autoSpaceDE w:val="0"/>
        <w:autoSpaceDN w:val="0"/>
        <w:adjustRightInd w:val="0"/>
        <w:snapToGrid w:val="0"/>
        <w:spacing w:before="99" w:line="220" w:lineRule="auto"/>
        <w:ind w:left="468"/>
        <w:jc w:val="both"/>
        <w:textAlignment w:val="baseline"/>
        <w:rPr>
          <w:rFonts w:ascii="宋体" w:eastAsia="宋体" w:hAnsi="宋体" w:cs="宋体" w:hint="eastAsia"/>
          <w:spacing w:val="-4"/>
          <w:kern w:val="2"/>
          <w:lang w:eastAsia="zh-CN"/>
        </w:rPr>
      </w:pPr>
      <w:r>
        <w:rPr>
          <w:rFonts w:ascii="宋体" w:eastAsia="宋体" w:hAnsi="宋体" w:cs="宋体" w:hint="eastAsia"/>
          <w:spacing w:val="-4"/>
          <w:kern w:val="2"/>
          <w:lang w:eastAsia="zh-CN"/>
        </w:rPr>
        <w:t>（3）危害区域安全或重大公共利益；</w:t>
      </w:r>
    </w:p>
    <w:p>
      <w:pPr>
        <w:widowControl w:val="0"/>
        <w:kinsoku w:val="0"/>
        <w:autoSpaceDE w:val="0"/>
        <w:autoSpaceDN w:val="0"/>
        <w:adjustRightInd w:val="0"/>
        <w:snapToGrid w:val="0"/>
        <w:spacing w:before="99" w:line="220" w:lineRule="auto"/>
        <w:ind w:left="468"/>
        <w:jc w:val="both"/>
        <w:textAlignment w:val="baseline"/>
        <w:rPr>
          <w:rFonts w:ascii="宋体" w:eastAsia="宋体" w:hAnsi="宋体" w:cs="宋体" w:hint="eastAsia"/>
          <w:kern w:val="2"/>
          <w:lang w:eastAsia="zh-CN"/>
        </w:rPr>
      </w:pPr>
      <w:r>
        <w:rPr>
          <w:rFonts w:ascii="宋体" w:eastAsia="宋体" w:hAnsi="宋体" w:cs="宋体" w:hint="eastAsia"/>
          <w:spacing w:val="-3"/>
          <w:kern w:val="2"/>
          <w:lang w:eastAsia="zh-CN"/>
        </w:rPr>
        <w:t>（4）法律、法规禁止的其他行为。</w:t>
      </w:r>
    </w:p>
    <w:p>
      <w:pPr>
        <w:widowControl w:val="0"/>
        <w:kinsoku w:val="0"/>
        <w:autoSpaceDE w:val="0"/>
        <w:autoSpaceDN w:val="0"/>
        <w:adjustRightInd w:val="0"/>
        <w:snapToGrid w:val="0"/>
        <w:spacing w:before="97" w:line="220" w:lineRule="auto"/>
        <w:ind w:left="465"/>
        <w:jc w:val="both"/>
        <w:textAlignment w:val="baseline"/>
        <w:rPr>
          <w:rFonts w:ascii="宋体" w:eastAsia="宋体" w:hAnsi="宋体" w:cs="宋体" w:hint="eastAsia"/>
          <w:kern w:val="2"/>
          <w:lang w:eastAsia="zh-CN"/>
        </w:rPr>
      </w:pPr>
      <w:r>
        <w:rPr>
          <w:rFonts w:ascii="宋体" w:eastAsia="宋体" w:hAnsi="宋体" w:cs="宋体" w:hint="eastAsia"/>
          <w:spacing w:val="-6"/>
          <w:kern w:val="2"/>
          <w:lang w:eastAsia="zh-CN"/>
        </w:rPr>
        <w:t>2、情况说明</w:t>
      </w:r>
    </w:p>
    <w:p>
      <w:pPr>
        <w:widowControl w:val="0"/>
        <w:kinsoku w:val="0"/>
        <w:autoSpaceDE w:val="0"/>
        <w:autoSpaceDN w:val="0"/>
        <w:adjustRightInd w:val="0"/>
        <w:snapToGrid w:val="0"/>
        <w:spacing w:before="99" w:line="288" w:lineRule="auto"/>
        <w:ind w:left="22" w:right="180" w:firstLine="440"/>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违反合同约定，指</w:t>
      </w:r>
      <w:r>
        <w:rPr>
          <w:rFonts w:ascii="宋体" w:eastAsia="宋体" w:hAnsi="宋体" w:cs="宋体" w:hint="eastAsia"/>
          <w:kern w:val="2"/>
          <w:lang w:eastAsia="zh-CN"/>
        </w:rPr>
        <w:t>乙方</w:t>
      </w:r>
      <w:r>
        <w:rPr>
          <w:rFonts w:ascii="宋体" w:eastAsia="宋体" w:hAnsi="宋体" w:cs="宋体" w:hint="eastAsia"/>
          <w:kern w:val="2"/>
          <w:lang w:eastAsia="zh-CN"/>
        </w:rPr>
        <w:t>违反合同约定，构成严重</w:t>
      </w:r>
      <w:r>
        <w:rPr>
          <w:rFonts w:ascii="宋体" w:eastAsia="宋体" w:hAnsi="宋体" w:cs="宋体" w:hint="eastAsia"/>
          <w:spacing w:val="-1"/>
          <w:kern w:val="2"/>
          <w:lang w:eastAsia="zh-CN"/>
        </w:rPr>
        <w:t>违约（造成重大损失或</w:t>
      </w:r>
      <w:r>
        <w:rPr>
          <w:rFonts w:ascii="宋体" w:eastAsia="宋体" w:hAnsi="宋体" w:cs="宋体" w:hint="eastAsia"/>
          <w:spacing w:val="-2"/>
          <w:kern w:val="2"/>
          <w:lang w:eastAsia="zh-CN"/>
        </w:rPr>
        <w:t>影响）或者根本违约（导致合同目的不能实现）的情形。</w:t>
      </w:r>
    </w:p>
    <w:p>
      <w:pPr>
        <w:widowControl w:val="0"/>
        <w:kinsoku w:val="0"/>
        <w:autoSpaceDE w:val="0"/>
        <w:autoSpaceDN w:val="0"/>
        <w:adjustRightInd w:val="0"/>
        <w:snapToGrid w:val="0"/>
        <w:spacing w:before="32" w:line="289" w:lineRule="auto"/>
        <w:ind w:left="25" w:right="180" w:firstLine="436"/>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威胁公共产品或服务持续稳定安全供给，指因</w:t>
      </w:r>
      <w:r>
        <w:rPr>
          <w:rFonts w:ascii="宋体" w:eastAsia="宋体" w:hAnsi="宋体" w:cs="宋体" w:hint="eastAsia"/>
          <w:kern w:val="2"/>
          <w:lang w:eastAsia="zh-CN"/>
        </w:rPr>
        <w:t>乙方</w:t>
      </w:r>
      <w:r>
        <w:rPr>
          <w:rFonts w:ascii="宋体" w:eastAsia="宋体" w:hAnsi="宋体" w:cs="宋体" w:hint="eastAsia"/>
          <w:spacing w:val="-1"/>
          <w:kern w:val="2"/>
          <w:lang w:eastAsia="zh-CN"/>
        </w:rPr>
        <w:t>原因，造成公共产品</w:t>
      </w:r>
      <w:r>
        <w:rPr>
          <w:rFonts w:ascii="宋体" w:eastAsia="宋体" w:hAnsi="宋体" w:cs="宋体" w:hint="eastAsia"/>
          <w:spacing w:val="-2"/>
          <w:kern w:val="2"/>
          <w:lang w:eastAsia="zh-CN"/>
        </w:rPr>
        <w:t>或服务中止、中断、终止等，给区域民生造成严重影响的情形。</w:t>
      </w:r>
    </w:p>
    <w:p>
      <w:pPr>
        <w:widowControl w:val="0"/>
        <w:kinsoku w:val="0"/>
        <w:autoSpaceDE w:val="0"/>
        <w:autoSpaceDN w:val="0"/>
        <w:adjustRightInd w:val="0"/>
        <w:snapToGrid w:val="0"/>
        <w:spacing w:before="32" w:line="288" w:lineRule="auto"/>
        <w:ind w:left="24" w:right="400" w:firstLine="440"/>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危害国家安全或重大公共利益，主要是指</w:t>
      </w:r>
      <w:r>
        <w:rPr>
          <w:rFonts w:ascii="宋体" w:eastAsia="宋体" w:hAnsi="宋体" w:cs="宋体" w:hint="eastAsia"/>
          <w:kern w:val="2"/>
          <w:lang w:eastAsia="zh-CN"/>
        </w:rPr>
        <w:t>乙方</w:t>
      </w:r>
      <w:r>
        <w:rPr>
          <w:rFonts w:ascii="宋体" w:eastAsia="宋体" w:hAnsi="宋体" w:cs="宋体" w:hint="eastAsia"/>
          <w:spacing w:val="-1"/>
          <w:kern w:val="2"/>
          <w:lang w:eastAsia="zh-CN"/>
        </w:rPr>
        <w:t>违反法律规定、国家政</w:t>
      </w:r>
      <w:r>
        <w:rPr>
          <w:rFonts w:ascii="宋体" w:eastAsia="宋体" w:hAnsi="宋体" w:cs="宋体" w:hint="eastAsia"/>
          <w:spacing w:val="-4"/>
          <w:kern w:val="2"/>
          <w:lang w:eastAsia="zh-CN"/>
        </w:rPr>
        <w:t>策，危及国家安全、社会稳定等情形；</w:t>
      </w:r>
    </w:p>
    <w:p>
      <w:pPr>
        <w:widowControl w:val="0"/>
        <w:kinsoku w:val="0"/>
        <w:autoSpaceDE w:val="0"/>
        <w:autoSpaceDN w:val="0"/>
        <w:adjustRightInd w:val="0"/>
        <w:snapToGrid w:val="0"/>
        <w:spacing w:before="34" w:line="288" w:lineRule="auto"/>
        <w:ind w:left="22" w:right="180" w:firstLine="457"/>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因公共产品或服务质量不合格、监管不利、措施不足等原因造成重大安全隐患或</w:t>
      </w:r>
      <w:r>
        <w:rPr>
          <w:rFonts w:ascii="宋体" w:eastAsia="宋体" w:hAnsi="宋体" w:cs="宋体" w:hint="eastAsia"/>
          <w:spacing w:val="-3"/>
          <w:kern w:val="2"/>
          <w:lang w:eastAsia="zh-CN"/>
        </w:rPr>
        <w:t>事故，及其他损害社会公共利益的情形。</w:t>
      </w:r>
    </w:p>
    <w:p>
      <w:pPr>
        <w:widowControl w:val="0"/>
        <w:kinsoku w:val="0"/>
        <w:autoSpaceDE w:val="0"/>
        <w:autoSpaceDN w:val="0"/>
        <w:adjustRightInd w:val="0"/>
        <w:snapToGrid w:val="0"/>
        <w:spacing w:before="32" w:line="220" w:lineRule="auto"/>
        <w:ind w:left="466"/>
        <w:jc w:val="both"/>
        <w:textAlignment w:val="baseline"/>
        <w:rPr>
          <w:rFonts w:ascii="宋体" w:eastAsia="宋体" w:hAnsi="宋体" w:cs="宋体" w:hint="eastAsia"/>
          <w:kern w:val="2"/>
          <w:lang w:eastAsia="zh-CN"/>
        </w:rPr>
      </w:pPr>
      <w:r>
        <w:rPr>
          <w:rFonts w:ascii="宋体" w:eastAsia="宋体" w:hAnsi="宋体" w:cs="宋体" w:hint="eastAsia"/>
          <w:spacing w:val="-4"/>
          <w:kern w:val="2"/>
          <w:lang w:eastAsia="zh-CN"/>
        </w:rPr>
        <w:t>3、接管程序</w:t>
      </w:r>
    </w:p>
    <w:p>
      <w:pPr>
        <w:widowControl w:val="0"/>
        <w:kinsoku w:val="0"/>
        <w:autoSpaceDE w:val="0"/>
        <w:autoSpaceDN w:val="0"/>
        <w:adjustRightInd w:val="0"/>
        <w:snapToGrid w:val="0"/>
        <w:spacing w:before="98" w:line="219" w:lineRule="auto"/>
        <w:ind w:left="466"/>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启动：由</w:t>
      </w:r>
      <w:r>
        <w:rPr>
          <w:rFonts w:ascii="宋体" w:eastAsia="宋体" w:hAnsi="宋体" w:cs="宋体" w:hint="eastAsia"/>
          <w:spacing w:val="-2"/>
          <w:kern w:val="2"/>
          <w:lang w:eastAsia="zh-CN"/>
        </w:rPr>
        <w:t>甲方</w:t>
      </w:r>
      <w:r>
        <w:rPr>
          <w:rFonts w:ascii="宋体" w:eastAsia="宋体" w:hAnsi="宋体" w:cs="宋体" w:hint="eastAsia"/>
          <w:spacing w:val="-2"/>
          <w:kern w:val="2"/>
          <w:lang w:eastAsia="zh-CN"/>
        </w:rPr>
        <w:t>根据实际情况决定是否启动临时接管程序。</w:t>
      </w:r>
    </w:p>
    <w:p>
      <w:pPr>
        <w:widowControl w:val="0"/>
        <w:kinsoku w:val="0"/>
        <w:autoSpaceDE w:val="0"/>
        <w:autoSpaceDN w:val="0"/>
        <w:adjustRightInd w:val="0"/>
        <w:snapToGrid w:val="0"/>
        <w:spacing w:before="99" w:line="219" w:lineRule="auto"/>
        <w:ind w:left="461"/>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接管：由</w:t>
      </w:r>
      <w:r>
        <w:rPr>
          <w:rFonts w:ascii="宋体" w:eastAsia="宋体" w:hAnsi="宋体" w:cs="宋体" w:hint="eastAsia"/>
          <w:spacing w:val="-2"/>
          <w:kern w:val="2"/>
          <w:lang w:eastAsia="zh-CN"/>
        </w:rPr>
        <w:t>甲方</w:t>
      </w:r>
      <w:r>
        <w:rPr>
          <w:rFonts w:ascii="宋体" w:eastAsia="宋体" w:hAnsi="宋体" w:cs="宋体" w:hint="eastAsia"/>
          <w:spacing w:val="-2"/>
          <w:kern w:val="2"/>
          <w:lang w:eastAsia="zh-CN"/>
        </w:rPr>
        <w:t>直接实施接管或由</w:t>
      </w:r>
      <w:r>
        <w:rPr>
          <w:rFonts w:ascii="宋体" w:eastAsia="宋体" w:hAnsi="宋体" w:cs="宋体" w:hint="eastAsia"/>
          <w:spacing w:val="-2"/>
          <w:kern w:val="2"/>
          <w:lang w:eastAsia="zh-CN"/>
        </w:rPr>
        <w:t>甲方</w:t>
      </w:r>
      <w:r>
        <w:rPr>
          <w:rFonts w:ascii="宋体" w:eastAsia="宋体" w:hAnsi="宋体" w:cs="宋体" w:hint="eastAsia"/>
          <w:spacing w:val="-2"/>
          <w:kern w:val="2"/>
          <w:lang w:eastAsia="zh-CN"/>
        </w:rPr>
        <w:t>指定合格机构实施临时接管。</w:t>
      </w:r>
    </w:p>
    <w:p>
      <w:pPr>
        <w:widowControl w:val="0"/>
        <w:kinsoku w:val="0"/>
        <w:autoSpaceDE w:val="0"/>
        <w:autoSpaceDN w:val="0"/>
        <w:adjustRightInd w:val="0"/>
        <w:snapToGrid w:val="0"/>
        <w:spacing w:before="100" w:line="288" w:lineRule="auto"/>
        <w:ind w:left="23" w:right="400" w:firstLine="451"/>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费用：临时接管所产生的一切费用，根据合同的约定由违约方或相关责任方承</w:t>
      </w:r>
      <w:r>
        <w:rPr>
          <w:rFonts w:ascii="宋体" w:eastAsia="宋体" w:hAnsi="宋体" w:cs="宋体" w:hint="eastAsia"/>
          <w:spacing w:val="-2"/>
          <w:kern w:val="2"/>
          <w:lang w:eastAsia="zh-CN"/>
        </w:rPr>
        <w:t>担。</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应承担的费用可以从其应获终止补偿款（若有）中扣减。</w:t>
      </w:r>
    </w:p>
    <w:p>
      <w:pPr>
        <w:widowControl w:val="0"/>
        <w:kinsoku w:val="0"/>
        <w:autoSpaceDE w:val="0"/>
        <w:autoSpaceDN w:val="0"/>
        <w:adjustRightInd w:val="0"/>
        <w:snapToGrid w:val="0"/>
        <w:spacing w:before="33" w:line="220" w:lineRule="auto"/>
        <w:ind w:left="463"/>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停止：直至项目重新启动或者启动项目提前终止程序。。</w:t>
      </w:r>
    </w:p>
    <w:p>
      <w:pPr>
        <w:widowControl w:val="0"/>
        <w:kinsoku w:val="0"/>
        <w:autoSpaceDE w:val="0"/>
        <w:autoSpaceDN w:val="0"/>
        <w:adjustRightInd w:val="0"/>
        <w:snapToGrid w:val="0"/>
        <w:spacing w:before="97" w:line="220" w:lineRule="auto"/>
        <w:ind w:left="466"/>
        <w:jc w:val="both"/>
        <w:textAlignment w:val="baseline"/>
        <w:rPr>
          <w:rFonts w:ascii="宋体" w:eastAsia="宋体" w:hAnsi="宋体" w:cs="宋体" w:hint="eastAsia"/>
          <w:kern w:val="2"/>
          <w:lang w:eastAsia="zh-CN"/>
        </w:rPr>
      </w:pPr>
      <w:r>
        <w:rPr>
          <w:rFonts w:ascii="宋体" w:eastAsia="宋体" w:hAnsi="宋体" w:cs="宋体" w:hint="eastAsia"/>
          <w:b/>
          <w:bCs/>
          <w:spacing w:val="-3"/>
          <w:kern w:val="2"/>
          <w:lang w:eastAsia="zh-CN"/>
        </w:rPr>
        <w:t>八、各方主要权利与义务</w:t>
      </w:r>
    </w:p>
    <w:p>
      <w:pPr>
        <w:widowControl w:val="0"/>
        <w:kinsoku w:val="0"/>
        <w:autoSpaceDE w:val="0"/>
        <w:autoSpaceDN w:val="0"/>
        <w:adjustRightInd w:val="0"/>
        <w:snapToGrid w:val="0"/>
        <w:spacing w:before="98" w:line="219" w:lineRule="auto"/>
        <w:ind w:left="501"/>
        <w:jc w:val="both"/>
        <w:textAlignment w:val="baseline"/>
        <w:rPr>
          <w:rFonts w:ascii="宋体" w:eastAsia="宋体" w:hAnsi="宋体" w:cs="宋体" w:hint="eastAsia"/>
          <w:kern w:val="2"/>
          <w:lang w:eastAsia="zh-CN"/>
        </w:rPr>
      </w:pPr>
      <w:r>
        <w:rPr>
          <w:rFonts w:ascii="宋体" w:eastAsia="宋体" w:hAnsi="宋体" w:cs="宋体" w:hint="eastAsia"/>
          <w:spacing w:val="-7"/>
          <w:kern w:val="2"/>
          <w:lang w:eastAsia="zh-CN"/>
        </w:rPr>
        <w:t>（一）</w:t>
      </w:r>
      <w:r>
        <w:rPr>
          <w:rFonts w:ascii="宋体" w:eastAsia="宋体" w:hAnsi="宋体" w:cs="宋体" w:hint="eastAsia"/>
          <w:spacing w:val="-7"/>
          <w:kern w:val="2"/>
          <w:lang w:eastAsia="zh-CN"/>
        </w:rPr>
        <w:t>甲方</w:t>
      </w:r>
      <w:r>
        <w:rPr>
          <w:rFonts w:ascii="宋体" w:eastAsia="宋体" w:hAnsi="宋体" w:cs="宋体" w:hint="eastAsia"/>
          <w:spacing w:val="-7"/>
          <w:kern w:val="2"/>
          <w:lang w:eastAsia="zh-CN"/>
        </w:rPr>
        <w:t>权利</w:t>
      </w:r>
    </w:p>
    <w:p>
      <w:pPr>
        <w:widowControl w:val="0"/>
        <w:kinsoku w:val="0"/>
        <w:autoSpaceDE w:val="0"/>
        <w:autoSpaceDN w:val="0"/>
        <w:adjustRightInd w:val="0"/>
        <w:snapToGrid w:val="0"/>
        <w:spacing w:before="99" w:line="219" w:lineRule="auto"/>
        <w:ind w:left="478"/>
        <w:jc w:val="both"/>
        <w:textAlignment w:val="baseline"/>
        <w:rPr>
          <w:rFonts w:ascii="宋体" w:eastAsia="宋体" w:hAnsi="宋体" w:cs="宋体" w:hint="eastAsia"/>
          <w:kern w:val="2"/>
          <w:lang w:eastAsia="zh-CN"/>
        </w:rPr>
      </w:pPr>
      <w:r>
        <w:rPr>
          <w:rFonts w:ascii="宋体" w:eastAsia="宋体" w:hAnsi="宋体" w:cs="宋体" w:hint="eastAsia"/>
          <w:spacing w:val="-4"/>
          <w:kern w:val="2"/>
          <w:lang w:eastAsia="zh-CN"/>
        </w:rPr>
        <w:t>1、有权对</w:t>
      </w:r>
      <w:r>
        <w:rPr>
          <w:rFonts w:ascii="宋体" w:eastAsia="宋体" w:hAnsi="宋体" w:cs="宋体" w:hint="eastAsia"/>
          <w:spacing w:val="-4"/>
          <w:kern w:val="2"/>
          <w:lang w:eastAsia="zh-CN"/>
        </w:rPr>
        <w:t>乙方</w:t>
      </w:r>
      <w:r>
        <w:rPr>
          <w:rFonts w:ascii="宋体" w:eastAsia="宋体" w:hAnsi="宋体" w:cs="宋体" w:hint="eastAsia"/>
          <w:spacing w:val="-4"/>
          <w:kern w:val="2"/>
          <w:lang w:eastAsia="zh-CN"/>
        </w:rPr>
        <w:t>履行合同情况进行监督；</w:t>
      </w:r>
    </w:p>
    <w:p>
      <w:pPr>
        <w:widowControl w:val="0"/>
        <w:kinsoku w:val="0"/>
        <w:autoSpaceDE w:val="0"/>
        <w:autoSpaceDN w:val="0"/>
        <w:adjustRightInd w:val="0"/>
        <w:snapToGrid w:val="0"/>
        <w:spacing w:before="99" w:line="219" w:lineRule="auto"/>
        <w:ind w:left="465"/>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2、在项目运营期内，有权依据</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运营服务情况进行绩效考核；</w:t>
      </w:r>
    </w:p>
    <w:p>
      <w:pPr>
        <w:widowControl w:val="0"/>
        <w:kinsoku w:val="0"/>
        <w:autoSpaceDE w:val="0"/>
        <w:autoSpaceDN w:val="0"/>
        <w:adjustRightInd w:val="0"/>
        <w:snapToGrid w:val="0"/>
        <w:spacing w:before="100" w:line="260" w:lineRule="auto"/>
        <w:ind w:left="23" w:right="120" w:firstLine="443"/>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3、</w:t>
      </w:r>
      <w:r>
        <w:rPr>
          <w:rFonts w:ascii="宋体" w:eastAsia="宋体" w:hAnsi="宋体" w:cs="宋体" w:hint="eastAsia"/>
          <w:spacing w:val="-2"/>
          <w:kern w:val="2"/>
          <w:lang w:eastAsia="zh-CN"/>
        </w:rPr>
        <w:t>甲方</w:t>
      </w:r>
      <w:r>
        <w:rPr>
          <w:rFonts w:ascii="宋体" w:eastAsia="宋体" w:hAnsi="宋体" w:cs="宋体" w:hint="eastAsia"/>
          <w:spacing w:val="-2"/>
          <w:kern w:val="2"/>
          <w:lang w:eastAsia="zh-CN"/>
        </w:rPr>
        <w:t>认为</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报备的核心运营人员不符合法律法规或合同的要求，</w:t>
      </w:r>
      <w:r>
        <w:rPr>
          <w:rFonts w:ascii="宋体" w:eastAsia="宋体" w:hAnsi="宋体" w:cs="宋体" w:hint="eastAsia"/>
          <w:spacing w:val="-4"/>
          <w:kern w:val="2"/>
          <w:lang w:eastAsia="zh-CN"/>
        </w:rPr>
        <w:t>有权要求</w:t>
      </w:r>
      <w:r>
        <w:rPr>
          <w:rFonts w:ascii="宋体" w:eastAsia="宋体" w:hAnsi="宋体" w:cs="宋体" w:hint="eastAsia"/>
          <w:spacing w:val="-4"/>
          <w:kern w:val="2"/>
          <w:lang w:eastAsia="zh-CN"/>
        </w:rPr>
        <w:t>乙方</w:t>
      </w:r>
      <w:r>
        <w:rPr>
          <w:rFonts w:ascii="宋体" w:eastAsia="宋体" w:hAnsi="宋体" w:cs="宋体" w:hint="eastAsia"/>
          <w:spacing w:val="-4"/>
          <w:kern w:val="2"/>
          <w:lang w:eastAsia="zh-CN"/>
        </w:rPr>
        <w:t>限期调整；</w:t>
      </w:r>
    </w:p>
    <w:p>
      <w:pPr>
        <w:widowControl w:val="0"/>
        <w:kinsoku w:val="0"/>
        <w:autoSpaceDE w:val="0"/>
        <w:autoSpaceDN w:val="0"/>
        <w:adjustRightInd w:val="0"/>
        <w:snapToGrid w:val="0"/>
        <w:spacing w:before="100" w:line="219" w:lineRule="auto"/>
        <w:ind w:left="461"/>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4、发生紧急情况、可能影响公众利益时，依法对项目进行临时接管；</w:t>
      </w:r>
    </w:p>
    <w:p>
      <w:pPr>
        <w:widowControl w:val="0"/>
        <w:kinsoku w:val="0"/>
        <w:autoSpaceDE w:val="0"/>
        <w:autoSpaceDN w:val="0"/>
        <w:adjustRightInd w:val="0"/>
        <w:snapToGrid w:val="0"/>
        <w:spacing w:before="98" w:line="220" w:lineRule="auto"/>
        <w:ind w:left="466"/>
        <w:jc w:val="both"/>
        <w:textAlignment w:val="baseline"/>
        <w:rPr>
          <w:rFonts w:ascii="宋体" w:eastAsia="宋体" w:hAnsi="宋体" w:cs="宋体" w:hint="eastAsia"/>
          <w:kern w:val="2"/>
          <w:lang w:eastAsia="zh-CN"/>
        </w:rPr>
      </w:pPr>
      <w:r>
        <w:rPr>
          <w:rFonts w:ascii="宋体" w:eastAsia="宋体" w:hAnsi="宋体" w:cs="宋体" w:hint="eastAsia"/>
          <w:spacing w:val="-4"/>
          <w:kern w:val="2"/>
          <w:lang w:eastAsia="zh-CN"/>
        </w:rPr>
        <w:t>5、项目约定的其他权利。</w:t>
      </w:r>
    </w:p>
    <w:p>
      <w:pPr>
        <w:widowControl w:val="0"/>
        <w:kinsoku w:val="0"/>
        <w:autoSpaceDE w:val="0"/>
        <w:autoSpaceDN w:val="0"/>
        <w:adjustRightInd w:val="0"/>
        <w:snapToGrid w:val="0"/>
        <w:spacing w:before="98" w:line="219" w:lineRule="auto"/>
        <w:ind w:left="501"/>
        <w:jc w:val="both"/>
        <w:textAlignment w:val="baseline"/>
        <w:rPr>
          <w:rFonts w:ascii="宋体" w:eastAsia="宋体" w:hAnsi="宋体" w:cs="宋体" w:hint="eastAsia"/>
          <w:kern w:val="2"/>
          <w:lang w:eastAsia="zh-CN"/>
        </w:rPr>
      </w:pPr>
      <w:r>
        <w:rPr>
          <w:rFonts w:ascii="宋体" w:eastAsia="宋体" w:hAnsi="宋体" w:cs="宋体" w:hint="eastAsia"/>
          <w:spacing w:val="-6"/>
          <w:kern w:val="2"/>
          <w:lang w:eastAsia="zh-CN"/>
        </w:rPr>
        <w:t>（二）甲方</w:t>
      </w:r>
      <w:r>
        <w:rPr>
          <w:rFonts w:ascii="宋体" w:eastAsia="宋体" w:hAnsi="宋体" w:cs="宋体" w:hint="eastAsia"/>
          <w:spacing w:val="-6"/>
          <w:kern w:val="2"/>
          <w:lang w:eastAsia="zh-CN"/>
        </w:rPr>
        <w:t>义务</w:t>
      </w:r>
    </w:p>
    <w:p>
      <w:pPr>
        <w:widowControl w:val="0"/>
        <w:kinsoku w:val="0"/>
        <w:autoSpaceDE w:val="0"/>
        <w:autoSpaceDN w:val="0"/>
        <w:adjustRightInd w:val="0"/>
        <w:snapToGrid w:val="0"/>
        <w:spacing w:before="99" w:line="261" w:lineRule="auto"/>
        <w:ind w:left="22" w:right="80" w:firstLine="456"/>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1、未经</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书面同意，</w:t>
      </w:r>
      <w:r>
        <w:rPr>
          <w:rFonts w:ascii="宋体" w:eastAsia="宋体" w:hAnsi="宋体" w:cs="宋体" w:hint="eastAsia"/>
          <w:spacing w:val="-1"/>
          <w:kern w:val="2"/>
          <w:lang w:eastAsia="zh-CN"/>
        </w:rPr>
        <w:t>甲方</w:t>
      </w:r>
      <w:r>
        <w:rPr>
          <w:rFonts w:ascii="宋体" w:eastAsia="宋体" w:hAnsi="宋体" w:cs="宋体" w:hint="eastAsia"/>
          <w:spacing w:val="-1"/>
          <w:kern w:val="2"/>
          <w:lang w:eastAsia="zh-CN"/>
        </w:rPr>
        <w:t>不得就项目资产进行整体或分割转让、抵</w:t>
      </w:r>
      <w:r>
        <w:rPr>
          <w:rFonts w:ascii="宋体" w:eastAsia="宋体" w:hAnsi="宋体" w:cs="宋体" w:hint="eastAsia"/>
          <w:spacing w:val="-5"/>
          <w:kern w:val="2"/>
          <w:lang w:eastAsia="zh-CN"/>
        </w:rPr>
        <w:t>押或设定其他第三方权益；</w:t>
      </w:r>
    </w:p>
    <w:p>
      <w:pPr>
        <w:widowControl w:val="0"/>
        <w:kinsoku w:val="0"/>
        <w:autoSpaceDE w:val="0"/>
        <w:autoSpaceDN w:val="0"/>
        <w:adjustRightInd w:val="0"/>
        <w:snapToGrid w:val="0"/>
        <w:spacing w:before="100" w:line="260" w:lineRule="auto"/>
        <w:ind w:left="42" w:right="83" w:firstLine="422"/>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2、项目运营期内，在</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合法合规经营的前提下，</w:t>
      </w:r>
      <w:r>
        <w:rPr>
          <w:rFonts w:ascii="宋体" w:eastAsia="宋体" w:hAnsi="宋体" w:cs="宋体" w:hint="eastAsia"/>
          <w:spacing w:val="-1"/>
          <w:kern w:val="2"/>
          <w:lang w:eastAsia="zh-CN"/>
        </w:rPr>
        <w:t>甲方</w:t>
      </w:r>
      <w:r>
        <w:rPr>
          <w:rFonts w:ascii="宋体" w:eastAsia="宋体" w:hAnsi="宋体" w:cs="宋体" w:hint="eastAsia"/>
          <w:spacing w:val="-1"/>
          <w:kern w:val="2"/>
          <w:lang w:eastAsia="zh-CN"/>
        </w:rPr>
        <w:t>可在其职权范</w:t>
      </w:r>
      <w:r>
        <w:rPr>
          <w:rFonts w:ascii="宋体" w:eastAsia="宋体" w:hAnsi="宋体" w:cs="宋体" w:hint="eastAsia"/>
          <w:spacing w:val="-2"/>
          <w:kern w:val="2"/>
          <w:lang w:eastAsia="zh-CN"/>
        </w:rPr>
        <w:t>围内，协助</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处理本项目经营所涉的相邻关系事项或经营资质</w:t>
      </w:r>
      <w:r>
        <w:rPr>
          <w:rFonts w:ascii="宋体" w:eastAsia="宋体" w:hAnsi="宋体" w:cs="宋体" w:hint="eastAsia"/>
          <w:spacing w:val="-3"/>
          <w:kern w:val="2"/>
          <w:lang w:eastAsia="zh-CN"/>
        </w:rPr>
        <w:t>相关事项；</w:t>
      </w:r>
    </w:p>
    <w:p>
      <w:pPr>
        <w:widowControl w:val="0"/>
        <w:kinsoku w:val="0"/>
        <w:autoSpaceDE w:val="0"/>
        <w:autoSpaceDN w:val="0"/>
        <w:adjustRightInd w:val="0"/>
        <w:snapToGrid w:val="0"/>
        <w:spacing w:before="98" w:line="261" w:lineRule="auto"/>
        <w:ind w:left="25" w:right="83" w:firstLine="441"/>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3、项目运营期内，</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平等参与辖区范围内重要文化类活动的承接工作；</w:t>
      </w:r>
      <w:r>
        <w:rPr>
          <w:rFonts w:ascii="宋体" w:eastAsia="宋体" w:hAnsi="宋体" w:cs="宋体" w:hint="eastAsia"/>
          <w:spacing w:val="-1"/>
          <w:kern w:val="2"/>
          <w:lang w:eastAsia="zh-CN"/>
        </w:rPr>
        <w:t>甲方</w:t>
      </w:r>
      <w:r>
        <w:rPr>
          <w:rFonts w:ascii="宋体" w:eastAsia="宋体" w:hAnsi="宋体" w:cs="宋体" w:hint="eastAsia"/>
          <w:spacing w:val="-1"/>
          <w:kern w:val="2"/>
          <w:lang w:eastAsia="zh-CN"/>
        </w:rPr>
        <w:t>依法依规为辖区内符合条件运营主体提供必要的政策咨询与政务服务，包括但不限于证照办理、活动审批等程序性协助</w:t>
      </w:r>
      <w:r>
        <w:rPr>
          <w:rFonts w:ascii="宋体" w:eastAsia="宋体" w:hAnsi="宋体" w:cs="宋体" w:hint="eastAsia"/>
          <w:spacing w:val="-3"/>
          <w:kern w:val="2"/>
          <w:lang w:eastAsia="zh-CN"/>
        </w:rPr>
        <w:t>；</w:t>
      </w:r>
    </w:p>
    <w:p>
      <w:pPr>
        <w:widowControl w:val="0"/>
        <w:kinsoku w:val="0"/>
        <w:autoSpaceDE w:val="0"/>
        <w:autoSpaceDN w:val="0"/>
        <w:adjustRightInd w:val="0"/>
        <w:snapToGrid w:val="0"/>
        <w:spacing w:before="100" w:line="260" w:lineRule="auto"/>
        <w:ind w:left="22" w:right="78" w:firstLine="439"/>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4、项目运营期内，就本项目资产，</w:t>
      </w:r>
      <w:r>
        <w:rPr>
          <w:rFonts w:ascii="宋体" w:eastAsia="宋体" w:hAnsi="宋体" w:cs="宋体" w:hint="eastAsia"/>
          <w:kern w:val="2"/>
          <w:lang w:eastAsia="zh-CN"/>
        </w:rPr>
        <w:t>乙方</w:t>
      </w:r>
      <w:r>
        <w:rPr>
          <w:rFonts w:ascii="宋体" w:eastAsia="宋体" w:hAnsi="宋体" w:cs="宋体" w:hint="eastAsia"/>
          <w:spacing w:val="-1"/>
          <w:kern w:val="2"/>
          <w:lang w:eastAsia="zh-CN"/>
        </w:rPr>
        <w:t>向本项目工程质保单位提出质保</w:t>
      </w:r>
      <w:r>
        <w:rPr>
          <w:rFonts w:ascii="宋体" w:eastAsia="宋体" w:hAnsi="宋体" w:cs="宋体" w:hint="eastAsia"/>
          <w:spacing w:val="-4"/>
          <w:kern w:val="2"/>
          <w:lang w:eastAsia="zh-CN"/>
        </w:rPr>
        <w:t>服务要求时，</w:t>
      </w:r>
      <w:r>
        <w:rPr>
          <w:rFonts w:ascii="宋体" w:eastAsia="宋体" w:hAnsi="宋体" w:cs="宋体" w:hint="eastAsia"/>
          <w:spacing w:val="-4"/>
          <w:kern w:val="2"/>
          <w:lang w:eastAsia="zh-CN"/>
        </w:rPr>
        <w:t>甲方</w:t>
      </w:r>
      <w:r>
        <w:rPr>
          <w:rFonts w:ascii="宋体" w:eastAsia="宋体" w:hAnsi="宋体" w:cs="宋体" w:hint="eastAsia"/>
          <w:spacing w:val="-4"/>
          <w:kern w:val="2"/>
          <w:lang w:eastAsia="zh-CN"/>
        </w:rPr>
        <w:t>应提供必要的协助；</w:t>
      </w:r>
    </w:p>
    <w:p>
      <w:pPr>
        <w:widowControl w:val="0"/>
        <w:kinsoku w:val="0"/>
        <w:autoSpaceDE w:val="0"/>
        <w:autoSpaceDN w:val="0"/>
        <w:adjustRightInd w:val="0"/>
        <w:snapToGrid w:val="0"/>
        <w:spacing w:before="100" w:line="260" w:lineRule="auto"/>
        <w:ind w:left="23" w:right="80" w:firstLine="443"/>
        <w:jc w:val="both"/>
        <w:textAlignment w:val="baseline"/>
        <w:rPr>
          <w:rFonts w:ascii="宋体" w:eastAsia="宋体" w:hAnsi="宋体" w:cs="宋体" w:hint="eastAsia"/>
          <w:spacing w:val="-1"/>
          <w:kern w:val="2"/>
          <w:lang w:eastAsia="zh-CN"/>
        </w:rPr>
      </w:pPr>
      <w:r>
        <w:rPr>
          <w:rFonts w:ascii="宋体" w:eastAsia="宋体" w:hAnsi="宋体" w:cs="宋体" w:hint="eastAsia"/>
          <w:spacing w:val="-1"/>
          <w:kern w:val="2"/>
          <w:lang w:eastAsia="zh-CN"/>
        </w:rPr>
        <w:t>5、运营期内，如</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因享有本项目经营权而缴纳的土地使用税及房产税，符合国家及本市关于减免税的相关规定，</w:t>
      </w:r>
      <w:r>
        <w:rPr>
          <w:rFonts w:ascii="宋体" w:eastAsia="宋体" w:hAnsi="宋体" w:cs="宋体" w:hint="eastAsia"/>
          <w:spacing w:val="-1"/>
          <w:kern w:val="2"/>
          <w:lang w:eastAsia="zh-CN"/>
        </w:rPr>
        <w:t>甲方</w:t>
      </w:r>
      <w:r>
        <w:rPr>
          <w:rFonts w:ascii="宋体" w:eastAsia="宋体" w:hAnsi="宋体" w:cs="宋体" w:hint="eastAsia"/>
          <w:spacing w:val="-1"/>
          <w:kern w:val="2"/>
          <w:lang w:eastAsia="zh-CN"/>
        </w:rPr>
        <w:t>应积极指导</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准备所需材料，协助</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向主管税务机关提出减免税申请。若经税务机关核准后给予减免，则按核准结果执行；若因任何原因未能通过核准或需全额缴纳，则该税费应由</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自行承担</w:t>
      </w:r>
      <w:r>
        <w:rPr>
          <w:rFonts w:ascii="宋体" w:eastAsia="宋体" w:hAnsi="宋体" w:cs="宋体" w:hint="eastAsia"/>
          <w:spacing w:val="-1"/>
          <w:kern w:val="2"/>
          <w:lang w:eastAsia="zh-CN"/>
        </w:rPr>
        <w:t>；</w:t>
      </w:r>
    </w:p>
    <w:p>
      <w:pPr>
        <w:widowControl w:val="0"/>
        <w:kinsoku w:val="0"/>
        <w:autoSpaceDE w:val="0"/>
        <w:autoSpaceDN w:val="0"/>
        <w:adjustRightInd w:val="0"/>
        <w:snapToGrid w:val="0"/>
        <w:spacing w:before="100" w:line="260" w:lineRule="auto"/>
        <w:ind w:left="23" w:right="80" w:firstLine="443"/>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6、</w:t>
      </w:r>
      <w:r>
        <w:rPr>
          <w:rFonts w:ascii="宋体" w:eastAsia="宋体" w:hAnsi="宋体" w:cs="宋体" w:hint="eastAsia"/>
          <w:spacing w:val="-1"/>
          <w:kern w:val="2"/>
          <w:lang w:eastAsia="zh-CN"/>
        </w:rPr>
        <w:t>运营期内，在</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遵守《委托运营合同》各项约定的前提下，</w:t>
      </w:r>
      <w:r>
        <w:rPr>
          <w:rFonts w:ascii="宋体" w:eastAsia="宋体" w:hAnsi="宋体" w:cs="宋体" w:hint="eastAsia"/>
          <w:spacing w:val="-1"/>
          <w:kern w:val="2"/>
          <w:lang w:eastAsia="zh-CN"/>
        </w:rPr>
        <w:t>甲方</w:t>
      </w:r>
      <w:r>
        <w:rPr>
          <w:rFonts w:ascii="宋体" w:eastAsia="宋体" w:hAnsi="宋体" w:cs="宋体" w:hint="eastAsia"/>
          <w:spacing w:val="-2"/>
          <w:kern w:val="2"/>
          <w:lang w:eastAsia="zh-CN"/>
        </w:rPr>
        <w:t>有义务按约定维持</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对本项目资产的运营权，保障合同持续履行；</w:t>
      </w:r>
    </w:p>
    <w:p>
      <w:pPr>
        <w:widowControl w:val="0"/>
        <w:kinsoku w:val="0"/>
        <w:autoSpaceDE w:val="0"/>
        <w:autoSpaceDN w:val="0"/>
        <w:adjustRightInd w:val="0"/>
        <w:snapToGrid w:val="0"/>
        <w:spacing w:before="99" w:line="220" w:lineRule="auto"/>
        <w:ind w:left="464"/>
        <w:jc w:val="both"/>
        <w:textAlignment w:val="baseline"/>
        <w:rPr>
          <w:rFonts w:ascii="宋体" w:eastAsia="宋体" w:hAnsi="宋体" w:cs="宋体" w:hint="eastAsia"/>
          <w:spacing w:val="-4"/>
          <w:kern w:val="2"/>
          <w:lang w:eastAsia="zh-CN"/>
        </w:rPr>
      </w:pPr>
      <w:r>
        <w:rPr>
          <w:rFonts w:ascii="宋体" w:eastAsia="宋体" w:hAnsi="宋体" w:cs="宋体" w:hint="eastAsia"/>
          <w:spacing w:val="-4"/>
          <w:kern w:val="2"/>
          <w:lang w:eastAsia="zh-CN"/>
        </w:rPr>
        <w:t>7</w:t>
      </w:r>
      <w:r>
        <w:rPr>
          <w:rFonts w:ascii="宋体" w:eastAsia="宋体" w:hAnsi="宋体" w:cs="宋体" w:hint="eastAsia"/>
          <w:spacing w:val="-4"/>
          <w:kern w:val="2"/>
          <w:lang w:eastAsia="zh-CN"/>
        </w:rPr>
        <w:t>、项目约定的其他义务。</w:t>
      </w:r>
    </w:p>
    <w:p>
      <w:pPr>
        <w:widowControl w:val="0"/>
        <w:kinsoku w:val="0"/>
        <w:autoSpaceDE w:val="0"/>
        <w:autoSpaceDN w:val="0"/>
        <w:adjustRightInd w:val="0"/>
        <w:snapToGrid w:val="0"/>
        <w:spacing w:before="98" w:line="219" w:lineRule="auto"/>
        <w:ind w:left="501"/>
        <w:jc w:val="both"/>
        <w:textAlignment w:val="baseline"/>
        <w:rPr>
          <w:rFonts w:ascii="宋体" w:eastAsia="宋体" w:hAnsi="宋体" w:cs="宋体" w:hint="eastAsia"/>
          <w:kern w:val="2"/>
          <w:lang w:eastAsia="zh-CN"/>
        </w:rPr>
      </w:pPr>
      <w:r>
        <w:rPr>
          <w:rFonts w:ascii="宋体" w:eastAsia="宋体" w:hAnsi="宋体" w:cs="宋体" w:hint="eastAsia"/>
          <w:spacing w:val="-5"/>
          <w:kern w:val="2"/>
          <w:lang w:eastAsia="zh-CN"/>
        </w:rPr>
        <w:t>（三）乙方</w:t>
      </w:r>
      <w:r>
        <w:rPr>
          <w:rFonts w:ascii="宋体" w:eastAsia="宋体" w:hAnsi="宋体" w:cs="宋体" w:hint="eastAsia"/>
          <w:spacing w:val="-5"/>
          <w:kern w:val="2"/>
          <w:lang w:eastAsia="zh-CN"/>
        </w:rPr>
        <w:t>权利</w:t>
      </w:r>
    </w:p>
    <w:p>
      <w:pPr>
        <w:keepNext w:val="0"/>
        <w:keepLines w:val="0"/>
        <w:pageBreakBefore w:val="0"/>
        <w:widowControl w:val="0"/>
        <w:kinsoku w:val="0"/>
        <w:wordWrap/>
        <w:overflowPunct/>
        <w:topLinePunct w:val="0"/>
        <w:autoSpaceDE w:val="0"/>
        <w:autoSpaceDN w:val="0"/>
        <w:bidi w:val="0"/>
        <w:adjustRightInd w:val="0"/>
        <w:snapToGrid w:val="0"/>
        <w:spacing w:before="72" w:line="275" w:lineRule="auto"/>
        <w:ind w:left="0" w:right="0"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1、运营期内，</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享有本项目的经营权及部分资产（</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购置的</w:t>
      </w:r>
      <w:r>
        <w:rPr>
          <w:rFonts w:ascii="宋体" w:eastAsia="宋体" w:hAnsi="宋体" w:cs="宋体" w:hint="eastAsia"/>
          <w:kern w:val="2"/>
          <w:lang w:eastAsia="zh-CN"/>
        </w:rPr>
        <w:t>非建筑功能需求的展示品、艺术品、可移动软装（含</w:t>
      </w:r>
      <w:r>
        <w:rPr>
          <w:rFonts w:ascii="宋体" w:eastAsia="宋体" w:hAnsi="宋体" w:cs="宋体" w:hint="eastAsia"/>
          <w:spacing w:val="-1"/>
          <w:kern w:val="2"/>
          <w:lang w:eastAsia="zh-CN"/>
        </w:rPr>
        <w:t>可移动设备）、办公家具等）的</w:t>
      </w:r>
      <w:r>
        <w:rPr>
          <w:rFonts w:ascii="宋体" w:eastAsia="宋体" w:hAnsi="宋体" w:cs="宋体" w:hint="eastAsia"/>
          <w:spacing w:val="-4"/>
          <w:kern w:val="2"/>
          <w:lang w:eastAsia="zh-CN"/>
        </w:rPr>
        <w:t>占有、使用、收益的权利。</w:t>
      </w:r>
    </w:p>
    <w:p>
      <w:pPr>
        <w:keepNext w:val="0"/>
        <w:keepLines w:val="0"/>
        <w:pageBreakBefore w:val="0"/>
        <w:widowControl w:val="0"/>
        <w:kinsoku w:val="0"/>
        <w:wordWrap/>
        <w:overflowPunct/>
        <w:topLinePunct w:val="0"/>
        <w:autoSpaceDE w:val="0"/>
        <w:autoSpaceDN w:val="0"/>
        <w:bidi w:val="0"/>
        <w:adjustRightInd w:val="0"/>
        <w:snapToGrid w:val="0"/>
        <w:spacing w:before="97" w:line="261" w:lineRule="auto"/>
        <w:ind w:left="0" w:right="0"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2、</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有权在提供约定的公益服务的基础上，对本项目进行</w:t>
      </w:r>
      <w:r>
        <w:rPr>
          <w:rFonts w:ascii="宋体" w:eastAsia="宋体" w:hAnsi="宋体" w:cs="宋体" w:hint="eastAsia"/>
          <w:spacing w:val="-1"/>
          <w:kern w:val="2"/>
          <w:lang w:eastAsia="zh-CN"/>
        </w:rPr>
        <w:t>甲方</w:t>
      </w:r>
      <w:r>
        <w:rPr>
          <w:rFonts w:ascii="宋体" w:eastAsia="宋体" w:hAnsi="宋体" w:cs="宋体" w:hint="eastAsia"/>
          <w:spacing w:val="-1"/>
          <w:kern w:val="2"/>
          <w:lang w:eastAsia="zh-CN"/>
        </w:rPr>
        <w:t>许可</w:t>
      </w:r>
      <w:r>
        <w:rPr>
          <w:rFonts w:ascii="宋体" w:eastAsia="宋体" w:hAnsi="宋体" w:cs="宋体" w:hint="eastAsia"/>
          <w:spacing w:val="-3"/>
          <w:kern w:val="2"/>
          <w:lang w:eastAsia="zh-CN"/>
        </w:rPr>
        <w:t>的市场化运营，并通过向使用者收费等方式获</w:t>
      </w:r>
      <w:r>
        <w:rPr>
          <w:rFonts w:ascii="宋体" w:eastAsia="宋体" w:hAnsi="宋体" w:cs="宋体" w:hint="eastAsia"/>
          <w:spacing w:val="-4"/>
          <w:kern w:val="2"/>
          <w:lang w:eastAsia="zh-CN"/>
        </w:rPr>
        <w:t>取收益；</w:t>
      </w:r>
    </w:p>
    <w:p>
      <w:pPr>
        <w:keepNext w:val="0"/>
        <w:keepLines w:val="0"/>
        <w:pageBreakBefore w:val="0"/>
        <w:widowControl w:val="0"/>
        <w:kinsoku w:val="0"/>
        <w:wordWrap/>
        <w:overflowPunct/>
        <w:topLinePunct w:val="0"/>
        <w:autoSpaceDE w:val="0"/>
        <w:autoSpaceDN w:val="0"/>
        <w:bidi w:val="0"/>
        <w:adjustRightInd w:val="0"/>
        <w:snapToGrid w:val="0"/>
        <w:spacing w:before="98" w:line="260" w:lineRule="auto"/>
        <w:ind w:left="0" w:right="0"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3、在满足并保证</w:t>
      </w:r>
      <w:r>
        <w:rPr>
          <w:rFonts w:ascii="宋体" w:eastAsia="宋体" w:hAnsi="宋体" w:cs="宋体" w:hint="eastAsia"/>
          <w:spacing w:val="-1"/>
          <w:kern w:val="2"/>
          <w:lang w:eastAsia="zh-CN"/>
        </w:rPr>
        <w:t>甲方</w:t>
      </w:r>
      <w:r>
        <w:rPr>
          <w:rFonts w:ascii="宋体" w:eastAsia="宋体" w:hAnsi="宋体" w:cs="宋体" w:hint="eastAsia"/>
          <w:spacing w:val="-1"/>
          <w:kern w:val="2"/>
          <w:lang w:eastAsia="zh-CN"/>
        </w:rPr>
        <w:t>公益性服务要求的前提下，</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享有活动的宣</w:t>
      </w:r>
      <w:r>
        <w:rPr>
          <w:rFonts w:ascii="宋体" w:eastAsia="宋体" w:hAnsi="宋体" w:cs="宋体" w:hint="eastAsia"/>
          <w:spacing w:val="-5"/>
          <w:kern w:val="2"/>
          <w:lang w:eastAsia="zh-CN"/>
        </w:rPr>
        <w:t>传、广告、预约和安排权；</w:t>
      </w:r>
    </w:p>
    <w:p>
      <w:pPr>
        <w:keepNext w:val="0"/>
        <w:keepLines w:val="0"/>
        <w:pageBreakBefore w:val="0"/>
        <w:widowControl w:val="0"/>
        <w:kinsoku w:val="0"/>
        <w:wordWrap/>
        <w:overflowPunct/>
        <w:topLinePunct w:val="0"/>
        <w:autoSpaceDE w:val="0"/>
        <w:autoSpaceDN w:val="0"/>
        <w:bidi w:val="0"/>
        <w:adjustRightInd w:val="0"/>
        <w:snapToGrid w:val="0"/>
        <w:spacing w:before="101" w:line="260" w:lineRule="auto"/>
        <w:ind w:left="0" w:right="0"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4、</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享有在运营期内无偿使用本项目资产的权利，除非</w:t>
      </w:r>
      <w:r>
        <w:rPr>
          <w:rFonts w:ascii="宋体" w:eastAsia="宋体" w:hAnsi="宋体" w:cs="宋体" w:hint="eastAsia"/>
          <w:spacing w:val="-1"/>
          <w:kern w:val="2"/>
          <w:lang w:eastAsia="zh-CN"/>
        </w:rPr>
        <w:t>甲方</w:t>
      </w:r>
      <w:r>
        <w:rPr>
          <w:rFonts w:ascii="宋体" w:eastAsia="宋体" w:hAnsi="宋体" w:cs="宋体" w:hint="eastAsia"/>
          <w:spacing w:val="-1"/>
          <w:kern w:val="2"/>
          <w:lang w:eastAsia="zh-CN"/>
        </w:rPr>
        <w:t>书面许</w:t>
      </w:r>
      <w:r>
        <w:rPr>
          <w:rFonts w:ascii="宋体" w:eastAsia="宋体" w:hAnsi="宋体" w:cs="宋体" w:hint="eastAsia"/>
          <w:spacing w:val="-2"/>
          <w:kern w:val="2"/>
          <w:lang w:eastAsia="zh-CN"/>
        </w:rPr>
        <w:t>可，</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不得将本项目资产用于除委托运营合同约定用途以外的其他用途；</w:t>
      </w:r>
    </w:p>
    <w:p>
      <w:pPr>
        <w:keepNext w:val="0"/>
        <w:keepLines w:val="0"/>
        <w:pageBreakBefore w:val="0"/>
        <w:widowControl w:val="0"/>
        <w:kinsoku w:val="0"/>
        <w:wordWrap/>
        <w:overflowPunct/>
        <w:topLinePunct w:val="0"/>
        <w:autoSpaceDE w:val="0"/>
        <w:autoSpaceDN w:val="0"/>
        <w:bidi w:val="0"/>
        <w:adjustRightInd w:val="0"/>
        <w:snapToGrid w:val="0"/>
        <w:spacing w:before="99" w:line="219" w:lineRule="auto"/>
        <w:ind w:left="0" w:right="0" w:firstLine="480" w:firstLineChars="200"/>
        <w:jc w:val="both"/>
        <w:textAlignment w:val="baseline"/>
        <w:rPr>
          <w:rFonts w:ascii="宋体" w:eastAsia="宋体" w:hAnsi="宋体" w:cs="宋体" w:hint="eastAsia"/>
          <w:kern w:val="2"/>
          <w:lang w:eastAsia="zh-CN"/>
        </w:rPr>
      </w:pPr>
      <w:r>
        <w:rPr>
          <w:rFonts w:ascii="宋体" w:eastAsia="宋体" w:hAnsi="宋体" w:cs="宋体" w:hint="eastAsia"/>
          <w:kern w:val="2"/>
          <w:lang w:eastAsia="zh-CN"/>
        </w:rPr>
        <w:t>5、</w:t>
      </w:r>
      <w:r>
        <w:rPr>
          <w:rFonts w:ascii="宋体" w:eastAsia="宋体" w:hAnsi="宋体" w:cs="宋体" w:hint="eastAsia"/>
          <w:kern w:val="2"/>
          <w:lang w:eastAsia="zh-CN"/>
        </w:rPr>
        <w:t>乙方</w:t>
      </w:r>
      <w:r>
        <w:rPr>
          <w:rFonts w:ascii="宋体" w:eastAsia="宋体" w:hAnsi="宋体" w:cs="宋体" w:hint="eastAsia"/>
          <w:kern w:val="2"/>
          <w:lang w:eastAsia="zh-CN"/>
        </w:rPr>
        <w:t>为运营本项目产生的知识</w:t>
      </w:r>
      <w:r>
        <w:rPr>
          <w:rFonts w:ascii="宋体" w:eastAsia="宋体" w:hAnsi="宋体" w:cs="宋体" w:hint="eastAsia"/>
          <w:spacing w:val="-1"/>
          <w:kern w:val="2"/>
          <w:lang w:eastAsia="zh-CN"/>
        </w:rPr>
        <w:t>产权均归</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所有；</w:t>
      </w:r>
    </w:p>
    <w:p>
      <w:pPr>
        <w:keepNext w:val="0"/>
        <w:keepLines w:val="0"/>
        <w:pageBreakBefore w:val="0"/>
        <w:widowControl w:val="0"/>
        <w:kinsoku w:val="0"/>
        <w:wordWrap/>
        <w:overflowPunct/>
        <w:topLinePunct w:val="0"/>
        <w:autoSpaceDE w:val="0"/>
        <w:autoSpaceDN w:val="0"/>
        <w:bidi w:val="0"/>
        <w:adjustRightInd w:val="0"/>
        <w:snapToGrid w:val="0"/>
        <w:spacing w:before="99" w:line="261" w:lineRule="auto"/>
        <w:ind w:left="0" w:right="0"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6、按照国家、省、市的相关规定，本项目运营期间，享受有关的优惠政策（包括</w:t>
      </w:r>
      <w:r>
        <w:rPr>
          <w:rFonts w:ascii="宋体" w:eastAsia="宋体" w:hAnsi="宋体" w:cs="宋体" w:hint="eastAsia"/>
          <w:spacing w:val="-8"/>
          <w:kern w:val="2"/>
          <w:lang w:eastAsia="zh-CN"/>
        </w:rPr>
        <w:t>税收优惠政策</w:t>
      </w:r>
      <w:r>
        <w:rPr>
          <w:rFonts w:ascii="宋体" w:eastAsia="宋体" w:hAnsi="宋体" w:cs="宋体" w:hint="eastAsia"/>
          <w:spacing w:val="-3"/>
          <w:kern w:val="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before="97" w:line="220" w:lineRule="auto"/>
        <w:ind w:left="0" w:right="0" w:firstLine="480" w:firstLineChars="200"/>
        <w:jc w:val="both"/>
        <w:textAlignment w:val="baseline"/>
        <w:rPr>
          <w:rFonts w:ascii="宋体" w:eastAsia="宋体" w:hAnsi="宋体" w:cs="宋体" w:hint="eastAsia"/>
          <w:kern w:val="2"/>
          <w:lang w:eastAsia="zh-CN"/>
        </w:rPr>
      </w:pPr>
      <w:r>
        <w:rPr>
          <w:rFonts w:ascii="宋体" w:eastAsia="宋体" w:hAnsi="宋体" w:cs="宋体" w:hint="eastAsia"/>
          <w:spacing w:val="-4"/>
          <w:kern w:val="2"/>
          <w:lang w:eastAsia="zh-CN"/>
        </w:rPr>
        <w:t>7、项目约定的其他权利。</w:t>
      </w:r>
    </w:p>
    <w:p>
      <w:pPr>
        <w:widowControl w:val="0"/>
        <w:kinsoku w:val="0"/>
        <w:autoSpaceDE w:val="0"/>
        <w:autoSpaceDN w:val="0"/>
        <w:adjustRightInd w:val="0"/>
        <w:snapToGrid w:val="0"/>
        <w:spacing w:before="99" w:line="219" w:lineRule="auto"/>
        <w:ind w:left="501"/>
        <w:jc w:val="both"/>
        <w:textAlignment w:val="baseline"/>
        <w:rPr>
          <w:rFonts w:ascii="宋体" w:eastAsia="宋体" w:hAnsi="宋体" w:cs="宋体" w:hint="eastAsia"/>
          <w:kern w:val="2"/>
          <w:lang w:eastAsia="zh-CN"/>
        </w:rPr>
      </w:pPr>
      <w:r>
        <w:rPr>
          <w:rFonts w:ascii="宋体" w:eastAsia="宋体" w:hAnsi="宋体" w:cs="宋体" w:hint="eastAsia"/>
          <w:spacing w:val="-5"/>
          <w:kern w:val="2"/>
          <w:lang w:eastAsia="zh-CN"/>
        </w:rPr>
        <w:t>（四）乙方</w:t>
      </w:r>
      <w:r>
        <w:rPr>
          <w:rFonts w:ascii="宋体" w:eastAsia="宋体" w:hAnsi="宋体" w:cs="宋体" w:hint="eastAsia"/>
          <w:spacing w:val="-5"/>
          <w:kern w:val="2"/>
          <w:lang w:eastAsia="zh-CN"/>
        </w:rPr>
        <w:t>义务</w:t>
      </w:r>
    </w:p>
    <w:p>
      <w:pPr>
        <w:widowControl w:val="0"/>
        <w:kinsoku w:val="0"/>
        <w:autoSpaceDE w:val="0"/>
        <w:autoSpaceDN w:val="0"/>
        <w:adjustRightInd w:val="0"/>
        <w:snapToGrid w:val="0"/>
        <w:spacing w:before="98" w:line="261" w:lineRule="auto"/>
        <w:ind w:left="23" w:right="85" w:firstLine="455"/>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1、运营期内，</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应合法合规运营维护本项目资产，提供符</w:t>
      </w:r>
      <w:r>
        <w:rPr>
          <w:rFonts w:ascii="宋体" w:eastAsia="宋体" w:hAnsi="宋体" w:cs="宋体" w:hint="eastAsia"/>
          <w:spacing w:val="-2"/>
          <w:kern w:val="2"/>
          <w:lang w:eastAsia="zh-CN"/>
        </w:rPr>
        <w:t>合委托运营</w:t>
      </w:r>
      <w:r>
        <w:rPr>
          <w:rFonts w:ascii="宋体" w:eastAsia="宋体" w:hAnsi="宋体" w:cs="宋体" w:hint="eastAsia"/>
          <w:spacing w:val="-4"/>
          <w:kern w:val="2"/>
          <w:lang w:eastAsia="zh-CN"/>
        </w:rPr>
        <w:t>合同约定的运营服务内容及公益服务内容；</w:t>
      </w:r>
    </w:p>
    <w:p>
      <w:pPr>
        <w:widowControl w:val="0"/>
        <w:kinsoku w:val="0"/>
        <w:autoSpaceDE w:val="0"/>
        <w:autoSpaceDN w:val="0"/>
        <w:adjustRightInd w:val="0"/>
        <w:snapToGrid w:val="0"/>
        <w:spacing w:before="101" w:line="281" w:lineRule="auto"/>
        <w:ind w:left="21" w:right="108" w:firstLine="443"/>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2、运营期内，经</w:t>
      </w:r>
      <w:r>
        <w:rPr>
          <w:rFonts w:ascii="宋体" w:eastAsia="宋体" w:hAnsi="宋体" w:cs="宋体" w:hint="eastAsia"/>
          <w:spacing w:val="-1"/>
          <w:kern w:val="2"/>
          <w:lang w:eastAsia="zh-CN"/>
        </w:rPr>
        <w:t>甲方</w:t>
      </w:r>
      <w:r>
        <w:rPr>
          <w:rFonts w:ascii="宋体" w:eastAsia="宋体" w:hAnsi="宋体" w:cs="宋体" w:hint="eastAsia"/>
          <w:spacing w:val="-1"/>
          <w:kern w:val="2"/>
          <w:lang w:eastAsia="zh-CN"/>
        </w:rPr>
        <w:t>书面同意的前提下，</w:t>
      </w:r>
      <w:r>
        <w:rPr>
          <w:rFonts w:ascii="宋体" w:eastAsia="宋体" w:hAnsi="宋体" w:cs="宋体" w:hint="eastAsia"/>
          <w:spacing w:val="-1"/>
          <w:kern w:val="2"/>
          <w:lang w:eastAsia="zh-CN"/>
        </w:rPr>
        <w:t>乙方</w:t>
      </w:r>
      <w:r>
        <w:rPr>
          <w:rFonts w:ascii="宋体" w:eastAsia="宋体" w:hAnsi="宋体" w:cs="宋体" w:hint="eastAsia"/>
          <w:spacing w:val="-2"/>
          <w:kern w:val="2"/>
          <w:lang w:eastAsia="zh-CN"/>
        </w:rPr>
        <w:t>可在部分项目空间内引</w:t>
      </w:r>
      <w:r>
        <w:rPr>
          <w:rFonts w:ascii="宋体" w:eastAsia="宋体" w:hAnsi="宋体" w:cs="宋体" w:hint="eastAsia"/>
          <w:kern w:val="2"/>
          <w:lang w:eastAsia="zh-CN"/>
        </w:rPr>
        <w:t>入第三方品牌合作运营，但乙方不得将经营权全部或部分移交给</w:t>
      </w:r>
      <w:r>
        <w:rPr>
          <w:rFonts w:ascii="宋体" w:eastAsia="宋体" w:hAnsi="宋体" w:cs="宋体" w:hint="eastAsia"/>
          <w:spacing w:val="-1"/>
          <w:kern w:val="2"/>
          <w:lang w:eastAsia="zh-CN"/>
        </w:rPr>
        <w:t>第三方、不得因引入</w:t>
      </w:r>
      <w:r>
        <w:rPr>
          <w:rFonts w:ascii="宋体" w:eastAsia="宋体" w:hAnsi="宋体" w:cs="宋体" w:hint="eastAsia"/>
          <w:kern w:val="2"/>
          <w:lang w:eastAsia="zh-CN"/>
        </w:rPr>
        <w:t>第三方原因而减轻委托运营合同项下</w:t>
      </w:r>
      <w:r>
        <w:rPr>
          <w:rFonts w:ascii="宋体" w:eastAsia="宋体" w:hAnsi="宋体" w:cs="宋体" w:hint="eastAsia"/>
          <w:kern w:val="2"/>
          <w:lang w:eastAsia="zh-CN"/>
        </w:rPr>
        <w:t>乙方</w:t>
      </w:r>
      <w:r>
        <w:rPr>
          <w:rFonts w:ascii="宋体" w:eastAsia="宋体" w:hAnsi="宋体" w:cs="宋体" w:hint="eastAsia"/>
          <w:kern w:val="2"/>
          <w:lang w:eastAsia="zh-CN"/>
        </w:rPr>
        <w:t>的责任和义务</w:t>
      </w:r>
      <w:r>
        <w:rPr>
          <w:rFonts w:ascii="宋体" w:eastAsia="宋体" w:hAnsi="宋体" w:cs="宋体" w:hint="eastAsia"/>
          <w:spacing w:val="-1"/>
          <w:kern w:val="2"/>
          <w:lang w:eastAsia="zh-CN"/>
        </w:rPr>
        <w:t>，</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仍对</w:t>
      </w:r>
      <w:r>
        <w:rPr>
          <w:rFonts w:ascii="宋体" w:eastAsia="宋体" w:hAnsi="宋体" w:cs="宋体" w:hint="eastAsia"/>
          <w:spacing w:val="-4"/>
          <w:kern w:val="2"/>
          <w:lang w:eastAsia="zh-CN"/>
        </w:rPr>
        <w:t>项目运营承担整体责任和义务；</w:t>
      </w:r>
    </w:p>
    <w:p>
      <w:pPr>
        <w:widowControl w:val="0"/>
        <w:kinsoku w:val="0"/>
        <w:autoSpaceDE w:val="0"/>
        <w:autoSpaceDN w:val="0"/>
        <w:adjustRightInd w:val="0"/>
        <w:snapToGrid w:val="0"/>
        <w:spacing w:before="101" w:line="285" w:lineRule="auto"/>
        <w:ind w:left="22" w:right="85" w:firstLine="444"/>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3、运营期内，除委托运营合同另有约定外，本项目在经营期限内产生的全部经营</w:t>
      </w:r>
      <w:r>
        <w:rPr>
          <w:rFonts w:ascii="宋体" w:eastAsia="宋体" w:hAnsi="宋体" w:cs="宋体" w:hint="eastAsia"/>
          <w:kern w:val="2"/>
          <w:lang w:eastAsia="zh-CN"/>
        </w:rPr>
        <w:t>性收益均归</w:t>
      </w:r>
      <w:r>
        <w:rPr>
          <w:rFonts w:ascii="宋体" w:eastAsia="宋体" w:hAnsi="宋体" w:cs="宋体" w:hint="eastAsia"/>
          <w:kern w:val="2"/>
          <w:lang w:eastAsia="zh-CN"/>
        </w:rPr>
        <w:t>乙方</w:t>
      </w:r>
      <w:r>
        <w:rPr>
          <w:rFonts w:ascii="宋体" w:eastAsia="宋体" w:hAnsi="宋体" w:cs="宋体" w:hint="eastAsia"/>
          <w:kern w:val="2"/>
          <w:lang w:eastAsia="zh-CN"/>
        </w:rPr>
        <w:t>享有。项目运营管理及使用产生的全</w:t>
      </w:r>
      <w:r>
        <w:rPr>
          <w:rFonts w:ascii="宋体" w:eastAsia="宋体" w:hAnsi="宋体" w:cs="宋体" w:hint="eastAsia"/>
          <w:spacing w:val="-1"/>
          <w:kern w:val="2"/>
          <w:lang w:eastAsia="zh-CN"/>
        </w:rPr>
        <w:t>部成本（包括运营期内</w:t>
      </w:r>
      <w:r>
        <w:rPr>
          <w:rFonts w:ascii="宋体" w:eastAsia="宋体" w:hAnsi="宋体" w:cs="宋体" w:hint="eastAsia"/>
          <w:kern w:val="2"/>
          <w:lang w:eastAsia="zh-CN"/>
        </w:rPr>
        <w:t>乙方</w:t>
      </w:r>
      <w:r>
        <w:rPr>
          <w:rFonts w:ascii="宋体" w:eastAsia="宋体" w:hAnsi="宋体" w:cs="宋体" w:hint="eastAsia"/>
          <w:kern w:val="2"/>
          <w:lang w:eastAsia="zh-CN"/>
        </w:rPr>
        <w:t>出于运营需要而自行对项目资产进行装修装饰等发生</w:t>
      </w:r>
      <w:r>
        <w:rPr>
          <w:rFonts w:ascii="宋体" w:eastAsia="宋体" w:hAnsi="宋体" w:cs="宋体" w:hint="eastAsia"/>
          <w:spacing w:val="-1"/>
          <w:kern w:val="2"/>
          <w:lang w:eastAsia="zh-CN"/>
        </w:rPr>
        <w:t>的成本）、费用以及运</w:t>
      </w:r>
      <w:r>
        <w:rPr>
          <w:rFonts w:ascii="宋体" w:eastAsia="宋体" w:hAnsi="宋体" w:cs="宋体" w:hint="eastAsia"/>
          <w:kern w:val="2"/>
          <w:lang w:eastAsia="zh-CN"/>
        </w:rPr>
        <w:t>营维护及移交本项目发生的各项税费（房产税及土地使用税除</w:t>
      </w:r>
      <w:r>
        <w:rPr>
          <w:rFonts w:ascii="宋体" w:eastAsia="宋体" w:hAnsi="宋体" w:cs="宋体" w:hint="eastAsia"/>
          <w:spacing w:val="-1"/>
          <w:kern w:val="2"/>
          <w:lang w:eastAsia="zh-CN"/>
        </w:rPr>
        <w:t>外）均由</w:t>
      </w:r>
      <w:r>
        <w:rPr>
          <w:rFonts w:ascii="宋体" w:eastAsia="宋体" w:hAnsi="宋体" w:cs="宋体" w:hint="eastAsia"/>
          <w:spacing w:val="-1"/>
          <w:kern w:val="2"/>
          <w:lang w:eastAsia="zh-CN"/>
        </w:rPr>
        <w:t>乙方</w:t>
      </w:r>
      <w:r>
        <w:rPr>
          <w:rFonts w:ascii="宋体" w:eastAsia="宋体" w:hAnsi="宋体" w:cs="宋体" w:hint="eastAsia"/>
          <w:spacing w:val="-4"/>
          <w:kern w:val="2"/>
          <w:lang w:eastAsia="zh-CN"/>
        </w:rPr>
        <w:t>承担，</w:t>
      </w:r>
      <w:r>
        <w:rPr>
          <w:rFonts w:ascii="宋体" w:eastAsia="宋体" w:hAnsi="宋体" w:cs="宋体" w:hint="eastAsia"/>
          <w:spacing w:val="-4"/>
          <w:kern w:val="2"/>
          <w:lang w:eastAsia="zh-CN"/>
        </w:rPr>
        <w:t>乙方</w:t>
      </w:r>
      <w:r>
        <w:rPr>
          <w:rFonts w:ascii="宋体" w:eastAsia="宋体" w:hAnsi="宋体" w:cs="宋体" w:hint="eastAsia"/>
          <w:spacing w:val="-4"/>
          <w:kern w:val="2"/>
          <w:lang w:eastAsia="zh-CN"/>
        </w:rPr>
        <w:t>自负盈亏；</w:t>
      </w:r>
    </w:p>
    <w:p>
      <w:pPr>
        <w:widowControl w:val="0"/>
        <w:kinsoku w:val="0"/>
        <w:autoSpaceDE w:val="0"/>
        <w:autoSpaceDN w:val="0"/>
        <w:adjustRightInd w:val="0"/>
        <w:snapToGrid w:val="0"/>
        <w:spacing w:before="99" w:line="260" w:lineRule="auto"/>
        <w:ind w:left="23" w:right="180" w:firstLine="438"/>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4、运营期内，</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应于每个运营年度结束之</w:t>
      </w:r>
      <w:r>
        <w:rPr>
          <w:rFonts w:ascii="宋体" w:eastAsia="宋体" w:hAnsi="宋体" w:cs="宋体" w:hint="eastAsia"/>
          <w:spacing w:val="-3"/>
          <w:kern w:val="2"/>
          <w:lang w:eastAsia="zh-CN"/>
        </w:rPr>
        <w:t>日起30日内向</w:t>
      </w:r>
      <w:r>
        <w:rPr>
          <w:rFonts w:ascii="宋体" w:eastAsia="宋体" w:hAnsi="宋体" w:cs="宋体" w:hint="eastAsia"/>
          <w:spacing w:val="-3"/>
          <w:kern w:val="2"/>
          <w:lang w:eastAsia="zh-CN"/>
        </w:rPr>
        <w:t>甲方</w:t>
      </w:r>
      <w:r>
        <w:rPr>
          <w:rFonts w:ascii="宋体" w:eastAsia="宋体" w:hAnsi="宋体" w:cs="宋体" w:hint="eastAsia"/>
          <w:spacing w:val="-3"/>
          <w:kern w:val="2"/>
          <w:lang w:eastAsia="zh-CN"/>
        </w:rPr>
        <w:t>提交</w:t>
      </w:r>
      <w:r>
        <w:rPr>
          <w:rFonts w:ascii="宋体" w:eastAsia="宋体" w:hAnsi="宋体" w:cs="宋体" w:hint="eastAsia"/>
          <w:spacing w:val="-5"/>
          <w:kern w:val="2"/>
          <w:lang w:eastAsia="zh-CN"/>
        </w:rPr>
        <w:t>本项目运营维护总结报告；</w:t>
      </w:r>
    </w:p>
    <w:p>
      <w:pPr>
        <w:widowControl w:val="0"/>
        <w:kinsoku w:val="0"/>
        <w:autoSpaceDE w:val="0"/>
        <w:autoSpaceDN w:val="0"/>
        <w:adjustRightInd w:val="0"/>
        <w:snapToGrid w:val="0"/>
        <w:spacing w:before="102" w:line="260" w:lineRule="auto"/>
        <w:ind w:left="24" w:right="80" w:firstLine="442"/>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5、运营期内，如因</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原因，</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在经营权期限内与第三方发</w:t>
      </w:r>
      <w:r>
        <w:rPr>
          <w:rFonts w:ascii="宋体" w:eastAsia="宋体" w:hAnsi="宋体" w:cs="宋体" w:hint="eastAsia"/>
          <w:spacing w:val="-3"/>
          <w:kern w:val="2"/>
          <w:lang w:eastAsia="zh-CN"/>
        </w:rPr>
        <w:t>生经济纠纷，</w:t>
      </w:r>
      <w:r>
        <w:rPr>
          <w:rFonts w:ascii="宋体" w:eastAsia="宋体" w:hAnsi="宋体" w:cs="宋体" w:hint="eastAsia"/>
          <w:spacing w:val="-3"/>
          <w:kern w:val="2"/>
          <w:lang w:eastAsia="zh-CN"/>
        </w:rPr>
        <w:t>乙方</w:t>
      </w:r>
      <w:r>
        <w:rPr>
          <w:rFonts w:ascii="宋体" w:eastAsia="宋体" w:hAnsi="宋体" w:cs="宋体" w:hint="eastAsia"/>
          <w:spacing w:val="-3"/>
          <w:kern w:val="2"/>
          <w:lang w:eastAsia="zh-CN"/>
        </w:rPr>
        <w:t>应当承担相应的法律责任；</w:t>
      </w:r>
    </w:p>
    <w:p>
      <w:pPr>
        <w:widowControl w:val="0"/>
        <w:kinsoku w:val="0"/>
        <w:autoSpaceDE w:val="0"/>
        <w:autoSpaceDN w:val="0"/>
        <w:adjustRightInd w:val="0"/>
        <w:snapToGrid w:val="0"/>
        <w:spacing w:before="102" w:line="285" w:lineRule="auto"/>
        <w:ind w:left="21" w:right="70" w:firstLine="442"/>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6、</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应委派专业的运营团队运营本项目，相关团队及人员须满足本项</w:t>
      </w:r>
      <w:r>
        <w:rPr>
          <w:rFonts w:ascii="宋体" w:eastAsia="宋体" w:hAnsi="宋体" w:cs="宋体" w:hint="eastAsia"/>
          <w:kern w:val="2"/>
          <w:lang w:eastAsia="zh-CN"/>
        </w:rPr>
        <w:t>目招投文件和投标文件的要求，并具备项目运营</w:t>
      </w:r>
      <w:r>
        <w:rPr>
          <w:rFonts w:ascii="宋体" w:eastAsia="宋体" w:hAnsi="宋体" w:cs="宋体" w:hint="eastAsia"/>
          <w:kern w:val="2"/>
          <w:lang w:eastAsia="zh-CN"/>
        </w:rPr>
        <w:t>所需</w:t>
      </w:r>
      <w:r>
        <w:rPr>
          <w:rFonts w:ascii="宋体" w:eastAsia="宋体" w:hAnsi="宋体" w:cs="宋体" w:hint="eastAsia"/>
          <w:kern w:val="2"/>
          <w:lang w:eastAsia="zh-CN"/>
        </w:rPr>
        <w:t>的资质及经</w:t>
      </w:r>
      <w:r>
        <w:rPr>
          <w:rFonts w:ascii="宋体" w:eastAsia="宋体" w:hAnsi="宋体" w:cs="宋体" w:hint="eastAsia"/>
          <w:spacing w:val="-1"/>
          <w:kern w:val="2"/>
          <w:lang w:eastAsia="zh-CN"/>
        </w:rPr>
        <w:t>验。同时，本项目运</w:t>
      </w:r>
      <w:r>
        <w:rPr>
          <w:rFonts w:ascii="宋体" w:eastAsia="宋体" w:hAnsi="宋体" w:cs="宋体" w:hint="eastAsia"/>
          <w:kern w:val="2"/>
          <w:lang w:eastAsia="zh-CN"/>
        </w:rPr>
        <w:t>营期开始之后，</w:t>
      </w:r>
      <w:r>
        <w:rPr>
          <w:rFonts w:ascii="宋体" w:eastAsia="宋体" w:hAnsi="宋体" w:cs="宋体" w:hint="eastAsia"/>
          <w:kern w:val="2"/>
          <w:lang w:eastAsia="zh-CN"/>
        </w:rPr>
        <w:t>乙方</w:t>
      </w:r>
      <w:r>
        <w:rPr>
          <w:rFonts w:ascii="宋体" w:eastAsia="宋体" w:hAnsi="宋体" w:cs="宋体" w:hint="eastAsia"/>
          <w:kern w:val="2"/>
          <w:lang w:eastAsia="zh-CN"/>
        </w:rPr>
        <w:t>应及时将本项目管理架构（图/表）</w:t>
      </w:r>
      <w:r>
        <w:rPr>
          <w:rFonts w:ascii="宋体" w:eastAsia="宋体" w:hAnsi="宋体" w:cs="宋体" w:hint="eastAsia"/>
          <w:spacing w:val="-1"/>
          <w:kern w:val="2"/>
          <w:lang w:eastAsia="zh-CN"/>
        </w:rPr>
        <w:t>及核心管理人员向</w:t>
      </w:r>
      <w:r>
        <w:rPr>
          <w:rFonts w:ascii="宋体" w:eastAsia="宋体" w:hAnsi="宋体" w:cs="宋体" w:hint="eastAsia"/>
          <w:spacing w:val="-1"/>
          <w:kern w:val="2"/>
          <w:lang w:eastAsia="zh-CN"/>
        </w:rPr>
        <w:t>甲方</w:t>
      </w:r>
      <w:r>
        <w:rPr>
          <w:rFonts w:ascii="宋体" w:eastAsia="宋体" w:hAnsi="宋体" w:cs="宋体" w:hint="eastAsia"/>
          <w:kern w:val="2"/>
          <w:lang w:eastAsia="zh-CN"/>
        </w:rPr>
        <w:t>报备，后续如发生变更也须及时报备。</w:t>
      </w:r>
      <w:r>
        <w:rPr>
          <w:rFonts w:ascii="宋体" w:eastAsia="宋体" w:hAnsi="宋体" w:cs="宋体" w:hint="eastAsia"/>
          <w:kern w:val="2"/>
          <w:lang w:eastAsia="zh-CN"/>
        </w:rPr>
        <w:t>甲方</w:t>
      </w:r>
      <w:r>
        <w:rPr>
          <w:rFonts w:ascii="宋体" w:eastAsia="宋体" w:hAnsi="宋体" w:cs="宋体" w:hint="eastAsia"/>
          <w:kern w:val="2"/>
          <w:lang w:eastAsia="zh-CN"/>
        </w:rPr>
        <w:t>有权要求</w:t>
      </w:r>
      <w:r>
        <w:rPr>
          <w:rFonts w:ascii="宋体" w:eastAsia="宋体" w:hAnsi="宋体" w:cs="宋体" w:hint="eastAsia"/>
          <w:kern w:val="2"/>
          <w:lang w:eastAsia="zh-CN"/>
        </w:rPr>
        <w:t>乙方</w:t>
      </w:r>
      <w:r>
        <w:rPr>
          <w:rFonts w:ascii="宋体" w:eastAsia="宋体" w:hAnsi="宋体" w:cs="宋体" w:hint="eastAsia"/>
          <w:spacing w:val="-1"/>
          <w:kern w:val="2"/>
          <w:lang w:eastAsia="zh-CN"/>
        </w:rPr>
        <w:t>更换不符合</w:t>
      </w:r>
      <w:r>
        <w:rPr>
          <w:rFonts w:ascii="宋体" w:eastAsia="宋体" w:hAnsi="宋体" w:cs="宋体" w:hint="eastAsia"/>
          <w:spacing w:val="-3"/>
          <w:kern w:val="2"/>
          <w:lang w:eastAsia="zh-CN"/>
        </w:rPr>
        <w:t>运营本项目所需经验和资质的核心管理人员；</w:t>
      </w:r>
    </w:p>
    <w:p>
      <w:pPr>
        <w:widowControl w:val="0"/>
        <w:kinsoku w:val="0"/>
        <w:autoSpaceDE w:val="0"/>
        <w:autoSpaceDN w:val="0"/>
        <w:adjustRightInd w:val="0"/>
        <w:snapToGrid w:val="0"/>
        <w:spacing w:before="100" w:line="281" w:lineRule="auto"/>
        <w:ind w:left="21" w:right="70" w:firstLine="446"/>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7、</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应在项目运营日起十五（15）日内，足额投保本项目的</w:t>
      </w:r>
      <w:r>
        <w:rPr>
          <w:rFonts w:ascii="宋体" w:eastAsia="宋体" w:hAnsi="宋体" w:cs="宋体" w:hint="eastAsia"/>
          <w:spacing w:val="-1"/>
          <w:kern w:val="2"/>
          <w:lang w:eastAsia="zh-CN"/>
        </w:rPr>
        <w:t>财产一切</w:t>
      </w:r>
      <w:r>
        <w:rPr>
          <w:rFonts w:ascii="宋体" w:eastAsia="宋体" w:hAnsi="宋体" w:cs="宋体" w:hint="eastAsia"/>
          <w:kern w:val="2"/>
          <w:lang w:eastAsia="zh-CN"/>
        </w:rPr>
        <w:t>险、公众责任险及其他法律法规规定的保险险种，</w:t>
      </w:r>
      <w:r>
        <w:rPr>
          <w:rFonts w:ascii="宋体" w:eastAsia="宋体" w:hAnsi="宋体" w:cs="宋体" w:hint="eastAsia"/>
          <w:kern w:val="2"/>
          <w:lang w:eastAsia="zh-CN"/>
        </w:rPr>
        <w:t>乙方</w:t>
      </w:r>
      <w:r>
        <w:rPr>
          <w:rFonts w:ascii="宋体" w:eastAsia="宋体" w:hAnsi="宋体" w:cs="宋体" w:hint="eastAsia"/>
          <w:spacing w:val="-1"/>
          <w:kern w:val="2"/>
          <w:lang w:eastAsia="zh-CN"/>
        </w:rPr>
        <w:t>及</w:t>
      </w:r>
      <w:r>
        <w:rPr>
          <w:rFonts w:ascii="宋体" w:eastAsia="宋体" w:hAnsi="宋体" w:cs="宋体" w:hint="eastAsia"/>
          <w:spacing w:val="-1"/>
          <w:kern w:val="2"/>
          <w:lang w:eastAsia="zh-CN"/>
        </w:rPr>
        <w:t>甲方</w:t>
      </w:r>
      <w:r>
        <w:rPr>
          <w:rFonts w:ascii="宋体" w:eastAsia="宋体" w:hAnsi="宋体" w:cs="宋体" w:hint="eastAsia"/>
          <w:spacing w:val="-1"/>
          <w:kern w:val="2"/>
          <w:lang w:eastAsia="zh-CN"/>
        </w:rPr>
        <w:t>为共同被</w:t>
      </w:r>
      <w:r>
        <w:rPr>
          <w:rFonts w:ascii="宋体" w:eastAsia="宋体" w:hAnsi="宋体" w:cs="宋体" w:hint="eastAsia"/>
          <w:kern w:val="2"/>
          <w:lang w:eastAsia="zh-CN"/>
        </w:rPr>
        <w:t>保险人。</w:t>
      </w:r>
      <w:r>
        <w:rPr>
          <w:rFonts w:ascii="宋体" w:eastAsia="宋体" w:hAnsi="宋体" w:cs="宋体" w:hint="eastAsia"/>
          <w:kern w:val="2"/>
          <w:lang w:eastAsia="zh-CN"/>
        </w:rPr>
        <w:t>乙方</w:t>
      </w:r>
      <w:r>
        <w:rPr>
          <w:rFonts w:ascii="宋体" w:eastAsia="宋体" w:hAnsi="宋体" w:cs="宋体" w:hint="eastAsia"/>
          <w:kern w:val="2"/>
          <w:lang w:eastAsia="zh-CN"/>
        </w:rPr>
        <w:t>应同时</w:t>
      </w:r>
      <w:r>
        <w:rPr>
          <w:rFonts w:ascii="宋体" w:eastAsia="宋体" w:hAnsi="宋体" w:cs="宋体" w:hint="eastAsia"/>
          <w:kern w:val="2"/>
          <w:lang w:eastAsia="zh-CN"/>
        </w:rPr>
        <w:t>维</w:t>
      </w:r>
      <w:r>
        <w:rPr>
          <w:rFonts w:ascii="宋体" w:eastAsia="宋体" w:hAnsi="宋体" w:cs="宋体" w:hint="eastAsia"/>
          <w:kern w:val="2"/>
          <w:lang w:eastAsia="zh-CN"/>
        </w:rPr>
        <w:t>持项目运营期内保险始终足额、有</w:t>
      </w:r>
      <w:r>
        <w:rPr>
          <w:rFonts w:ascii="宋体" w:eastAsia="宋体" w:hAnsi="宋体" w:cs="宋体" w:hint="eastAsia"/>
          <w:spacing w:val="-1"/>
          <w:kern w:val="2"/>
          <w:lang w:eastAsia="zh-CN"/>
        </w:rPr>
        <w:t>效。保险合同文件应</w:t>
      </w:r>
      <w:r>
        <w:rPr>
          <w:rFonts w:ascii="宋体" w:eastAsia="宋体" w:hAnsi="宋体" w:cs="宋体" w:hint="eastAsia"/>
          <w:spacing w:val="-3"/>
          <w:kern w:val="2"/>
          <w:lang w:eastAsia="zh-CN"/>
        </w:rPr>
        <w:t>于签署之日起七（7）日内提交</w:t>
      </w:r>
      <w:r>
        <w:rPr>
          <w:rFonts w:ascii="宋体" w:eastAsia="宋体" w:hAnsi="宋体" w:cs="宋体" w:hint="eastAsia"/>
          <w:spacing w:val="-3"/>
          <w:kern w:val="2"/>
          <w:lang w:eastAsia="zh-CN"/>
        </w:rPr>
        <w:t>甲方</w:t>
      </w:r>
      <w:r>
        <w:rPr>
          <w:rFonts w:ascii="宋体" w:eastAsia="宋体" w:hAnsi="宋体" w:cs="宋体" w:hint="eastAsia"/>
          <w:spacing w:val="-3"/>
          <w:kern w:val="2"/>
          <w:lang w:eastAsia="zh-CN"/>
        </w:rPr>
        <w:t>备案；</w:t>
      </w:r>
    </w:p>
    <w:p>
      <w:pPr>
        <w:widowControl w:val="0"/>
        <w:kinsoku w:val="0"/>
        <w:autoSpaceDE w:val="0"/>
        <w:autoSpaceDN w:val="0"/>
        <w:adjustRightInd w:val="0"/>
        <w:snapToGrid w:val="0"/>
        <w:spacing w:before="72" w:line="260" w:lineRule="auto"/>
        <w:ind w:left="21" w:right="80" w:firstLine="441"/>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8、运营期内，</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对外公告、宣传、合作所使用的项目整体名称需经</w:t>
      </w:r>
      <w:r>
        <w:rPr>
          <w:rFonts w:ascii="宋体" w:eastAsia="宋体" w:hAnsi="宋体" w:cs="宋体" w:hint="eastAsia"/>
          <w:spacing w:val="-1"/>
          <w:kern w:val="2"/>
          <w:lang w:eastAsia="zh-CN"/>
        </w:rPr>
        <w:t>甲方</w:t>
      </w:r>
      <w:r>
        <w:rPr>
          <w:rFonts w:ascii="宋体" w:eastAsia="宋体" w:hAnsi="宋体" w:cs="宋体" w:hint="eastAsia"/>
          <w:spacing w:val="-2"/>
          <w:kern w:val="2"/>
          <w:lang w:eastAsia="zh-CN"/>
        </w:rPr>
        <w:t>书面同意，且乙方不得以甲方名义开展任何与本项目无关的商业宣传活动；</w:t>
      </w:r>
    </w:p>
    <w:p>
      <w:pPr>
        <w:widowControl w:val="0"/>
        <w:kinsoku w:val="0"/>
        <w:autoSpaceDE w:val="0"/>
        <w:autoSpaceDN w:val="0"/>
        <w:adjustRightInd w:val="0"/>
        <w:snapToGrid w:val="0"/>
        <w:spacing w:before="100" w:line="260" w:lineRule="auto"/>
        <w:ind w:left="64" w:right="84" w:firstLine="398"/>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9、运营期内，除合同另有约定外，</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不得擅自转让、出租、出借本项</w:t>
      </w:r>
      <w:r>
        <w:rPr>
          <w:rFonts w:ascii="宋体" w:eastAsia="宋体" w:hAnsi="宋体" w:cs="宋体" w:hint="eastAsia"/>
          <w:spacing w:val="-9"/>
          <w:kern w:val="2"/>
          <w:lang w:eastAsia="zh-CN"/>
        </w:rPr>
        <w:t>目经营权及本项目资产；</w:t>
      </w:r>
    </w:p>
    <w:p>
      <w:pPr>
        <w:widowControl w:val="0"/>
        <w:kinsoku w:val="0"/>
        <w:autoSpaceDE w:val="0"/>
        <w:autoSpaceDN w:val="0"/>
        <w:adjustRightInd w:val="0"/>
        <w:snapToGrid w:val="0"/>
        <w:spacing w:before="98" w:line="261" w:lineRule="auto"/>
        <w:ind w:left="22" w:right="188" w:firstLine="456"/>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10、运营期内，未经</w:t>
      </w:r>
      <w:r>
        <w:rPr>
          <w:rFonts w:ascii="宋体" w:eastAsia="宋体" w:hAnsi="宋体" w:cs="宋体" w:hint="eastAsia"/>
          <w:spacing w:val="-1"/>
          <w:kern w:val="2"/>
          <w:lang w:eastAsia="zh-CN"/>
        </w:rPr>
        <w:t>甲方</w:t>
      </w:r>
      <w:r>
        <w:rPr>
          <w:rFonts w:ascii="宋体" w:eastAsia="宋体" w:hAnsi="宋体" w:cs="宋体" w:hint="eastAsia"/>
          <w:spacing w:val="-1"/>
          <w:kern w:val="2"/>
          <w:lang w:eastAsia="zh-CN"/>
        </w:rPr>
        <w:t>书面同意，</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不得在本项目资产设置担保</w:t>
      </w:r>
      <w:r>
        <w:rPr>
          <w:rFonts w:ascii="宋体" w:eastAsia="宋体" w:hAnsi="宋体" w:cs="宋体" w:hint="eastAsia"/>
          <w:spacing w:val="-14"/>
          <w:kern w:val="2"/>
          <w:lang w:eastAsia="zh-CN"/>
        </w:rPr>
        <w:t>物权；</w:t>
      </w:r>
    </w:p>
    <w:p>
      <w:pPr>
        <w:widowControl w:val="0"/>
        <w:kinsoku w:val="0"/>
        <w:autoSpaceDE w:val="0"/>
        <w:autoSpaceDN w:val="0"/>
        <w:adjustRightInd w:val="0"/>
        <w:snapToGrid w:val="0"/>
        <w:spacing w:before="97" w:line="261" w:lineRule="auto"/>
        <w:ind w:left="24" w:right="198" w:firstLine="454"/>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11、运营期内，</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不得擅自将本项目场地用于与委</w:t>
      </w:r>
      <w:r>
        <w:rPr>
          <w:rFonts w:ascii="宋体" w:eastAsia="宋体" w:hAnsi="宋体" w:cs="宋体" w:hint="eastAsia"/>
          <w:spacing w:val="-2"/>
          <w:kern w:val="2"/>
          <w:lang w:eastAsia="zh-CN"/>
        </w:rPr>
        <w:t>托运营合同约定的</w:t>
      </w:r>
      <w:r>
        <w:rPr>
          <w:rFonts w:ascii="宋体" w:eastAsia="宋体" w:hAnsi="宋体" w:cs="宋体" w:hint="eastAsia"/>
          <w:spacing w:val="-6"/>
          <w:kern w:val="2"/>
          <w:lang w:eastAsia="zh-CN"/>
        </w:rPr>
        <w:t>经营内容无关的事项；</w:t>
      </w:r>
    </w:p>
    <w:p>
      <w:pPr>
        <w:widowControl w:val="0"/>
        <w:kinsoku w:val="0"/>
        <w:autoSpaceDE w:val="0"/>
        <w:autoSpaceDN w:val="0"/>
        <w:adjustRightInd w:val="0"/>
        <w:snapToGrid w:val="0"/>
        <w:spacing w:before="99" w:line="260" w:lineRule="auto"/>
        <w:ind w:left="23" w:right="180" w:firstLine="455"/>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12、运营期内，运营范围内的消防及安全管理责任由</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承担，在合法</w:t>
      </w:r>
      <w:r>
        <w:rPr>
          <w:rFonts w:ascii="宋体" w:eastAsia="宋体" w:hAnsi="宋体" w:cs="宋体" w:hint="eastAsia"/>
          <w:kern w:val="2"/>
          <w:lang w:eastAsia="zh-CN"/>
        </w:rPr>
        <w:t>合规的前提下，依据</w:t>
      </w:r>
      <w:r>
        <w:rPr>
          <w:rFonts w:ascii="宋体" w:eastAsia="宋体" w:hAnsi="宋体" w:cs="宋体" w:hint="eastAsia"/>
          <w:kern w:val="2"/>
          <w:lang w:eastAsia="zh-CN"/>
        </w:rPr>
        <w:t>甲方</w:t>
      </w:r>
      <w:r>
        <w:rPr>
          <w:rFonts w:ascii="宋体" w:eastAsia="宋体" w:hAnsi="宋体" w:cs="宋体" w:hint="eastAsia"/>
          <w:kern w:val="2"/>
          <w:lang w:eastAsia="zh-CN"/>
        </w:rPr>
        <w:t>所在地政府部门要求，</w:t>
      </w:r>
      <w:r>
        <w:rPr>
          <w:rFonts w:ascii="宋体" w:eastAsia="宋体" w:hAnsi="宋体" w:cs="宋体" w:hint="eastAsia"/>
          <w:kern w:val="2"/>
          <w:lang w:eastAsia="zh-CN"/>
        </w:rPr>
        <w:t>乙方</w:t>
      </w:r>
      <w:r>
        <w:rPr>
          <w:rFonts w:ascii="宋体" w:eastAsia="宋体" w:hAnsi="宋体" w:cs="宋体" w:hint="eastAsia"/>
          <w:spacing w:val="-1"/>
          <w:kern w:val="2"/>
          <w:lang w:eastAsia="zh-CN"/>
        </w:rPr>
        <w:t>应于运营之日起十五（15）日内，与</w:t>
      </w:r>
      <w:r>
        <w:rPr>
          <w:rFonts w:ascii="宋体" w:eastAsia="宋体" w:hAnsi="宋体" w:cs="宋体" w:hint="eastAsia"/>
          <w:spacing w:val="-1"/>
          <w:kern w:val="2"/>
          <w:lang w:eastAsia="zh-CN"/>
        </w:rPr>
        <w:t>甲方</w:t>
      </w:r>
      <w:r>
        <w:rPr>
          <w:rFonts w:ascii="宋体" w:eastAsia="宋体" w:hAnsi="宋体" w:cs="宋体" w:hint="eastAsia"/>
          <w:spacing w:val="-1"/>
          <w:kern w:val="2"/>
          <w:lang w:eastAsia="zh-CN"/>
        </w:rPr>
        <w:t>签署消防责任书及安全管理责任书，明确本项目消防管理及安</w:t>
      </w:r>
      <w:r>
        <w:rPr>
          <w:rFonts w:ascii="宋体" w:eastAsia="宋体" w:hAnsi="宋体" w:cs="宋体" w:hint="eastAsia"/>
          <w:spacing w:val="-9"/>
          <w:kern w:val="2"/>
          <w:lang w:eastAsia="zh-CN"/>
        </w:rPr>
        <w:t>全管理责任；</w:t>
      </w:r>
    </w:p>
    <w:p>
      <w:pPr>
        <w:widowControl w:val="0"/>
        <w:kinsoku w:val="0"/>
        <w:autoSpaceDE w:val="0"/>
        <w:autoSpaceDN w:val="0"/>
        <w:adjustRightInd w:val="0"/>
        <w:snapToGrid w:val="0"/>
        <w:spacing w:before="33" w:line="274" w:lineRule="auto"/>
        <w:ind w:left="22" w:right="180" w:firstLine="456"/>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13、如</w:t>
      </w:r>
      <w:r>
        <w:rPr>
          <w:rFonts w:ascii="宋体" w:eastAsia="宋体" w:hAnsi="宋体" w:cs="宋体" w:hint="eastAsia"/>
          <w:spacing w:val="-1"/>
          <w:kern w:val="2"/>
          <w:lang w:eastAsia="zh-CN"/>
        </w:rPr>
        <w:t>甲方</w:t>
      </w:r>
      <w:r>
        <w:rPr>
          <w:rFonts w:ascii="宋体" w:eastAsia="宋体" w:hAnsi="宋体" w:cs="宋体" w:hint="eastAsia"/>
          <w:spacing w:val="-1"/>
          <w:kern w:val="2"/>
          <w:lang w:eastAsia="zh-CN"/>
        </w:rPr>
        <w:t>或其他政府部门在委托运营合同约定的公益服务之外使用</w:t>
      </w:r>
      <w:r>
        <w:rPr>
          <w:rFonts w:ascii="宋体" w:eastAsia="宋体" w:hAnsi="宋体" w:cs="宋体" w:hint="eastAsia"/>
          <w:spacing w:val="-2"/>
          <w:kern w:val="2"/>
          <w:lang w:eastAsia="zh-CN"/>
        </w:rPr>
        <w:t>本项目场</w:t>
      </w:r>
      <w:r>
        <w:rPr>
          <w:rFonts w:ascii="宋体" w:eastAsia="宋体" w:hAnsi="宋体" w:cs="宋体" w:hint="eastAsia"/>
          <w:kern w:val="2"/>
          <w:lang w:eastAsia="zh-CN"/>
        </w:rPr>
        <w:t>地的，</w:t>
      </w:r>
      <w:r>
        <w:rPr>
          <w:rFonts w:ascii="宋体" w:eastAsia="宋体" w:hAnsi="宋体" w:cs="宋体" w:hint="eastAsia"/>
          <w:kern w:val="2"/>
          <w:lang w:eastAsia="zh-CN"/>
        </w:rPr>
        <w:t>甲方</w:t>
      </w:r>
      <w:r>
        <w:rPr>
          <w:rFonts w:ascii="宋体" w:eastAsia="宋体" w:hAnsi="宋体" w:cs="宋体" w:hint="eastAsia"/>
          <w:kern w:val="2"/>
          <w:lang w:eastAsia="zh-CN"/>
        </w:rPr>
        <w:t>应提前合理时间通知</w:t>
      </w:r>
      <w:r>
        <w:rPr>
          <w:rFonts w:ascii="宋体" w:eastAsia="宋体" w:hAnsi="宋体" w:cs="宋体" w:hint="eastAsia"/>
          <w:kern w:val="2"/>
          <w:lang w:eastAsia="zh-CN"/>
        </w:rPr>
        <w:t>乙方</w:t>
      </w:r>
      <w:r>
        <w:rPr>
          <w:rFonts w:ascii="宋体" w:eastAsia="宋体" w:hAnsi="宋体" w:cs="宋体" w:hint="eastAsia"/>
          <w:kern w:val="2"/>
          <w:lang w:eastAsia="zh-CN"/>
        </w:rPr>
        <w:t>，</w:t>
      </w:r>
      <w:r>
        <w:rPr>
          <w:rFonts w:ascii="宋体" w:eastAsia="宋体" w:hAnsi="宋体" w:cs="宋体" w:hint="eastAsia"/>
          <w:kern w:val="2"/>
          <w:lang w:eastAsia="zh-CN"/>
        </w:rPr>
        <w:t>乙方</w:t>
      </w:r>
      <w:r>
        <w:rPr>
          <w:rFonts w:ascii="宋体" w:eastAsia="宋体" w:hAnsi="宋体" w:cs="宋体" w:hint="eastAsia"/>
          <w:spacing w:val="-1"/>
          <w:kern w:val="2"/>
          <w:lang w:eastAsia="zh-CN"/>
        </w:rPr>
        <w:t>应尽可能协调按</w:t>
      </w:r>
      <w:r>
        <w:rPr>
          <w:rFonts w:ascii="宋体" w:eastAsia="宋体" w:hAnsi="宋体" w:cs="宋体" w:hint="eastAsia"/>
          <w:spacing w:val="-1"/>
          <w:kern w:val="2"/>
          <w:lang w:eastAsia="zh-CN"/>
        </w:rPr>
        <w:t>甲方</w:t>
      </w:r>
      <w:r>
        <w:rPr>
          <w:rFonts w:ascii="宋体" w:eastAsia="宋体" w:hAnsi="宋体" w:cs="宋体" w:hint="eastAsia"/>
          <w:spacing w:val="-6"/>
          <w:kern w:val="2"/>
          <w:lang w:eastAsia="zh-CN"/>
        </w:rPr>
        <w:t>要求时间提供场地；</w:t>
      </w:r>
    </w:p>
    <w:p>
      <w:pPr>
        <w:widowControl w:val="0"/>
        <w:kinsoku w:val="0"/>
        <w:autoSpaceDE w:val="0"/>
        <w:autoSpaceDN w:val="0"/>
        <w:adjustRightInd w:val="0"/>
        <w:snapToGrid w:val="0"/>
        <w:spacing w:before="100" w:line="281" w:lineRule="auto"/>
        <w:ind w:left="22" w:right="180" w:firstLine="456"/>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14、运营期内，中标社会资本有义务配合各类党政机关对本项目的调研、检</w:t>
      </w:r>
      <w:r>
        <w:rPr>
          <w:rFonts w:ascii="宋体" w:eastAsia="宋体" w:hAnsi="宋体" w:cs="宋体" w:hint="eastAsia"/>
          <w:spacing w:val="-2"/>
          <w:kern w:val="2"/>
          <w:lang w:eastAsia="zh-CN"/>
        </w:rPr>
        <w:t>查及</w:t>
      </w:r>
      <w:r>
        <w:rPr>
          <w:rFonts w:ascii="宋体" w:eastAsia="宋体" w:hAnsi="宋体" w:cs="宋体" w:hint="eastAsia"/>
          <w:kern w:val="2"/>
          <w:lang w:eastAsia="zh-CN"/>
        </w:rPr>
        <w:t>考核，包括但不限于全国文明城市创建等，并对存在问题及时</w:t>
      </w:r>
      <w:r>
        <w:rPr>
          <w:rFonts w:ascii="宋体" w:eastAsia="宋体" w:hAnsi="宋体" w:cs="宋体" w:hint="eastAsia"/>
          <w:spacing w:val="-1"/>
          <w:kern w:val="2"/>
          <w:lang w:eastAsia="zh-CN"/>
        </w:rPr>
        <w:t>进行整改</w:t>
      </w:r>
      <w:r>
        <w:rPr>
          <w:rFonts w:ascii="宋体" w:eastAsia="宋体" w:hAnsi="宋体" w:cs="宋体" w:hint="eastAsia"/>
          <w:spacing w:val="-4"/>
          <w:kern w:val="2"/>
          <w:lang w:eastAsia="zh-CN"/>
        </w:rPr>
        <w:t>；</w:t>
      </w:r>
    </w:p>
    <w:p>
      <w:pPr>
        <w:widowControl w:val="0"/>
        <w:kinsoku w:val="0"/>
        <w:autoSpaceDE w:val="0"/>
        <w:autoSpaceDN w:val="0"/>
        <w:adjustRightInd w:val="0"/>
        <w:snapToGrid w:val="0"/>
        <w:spacing w:before="101" w:line="260" w:lineRule="auto"/>
        <w:ind w:left="26" w:right="197" w:firstLine="452"/>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15、</w:t>
      </w:r>
      <w:r>
        <w:rPr>
          <w:rFonts w:ascii="宋体" w:eastAsia="宋体" w:hAnsi="宋体" w:cs="宋体" w:hint="eastAsia"/>
          <w:spacing w:val="-1"/>
          <w:kern w:val="2"/>
          <w:lang w:eastAsia="zh-CN"/>
        </w:rPr>
        <w:t>乙方</w:t>
      </w:r>
      <w:r>
        <w:rPr>
          <w:rFonts w:ascii="宋体" w:eastAsia="宋体" w:hAnsi="宋体" w:cs="宋体" w:hint="eastAsia"/>
          <w:spacing w:val="-1"/>
          <w:kern w:val="2"/>
          <w:lang w:eastAsia="zh-CN"/>
        </w:rPr>
        <w:t>承担本项目开办物资设备的购置，</w:t>
      </w:r>
      <w:r>
        <w:rPr>
          <w:rFonts w:ascii="宋体" w:eastAsia="宋体" w:hAnsi="宋体" w:cs="宋体" w:hint="eastAsia"/>
          <w:spacing w:val="-1"/>
          <w:kern w:val="2"/>
          <w:lang w:eastAsia="zh-CN"/>
        </w:rPr>
        <w:t>乙方</w:t>
      </w:r>
      <w:r>
        <w:rPr>
          <w:rFonts w:ascii="宋体" w:eastAsia="宋体" w:hAnsi="宋体" w:cs="宋体" w:hint="eastAsia"/>
          <w:spacing w:val="-2"/>
          <w:kern w:val="2"/>
          <w:lang w:eastAsia="zh-CN"/>
        </w:rPr>
        <w:t>所购置的物资</w:t>
      </w:r>
      <w:r>
        <w:rPr>
          <w:rFonts w:ascii="宋体" w:eastAsia="宋体" w:hAnsi="宋体" w:cs="宋体" w:hint="eastAsia"/>
          <w:spacing w:val="-4"/>
          <w:kern w:val="2"/>
          <w:lang w:eastAsia="zh-CN"/>
        </w:rPr>
        <w:t>设备须符合本项目正常运营需求；</w:t>
      </w:r>
    </w:p>
    <w:p>
      <w:pPr>
        <w:widowControl w:val="0"/>
        <w:kinsoku w:val="0"/>
        <w:autoSpaceDE w:val="0"/>
        <w:autoSpaceDN w:val="0"/>
        <w:adjustRightInd w:val="0"/>
        <w:snapToGrid w:val="0"/>
        <w:spacing w:before="98" w:line="220" w:lineRule="auto"/>
        <w:ind w:left="478"/>
        <w:jc w:val="both"/>
        <w:textAlignment w:val="baseline"/>
        <w:rPr>
          <w:rFonts w:ascii="宋体" w:eastAsia="宋体" w:hAnsi="宋体" w:cs="宋体" w:hint="eastAsia"/>
          <w:kern w:val="2"/>
          <w:lang w:eastAsia="zh-CN"/>
        </w:rPr>
      </w:pPr>
      <w:r>
        <w:rPr>
          <w:rFonts w:ascii="宋体" w:eastAsia="宋体" w:hAnsi="宋体" w:cs="宋体" w:hint="eastAsia"/>
          <w:spacing w:val="-1"/>
          <w:kern w:val="2"/>
          <w:lang w:eastAsia="zh-CN"/>
        </w:rPr>
        <w:t>16</w:t>
      </w:r>
      <w:r>
        <w:rPr>
          <w:rFonts w:ascii="宋体" w:eastAsia="宋体" w:hAnsi="宋体" w:cs="宋体" w:hint="eastAsia"/>
          <w:spacing w:val="-5"/>
          <w:kern w:val="2"/>
          <w:lang w:eastAsia="zh-CN"/>
        </w:rPr>
        <w:t>、项目约定的其他义务。</w:t>
      </w:r>
    </w:p>
    <w:p>
      <w:pPr>
        <w:widowControl w:val="0"/>
        <w:kinsoku w:val="0"/>
        <w:autoSpaceDE w:val="0"/>
        <w:autoSpaceDN w:val="0"/>
        <w:adjustRightInd w:val="0"/>
        <w:snapToGrid w:val="0"/>
        <w:spacing w:before="98" w:line="220" w:lineRule="auto"/>
        <w:ind w:left="467"/>
        <w:jc w:val="both"/>
        <w:textAlignment w:val="baseline"/>
        <w:rPr>
          <w:rFonts w:ascii="宋体" w:eastAsia="宋体" w:hAnsi="宋体" w:cs="宋体" w:hint="eastAsia"/>
          <w:kern w:val="2"/>
          <w:lang w:eastAsia="zh-CN"/>
        </w:rPr>
      </w:pPr>
      <w:r>
        <w:rPr>
          <w:rFonts w:ascii="宋体" w:eastAsia="宋体" w:hAnsi="宋体" w:cs="宋体" w:hint="eastAsia"/>
          <w:b/>
          <w:bCs/>
          <w:spacing w:val="-3"/>
          <w:kern w:val="2"/>
          <w:lang w:eastAsia="zh-CN"/>
        </w:rPr>
        <w:t>九、项目资产权属说明</w:t>
      </w:r>
    </w:p>
    <w:p>
      <w:pPr>
        <w:widowControl w:val="0"/>
        <w:kinsoku w:val="0"/>
        <w:autoSpaceDE w:val="0"/>
        <w:autoSpaceDN w:val="0"/>
        <w:adjustRightInd w:val="0"/>
        <w:snapToGrid w:val="0"/>
        <w:spacing w:before="137" w:line="347" w:lineRule="auto"/>
        <w:ind w:left="20" w:right="13" w:firstLine="442"/>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本项目土地使用权及资产归属</w:t>
      </w:r>
      <w:r>
        <w:rPr>
          <w:rFonts w:ascii="宋体" w:eastAsia="宋体" w:hAnsi="宋体" w:cs="宋体" w:hint="eastAsia"/>
          <w:spacing w:val="-2"/>
          <w:kern w:val="2"/>
          <w:lang w:eastAsia="zh-CN"/>
        </w:rPr>
        <w:t>甲方</w:t>
      </w:r>
      <w:r>
        <w:rPr>
          <w:rFonts w:ascii="宋体" w:eastAsia="宋体" w:hAnsi="宋体" w:cs="宋体" w:hint="eastAsia"/>
          <w:spacing w:val="-2"/>
          <w:kern w:val="2"/>
          <w:lang w:eastAsia="zh-CN"/>
        </w:rPr>
        <w:t>所有，</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仅拥有项目资产经营权，并负责相应的运营管理和维护，</w:t>
      </w:r>
      <w:r>
        <w:rPr>
          <w:rFonts w:ascii="宋体" w:eastAsia="宋体" w:hAnsi="宋体" w:cs="宋体" w:hint="eastAsia"/>
          <w:spacing w:val="-2"/>
          <w:kern w:val="2"/>
          <w:lang w:eastAsia="zh-CN"/>
        </w:rPr>
        <w:t>甲方</w:t>
      </w:r>
      <w:r>
        <w:rPr>
          <w:rFonts w:ascii="宋体" w:eastAsia="宋体" w:hAnsi="宋体" w:cs="宋体" w:hint="eastAsia"/>
          <w:spacing w:val="-2"/>
          <w:kern w:val="2"/>
          <w:lang w:eastAsia="zh-CN"/>
        </w:rPr>
        <w:t>按照协议约定期限，仅将项目场地无偿提供给</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使用，不对项目建筑主体的资产权属进行移交</w:t>
      </w:r>
      <w:r>
        <w:rPr>
          <w:rFonts w:ascii="宋体" w:eastAsia="宋体" w:hAnsi="宋体" w:cs="宋体" w:hint="eastAsia"/>
          <w:spacing w:val="-2"/>
          <w:kern w:val="2"/>
          <w:lang w:eastAsia="zh-CN"/>
        </w:rPr>
        <w:t>，</w:t>
      </w:r>
      <w:r>
        <w:rPr>
          <w:rFonts w:ascii="宋体" w:eastAsia="宋体" w:hAnsi="宋体" w:cs="宋体" w:hint="eastAsia"/>
          <w:spacing w:val="-2"/>
          <w:kern w:val="2"/>
          <w:lang w:eastAsia="zh-CN"/>
        </w:rPr>
        <w:t>引入具有综合实力、具备行业先进技术经验和丰富运营管理经验的社会资本开展合作，由</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负责本项目的</w:t>
      </w:r>
      <w:r>
        <w:rPr>
          <w:rFonts w:ascii="宋体" w:eastAsia="宋体" w:hAnsi="宋体" w:cs="宋体" w:hint="eastAsia"/>
          <w:spacing w:val="-7"/>
          <w:kern w:val="2"/>
          <w:lang w:eastAsia="zh-CN"/>
        </w:rPr>
        <w:t>具体实施。</w:t>
      </w:r>
    </w:p>
    <w:p>
      <w:pPr>
        <w:widowControl w:val="0"/>
        <w:kinsoku w:val="0"/>
        <w:autoSpaceDE w:val="0"/>
        <w:autoSpaceDN w:val="0"/>
        <w:adjustRightInd w:val="0"/>
        <w:snapToGrid w:val="0"/>
        <w:spacing w:before="31" w:line="220" w:lineRule="auto"/>
        <w:ind w:left="501"/>
        <w:jc w:val="both"/>
        <w:textAlignment w:val="baseline"/>
        <w:rPr>
          <w:rFonts w:ascii="宋体" w:eastAsia="宋体" w:hAnsi="宋体" w:cs="宋体" w:hint="eastAsia"/>
          <w:kern w:val="2"/>
          <w:lang w:eastAsia="zh-CN"/>
        </w:rPr>
      </w:pPr>
      <w:r>
        <w:rPr>
          <w:rFonts w:ascii="宋体" w:eastAsia="宋体" w:hAnsi="宋体" w:cs="宋体" w:hint="eastAsia"/>
          <w:spacing w:val="-7"/>
          <w:kern w:val="2"/>
          <w:lang w:eastAsia="zh-CN"/>
        </w:rPr>
        <w:t>（一）</w:t>
      </w:r>
      <w:r>
        <w:rPr>
          <w:rFonts w:ascii="宋体" w:eastAsia="宋体" w:hAnsi="宋体" w:cs="宋体" w:hint="eastAsia"/>
          <w:spacing w:val="-7"/>
          <w:kern w:val="2"/>
          <w:lang w:eastAsia="zh-CN"/>
        </w:rPr>
        <w:t>资产权属</w:t>
      </w:r>
    </w:p>
    <w:p>
      <w:pPr>
        <w:widowControl w:val="0"/>
        <w:kinsoku w:val="0"/>
        <w:autoSpaceDE w:val="0"/>
        <w:autoSpaceDN w:val="0"/>
        <w:adjustRightInd w:val="0"/>
        <w:snapToGrid w:val="0"/>
        <w:spacing w:before="156" w:line="346" w:lineRule="auto"/>
        <w:ind w:left="21" w:right="10" w:firstLine="444"/>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项目运营期内，建筑物及</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在运营期初接收的其他资产、设施的所有权</w:t>
      </w:r>
      <w:r>
        <w:rPr>
          <w:rFonts w:ascii="宋体" w:eastAsia="宋体" w:hAnsi="宋体" w:cs="宋体" w:hint="eastAsia"/>
          <w:spacing w:val="-4"/>
          <w:kern w:val="2"/>
          <w:lang w:eastAsia="zh-CN"/>
        </w:rPr>
        <w:t>归</w:t>
      </w:r>
      <w:r>
        <w:rPr>
          <w:rFonts w:ascii="宋体" w:eastAsia="宋体" w:hAnsi="宋体" w:cs="宋体" w:hint="eastAsia"/>
          <w:spacing w:val="-4"/>
          <w:kern w:val="2"/>
          <w:lang w:eastAsia="zh-CN"/>
        </w:rPr>
        <w:t>甲方</w:t>
      </w:r>
      <w:r>
        <w:rPr>
          <w:rFonts w:ascii="宋体" w:eastAsia="宋体" w:hAnsi="宋体" w:cs="宋体" w:hint="eastAsia"/>
          <w:spacing w:val="-4"/>
          <w:kern w:val="2"/>
          <w:lang w:eastAsia="zh-CN"/>
        </w:rPr>
        <w:t>所有。</w:t>
      </w:r>
      <w:r>
        <w:rPr>
          <w:rFonts w:ascii="宋体" w:eastAsia="宋体" w:hAnsi="宋体" w:cs="宋体" w:hint="eastAsia"/>
          <w:spacing w:val="-4"/>
          <w:kern w:val="2"/>
          <w:lang w:eastAsia="zh-CN"/>
        </w:rPr>
        <w:t>乙方</w:t>
      </w:r>
      <w:r>
        <w:rPr>
          <w:rFonts w:ascii="宋体" w:eastAsia="宋体" w:hAnsi="宋体" w:cs="宋体" w:hint="eastAsia"/>
          <w:spacing w:val="-4"/>
          <w:kern w:val="2"/>
          <w:lang w:eastAsia="zh-CN"/>
        </w:rPr>
        <w:t>对本项目进行装修及购置</w:t>
      </w:r>
      <w:r>
        <w:rPr>
          <w:rFonts w:ascii="宋体" w:eastAsia="宋体" w:hAnsi="宋体" w:cs="宋体" w:hint="eastAsia"/>
          <w:spacing w:val="-5"/>
          <w:kern w:val="2"/>
          <w:lang w:eastAsia="zh-CN"/>
        </w:rPr>
        <w:t>设备等行为所形成的资产，委托到</w:t>
      </w:r>
      <w:r>
        <w:rPr>
          <w:rFonts w:ascii="宋体" w:eastAsia="宋体" w:hAnsi="宋体" w:cs="宋体" w:hint="eastAsia"/>
          <w:spacing w:val="-2"/>
          <w:kern w:val="2"/>
          <w:lang w:eastAsia="zh-CN"/>
        </w:rPr>
        <w:t>期后硬装部分及不可移动软装的所有权归</w:t>
      </w:r>
      <w:r>
        <w:rPr>
          <w:rFonts w:ascii="宋体" w:eastAsia="宋体" w:hAnsi="宋体" w:cs="宋体" w:hint="eastAsia"/>
          <w:spacing w:val="-2"/>
          <w:kern w:val="2"/>
          <w:lang w:eastAsia="zh-CN"/>
        </w:rPr>
        <w:t>甲方</w:t>
      </w:r>
      <w:r>
        <w:rPr>
          <w:rFonts w:ascii="宋体" w:eastAsia="宋体" w:hAnsi="宋体" w:cs="宋体" w:hint="eastAsia"/>
          <w:spacing w:val="-2"/>
          <w:kern w:val="2"/>
          <w:lang w:eastAsia="zh-CN"/>
        </w:rPr>
        <w:t>所有，</w:t>
      </w:r>
      <w:r>
        <w:rPr>
          <w:rFonts w:ascii="宋体" w:eastAsia="宋体" w:hAnsi="宋体" w:cs="宋体" w:hint="eastAsia"/>
          <w:spacing w:val="-5"/>
          <w:kern w:val="2"/>
          <w:lang w:eastAsia="zh-CN"/>
        </w:rPr>
        <w:t>乙方</w:t>
      </w:r>
      <w:r>
        <w:rPr>
          <w:rFonts w:ascii="宋体" w:eastAsia="宋体" w:hAnsi="宋体" w:cs="宋体" w:hint="eastAsia"/>
          <w:spacing w:val="-5"/>
          <w:kern w:val="2"/>
          <w:lang w:eastAsia="zh-CN"/>
        </w:rPr>
        <w:t>购置的非建筑功</w:t>
      </w:r>
      <w:r>
        <w:rPr>
          <w:rFonts w:ascii="宋体" w:eastAsia="宋体" w:hAnsi="宋体" w:cs="宋体" w:hint="eastAsia"/>
          <w:spacing w:val="-6"/>
          <w:kern w:val="2"/>
          <w:lang w:eastAsia="zh-CN"/>
        </w:rPr>
        <w:t>能需求的展示品、艺术品、</w:t>
      </w:r>
      <w:r>
        <w:rPr>
          <w:rFonts w:ascii="宋体" w:eastAsia="宋体" w:hAnsi="宋体" w:cs="宋体" w:hint="eastAsia"/>
          <w:spacing w:val="-2"/>
          <w:kern w:val="2"/>
          <w:lang w:eastAsia="zh-CN"/>
        </w:rPr>
        <w:t>可移动软装（含可移动设备）、办公家具等的所有权归</w:t>
      </w:r>
      <w:r>
        <w:rPr>
          <w:rFonts w:ascii="宋体" w:eastAsia="宋体" w:hAnsi="宋体" w:cs="宋体" w:hint="eastAsia"/>
          <w:spacing w:val="-2"/>
          <w:kern w:val="2"/>
          <w:lang w:eastAsia="zh-CN"/>
        </w:rPr>
        <w:t>乙方</w:t>
      </w:r>
      <w:r>
        <w:rPr>
          <w:rFonts w:ascii="宋体" w:eastAsia="宋体" w:hAnsi="宋体" w:cs="宋体" w:hint="eastAsia"/>
          <w:spacing w:val="-3"/>
          <w:kern w:val="2"/>
          <w:lang w:eastAsia="zh-CN"/>
        </w:rPr>
        <w:t>所有，运营期限届满</w:t>
      </w:r>
      <w:r>
        <w:rPr>
          <w:rFonts w:ascii="宋体" w:eastAsia="宋体" w:hAnsi="宋体" w:cs="宋体" w:hint="eastAsia"/>
          <w:spacing w:val="-3"/>
          <w:kern w:val="2"/>
          <w:lang w:eastAsia="zh-CN"/>
        </w:rPr>
        <w:t>乙方</w:t>
      </w:r>
      <w:r>
        <w:rPr>
          <w:rFonts w:ascii="宋体" w:eastAsia="宋体" w:hAnsi="宋体" w:cs="宋体" w:hint="eastAsia"/>
          <w:spacing w:val="-3"/>
          <w:kern w:val="2"/>
          <w:lang w:eastAsia="zh-CN"/>
        </w:rPr>
        <w:t>应及时清理完毕该等资产。</w:t>
      </w:r>
    </w:p>
    <w:p>
      <w:pPr>
        <w:widowControl w:val="0"/>
        <w:kinsoku w:val="0"/>
        <w:autoSpaceDE w:val="0"/>
        <w:autoSpaceDN w:val="0"/>
        <w:adjustRightInd w:val="0"/>
        <w:snapToGrid w:val="0"/>
        <w:spacing w:before="31" w:line="344" w:lineRule="auto"/>
        <w:ind w:left="20" w:right="78" w:firstLine="462"/>
        <w:jc w:val="both"/>
        <w:textAlignment w:val="baseline"/>
        <w:rPr>
          <w:rFonts w:ascii="宋体" w:eastAsia="宋体" w:hAnsi="宋体" w:cs="宋体" w:hint="eastAsia"/>
          <w:kern w:val="2"/>
          <w:lang w:eastAsia="zh-CN"/>
        </w:rPr>
      </w:pP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在运营期内有权对可移动软装、设备、办</w:t>
      </w:r>
      <w:r>
        <w:rPr>
          <w:rFonts w:ascii="宋体" w:eastAsia="宋体" w:hAnsi="宋体" w:cs="宋体" w:hint="eastAsia"/>
          <w:spacing w:val="-3"/>
          <w:kern w:val="2"/>
          <w:lang w:eastAsia="zh-CN"/>
        </w:rPr>
        <w:t>公家具等按照实际运营需求</w:t>
      </w:r>
      <w:r>
        <w:rPr>
          <w:rFonts w:ascii="宋体" w:eastAsia="宋体" w:hAnsi="宋体" w:cs="宋体" w:hint="eastAsia"/>
          <w:spacing w:val="-6"/>
          <w:kern w:val="2"/>
          <w:lang w:eastAsia="zh-CN"/>
        </w:rPr>
        <w:t>进行更新、转让、出售，同时须在当年度运营维护总结报告中列明</w:t>
      </w:r>
      <w:r>
        <w:rPr>
          <w:rFonts w:ascii="宋体" w:eastAsia="宋体" w:hAnsi="宋体" w:cs="宋体" w:hint="eastAsia"/>
          <w:spacing w:val="-7"/>
          <w:kern w:val="2"/>
          <w:lang w:eastAsia="zh-CN"/>
        </w:rPr>
        <w:t>情况，未经</w:t>
      </w:r>
      <w:r>
        <w:rPr>
          <w:rFonts w:ascii="宋体" w:eastAsia="宋体" w:hAnsi="宋体" w:cs="宋体" w:hint="eastAsia"/>
          <w:spacing w:val="-7"/>
          <w:kern w:val="2"/>
          <w:lang w:eastAsia="zh-CN"/>
        </w:rPr>
        <w:t>甲方</w:t>
      </w:r>
      <w:r>
        <w:rPr>
          <w:rFonts w:ascii="宋体" w:eastAsia="宋体" w:hAnsi="宋体" w:cs="宋体" w:hint="eastAsia"/>
          <w:spacing w:val="-7"/>
          <w:kern w:val="2"/>
          <w:lang w:eastAsia="zh-CN"/>
        </w:rPr>
        <w:t>允</w:t>
      </w:r>
      <w:r>
        <w:rPr>
          <w:rFonts w:ascii="宋体" w:eastAsia="宋体" w:hAnsi="宋体" w:cs="宋体" w:hint="eastAsia"/>
          <w:spacing w:val="-2"/>
          <w:kern w:val="2"/>
          <w:lang w:eastAsia="zh-CN"/>
        </w:rPr>
        <w:t>许，不得擅自以出售、抵押、转让等方式处置项目其他资产。</w:t>
      </w:r>
    </w:p>
    <w:p>
      <w:pPr>
        <w:widowControl w:val="0"/>
        <w:kinsoku w:val="0"/>
        <w:autoSpaceDE w:val="0"/>
        <w:autoSpaceDN w:val="0"/>
        <w:adjustRightInd w:val="0"/>
        <w:snapToGrid w:val="0"/>
        <w:spacing w:before="31" w:line="220" w:lineRule="auto"/>
        <w:ind w:left="501"/>
        <w:jc w:val="both"/>
        <w:textAlignment w:val="baseline"/>
        <w:rPr>
          <w:rFonts w:ascii="宋体" w:eastAsia="宋体" w:hAnsi="宋体" w:cs="宋体" w:hint="eastAsia"/>
          <w:kern w:val="2"/>
          <w:lang w:eastAsia="zh-CN"/>
        </w:rPr>
      </w:pPr>
      <w:r>
        <w:rPr>
          <w:rFonts w:ascii="宋体" w:eastAsia="宋体" w:hAnsi="宋体" w:cs="宋体" w:hint="eastAsia"/>
          <w:spacing w:val="-6"/>
          <w:kern w:val="2"/>
          <w:lang w:eastAsia="zh-CN"/>
        </w:rPr>
        <w:t>（二）</w:t>
      </w:r>
      <w:r>
        <w:rPr>
          <w:rFonts w:ascii="宋体" w:eastAsia="宋体" w:hAnsi="宋体" w:cs="宋体" w:hint="eastAsia"/>
          <w:spacing w:val="-6"/>
          <w:kern w:val="2"/>
          <w:lang w:eastAsia="zh-CN"/>
        </w:rPr>
        <w:t>项目资产移交</w:t>
      </w:r>
    </w:p>
    <w:p>
      <w:pPr>
        <w:widowControl w:val="0"/>
        <w:kinsoku w:val="0"/>
        <w:autoSpaceDE w:val="0"/>
        <w:autoSpaceDN w:val="0"/>
        <w:adjustRightInd w:val="0"/>
        <w:snapToGrid w:val="0"/>
        <w:spacing w:before="154" w:line="349" w:lineRule="auto"/>
        <w:ind w:left="21" w:right="78" w:firstLine="440"/>
        <w:jc w:val="both"/>
        <w:textAlignment w:val="baseline"/>
        <w:rPr>
          <w:rFonts w:ascii="宋体" w:eastAsia="宋体" w:hAnsi="宋体" w:cs="宋体" w:hint="eastAsia"/>
          <w:spacing w:val="-2"/>
          <w:kern w:val="2"/>
          <w:lang w:eastAsia="zh-CN"/>
        </w:rPr>
      </w:pPr>
      <w:r>
        <w:rPr>
          <w:rFonts w:ascii="宋体" w:eastAsia="宋体" w:hAnsi="宋体" w:cs="宋体" w:hint="eastAsia"/>
          <w:spacing w:val="-2"/>
          <w:kern w:val="2"/>
          <w:lang w:eastAsia="zh-CN"/>
        </w:rPr>
        <w:t>运营期满，</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应按照双方约定将项目资产（</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运营期初接收的资产、项目设施、设备及与之相关的零部件、备品备件；本项目改造、管理和维护的档案资料、手册、图纸等；与本项目运营维护相关的技术、知识产权等；与本项目持续运营相关的资产；与本项目有关的未到期的保险受益权、保修权益（如有）等）无偿移交给</w:t>
      </w:r>
      <w:r>
        <w:rPr>
          <w:rFonts w:ascii="宋体" w:eastAsia="宋体" w:hAnsi="宋体" w:cs="宋体" w:hint="eastAsia"/>
          <w:spacing w:val="-2"/>
          <w:kern w:val="2"/>
          <w:lang w:eastAsia="zh-CN"/>
        </w:rPr>
        <w:t>甲方</w:t>
      </w:r>
      <w:r>
        <w:rPr>
          <w:rFonts w:ascii="宋体" w:eastAsia="宋体" w:hAnsi="宋体" w:cs="宋体" w:hint="eastAsia"/>
          <w:spacing w:val="-2"/>
          <w:kern w:val="2"/>
          <w:lang w:eastAsia="zh-CN"/>
        </w:rPr>
        <w:t>或</w:t>
      </w:r>
      <w:r>
        <w:rPr>
          <w:rFonts w:ascii="宋体" w:eastAsia="宋体" w:hAnsi="宋体" w:cs="宋体" w:hint="eastAsia"/>
          <w:spacing w:val="-2"/>
          <w:kern w:val="2"/>
          <w:lang w:eastAsia="zh-CN"/>
        </w:rPr>
        <w:t>甲方</w:t>
      </w:r>
      <w:r>
        <w:rPr>
          <w:rFonts w:ascii="宋体" w:eastAsia="宋体" w:hAnsi="宋体" w:cs="宋体" w:hint="eastAsia"/>
          <w:spacing w:val="-2"/>
          <w:kern w:val="2"/>
          <w:lang w:eastAsia="zh-CN"/>
        </w:rPr>
        <w:t>指定机构。</w:t>
      </w:r>
      <w:r>
        <w:rPr>
          <w:rFonts w:ascii="宋体" w:eastAsia="宋体" w:hAnsi="宋体" w:cs="宋体" w:hint="eastAsia"/>
          <w:spacing w:val="-2"/>
          <w:kern w:val="2"/>
          <w:lang w:eastAsia="zh-CN"/>
        </w:rPr>
        <w:t>乙方</w:t>
      </w:r>
      <w:r>
        <w:rPr>
          <w:rFonts w:ascii="宋体" w:eastAsia="宋体" w:hAnsi="宋体" w:cs="宋体" w:hint="eastAsia"/>
          <w:spacing w:val="-2"/>
          <w:kern w:val="2"/>
          <w:lang w:eastAsia="zh-CN"/>
        </w:rPr>
        <w:t>应确保移交的项目全部资产不存在任何抵</w:t>
      </w:r>
      <w:r>
        <w:rPr>
          <w:rFonts w:ascii="宋体" w:eastAsia="宋体" w:hAnsi="宋体" w:cs="宋体" w:hint="eastAsia"/>
          <w:spacing w:val="-4"/>
          <w:kern w:val="2"/>
          <w:lang w:eastAsia="zh-CN"/>
        </w:rPr>
        <w:t>押、质押等担保权益或权利约束，亦不得存在与本</w:t>
      </w:r>
      <w:r>
        <w:rPr>
          <w:rFonts w:ascii="宋体" w:eastAsia="宋体" w:hAnsi="宋体" w:cs="宋体" w:hint="eastAsia"/>
          <w:spacing w:val="-5"/>
          <w:kern w:val="2"/>
          <w:lang w:eastAsia="zh-CN"/>
        </w:rPr>
        <w:t>项目相关的由</w:t>
      </w:r>
      <w:r>
        <w:rPr>
          <w:rFonts w:ascii="宋体" w:eastAsia="宋体" w:hAnsi="宋体" w:cs="宋体" w:hint="eastAsia"/>
          <w:spacing w:val="-5"/>
          <w:kern w:val="2"/>
          <w:lang w:eastAsia="zh-CN"/>
        </w:rPr>
        <w:t>乙方</w:t>
      </w:r>
      <w:r>
        <w:rPr>
          <w:rFonts w:ascii="宋体" w:eastAsia="宋体" w:hAnsi="宋体" w:cs="宋体" w:hint="eastAsia"/>
          <w:spacing w:val="-5"/>
          <w:kern w:val="2"/>
          <w:lang w:eastAsia="zh-CN"/>
        </w:rPr>
        <w:t>引起的行</w:t>
      </w:r>
      <w:r>
        <w:rPr>
          <w:rFonts w:ascii="宋体" w:eastAsia="宋体" w:hAnsi="宋体" w:cs="宋体" w:hint="eastAsia"/>
          <w:spacing w:val="-4"/>
          <w:kern w:val="2"/>
          <w:lang w:eastAsia="zh-CN"/>
        </w:rPr>
        <w:t>政处罚或民事争议。项目设施应符合本项目运营维护</w:t>
      </w:r>
      <w:r>
        <w:rPr>
          <w:rFonts w:ascii="宋体" w:eastAsia="宋体" w:hAnsi="宋体" w:cs="宋体" w:hint="eastAsia"/>
          <w:spacing w:val="-5"/>
          <w:kern w:val="2"/>
          <w:lang w:eastAsia="zh-CN"/>
        </w:rPr>
        <w:t>所需的技术、安全和环保标准，并</w:t>
      </w:r>
      <w:r>
        <w:rPr>
          <w:rFonts w:ascii="宋体" w:eastAsia="宋体" w:hAnsi="宋体" w:cs="宋体" w:hint="eastAsia"/>
          <w:spacing w:val="-5"/>
          <w:kern w:val="2"/>
          <w:lang w:eastAsia="zh-CN"/>
        </w:rPr>
        <w:t>维持</w:t>
      </w:r>
      <w:r>
        <w:rPr>
          <w:rFonts w:ascii="宋体" w:eastAsia="宋体" w:hAnsi="宋体" w:cs="宋体" w:hint="eastAsia"/>
          <w:spacing w:val="-2"/>
          <w:kern w:val="2"/>
          <w:lang w:eastAsia="zh-CN"/>
        </w:rPr>
        <w:t>好的运营状况。</w:t>
      </w:r>
    </w:p>
    <w:p>
      <w:pPr>
        <w:widowControl w:val="0"/>
        <w:kinsoku w:val="0"/>
        <w:autoSpaceDE w:val="0"/>
        <w:autoSpaceDN w:val="0"/>
        <w:adjustRightInd w:val="0"/>
        <w:snapToGrid w:val="0"/>
        <w:spacing w:before="154" w:line="349" w:lineRule="auto"/>
        <w:ind w:left="21" w:right="78" w:firstLine="440"/>
        <w:jc w:val="both"/>
        <w:textAlignment w:val="baseline"/>
        <w:rPr>
          <w:rFonts w:ascii="宋体" w:eastAsia="宋体" w:hAnsi="宋体" w:cs="宋体" w:hint="eastAsia"/>
          <w:spacing w:val="-2"/>
          <w:kern w:val="2"/>
          <w:lang w:eastAsia="zh-CN"/>
        </w:rPr>
      </w:pPr>
      <w:r>
        <w:rPr>
          <w:rFonts w:ascii="宋体" w:eastAsia="宋体" w:hAnsi="宋体" w:cs="宋体" w:hint="eastAsia"/>
          <w:spacing w:val="-2"/>
          <w:kern w:val="2"/>
          <w:lang w:eastAsia="zh-CN"/>
        </w:rPr>
        <w:t>项目合作期结束之日前三个月内，甲方有权自行或委托专业机构对本项目资产进行评估和检测。如项目资产无法正常使用的，乙方应在收到甲方通知后10个工作日及时修复，以满足本合同约定的移交标准，但甲方原因导致不符合移交标准情形除外。如任何一方对是否达到移交标准有异议的，应聘请双方共同认可的第三方机构进行评定。最终评定结果认定一方异议成立的，该第三方机构的聘请费用由另一方承担；若评定结果认定异议不成立，则聘请费用由提出异议方承担。若乙方未按本合同约定承担移交前的修复责任，或未在指定期限内完成修复的，甲方有权委托第三方进行修复，产生的全部合理费用由乙方承担，给甲方造成其他损失的，以实际损失为限，甲方有权直接从履约保函中提取上述合理费用和实际损失，不足部分有权向乙方追偿。</w:t>
      </w:r>
    </w:p>
    <w:p>
      <w:pPr>
        <w:widowControl w:val="0"/>
        <w:adjustRightInd w:val="0"/>
        <w:snapToGrid w:val="0"/>
        <w:spacing w:before="156" w:beforeLines="50" w:after="156" w:afterLines="50" w:line="400" w:lineRule="exact"/>
        <w:jc w:val="center"/>
        <w:outlineLvl w:val="3"/>
        <w:rPr>
          <w:rFonts w:ascii="宋体" w:eastAsia="宋体" w:hAnsi="宋体" w:cs="宋体" w:hint="eastAsia"/>
          <w:b/>
          <w:bCs/>
          <w:kern w:val="44"/>
          <w:lang w:eastAsia="zh-CN"/>
        </w:rPr>
      </w:pPr>
      <w:bookmarkStart w:id="16" w:name="_Toc457474997"/>
      <w:bookmarkStart w:id="17" w:name="_Toc469658402"/>
      <w:bookmarkStart w:id="18" w:name="_Toc108531493"/>
      <w:bookmarkStart w:id="19" w:name="_Toc256000017"/>
      <w:r>
        <w:rPr>
          <w:rFonts w:ascii="宋体" w:eastAsia="宋体" w:hAnsi="宋体" w:cs="宋体" w:hint="eastAsia"/>
          <w:b/>
          <w:bCs/>
          <w:kern w:val="44"/>
          <w:lang w:eastAsia="zh-CN"/>
        </w:rPr>
        <w:t>五、实质性条款</w:t>
      </w:r>
      <w:bookmarkEnd w:id="16"/>
      <w:bookmarkEnd w:id="17"/>
      <w:bookmarkEnd w:id="18"/>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77"/>
        <w:gridCol w:w="831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
        </w:trPr>
        <w:tc>
          <w:tcPr>
            <w:tcW w:w="526" w:type="pct"/>
          </w:tcPr>
          <w:p>
            <w:pPr>
              <w:widowControl w:val="0"/>
              <w:adjustRightInd w:val="0"/>
              <w:snapToGrid w:val="0"/>
              <w:jc w:val="center"/>
              <w:rPr>
                <w:rFonts w:ascii="宋体" w:eastAsia="宋体" w:hAnsi="宋体" w:cs="宋体" w:hint="eastAsia"/>
                <w:b/>
                <w:bCs/>
                <w:lang w:eastAsia="zh-CN"/>
              </w:rPr>
            </w:pPr>
            <w:r>
              <w:rPr>
                <w:rFonts w:ascii="宋体" w:eastAsia="宋体" w:hAnsi="宋体" w:cs="宋体" w:hint="eastAsia"/>
                <w:b/>
                <w:bCs/>
                <w:lang w:eastAsia="zh-CN"/>
              </w:rPr>
              <w:t>序号</w:t>
            </w:r>
          </w:p>
        </w:tc>
        <w:tc>
          <w:tcPr>
            <w:tcW w:w="4473" w:type="pct"/>
          </w:tcPr>
          <w:p>
            <w:pPr>
              <w:widowControl w:val="0"/>
              <w:adjustRightInd w:val="0"/>
              <w:snapToGrid w:val="0"/>
              <w:jc w:val="center"/>
              <w:rPr>
                <w:rFonts w:ascii="宋体" w:eastAsia="宋体" w:hAnsi="宋体" w:cs="宋体" w:hint="eastAsia"/>
                <w:b/>
                <w:bCs/>
                <w:lang w:eastAsia="zh-CN"/>
              </w:rPr>
            </w:pPr>
            <w:r>
              <w:rPr>
                <w:rFonts w:ascii="宋体" w:eastAsia="宋体" w:hAnsi="宋体" w:cs="宋体" w:hint="eastAsia"/>
                <w:b/>
                <w:bCs/>
                <w:lang w:eastAsia="zh-CN"/>
              </w:rPr>
              <w:t>实质性条款具体内容具体内容</w:t>
            </w:r>
          </w:p>
        </w:tc>
      </w:tr>
      <w:tr>
        <w:tblPrEx>
          <w:tblW w:w="5000" w:type="pct"/>
          <w:tblInd w:w="0" w:type="dxa"/>
          <w:tblLayout w:type="fixed"/>
          <w:tblCellMar>
            <w:top w:w="0" w:type="dxa"/>
            <w:left w:w="108" w:type="dxa"/>
            <w:bottom w:w="0" w:type="dxa"/>
            <w:right w:w="108" w:type="dxa"/>
          </w:tblCellMar>
        </w:tblPrEx>
        <w:trPr>
          <w:trHeight w:val="704"/>
        </w:trPr>
        <w:tc>
          <w:tcPr>
            <w:tcW w:w="526" w:type="pct"/>
            <w:vAlign w:val="center"/>
          </w:tcPr>
          <w:p>
            <w:pPr>
              <w:widowControl w:val="0"/>
              <w:adjustRightInd w:val="0"/>
              <w:snapToGrid w:val="0"/>
              <w:jc w:val="center"/>
              <w:rPr>
                <w:rFonts w:ascii="宋体" w:eastAsia="宋体" w:hAnsi="宋体" w:cs="宋体" w:hint="eastAsia"/>
                <w:color w:val="FF0000"/>
                <w:lang w:eastAsia="zh-CN"/>
              </w:rPr>
            </w:pPr>
            <w:r>
              <w:rPr>
                <w:rFonts w:ascii="宋体" w:eastAsia="宋体" w:hAnsi="宋体" w:cs="宋体" w:hint="eastAsia"/>
                <w:color w:val="FF0000"/>
                <w:lang w:eastAsia="zh-CN"/>
              </w:rPr>
              <w:t>1</w:t>
            </w:r>
          </w:p>
        </w:tc>
        <w:tc>
          <w:tcPr>
            <w:tcW w:w="4473" w:type="pct"/>
            <w:vAlign w:val="center"/>
          </w:tcPr>
          <w:p>
            <w:pPr>
              <w:widowControl w:val="0"/>
              <w:adjustRightInd w:val="0"/>
              <w:snapToGrid w:val="0"/>
              <w:spacing w:before="156" w:beforeLines="50" w:after="156" w:afterLines="50"/>
              <w:jc w:val="both"/>
              <w:outlineLvl w:val="4"/>
              <w:rPr>
                <w:rFonts w:ascii="宋体" w:eastAsia="宋体" w:hAnsi="宋体" w:cs="宋体" w:hint="eastAsia"/>
                <w:color w:val="FF0000"/>
                <w:kern w:val="2"/>
                <w:lang w:eastAsia="zh-CN"/>
              </w:rPr>
            </w:pPr>
            <w:r>
              <w:rPr>
                <w:rFonts w:ascii="宋体" w:eastAsia="宋体" w:hAnsi="宋体" w:cs="宋体" w:hint="eastAsia"/>
                <w:color w:val="FF0000"/>
                <w:kern w:val="2"/>
                <w:lang w:eastAsia="zh-CN"/>
              </w:rPr>
              <w:t>本项目无实质性条款</w:t>
            </w:r>
          </w:p>
        </w:tc>
      </w:tr>
      <w:bookmarkEnd w:id="19"/>
    </w:tbl>
    <w:p>
      <w:pPr>
        <w:widowControl w:val="0"/>
        <w:jc w:val="both"/>
        <w:rPr>
          <w:rFonts w:ascii="宋体" w:eastAsia="宋体" w:hAnsi="宋体" w:cs="宋体" w:hint="eastAsia"/>
          <w:lang w:eastAsia="zh-CN"/>
        </w:rPr>
      </w:pPr>
      <w:r>
        <w:rPr>
          <w:rFonts w:ascii="宋体" w:eastAsia="宋体" w:hAnsi="宋体" w:cs="宋体" w:hint="eastAsia"/>
          <w:lang w:eastAsia="zh-CN"/>
        </w:rPr>
        <w:t>注：上表所列内容为不可负偏离条款，负偏离将视为未实质性满足招标文件要求作投标无效处理。</w:t>
      </w:r>
    </w:p>
    <w:p>
      <w:pPr>
        <w:widowControl w:val="0"/>
        <w:ind w:right="2" w:rightChars="1"/>
        <w:jc w:val="both"/>
        <w:rPr>
          <w:rFonts w:ascii="宋体" w:eastAsia="宋体" w:hAnsi="宋体" w:cs="宋体" w:hint="eastAsia"/>
          <w:color w:val="FF0000"/>
          <w:lang w:eastAsia="zh-CN"/>
        </w:rPr>
      </w:pPr>
    </w:p>
    <w:p>
      <w:pPr>
        <w:widowControl w:val="0"/>
        <w:adjustRightInd w:val="0"/>
        <w:snapToGrid w:val="0"/>
        <w:spacing w:before="156" w:beforeLines="50" w:after="156" w:afterLines="50" w:line="400" w:lineRule="exact"/>
        <w:jc w:val="center"/>
        <w:outlineLvl w:val="3"/>
        <w:rPr>
          <w:rFonts w:ascii="宋体" w:eastAsia="宋体" w:hAnsi="宋体" w:cs="宋体" w:hint="eastAsia"/>
          <w:b/>
          <w:bCs/>
          <w:kern w:val="44"/>
          <w:lang w:eastAsia="zh-CN"/>
        </w:rPr>
      </w:pPr>
      <w:bookmarkStart w:id="20" w:name="_Toc256000019"/>
      <w:r>
        <w:rPr>
          <w:rFonts w:ascii="宋体" w:eastAsia="宋体" w:hAnsi="宋体" w:cs="宋体" w:hint="eastAsia"/>
          <w:b/>
          <w:bCs/>
          <w:kern w:val="44"/>
          <w:lang w:eastAsia="zh-CN"/>
        </w:rPr>
        <w:t>六、注意事项</w:t>
      </w:r>
      <w:bookmarkEnd w:id="20"/>
    </w:p>
    <w:p>
      <w:pPr>
        <w:widowControl w:val="0"/>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1、中标人不得将项目非法分包或转包给任何单位和个人。否则，招标人有权即刻终止协议，并要求中标人赔偿相应损失。</w:t>
      </w:r>
    </w:p>
    <w:p>
      <w:pPr>
        <w:widowControl w:val="0"/>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2、投标人若认为招标文件的技术要求或其他要求有倾向性或不公正性，可在招标答疑阶段提出，以维护招标行为的公平、公正。</w:t>
      </w:r>
    </w:p>
    <w:p>
      <w:pPr>
        <w:widowControl w:val="0"/>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3、投标人使用的标准必须是国际公认或国家、或地方政府颁布的同等或更高的标准，如投标人使用的标准低于上述标准，评标委员会将有权不予接受，投标人必须列表将明显的差异详细说明。</w:t>
      </w:r>
    </w:p>
    <w:p>
      <w:pPr>
        <w:widowControl w:val="0"/>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4、投标人所提交的投标文件对技术参数和各项要求的响应应是列出具体内容。如果投标人只注明“符合”或“满足”，将被视为“不符合”，并可能严重影响评标结果。</w:t>
      </w:r>
    </w:p>
    <w:p>
      <w:pPr>
        <w:widowControl w:val="0"/>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5、本项目为网上电子投标项目，投标文件不需法人或授权委托人另行签字，无需加盖单位公章，招标文件专用条款另有规定的除外。</w:t>
      </w:r>
    </w:p>
    <w:p>
      <w:pPr>
        <w:widowControl w:val="0"/>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6、除协议继续履行将损害国家利益和社会公共利益外，双方当事人不得擅自变更、</w:t>
      </w:r>
      <w:r>
        <w:rPr>
          <w:rFonts w:ascii="宋体" w:eastAsia="宋体" w:hAnsi="宋体" w:cs="宋体" w:hint="eastAsia"/>
          <w:bCs/>
          <w:kern w:val="2"/>
          <w:lang w:eastAsia="zh-CN"/>
        </w:rPr>
        <w:t>中止或者终止协议。</w:t>
      </w:r>
    </w:p>
    <w:p>
      <w:pPr>
        <w:widowControl w:val="0"/>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7、“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pPr>
        <w:widowControl w:val="0"/>
        <w:spacing w:line="360" w:lineRule="auto"/>
        <w:jc w:val="both"/>
        <w:rPr>
          <w:rFonts w:ascii="宋体" w:eastAsia="宋体" w:hAnsi="宋体" w:cs="宋体" w:hint="eastAsia"/>
          <w:bCs/>
          <w:kern w:val="2"/>
          <w:szCs w:val="21"/>
          <w:lang w:eastAsia="zh-CN"/>
        </w:rPr>
      </w:pPr>
    </w:p>
    <w:p>
      <w:pPr>
        <w:keepNext/>
        <w:keepLines/>
        <w:widowControl w:val="0"/>
        <w:adjustRightInd w:val="0"/>
        <w:spacing w:before="260" w:after="260"/>
        <w:jc w:val="center"/>
        <w:textAlignment w:val="baseline"/>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第四章投标文件组成要求及格式</w:t>
      </w:r>
    </w:p>
    <w:p>
      <w:pPr>
        <w:widowControl w:val="0"/>
        <w:jc w:val="both"/>
        <w:rPr>
          <w:rFonts w:ascii="宋体" w:eastAsia="宋体" w:hAnsi="宋体" w:cs="宋体" w:hint="eastAsia"/>
          <w:b/>
          <w:bCs/>
          <w:color w:val="FF0000"/>
          <w:kern w:val="2"/>
          <w:sz w:val="28"/>
          <w:szCs w:val="22"/>
          <w:lang w:eastAsia="zh-CN"/>
        </w:rPr>
      </w:pPr>
      <w:r>
        <w:rPr>
          <w:rFonts w:ascii="宋体" w:eastAsia="宋体" w:hAnsi="宋体" w:cs="宋体" w:hint="eastAsia"/>
          <w:b/>
          <w:bCs/>
          <w:color w:val="FF0000"/>
          <w:kern w:val="2"/>
          <w:sz w:val="28"/>
          <w:szCs w:val="22"/>
          <w:lang w:eastAsia="zh-CN"/>
        </w:rPr>
        <w:t>特别提醒：</w:t>
      </w:r>
    </w:p>
    <w:p>
      <w:pPr>
        <w:widowControl w:val="0"/>
        <w:ind w:firstLine="480" w:firstLineChars="20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投标文件正文将对外公开，投标文件附件不公开。投标人在编辑投标文件时，在投标文件目录中属于本节点内容的必须在本节点中填写，填写到其他节点或附件的将可能导致投标无效，一切后果由投标人自行承担。</w:t>
      </w:r>
    </w:p>
    <w:p>
      <w:pPr>
        <w:widowControl w:val="0"/>
        <w:jc w:val="both"/>
        <w:rPr>
          <w:rFonts w:ascii="宋体" w:eastAsia="宋体" w:hAnsi="宋体" w:cs="宋体" w:hint="eastAsia"/>
          <w:b/>
          <w:bCs/>
          <w:color w:val="FF0000"/>
          <w:kern w:val="2"/>
          <w:sz w:val="28"/>
          <w:szCs w:val="22"/>
          <w:lang w:eastAsia="zh-CN"/>
        </w:rPr>
      </w:pPr>
      <w:r>
        <w:rPr>
          <w:rFonts w:ascii="宋体" w:eastAsia="宋体" w:hAnsi="宋体" w:cs="宋体" w:hint="eastAsia"/>
          <w:kern w:val="2"/>
          <w:szCs w:val="22"/>
          <w:lang w:eastAsia="zh-CN"/>
        </w:rPr>
        <w:t>投标文件正文（信息公开部分）必须编制于“正文（公开部分）”部分，投标文件附件（非信息公开部分）必须编制于“附件（不公开部分）”部分。</w:t>
      </w:r>
    </w:p>
    <w:p>
      <w:pPr>
        <w:widowControl w:val="0"/>
        <w:ind w:firstLine="480" w:firstLineChars="200"/>
        <w:jc w:val="both"/>
        <w:rPr>
          <w:rFonts w:ascii="宋体" w:eastAsia="宋体" w:hAnsi="宋体" w:cs="宋体" w:hint="eastAsia"/>
          <w:b/>
          <w:color w:val="FF0000"/>
          <w:kern w:val="2"/>
          <w:lang w:eastAsia="zh-CN"/>
        </w:rPr>
      </w:pPr>
      <w:bookmarkStart w:id="21" w:name="_Hlk72257167"/>
      <w:r>
        <w:rPr>
          <w:rFonts w:ascii="宋体" w:eastAsia="宋体" w:hAnsi="宋体" w:cs="宋体" w:hint="eastAsia"/>
          <w:kern w:val="2"/>
          <w:szCs w:val="22"/>
          <w:lang w:eastAsia="zh-CN"/>
        </w:rPr>
        <w:t>招标代理机构公布投标文件正文（信息公开部分）时为计算机截取信息自动公布，</w:t>
      </w:r>
      <w:r>
        <w:rPr>
          <w:rFonts w:ascii="宋体" w:eastAsia="宋体" w:hAnsi="宋体" w:cs="宋体" w:hint="eastAsia"/>
          <w:b/>
          <w:bCs/>
          <w:kern w:val="2"/>
          <w:szCs w:val="22"/>
          <w:lang w:eastAsia="zh-CN"/>
        </w:rPr>
        <w:t>如投标人误将涉及个人隐私的信息放入投标文件正文，相关后果由投标人自负；</w:t>
      </w:r>
      <w:r>
        <w:rPr>
          <w:rFonts w:ascii="宋体" w:eastAsia="宋体" w:hAnsi="宋体" w:cs="宋体" w:hint="eastAsia"/>
          <w:kern w:val="2"/>
          <w:szCs w:val="22"/>
          <w:highlight w:val="yellow"/>
          <w:lang w:eastAsia="zh-CN"/>
        </w:rPr>
        <w:t>如投标人将必须放于投标文件正文（信息公开部分）的内容放入投标文件附件（非信息公开部分），将作投标无效处理。</w:t>
      </w:r>
    </w:p>
    <w:bookmarkEnd w:id="21"/>
    <w:p>
      <w:pPr>
        <w:widowControl/>
        <w:jc w:val="left"/>
        <w:rPr>
          <w:rFonts w:ascii="宋体" w:eastAsia="宋体" w:hAnsi="宋体" w:cs="宋体" w:hint="eastAsia"/>
          <w:bCs/>
          <w:kern w:val="44"/>
          <w:lang w:eastAsia="zh-CN"/>
        </w:rPr>
      </w:pPr>
    </w:p>
    <w:p>
      <w:pPr>
        <w:widowControl/>
        <w:jc w:val="left"/>
        <w:rPr>
          <w:rFonts w:ascii="宋体" w:eastAsia="宋体" w:hAnsi="宋体" w:cs="宋体" w:hint="eastAsia"/>
          <w:bCs/>
          <w:kern w:val="44"/>
          <w:lang w:eastAsia="zh-CN"/>
        </w:rPr>
      </w:pPr>
      <w:r>
        <w:rPr>
          <w:rFonts w:ascii="宋体" w:eastAsia="宋体" w:hAnsi="宋体" w:cs="宋体" w:hint="eastAsia"/>
          <w:bCs/>
          <w:kern w:val="44"/>
          <w:lang w:eastAsia="zh-CN"/>
        </w:rPr>
        <w:t>投标文件组成：</w:t>
      </w:r>
    </w:p>
    <w:p>
      <w:pPr>
        <w:widowControl w:val="0"/>
        <w:snapToGrid w:val="0"/>
        <w:jc w:val="both"/>
        <w:rPr>
          <w:rFonts w:ascii="宋体" w:eastAsia="宋体" w:hAnsi="宋体" w:cs="宋体" w:hint="eastAsia"/>
          <w:b/>
          <w:color w:val="FF0000"/>
          <w:kern w:val="2"/>
          <w:lang w:eastAsia="zh-CN"/>
        </w:rPr>
      </w:pPr>
      <w:r>
        <w:rPr>
          <w:rFonts w:ascii="宋体" w:eastAsia="宋体" w:hAnsi="宋体" w:cs="宋体" w:hint="eastAsia"/>
          <w:b/>
          <w:color w:val="FF0000"/>
          <w:lang w:eastAsia="zh-CN"/>
        </w:rPr>
        <w:t>投标文件正文（信息公开部分）：</w:t>
      </w:r>
    </w:p>
    <w:p>
      <w:pPr>
        <w:widowControl w:val="0"/>
        <w:numPr>
          <w:ilvl w:val="0"/>
          <w:numId w:val="1"/>
        </w:numPr>
        <w:tabs>
          <w:tab w:val="left" w:pos="1470"/>
        </w:tabs>
        <w:snapToGrid w:val="0"/>
        <w:ind w:left="1470" w:hanging="420"/>
        <w:jc w:val="left"/>
        <w:rPr>
          <w:rFonts w:ascii="宋体" w:eastAsia="宋体" w:hAnsi="宋体" w:cs="宋体" w:hint="eastAsia"/>
          <w:kern w:val="2"/>
          <w:lang w:eastAsia="zh-CN"/>
        </w:rPr>
      </w:pPr>
      <w:r>
        <w:rPr>
          <w:rFonts w:ascii="宋体" w:eastAsia="宋体" w:hAnsi="宋体" w:cs="宋体" w:hint="eastAsia"/>
          <w:kern w:val="2"/>
          <w:lang w:eastAsia="zh-CN"/>
        </w:rPr>
        <w:t>投标函；</w:t>
      </w:r>
    </w:p>
    <w:p>
      <w:pPr>
        <w:widowControl w:val="0"/>
        <w:numPr>
          <w:ilvl w:val="0"/>
          <w:numId w:val="1"/>
        </w:numPr>
        <w:tabs>
          <w:tab w:val="left" w:pos="1470"/>
        </w:tabs>
        <w:snapToGrid w:val="0"/>
        <w:ind w:left="1470" w:hanging="420"/>
        <w:jc w:val="left"/>
        <w:rPr>
          <w:rFonts w:ascii="宋体" w:eastAsia="宋体" w:hAnsi="宋体" w:cs="宋体" w:hint="eastAsia"/>
          <w:kern w:val="2"/>
          <w:lang w:eastAsia="zh-CN"/>
        </w:rPr>
      </w:pPr>
      <w:bookmarkStart w:id="22" w:name="_Hlk72062521"/>
      <w:r>
        <w:rPr>
          <w:rFonts w:ascii="宋体" w:eastAsia="宋体" w:hAnsi="宋体" w:cs="宋体" w:hint="eastAsia"/>
          <w:kern w:val="2"/>
          <w:lang w:eastAsia="zh-CN"/>
        </w:rPr>
        <w:t>投标及履约承诺函</w:t>
      </w:r>
      <w:bookmarkEnd w:id="22"/>
      <w:r>
        <w:rPr>
          <w:rFonts w:ascii="宋体" w:eastAsia="宋体" w:hAnsi="宋体" w:cs="宋体" w:hint="eastAsia"/>
          <w:kern w:val="2"/>
          <w:lang w:eastAsia="zh-CN"/>
        </w:rPr>
        <w:t>；</w:t>
      </w:r>
    </w:p>
    <w:p>
      <w:pPr>
        <w:widowControl w:val="0"/>
        <w:numPr>
          <w:ilvl w:val="0"/>
          <w:numId w:val="1"/>
        </w:numPr>
        <w:tabs>
          <w:tab w:val="left" w:pos="1470"/>
        </w:tabs>
        <w:snapToGrid w:val="0"/>
        <w:ind w:left="1470" w:hanging="420"/>
        <w:jc w:val="left"/>
        <w:rPr>
          <w:rFonts w:ascii="宋体" w:eastAsia="宋体" w:hAnsi="宋体" w:cs="宋体" w:hint="eastAsia"/>
          <w:kern w:val="2"/>
          <w:lang w:eastAsia="zh-CN"/>
        </w:rPr>
      </w:pPr>
      <w:r>
        <w:rPr>
          <w:rFonts w:ascii="宋体" w:eastAsia="宋体" w:hAnsi="宋体" w:cs="宋体" w:hint="eastAsia"/>
          <w:kern w:val="2"/>
          <w:lang w:eastAsia="zh-CN"/>
        </w:rPr>
        <w:t>投标人情况及资格证明文件；</w:t>
      </w:r>
    </w:p>
    <w:p>
      <w:pPr>
        <w:widowControl w:val="0"/>
        <w:numPr>
          <w:ilvl w:val="0"/>
          <w:numId w:val="1"/>
        </w:numPr>
        <w:tabs>
          <w:tab w:val="left" w:pos="1470"/>
        </w:tabs>
        <w:snapToGrid w:val="0"/>
        <w:ind w:left="1470" w:hanging="420"/>
        <w:jc w:val="left"/>
        <w:rPr>
          <w:rFonts w:ascii="宋体" w:eastAsia="宋体" w:hAnsi="宋体" w:cs="宋体" w:hint="eastAsia"/>
          <w:kern w:val="2"/>
          <w:lang w:eastAsia="zh-CN"/>
        </w:rPr>
      </w:pPr>
      <w:r>
        <w:rPr>
          <w:rFonts w:ascii="宋体" w:eastAsia="宋体" w:hAnsi="宋体" w:cs="宋体" w:hint="eastAsia"/>
          <w:kern w:val="2"/>
          <w:lang w:eastAsia="zh-CN"/>
        </w:rPr>
        <w:t>项目报价表；</w:t>
      </w:r>
    </w:p>
    <w:p>
      <w:pPr>
        <w:widowControl w:val="0"/>
        <w:numPr>
          <w:ilvl w:val="0"/>
          <w:numId w:val="1"/>
        </w:numPr>
        <w:tabs>
          <w:tab w:val="left" w:pos="1470"/>
        </w:tabs>
        <w:snapToGrid w:val="0"/>
        <w:ind w:left="1470" w:hanging="420"/>
        <w:jc w:val="left"/>
        <w:rPr>
          <w:rFonts w:ascii="宋体" w:eastAsia="宋体" w:hAnsi="宋体" w:cs="宋体" w:hint="eastAsia"/>
          <w:kern w:val="2"/>
          <w:lang w:eastAsia="zh-CN"/>
        </w:rPr>
      </w:pPr>
      <w:r>
        <w:rPr>
          <w:rFonts w:ascii="宋体" w:eastAsia="宋体" w:hAnsi="宋体" w:cs="宋体" w:hint="eastAsia"/>
          <w:bCs/>
          <w:kern w:val="2"/>
          <w:lang w:eastAsia="zh-CN"/>
        </w:rPr>
        <w:t>场馆运营能力</w:t>
      </w:r>
    </w:p>
    <w:p>
      <w:pPr>
        <w:widowControl w:val="0"/>
        <w:numPr>
          <w:ilvl w:val="0"/>
          <w:numId w:val="1"/>
        </w:numPr>
        <w:tabs>
          <w:tab w:val="left" w:pos="1470"/>
        </w:tabs>
        <w:snapToGrid w:val="0"/>
        <w:ind w:left="1470" w:hanging="420"/>
        <w:jc w:val="left"/>
        <w:rPr>
          <w:rFonts w:ascii="宋体" w:eastAsia="宋体" w:hAnsi="宋体" w:cs="宋体" w:hint="eastAsia"/>
          <w:kern w:val="2"/>
          <w:lang w:eastAsia="zh-CN"/>
        </w:rPr>
      </w:pPr>
      <w:r>
        <w:rPr>
          <w:rFonts w:ascii="宋体" w:eastAsia="宋体" w:hAnsi="宋体" w:cs="宋体" w:hint="eastAsia"/>
          <w:bCs/>
          <w:kern w:val="2"/>
          <w:lang w:eastAsia="zh-CN"/>
        </w:rPr>
        <w:t>社会效益保障能力</w:t>
      </w:r>
    </w:p>
    <w:p>
      <w:pPr>
        <w:widowControl w:val="0"/>
        <w:numPr>
          <w:ilvl w:val="0"/>
          <w:numId w:val="1"/>
        </w:numPr>
        <w:tabs>
          <w:tab w:val="left" w:pos="1470"/>
        </w:tabs>
        <w:snapToGrid w:val="0"/>
        <w:ind w:left="1470" w:hanging="420"/>
        <w:jc w:val="left"/>
        <w:rPr>
          <w:rFonts w:ascii="宋体" w:eastAsia="宋体" w:hAnsi="宋体" w:cs="宋体" w:hint="eastAsia"/>
          <w:kern w:val="2"/>
          <w:lang w:eastAsia="zh-CN"/>
        </w:rPr>
      </w:pPr>
      <w:r>
        <w:rPr>
          <w:rFonts w:ascii="宋体" w:eastAsia="宋体" w:hAnsi="宋体" w:cs="宋体" w:hint="eastAsia"/>
          <w:bCs/>
          <w:kern w:val="2"/>
          <w:lang w:eastAsia="zh-CN"/>
        </w:rPr>
        <w:t>大型活动保障能力</w:t>
      </w:r>
    </w:p>
    <w:p>
      <w:pPr>
        <w:widowControl w:val="0"/>
        <w:numPr>
          <w:ilvl w:val="0"/>
          <w:numId w:val="1"/>
        </w:numPr>
        <w:tabs>
          <w:tab w:val="left" w:pos="1470"/>
        </w:tabs>
        <w:snapToGrid w:val="0"/>
        <w:ind w:left="1470" w:hanging="420"/>
        <w:jc w:val="left"/>
        <w:rPr>
          <w:rFonts w:ascii="宋体" w:eastAsia="宋体" w:hAnsi="宋体" w:cs="宋体" w:hint="eastAsia"/>
          <w:kern w:val="2"/>
          <w:lang w:eastAsia="zh-CN"/>
        </w:rPr>
      </w:pPr>
      <w:r>
        <w:rPr>
          <w:rFonts w:ascii="宋体" w:eastAsia="宋体" w:hAnsi="宋体" w:cs="宋体" w:hint="eastAsia"/>
          <w:bCs/>
          <w:kern w:val="2"/>
          <w:lang w:eastAsia="zh-CN"/>
        </w:rPr>
        <w:t>服务网点</w:t>
      </w:r>
    </w:p>
    <w:p>
      <w:pPr>
        <w:widowControl w:val="0"/>
        <w:numPr>
          <w:ilvl w:val="0"/>
          <w:numId w:val="1"/>
        </w:numPr>
        <w:tabs>
          <w:tab w:val="left" w:pos="1470"/>
        </w:tabs>
        <w:snapToGrid w:val="0"/>
        <w:ind w:left="1470" w:hanging="420"/>
        <w:jc w:val="left"/>
        <w:rPr>
          <w:rFonts w:ascii="宋体" w:eastAsia="宋体" w:hAnsi="宋体" w:cs="宋体" w:hint="eastAsia"/>
          <w:kern w:val="2"/>
          <w:lang w:eastAsia="zh-CN"/>
        </w:rPr>
      </w:pPr>
      <w:r>
        <w:rPr>
          <w:rFonts w:ascii="宋体" w:eastAsia="宋体" w:hAnsi="宋体" w:cs="宋体" w:hint="eastAsia"/>
          <w:kern w:val="2"/>
          <w:lang w:eastAsia="zh-CN"/>
        </w:rPr>
        <w:t>投标人认为需要加以说明的其他内容。</w:t>
      </w:r>
    </w:p>
    <w:p>
      <w:pPr>
        <w:widowControl w:val="0"/>
        <w:snapToGrid w:val="0"/>
        <w:jc w:val="left"/>
        <w:rPr>
          <w:rFonts w:ascii="宋体" w:eastAsia="宋体" w:hAnsi="宋体" w:cs="宋体" w:hint="eastAsia"/>
          <w:b/>
          <w:color w:val="FF0000"/>
          <w:lang w:eastAsia="zh-CN"/>
        </w:rPr>
      </w:pPr>
      <w:r>
        <w:rPr>
          <w:rFonts w:ascii="宋体" w:eastAsia="宋体" w:hAnsi="宋体" w:cs="宋体" w:hint="eastAsia"/>
          <w:b/>
          <w:color w:val="FF0000"/>
          <w:lang w:eastAsia="zh-CN"/>
        </w:rPr>
        <w:t>投标文件附件（信息不公开部分）：</w:t>
      </w:r>
    </w:p>
    <w:p>
      <w:pPr>
        <w:widowControl w:val="0"/>
        <w:numPr>
          <w:ilvl w:val="0"/>
          <w:numId w:val="2"/>
        </w:numPr>
        <w:tabs>
          <w:tab w:val="left" w:pos="1470"/>
        </w:tabs>
        <w:snapToGrid w:val="0"/>
        <w:ind w:left="1470" w:hanging="420"/>
        <w:jc w:val="both"/>
        <w:rPr>
          <w:rFonts w:ascii="宋体" w:eastAsia="宋体" w:hAnsi="宋体" w:cs="宋体" w:hint="eastAsia"/>
          <w:kern w:val="2"/>
          <w:lang w:eastAsia="zh-CN"/>
        </w:rPr>
      </w:pPr>
      <w:r>
        <w:rPr>
          <w:rFonts w:ascii="宋体" w:eastAsia="宋体" w:hAnsi="宋体" w:cs="宋体" w:hint="eastAsia"/>
          <w:kern w:val="2"/>
          <w:lang w:eastAsia="zh-CN"/>
        </w:rPr>
        <w:t>法定代表人（负责人）证明书；</w:t>
      </w:r>
    </w:p>
    <w:p>
      <w:pPr>
        <w:widowControl w:val="0"/>
        <w:numPr>
          <w:ilvl w:val="0"/>
          <w:numId w:val="2"/>
        </w:numPr>
        <w:tabs>
          <w:tab w:val="left" w:pos="1470"/>
        </w:tabs>
        <w:snapToGrid w:val="0"/>
        <w:ind w:left="1470" w:hanging="420"/>
        <w:jc w:val="both"/>
        <w:rPr>
          <w:rFonts w:ascii="宋体" w:eastAsia="宋体" w:hAnsi="宋体" w:cs="宋体" w:hint="eastAsia"/>
          <w:kern w:val="2"/>
          <w:lang w:eastAsia="zh-CN"/>
        </w:rPr>
      </w:pPr>
      <w:r>
        <w:rPr>
          <w:rFonts w:ascii="宋体" w:eastAsia="宋体" w:hAnsi="宋体" w:cs="宋体" w:hint="eastAsia"/>
          <w:kern w:val="2"/>
          <w:lang w:eastAsia="zh-CN"/>
        </w:rPr>
        <w:t>投标文件签署授权委托书；</w:t>
      </w:r>
    </w:p>
    <w:p>
      <w:pPr>
        <w:widowControl w:val="0"/>
        <w:numPr>
          <w:ilvl w:val="0"/>
          <w:numId w:val="2"/>
        </w:numPr>
        <w:tabs>
          <w:tab w:val="left" w:pos="1470"/>
        </w:tabs>
        <w:snapToGrid w:val="0"/>
        <w:ind w:left="1470" w:hanging="420"/>
        <w:jc w:val="both"/>
        <w:rPr>
          <w:rFonts w:ascii="宋体" w:eastAsia="宋体" w:hAnsi="宋体" w:cs="宋体" w:hint="eastAsia"/>
          <w:kern w:val="2"/>
          <w:lang w:eastAsia="zh-CN"/>
        </w:rPr>
      </w:pPr>
      <w:r>
        <w:rPr>
          <w:rFonts w:ascii="宋体" w:eastAsia="宋体" w:hAnsi="宋体" w:cs="宋体" w:hint="eastAsia"/>
          <w:kern w:val="2"/>
          <w:lang w:eastAsia="zh-CN"/>
        </w:rPr>
        <w:t>实质性条款响应情况表（如有）；</w:t>
      </w:r>
    </w:p>
    <w:p>
      <w:pPr>
        <w:widowControl w:val="0"/>
        <w:numPr>
          <w:ilvl w:val="0"/>
          <w:numId w:val="2"/>
        </w:numPr>
        <w:tabs>
          <w:tab w:val="left" w:pos="1470"/>
        </w:tabs>
        <w:snapToGrid w:val="0"/>
        <w:ind w:left="1470" w:hanging="420"/>
        <w:jc w:val="both"/>
        <w:rPr>
          <w:rFonts w:ascii="宋体" w:eastAsia="宋体" w:hAnsi="宋体" w:cs="宋体" w:hint="eastAsia"/>
          <w:kern w:val="2"/>
          <w:lang w:eastAsia="zh-CN"/>
        </w:rPr>
      </w:pPr>
      <w:r>
        <w:rPr>
          <w:rFonts w:ascii="宋体" w:eastAsia="宋体" w:hAnsi="宋体" w:cs="宋体" w:hint="eastAsia"/>
          <w:kern w:val="2"/>
          <w:lang w:eastAsia="zh-CN"/>
        </w:rPr>
        <w:t>平面规划图</w:t>
      </w:r>
    </w:p>
    <w:p>
      <w:pPr>
        <w:widowControl w:val="0"/>
        <w:numPr>
          <w:ilvl w:val="0"/>
          <w:numId w:val="2"/>
        </w:numPr>
        <w:tabs>
          <w:tab w:val="left" w:pos="1470"/>
        </w:tabs>
        <w:snapToGrid w:val="0"/>
        <w:ind w:left="1470" w:hanging="420"/>
        <w:jc w:val="both"/>
        <w:rPr>
          <w:rFonts w:ascii="宋体" w:eastAsia="宋体" w:hAnsi="宋体" w:cs="宋体" w:hint="eastAsia"/>
          <w:kern w:val="2"/>
          <w:lang w:eastAsia="zh-CN"/>
        </w:rPr>
      </w:pPr>
      <w:r>
        <w:rPr>
          <w:rFonts w:ascii="宋体" w:eastAsia="宋体" w:hAnsi="宋体" w:cs="宋体" w:hint="eastAsia"/>
          <w:bCs/>
          <w:kern w:val="2"/>
          <w:lang w:eastAsia="zh-CN"/>
        </w:rPr>
        <w:t>项目运营方</w:t>
      </w:r>
      <w:r>
        <w:rPr>
          <w:rFonts w:ascii="宋体" w:eastAsia="宋体" w:hAnsi="宋体" w:cs="宋体" w:hint="eastAsia"/>
          <w:bCs/>
          <w:kern w:val="2"/>
          <w:lang w:eastAsia="zh-CN"/>
        </w:rPr>
        <w:t>案</w:t>
      </w:r>
    </w:p>
    <w:p>
      <w:pPr>
        <w:widowControl w:val="0"/>
        <w:numPr>
          <w:ilvl w:val="0"/>
          <w:numId w:val="2"/>
        </w:numPr>
        <w:tabs>
          <w:tab w:val="left" w:pos="1470"/>
        </w:tabs>
        <w:snapToGrid w:val="0"/>
        <w:ind w:left="1470" w:hanging="420"/>
        <w:jc w:val="both"/>
        <w:rPr>
          <w:rFonts w:ascii="宋体" w:eastAsia="宋体" w:hAnsi="宋体" w:cs="宋体" w:hint="eastAsia"/>
          <w:kern w:val="2"/>
          <w:lang w:eastAsia="zh-CN"/>
        </w:rPr>
      </w:pPr>
      <w:r>
        <w:rPr>
          <w:rFonts w:ascii="宋体" w:eastAsia="宋体" w:hAnsi="宋体" w:cs="宋体" w:hint="eastAsia"/>
          <w:bCs/>
          <w:kern w:val="2"/>
          <w:lang w:eastAsia="zh-CN"/>
        </w:rPr>
        <w:t>项目公益性方案</w:t>
      </w:r>
    </w:p>
    <w:p>
      <w:pPr>
        <w:widowControl w:val="0"/>
        <w:numPr>
          <w:ilvl w:val="0"/>
          <w:numId w:val="2"/>
        </w:numPr>
        <w:tabs>
          <w:tab w:val="left" w:pos="1470"/>
        </w:tabs>
        <w:snapToGrid w:val="0"/>
        <w:ind w:left="1470" w:hanging="420"/>
        <w:jc w:val="both"/>
        <w:rPr>
          <w:rFonts w:ascii="宋体" w:eastAsia="宋体" w:hAnsi="宋体" w:cs="宋体" w:hint="eastAsia"/>
          <w:kern w:val="2"/>
          <w:lang w:eastAsia="zh-CN"/>
        </w:rPr>
      </w:pPr>
      <w:r>
        <w:rPr>
          <w:rFonts w:ascii="宋体" w:eastAsia="宋体" w:hAnsi="宋体" w:cs="宋体" w:hint="eastAsia"/>
          <w:bCs/>
          <w:kern w:val="2"/>
          <w:lang w:eastAsia="zh-CN"/>
        </w:rPr>
        <w:t>质量（完成时间、安全、环保）保障措施及方案</w:t>
      </w:r>
    </w:p>
    <w:p>
      <w:pPr>
        <w:widowControl w:val="0"/>
        <w:numPr>
          <w:ilvl w:val="0"/>
          <w:numId w:val="2"/>
        </w:numPr>
        <w:tabs>
          <w:tab w:val="left" w:pos="1470"/>
        </w:tabs>
        <w:snapToGrid w:val="0"/>
        <w:ind w:left="1470" w:hanging="420"/>
        <w:jc w:val="both"/>
        <w:rPr>
          <w:rFonts w:ascii="宋体" w:eastAsia="宋体" w:hAnsi="宋体" w:cs="宋体" w:hint="eastAsia"/>
          <w:kern w:val="2"/>
          <w:lang w:eastAsia="zh-CN"/>
        </w:rPr>
      </w:pPr>
      <w:r>
        <w:rPr>
          <w:rFonts w:ascii="宋体" w:eastAsia="宋体" w:hAnsi="宋体" w:cs="宋体" w:hint="eastAsia"/>
          <w:bCs/>
          <w:kern w:val="2"/>
          <w:lang w:eastAsia="zh-CN"/>
        </w:rPr>
        <w:t>服务承诺</w:t>
      </w:r>
    </w:p>
    <w:p>
      <w:pPr>
        <w:widowControl w:val="0"/>
        <w:numPr>
          <w:ilvl w:val="0"/>
          <w:numId w:val="2"/>
        </w:numPr>
        <w:tabs>
          <w:tab w:val="left" w:pos="1470"/>
        </w:tabs>
        <w:snapToGrid w:val="0"/>
        <w:ind w:left="1470" w:hanging="420"/>
        <w:jc w:val="both"/>
        <w:rPr>
          <w:rFonts w:ascii="宋体" w:eastAsia="宋体" w:hAnsi="宋体" w:cs="宋体" w:hint="eastAsia"/>
          <w:kern w:val="2"/>
          <w:lang w:eastAsia="zh-CN"/>
        </w:rPr>
      </w:pPr>
      <w:r>
        <w:rPr>
          <w:rFonts w:ascii="宋体" w:eastAsia="宋体" w:hAnsi="宋体" w:cs="宋体" w:hint="eastAsia"/>
          <w:bCs/>
          <w:kern w:val="2"/>
          <w:lang w:eastAsia="zh-CN"/>
        </w:rPr>
        <w:t>违约承诺</w:t>
      </w:r>
    </w:p>
    <w:p>
      <w:pPr>
        <w:widowControl w:val="0"/>
        <w:numPr>
          <w:ilvl w:val="0"/>
          <w:numId w:val="2"/>
        </w:numPr>
        <w:tabs>
          <w:tab w:val="left" w:pos="1470"/>
        </w:tabs>
        <w:snapToGrid w:val="0"/>
        <w:ind w:left="1470" w:hanging="420"/>
        <w:jc w:val="both"/>
        <w:rPr>
          <w:rFonts w:ascii="宋体" w:eastAsia="宋体" w:hAnsi="宋体" w:cs="宋体" w:hint="eastAsia"/>
          <w:kern w:val="2"/>
          <w:lang w:eastAsia="zh-CN"/>
        </w:rPr>
      </w:pPr>
      <w:r>
        <w:rPr>
          <w:rFonts w:ascii="宋体" w:eastAsia="宋体" w:hAnsi="宋体" w:cs="宋体" w:hint="eastAsia"/>
          <w:kern w:val="2"/>
          <w:lang w:eastAsia="zh-CN"/>
        </w:rPr>
        <w:t>投标人认为需要加以说明的其他内容。</w:t>
      </w:r>
    </w:p>
    <w:p>
      <w:pPr>
        <w:widowControl w:val="0"/>
        <w:jc w:val="both"/>
        <w:rPr>
          <w:rFonts w:ascii="宋体" w:eastAsia="宋体" w:hAnsi="宋体" w:cs="宋体" w:hint="eastAsia"/>
          <w:b/>
          <w:kern w:val="2"/>
          <w:lang w:eastAsia="zh-CN"/>
        </w:rPr>
      </w:pPr>
      <w:bookmarkStart w:id="23" w:name="_Hlk72257771"/>
      <w:r>
        <w:rPr>
          <w:rFonts w:ascii="宋体" w:eastAsia="宋体" w:hAnsi="宋体" w:cs="宋体" w:hint="eastAsia"/>
          <w:b/>
          <w:kern w:val="2"/>
          <w:lang w:eastAsia="zh-CN"/>
        </w:rPr>
        <w:t>备注：</w:t>
      </w:r>
    </w:p>
    <w:p>
      <w:pPr>
        <w:widowControl w:val="0"/>
        <w:snapToGrid w:val="0"/>
        <w:spacing w:after="78" w:afterLines="25"/>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1.本项目为网上电子投标项目，投标文件不需法人或授权委托人另行签字，无需加盖单位公章，招标文件另有规定的除外。</w:t>
      </w:r>
    </w:p>
    <w:p>
      <w:pPr>
        <w:widowControl w:val="0"/>
        <w:snapToGrid w:val="0"/>
        <w:spacing w:after="78" w:afterLines="25"/>
        <w:ind w:firstLine="480" w:firstLineChars="200"/>
        <w:jc w:val="both"/>
        <w:rPr>
          <w:rFonts w:ascii="宋体" w:eastAsia="宋体" w:hAnsi="宋体" w:cs="宋体" w:hint="eastAsia"/>
          <w:bCs/>
          <w:kern w:val="44"/>
          <w:sz w:val="32"/>
          <w:szCs w:val="32"/>
          <w:lang w:eastAsia="zh-CN"/>
        </w:rPr>
      </w:pPr>
      <w:bookmarkStart w:id="24" w:name="_Hlk72263559"/>
      <w:r>
        <w:rPr>
          <w:rFonts w:ascii="宋体" w:eastAsia="宋体" w:hAnsi="宋体" w:cs="宋体" w:hint="eastAsia"/>
          <w:b/>
          <w:kern w:val="2"/>
          <w:lang w:eastAsia="zh-CN"/>
        </w:rPr>
        <w:t>2.关于填写“开标一览表”的说明：“开标一览表”中除“投标总价”外，其他信息不作评审依据。</w:t>
      </w:r>
      <w:bookmarkEnd w:id="23"/>
      <w:bookmarkEnd w:id="24"/>
      <w:r>
        <w:rPr>
          <w:rFonts w:ascii="宋体" w:eastAsia="宋体" w:hAnsi="宋体" w:cs="宋体" w:hint="eastAsia"/>
          <w:bCs/>
          <w:kern w:val="44"/>
          <w:sz w:val="32"/>
          <w:szCs w:val="32"/>
          <w:lang w:eastAsia="zh-CN"/>
        </w:rPr>
        <w:br w:type="page"/>
      </w:r>
    </w:p>
    <w:p>
      <w:pPr>
        <w:widowControl/>
        <w:jc w:val="left"/>
        <w:outlineLvl w:val="3"/>
        <w:rPr>
          <w:rFonts w:ascii="宋体" w:eastAsia="宋体" w:hAnsi="宋体" w:cs="宋体" w:hint="eastAsia"/>
          <w:b/>
          <w:color w:val="FF0000"/>
          <w:sz w:val="32"/>
          <w:szCs w:val="32"/>
          <w:lang w:eastAsia="zh-CN"/>
        </w:rPr>
      </w:pPr>
      <w:r>
        <w:rPr>
          <w:rFonts w:ascii="宋体" w:eastAsia="宋体" w:hAnsi="宋体" w:cs="宋体" w:hint="eastAsia"/>
          <w:b/>
          <w:color w:val="FF0000"/>
          <w:sz w:val="32"/>
          <w:szCs w:val="32"/>
          <w:lang w:eastAsia="zh-CN"/>
        </w:rPr>
        <w:t>一、投标文件正文（信息公开部分）</w:t>
      </w:r>
    </w:p>
    <w:p>
      <w:pPr>
        <w:keepNext/>
        <w:keepLines/>
        <w:widowControl w:val="0"/>
        <w:spacing w:before="280" w:after="290" w:line="240" w:lineRule="auto"/>
        <w:jc w:val="center"/>
        <w:outlineLvl w:val="4"/>
        <w:rPr>
          <w:rFonts w:ascii="宋体" w:eastAsia="宋体" w:hAnsi="宋体" w:cs="宋体" w:hint="eastAsia"/>
          <w:b/>
          <w:kern w:val="2"/>
          <w:lang w:eastAsia="zh-CN"/>
        </w:rPr>
      </w:pPr>
      <w:r>
        <w:rPr>
          <w:rFonts w:ascii="宋体" w:eastAsia="宋体" w:hAnsi="宋体" w:cs="宋体" w:hint="eastAsia"/>
          <w:b/>
          <w:kern w:val="2"/>
          <w:lang w:eastAsia="zh-CN"/>
        </w:rPr>
        <w:t>1</w:t>
      </w:r>
      <w:r>
        <w:rPr>
          <w:rFonts w:ascii="宋体" w:eastAsia="宋体" w:hAnsi="宋体" w:cs="宋体" w:hint="eastAsia"/>
          <w:b/>
          <w:bCs/>
          <w:szCs w:val="20"/>
          <w:lang w:eastAsia="zh-CN"/>
        </w:rPr>
        <w:t>.</w:t>
      </w:r>
      <w:r>
        <w:rPr>
          <w:rFonts w:ascii="宋体" w:eastAsia="宋体" w:hAnsi="宋体" w:cs="宋体" w:hint="eastAsia"/>
          <w:b/>
          <w:kern w:val="2"/>
          <w:lang w:eastAsia="zh-CN"/>
        </w:rPr>
        <w:t>投标函</w:t>
      </w:r>
    </w:p>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投标函</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深圳市罗湖区翠竹街道办事处、深圳交易集团有限公司罗湖分公司：</w:t>
      </w:r>
    </w:p>
    <w:p>
      <w:pPr>
        <w:widowControl w:val="0"/>
        <w:autoSpaceDE w:val="0"/>
        <w:autoSpaceDN w:val="0"/>
        <w:adjustRightInd w:val="0"/>
        <w:snapToGrid w:val="0"/>
        <w:jc w:val="left"/>
        <w:rPr>
          <w:rFonts w:ascii="宋体" w:eastAsia="宋体" w:hAnsi="宋体" w:cs="宋体" w:hint="eastAsia"/>
          <w:kern w:val="2"/>
          <w:lang w:eastAsia="zh-CN"/>
        </w:rPr>
      </w:pPr>
      <w:r>
        <w:rPr>
          <w:rFonts w:ascii="宋体" w:eastAsia="宋体" w:hAnsi="宋体" w:cs="宋体" w:hint="eastAsia"/>
          <w:kern w:val="2"/>
          <w:lang w:eastAsia="zh-CN"/>
        </w:rPr>
        <w:t>我司郑重承诺在最近三年内（投标截止时间止）：</w:t>
      </w:r>
    </w:p>
    <w:p>
      <w:pPr>
        <w:widowControl w:val="0"/>
        <w:autoSpaceDE w:val="0"/>
        <w:autoSpaceDN w:val="0"/>
        <w:adjustRightInd w:val="0"/>
        <w:snapToGrid w:val="0"/>
        <w:jc w:val="left"/>
        <w:rPr>
          <w:rFonts w:ascii="宋体" w:eastAsia="宋体" w:hAnsi="宋体" w:cs="宋体" w:hint="eastAsia"/>
          <w:kern w:val="2"/>
          <w:lang w:eastAsia="zh-CN"/>
        </w:rPr>
      </w:pPr>
      <w:r>
        <w:rPr>
          <w:rFonts w:ascii="宋体" w:eastAsia="宋体" w:hAnsi="宋体" w:cs="宋体" w:hint="eastAsia"/>
          <w:kern w:val="2"/>
          <w:lang w:eastAsia="zh-CN"/>
        </w:rPr>
        <w:t>1、没有处于被责令停业，或投标资格被取消，或财产被接管、冻结、破产状态；没有骗取中标或严重违约引起的合同终止、纠纷、争议、仲裁和诉讼记录，没有重大质量问题。</w:t>
      </w:r>
    </w:p>
    <w:p>
      <w:pPr>
        <w:widowControl w:val="0"/>
        <w:autoSpaceDE w:val="0"/>
        <w:autoSpaceDN w:val="0"/>
        <w:adjustRightInd w:val="0"/>
        <w:snapToGrid w:val="0"/>
        <w:jc w:val="left"/>
        <w:rPr>
          <w:rFonts w:ascii="宋体" w:eastAsia="宋体" w:hAnsi="宋体" w:cs="宋体" w:hint="eastAsia"/>
          <w:kern w:val="2"/>
          <w:lang w:eastAsia="zh-CN"/>
        </w:rPr>
      </w:pPr>
      <w:r>
        <w:rPr>
          <w:rFonts w:ascii="宋体" w:eastAsia="宋体" w:hAnsi="宋体" w:cs="宋体" w:hint="eastAsia"/>
          <w:kern w:val="2"/>
          <w:lang w:eastAsia="zh-CN"/>
        </w:rPr>
        <w:t>2、投标截止时间止，提供的服务在中国大陆地区项目中无重大安全事故。</w:t>
      </w:r>
    </w:p>
    <w:p>
      <w:pPr>
        <w:widowControl w:val="0"/>
        <w:autoSpaceDE w:val="0"/>
        <w:autoSpaceDN w:val="0"/>
        <w:adjustRightInd w:val="0"/>
        <w:snapToGrid w:val="0"/>
        <w:jc w:val="left"/>
        <w:rPr>
          <w:rFonts w:ascii="宋体" w:eastAsia="宋体" w:hAnsi="宋体" w:cs="宋体" w:hint="eastAsia"/>
          <w:kern w:val="2"/>
          <w:lang w:eastAsia="zh-CN"/>
        </w:rPr>
      </w:pPr>
      <w:r>
        <w:rPr>
          <w:rFonts w:ascii="宋体" w:eastAsia="宋体" w:hAnsi="宋体" w:cs="宋体" w:hint="eastAsia"/>
          <w:kern w:val="2"/>
          <w:lang w:eastAsia="zh-CN"/>
        </w:rPr>
        <w:t>3、（供应商成立不足三年的可从成立之日起算）无行贿犯罪记录。</w:t>
      </w:r>
    </w:p>
    <w:p>
      <w:pPr>
        <w:widowControl w:val="0"/>
        <w:autoSpaceDE w:val="0"/>
        <w:autoSpaceDN w:val="0"/>
        <w:adjustRightInd w:val="0"/>
        <w:snapToGrid w:val="0"/>
        <w:jc w:val="left"/>
        <w:rPr>
          <w:rFonts w:ascii="宋体" w:eastAsia="宋体" w:hAnsi="宋体" w:cs="宋体" w:hint="eastAsia"/>
          <w:kern w:val="2"/>
          <w:lang w:eastAsia="zh-CN"/>
        </w:rPr>
      </w:pPr>
      <w:r>
        <w:rPr>
          <w:rFonts w:ascii="宋体" w:eastAsia="宋体" w:hAnsi="宋体" w:cs="宋体" w:hint="eastAsia"/>
          <w:kern w:val="2"/>
          <w:lang w:eastAsia="zh-CN"/>
        </w:rPr>
        <w:t>4、投标人未被深圳市各级政府采购主管部门行政处罚（指禁止参与政府采购活动且在有效期内），以“中国政府采购网（http://www.ccgp.gov.cn/）及深圳市政府采购监管网（http://zfcg.sz.gov.cn//cgjg/xyqkcx/index.html）”查询结果为准。</w:t>
      </w:r>
    </w:p>
    <w:p>
      <w:pPr>
        <w:widowControl w:val="0"/>
        <w:autoSpaceDE w:val="0"/>
        <w:autoSpaceDN w:val="0"/>
        <w:adjustRightInd w:val="0"/>
        <w:snapToGrid w:val="0"/>
        <w:jc w:val="left"/>
        <w:rPr>
          <w:rFonts w:ascii="宋体" w:eastAsia="宋体" w:hAnsi="宋体" w:cs="宋体" w:hint="eastAsia"/>
          <w:kern w:val="2"/>
          <w:lang w:eastAsia="zh-CN"/>
        </w:rPr>
      </w:pPr>
      <w:r>
        <w:rPr>
          <w:rFonts w:ascii="宋体" w:eastAsia="宋体" w:hAnsi="宋体" w:cs="宋体" w:hint="eastAsia"/>
          <w:kern w:val="2"/>
          <w:lang w:eastAsia="zh-CN"/>
        </w:rPr>
        <w:t>5、未被列入严重违法失信名单（黑名单），以“国家企业信用信息公示系统（http://www.gsxt.gov.cn/index.html）”查询结果为准。</w:t>
      </w:r>
    </w:p>
    <w:p>
      <w:pPr>
        <w:widowControl w:val="0"/>
        <w:autoSpaceDE w:val="0"/>
        <w:autoSpaceDN w:val="0"/>
        <w:adjustRightInd w:val="0"/>
        <w:snapToGrid w:val="0"/>
        <w:jc w:val="left"/>
        <w:rPr>
          <w:rFonts w:ascii="宋体" w:eastAsia="宋体" w:hAnsi="宋体" w:cs="宋体" w:hint="eastAsia"/>
          <w:kern w:val="2"/>
          <w:lang w:eastAsia="zh-CN"/>
        </w:rPr>
      </w:pPr>
      <w:r>
        <w:rPr>
          <w:rFonts w:ascii="宋体" w:eastAsia="宋体" w:hAnsi="宋体" w:cs="宋体" w:hint="eastAsia"/>
          <w:kern w:val="2"/>
          <w:lang w:eastAsia="zh-CN"/>
        </w:rPr>
        <w:t>6、未被列入政府采购严重违法失信名单，以“中国政府采购网（http://www.ccgp.gov.cn/search/cr/）”查询结果为准。</w:t>
      </w:r>
    </w:p>
    <w:p>
      <w:pPr>
        <w:widowControl w:val="0"/>
        <w:autoSpaceDE w:val="0"/>
        <w:autoSpaceDN w:val="0"/>
        <w:adjustRightInd w:val="0"/>
        <w:snapToGrid w:val="0"/>
        <w:jc w:val="left"/>
        <w:rPr>
          <w:rFonts w:ascii="宋体" w:eastAsia="宋体" w:hAnsi="宋体" w:cs="宋体" w:hint="eastAsia"/>
          <w:kern w:val="2"/>
          <w:lang w:eastAsia="zh-CN"/>
        </w:rPr>
      </w:pPr>
      <w:r>
        <w:rPr>
          <w:rFonts w:ascii="宋体" w:eastAsia="宋体" w:hAnsi="宋体" w:cs="宋体" w:hint="eastAsia"/>
          <w:kern w:val="2"/>
          <w:lang w:eastAsia="zh-CN"/>
        </w:rPr>
        <w:t>7、未被列入失信被执行人、重大税收违法失信主体，以“信用中国（https://www.creditchina.gov.cn/）”查询结果为准。</w:t>
      </w:r>
    </w:p>
    <w:p>
      <w:pPr>
        <w:widowControl w:val="0"/>
        <w:autoSpaceDE w:val="0"/>
        <w:autoSpaceDN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8、财产没有处于被接管、冻结或处于破产状态。</w:t>
      </w:r>
    </w:p>
    <w:p>
      <w:pPr>
        <w:widowControl w:val="0"/>
        <w:autoSpaceDE w:val="0"/>
        <w:autoSpaceDN w:val="0"/>
        <w:adjustRightInd w:val="0"/>
        <w:snapToGrid w:val="0"/>
        <w:jc w:val="left"/>
        <w:rPr>
          <w:rFonts w:ascii="宋体" w:eastAsia="宋体" w:hAnsi="宋体" w:cs="宋体" w:hint="eastAsia"/>
          <w:kern w:val="2"/>
          <w:lang w:eastAsia="zh-CN"/>
        </w:rPr>
      </w:pPr>
      <w:r>
        <w:rPr>
          <w:rFonts w:ascii="宋体" w:eastAsia="宋体" w:hAnsi="宋体" w:cs="宋体" w:hint="eastAsia"/>
          <w:kern w:val="2"/>
          <w:lang w:eastAsia="zh-CN"/>
        </w:rPr>
        <w:t>9、没有出现招标文件中的承诺条款与中标后实际服务情况出现重大偏差等不良信誉记录。</w:t>
      </w:r>
    </w:p>
    <w:p>
      <w:pPr>
        <w:widowControl w:val="0"/>
        <w:autoSpaceDE w:val="0"/>
        <w:autoSpaceDN w:val="0"/>
        <w:adjustRightInd w:val="0"/>
        <w:snapToGrid w:val="0"/>
        <w:jc w:val="left"/>
        <w:rPr>
          <w:rFonts w:ascii="宋体" w:eastAsia="宋体" w:hAnsi="宋体" w:cs="宋体" w:hint="eastAsia"/>
          <w:kern w:val="2"/>
          <w:lang w:eastAsia="zh-CN"/>
        </w:rPr>
      </w:pPr>
      <w:r>
        <w:rPr>
          <w:rFonts w:ascii="宋体" w:eastAsia="宋体" w:hAnsi="宋体" w:cs="宋体" w:hint="eastAsia"/>
          <w:kern w:val="2"/>
          <w:lang w:eastAsia="zh-CN"/>
        </w:rPr>
        <w:t>10、与其他投标供应商不存在单位负责人为同一人或者存在直接控股、管理关系。</w:t>
      </w:r>
    </w:p>
    <w:p>
      <w:pPr>
        <w:widowControl w:val="0"/>
        <w:autoSpaceDE w:val="0"/>
        <w:autoSpaceDN w:val="0"/>
        <w:adjustRightInd w:val="0"/>
        <w:snapToGrid w:val="0"/>
        <w:jc w:val="left"/>
        <w:rPr>
          <w:rFonts w:ascii="宋体" w:eastAsia="宋体" w:hAnsi="宋体" w:cs="宋体" w:hint="eastAsia"/>
          <w:kern w:val="2"/>
          <w:lang w:eastAsia="zh-CN"/>
        </w:rPr>
      </w:pPr>
      <w:r>
        <w:rPr>
          <w:rFonts w:ascii="宋体" w:eastAsia="宋体" w:hAnsi="宋体" w:cs="宋体" w:hint="eastAsia"/>
          <w:kern w:val="2"/>
          <w:lang w:eastAsia="zh-CN"/>
        </w:rPr>
        <w:t>11、未对本项目提供整体设计、规范编制或者项目管理、监理、检测等服务。</w:t>
      </w:r>
    </w:p>
    <w:p>
      <w:pPr>
        <w:widowControl w:val="0"/>
        <w:ind w:firstLine="420"/>
        <w:jc w:val="both"/>
        <w:rPr>
          <w:rFonts w:ascii="宋体" w:eastAsia="宋体" w:hAnsi="宋体" w:cs="宋体" w:hint="eastAsia"/>
          <w:kern w:val="2"/>
          <w:sz w:val="21"/>
          <w:szCs w:val="22"/>
          <w:lang w:eastAsia="zh-CN"/>
        </w:rPr>
      </w:pPr>
    </w:p>
    <w:p>
      <w:pPr>
        <w:widowControl w:val="0"/>
        <w:autoSpaceDE w:val="0"/>
        <w:autoSpaceDN w:val="0"/>
        <w:adjustRightInd w:val="0"/>
        <w:snapToGrid w:val="0"/>
        <w:jc w:val="left"/>
        <w:rPr>
          <w:rFonts w:ascii="宋体" w:eastAsia="宋体" w:hAnsi="宋体" w:cs="宋体" w:hint="eastAsia"/>
          <w:b/>
          <w:bCs/>
          <w:kern w:val="2"/>
          <w:sz w:val="28"/>
          <w:szCs w:val="28"/>
          <w:lang w:eastAsia="zh-CN"/>
        </w:rPr>
      </w:pPr>
      <w:r>
        <w:rPr>
          <w:rFonts w:ascii="宋体" w:eastAsia="宋体" w:hAnsi="宋体" w:cs="宋体" w:hint="eastAsia"/>
          <w:b/>
          <w:kern w:val="2"/>
          <w:sz w:val="28"/>
          <w:szCs w:val="28"/>
          <w:lang w:eastAsia="zh-CN"/>
        </w:rPr>
        <w:t>以上承诺如有虚假，你方有权取消我方中标资格，不予退还我方的投标保证金，我方同意给你方造成的损失予以赔偿。</w:t>
      </w:r>
    </w:p>
    <w:p>
      <w:pPr>
        <w:widowControl w:val="0"/>
        <w:autoSpaceDE w:val="0"/>
        <w:autoSpaceDN w:val="0"/>
        <w:adjustRightInd w:val="0"/>
        <w:snapToGrid w:val="0"/>
        <w:jc w:val="left"/>
        <w:rPr>
          <w:rFonts w:ascii="宋体" w:eastAsia="宋体" w:hAnsi="宋体" w:cs="宋体" w:hint="eastAsia"/>
          <w:kern w:val="2"/>
          <w:sz w:val="21"/>
          <w:szCs w:val="21"/>
          <w:lang w:eastAsia="zh-CN"/>
        </w:rPr>
      </w:pPr>
    </w:p>
    <w:p>
      <w:pPr>
        <w:widowControl w:val="0"/>
        <w:autoSpaceDE w:val="0"/>
        <w:autoSpaceDN w:val="0"/>
        <w:adjustRightInd w:val="0"/>
        <w:snapToGrid w:val="0"/>
        <w:jc w:val="left"/>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投标人：</w:t>
      </w:r>
    </w:p>
    <w:p>
      <w:pPr>
        <w:widowControl w:val="0"/>
        <w:ind w:firstLine="4740" w:firstLineChars="1975"/>
        <w:jc w:val="right"/>
        <w:rPr>
          <w:rFonts w:ascii="宋体" w:eastAsia="宋体" w:hAnsi="宋体" w:cs="宋体" w:hint="eastAsia"/>
          <w:kern w:val="2"/>
          <w:lang w:eastAsia="zh-CN"/>
        </w:rPr>
      </w:pPr>
    </w:p>
    <w:p>
      <w:pPr>
        <w:widowControl w:val="0"/>
        <w:autoSpaceDE w:val="0"/>
        <w:autoSpaceDN w:val="0"/>
        <w:adjustRightInd w:val="0"/>
        <w:snapToGrid w:val="0"/>
        <w:jc w:val="left"/>
        <w:rPr>
          <w:rFonts w:ascii="宋体" w:eastAsia="宋体" w:hAnsi="宋体" w:cs="宋体" w:hint="eastAsia"/>
          <w:kern w:val="2"/>
          <w:lang w:eastAsia="zh-CN"/>
        </w:rPr>
      </w:pPr>
      <w:r>
        <w:rPr>
          <w:rFonts w:ascii="宋体" w:eastAsia="宋体" w:hAnsi="宋体" w:cs="宋体" w:hint="eastAsia"/>
          <w:kern w:val="2"/>
          <w:lang w:eastAsia="zh-CN"/>
        </w:rPr>
        <w:t>备注：投标人在投标函中填写内容必须与投标文件一致。</w:t>
      </w:r>
      <w:r>
        <w:rPr>
          <w:rFonts w:ascii="宋体" w:eastAsia="宋体" w:hAnsi="宋体" w:cs="宋体" w:hint="eastAsia"/>
          <w:b/>
          <w:bCs/>
          <w:kern w:val="2"/>
          <w:lang w:eastAsia="zh-CN"/>
        </w:rPr>
        <w:t>未按照本投标函要求填报的，将被视为未实质性响应招标文件要求，从而导致其投标被否决。</w:t>
      </w:r>
    </w:p>
    <w:p>
      <w:pPr>
        <w:widowControl w:val="0"/>
        <w:ind w:left="480" w:leftChars="200"/>
        <w:jc w:val="both"/>
        <w:rPr>
          <w:rFonts w:ascii="宋体" w:eastAsia="宋体" w:hAnsi="宋体" w:cs="宋体" w:hint="eastAsia"/>
          <w:kern w:val="2"/>
          <w:szCs w:val="22"/>
          <w:lang w:eastAsia="zh-CN"/>
        </w:rPr>
      </w:pPr>
    </w:p>
    <w:p>
      <w:pPr>
        <w:keepNext/>
        <w:keepLines/>
        <w:pageBreakBefore/>
        <w:widowControl w:val="0"/>
        <w:adjustRightInd w:val="0"/>
        <w:snapToGrid w:val="0"/>
        <w:spacing w:line="360" w:lineRule="auto"/>
        <w:jc w:val="center"/>
        <w:textAlignment w:val="baseline"/>
        <w:outlineLvl w:val="4"/>
        <w:rPr>
          <w:rFonts w:ascii="宋体" w:eastAsia="宋体" w:hAnsi="宋体" w:cs="宋体" w:hint="eastAsia"/>
          <w:b/>
          <w:bCs/>
          <w:szCs w:val="20"/>
          <w:lang w:eastAsia="zh-CN"/>
        </w:rPr>
      </w:pPr>
      <w:r>
        <w:rPr>
          <w:rFonts w:ascii="宋体" w:eastAsia="宋体" w:hAnsi="宋体" w:cs="宋体" w:hint="eastAsia"/>
          <w:b/>
          <w:bCs/>
          <w:szCs w:val="20"/>
          <w:lang w:eastAsia="zh-CN"/>
        </w:rPr>
        <w:t>2.投标及履约承诺函</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深圳市罗湖区翠竹街道办事处、深圳交易集团有限公司罗湖分公司：</w:t>
      </w:r>
    </w:p>
    <w:p>
      <w:pPr>
        <w:widowControl w:val="0"/>
        <w:ind w:right="-815"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我单位承诺：</w:t>
      </w:r>
    </w:p>
    <w:p>
      <w:pPr>
        <w:widowControl w:val="0"/>
        <w:snapToGrid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1.我单位参与本项目所投标（响应）的货物、工程或服务，不存在侵犯知识产权的情况。</w:t>
      </w:r>
    </w:p>
    <w:p>
      <w:pPr>
        <w:widowControl w:val="0"/>
        <w:snapToGrid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2.我单位参与本项目交易活动时不存在被有关部门禁止参与交易活动且在有效期内的情况。</w:t>
      </w:r>
    </w:p>
    <w:p>
      <w:pPr>
        <w:widowControl w:val="0"/>
        <w:snapToGrid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3.我单位具备《中华人民共和国政府采购法》第二十二条第一款规定的六项条件。</w:t>
      </w:r>
    </w:p>
    <w:p>
      <w:pPr>
        <w:widowControl w:val="0"/>
        <w:snapToGrid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4.我单位未被列入失信被执行人、重大税收违法案件当事人名单、政府采购严重违法失信行为记录名单。</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5.我单位参与该项目投标，严格遵守政府采购相关法律，不造假，不围标、串标、陪标。我单位已清楚，如违反上述要求，投标将作无效处理。</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6.我单位如果中标，做到守信，不偷工减料，依照本项目招标文件需求内容、签署的协议及本单位在投标中所作的一切承诺履约。我单位对本项目的报价负责，中标后将严格按照本项目招标文件需求、签署的协议及我单位在投标中所作的全部承诺履行。</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我单位清楚，本项目将成为重点监管、重点验收项目，我单位将按时保质保量完成，并全力配合有关监管、验收工作；若我单位未按上述要求履约，我单位愿意接受主管部门的处理处罚。</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8.我单位承诺中标后项目不转包，未经招标人同意不进行分包。</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9.我单位保证，其所提供的货物通过合法正规渠道供货，在提供给招标人前具有完全的所有权，招标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10.我单位保证，若所投货物涉及《财政部生态环境部关于印发节能产品政府采购品目清单的通知》（财库〔2019〕19号）列明的政府采购强制产品，则所投该产品符合节能产品的认证要求。</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11.我单位已悉知并同意中标（成交）结果信息公示（公开）的内容。</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12.我单位与其他投标人不存在单位负责人为同一人或者存在直接控股、管理关系；未对本次采购项目提供整体设计、规范编制或者项目管理、监理、检测等服务。</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以上承诺，如有违反，愿依照国家相关法律法规处理，并承担由此给招标人带来的损失。</w:t>
      </w:r>
    </w:p>
    <w:p>
      <w:pPr>
        <w:widowControl w:val="0"/>
        <w:spacing w:before="78" w:beforeLines="25" w:after="78" w:afterLines="25"/>
        <w:ind w:firstLine="6240" w:firstLineChars="2600"/>
        <w:jc w:val="both"/>
        <w:rPr>
          <w:rFonts w:ascii="宋体" w:eastAsia="宋体" w:hAnsi="宋体" w:cs="宋体" w:hint="eastAsia"/>
          <w:kern w:val="2"/>
          <w:lang w:eastAsia="zh-CN"/>
        </w:rPr>
      </w:pPr>
    </w:p>
    <w:p>
      <w:pPr>
        <w:widowControl w:val="0"/>
        <w:spacing w:before="78" w:beforeLines="25" w:after="78" w:afterLines="25"/>
        <w:ind w:firstLine="6240" w:firstLineChars="2600"/>
        <w:jc w:val="both"/>
        <w:rPr>
          <w:rFonts w:ascii="宋体" w:eastAsia="宋体" w:hAnsi="宋体" w:cs="宋体" w:hint="eastAsia"/>
          <w:kern w:val="2"/>
          <w:lang w:eastAsia="zh-CN"/>
        </w:rPr>
      </w:pPr>
      <w:r>
        <w:rPr>
          <w:rFonts w:ascii="宋体" w:eastAsia="宋体" w:hAnsi="宋体" w:cs="宋体" w:hint="eastAsia"/>
          <w:kern w:val="2"/>
          <w:lang w:eastAsia="zh-CN"/>
        </w:rPr>
        <w:t>投标人：</w:t>
      </w:r>
    </w:p>
    <w:p>
      <w:pPr>
        <w:widowControl w:val="0"/>
        <w:ind w:firstLine="645"/>
        <w:jc w:val="right"/>
        <w:rPr>
          <w:rFonts w:ascii="宋体" w:eastAsia="宋体" w:hAnsi="宋体" w:cs="宋体" w:hint="eastAsia"/>
          <w:kern w:val="2"/>
          <w:lang w:eastAsia="zh-CN"/>
        </w:rPr>
      </w:pPr>
      <w:r>
        <w:rPr>
          <w:rFonts w:ascii="宋体" w:eastAsia="宋体" w:hAnsi="宋体" w:cs="宋体" w:hint="eastAsia"/>
          <w:kern w:val="2"/>
          <w:lang w:eastAsia="zh-CN"/>
        </w:rPr>
        <w:t>日期：</w:t>
      </w:r>
      <w:r>
        <w:rPr>
          <w:rFonts w:ascii="宋体" w:eastAsia="宋体" w:hAnsi="宋体" w:cs="宋体" w:hint="eastAsia"/>
          <w:kern w:val="2"/>
          <w:lang w:eastAsia="zh-CN"/>
        </w:rPr>
        <w:t xml:space="preserve">   </w:t>
      </w:r>
      <w:r>
        <w:rPr>
          <w:rFonts w:ascii="宋体" w:eastAsia="宋体" w:hAnsi="宋体" w:cs="宋体" w:hint="eastAsia"/>
          <w:kern w:val="2"/>
          <w:lang w:eastAsia="zh-CN"/>
        </w:rPr>
        <w:t>年</w:t>
      </w:r>
      <w:r>
        <w:rPr>
          <w:rFonts w:ascii="宋体" w:eastAsia="宋体" w:hAnsi="宋体" w:cs="宋体" w:hint="eastAsia"/>
          <w:kern w:val="2"/>
          <w:lang w:eastAsia="zh-CN"/>
        </w:rPr>
        <w:t xml:space="preserve">   </w:t>
      </w:r>
      <w:r>
        <w:rPr>
          <w:rFonts w:ascii="宋体" w:eastAsia="宋体" w:hAnsi="宋体" w:cs="宋体" w:hint="eastAsia"/>
          <w:kern w:val="2"/>
          <w:lang w:eastAsia="zh-CN"/>
        </w:rPr>
        <w:t>月</w:t>
      </w:r>
      <w:r>
        <w:rPr>
          <w:rFonts w:ascii="宋体" w:eastAsia="宋体" w:hAnsi="宋体" w:cs="宋体" w:hint="eastAsia"/>
          <w:kern w:val="2"/>
          <w:lang w:eastAsia="zh-CN"/>
        </w:rPr>
        <w:t xml:space="preserve">   </w:t>
      </w:r>
      <w:r>
        <w:rPr>
          <w:rFonts w:ascii="宋体" w:eastAsia="宋体" w:hAnsi="宋体" w:cs="宋体" w:hint="eastAsia"/>
          <w:kern w:val="2"/>
          <w:lang w:eastAsia="zh-CN"/>
        </w:rPr>
        <w:t>日</w:t>
      </w:r>
    </w:p>
    <w:p>
      <w:pPr>
        <w:widowControl w:val="0"/>
        <w:jc w:val="both"/>
        <w:rPr>
          <w:rFonts w:ascii="宋体" w:eastAsia="宋体" w:hAnsi="宋体" w:cs="宋体" w:hint="eastAsia"/>
          <w:kern w:val="2"/>
          <w:lang w:eastAsia="zh-CN"/>
        </w:rPr>
      </w:pPr>
    </w:p>
    <w:p>
      <w:pPr>
        <w:widowControl w:val="0"/>
        <w:spacing w:line="260" w:lineRule="exact"/>
        <w:jc w:val="both"/>
        <w:rPr>
          <w:rFonts w:ascii="宋体" w:eastAsia="宋体" w:hAnsi="宋体" w:cs="宋体" w:hint="eastAsia"/>
          <w:b/>
          <w:bCs/>
          <w:szCs w:val="20"/>
          <w:lang w:eastAsia="zh-CN"/>
        </w:rPr>
      </w:pPr>
      <w:r>
        <w:rPr>
          <w:rFonts w:ascii="宋体" w:eastAsia="宋体" w:hAnsi="宋体" w:cs="宋体" w:hint="eastAsia"/>
          <w:b/>
          <w:bCs/>
          <w:szCs w:val="20"/>
          <w:lang w:eastAsia="zh-CN"/>
        </w:rPr>
        <w:br w:type="page"/>
      </w:r>
    </w:p>
    <w:p>
      <w:pPr>
        <w:keepNext/>
        <w:keepLines/>
        <w:widowControl w:val="0"/>
        <w:spacing w:before="280" w:after="290" w:line="240" w:lineRule="auto"/>
        <w:jc w:val="center"/>
        <w:outlineLvl w:val="4"/>
        <w:rPr>
          <w:rFonts w:ascii="宋体" w:eastAsia="宋体" w:hAnsi="宋体" w:cs="宋体" w:hint="eastAsia"/>
          <w:b/>
          <w:kern w:val="2"/>
          <w:lang w:eastAsia="zh-CN"/>
        </w:rPr>
      </w:pPr>
      <w:r>
        <w:rPr>
          <w:rFonts w:ascii="宋体" w:eastAsia="宋体" w:hAnsi="宋体" w:cs="宋体" w:hint="eastAsia"/>
          <w:b/>
          <w:kern w:val="2"/>
          <w:lang w:eastAsia="zh-CN"/>
        </w:rPr>
        <w:t>3.投标人情况及资格证明文件</w:t>
      </w:r>
    </w:p>
    <w:p>
      <w:pPr>
        <w:widowControl w:val="0"/>
        <w:spacing w:before="156" w:beforeLines="50"/>
        <w:jc w:val="center"/>
        <w:rPr>
          <w:rFonts w:ascii="宋体" w:eastAsia="宋体" w:hAnsi="宋体" w:cs="宋体" w:hint="eastAsia"/>
          <w:b/>
          <w:bCs/>
          <w:color w:val="FF0000"/>
          <w:kern w:val="2"/>
          <w:sz w:val="21"/>
          <w:szCs w:val="22"/>
          <w:lang w:eastAsia="zh-CN"/>
        </w:rPr>
      </w:pPr>
      <w:r>
        <w:rPr>
          <w:rFonts w:ascii="宋体" w:eastAsia="宋体" w:hAnsi="宋体" w:cs="宋体" w:hint="eastAsia"/>
          <w:bCs/>
          <w:szCs w:val="32"/>
          <w:lang w:eastAsia="zh-CN"/>
        </w:rPr>
        <w:t>（1）投标人资格证明文件</w:t>
      </w:r>
    </w:p>
    <w:p>
      <w:pPr>
        <w:widowControl w:val="0"/>
        <w:spacing w:before="156" w:beforeLines="50"/>
        <w:jc w:val="center"/>
        <w:rPr>
          <w:rFonts w:ascii="宋体" w:eastAsia="宋体" w:hAnsi="宋体" w:cs="宋体" w:hint="eastAsia"/>
          <w:b/>
          <w:bCs/>
          <w:color w:val="FF0000"/>
          <w:kern w:val="2"/>
          <w:sz w:val="21"/>
          <w:szCs w:val="22"/>
          <w:lang w:eastAsia="zh-CN"/>
        </w:rPr>
      </w:pPr>
      <w:r>
        <w:rPr>
          <w:rFonts w:ascii="宋体" w:eastAsia="宋体" w:hAnsi="宋体" w:cs="宋体" w:hint="eastAsia"/>
          <w:b/>
          <w:bCs/>
          <w:color w:val="FF0000"/>
          <w:kern w:val="2"/>
          <w:sz w:val="21"/>
          <w:szCs w:val="22"/>
          <w:lang w:eastAsia="zh-CN"/>
        </w:rPr>
        <w:t>（特别提示：投标人须按本招标文件第一册第一章招标公告“申请人的资格要求”（即投标人资格要求）提供相关的资格证明资料，未提供或提供不完整、不符合要求的，将作投标无效处理，其中要求提供《投标函》且已在“1.投标函”章节中提供了，此处可不重复提供。）</w:t>
      </w:r>
    </w:p>
    <w:p>
      <w:pPr>
        <w:widowControl w:val="0"/>
        <w:spacing w:line="360" w:lineRule="auto"/>
        <w:jc w:val="both"/>
        <w:rPr>
          <w:rFonts w:ascii="宋体" w:eastAsia="宋体" w:hAnsi="宋体" w:cs="宋体" w:hint="eastAsia"/>
          <w:b/>
          <w:bCs/>
          <w:color w:val="FF0000"/>
          <w:kern w:val="2"/>
          <w:szCs w:val="22"/>
          <w:lang w:eastAsia="zh-CN"/>
        </w:rPr>
      </w:pPr>
    </w:p>
    <w:p>
      <w:pPr>
        <w:widowControl w:val="0"/>
        <w:jc w:val="both"/>
        <w:rPr>
          <w:rFonts w:ascii="宋体" w:eastAsia="宋体" w:hAnsi="宋体" w:cs="宋体" w:hint="eastAsia"/>
          <w:b/>
          <w:bCs/>
          <w:color w:val="FF0000"/>
          <w:kern w:val="2"/>
          <w:sz w:val="21"/>
          <w:szCs w:val="22"/>
          <w:lang w:eastAsia="zh-CN"/>
        </w:rPr>
      </w:pPr>
    </w:p>
    <w:p>
      <w:pPr>
        <w:widowControl w:val="0"/>
        <w:spacing w:line="360" w:lineRule="auto"/>
        <w:jc w:val="both"/>
        <w:rPr>
          <w:rFonts w:ascii="宋体" w:eastAsia="宋体" w:hAnsi="宋体" w:cs="宋体" w:hint="eastAsia"/>
          <w:b/>
          <w:bCs/>
          <w:kern w:val="2"/>
          <w:szCs w:val="22"/>
          <w:lang w:eastAsia="zh-CN"/>
        </w:rPr>
      </w:pPr>
    </w:p>
    <w:p>
      <w:pPr>
        <w:keepNext/>
        <w:keepLines/>
        <w:widowControl w:val="0"/>
        <w:spacing w:before="280" w:after="290" w:line="240" w:lineRule="auto"/>
        <w:jc w:val="center"/>
        <w:outlineLvl w:val="4"/>
        <w:rPr>
          <w:rFonts w:ascii="宋体" w:eastAsia="宋体" w:hAnsi="宋体" w:cs="宋体" w:hint="eastAsia"/>
          <w:b/>
          <w:kern w:val="2"/>
          <w:lang w:eastAsia="zh-CN"/>
        </w:rPr>
      </w:pPr>
      <w:r>
        <w:rPr>
          <w:rFonts w:ascii="宋体" w:eastAsia="宋体" w:hAnsi="宋体" w:cs="宋体" w:hint="eastAsia"/>
          <w:b/>
          <w:kern w:val="2"/>
          <w:lang w:eastAsia="zh-CN"/>
        </w:rPr>
        <w:t>4.项目报价表</w:t>
      </w:r>
    </w:p>
    <w:p>
      <w:pPr>
        <w:widowControl w:val="0"/>
        <w:kinsoku w:val="0"/>
        <w:autoSpaceDE w:val="0"/>
        <w:autoSpaceDN w:val="0"/>
        <w:adjustRightInd w:val="0"/>
        <w:snapToGrid w:val="0"/>
        <w:spacing w:before="104" w:line="218" w:lineRule="auto"/>
        <w:ind w:left="3083"/>
        <w:jc w:val="both"/>
        <w:textAlignment w:val="baseline"/>
        <w:rPr>
          <w:rFonts w:ascii="宋体" w:eastAsia="宋体" w:hAnsi="宋体" w:cs="宋体" w:hint="eastAsia"/>
          <w:kern w:val="2"/>
          <w:sz w:val="32"/>
          <w:szCs w:val="32"/>
          <w:lang w:eastAsia="zh-CN"/>
        </w:rPr>
      </w:pPr>
      <w:r>
        <w:rPr>
          <w:rFonts w:ascii="宋体" w:eastAsia="宋体" w:hAnsi="宋体" w:cs="宋体" w:hint="eastAsia"/>
          <w:b/>
          <w:bCs/>
          <w:spacing w:val="-5"/>
          <w:kern w:val="2"/>
          <w:sz w:val="32"/>
          <w:szCs w:val="32"/>
          <w:lang w:eastAsia="zh-CN"/>
        </w:rPr>
        <w:t>投标报价一览表</w:t>
      </w:r>
    </w:p>
    <w:p>
      <w:pPr>
        <w:widowControl w:val="0"/>
        <w:kinsoku w:val="0"/>
        <w:autoSpaceDE w:val="0"/>
        <w:autoSpaceDN w:val="0"/>
        <w:adjustRightInd w:val="0"/>
        <w:snapToGrid w:val="0"/>
        <w:jc w:val="both"/>
        <w:textAlignment w:val="baseline"/>
        <w:rPr>
          <w:rFonts w:ascii="宋体" w:eastAsia="宋体" w:hAnsi="宋体" w:cs="宋体" w:hint="eastAsia"/>
          <w:spacing w:val="-1"/>
          <w:kern w:val="2"/>
          <w:sz w:val="21"/>
          <w:szCs w:val="21"/>
          <w:u w:val="single"/>
          <w:lang w:eastAsia="zh-CN"/>
        </w:rPr>
      </w:pPr>
      <w:r>
        <w:rPr>
          <w:rFonts w:ascii="宋体" w:eastAsia="宋体" w:hAnsi="宋体" w:cs="宋体" w:hint="eastAsia"/>
          <w:spacing w:val="-1"/>
          <w:kern w:val="2"/>
          <w:sz w:val="21"/>
          <w:szCs w:val="21"/>
          <w:lang w:eastAsia="zh-CN"/>
        </w:rPr>
        <w:t>项目名称：</w:t>
      </w:r>
      <w:r>
        <w:rPr>
          <w:rFonts w:ascii="宋体" w:eastAsia="宋体" w:hAnsi="宋体" w:cs="宋体" w:hint="eastAsia"/>
          <w:spacing w:val="-1"/>
          <w:kern w:val="2"/>
          <w:sz w:val="21"/>
          <w:szCs w:val="21"/>
          <w:u w:val="single"/>
          <w:lang w:eastAsia="zh-CN"/>
        </w:rPr>
        <w:t>翠竹街道综合文体中心社会化运营项目</w:t>
      </w:r>
    </w:p>
    <w:p>
      <w:pPr>
        <w:widowControl w:val="0"/>
        <w:kinsoku w:val="0"/>
        <w:autoSpaceDE w:val="0"/>
        <w:autoSpaceDN w:val="0"/>
        <w:adjustRightInd w:val="0"/>
        <w:snapToGrid w:val="0"/>
        <w:spacing w:before="226" w:line="345" w:lineRule="auto"/>
        <w:ind w:left="7" w:right="3135"/>
        <w:jc w:val="both"/>
        <w:textAlignment w:val="baseline"/>
        <w:rPr>
          <w:rFonts w:ascii="宋体" w:eastAsia="宋体" w:hAnsi="宋体" w:cs="宋体" w:hint="eastAsia"/>
          <w:kern w:val="2"/>
          <w:sz w:val="21"/>
          <w:szCs w:val="21"/>
          <w:lang w:eastAsia="zh-CN"/>
        </w:rPr>
      </w:pPr>
      <w:r>
        <w:rPr>
          <w:rFonts w:ascii="宋体" w:eastAsia="宋体" w:hAnsi="宋体" w:cs="宋体" w:hint="eastAsia"/>
          <w:spacing w:val="-3"/>
          <w:kern w:val="2"/>
          <w:sz w:val="21"/>
          <w:szCs w:val="21"/>
          <w:lang w:eastAsia="zh-CN"/>
        </w:rPr>
        <w:t>项目编号：LHZXCG-2025-00011</w:t>
      </w:r>
    </w:p>
    <w:tbl>
      <w:tblPr>
        <w:tblStyle w:val="TableNormal0"/>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403"/>
        <w:gridCol w:w="2677"/>
      </w:tblGrid>
      <w:tr>
        <w:tblPrEx>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541"/>
        </w:trPr>
        <w:tc>
          <w:tcPr>
            <w:tcW w:w="6402" w:type="dxa"/>
            <w:tcBorders>
              <w:left w:val="single" w:sz="2" w:space="0" w:color="000000"/>
            </w:tcBorders>
            <w:shd w:val="clear" w:color="auto" w:fill="DBE5F1"/>
          </w:tcPr>
          <w:p>
            <w:pPr>
              <w:widowControl w:val="0"/>
              <w:kinsoku w:val="0"/>
              <w:autoSpaceDE w:val="0"/>
              <w:autoSpaceDN w:val="0"/>
              <w:adjustRightInd w:val="0"/>
              <w:snapToGrid w:val="0"/>
              <w:spacing w:before="248" w:line="218" w:lineRule="auto"/>
              <w:ind w:left="2190"/>
              <w:jc w:val="both"/>
              <w:textAlignment w:val="baseline"/>
              <w:rPr>
                <w:rFonts w:ascii="宋体" w:hAnsi="宋体" w:cs="宋体" w:hint="eastAsia"/>
                <w:kern w:val="2"/>
                <w:sz w:val="20"/>
                <w:szCs w:val="20"/>
              </w:rPr>
            </w:pPr>
            <w:r>
              <w:rPr>
                <w:rFonts w:ascii="宋体" w:hAnsi="宋体" w:cs="宋体" w:hint="eastAsia"/>
                <w:b/>
                <w:bCs/>
                <w:spacing w:val="-4"/>
                <w:kern w:val="2"/>
                <w:sz w:val="20"/>
                <w:szCs w:val="20"/>
              </w:rPr>
              <w:t>投标总价（元）</w:t>
            </w:r>
          </w:p>
        </w:tc>
        <w:tc>
          <w:tcPr>
            <w:tcW w:w="2677" w:type="dxa"/>
            <w:shd w:val="clear" w:color="auto" w:fill="DBE5F1"/>
          </w:tcPr>
          <w:p>
            <w:pPr>
              <w:widowControl w:val="0"/>
              <w:kinsoku w:val="0"/>
              <w:autoSpaceDE w:val="0"/>
              <w:autoSpaceDN w:val="0"/>
              <w:adjustRightInd w:val="0"/>
              <w:snapToGrid w:val="0"/>
              <w:spacing w:before="248" w:line="221" w:lineRule="auto"/>
              <w:ind w:left="489"/>
              <w:jc w:val="both"/>
              <w:textAlignment w:val="baseline"/>
              <w:rPr>
                <w:rFonts w:ascii="宋体" w:hAnsi="宋体" w:cs="宋体" w:hint="eastAsia"/>
                <w:kern w:val="2"/>
                <w:sz w:val="20"/>
                <w:szCs w:val="20"/>
              </w:rPr>
            </w:pPr>
            <w:r>
              <w:rPr>
                <w:rFonts w:ascii="宋体" w:hAnsi="宋体" w:cs="宋体" w:hint="eastAsia"/>
                <w:b/>
                <w:bCs/>
                <w:spacing w:val="-8"/>
                <w:kern w:val="2"/>
                <w:sz w:val="20"/>
                <w:szCs w:val="20"/>
              </w:rPr>
              <w:t>备注</w:t>
            </w:r>
          </w:p>
        </w:tc>
      </w:tr>
      <w:tr>
        <w:tblPrEx>
          <w:tblW w:w="5000" w:type="pct"/>
          <w:tblInd w:w="5" w:type="dxa"/>
          <w:tblLayout w:type="fixed"/>
          <w:tblCellMar>
            <w:top w:w="0" w:type="dxa"/>
            <w:left w:w="0" w:type="dxa"/>
            <w:bottom w:w="0" w:type="dxa"/>
            <w:right w:w="0" w:type="dxa"/>
          </w:tblCellMar>
        </w:tblPrEx>
        <w:trPr>
          <w:trHeight w:val="1049"/>
        </w:trPr>
        <w:tc>
          <w:tcPr>
            <w:tcW w:w="6402" w:type="dxa"/>
            <w:tcBorders>
              <w:left w:val="single" w:sz="2" w:space="0" w:color="000000"/>
            </w:tcBorders>
          </w:tcPr>
          <w:p>
            <w:pPr>
              <w:widowControl w:val="0"/>
              <w:kinsoku w:val="0"/>
              <w:autoSpaceDE w:val="0"/>
              <w:autoSpaceDN w:val="0"/>
              <w:adjustRightInd w:val="0"/>
              <w:snapToGrid w:val="0"/>
              <w:jc w:val="both"/>
              <w:textAlignment w:val="baseline"/>
              <w:rPr>
                <w:rFonts w:ascii="宋体" w:hAnsi="宋体" w:cs="宋体" w:hint="eastAsia"/>
                <w:kern w:val="2"/>
                <w:sz w:val="21"/>
                <w:szCs w:val="22"/>
                <w:lang w:eastAsia="zh-CN"/>
              </w:rPr>
            </w:pPr>
          </w:p>
        </w:tc>
        <w:tc>
          <w:tcPr>
            <w:tcW w:w="2677" w:type="dxa"/>
          </w:tcPr>
          <w:p>
            <w:pPr>
              <w:widowControl w:val="0"/>
              <w:kinsoku w:val="0"/>
              <w:autoSpaceDE w:val="0"/>
              <w:autoSpaceDN w:val="0"/>
              <w:adjustRightInd w:val="0"/>
              <w:snapToGrid w:val="0"/>
              <w:spacing w:before="31" w:line="345" w:lineRule="auto"/>
              <w:ind w:left="115" w:right="105" w:firstLine="63"/>
              <w:jc w:val="both"/>
              <w:textAlignment w:val="baseline"/>
              <w:rPr>
                <w:rFonts w:ascii="宋体" w:hAnsi="宋体" w:cs="宋体" w:hint="eastAsia"/>
                <w:kern w:val="2"/>
                <w:sz w:val="20"/>
                <w:szCs w:val="20"/>
              </w:rPr>
            </w:pPr>
            <w:r>
              <w:rPr>
                <w:rFonts w:ascii="宋体" w:hAnsi="宋体" w:cs="宋体" w:hint="eastAsia"/>
                <w:b/>
                <w:bCs/>
                <w:spacing w:val="-5"/>
                <w:kern w:val="2"/>
                <w:sz w:val="20"/>
                <w:szCs w:val="20"/>
              </w:rPr>
              <w:t>资格标统一</w:t>
            </w:r>
            <w:r>
              <w:rPr>
                <w:rFonts w:ascii="宋体" w:hAnsi="宋体" w:cs="宋体" w:hint="eastAsia"/>
                <w:b/>
                <w:bCs/>
                <w:spacing w:val="-3"/>
                <w:kern w:val="2"/>
                <w:sz w:val="20"/>
                <w:szCs w:val="20"/>
              </w:rPr>
              <w:t>报价1元，不</w:t>
            </w:r>
            <w:r>
              <w:rPr>
                <w:rFonts w:ascii="宋体" w:hAnsi="宋体" w:cs="宋体" w:hint="eastAsia"/>
                <w:b/>
                <w:bCs/>
                <w:spacing w:val="-4"/>
                <w:kern w:val="2"/>
                <w:sz w:val="20"/>
                <w:szCs w:val="20"/>
              </w:rPr>
              <w:t>作为实际投</w:t>
            </w:r>
            <w:r>
              <w:rPr>
                <w:rFonts w:ascii="宋体" w:hAnsi="宋体" w:cs="宋体" w:hint="eastAsia"/>
                <w:b/>
                <w:bCs/>
                <w:spacing w:val="-5"/>
                <w:kern w:val="2"/>
                <w:sz w:val="20"/>
                <w:szCs w:val="20"/>
              </w:rPr>
              <w:t>标价。</w:t>
            </w:r>
          </w:p>
        </w:tc>
      </w:tr>
    </w:tbl>
    <w:p>
      <w:pPr>
        <w:widowControl w:val="0"/>
        <w:kinsoku w:val="0"/>
        <w:autoSpaceDE w:val="0"/>
        <w:autoSpaceDN w:val="0"/>
        <w:adjustRightInd w:val="0"/>
        <w:snapToGrid w:val="0"/>
        <w:spacing w:line="371" w:lineRule="auto"/>
        <w:jc w:val="both"/>
        <w:textAlignment w:val="baseline"/>
        <w:rPr>
          <w:rFonts w:ascii="宋体" w:eastAsia="宋体" w:hAnsi="宋体" w:cs="宋体" w:hint="eastAsia"/>
          <w:b/>
          <w:bCs/>
          <w:kern w:val="2"/>
          <w:szCs w:val="22"/>
          <w:lang w:eastAsia="zh-CN"/>
        </w:rPr>
      </w:pPr>
    </w:p>
    <w:p>
      <w:pPr>
        <w:widowControl w:val="0"/>
        <w:kinsoku w:val="0"/>
        <w:autoSpaceDE w:val="0"/>
        <w:autoSpaceDN w:val="0"/>
        <w:adjustRightInd w:val="0"/>
        <w:snapToGrid w:val="0"/>
        <w:spacing w:before="68" w:line="220" w:lineRule="auto"/>
        <w:ind w:left="6"/>
        <w:jc w:val="both"/>
        <w:textAlignment w:val="baseline"/>
        <w:rPr>
          <w:rFonts w:ascii="宋体" w:eastAsia="宋体" w:hAnsi="宋体" w:cs="宋体" w:hint="eastAsia"/>
          <w:kern w:val="2"/>
          <w:sz w:val="21"/>
          <w:szCs w:val="21"/>
          <w:u w:val="single"/>
          <w:lang w:eastAsia="zh-CN"/>
        </w:rPr>
      </w:pPr>
      <w:r>
        <w:rPr>
          <w:rFonts w:ascii="宋体" w:eastAsia="宋体" w:hAnsi="宋体" w:cs="宋体" w:hint="eastAsia"/>
          <w:spacing w:val="-10"/>
          <w:kern w:val="2"/>
          <w:sz w:val="21"/>
          <w:szCs w:val="21"/>
          <w:lang w:eastAsia="zh-CN"/>
        </w:rPr>
        <w:t>投标人：</w:t>
      </w:r>
    </w:p>
    <w:p>
      <w:pPr>
        <w:widowControl w:val="0"/>
        <w:spacing w:line="360" w:lineRule="auto"/>
        <w:jc w:val="both"/>
        <w:rPr>
          <w:rFonts w:ascii="宋体" w:eastAsia="宋体" w:hAnsi="宋体" w:cs="宋体" w:hint="eastAsia"/>
          <w:b/>
          <w:bCs/>
          <w:kern w:val="2"/>
          <w:sz w:val="21"/>
          <w:szCs w:val="21"/>
          <w:u w:val="single"/>
          <w:lang w:eastAsia="zh-CN"/>
        </w:rPr>
      </w:pPr>
    </w:p>
    <w:p>
      <w:pPr>
        <w:widowControl w:val="0"/>
        <w:jc w:val="both"/>
        <w:rPr>
          <w:rFonts w:ascii="宋体" w:eastAsia="宋体" w:hAnsi="宋体" w:cs="宋体" w:hint="eastAsia"/>
          <w:kern w:val="2"/>
          <w:sz w:val="21"/>
          <w:szCs w:val="21"/>
          <w:u w:val="single"/>
          <w:lang w:eastAsia="zh-CN"/>
        </w:rPr>
      </w:pPr>
    </w:p>
    <w:p>
      <w:pPr>
        <w:widowControl w:val="0"/>
        <w:spacing w:line="360" w:lineRule="auto"/>
        <w:jc w:val="both"/>
        <w:rPr>
          <w:rFonts w:ascii="宋体" w:eastAsia="宋体" w:hAnsi="宋体" w:cs="宋体" w:hint="eastAsia"/>
          <w:b/>
          <w:bCs/>
          <w:kern w:val="2"/>
          <w:szCs w:val="22"/>
          <w:lang w:eastAsia="zh-CN"/>
        </w:rPr>
      </w:pPr>
    </w:p>
    <w:p>
      <w:pPr>
        <w:keepNext/>
        <w:keepLines/>
        <w:widowControl w:val="0"/>
        <w:spacing w:before="280" w:after="290" w:line="376" w:lineRule="auto"/>
        <w:jc w:val="center"/>
        <w:outlineLvl w:val="4"/>
        <w:rPr>
          <w:rFonts w:ascii="宋体" w:eastAsia="宋体" w:hAnsi="宋体" w:cs="宋体" w:hint="eastAsia"/>
          <w:b/>
          <w:kern w:val="2"/>
          <w:sz w:val="28"/>
          <w:szCs w:val="20"/>
          <w:lang w:eastAsia="zh-CN"/>
        </w:rPr>
      </w:pPr>
      <w:r>
        <w:rPr>
          <w:rFonts w:ascii="宋体" w:eastAsia="宋体" w:hAnsi="宋体" w:cs="宋体" w:hint="eastAsia"/>
          <w:b/>
          <w:kern w:val="2"/>
          <w:lang w:eastAsia="zh-CN"/>
        </w:rPr>
        <w:t>5.场馆运营能力</w:t>
      </w:r>
    </w:p>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按照招标文件要求提供证明文件。</w:t>
      </w:r>
    </w:p>
    <w:p>
      <w:pPr>
        <w:widowControl w:val="0"/>
        <w:jc w:val="both"/>
        <w:rPr>
          <w:rFonts w:ascii="宋体" w:eastAsia="宋体" w:hAnsi="宋体" w:cs="宋体" w:hint="eastAsia"/>
          <w:kern w:val="2"/>
          <w:sz w:val="21"/>
          <w:szCs w:val="22"/>
          <w:lang w:eastAsia="zh-CN"/>
        </w:rPr>
      </w:pPr>
    </w:p>
    <w:p>
      <w:pPr>
        <w:widowControl w:val="0"/>
        <w:jc w:val="both"/>
        <w:rPr>
          <w:rFonts w:ascii="宋体" w:eastAsia="宋体" w:hAnsi="宋体" w:cs="宋体" w:hint="eastAsia"/>
          <w:kern w:val="2"/>
          <w:sz w:val="21"/>
          <w:szCs w:val="22"/>
          <w:lang w:eastAsia="zh-CN"/>
        </w:rPr>
      </w:pPr>
    </w:p>
    <w:p>
      <w:pPr>
        <w:keepNext/>
        <w:keepLines/>
        <w:widowControl w:val="0"/>
        <w:spacing w:before="280" w:after="290" w:line="376" w:lineRule="auto"/>
        <w:jc w:val="center"/>
        <w:outlineLvl w:val="4"/>
        <w:rPr>
          <w:rFonts w:ascii="宋体" w:eastAsia="宋体" w:hAnsi="宋体" w:cs="宋体" w:hint="eastAsia"/>
          <w:b/>
          <w:kern w:val="2"/>
          <w:lang w:eastAsia="zh-CN"/>
        </w:rPr>
      </w:pPr>
      <w:r>
        <w:rPr>
          <w:rFonts w:ascii="宋体" w:eastAsia="宋体" w:hAnsi="宋体" w:cs="宋体" w:hint="eastAsia"/>
          <w:b/>
          <w:kern w:val="2"/>
          <w:lang w:eastAsia="zh-CN"/>
        </w:rPr>
        <w:t>6.社会效益保障能力</w:t>
      </w:r>
    </w:p>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按照招标文件要求提供证明文件。</w:t>
      </w:r>
    </w:p>
    <w:p>
      <w:pPr>
        <w:widowControl w:val="0"/>
        <w:jc w:val="both"/>
        <w:rPr>
          <w:rFonts w:ascii="宋体" w:eastAsia="宋体" w:hAnsi="宋体" w:cs="宋体" w:hint="eastAsia"/>
          <w:kern w:val="2"/>
          <w:sz w:val="21"/>
          <w:szCs w:val="22"/>
          <w:lang w:eastAsia="zh-CN"/>
        </w:rPr>
      </w:pPr>
    </w:p>
    <w:p>
      <w:pPr>
        <w:widowControl w:val="0"/>
        <w:jc w:val="both"/>
        <w:rPr>
          <w:rFonts w:ascii="宋体" w:eastAsia="宋体" w:hAnsi="宋体" w:cs="宋体" w:hint="eastAsia"/>
          <w:kern w:val="2"/>
          <w:sz w:val="21"/>
          <w:szCs w:val="22"/>
          <w:lang w:eastAsia="zh-CN"/>
        </w:rPr>
      </w:pPr>
    </w:p>
    <w:p>
      <w:pPr>
        <w:keepNext/>
        <w:keepLines/>
        <w:widowControl w:val="0"/>
        <w:spacing w:before="280" w:after="290" w:line="376" w:lineRule="auto"/>
        <w:jc w:val="center"/>
        <w:outlineLvl w:val="4"/>
        <w:rPr>
          <w:rFonts w:ascii="宋体" w:eastAsia="宋体" w:hAnsi="宋体" w:cs="宋体" w:hint="eastAsia"/>
          <w:b/>
          <w:kern w:val="2"/>
          <w:lang w:eastAsia="zh-CN"/>
        </w:rPr>
      </w:pPr>
      <w:r>
        <w:rPr>
          <w:rFonts w:ascii="宋体" w:eastAsia="宋体" w:hAnsi="宋体" w:cs="宋体" w:hint="eastAsia"/>
          <w:b/>
          <w:kern w:val="2"/>
          <w:lang w:eastAsia="zh-CN"/>
        </w:rPr>
        <w:t>7.大型活动保障能力</w:t>
      </w:r>
    </w:p>
    <w:p>
      <w:pPr>
        <w:widowControl w:val="0"/>
        <w:numPr>
          <w:ilvl w:val="12"/>
          <w:numId w:val="0"/>
        </w:numPr>
        <w:ind w:left="0" w:firstLine="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按照招标文件要求提供证明文件。</w:t>
      </w:r>
    </w:p>
    <w:p>
      <w:pPr>
        <w:widowControl w:val="0"/>
        <w:numPr>
          <w:ilvl w:val="12"/>
          <w:numId w:val="0"/>
        </w:numPr>
        <w:ind w:left="0" w:firstLine="0"/>
        <w:jc w:val="both"/>
        <w:rPr>
          <w:rFonts w:ascii="宋体" w:eastAsia="宋体" w:hAnsi="宋体" w:cs="宋体" w:hint="eastAsia"/>
          <w:kern w:val="2"/>
          <w:sz w:val="21"/>
          <w:szCs w:val="22"/>
          <w:lang w:eastAsia="zh-CN"/>
        </w:rPr>
      </w:pPr>
    </w:p>
    <w:p>
      <w:pPr>
        <w:widowControl w:val="0"/>
        <w:numPr>
          <w:ilvl w:val="12"/>
          <w:numId w:val="0"/>
        </w:numPr>
        <w:ind w:left="0" w:firstLine="0"/>
        <w:jc w:val="both"/>
        <w:rPr>
          <w:rFonts w:ascii="宋体" w:eastAsia="宋体" w:hAnsi="宋体" w:cs="宋体" w:hint="eastAsia"/>
          <w:kern w:val="2"/>
          <w:sz w:val="21"/>
          <w:szCs w:val="22"/>
          <w:lang w:eastAsia="zh-CN"/>
        </w:rPr>
      </w:pPr>
    </w:p>
    <w:p>
      <w:pPr>
        <w:widowControl w:val="0"/>
        <w:numPr>
          <w:ilvl w:val="12"/>
          <w:numId w:val="0"/>
        </w:numPr>
        <w:ind w:left="0" w:firstLine="0"/>
        <w:jc w:val="both"/>
        <w:rPr>
          <w:rFonts w:ascii="宋体" w:eastAsia="宋体" w:hAnsi="宋体" w:cs="宋体" w:hint="eastAsia"/>
          <w:kern w:val="2"/>
          <w:sz w:val="21"/>
          <w:szCs w:val="22"/>
          <w:lang w:eastAsia="zh-CN"/>
        </w:rPr>
      </w:pPr>
    </w:p>
    <w:p>
      <w:pPr>
        <w:keepNext/>
        <w:keepLines/>
        <w:widowControl w:val="0"/>
        <w:spacing w:before="280" w:after="290" w:line="376" w:lineRule="auto"/>
        <w:jc w:val="center"/>
        <w:outlineLvl w:val="4"/>
        <w:rPr>
          <w:rFonts w:ascii="宋体" w:eastAsia="宋体" w:hAnsi="宋体" w:cs="宋体" w:hint="eastAsia"/>
          <w:b/>
          <w:kern w:val="2"/>
          <w:lang w:eastAsia="zh-CN"/>
        </w:rPr>
      </w:pPr>
      <w:r>
        <w:rPr>
          <w:rFonts w:ascii="宋体" w:eastAsia="宋体" w:hAnsi="宋体" w:cs="宋体" w:hint="eastAsia"/>
          <w:b/>
          <w:kern w:val="2"/>
          <w:lang w:eastAsia="zh-CN"/>
        </w:rPr>
        <w:t>8</w:t>
      </w:r>
      <w:r>
        <w:rPr>
          <w:rFonts w:ascii="宋体" w:eastAsia="宋体" w:hAnsi="宋体" w:cs="宋体" w:hint="eastAsia"/>
          <w:b/>
          <w:kern w:val="2"/>
          <w:lang w:eastAsia="zh-CN"/>
        </w:rPr>
        <w:t>.服务网点</w:t>
      </w:r>
    </w:p>
    <w:p>
      <w:pPr>
        <w:widowControl w:val="0"/>
        <w:numPr>
          <w:ilvl w:val="12"/>
          <w:numId w:val="0"/>
        </w:numPr>
        <w:ind w:left="0" w:firstLine="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按照招标文件要求提供证明文件。</w:t>
      </w:r>
    </w:p>
    <w:p>
      <w:pPr>
        <w:widowControl w:val="0"/>
        <w:numPr>
          <w:ilvl w:val="12"/>
          <w:numId w:val="0"/>
        </w:numPr>
        <w:ind w:left="0" w:firstLine="0"/>
        <w:jc w:val="center"/>
        <w:rPr>
          <w:rFonts w:ascii="宋体" w:eastAsia="宋体" w:hAnsi="宋体" w:cs="宋体" w:hint="eastAsia"/>
          <w:kern w:val="2"/>
          <w:sz w:val="21"/>
          <w:szCs w:val="22"/>
          <w:lang w:eastAsia="zh-CN"/>
        </w:rPr>
      </w:pPr>
    </w:p>
    <w:p>
      <w:pPr>
        <w:widowControl w:val="0"/>
        <w:numPr>
          <w:ilvl w:val="12"/>
          <w:numId w:val="0"/>
        </w:numPr>
        <w:ind w:left="0" w:firstLine="0"/>
        <w:jc w:val="both"/>
        <w:rPr>
          <w:rFonts w:ascii="宋体" w:eastAsia="宋体" w:hAnsi="宋体" w:cs="宋体" w:hint="eastAsia"/>
          <w:kern w:val="2"/>
          <w:sz w:val="21"/>
          <w:szCs w:val="22"/>
          <w:lang w:eastAsia="zh-CN"/>
        </w:rPr>
      </w:pPr>
    </w:p>
    <w:p>
      <w:pPr>
        <w:keepNext/>
        <w:keepLines/>
        <w:widowControl w:val="0"/>
        <w:spacing w:before="280" w:after="290" w:line="240" w:lineRule="auto"/>
        <w:jc w:val="center"/>
        <w:outlineLvl w:val="4"/>
        <w:rPr>
          <w:rFonts w:ascii="宋体" w:eastAsia="宋体" w:hAnsi="宋体" w:cs="宋体" w:hint="eastAsia"/>
          <w:b/>
          <w:kern w:val="2"/>
          <w:lang w:eastAsia="zh-CN"/>
        </w:rPr>
      </w:pPr>
      <w:r>
        <w:rPr>
          <w:rFonts w:ascii="宋体" w:eastAsia="宋体" w:hAnsi="宋体" w:cs="宋体" w:hint="eastAsia"/>
          <w:b/>
          <w:kern w:val="2"/>
          <w:lang w:eastAsia="zh-CN"/>
        </w:rPr>
        <w:t>9</w:t>
      </w:r>
      <w:r>
        <w:rPr>
          <w:rFonts w:ascii="宋体" w:eastAsia="宋体" w:hAnsi="宋体" w:cs="宋体" w:hint="eastAsia"/>
          <w:b/>
          <w:kern w:val="2"/>
          <w:lang w:eastAsia="zh-CN"/>
        </w:rPr>
        <w:t>.投标人认为需要加以说明的其他内容</w:t>
      </w:r>
    </w:p>
    <w:p>
      <w:pPr>
        <w:widowControl w:val="0"/>
        <w:spacing w:after="78" w:afterLines="25" w:line="300" w:lineRule="auto"/>
        <w:jc w:val="both"/>
        <w:rPr>
          <w:rFonts w:ascii="宋体" w:eastAsia="宋体" w:hAnsi="宋体" w:cs="宋体" w:hint="eastAsia"/>
          <w:kern w:val="2"/>
          <w:lang w:eastAsia="zh-CN"/>
        </w:rPr>
      </w:pPr>
    </w:p>
    <w:p>
      <w:pPr>
        <w:widowControl w:val="0"/>
        <w:spacing w:after="78" w:afterLines="25" w:line="300" w:lineRule="auto"/>
        <w:jc w:val="center"/>
        <w:rPr>
          <w:rFonts w:ascii="宋体" w:eastAsia="宋体" w:hAnsi="宋体" w:cs="宋体" w:hint="eastAsia"/>
          <w:b/>
          <w:kern w:val="2"/>
          <w:lang w:eastAsia="zh-CN"/>
        </w:rPr>
      </w:pPr>
      <w:r>
        <w:rPr>
          <w:rFonts w:ascii="宋体" w:eastAsia="宋体" w:hAnsi="宋体" w:cs="宋体" w:hint="eastAsia"/>
          <w:b/>
          <w:kern w:val="2"/>
          <w:lang w:eastAsia="zh-CN"/>
        </w:rPr>
        <w:t>（本章未提供的招标要求的其他文件格式由投标人自拟）</w:t>
      </w:r>
    </w:p>
    <w:p>
      <w:pPr>
        <w:widowControl w:val="0"/>
        <w:spacing w:after="78" w:afterLines="25" w:line="300" w:lineRule="auto"/>
        <w:jc w:val="center"/>
        <w:rPr>
          <w:rFonts w:ascii="宋体" w:eastAsia="宋体" w:hAnsi="宋体" w:cs="宋体" w:hint="eastAsia"/>
          <w:b/>
          <w:kern w:val="2"/>
          <w:lang w:eastAsia="zh-CN"/>
        </w:rPr>
      </w:pPr>
    </w:p>
    <w:p>
      <w:pPr>
        <w:widowControl w:val="0"/>
        <w:ind w:firstLine="720" w:firstLineChars="300"/>
        <w:jc w:val="center"/>
        <w:rPr>
          <w:rFonts w:ascii="宋体" w:eastAsia="宋体" w:hAnsi="宋体" w:cs="宋体" w:hint="eastAsia"/>
          <w:b/>
          <w:color w:val="FF0000"/>
          <w:kern w:val="2"/>
          <w:szCs w:val="22"/>
          <w:lang w:eastAsia="zh-CN"/>
        </w:rPr>
      </w:pPr>
      <w:r>
        <w:rPr>
          <w:rFonts w:ascii="宋体" w:eastAsia="宋体" w:hAnsi="宋体" w:cs="宋体" w:hint="eastAsia"/>
          <w:b/>
          <w:color w:val="FF0000"/>
          <w:kern w:val="2"/>
          <w:szCs w:val="22"/>
          <w:lang w:eastAsia="zh-CN"/>
        </w:rPr>
        <w:t>（信息公开部分的内容到此为止！以下为信息不公开部分。）</w:t>
      </w:r>
    </w:p>
    <w:p>
      <w:pPr>
        <w:widowControl w:val="0"/>
        <w:spacing w:line="360" w:lineRule="auto"/>
        <w:jc w:val="both"/>
        <w:rPr>
          <w:rFonts w:ascii="宋体" w:eastAsia="宋体" w:hAnsi="宋体" w:cs="宋体" w:hint="eastAsia"/>
          <w:b/>
          <w:bCs/>
          <w:kern w:val="2"/>
          <w:lang w:eastAsia="zh-CN"/>
        </w:rPr>
      </w:pPr>
    </w:p>
    <w:p>
      <w:pPr>
        <w:widowControl/>
        <w:jc w:val="left"/>
        <w:rPr>
          <w:rFonts w:ascii="宋体" w:eastAsia="宋体" w:hAnsi="宋体" w:cs="宋体" w:hint="eastAsia"/>
          <w:kern w:val="2"/>
          <w:sz w:val="21"/>
          <w:lang w:eastAsia="zh-CN"/>
        </w:rPr>
      </w:pPr>
      <w:r>
        <w:rPr>
          <w:rFonts w:ascii="宋体" w:eastAsia="宋体" w:hAnsi="宋体" w:cs="宋体" w:hint="eastAsia"/>
          <w:kern w:val="2"/>
          <w:sz w:val="21"/>
          <w:lang w:eastAsia="zh-CN"/>
        </w:rPr>
        <w:br w:type="page"/>
      </w:r>
    </w:p>
    <w:p>
      <w:pPr>
        <w:widowControl w:val="0"/>
        <w:spacing w:after="78" w:afterLines="25" w:line="300" w:lineRule="auto"/>
        <w:jc w:val="both"/>
        <w:outlineLvl w:val="3"/>
        <w:rPr>
          <w:rFonts w:ascii="宋体" w:eastAsia="宋体" w:hAnsi="宋体" w:cs="宋体" w:hint="eastAsia"/>
          <w:b/>
          <w:color w:val="FF0000"/>
          <w:kern w:val="2"/>
          <w:sz w:val="32"/>
          <w:szCs w:val="32"/>
          <w:lang w:eastAsia="zh-CN"/>
        </w:rPr>
      </w:pPr>
      <w:r>
        <w:rPr>
          <w:rFonts w:ascii="宋体" w:eastAsia="宋体" w:hAnsi="宋体" w:cs="宋体" w:hint="eastAsia"/>
          <w:b/>
          <w:color w:val="FF0000"/>
          <w:kern w:val="2"/>
          <w:sz w:val="32"/>
          <w:szCs w:val="32"/>
          <w:lang w:eastAsia="zh-CN"/>
        </w:rPr>
        <w:t>二、投标文件附件（信息不公开部分）</w:t>
      </w:r>
    </w:p>
    <w:p>
      <w:pPr>
        <w:keepNext/>
        <w:keepLines/>
        <w:widowControl w:val="0"/>
        <w:adjustRightInd w:val="0"/>
        <w:snapToGrid w:val="0"/>
        <w:spacing w:line="360" w:lineRule="auto"/>
        <w:jc w:val="center"/>
        <w:textAlignment w:val="baseline"/>
        <w:outlineLvl w:val="4"/>
        <w:rPr>
          <w:rFonts w:ascii="宋体" w:eastAsia="宋体" w:hAnsi="宋体" w:cs="宋体" w:hint="eastAsia"/>
          <w:b/>
          <w:bCs/>
          <w:szCs w:val="20"/>
          <w:lang w:eastAsia="zh-CN"/>
        </w:rPr>
      </w:pPr>
      <w:r>
        <w:rPr>
          <w:rFonts w:ascii="宋体" w:eastAsia="宋体" w:hAnsi="宋体" w:cs="宋体" w:hint="eastAsia"/>
          <w:b/>
          <w:bCs/>
          <w:szCs w:val="20"/>
          <w:lang w:eastAsia="zh-CN"/>
        </w:rPr>
        <w:t>1.法定代表人（负责人）证明书</w:t>
      </w:r>
    </w:p>
    <w:p>
      <w:pPr>
        <w:widowControl w:val="0"/>
        <w:spacing w:line="300" w:lineRule="auto"/>
        <w:ind w:left="140"/>
        <w:jc w:val="center"/>
        <w:rPr>
          <w:rFonts w:ascii="宋体" w:eastAsia="宋体" w:hAnsi="宋体" w:cs="宋体" w:hint="eastAsia"/>
          <w:b/>
          <w:kern w:val="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（姓名），现任我单位职务，为法定代表人（负责人），身份证件号为：，联系电话：。</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特此证明。</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说明：1、法定代表人为投标人（企业事业单位、国家机关、社会团体）的主要行政负责人。</w:t>
      </w:r>
    </w:p>
    <w:p>
      <w:pPr>
        <w:widowControl w:val="0"/>
        <w:numPr>
          <w:ilvl w:val="0"/>
          <w:numId w:val="3"/>
        </w:numPr>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Hans"/>
        </w:rPr>
        <w:t>本证明书要供法定代表人（负责人）</w:t>
      </w:r>
      <w:r>
        <w:rPr>
          <w:rFonts w:ascii="宋体" w:eastAsia="宋体" w:hAnsi="宋体" w:cs="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3"/>
        </w:numPr>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Hans"/>
        </w:rPr>
        <w:t>本项目投标授权代表为法定代表人（负责人）的，无需提供</w:t>
      </w:r>
      <w:r>
        <w:rPr>
          <w:rFonts w:ascii="宋体" w:eastAsia="宋体" w:hAnsi="宋体" w:cs="宋体" w:hint="eastAsia"/>
          <w:kern w:val="2"/>
          <w:sz w:val="21"/>
          <w:szCs w:val="21"/>
          <w:lang w:eastAsia="zh-CN"/>
        </w:rPr>
        <w:t>《投标文件签署授权委托书》</w:t>
      </w:r>
      <w:r>
        <w:rPr>
          <w:rFonts w:ascii="宋体" w:eastAsia="宋体" w:hAnsi="宋体" w:cs="宋体" w:hint="eastAsia"/>
          <w:kern w:val="2"/>
          <w:sz w:val="21"/>
          <w:szCs w:val="21"/>
          <w:lang w:eastAsia="zh-Hans"/>
        </w:rPr>
        <w:t>。</w:t>
      </w:r>
    </w:p>
    <w:p>
      <w:pPr>
        <w:widowControl w:val="0"/>
        <w:numPr>
          <w:ilvl w:val="0"/>
          <w:numId w:val="3"/>
        </w:numPr>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43"/>
        <w:gridCol w:w="464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证件扫描件正面</w:t>
            </w:r>
          </w:p>
          <w:p>
            <w:pPr>
              <w:spacing w:line="360" w:lineRule="auto"/>
              <w:jc w:val="center"/>
              <w:rPr>
                <w:rFonts w:ascii="宋体" w:hAnsi="宋体" w:cs="宋体" w:hint="eastAsia"/>
                <w:b/>
                <w:bCs/>
                <w:kern w:val="2"/>
                <w:szCs w:val="22"/>
                <w:lang w:eastAsia="zh-CN"/>
              </w:rPr>
            </w:pPr>
          </w:p>
          <w:p>
            <w:pPr>
              <w:spacing w:line="360" w:lineRule="auto"/>
              <w:rPr>
                <w:rFonts w:ascii="宋体" w:hAnsi="宋体" w:cs="宋体" w:hint="eastAsia"/>
                <w:kern w:val="2"/>
                <w:szCs w:val="22"/>
                <w:lang w:eastAsia="zh-CN"/>
              </w:rPr>
            </w:pPr>
          </w:p>
          <w:p>
            <w:pPr>
              <w:spacing w:line="360" w:lineRule="auto"/>
              <w:rPr>
                <w:rFonts w:ascii="宋体" w:hAnsi="宋体" w:cs="宋体" w:hint="eastAsia"/>
                <w:kern w:val="2"/>
                <w:szCs w:val="22"/>
                <w:lang w:eastAsia="zh-CN"/>
              </w:rPr>
            </w:pPr>
          </w:p>
          <w:p>
            <w:pPr>
              <w:spacing w:line="360" w:lineRule="auto"/>
              <w:rPr>
                <w:rFonts w:ascii="宋体" w:hAnsi="宋体" w:cs="宋体" w:hint="eastAsia"/>
                <w:kern w:val="2"/>
                <w:szCs w:val="22"/>
                <w:lang w:eastAsia="zh-CN"/>
              </w:rPr>
            </w:pPr>
          </w:p>
          <w:p>
            <w:pPr>
              <w:spacing w:line="360" w:lineRule="auto"/>
              <w:rPr>
                <w:rFonts w:ascii="宋体" w:hAnsi="宋体" w:cs="宋体" w:hint="eastAsia"/>
                <w:kern w:val="2"/>
                <w:szCs w:val="22"/>
                <w:lang w:eastAsia="zh-CN"/>
              </w:rPr>
            </w:pPr>
          </w:p>
          <w:p>
            <w:pPr>
              <w:spacing w:line="360" w:lineRule="auto"/>
              <w:jc w:val="center"/>
              <w:rPr>
                <w:rFonts w:ascii="宋体" w:hAnsi="宋体" w:cs="宋体" w:hint="eastAsia"/>
                <w:kern w:val="2"/>
                <w:szCs w:val="22"/>
                <w:lang w:eastAsia="zh-CN"/>
              </w:rPr>
            </w:pPr>
          </w:p>
        </w:tc>
        <w:tc>
          <w:tcPr>
            <w:tcW w:w="4265" w:type="dxa"/>
          </w:tcPr>
          <w:p>
            <w:pPr>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证件扫描件反面</w:t>
            </w:r>
          </w:p>
          <w:p>
            <w:pPr>
              <w:spacing w:line="360" w:lineRule="auto"/>
              <w:jc w:val="center"/>
              <w:rPr>
                <w:rFonts w:ascii="宋体" w:hAnsi="宋体" w:cs="宋体" w:hint="eastAsia"/>
                <w:b/>
                <w:bCs/>
                <w:kern w:val="2"/>
                <w:szCs w:val="22"/>
                <w:lang w:eastAsia="zh-CN"/>
              </w:rPr>
            </w:pPr>
          </w:p>
          <w:p>
            <w:pPr>
              <w:spacing w:line="360" w:lineRule="auto"/>
              <w:jc w:val="center"/>
              <w:rPr>
                <w:rFonts w:ascii="宋体" w:hAnsi="宋体" w:cs="宋体" w:hint="eastAsia"/>
                <w:kern w:val="2"/>
                <w:szCs w:val="22"/>
                <w:lang w:eastAsia="zh-CN"/>
              </w:rPr>
            </w:pPr>
          </w:p>
        </w:tc>
      </w:tr>
    </w:tbl>
    <w:p>
      <w:pPr>
        <w:widowControl w:val="0"/>
        <w:snapToGrid w:val="0"/>
        <w:jc w:val="both"/>
        <w:rPr>
          <w:rFonts w:ascii="宋体" w:eastAsia="宋体" w:hAnsi="宋体" w:cs="宋体" w:hint="eastAsia"/>
          <w:kern w:val="2"/>
          <w:sz w:val="21"/>
          <w:lang w:eastAsia="zh-CN"/>
        </w:rPr>
      </w:pPr>
    </w:p>
    <w:p>
      <w:pPr>
        <w:keepNext/>
        <w:keepLines/>
        <w:pageBreakBefore/>
        <w:widowControl w:val="0"/>
        <w:adjustRightInd w:val="0"/>
        <w:snapToGrid w:val="0"/>
        <w:spacing w:line="360" w:lineRule="auto"/>
        <w:jc w:val="center"/>
        <w:textAlignment w:val="baseline"/>
        <w:outlineLvl w:val="4"/>
        <w:rPr>
          <w:rFonts w:ascii="宋体" w:eastAsia="宋体" w:hAnsi="宋体" w:cs="宋体" w:hint="eastAsia"/>
          <w:b/>
          <w:bCs/>
          <w:szCs w:val="20"/>
          <w:lang w:eastAsia="zh-CN"/>
        </w:rPr>
      </w:pPr>
      <w:r>
        <w:rPr>
          <w:rFonts w:ascii="宋体" w:eastAsia="宋体" w:hAnsi="宋体" w:cs="宋体" w:hint="eastAsia"/>
          <w:b/>
          <w:bCs/>
          <w:szCs w:val="20"/>
          <w:lang w:eastAsia="zh-CN"/>
        </w:rPr>
        <w:t>2.投标文件签署授权委托书</w:t>
      </w:r>
    </w:p>
    <w:p>
      <w:pPr>
        <w:widowControl w:val="0"/>
        <w:spacing w:line="300" w:lineRule="auto"/>
        <w:jc w:val="center"/>
        <w:rPr>
          <w:rFonts w:ascii="宋体" w:eastAsia="宋体" w:hAnsi="宋体" w:cs="宋体" w:hint="eastAsia"/>
          <w:b/>
          <w:kern w:val="2"/>
          <w:sz w:val="28"/>
          <w:szCs w:val="28"/>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授权委托书声明：我（姓名）系（投标人名称）的法定代表人（负责人），现授权委托（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代理人无转委托权，特此委托。</w:t>
      </w: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身份证件号：，职务：；</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联系电话：，手机：，电子邮箱：；</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授权委托日期：年月日。</w:t>
      </w:r>
    </w:p>
    <w:p>
      <w:pPr>
        <w:widowControl w:val="0"/>
        <w:spacing w:line="360" w:lineRule="auto"/>
        <w:ind w:firstLine="420" w:firstLineChars="200"/>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43"/>
        <w:gridCol w:w="464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04"/>
        </w:trPr>
        <w:tc>
          <w:tcPr>
            <w:tcW w:w="4264" w:type="dxa"/>
          </w:tcPr>
          <w:p>
            <w:pPr>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证件扫描件正面</w:t>
            </w:r>
          </w:p>
          <w:p>
            <w:pPr>
              <w:spacing w:line="360" w:lineRule="auto"/>
              <w:jc w:val="center"/>
              <w:rPr>
                <w:rFonts w:ascii="宋体" w:hAnsi="宋体" w:cs="宋体" w:hint="eastAsia"/>
                <w:b/>
                <w:bCs/>
                <w:kern w:val="2"/>
                <w:szCs w:val="22"/>
                <w:lang w:eastAsia="zh-CN"/>
              </w:rPr>
            </w:pPr>
          </w:p>
          <w:p>
            <w:pPr>
              <w:spacing w:line="360" w:lineRule="auto"/>
              <w:jc w:val="center"/>
              <w:rPr>
                <w:rFonts w:ascii="宋体" w:hAnsi="宋体" w:cs="宋体" w:hint="eastAsia"/>
                <w:kern w:val="2"/>
                <w:szCs w:val="22"/>
                <w:lang w:eastAsia="zh-CN"/>
              </w:rPr>
            </w:pPr>
          </w:p>
        </w:tc>
        <w:tc>
          <w:tcPr>
            <w:tcW w:w="4265" w:type="dxa"/>
          </w:tcPr>
          <w:p>
            <w:pPr>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证件扫描件反面</w:t>
            </w:r>
          </w:p>
          <w:p>
            <w:pPr>
              <w:spacing w:line="360" w:lineRule="auto"/>
              <w:jc w:val="center"/>
              <w:rPr>
                <w:rFonts w:ascii="宋体" w:hAnsi="宋体" w:cs="宋体" w:hint="eastAsia"/>
                <w:b/>
                <w:bCs/>
                <w:kern w:val="2"/>
                <w:szCs w:val="22"/>
                <w:lang w:eastAsia="zh-CN"/>
              </w:rPr>
            </w:pPr>
          </w:p>
          <w:p>
            <w:pPr>
              <w:spacing w:line="360" w:lineRule="auto"/>
              <w:jc w:val="center"/>
              <w:rPr>
                <w:rFonts w:ascii="宋体" w:hAnsi="宋体" w:cs="宋体" w:hint="eastAsia"/>
                <w:kern w:val="2"/>
                <w:szCs w:val="22"/>
                <w:lang w:eastAsia="zh-CN"/>
              </w:rPr>
            </w:pPr>
          </w:p>
        </w:tc>
      </w:tr>
    </w:tbl>
    <w:p>
      <w:pPr>
        <w:widowControl w:val="0"/>
        <w:tabs>
          <w:tab w:val="left" w:pos="651"/>
        </w:tabs>
        <w:snapToGrid w:val="0"/>
        <w:jc w:val="center"/>
        <w:rPr>
          <w:rFonts w:ascii="宋体" w:eastAsia="宋体" w:hAnsi="宋体" w:cs="宋体" w:hint="eastAsia"/>
          <w:kern w:val="2"/>
          <w:lang w:eastAsia="zh-CN"/>
        </w:rPr>
      </w:pPr>
      <w:r>
        <w:rPr>
          <w:rFonts w:ascii="宋体" w:eastAsia="宋体" w:hAnsi="宋体" w:cs="宋体" w:hint="eastAsia"/>
          <w:color w:val="FF0000"/>
          <w:kern w:val="2"/>
          <w:sz w:val="28"/>
          <w:szCs w:val="28"/>
          <w:lang w:eastAsia="zh-CN"/>
        </w:rPr>
        <w:br w:type="page"/>
      </w:r>
    </w:p>
    <w:p>
      <w:pPr>
        <w:keepNext/>
        <w:keepLines/>
        <w:widowControl w:val="0"/>
        <w:adjustRightInd w:val="0"/>
        <w:snapToGrid w:val="0"/>
        <w:spacing w:line="360" w:lineRule="auto"/>
        <w:jc w:val="center"/>
        <w:textAlignment w:val="baseline"/>
        <w:rPr>
          <w:rFonts w:ascii="宋体" w:eastAsia="宋体" w:hAnsi="宋体" w:cs="宋体" w:hint="eastAsia"/>
          <w:b/>
          <w:bCs/>
          <w:szCs w:val="20"/>
          <w:lang w:eastAsia="zh-CN"/>
        </w:rPr>
      </w:pPr>
    </w:p>
    <w:p>
      <w:pPr>
        <w:keepNext/>
        <w:keepLines/>
        <w:widowControl w:val="0"/>
        <w:adjustRightInd w:val="0"/>
        <w:snapToGrid w:val="0"/>
        <w:spacing w:line="360" w:lineRule="auto"/>
        <w:jc w:val="center"/>
        <w:textAlignment w:val="baseline"/>
        <w:outlineLvl w:val="4"/>
        <w:rPr>
          <w:rFonts w:ascii="宋体" w:eastAsia="宋体" w:hAnsi="宋体" w:cs="宋体" w:hint="eastAsia"/>
          <w:b/>
          <w:bCs/>
          <w:szCs w:val="20"/>
          <w:lang w:eastAsia="zh-CN"/>
        </w:rPr>
      </w:pPr>
      <w:r>
        <w:rPr>
          <w:rFonts w:ascii="宋体" w:eastAsia="宋体" w:hAnsi="宋体" w:cs="宋体" w:hint="eastAsia"/>
          <w:b/>
          <w:bCs/>
          <w:szCs w:val="20"/>
          <w:lang w:eastAsia="zh-CN"/>
        </w:rPr>
        <w:t>3.实质性条款响应情况表（如有）</w:t>
      </w:r>
    </w:p>
    <w:p>
      <w:pPr>
        <w:widowControl w:val="0"/>
        <w:numPr>
          <w:ilvl w:val="12"/>
          <w:numId w:val="0"/>
        </w:numPr>
        <w:spacing w:after="120" w:line="240" w:lineRule="auto"/>
        <w:ind w:left="0" w:firstLine="0"/>
        <w:jc w:val="both"/>
        <w:rPr>
          <w:rFonts w:ascii="宋体" w:eastAsia="宋体" w:hAnsi="宋体" w:cs="宋体" w:hint="eastAsia"/>
          <w:kern w:val="2"/>
          <w:sz w:val="21"/>
          <w:szCs w:val="22"/>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7"/>
        <w:gridCol w:w="4266"/>
        <w:gridCol w:w="1729"/>
        <w:gridCol w:w="1441"/>
        <w:gridCol w:w="105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jc w:val="center"/>
        </w:trPr>
        <w:tc>
          <w:tcPr>
            <w:tcW w:w="705" w:type="dxa"/>
            <w:vAlign w:val="center"/>
          </w:tcPr>
          <w:p>
            <w:pPr>
              <w:widowControl w:val="0"/>
              <w:adjustRightInd w:val="0"/>
              <w:snapToGrid w:val="0"/>
              <w:spacing w:line="360" w:lineRule="auto"/>
              <w:jc w:val="center"/>
              <w:rPr>
                <w:rFonts w:ascii="宋体" w:eastAsia="宋体" w:hAnsi="宋体" w:cs="宋体" w:hint="eastAsia"/>
                <w:lang w:eastAsia="zh-CN"/>
              </w:rPr>
            </w:pPr>
            <w:bookmarkStart w:id="25" w:name="_Hlk72092651"/>
            <w:r>
              <w:rPr>
                <w:rFonts w:ascii="宋体" w:eastAsia="宋体" w:hAnsi="宋体" w:cs="宋体" w:hint="eastAsia"/>
                <w:lang w:eastAsia="zh-CN"/>
              </w:rPr>
              <w:t>序号</w:t>
            </w:r>
          </w:p>
        </w:tc>
        <w:tc>
          <w:tcPr>
            <w:tcW w:w="3774" w:type="dxa"/>
            <w:vAlign w:val="center"/>
          </w:tcPr>
          <w:p>
            <w:pPr>
              <w:widowControl w:val="0"/>
              <w:adjustRightInd w:val="0"/>
              <w:snapToGrid w:val="0"/>
              <w:spacing w:line="360" w:lineRule="auto"/>
              <w:jc w:val="center"/>
              <w:rPr>
                <w:rFonts w:ascii="宋体" w:eastAsia="宋体" w:hAnsi="宋体" w:cs="宋体" w:hint="eastAsia"/>
                <w:lang w:eastAsia="zh-CN"/>
              </w:rPr>
            </w:pPr>
            <w:r>
              <w:rPr>
                <w:rFonts w:ascii="宋体" w:eastAsia="宋体" w:hAnsi="宋体" w:cs="宋体" w:hint="eastAsia"/>
                <w:lang w:eastAsia="zh-CN"/>
              </w:rPr>
              <w:t>实质性条款具体内容</w:t>
            </w:r>
          </w:p>
        </w:tc>
        <w:tc>
          <w:tcPr>
            <w:tcW w:w="1530" w:type="dxa"/>
            <w:vAlign w:val="center"/>
          </w:tcPr>
          <w:p>
            <w:pPr>
              <w:widowControl w:val="0"/>
              <w:adjustRightInd w:val="0"/>
              <w:snapToGrid w:val="0"/>
              <w:spacing w:line="360" w:lineRule="auto"/>
              <w:jc w:val="center"/>
              <w:rPr>
                <w:rFonts w:ascii="宋体" w:eastAsia="宋体" w:hAnsi="宋体" w:cs="宋体" w:hint="eastAsia"/>
                <w:lang w:eastAsia="zh-CN"/>
              </w:rPr>
            </w:pPr>
            <w:r>
              <w:rPr>
                <w:rFonts w:ascii="宋体" w:eastAsia="宋体" w:hAnsi="宋体" w:cs="宋体" w:hint="eastAsia"/>
                <w:kern w:val="2"/>
                <w:szCs w:val="28"/>
                <w:lang w:eastAsia="zh-CN"/>
              </w:rPr>
              <w:t>投标响应</w:t>
            </w:r>
          </w:p>
        </w:tc>
        <w:tc>
          <w:tcPr>
            <w:tcW w:w="1275" w:type="dxa"/>
            <w:vAlign w:val="center"/>
          </w:tcPr>
          <w:p>
            <w:pPr>
              <w:widowControl w:val="0"/>
              <w:adjustRightInd w:val="0"/>
              <w:snapToGrid w:val="0"/>
              <w:spacing w:line="360" w:lineRule="auto"/>
              <w:jc w:val="center"/>
              <w:rPr>
                <w:rFonts w:ascii="宋体" w:eastAsia="宋体" w:hAnsi="宋体" w:cs="宋体" w:hint="eastAsia"/>
                <w:lang w:eastAsia="zh-CN"/>
              </w:rPr>
            </w:pPr>
            <w:r>
              <w:rPr>
                <w:rFonts w:ascii="宋体" w:eastAsia="宋体" w:hAnsi="宋体" w:cs="宋体" w:hint="eastAsia"/>
                <w:kern w:val="2"/>
                <w:szCs w:val="28"/>
                <w:lang w:eastAsia="zh-CN"/>
              </w:rPr>
              <w:t>偏离情况</w:t>
            </w:r>
          </w:p>
        </w:tc>
        <w:tc>
          <w:tcPr>
            <w:tcW w:w="933" w:type="dxa"/>
            <w:vAlign w:val="center"/>
          </w:tcPr>
          <w:p>
            <w:pPr>
              <w:widowControl w:val="0"/>
              <w:adjustRightInd w:val="0"/>
              <w:snapToGrid w:val="0"/>
              <w:spacing w:line="360" w:lineRule="auto"/>
              <w:jc w:val="center"/>
              <w:rPr>
                <w:rFonts w:ascii="宋体" w:eastAsia="宋体" w:hAnsi="宋体" w:cs="宋体" w:hint="eastAsia"/>
                <w:lang w:eastAsia="zh-CN"/>
              </w:rPr>
            </w:pPr>
            <w:r>
              <w:rPr>
                <w:rFonts w:ascii="宋体" w:eastAsia="宋体" w:hAnsi="宋体" w:cs="宋体" w:hint="eastAsia"/>
                <w:kern w:val="2"/>
                <w:szCs w:val="28"/>
                <w:lang w:eastAsia="zh-CN"/>
              </w:rPr>
              <w:t>说明</w:t>
            </w:r>
          </w:p>
        </w:tc>
      </w:tr>
      <w:bookmarkEnd w:id="25"/>
      <w:tr>
        <w:tblPrEx>
          <w:tblW w:w="5000" w:type="pct"/>
          <w:jc w:val="center"/>
          <w:tblLayout w:type="fixed"/>
          <w:tblCellMar>
            <w:top w:w="0" w:type="dxa"/>
            <w:left w:w="108" w:type="dxa"/>
            <w:bottom w:w="0" w:type="dxa"/>
            <w:right w:w="108" w:type="dxa"/>
          </w:tblCellMar>
        </w:tblPrEx>
        <w:trPr>
          <w:jc w:val="center"/>
        </w:trPr>
        <w:tc>
          <w:tcPr>
            <w:tcW w:w="705" w:type="dxa"/>
          </w:tcPr>
          <w:p>
            <w:pPr>
              <w:widowControl w:val="0"/>
              <w:adjustRightInd w:val="0"/>
              <w:snapToGrid w:val="0"/>
              <w:spacing w:line="360" w:lineRule="auto"/>
              <w:jc w:val="center"/>
              <w:rPr>
                <w:rFonts w:ascii="宋体" w:eastAsia="宋体" w:hAnsi="宋体" w:cs="宋体" w:hint="eastAsia"/>
                <w:lang w:eastAsia="zh-CN"/>
              </w:rPr>
            </w:pPr>
            <w:r>
              <w:rPr>
                <w:rFonts w:ascii="宋体" w:eastAsia="宋体" w:hAnsi="宋体" w:cs="宋体" w:hint="eastAsia"/>
                <w:lang w:eastAsia="zh-CN"/>
              </w:rPr>
              <w:t>1</w:t>
            </w:r>
          </w:p>
        </w:tc>
        <w:tc>
          <w:tcPr>
            <w:tcW w:w="3774" w:type="dxa"/>
          </w:tcPr>
          <w:p>
            <w:pPr>
              <w:widowControl w:val="0"/>
              <w:adjustRightInd w:val="0"/>
              <w:snapToGrid w:val="0"/>
              <w:jc w:val="left"/>
              <w:rPr>
                <w:rFonts w:ascii="宋体" w:eastAsia="宋体" w:hAnsi="宋体" w:cs="宋体" w:hint="eastAsia"/>
                <w:color w:val="FF0000"/>
                <w:sz w:val="21"/>
                <w:szCs w:val="21"/>
                <w:lang w:eastAsia="zh-CN"/>
              </w:rPr>
            </w:pPr>
          </w:p>
        </w:tc>
        <w:tc>
          <w:tcPr>
            <w:tcW w:w="1530" w:type="dxa"/>
          </w:tcPr>
          <w:p>
            <w:pPr>
              <w:widowControl w:val="0"/>
              <w:adjustRightInd w:val="0"/>
              <w:snapToGrid w:val="0"/>
              <w:spacing w:line="360" w:lineRule="auto"/>
              <w:jc w:val="both"/>
              <w:rPr>
                <w:rFonts w:ascii="宋体" w:eastAsia="宋体" w:hAnsi="宋体" w:cs="宋体" w:hint="eastAsia"/>
                <w:sz w:val="21"/>
                <w:szCs w:val="21"/>
                <w:lang w:eastAsia="zh-CN"/>
              </w:rPr>
            </w:pPr>
          </w:p>
        </w:tc>
        <w:tc>
          <w:tcPr>
            <w:tcW w:w="1275" w:type="dxa"/>
          </w:tcPr>
          <w:p>
            <w:pPr>
              <w:widowControl w:val="0"/>
              <w:adjustRightInd w:val="0"/>
              <w:snapToGrid w:val="0"/>
              <w:spacing w:line="360" w:lineRule="auto"/>
              <w:jc w:val="both"/>
              <w:rPr>
                <w:rFonts w:ascii="宋体" w:eastAsia="宋体" w:hAnsi="宋体" w:cs="宋体" w:hint="eastAsia"/>
                <w:sz w:val="21"/>
                <w:szCs w:val="21"/>
                <w:lang w:eastAsia="zh-CN"/>
              </w:rPr>
            </w:pPr>
          </w:p>
        </w:tc>
        <w:tc>
          <w:tcPr>
            <w:tcW w:w="933" w:type="dxa"/>
          </w:tcPr>
          <w:p>
            <w:pPr>
              <w:widowControl w:val="0"/>
              <w:adjustRightInd w:val="0"/>
              <w:snapToGrid w:val="0"/>
              <w:spacing w:line="360" w:lineRule="auto"/>
              <w:jc w:val="both"/>
              <w:rPr>
                <w:rFonts w:ascii="宋体" w:eastAsia="宋体" w:hAnsi="宋体" w:cs="宋体" w:hint="eastAsia"/>
                <w:sz w:val="21"/>
                <w:szCs w:val="21"/>
                <w:lang w:eastAsia="zh-CN"/>
              </w:rPr>
            </w:pPr>
          </w:p>
        </w:tc>
      </w:tr>
    </w:tbl>
    <w:p>
      <w:pPr>
        <w:widowControl w:val="0"/>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注：</w:t>
      </w:r>
    </w:p>
    <w:p>
      <w:pPr>
        <w:widowControl w:val="0"/>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1.上表所列各项均为不可负偏离条款。</w:t>
      </w:r>
    </w:p>
    <w:p>
      <w:pPr>
        <w:widowControl w:val="0"/>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2.“投标响应”一栏应当详细填写投标人自身响应情况，而不能不合理照搬照抄招实质性条款具体内容。</w:t>
      </w:r>
    </w:p>
    <w:p>
      <w:pPr>
        <w:widowControl w:val="0"/>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4.评审委员会有权对投标响应情况作出判断（作出评审结论）。</w:t>
      </w:r>
    </w:p>
    <w:p>
      <w:pPr>
        <w:widowControl w:val="0"/>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5.实质性响应条款“投标响应情况”与投标文件其它内容冲突的，以实质性响应条款“投标响应情况”为准。</w:t>
      </w:r>
    </w:p>
    <w:p>
      <w:pPr>
        <w:widowControl w:val="0"/>
        <w:snapToGrid w:val="0"/>
        <w:spacing w:after="78" w:afterLines="25" w:line="300" w:lineRule="auto"/>
        <w:jc w:val="both"/>
        <w:rPr>
          <w:rFonts w:ascii="宋体" w:eastAsia="宋体" w:hAnsi="宋体" w:cs="宋体" w:hint="eastAsia"/>
          <w:b/>
          <w:color w:val="FF0000"/>
          <w:kern w:val="2"/>
          <w:lang w:eastAsia="zh-CN"/>
        </w:rPr>
      </w:pPr>
      <w:r>
        <w:rPr>
          <w:rFonts w:ascii="宋体" w:eastAsia="宋体" w:hAnsi="宋体" w:cs="宋体" w:hint="eastAsia"/>
          <w:kern w:val="2"/>
          <w:sz w:val="21"/>
          <w:szCs w:val="22"/>
          <w:lang w:eastAsia="zh-CN"/>
        </w:rPr>
        <w:t>6.要求提供证明资料，在“说明”一栏中列明证明资料的位置</w:t>
      </w:r>
      <w:r>
        <w:rPr>
          <w:rFonts w:ascii="宋体" w:eastAsia="宋体" w:hAnsi="宋体" w:cs="宋体" w:hint="eastAsia"/>
          <w:kern w:val="2"/>
          <w:sz w:val="21"/>
          <w:szCs w:val="22"/>
          <w:lang w:eastAsia="zh-CN"/>
        </w:rPr>
        <w:t>，</w:t>
      </w:r>
      <w:r>
        <w:rPr>
          <w:rFonts w:ascii="宋体" w:eastAsia="宋体" w:hAnsi="宋体" w:cs="宋体" w:hint="eastAsia"/>
          <w:kern w:val="2"/>
          <w:sz w:val="21"/>
          <w:szCs w:val="22"/>
          <w:lang w:eastAsia="zh-CN"/>
        </w:rPr>
        <w:t>以便评审；未要求提供证明材料的。</w:t>
      </w:r>
    </w:p>
    <w:p>
      <w:pPr>
        <w:widowControl w:val="0"/>
        <w:spacing w:line="360" w:lineRule="auto"/>
        <w:jc w:val="both"/>
        <w:rPr>
          <w:rFonts w:ascii="宋体" w:eastAsia="宋体" w:hAnsi="宋体" w:cs="宋体" w:hint="eastAsia"/>
          <w:b/>
          <w:bCs/>
          <w:color w:val="FF0000"/>
          <w:kern w:val="2"/>
          <w:lang w:eastAsia="zh-CN"/>
        </w:rPr>
      </w:pPr>
    </w:p>
    <w:p>
      <w:pPr>
        <w:widowControl w:val="0"/>
        <w:jc w:val="both"/>
        <w:rPr>
          <w:rFonts w:ascii="宋体" w:eastAsia="宋体" w:hAnsi="宋体" w:cs="宋体" w:hint="eastAsia"/>
          <w:kern w:val="2"/>
          <w:lang w:eastAsia="zh-CN"/>
        </w:rPr>
        <w:sectPr>
          <w:headerReference w:type="default" r:id="rId7"/>
          <w:footerReference w:type="default" r:id="rId8"/>
          <w:pgSz w:w="11906" w:h="16838"/>
          <w:pgMar w:top="1440" w:right="1417" w:bottom="1440" w:left="1417" w:header="851" w:footer="992" w:gutter="0"/>
          <w:pgNumType w:fmt="decimal" w:start="1"/>
          <w:cols w:num="1" w:space="425"/>
          <w:docGrid w:type="lines" w:linePitch="312" w:charSpace="0"/>
        </w:sectPr>
      </w:pPr>
    </w:p>
    <w:p>
      <w:pPr>
        <w:widowControl w:val="0"/>
        <w:spacing w:after="78" w:afterLines="25" w:line="300" w:lineRule="auto"/>
        <w:jc w:val="both"/>
        <w:rPr>
          <w:rFonts w:ascii="宋体" w:eastAsia="宋体" w:hAnsi="宋体" w:cs="宋体" w:hint="eastAsia"/>
          <w:kern w:val="2"/>
          <w:sz w:val="21"/>
          <w:szCs w:val="22"/>
          <w:lang w:eastAsia="zh-CN"/>
        </w:rPr>
      </w:pPr>
    </w:p>
    <w:p>
      <w:pPr>
        <w:keepNext/>
        <w:keepLines/>
        <w:widowControl w:val="0"/>
        <w:numPr>
          <w:ilvl w:val="0"/>
          <w:numId w:val="4"/>
        </w:numPr>
        <w:tabs>
          <w:tab w:val="left" w:pos="312"/>
        </w:tabs>
        <w:adjustRightInd w:val="0"/>
        <w:snapToGrid w:val="0"/>
        <w:spacing w:line="360" w:lineRule="auto"/>
        <w:jc w:val="center"/>
        <w:textAlignment w:val="baseline"/>
        <w:outlineLvl w:val="4"/>
        <w:rPr>
          <w:rFonts w:ascii="宋体" w:eastAsia="宋体" w:hAnsi="宋体" w:cs="宋体" w:hint="eastAsia"/>
          <w:b/>
          <w:bCs/>
          <w:szCs w:val="20"/>
          <w:lang w:eastAsia="zh-CN"/>
        </w:rPr>
      </w:pPr>
      <w:r>
        <w:rPr>
          <w:rFonts w:ascii="宋体" w:eastAsia="宋体" w:hAnsi="宋体" w:cs="宋体" w:hint="eastAsia"/>
          <w:b/>
          <w:bCs/>
          <w:szCs w:val="20"/>
          <w:lang w:eastAsia="zh-CN"/>
        </w:rPr>
        <w:t>平面规划图</w:t>
      </w:r>
    </w:p>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按照招标文件要求提供证明文件。</w:t>
      </w:r>
    </w:p>
    <w:p>
      <w:pPr>
        <w:keepNext/>
        <w:keepLines/>
        <w:widowControl w:val="0"/>
        <w:numPr>
          <w:ilvl w:val="12"/>
          <w:numId w:val="0"/>
        </w:numPr>
        <w:adjustRightInd w:val="0"/>
        <w:snapToGrid w:val="0"/>
        <w:spacing w:line="360" w:lineRule="auto"/>
        <w:ind w:left="0" w:firstLine="0"/>
        <w:jc w:val="center"/>
        <w:textAlignment w:val="baseline"/>
        <w:outlineLvl w:val="4"/>
        <w:rPr>
          <w:rFonts w:ascii="宋体" w:eastAsia="宋体" w:hAnsi="宋体" w:cs="宋体" w:hint="eastAsia"/>
          <w:b/>
          <w:bCs/>
          <w:szCs w:val="20"/>
          <w:lang w:eastAsia="zh-CN"/>
        </w:rPr>
      </w:pPr>
    </w:p>
    <w:p>
      <w:pPr>
        <w:keepNext/>
        <w:keepLines/>
        <w:widowControl w:val="0"/>
        <w:numPr>
          <w:ilvl w:val="0"/>
          <w:numId w:val="4"/>
        </w:numPr>
        <w:tabs>
          <w:tab w:val="left" w:pos="312"/>
        </w:tabs>
        <w:adjustRightInd w:val="0"/>
        <w:snapToGrid w:val="0"/>
        <w:spacing w:line="360" w:lineRule="auto"/>
        <w:jc w:val="center"/>
        <w:textAlignment w:val="baseline"/>
        <w:outlineLvl w:val="4"/>
        <w:rPr>
          <w:rFonts w:ascii="宋体" w:eastAsia="宋体" w:hAnsi="宋体" w:cs="宋体" w:hint="eastAsia"/>
          <w:b/>
          <w:bCs/>
          <w:szCs w:val="20"/>
          <w:lang w:eastAsia="zh-CN"/>
        </w:rPr>
      </w:pPr>
      <w:r>
        <w:rPr>
          <w:rFonts w:ascii="宋体" w:eastAsia="宋体" w:hAnsi="宋体" w:cs="宋体" w:hint="eastAsia"/>
          <w:b/>
          <w:bCs/>
          <w:szCs w:val="20"/>
          <w:lang w:eastAsia="zh-CN"/>
        </w:rPr>
        <w:t>项目运营方案</w:t>
      </w:r>
    </w:p>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按照招标文件要求提供证明文件。</w:t>
      </w:r>
    </w:p>
    <w:p>
      <w:pPr>
        <w:keepNext/>
        <w:keepLines/>
        <w:widowControl w:val="0"/>
        <w:numPr>
          <w:ilvl w:val="12"/>
          <w:numId w:val="0"/>
        </w:numPr>
        <w:adjustRightInd w:val="0"/>
        <w:snapToGrid w:val="0"/>
        <w:spacing w:line="360" w:lineRule="auto"/>
        <w:ind w:left="0" w:firstLine="0"/>
        <w:jc w:val="center"/>
        <w:textAlignment w:val="baseline"/>
        <w:outlineLvl w:val="4"/>
        <w:rPr>
          <w:rFonts w:ascii="宋体" w:eastAsia="宋体" w:hAnsi="宋体" w:cs="宋体" w:hint="eastAsia"/>
          <w:b/>
          <w:bCs/>
          <w:szCs w:val="20"/>
          <w:lang w:eastAsia="zh-CN"/>
        </w:rPr>
      </w:pPr>
    </w:p>
    <w:p>
      <w:pPr>
        <w:keepNext/>
        <w:keepLines/>
        <w:widowControl w:val="0"/>
        <w:numPr>
          <w:ilvl w:val="0"/>
          <w:numId w:val="4"/>
        </w:numPr>
        <w:tabs>
          <w:tab w:val="left" w:pos="312"/>
        </w:tabs>
        <w:adjustRightInd w:val="0"/>
        <w:snapToGrid w:val="0"/>
        <w:spacing w:line="360" w:lineRule="auto"/>
        <w:jc w:val="center"/>
        <w:textAlignment w:val="baseline"/>
        <w:outlineLvl w:val="4"/>
        <w:rPr>
          <w:rFonts w:ascii="宋体" w:eastAsia="宋体" w:hAnsi="宋体" w:cs="宋体" w:hint="eastAsia"/>
          <w:b/>
          <w:bCs/>
          <w:szCs w:val="20"/>
          <w:lang w:eastAsia="zh-CN"/>
        </w:rPr>
      </w:pPr>
      <w:r>
        <w:rPr>
          <w:rFonts w:ascii="宋体" w:eastAsia="宋体" w:hAnsi="宋体" w:cs="宋体" w:hint="eastAsia"/>
          <w:b/>
          <w:bCs/>
          <w:szCs w:val="20"/>
          <w:lang w:eastAsia="zh-CN"/>
        </w:rPr>
        <w:t>项目公益性方案</w:t>
      </w:r>
    </w:p>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按照招标文件要求提供证明文件。</w:t>
      </w:r>
    </w:p>
    <w:p>
      <w:pPr>
        <w:keepNext/>
        <w:keepLines/>
        <w:widowControl w:val="0"/>
        <w:numPr>
          <w:ilvl w:val="12"/>
          <w:numId w:val="0"/>
        </w:numPr>
        <w:adjustRightInd w:val="0"/>
        <w:snapToGrid w:val="0"/>
        <w:spacing w:line="360" w:lineRule="auto"/>
        <w:ind w:left="0" w:firstLine="0"/>
        <w:jc w:val="center"/>
        <w:textAlignment w:val="baseline"/>
        <w:outlineLvl w:val="4"/>
        <w:rPr>
          <w:rFonts w:ascii="宋体" w:eastAsia="宋体" w:hAnsi="宋体" w:cs="宋体" w:hint="eastAsia"/>
          <w:b/>
          <w:bCs/>
          <w:szCs w:val="20"/>
          <w:lang w:eastAsia="zh-CN"/>
        </w:rPr>
      </w:pPr>
    </w:p>
    <w:p>
      <w:pPr>
        <w:keepNext/>
        <w:keepLines/>
        <w:widowControl w:val="0"/>
        <w:numPr>
          <w:ilvl w:val="0"/>
          <w:numId w:val="4"/>
        </w:numPr>
        <w:tabs>
          <w:tab w:val="left" w:pos="312"/>
        </w:tabs>
        <w:adjustRightInd w:val="0"/>
        <w:snapToGrid w:val="0"/>
        <w:spacing w:line="360" w:lineRule="auto"/>
        <w:jc w:val="center"/>
        <w:textAlignment w:val="baseline"/>
        <w:outlineLvl w:val="4"/>
        <w:rPr>
          <w:rFonts w:ascii="宋体" w:eastAsia="宋体" w:hAnsi="宋体" w:cs="宋体" w:hint="eastAsia"/>
          <w:b/>
          <w:bCs/>
          <w:szCs w:val="20"/>
          <w:lang w:eastAsia="zh-CN"/>
        </w:rPr>
      </w:pPr>
      <w:r>
        <w:rPr>
          <w:rFonts w:ascii="宋体" w:eastAsia="宋体" w:hAnsi="宋体" w:cs="宋体" w:hint="eastAsia"/>
          <w:b/>
          <w:bCs/>
          <w:szCs w:val="20"/>
          <w:lang w:eastAsia="zh-CN"/>
        </w:rPr>
        <w:t>质量（完成时间、安全、环保）保障措施及方案</w:t>
      </w:r>
    </w:p>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按照招标文件要求提供证明文件。</w:t>
      </w:r>
    </w:p>
    <w:p>
      <w:pPr>
        <w:keepNext/>
        <w:keepLines/>
        <w:widowControl w:val="0"/>
        <w:numPr>
          <w:ilvl w:val="12"/>
          <w:numId w:val="0"/>
        </w:numPr>
        <w:adjustRightInd w:val="0"/>
        <w:snapToGrid w:val="0"/>
        <w:spacing w:line="360" w:lineRule="auto"/>
        <w:ind w:left="0" w:firstLine="0"/>
        <w:jc w:val="center"/>
        <w:textAlignment w:val="baseline"/>
        <w:outlineLvl w:val="4"/>
        <w:rPr>
          <w:rFonts w:ascii="宋体" w:eastAsia="宋体" w:hAnsi="宋体" w:cs="宋体" w:hint="eastAsia"/>
          <w:b/>
          <w:bCs/>
          <w:szCs w:val="20"/>
          <w:lang w:eastAsia="zh-CN"/>
        </w:rPr>
      </w:pPr>
    </w:p>
    <w:p>
      <w:pPr>
        <w:keepNext/>
        <w:keepLines/>
        <w:widowControl w:val="0"/>
        <w:numPr>
          <w:ilvl w:val="0"/>
          <w:numId w:val="4"/>
        </w:numPr>
        <w:tabs>
          <w:tab w:val="left" w:pos="312"/>
        </w:tabs>
        <w:adjustRightInd w:val="0"/>
        <w:snapToGrid w:val="0"/>
        <w:spacing w:line="360" w:lineRule="auto"/>
        <w:jc w:val="center"/>
        <w:textAlignment w:val="baseline"/>
        <w:outlineLvl w:val="4"/>
        <w:rPr>
          <w:rFonts w:ascii="宋体" w:eastAsia="宋体" w:hAnsi="宋体" w:cs="宋体" w:hint="eastAsia"/>
          <w:b/>
          <w:bCs/>
          <w:szCs w:val="20"/>
          <w:lang w:eastAsia="zh-CN"/>
        </w:rPr>
      </w:pPr>
      <w:r>
        <w:rPr>
          <w:rFonts w:ascii="宋体" w:eastAsia="宋体" w:hAnsi="宋体" w:cs="宋体" w:hint="eastAsia"/>
          <w:b/>
          <w:bCs/>
          <w:szCs w:val="20"/>
          <w:lang w:eastAsia="zh-CN"/>
        </w:rPr>
        <w:t>服务承诺</w:t>
      </w:r>
    </w:p>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按照招标文件要求提供证明文件。</w:t>
      </w:r>
    </w:p>
    <w:p>
      <w:pPr>
        <w:keepNext/>
        <w:keepLines/>
        <w:widowControl w:val="0"/>
        <w:numPr>
          <w:ilvl w:val="12"/>
          <w:numId w:val="0"/>
        </w:numPr>
        <w:adjustRightInd w:val="0"/>
        <w:snapToGrid w:val="0"/>
        <w:spacing w:line="360" w:lineRule="auto"/>
        <w:ind w:left="0" w:firstLine="0"/>
        <w:jc w:val="center"/>
        <w:textAlignment w:val="baseline"/>
        <w:outlineLvl w:val="4"/>
        <w:rPr>
          <w:rFonts w:ascii="宋体" w:eastAsia="宋体" w:hAnsi="宋体" w:cs="宋体" w:hint="eastAsia"/>
          <w:b/>
          <w:bCs/>
          <w:szCs w:val="20"/>
          <w:lang w:eastAsia="zh-CN"/>
        </w:rPr>
      </w:pPr>
    </w:p>
    <w:p>
      <w:pPr>
        <w:keepNext/>
        <w:keepLines/>
        <w:widowControl w:val="0"/>
        <w:numPr>
          <w:ilvl w:val="0"/>
          <w:numId w:val="4"/>
        </w:numPr>
        <w:tabs>
          <w:tab w:val="left" w:pos="312"/>
        </w:tabs>
        <w:adjustRightInd w:val="0"/>
        <w:snapToGrid w:val="0"/>
        <w:spacing w:line="360" w:lineRule="auto"/>
        <w:jc w:val="center"/>
        <w:textAlignment w:val="baseline"/>
        <w:outlineLvl w:val="4"/>
        <w:rPr>
          <w:rFonts w:ascii="宋体" w:eastAsia="宋体" w:hAnsi="宋体" w:cs="宋体" w:hint="eastAsia"/>
          <w:b/>
          <w:bCs/>
          <w:szCs w:val="20"/>
          <w:lang w:eastAsia="zh-CN"/>
        </w:rPr>
      </w:pPr>
      <w:r>
        <w:rPr>
          <w:rFonts w:ascii="宋体" w:eastAsia="宋体" w:hAnsi="宋体" w:cs="宋体" w:hint="eastAsia"/>
          <w:b/>
          <w:bCs/>
          <w:szCs w:val="20"/>
          <w:lang w:eastAsia="zh-CN"/>
        </w:rPr>
        <w:t>违约承诺</w:t>
      </w:r>
    </w:p>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按照招标文件要求提供证明文件。</w:t>
      </w:r>
    </w:p>
    <w:p>
      <w:pPr>
        <w:keepNext/>
        <w:keepLines/>
        <w:widowControl w:val="0"/>
        <w:numPr>
          <w:ilvl w:val="12"/>
          <w:numId w:val="0"/>
        </w:numPr>
        <w:adjustRightInd w:val="0"/>
        <w:snapToGrid w:val="0"/>
        <w:spacing w:line="360" w:lineRule="auto"/>
        <w:ind w:left="0" w:firstLine="0"/>
        <w:jc w:val="center"/>
        <w:textAlignment w:val="baseline"/>
        <w:outlineLvl w:val="4"/>
        <w:rPr>
          <w:rFonts w:ascii="宋体" w:eastAsia="宋体" w:hAnsi="宋体" w:cs="宋体" w:hint="eastAsia"/>
          <w:b/>
          <w:bCs/>
          <w:szCs w:val="20"/>
          <w:lang w:eastAsia="zh-CN"/>
        </w:rPr>
      </w:pPr>
    </w:p>
    <w:p>
      <w:pPr>
        <w:keepNext/>
        <w:keepLines/>
        <w:widowControl w:val="0"/>
        <w:numPr>
          <w:ilvl w:val="0"/>
          <w:numId w:val="4"/>
        </w:numPr>
        <w:tabs>
          <w:tab w:val="left" w:pos="312"/>
        </w:tabs>
        <w:adjustRightInd w:val="0"/>
        <w:snapToGrid w:val="0"/>
        <w:spacing w:line="360" w:lineRule="auto"/>
        <w:jc w:val="center"/>
        <w:textAlignment w:val="baseline"/>
        <w:outlineLvl w:val="4"/>
        <w:rPr>
          <w:rFonts w:ascii="宋体" w:eastAsia="宋体" w:hAnsi="宋体" w:cs="宋体" w:hint="eastAsia"/>
          <w:b/>
          <w:bCs/>
          <w:szCs w:val="20"/>
          <w:lang w:eastAsia="zh-CN"/>
        </w:rPr>
      </w:pPr>
      <w:r>
        <w:rPr>
          <w:rFonts w:ascii="宋体" w:eastAsia="宋体" w:hAnsi="宋体" w:cs="宋体" w:hint="eastAsia"/>
          <w:b/>
          <w:bCs/>
          <w:szCs w:val="20"/>
          <w:lang w:eastAsia="zh-CN"/>
        </w:rPr>
        <w:t>投标人认为需要加以说明的其他内容</w:t>
      </w:r>
    </w:p>
    <w:p>
      <w:pPr>
        <w:widowControl w:val="0"/>
        <w:spacing w:after="120" w:line="240" w:lineRule="auto"/>
        <w:ind w:left="480" w:firstLine="480" w:leftChars="200" w:firstLineChars="200"/>
        <w:jc w:val="both"/>
        <w:rPr>
          <w:rFonts w:ascii="宋体" w:eastAsia="宋体" w:hAnsi="宋体" w:cs="宋体" w:hint="eastAsia"/>
          <w:kern w:val="2"/>
          <w:lang w:eastAsia="zh-CN"/>
        </w:rPr>
      </w:pPr>
    </w:p>
    <w:p>
      <w:pPr>
        <w:widowControl w:val="0"/>
        <w:spacing w:after="120" w:line="240" w:lineRule="auto"/>
        <w:ind w:left="480" w:firstLine="480" w:leftChars="200" w:firstLineChars="200"/>
        <w:jc w:val="both"/>
        <w:rPr>
          <w:rFonts w:ascii="宋体" w:eastAsia="宋体" w:hAnsi="宋体" w:cs="宋体" w:hint="eastAsia"/>
          <w:kern w:val="2"/>
          <w:lang w:eastAsia="zh-CN"/>
        </w:rPr>
      </w:pPr>
    </w:p>
    <w:p>
      <w:pPr>
        <w:widowControl w:val="0"/>
        <w:spacing w:after="78" w:afterLines="25" w:line="300" w:lineRule="auto"/>
        <w:jc w:val="center"/>
        <w:rPr>
          <w:rFonts w:ascii="宋体" w:eastAsia="宋体" w:hAnsi="宋体" w:cs="宋体" w:hint="eastAsia"/>
          <w:b/>
          <w:bCs/>
          <w:sz w:val="28"/>
          <w:szCs w:val="28"/>
          <w:lang w:eastAsia="zh-CN"/>
        </w:rPr>
        <w:sectPr>
          <w:pgSz w:w="11906" w:h="16838"/>
          <w:pgMar w:top="1440" w:right="1417" w:bottom="1440" w:left="1417" w:header="851" w:footer="992" w:gutter="0"/>
          <w:pgNumType w:fmt="decimal"/>
          <w:cols w:num="1" w:space="425"/>
          <w:docGrid w:type="lines" w:linePitch="312" w:charSpace="0"/>
        </w:sectPr>
      </w:pPr>
      <w:r>
        <w:rPr>
          <w:rFonts w:ascii="宋体" w:eastAsia="宋体" w:hAnsi="宋体" w:cs="宋体" w:hint="eastAsia"/>
          <w:b/>
          <w:kern w:val="2"/>
          <w:lang w:eastAsia="zh-CN"/>
        </w:rPr>
        <w:t>（本章未提供的招标要求的其他文件格式由投标人自拟）</w:t>
      </w:r>
    </w:p>
    <w:p>
      <w:pPr>
        <w:keepNext/>
        <w:keepLines/>
        <w:widowControl w:val="0"/>
        <w:spacing w:before="260" w:after="260" w:line="240" w:lineRule="auto"/>
        <w:jc w:val="center"/>
        <w:outlineLvl w:val="1"/>
        <w:rPr>
          <w:rFonts w:ascii="宋体" w:eastAsia="宋体" w:hAnsi="宋体" w:cs="宋体" w:hint="eastAsia"/>
          <w:b/>
          <w:bCs/>
          <w:lang w:eastAsia="zh-CN"/>
        </w:rPr>
      </w:pPr>
      <w:r>
        <w:rPr>
          <w:rFonts w:ascii="宋体" w:eastAsia="宋体" w:hAnsi="宋体" w:cs="宋体" w:hint="eastAsia"/>
          <w:b/>
          <w:bCs/>
          <w:lang w:eastAsia="zh-CN"/>
        </w:rPr>
        <w:t>第五章协议条款及格式</w:t>
      </w:r>
    </w:p>
    <w:p>
      <w:pPr>
        <w:pageBreakBefore w:val="0"/>
        <w:widowControl/>
        <w:kinsoku w:val="0"/>
        <w:wordWrap/>
        <w:overflowPunct/>
        <w:autoSpaceDE w:val="0"/>
        <w:autoSpaceDN w:val="0"/>
        <w:bidi w:val="0"/>
        <w:adjustRightInd w:val="0"/>
        <w:snapToGrid w:val="0"/>
        <w:spacing w:line="600" w:lineRule="exact"/>
        <w:ind w:left="0" w:right="0" w:firstLine="1040" w:firstLineChars="200"/>
        <w:jc w:val="both"/>
        <w:textAlignment w:val="baseline"/>
        <w:rPr>
          <w:rFonts w:ascii="Arial" w:eastAsia="等线" w:hAnsi="Arial" w:cs="Arial" w:hint="eastAsia"/>
          <w:snapToGrid w:val="0"/>
          <w:color w:val="000000"/>
          <w:sz w:val="52"/>
          <w:szCs w:val="52"/>
          <w:lang w:eastAsia="zh-CN"/>
        </w:rPr>
      </w:pPr>
      <w:bookmarkStart w:id="26" w:name="_Toc172059120"/>
    </w:p>
    <w:p>
      <w:pPr>
        <w:pageBreakBefore w:val="0"/>
        <w:widowControl/>
        <w:kinsoku w:val="0"/>
        <w:wordWrap/>
        <w:overflowPunct/>
        <w:autoSpaceDE w:val="0"/>
        <w:autoSpaceDN w:val="0"/>
        <w:bidi w:val="0"/>
        <w:adjustRightInd w:val="0"/>
        <w:snapToGrid w:val="0"/>
        <w:spacing w:line="600" w:lineRule="exact"/>
        <w:ind w:left="0" w:right="0" w:firstLine="1040" w:firstLineChars="200"/>
        <w:jc w:val="both"/>
        <w:textAlignment w:val="baseline"/>
        <w:rPr>
          <w:rFonts w:ascii="Arial" w:eastAsia="等线" w:hAnsi="Arial" w:cs="Arial" w:hint="eastAsia"/>
          <w:snapToGrid w:val="0"/>
          <w:color w:val="000000"/>
          <w:sz w:val="52"/>
          <w:szCs w:val="52"/>
          <w:lang w:eastAsia="zh-CN"/>
        </w:rPr>
      </w:pPr>
    </w:p>
    <w:p>
      <w:pPr>
        <w:pageBreakBefore w:val="0"/>
        <w:widowControl/>
        <w:kinsoku w:val="0"/>
        <w:wordWrap/>
        <w:overflowPunct/>
        <w:autoSpaceDE w:val="0"/>
        <w:autoSpaceDN w:val="0"/>
        <w:bidi w:val="0"/>
        <w:adjustRightInd w:val="0"/>
        <w:snapToGrid w:val="0"/>
        <w:spacing w:line="600" w:lineRule="exact"/>
        <w:ind w:left="0" w:right="0" w:firstLine="1040" w:firstLineChars="200"/>
        <w:jc w:val="both"/>
        <w:textAlignment w:val="baseline"/>
        <w:rPr>
          <w:rFonts w:ascii="Arial" w:eastAsia="等线" w:hAnsi="Arial" w:cs="Arial" w:hint="eastAsia"/>
          <w:snapToGrid w:val="0"/>
          <w:color w:val="000000"/>
          <w:sz w:val="52"/>
          <w:szCs w:val="52"/>
          <w:lang w:eastAsia="zh-CN"/>
        </w:rPr>
      </w:pPr>
    </w:p>
    <w:p>
      <w:pPr>
        <w:pageBreakBefore w:val="0"/>
        <w:widowControl/>
        <w:kinsoku w:val="0"/>
        <w:wordWrap/>
        <w:overflowPunct/>
        <w:autoSpaceDE w:val="0"/>
        <w:autoSpaceDN w:val="0"/>
        <w:bidi w:val="0"/>
        <w:adjustRightInd w:val="0"/>
        <w:snapToGrid w:val="0"/>
        <w:spacing w:line="600" w:lineRule="exact"/>
        <w:ind w:right="0"/>
        <w:jc w:val="center"/>
        <w:textAlignment w:val="baseline"/>
        <w:rPr>
          <w:rFonts w:ascii="黑体" w:eastAsia="黑体" w:hAnsi="黑体" w:cs="方正小标宋简体" w:hint="eastAsia"/>
          <w:snapToGrid w:val="0"/>
          <w:color w:val="000000"/>
          <w:spacing w:val="1"/>
          <w:sz w:val="48"/>
          <w:szCs w:val="48"/>
          <w:lang w:eastAsia="zh-CN"/>
        </w:rPr>
      </w:pPr>
      <w:r>
        <w:rPr>
          <w:rFonts w:ascii="黑体" w:eastAsia="黑体" w:hAnsi="黑体" w:cs="方正小标宋简体" w:hint="eastAsia"/>
          <w:snapToGrid w:val="0"/>
          <w:color w:val="000000"/>
          <w:spacing w:val="1"/>
          <w:sz w:val="48"/>
          <w:szCs w:val="48"/>
          <w:lang w:eastAsia="zh-CN"/>
        </w:rPr>
        <w:t>深圳市罗湖区翠竹街道综合文体中心</w:t>
      </w:r>
    </w:p>
    <w:p>
      <w:pPr>
        <w:pageBreakBefore w:val="0"/>
        <w:widowControl/>
        <w:kinsoku w:val="0"/>
        <w:wordWrap/>
        <w:overflowPunct/>
        <w:autoSpaceDE w:val="0"/>
        <w:autoSpaceDN w:val="0"/>
        <w:bidi w:val="0"/>
        <w:adjustRightInd w:val="0"/>
        <w:snapToGrid w:val="0"/>
        <w:spacing w:line="600" w:lineRule="exact"/>
        <w:ind w:right="0"/>
        <w:jc w:val="center"/>
        <w:textAlignment w:val="baseline"/>
        <w:rPr>
          <w:rFonts w:ascii="黑体" w:eastAsia="黑体" w:hAnsi="黑体" w:cs="方正小标宋简体" w:hint="eastAsia"/>
          <w:snapToGrid w:val="0"/>
          <w:color w:val="000000"/>
          <w:spacing w:val="1"/>
          <w:sz w:val="48"/>
          <w:szCs w:val="48"/>
          <w:lang w:eastAsia="zh-CN"/>
        </w:rPr>
      </w:pPr>
      <w:r>
        <w:rPr>
          <w:rFonts w:ascii="黑体" w:eastAsia="黑体" w:hAnsi="黑体" w:cs="方正小标宋简体" w:hint="eastAsia"/>
          <w:snapToGrid w:val="0"/>
          <w:color w:val="000000"/>
          <w:spacing w:val="1"/>
          <w:sz w:val="48"/>
          <w:szCs w:val="48"/>
          <w:lang w:eastAsia="zh-CN"/>
        </w:rPr>
        <w:t>项目</w:t>
      </w:r>
      <w:bookmarkEnd w:id="26"/>
      <w:bookmarkStart w:id="27" w:name="_Toc172059121"/>
      <w:r>
        <w:rPr>
          <w:rFonts w:ascii="黑体" w:eastAsia="黑体" w:hAnsi="黑体" w:cs="方正小标宋简体" w:hint="eastAsia"/>
          <w:snapToGrid w:val="0"/>
          <w:color w:val="000000"/>
          <w:spacing w:val="1"/>
          <w:sz w:val="48"/>
          <w:szCs w:val="48"/>
          <w:lang w:eastAsia="zh-CN"/>
        </w:rPr>
        <w:t>委托运营合同</w:t>
      </w:r>
      <w:bookmarkEnd w:id="27"/>
    </w:p>
    <w:p>
      <w:pPr>
        <w:pageBreakBefore w:val="0"/>
        <w:widowControl/>
        <w:kinsoku w:val="0"/>
        <w:wordWrap/>
        <w:overflowPunct/>
        <w:autoSpaceDE w:val="0"/>
        <w:autoSpaceDN w:val="0"/>
        <w:bidi w:val="0"/>
        <w:adjustRightInd w:val="0"/>
        <w:snapToGrid w:val="0"/>
        <w:spacing w:line="600" w:lineRule="exact"/>
        <w:ind w:right="0"/>
        <w:jc w:val="center"/>
        <w:textAlignment w:val="baseline"/>
        <w:rPr>
          <w:rFonts w:ascii="黑体" w:eastAsia="黑体" w:hAnsi="黑体" w:cs="方正小标宋简体" w:hint="eastAsia"/>
          <w:snapToGrid w:val="0"/>
          <w:color w:val="000000"/>
          <w:spacing w:val="1"/>
          <w:sz w:val="48"/>
          <w:szCs w:val="48"/>
          <w:lang w:eastAsia="zh-CN"/>
        </w:rPr>
      </w:pPr>
      <w:r>
        <w:rPr>
          <w:rFonts w:ascii="黑体" w:eastAsia="黑体" w:hAnsi="黑体" w:cs="方正小标宋简体" w:hint="eastAsia"/>
          <w:snapToGrid w:val="0"/>
          <w:color w:val="000000"/>
          <w:spacing w:val="1"/>
          <w:sz w:val="48"/>
          <w:szCs w:val="48"/>
          <w:lang w:eastAsia="zh-CN"/>
        </w:rPr>
        <w:t>（草案）</w:t>
      </w:r>
    </w:p>
    <w:p>
      <w:pPr>
        <w:pageBreakBefore w:val="0"/>
        <w:widowControl/>
        <w:kinsoku w:val="0"/>
        <w:wordWrap/>
        <w:overflowPunct/>
        <w:autoSpaceDE w:val="0"/>
        <w:autoSpaceDN w:val="0"/>
        <w:bidi w:val="0"/>
        <w:adjustRightInd w:val="0"/>
        <w:snapToGrid w:val="0"/>
        <w:spacing w:line="600" w:lineRule="exact"/>
        <w:ind w:left="0" w:right="0" w:firstLine="960" w:firstLineChars="200"/>
        <w:jc w:val="both"/>
        <w:textAlignment w:val="baseline"/>
        <w:rPr>
          <w:rFonts w:ascii="黑体" w:eastAsia="黑体" w:hAnsi="黑体" w:cs="方正小标宋简体" w:hint="eastAsia"/>
          <w:snapToGrid w:val="0"/>
          <w:color w:val="000000"/>
          <w:spacing w:val="1"/>
          <w:sz w:val="48"/>
          <w:szCs w:val="48"/>
          <w:lang w:eastAsia="zh-CN"/>
        </w:rPr>
      </w:pPr>
    </w:p>
    <w:p>
      <w:pPr>
        <w:pageBreakBefore w:val="0"/>
        <w:widowControl/>
        <w:kinsoku w:val="0"/>
        <w:wordWrap/>
        <w:overflowPunct/>
        <w:autoSpaceDE w:val="0"/>
        <w:autoSpaceDN w:val="0"/>
        <w:bidi w:val="0"/>
        <w:adjustRightInd w:val="0"/>
        <w:snapToGrid w:val="0"/>
        <w:spacing w:line="600" w:lineRule="exact"/>
        <w:ind w:left="0" w:right="0" w:firstLine="1040" w:firstLineChars="200"/>
        <w:jc w:val="both"/>
        <w:textAlignment w:val="baseline"/>
        <w:rPr>
          <w:rFonts w:ascii="Arial" w:eastAsia="等线" w:hAnsi="Arial" w:cs="Arial"/>
          <w:snapToGrid w:val="0"/>
          <w:color w:val="000000"/>
          <w:sz w:val="52"/>
          <w:szCs w:val="52"/>
          <w:lang w:eastAsia="zh-CN"/>
        </w:rPr>
      </w:pPr>
    </w:p>
    <w:p>
      <w:pPr>
        <w:pageBreakBefore w:val="0"/>
        <w:widowControl/>
        <w:kinsoku w:val="0"/>
        <w:wordWrap/>
        <w:overflowPunct/>
        <w:autoSpaceDE w:val="0"/>
        <w:autoSpaceDN w:val="0"/>
        <w:bidi w:val="0"/>
        <w:adjustRightInd w:val="0"/>
        <w:snapToGrid w:val="0"/>
        <w:spacing w:line="600" w:lineRule="exact"/>
        <w:ind w:left="0" w:right="0" w:firstLine="1040" w:firstLineChars="200"/>
        <w:jc w:val="both"/>
        <w:textAlignment w:val="baseline"/>
        <w:rPr>
          <w:rFonts w:ascii="Arial" w:eastAsia="等线" w:hAnsi="Arial" w:cs="Arial"/>
          <w:snapToGrid w:val="0"/>
          <w:color w:val="000000"/>
          <w:sz w:val="52"/>
          <w:szCs w:val="52"/>
          <w:lang w:eastAsia="zh-CN"/>
        </w:rPr>
      </w:pPr>
    </w:p>
    <w:p>
      <w:pPr>
        <w:pageBreakBefore w:val="0"/>
        <w:widowControl/>
        <w:kinsoku w:val="0"/>
        <w:wordWrap/>
        <w:overflowPunct/>
        <w:autoSpaceDE w:val="0"/>
        <w:autoSpaceDN w:val="0"/>
        <w:bidi w:val="0"/>
        <w:adjustRightInd w:val="0"/>
        <w:snapToGrid w:val="0"/>
        <w:spacing w:line="600" w:lineRule="exact"/>
        <w:ind w:left="0" w:right="0" w:firstLine="1040" w:firstLineChars="200"/>
        <w:jc w:val="both"/>
        <w:textAlignment w:val="baseline"/>
        <w:rPr>
          <w:rFonts w:ascii="Arial" w:eastAsia="等线" w:hAnsi="Arial" w:cs="Arial"/>
          <w:snapToGrid w:val="0"/>
          <w:color w:val="000000"/>
          <w:sz w:val="52"/>
          <w:szCs w:val="52"/>
          <w:lang w:eastAsia="zh-CN"/>
        </w:rPr>
      </w:pPr>
    </w:p>
    <w:p>
      <w:pPr>
        <w:pageBreakBefore w:val="0"/>
        <w:widowControl/>
        <w:kinsoku w:val="0"/>
        <w:wordWrap/>
        <w:overflowPunct/>
        <w:autoSpaceDE w:val="0"/>
        <w:autoSpaceDN w:val="0"/>
        <w:bidi w:val="0"/>
        <w:adjustRightInd w:val="0"/>
        <w:snapToGrid w:val="0"/>
        <w:spacing w:line="600" w:lineRule="exact"/>
        <w:ind w:left="0" w:right="0" w:firstLine="1040" w:firstLineChars="200"/>
        <w:jc w:val="both"/>
        <w:textAlignment w:val="baseline"/>
        <w:rPr>
          <w:rFonts w:ascii="Arial" w:eastAsia="等线" w:hAnsi="Arial" w:cs="Arial"/>
          <w:snapToGrid w:val="0"/>
          <w:color w:val="000000"/>
          <w:sz w:val="52"/>
          <w:szCs w:val="52"/>
          <w:lang w:eastAsia="zh-CN"/>
        </w:rPr>
      </w:pPr>
    </w:p>
    <w:p>
      <w:pPr>
        <w:pageBreakBefore w:val="0"/>
        <w:widowControl/>
        <w:kinsoku w:val="0"/>
        <w:wordWrap/>
        <w:overflowPunct/>
        <w:autoSpaceDE w:val="0"/>
        <w:autoSpaceDN w:val="0"/>
        <w:bidi w:val="0"/>
        <w:adjustRightInd w:val="0"/>
        <w:snapToGrid w:val="0"/>
        <w:spacing w:line="600" w:lineRule="exact"/>
        <w:ind w:left="0" w:right="0" w:firstLine="1040" w:firstLineChars="200"/>
        <w:jc w:val="both"/>
        <w:textAlignment w:val="baseline"/>
        <w:rPr>
          <w:rFonts w:ascii="Arial" w:eastAsia="等线" w:hAnsi="Arial" w:cs="Arial"/>
          <w:snapToGrid w:val="0"/>
          <w:color w:val="000000"/>
          <w:sz w:val="52"/>
          <w:szCs w:val="52"/>
          <w:lang w:eastAsia="zh-CN"/>
        </w:rPr>
      </w:pPr>
    </w:p>
    <w:p>
      <w:pPr>
        <w:pageBreakBefore w:val="0"/>
        <w:widowControl/>
        <w:kinsoku w:val="0"/>
        <w:wordWrap/>
        <w:overflowPunct/>
        <w:autoSpaceDE w:val="0"/>
        <w:autoSpaceDN w:val="0"/>
        <w:bidi w:val="0"/>
        <w:adjustRightInd w:val="0"/>
        <w:snapToGrid w:val="0"/>
        <w:spacing w:line="600" w:lineRule="exact"/>
        <w:ind w:left="0" w:right="0" w:firstLine="1040" w:firstLineChars="200"/>
        <w:jc w:val="both"/>
        <w:textAlignment w:val="baseline"/>
        <w:rPr>
          <w:rFonts w:ascii="Arial" w:eastAsia="等线" w:hAnsi="Arial" w:cs="Arial"/>
          <w:snapToGrid w:val="0"/>
          <w:color w:val="000000"/>
          <w:sz w:val="52"/>
          <w:szCs w:val="52"/>
          <w:lang w:eastAsia="zh-CN"/>
        </w:rPr>
      </w:pPr>
    </w:p>
    <w:p>
      <w:pPr>
        <w:pageBreakBefore w:val="0"/>
        <w:widowControl/>
        <w:kinsoku w:val="0"/>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snapToGrid w:val="0"/>
          <w:color w:val="000000"/>
          <w:sz w:val="32"/>
          <w:szCs w:val="32"/>
          <w:lang w:eastAsia="zh-CN"/>
        </w:rPr>
      </w:pPr>
      <w:r>
        <w:rPr>
          <w:rFonts w:ascii="仿宋_GB2312" w:eastAsia="仿宋_GB2312" w:hAnsi="仿宋_GB2312" w:cs="仿宋_GB2312" w:hint="eastAsia"/>
          <w:snapToGrid w:val="0"/>
          <w:color w:val="000000"/>
          <w:sz w:val="32"/>
          <w:szCs w:val="32"/>
          <w:lang w:eastAsia="zh-CN"/>
        </w:rPr>
        <w:t xml:space="preserve"> </w:t>
      </w:r>
    </w:p>
    <w:p>
      <w:pPr>
        <w:pageBreakBefore w:val="0"/>
        <w:widowControl/>
        <w:kinsoku w:val="0"/>
        <w:wordWrap/>
        <w:overflowPunct/>
        <w:autoSpaceDE w:val="0"/>
        <w:autoSpaceDN w:val="0"/>
        <w:bidi w:val="0"/>
        <w:adjustRightInd w:val="0"/>
        <w:snapToGrid w:val="0"/>
        <w:spacing w:line="600" w:lineRule="exact"/>
        <w:ind w:right="0"/>
        <w:jc w:val="center"/>
        <w:textAlignment w:val="baseline"/>
        <w:rPr>
          <w:rFonts w:ascii="Calibri" w:eastAsia="宋体" w:hAnsi="Calibri"/>
          <w:kern w:val="2"/>
          <w:sz w:val="21"/>
          <w:szCs w:val="22"/>
          <w:lang w:eastAsia="zh-CN"/>
        </w:rPr>
        <w:sectPr>
          <w:headerReference w:type="even" r:id="rId9"/>
          <w:headerReference w:type="default" r:id="rId10"/>
          <w:footerReference w:type="default" r:id="rId11"/>
          <w:headerReference w:type="first" r:id="rId12"/>
          <w:pgSz w:w="11905" w:h="16839"/>
          <w:pgMar w:top="1431" w:right="1785" w:bottom="1378" w:left="1785" w:header="680" w:footer="1214" w:gutter="0"/>
          <w:pgNumType w:fmt="decimal"/>
          <w:cols w:num="1" w:space="720"/>
          <w:titlePg/>
          <w:docGrid w:linePitch="286" w:charSpace="0"/>
        </w:sectPr>
      </w:pPr>
      <w:r>
        <w:rPr>
          <w:rFonts w:ascii="仿宋_GB2312" w:eastAsia="仿宋_GB2312" w:hAnsi="仿宋_GB2312" w:cs="仿宋_GB2312" w:hint="eastAsia"/>
          <w:snapToGrid w:val="0"/>
          <w:color w:val="000000"/>
          <w:sz w:val="32"/>
          <w:szCs w:val="32"/>
          <w:lang w:eastAsia="zh-CN"/>
        </w:rPr>
        <w:t>二零二五年八月</w:t>
      </w:r>
      <w:bookmarkStart w:id="28" w:name="_GoBack"/>
      <w:bookmarkEnd w:id="28"/>
    </w:p>
    <w:p>
      <w:pPr>
        <w:pageBreakBefore w:val="0"/>
        <w:widowControl/>
        <w:kinsoku w:val="0"/>
        <w:wordWrap/>
        <w:overflowPunct/>
        <w:autoSpaceDE w:val="0"/>
        <w:autoSpaceDN w:val="0"/>
        <w:bidi w:val="0"/>
        <w:adjustRightInd w:val="0"/>
        <w:snapToGrid w:val="0"/>
        <w:spacing w:line="600" w:lineRule="exact"/>
        <w:ind w:left="0" w:right="0" w:firstLine="640" w:firstLineChars="200"/>
        <w:jc w:val="both"/>
        <w:textAlignment w:val="baseline"/>
        <w:rPr>
          <w:rFonts w:ascii="宋体" w:eastAsia="宋体" w:hAnsi="宋体" w:cs="仿宋"/>
          <w:snapToGrid w:val="0"/>
          <w:color w:val="000000"/>
          <w:spacing w:val="-4"/>
          <w:sz w:val="32"/>
          <w:szCs w:val="32"/>
          <w:lang w:eastAsia="zh-CN"/>
        </w:rPr>
      </w:pPr>
    </w:p>
    <w:p>
      <w:pPr>
        <w:pageBreakBefore w:val="0"/>
        <w:widowControl/>
        <w:kinsoku w:val="0"/>
        <w:wordWrap/>
        <w:overflowPunct/>
        <w:autoSpaceDE w:val="0"/>
        <w:autoSpaceDN w:val="0"/>
        <w:bidi w:val="0"/>
        <w:adjustRightInd w:val="0"/>
        <w:snapToGrid w:val="0"/>
        <w:spacing w:line="600" w:lineRule="exact"/>
        <w:ind w:left="0" w:right="0" w:firstLine="640" w:firstLineChars="200"/>
        <w:jc w:val="both"/>
        <w:textAlignment w:val="baseline"/>
        <w:rPr>
          <w:rFonts w:ascii="宋体" w:eastAsia="宋体" w:hAnsi="宋体" w:cs="仿宋"/>
          <w:snapToGrid w:val="0"/>
          <w:color w:val="000000"/>
          <w:spacing w:val="-4"/>
          <w:sz w:val="32"/>
          <w:szCs w:val="32"/>
          <w:lang w:eastAsia="zh-CN"/>
        </w:rPr>
      </w:pPr>
      <w:r>
        <w:rPr>
          <w:rFonts w:ascii="宋体" w:eastAsia="宋体" w:hAnsi="宋体" w:cs="仿宋"/>
          <w:snapToGrid w:val="0"/>
          <w:color w:val="000000"/>
          <w:spacing w:val="-4"/>
          <w:sz w:val="32"/>
          <w:szCs w:val="32"/>
          <w:lang w:eastAsia="zh-CN"/>
        </w:rPr>
        <w:t>甲方：</w:t>
      </w:r>
    </w:p>
    <w:p>
      <w:pPr>
        <w:pageBreakBefore w:val="0"/>
        <w:widowControl/>
        <w:kinsoku w:val="0"/>
        <w:wordWrap/>
        <w:overflowPunct/>
        <w:autoSpaceDE w:val="0"/>
        <w:autoSpaceDN w:val="0"/>
        <w:bidi w:val="0"/>
        <w:adjustRightInd w:val="0"/>
        <w:snapToGrid w:val="0"/>
        <w:spacing w:line="600" w:lineRule="exact"/>
        <w:ind w:left="0" w:right="0" w:firstLine="640" w:firstLineChars="200"/>
        <w:jc w:val="both"/>
        <w:textAlignment w:val="baseline"/>
        <w:rPr>
          <w:rFonts w:ascii="宋体" w:eastAsia="宋体" w:hAnsi="宋体" w:cs="仿宋"/>
          <w:snapToGrid w:val="0"/>
          <w:color w:val="000000"/>
          <w:sz w:val="32"/>
          <w:szCs w:val="32"/>
          <w:lang w:eastAsia="zh-CN"/>
        </w:rPr>
      </w:pPr>
      <w:r>
        <w:rPr>
          <w:rFonts w:ascii="宋体" w:eastAsia="宋体" w:hAnsi="宋体" w:cs="仿宋"/>
          <w:snapToGrid w:val="0"/>
          <w:color w:val="000000"/>
          <w:spacing w:val="-11"/>
          <w:sz w:val="32"/>
          <w:szCs w:val="32"/>
          <w:lang w:eastAsia="zh-CN"/>
        </w:rPr>
        <w:t>法定代表人：</w:t>
      </w:r>
    </w:p>
    <w:p>
      <w:pPr>
        <w:pageBreakBefore w:val="0"/>
        <w:widowControl w:val="0"/>
        <w:kinsoku w:val="0"/>
        <w:wordWrap/>
        <w:overflowPunct/>
        <w:autoSpaceDE w:val="0"/>
        <w:autoSpaceDN w:val="0"/>
        <w:bidi w:val="0"/>
        <w:adjustRightInd w:val="0"/>
        <w:snapToGrid w:val="0"/>
        <w:spacing w:line="600" w:lineRule="exact"/>
        <w:ind w:left="0" w:right="0" w:firstLine="640" w:firstLineChars="200"/>
        <w:jc w:val="both"/>
        <w:textAlignment w:val="baseline"/>
        <w:rPr>
          <w:rFonts w:ascii="宋体" w:eastAsia="宋体" w:hAnsi="宋体" w:cs="仿宋"/>
          <w:snapToGrid w:val="0"/>
          <w:color w:val="000000"/>
          <w:spacing w:val="-20"/>
          <w:kern w:val="2"/>
          <w:sz w:val="32"/>
          <w:szCs w:val="32"/>
        </w:rPr>
      </w:pPr>
      <w:r>
        <w:rPr>
          <w:rFonts w:ascii="宋体" w:eastAsia="宋体" w:hAnsi="宋体" w:cs="仿宋" w:hint="eastAsia"/>
          <w:snapToGrid w:val="0"/>
          <w:color w:val="000000"/>
          <w:spacing w:val="-20"/>
          <w:kern w:val="2"/>
          <w:sz w:val="32"/>
          <w:szCs w:val="32"/>
          <w:lang w:eastAsia="zh-CN"/>
        </w:rPr>
        <w:t>地址</w:t>
      </w:r>
      <w:r>
        <w:rPr>
          <w:rFonts w:ascii="宋体" w:eastAsia="宋体" w:hAnsi="宋体" w:cs="仿宋"/>
          <w:snapToGrid w:val="0"/>
          <w:color w:val="000000"/>
          <w:spacing w:val="-20"/>
          <w:kern w:val="2"/>
          <w:sz w:val="32"/>
          <w:szCs w:val="32"/>
        </w:rPr>
        <w:t>：</w:t>
      </w:r>
    </w:p>
    <w:p>
      <w:pPr>
        <w:pageBreakBefore w:val="0"/>
        <w:widowControl w:val="0"/>
        <w:kinsoku w:val="0"/>
        <w:wordWrap/>
        <w:overflowPunct/>
        <w:autoSpaceDE w:val="0"/>
        <w:autoSpaceDN w:val="0"/>
        <w:bidi w:val="0"/>
        <w:adjustRightInd w:val="0"/>
        <w:snapToGrid w:val="0"/>
        <w:spacing w:line="600" w:lineRule="exact"/>
        <w:ind w:left="0" w:right="0" w:firstLine="640" w:firstLineChars="200"/>
        <w:jc w:val="both"/>
        <w:textAlignment w:val="baseline"/>
        <w:rPr>
          <w:rFonts w:ascii="宋体" w:eastAsia="宋体" w:hAnsi="宋体" w:cs="仿宋" w:hint="eastAsia"/>
          <w:snapToGrid w:val="0"/>
          <w:color w:val="000000"/>
          <w:spacing w:val="-20"/>
          <w:kern w:val="2"/>
          <w:sz w:val="32"/>
          <w:szCs w:val="32"/>
          <w:lang w:eastAsia="zh-CN"/>
        </w:rPr>
      </w:pPr>
    </w:p>
    <w:p>
      <w:pPr>
        <w:pageBreakBefore w:val="0"/>
        <w:widowControl w:val="0"/>
        <w:kinsoku w:val="0"/>
        <w:wordWrap/>
        <w:overflowPunct/>
        <w:autoSpaceDE w:val="0"/>
        <w:autoSpaceDN w:val="0"/>
        <w:bidi w:val="0"/>
        <w:adjustRightInd w:val="0"/>
        <w:snapToGrid w:val="0"/>
        <w:spacing w:line="600" w:lineRule="exact"/>
        <w:ind w:left="0" w:right="0" w:firstLine="420" w:firstLineChars="200"/>
        <w:jc w:val="both"/>
        <w:textAlignment w:val="baseline"/>
        <w:rPr>
          <w:rFonts w:ascii="宋体" w:eastAsia="宋体" w:hAnsi="宋体" w:cs="Arial" w:hint="eastAsia"/>
          <w:snapToGrid w:val="0"/>
          <w:color w:val="000000"/>
          <w:kern w:val="2"/>
          <w:sz w:val="21"/>
          <w:szCs w:val="21"/>
          <w:lang w:eastAsia="zh-CN"/>
        </w:rPr>
      </w:pPr>
    </w:p>
    <w:p>
      <w:pPr>
        <w:pageBreakBefore w:val="0"/>
        <w:widowControl w:val="0"/>
        <w:kinsoku w:val="0"/>
        <w:wordWrap/>
        <w:overflowPunct/>
        <w:autoSpaceDE w:val="0"/>
        <w:autoSpaceDN w:val="0"/>
        <w:bidi w:val="0"/>
        <w:adjustRightInd w:val="0"/>
        <w:snapToGrid w:val="0"/>
        <w:spacing w:line="600" w:lineRule="exact"/>
        <w:ind w:left="0" w:right="0" w:firstLine="420" w:firstLineChars="200"/>
        <w:jc w:val="both"/>
        <w:textAlignment w:val="baseline"/>
        <w:rPr>
          <w:rFonts w:ascii="宋体" w:eastAsia="宋体" w:hAnsi="宋体" w:cs="Arial" w:hint="eastAsia"/>
          <w:snapToGrid w:val="0"/>
          <w:color w:val="000000"/>
          <w:kern w:val="2"/>
          <w:sz w:val="21"/>
          <w:szCs w:val="21"/>
          <w:lang w:eastAsia="zh-CN"/>
        </w:rPr>
      </w:pPr>
    </w:p>
    <w:p>
      <w:pPr>
        <w:pageBreakBefore w:val="0"/>
        <w:widowControl w:val="0"/>
        <w:kinsoku w:val="0"/>
        <w:wordWrap/>
        <w:overflowPunct/>
        <w:autoSpaceDE w:val="0"/>
        <w:autoSpaceDN w:val="0"/>
        <w:bidi w:val="0"/>
        <w:adjustRightInd w:val="0"/>
        <w:snapToGrid w:val="0"/>
        <w:spacing w:line="600" w:lineRule="exact"/>
        <w:ind w:left="0" w:right="0" w:firstLine="420" w:firstLineChars="200"/>
        <w:jc w:val="both"/>
        <w:textAlignment w:val="baseline"/>
        <w:rPr>
          <w:rFonts w:ascii="宋体" w:eastAsia="宋体" w:hAnsi="宋体" w:cs="Arial" w:hint="eastAsia"/>
          <w:snapToGrid w:val="0"/>
          <w:color w:val="000000"/>
          <w:kern w:val="2"/>
          <w:sz w:val="21"/>
          <w:szCs w:val="21"/>
          <w:lang w:eastAsia="zh-CN"/>
        </w:rPr>
      </w:pPr>
    </w:p>
    <w:p>
      <w:pPr>
        <w:pageBreakBefore w:val="0"/>
        <w:widowControl/>
        <w:kinsoku w:val="0"/>
        <w:wordWrap/>
        <w:overflowPunct/>
        <w:autoSpaceDE w:val="0"/>
        <w:autoSpaceDN w:val="0"/>
        <w:bidi w:val="0"/>
        <w:adjustRightInd w:val="0"/>
        <w:snapToGrid w:val="0"/>
        <w:spacing w:line="600" w:lineRule="exact"/>
        <w:ind w:left="0" w:right="0" w:firstLine="640" w:firstLineChars="200"/>
        <w:jc w:val="both"/>
        <w:textAlignment w:val="baseline"/>
        <w:rPr>
          <w:rFonts w:ascii="宋体" w:eastAsia="宋体" w:hAnsi="宋体" w:cs="仿宋" w:hint="eastAsia"/>
          <w:snapToGrid w:val="0"/>
          <w:color w:val="000000"/>
          <w:spacing w:val="-11"/>
          <w:sz w:val="32"/>
          <w:szCs w:val="32"/>
          <w:lang w:eastAsia="zh-CN"/>
        </w:rPr>
      </w:pPr>
      <w:r>
        <w:rPr>
          <w:rFonts w:ascii="宋体" w:eastAsia="宋体" w:hAnsi="宋体" w:cs="仿宋" w:hint="eastAsia"/>
          <w:snapToGrid w:val="0"/>
          <w:color w:val="000000"/>
          <w:spacing w:val="-11"/>
          <w:sz w:val="32"/>
          <w:szCs w:val="32"/>
          <w:lang w:eastAsia="zh-CN"/>
        </w:rPr>
        <w:t xml:space="preserve">乙方： </w:t>
      </w:r>
    </w:p>
    <w:p>
      <w:pPr>
        <w:pageBreakBefore w:val="0"/>
        <w:widowControl/>
        <w:kinsoku w:val="0"/>
        <w:wordWrap/>
        <w:overflowPunct/>
        <w:autoSpaceDE w:val="0"/>
        <w:autoSpaceDN w:val="0"/>
        <w:bidi w:val="0"/>
        <w:adjustRightInd w:val="0"/>
        <w:snapToGrid w:val="0"/>
        <w:spacing w:line="600" w:lineRule="exact"/>
        <w:ind w:left="0" w:right="0" w:firstLine="640" w:firstLineChars="200"/>
        <w:jc w:val="both"/>
        <w:textAlignment w:val="baseline"/>
        <w:rPr>
          <w:rFonts w:ascii="宋体" w:eastAsia="宋体" w:hAnsi="宋体" w:cs="仿宋" w:hint="eastAsia"/>
          <w:snapToGrid w:val="0"/>
          <w:color w:val="000000"/>
          <w:spacing w:val="-11"/>
          <w:sz w:val="32"/>
          <w:szCs w:val="32"/>
          <w:lang w:eastAsia="zh-CN"/>
        </w:rPr>
      </w:pPr>
      <w:r>
        <w:rPr>
          <w:rFonts w:ascii="宋体" w:eastAsia="宋体" w:hAnsi="宋体" w:cs="仿宋" w:hint="eastAsia"/>
          <w:snapToGrid w:val="0"/>
          <w:color w:val="000000"/>
          <w:spacing w:val="-11"/>
          <w:sz w:val="32"/>
          <w:szCs w:val="32"/>
          <w:lang w:eastAsia="zh-CN"/>
        </w:rPr>
        <w:t xml:space="preserve">法定代表人：        </w:t>
      </w:r>
    </w:p>
    <w:p>
      <w:pPr>
        <w:pageBreakBefore w:val="0"/>
        <w:widowControl w:val="0"/>
        <w:kinsoku w:val="0"/>
        <w:wordWrap/>
        <w:overflowPunct/>
        <w:autoSpaceDE w:val="0"/>
        <w:autoSpaceDN w:val="0"/>
        <w:bidi w:val="0"/>
        <w:adjustRightInd w:val="0"/>
        <w:snapToGrid w:val="0"/>
        <w:spacing w:line="600" w:lineRule="exact"/>
        <w:ind w:left="0" w:right="0" w:firstLine="640" w:firstLineChars="200"/>
        <w:jc w:val="both"/>
        <w:textAlignment w:val="baseline"/>
        <w:rPr>
          <w:rFonts w:ascii="宋体" w:eastAsia="宋体" w:hAnsi="宋体" w:cs="仿宋" w:hint="eastAsia"/>
          <w:snapToGrid w:val="0"/>
          <w:color w:val="000000"/>
          <w:spacing w:val="-11"/>
          <w:kern w:val="2"/>
          <w:sz w:val="32"/>
          <w:szCs w:val="32"/>
          <w:lang w:eastAsia="zh-CN"/>
        </w:rPr>
      </w:pPr>
      <w:r>
        <w:rPr>
          <w:rFonts w:ascii="宋体" w:eastAsia="宋体" w:hAnsi="宋体" w:cs="仿宋" w:hint="eastAsia"/>
          <w:snapToGrid w:val="0"/>
          <w:color w:val="000000"/>
          <w:spacing w:val="-11"/>
          <w:kern w:val="2"/>
          <w:sz w:val="32"/>
          <w:szCs w:val="32"/>
          <w:lang w:eastAsia="zh-CN"/>
        </w:rPr>
        <w:t>地址：</w:t>
      </w:r>
    </w:p>
    <w:p>
      <w:pPr>
        <w:pageBreakBefore w:val="0"/>
        <w:widowControl w:val="0"/>
        <w:kinsoku w:val="0"/>
        <w:wordWrap/>
        <w:overflowPunct/>
        <w:autoSpaceDE w:val="0"/>
        <w:autoSpaceDN w:val="0"/>
        <w:bidi w:val="0"/>
        <w:adjustRightInd w:val="0"/>
        <w:snapToGrid w:val="0"/>
        <w:spacing w:line="600" w:lineRule="exact"/>
        <w:ind w:left="0" w:right="0" w:firstLine="640" w:firstLineChars="200"/>
        <w:jc w:val="both"/>
        <w:textAlignment w:val="baseline"/>
        <w:rPr>
          <w:rFonts w:ascii="宋体" w:eastAsia="宋体" w:hAnsi="宋体" w:cs="仿宋" w:hint="eastAsia"/>
          <w:snapToGrid w:val="0"/>
          <w:color w:val="000000"/>
          <w:spacing w:val="-11"/>
          <w:kern w:val="2"/>
          <w:sz w:val="32"/>
          <w:szCs w:val="32"/>
          <w:lang w:eastAsia="zh-CN"/>
        </w:rPr>
      </w:pPr>
    </w:p>
    <w:p>
      <w:pPr>
        <w:pageBreakBefore w:val="0"/>
        <w:widowControl w:val="0"/>
        <w:kinsoku w:val="0"/>
        <w:wordWrap/>
        <w:overflowPunct/>
        <w:autoSpaceDE w:val="0"/>
        <w:autoSpaceDN w:val="0"/>
        <w:bidi w:val="0"/>
        <w:adjustRightInd w:val="0"/>
        <w:snapToGrid w:val="0"/>
        <w:spacing w:line="600" w:lineRule="exact"/>
        <w:ind w:left="0" w:right="0" w:firstLine="420" w:firstLineChars="200"/>
        <w:jc w:val="both"/>
        <w:textAlignment w:val="baseline"/>
        <w:rPr>
          <w:rFonts w:ascii="宋体" w:eastAsia="宋体" w:hAnsi="宋体" w:cs="Arial"/>
          <w:snapToGrid w:val="0"/>
          <w:color w:val="000000"/>
          <w:kern w:val="2"/>
          <w:sz w:val="21"/>
          <w:szCs w:val="21"/>
          <w:lang w:eastAsia="zh-CN"/>
        </w:rPr>
      </w:pPr>
    </w:p>
    <w:p>
      <w:pPr>
        <w:pageBreakBefore w:val="0"/>
        <w:widowControl w:val="0"/>
        <w:kinsoku w:val="0"/>
        <w:wordWrap/>
        <w:overflowPunct/>
        <w:autoSpaceDE w:val="0"/>
        <w:autoSpaceDN w:val="0"/>
        <w:bidi w:val="0"/>
        <w:adjustRightInd w:val="0"/>
        <w:snapToGrid w:val="0"/>
        <w:spacing w:line="600" w:lineRule="exact"/>
        <w:ind w:left="0" w:right="0" w:firstLine="420" w:firstLineChars="200"/>
        <w:jc w:val="both"/>
        <w:textAlignment w:val="baseline"/>
        <w:rPr>
          <w:rFonts w:ascii="宋体" w:eastAsia="宋体" w:hAnsi="宋体" w:cs="Arial"/>
          <w:snapToGrid w:val="0"/>
          <w:color w:val="000000"/>
          <w:kern w:val="2"/>
          <w:sz w:val="21"/>
          <w:szCs w:val="21"/>
          <w:lang w:eastAsia="zh-CN"/>
        </w:rPr>
      </w:pPr>
    </w:p>
    <w:p>
      <w:pPr>
        <w:pageBreakBefore w:val="0"/>
        <w:widowControl w:val="0"/>
        <w:kinsoku w:val="0"/>
        <w:wordWrap/>
        <w:overflowPunct/>
        <w:autoSpaceDE w:val="0"/>
        <w:autoSpaceDN w:val="0"/>
        <w:bidi w:val="0"/>
        <w:adjustRightInd w:val="0"/>
        <w:snapToGrid w:val="0"/>
        <w:spacing w:line="600" w:lineRule="exact"/>
        <w:ind w:left="0" w:right="0" w:firstLine="420" w:firstLineChars="200"/>
        <w:jc w:val="both"/>
        <w:textAlignment w:val="baseline"/>
        <w:rPr>
          <w:rFonts w:ascii="宋体" w:eastAsia="宋体" w:hAnsi="宋体" w:cs="Arial"/>
          <w:snapToGrid w:val="0"/>
          <w:color w:val="000000"/>
          <w:kern w:val="2"/>
          <w:sz w:val="21"/>
          <w:szCs w:val="21"/>
          <w:lang w:eastAsia="zh-CN"/>
        </w:rPr>
      </w:pPr>
    </w:p>
    <w:p>
      <w:pPr>
        <w:pageBreakBefore w:val="0"/>
        <w:widowControl/>
        <w:kinsoku w:val="0"/>
        <w:wordWrap/>
        <w:overflowPunct/>
        <w:autoSpaceDE w:val="0"/>
        <w:autoSpaceDN w:val="0"/>
        <w:bidi w:val="0"/>
        <w:adjustRightInd w:val="0"/>
        <w:snapToGrid w:val="0"/>
        <w:spacing w:line="600" w:lineRule="exact"/>
        <w:ind w:left="0" w:right="0" w:firstLine="640" w:firstLineChars="200"/>
        <w:jc w:val="both"/>
        <w:textAlignment w:val="baseline"/>
        <w:rPr>
          <w:rFonts w:ascii="宋体" w:eastAsia="宋体" w:hAnsi="宋体" w:cs="仿宋"/>
          <w:snapToGrid w:val="0"/>
          <w:color w:val="000000"/>
          <w:sz w:val="32"/>
          <w:szCs w:val="32"/>
          <w:lang w:eastAsia="zh-CN"/>
        </w:rPr>
      </w:pPr>
      <w:r>
        <w:rPr>
          <w:rFonts w:ascii="宋体" w:eastAsia="宋体" w:hAnsi="宋体" w:cs="仿宋"/>
          <w:snapToGrid w:val="0"/>
          <w:color w:val="000000"/>
          <w:spacing w:val="-3"/>
          <w:sz w:val="32"/>
          <w:szCs w:val="32"/>
          <w:lang w:eastAsia="zh-CN"/>
        </w:rPr>
        <w:t>甲方和乙方以下合称为</w:t>
      </w:r>
      <w:r>
        <w:rPr>
          <w:rFonts w:ascii="宋体" w:eastAsia="宋体" w:hAnsi="宋体"/>
          <w:snapToGrid w:val="0"/>
          <w:color w:val="000000"/>
          <w:spacing w:val="-3"/>
          <w:sz w:val="32"/>
          <w:szCs w:val="32"/>
          <w:lang w:eastAsia="zh-CN"/>
        </w:rPr>
        <w:t>“</w:t>
      </w:r>
      <w:r>
        <w:rPr>
          <w:rFonts w:ascii="宋体" w:eastAsia="宋体" w:hAnsi="宋体" w:cs="仿宋"/>
          <w:snapToGrid w:val="0"/>
          <w:color w:val="000000"/>
          <w:spacing w:val="-3"/>
          <w:sz w:val="32"/>
          <w:szCs w:val="32"/>
          <w:lang w:eastAsia="zh-CN"/>
        </w:rPr>
        <w:t>双方</w:t>
      </w:r>
      <w:r>
        <w:rPr>
          <w:rFonts w:ascii="宋体" w:eastAsia="宋体" w:hAnsi="宋体"/>
          <w:snapToGrid w:val="0"/>
          <w:color w:val="000000"/>
          <w:spacing w:val="-3"/>
          <w:sz w:val="32"/>
          <w:szCs w:val="32"/>
          <w:lang w:eastAsia="zh-CN"/>
        </w:rPr>
        <w:t>”</w:t>
      </w:r>
      <w:r>
        <w:rPr>
          <w:rFonts w:ascii="宋体" w:eastAsia="宋体" w:hAnsi="宋体" w:cs="仿宋"/>
          <w:snapToGrid w:val="0"/>
          <w:color w:val="000000"/>
          <w:spacing w:val="-3"/>
          <w:sz w:val="32"/>
          <w:szCs w:val="32"/>
          <w:lang w:eastAsia="zh-CN"/>
        </w:rPr>
        <w:t>，各自单称为</w:t>
      </w:r>
      <w:r>
        <w:rPr>
          <w:rFonts w:ascii="宋体" w:eastAsia="宋体" w:hAnsi="宋体"/>
          <w:snapToGrid w:val="0"/>
          <w:color w:val="000000"/>
          <w:spacing w:val="-3"/>
          <w:sz w:val="32"/>
          <w:szCs w:val="32"/>
          <w:lang w:eastAsia="zh-CN"/>
        </w:rPr>
        <w:t>“</w:t>
      </w:r>
      <w:r>
        <w:rPr>
          <w:rFonts w:ascii="宋体" w:eastAsia="宋体" w:hAnsi="宋体" w:cs="仿宋"/>
          <w:snapToGrid w:val="0"/>
          <w:color w:val="000000"/>
          <w:spacing w:val="-3"/>
          <w:sz w:val="32"/>
          <w:szCs w:val="32"/>
          <w:lang w:eastAsia="zh-CN"/>
        </w:rPr>
        <w:t>一方</w:t>
      </w:r>
      <w:r>
        <w:rPr>
          <w:rFonts w:ascii="宋体" w:eastAsia="宋体" w:hAnsi="宋体"/>
          <w:snapToGrid w:val="0"/>
          <w:color w:val="000000"/>
          <w:spacing w:val="-3"/>
          <w:sz w:val="32"/>
          <w:szCs w:val="32"/>
          <w:lang w:eastAsia="zh-CN"/>
        </w:rPr>
        <w:t>”</w:t>
      </w:r>
      <w:r>
        <w:rPr>
          <w:rFonts w:ascii="宋体" w:eastAsia="宋体" w:hAnsi="宋体" w:cs="仿宋"/>
          <w:snapToGrid w:val="0"/>
          <w:color w:val="000000"/>
          <w:spacing w:val="-3"/>
          <w:sz w:val="32"/>
          <w:szCs w:val="32"/>
          <w:lang w:eastAsia="zh-CN"/>
        </w:rPr>
        <w:t>。</w:t>
      </w:r>
    </w:p>
    <w:p>
      <w:pPr>
        <w:pageBreakBefore w:val="0"/>
        <w:widowControl w:val="0"/>
        <w:wordWrap/>
        <w:overflowPunct/>
        <w:bidi w:val="0"/>
        <w:spacing w:line="600" w:lineRule="exact"/>
        <w:ind w:left="0" w:right="0" w:firstLine="640" w:firstLineChars="200"/>
        <w:jc w:val="both"/>
        <w:rPr>
          <w:rFonts w:ascii="仿宋" w:eastAsia="仿宋" w:hAnsi="仿宋" w:cs="仿宋"/>
          <w:kern w:val="2"/>
          <w:sz w:val="32"/>
          <w:szCs w:val="32"/>
          <w:lang w:eastAsia="zh-CN"/>
        </w:rPr>
        <w:sectPr>
          <w:headerReference w:type="even" r:id="rId13"/>
          <w:headerReference w:type="default" r:id="rId14"/>
          <w:footerReference w:type="default" r:id="rId15"/>
          <w:headerReference w:type="first" r:id="rId16"/>
          <w:pgSz w:w="11905" w:h="16839"/>
          <w:pgMar w:top="1814" w:right="1531" w:bottom="1814" w:left="1531" w:header="680" w:footer="1213" w:gutter="0"/>
          <w:pgNumType w:fmt="decimal"/>
          <w:cols w:num="1" w:space="720"/>
          <w:docGrid w:linePitch="286" w:charSpace="0"/>
        </w:sectPr>
      </w:pPr>
    </w:p>
    <w:p>
      <w:pPr>
        <w:pageBreakBefore w:val="0"/>
        <w:widowControl/>
        <w:kinsoku w:val="0"/>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 w:cs="仿宋"/>
          <w:snapToGrid w:val="0"/>
          <w:color w:val="000000"/>
          <w:sz w:val="32"/>
          <w:szCs w:val="32"/>
          <w:lang w:eastAsia="zh-CN"/>
        </w:rPr>
      </w:pPr>
      <w:r>
        <w:rPr>
          <w:rFonts w:ascii="仿宋_GB2312" w:eastAsia="仿宋_GB2312" w:hAnsi="仿宋" w:cs="仿宋" w:hint="eastAsia"/>
          <w:snapToGrid w:val="0"/>
          <w:color w:val="000000"/>
          <w:spacing w:val="-21"/>
          <w:sz w:val="32"/>
          <w:szCs w:val="32"/>
          <w:lang w:eastAsia="zh-CN"/>
        </w:rPr>
        <w:t>鉴于：</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 w:cs="仿宋"/>
          <w:snapToGrid w:val="0"/>
          <w:color w:val="000000"/>
          <w:sz w:val="32"/>
          <w:szCs w:val="32"/>
          <w:lang w:eastAsia="zh-CN"/>
        </w:rPr>
      </w:pPr>
      <w:r>
        <w:rPr>
          <w:rFonts w:ascii="仿宋_GB2312" w:eastAsia="仿宋_GB2312" w:hint="eastAsia"/>
          <w:snapToGrid w:val="0"/>
          <w:color w:val="000000"/>
          <w:spacing w:val="1"/>
          <w:sz w:val="32"/>
          <w:szCs w:val="32"/>
          <w:lang w:eastAsia="zh-CN"/>
        </w:rPr>
        <w:t>1.</w:t>
      </w:r>
      <w:r>
        <w:rPr>
          <w:rFonts w:ascii="仿宋_GB2312" w:eastAsia="仿宋_GB2312" w:hAnsi="宋体" w:cs="宋体" w:hint="eastAsia"/>
          <w:snapToGrid w:val="0"/>
          <w:color w:val="000000"/>
          <w:spacing w:val="-1"/>
          <w:sz w:val="32"/>
          <w:szCs w:val="32"/>
          <w:lang w:eastAsia="zh-CN"/>
        </w:rPr>
        <w:t>深圳市罗湖区翠竹街道综合文体中心委托运营项目（下称</w:t>
      </w:r>
      <w:r>
        <w:rPr>
          <w:rFonts w:ascii="仿宋_GB2312" w:eastAsia="仿宋_GB2312" w:hAnsi="宋体" w:cs="宋体"/>
          <w:snapToGrid w:val="0"/>
          <w:color w:val="000000"/>
          <w:spacing w:val="-1"/>
          <w:sz w:val="32"/>
          <w:szCs w:val="32"/>
          <w:lang w:eastAsia="zh-CN"/>
        </w:rPr>
        <w:t>“</w:t>
      </w:r>
      <w:r>
        <w:rPr>
          <w:rFonts w:ascii="仿宋_GB2312" w:eastAsia="仿宋_GB2312" w:hAnsi="宋体" w:cs="宋体" w:hint="eastAsia"/>
          <w:snapToGrid w:val="0"/>
          <w:color w:val="000000"/>
          <w:spacing w:val="-1"/>
          <w:sz w:val="32"/>
          <w:szCs w:val="32"/>
          <w:lang w:eastAsia="zh-CN"/>
        </w:rPr>
        <w:t>翠竹</w:t>
      </w:r>
      <w:r>
        <w:rPr>
          <w:rFonts w:ascii="仿宋_GB2312" w:eastAsia="仿宋_GB2312" w:hAnsi="宋体" w:cs="宋体"/>
          <w:snapToGrid w:val="0"/>
          <w:color w:val="000000"/>
          <w:spacing w:val="-1"/>
          <w:sz w:val="32"/>
          <w:szCs w:val="32"/>
          <w:lang w:eastAsia="zh-CN"/>
        </w:rPr>
        <w:t>街道</w:t>
      </w:r>
      <w:r>
        <w:rPr>
          <w:rFonts w:ascii="仿宋_GB2312" w:eastAsia="仿宋_GB2312" w:hAnsi="宋体" w:cs="宋体" w:hint="eastAsia"/>
          <w:snapToGrid w:val="0"/>
          <w:color w:val="000000"/>
          <w:spacing w:val="-1"/>
          <w:sz w:val="32"/>
          <w:szCs w:val="32"/>
          <w:lang w:eastAsia="zh-CN"/>
        </w:rPr>
        <w:t>综合</w:t>
      </w:r>
      <w:r>
        <w:rPr>
          <w:rFonts w:ascii="仿宋_GB2312" w:eastAsia="仿宋_GB2312" w:hAnsi="宋体" w:cs="宋体"/>
          <w:snapToGrid w:val="0"/>
          <w:color w:val="000000"/>
          <w:spacing w:val="-1"/>
          <w:sz w:val="32"/>
          <w:szCs w:val="32"/>
          <w:lang w:eastAsia="zh-CN"/>
        </w:rPr>
        <w:t>文体中心运营项目”</w:t>
      </w:r>
      <w:r>
        <w:rPr>
          <w:rFonts w:ascii="仿宋_GB2312" w:eastAsia="仿宋_GB2312" w:hAnsi="宋体" w:cs="宋体" w:hint="eastAsia"/>
          <w:snapToGrid w:val="0"/>
          <w:color w:val="000000"/>
          <w:spacing w:val="-1"/>
          <w:sz w:val="32"/>
          <w:szCs w:val="32"/>
          <w:lang w:eastAsia="zh-CN"/>
        </w:rPr>
        <w:t>）是深圳市罗湖区翠竹街道公配物</w:t>
      </w:r>
      <w:r>
        <w:rPr>
          <w:rFonts w:ascii="仿宋_GB2312" w:eastAsia="仿宋_GB2312" w:hAnsi="仿宋" w:cs="仿宋" w:hint="eastAsia"/>
          <w:snapToGrid w:val="0"/>
          <w:color w:val="000000"/>
          <w:spacing w:val="-1"/>
          <w:sz w:val="32"/>
          <w:szCs w:val="32"/>
          <w:lang w:eastAsia="zh-CN"/>
        </w:rPr>
        <w:t>业项目，是由</w:t>
      </w:r>
      <w:r>
        <w:rPr>
          <w:rFonts w:ascii="仿宋_GB2312" w:eastAsia="仿宋_GB2312" w:hAnsi="宋体" w:cs="宋体" w:hint="eastAsia"/>
          <w:snapToGrid w:val="0"/>
          <w:color w:val="000000"/>
          <w:spacing w:val="-1"/>
          <w:sz w:val="32"/>
          <w:szCs w:val="32"/>
          <w:lang w:eastAsia="zh-CN"/>
        </w:rPr>
        <w:t>政府部门</w:t>
      </w:r>
      <w:r>
        <w:rPr>
          <w:rFonts w:ascii="仿宋_GB2312" w:eastAsia="仿宋_GB2312" w:hAnsi="仿宋" w:cs="仿宋" w:hint="eastAsia"/>
          <w:snapToGrid w:val="0"/>
          <w:color w:val="000000"/>
          <w:spacing w:val="-1"/>
          <w:sz w:val="32"/>
          <w:szCs w:val="32"/>
          <w:lang w:eastAsia="zh-CN"/>
        </w:rPr>
        <w:t>使用和管理的社区配套和公共服务用房。</w:t>
      </w:r>
      <w:r>
        <w:rPr>
          <w:rFonts w:ascii="仿宋_GB2312" w:eastAsia="仿宋_GB2312" w:hAnsi="宋体" w:cs="宋体" w:hint="eastAsia"/>
          <w:snapToGrid w:val="0"/>
          <w:color w:val="000000"/>
          <w:spacing w:val="-1"/>
          <w:sz w:val="32"/>
          <w:szCs w:val="32"/>
          <w:lang w:eastAsia="zh-CN"/>
        </w:rPr>
        <w:t>为有效提升罗湖</w:t>
      </w:r>
      <w:r>
        <w:rPr>
          <w:rFonts w:ascii="仿宋_GB2312" w:eastAsia="仿宋_GB2312" w:hAnsi="仿宋" w:cs="仿宋" w:hint="eastAsia"/>
          <w:snapToGrid w:val="0"/>
          <w:color w:val="000000"/>
          <w:spacing w:val="-1"/>
          <w:sz w:val="32"/>
          <w:szCs w:val="32"/>
          <w:lang w:eastAsia="zh-CN"/>
        </w:rPr>
        <w:t>区社区文化品质，打造“十分钟公共文体服</w:t>
      </w:r>
      <w:r>
        <w:rPr>
          <w:rFonts w:ascii="仿宋_GB2312" w:eastAsia="仿宋_GB2312" w:hAnsi="仿宋" w:cs="仿宋" w:hint="eastAsia"/>
          <w:snapToGrid w:val="0"/>
          <w:color w:val="000000"/>
          <w:spacing w:val="-2"/>
          <w:sz w:val="32"/>
          <w:szCs w:val="32"/>
          <w:lang w:eastAsia="zh-CN"/>
        </w:rPr>
        <w:t>务圈”，以政策</w:t>
      </w:r>
      <w:r>
        <w:rPr>
          <w:rFonts w:ascii="仿宋_GB2312" w:eastAsia="仿宋_GB2312" w:hAnsi="仿宋" w:cs="仿宋" w:hint="eastAsia"/>
          <w:snapToGrid w:val="0"/>
          <w:color w:val="000000"/>
          <w:spacing w:val="-1"/>
          <w:sz w:val="32"/>
          <w:szCs w:val="32"/>
          <w:lang w:eastAsia="zh-CN"/>
        </w:rPr>
        <w:t>保障吸引具有文化影响力的项目入驻，提高</w:t>
      </w:r>
      <w:r>
        <w:rPr>
          <w:rFonts w:ascii="仿宋_GB2312" w:eastAsia="仿宋_GB2312" w:hAnsi="仿宋" w:cs="仿宋" w:hint="eastAsia"/>
          <w:snapToGrid w:val="0"/>
          <w:color w:val="000000"/>
          <w:spacing w:val="-2"/>
          <w:sz w:val="32"/>
          <w:szCs w:val="32"/>
          <w:lang w:eastAsia="zh-CN"/>
        </w:rPr>
        <w:t>社区配套文体设</w:t>
      </w:r>
      <w:r>
        <w:rPr>
          <w:rFonts w:ascii="仿宋_GB2312" w:eastAsia="仿宋_GB2312" w:hAnsi="仿宋" w:cs="仿宋" w:hint="eastAsia"/>
          <w:snapToGrid w:val="0"/>
          <w:color w:val="000000"/>
          <w:spacing w:val="-1"/>
          <w:sz w:val="32"/>
          <w:szCs w:val="32"/>
          <w:lang w:eastAsia="zh-CN"/>
        </w:rPr>
        <w:t>施的品质和专业服务效率，增加公共服务供</w:t>
      </w:r>
      <w:r>
        <w:rPr>
          <w:rFonts w:ascii="仿宋_GB2312" w:eastAsia="仿宋_GB2312" w:hAnsi="仿宋" w:cs="仿宋" w:hint="eastAsia"/>
          <w:snapToGrid w:val="0"/>
          <w:color w:val="000000"/>
          <w:spacing w:val="-2"/>
          <w:sz w:val="32"/>
          <w:szCs w:val="32"/>
          <w:lang w:eastAsia="zh-CN"/>
        </w:rPr>
        <w:t>给，</w:t>
      </w:r>
      <w:r>
        <w:rPr>
          <w:rFonts w:ascii="仿宋_GB2312" w:eastAsia="仿宋_GB2312" w:hAnsi="宋体" w:cs="宋体" w:hint="eastAsia"/>
          <w:snapToGrid w:val="0"/>
          <w:color w:val="000000"/>
          <w:spacing w:val="-3"/>
          <w:sz w:val="32"/>
          <w:szCs w:val="32"/>
          <w:lang w:eastAsia="zh-CN"/>
        </w:rPr>
        <w:t>深圳市罗湖区翠竹街道办事处</w:t>
      </w:r>
      <w:r>
        <w:rPr>
          <w:rFonts w:ascii="仿宋_GB2312" w:eastAsia="仿宋_GB2312" w:hAnsi="仿宋" w:cs="仿宋" w:hint="eastAsia"/>
          <w:snapToGrid w:val="0"/>
          <w:color w:val="000000"/>
          <w:spacing w:val="-1"/>
          <w:sz w:val="32"/>
          <w:szCs w:val="32"/>
          <w:lang w:eastAsia="zh-CN"/>
        </w:rPr>
        <w:t>决定以委托运营的方式，引入委托运营</w:t>
      </w:r>
      <w:r>
        <w:rPr>
          <w:rFonts w:ascii="仿宋_GB2312" w:eastAsia="仿宋_GB2312" w:hAnsi="仿宋" w:cs="仿宋" w:hint="eastAsia"/>
          <w:snapToGrid w:val="0"/>
          <w:color w:val="000000"/>
          <w:spacing w:val="-2"/>
          <w:sz w:val="32"/>
          <w:szCs w:val="32"/>
          <w:lang w:eastAsia="zh-CN"/>
        </w:rPr>
        <w:t>单位负责本项目</w:t>
      </w:r>
      <w:r>
        <w:rPr>
          <w:rFonts w:ascii="仿宋_GB2312" w:eastAsia="仿宋_GB2312" w:hAnsi="仿宋" w:cs="仿宋" w:hint="eastAsia"/>
          <w:snapToGrid w:val="0"/>
          <w:color w:val="000000"/>
          <w:spacing w:val="-3"/>
          <w:sz w:val="32"/>
          <w:szCs w:val="32"/>
          <w:lang w:eastAsia="zh-CN"/>
        </w:rPr>
        <w:t>的运营管理；</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 w:cs="仿宋"/>
          <w:snapToGrid w:val="0"/>
          <w:color w:val="000000"/>
          <w:sz w:val="32"/>
          <w:szCs w:val="32"/>
          <w:lang w:eastAsia="zh-CN"/>
        </w:rPr>
      </w:pPr>
      <w:r>
        <w:rPr>
          <w:rFonts w:ascii="仿宋_GB2312" w:eastAsia="仿宋_GB2312" w:hint="eastAsia"/>
          <w:snapToGrid w:val="0"/>
          <w:color w:val="000000"/>
          <w:spacing w:val="2"/>
          <w:sz w:val="32"/>
          <w:szCs w:val="32"/>
          <w:lang w:eastAsia="zh-CN"/>
        </w:rPr>
        <w:t>2.</w:t>
      </w:r>
      <w:r>
        <w:rPr>
          <w:rFonts w:ascii="仿宋_GB2312" w:eastAsia="仿宋_GB2312" w:hAnsi="宋体" w:cs="宋体" w:hint="eastAsia"/>
          <w:snapToGrid w:val="0"/>
          <w:color w:val="000000"/>
          <w:spacing w:val="2"/>
          <w:sz w:val="32"/>
          <w:szCs w:val="32"/>
          <w:lang w:eastAsia="zh-CN"/>
        </w:rPr>
        <w:t>深圳市罗湖区翠竹街道办事处</w:t>
      </w:r>
      <w:r>
        <w:rPr>
          <w:rFonts w:ascii="仿宋_GB2312" w:eastAsia="仿宋_GB2312" w:hAnsi="仿宋" w:cs="仿宋" w:hint="eastAsia"/>
          <w:snapToGrid w:val="0"/>
          <w:color w:val="000000"/>
          <w:spacing w:val="2"/>
          <w:sz w:val="32"/>
          <w:szCs w:val="32"/>
          <w:lang w:eastAsia="zh-CN"/>
        </w:rPr>
        <w:t>作为本项目的甲方</w:t>
      </w:r>
      <w:r>
        <w:rPr>
          <w:rFonts w:ascii="仿宋_GB2312" w:eastAsia="仿宋_GB2312" w:hAnsi="仿宋" w:cs="仿宋" w:hint="eastAsia"/>
          <w:snapToGrid w:val="0"/>
          <w:color w:val="000000"/>
          <w:spacing w:val="-2"/>
          <w:sz w:val="32"/>
          <w:szCs w:val="32"/>
          <w:lang w:eastAsia="zh-CN"/>
        </w:rPr>
        <w:t>，与本项目乙方签署项目合同，由乙方在约定的运营期限内，对本项目依法享有占有、使用、收益的权利，进行合法合规运营；</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3.</w:t>
      </w:r>
      <w:r>
        <w:rPr>
          <w:rFonts w:ascii="仿宋_GB2312" w:eastAsia="仿宋_GB2312" w:hAnsi="宋体" w:cs="宋体" w:hint="eastAsia"/>
          <w:snapToGrid w:val="0"/>
          <w:color w:val="000000"/>
          <w:spacing w:val="2"/>
          <w:sz w:val="32"/>
          <w:szCs w:val="32"/>
          <w:lang w:eastAsia="zh-CN"/>
        </w:rPr>
        <w:t>【</w:t>
      </w:r>
      <w:r>
        <w:rPr>
          <w:rFonts w:ascii="仿宋_GB2312" w:eastAsia="仿宋_GB2312" w:hint="eastAsia"/>
          <w:snapToGrid w:val="0"/>
          <w:color w:val="000000"/>
          <w:spacing w:val="2"/>
          <w:sz w:val="32"/>
          <w:szCs w:val="32"/>
          <w:lang w:eastAsia="zh-CN"/>
        </w:rPr>
        <w:t xml:space="preserve">     </w:t>
      </w:r>
      <w:r>
        <w:rPr>
          <w:rFonts w:ascii="仿宋_GB2312" w:eastAsia="仿宋_GB2312" w:hAnsi="宋体" w:cs="宋体" w:hint="eastAsia"/>
          <w:snapToGrid w:val="0"/>
          <w:color w:val="000000"/>
          <w:spacing w:val="2"/>
          <w:sz w:val="32"/>
          <w:szCs w:val="32"/>
          <w:lang w:eastAsia="zh-CN"/>
        </w:rPr>
        <w:t>】年【</w:t>
      </w:r>
      <w:r>
        <w:rPr>
          <w:rFonts w:ascii="仿宋_GB2312" w:eastAsia="仿宋_GB2312" w:hint="eastAsia"/>
          <w:snapToGrid w:val="0"/>
          <w:color w:val="000000"/>
          <w:spacing w:val="2"/>
          <w:sz w:val="32"/>
          <w:szCs w:val="32"/>
          <w:lang w:eastAsia="zh-CN"/>
        </w:rPr>
        <w:t xml:space="preserve">  </w:t>
      </w:r>
      <w:r>
        <w:rPr>
          <w:rFonts w:ascii="仿宋_GB2312" w:eastAsia="仿宋_GB2312" w:hAnsi="宋体" w:cs="宋体" w:hint="eastAsia"/>
          <w:snapToGrid w:val="0"/>
          <w:color w:val="000000"/>
          <w:spacing w:val="2"/>
          <w:sz w:val="32"/>
          <w:szCs w:val="32"/>
          <w:lang w:eastAsia="zh-CN"/>
        </w:rPr>
        <w:t>】月【</w:t>
      </w:r>
      <w:r>
        <w:rPr>
          <w:rFonts w:ascii="仿宋_GB2312" w:eastAsia="仿宋_GB2312" w:hint="eastAsia"/>
          <w:snapToGrid w:val="0"/>
          <w:color w:val="000000"/>
          <w:spacing w:val="2"/>
          <w:sz w:val="32"/>
          <w:szCs w:val="32"/>
          <w:lang w:eastAsia="zh-CN"/>
        </w:rPr>
        <w:t xml:space="preserve">  </w:t>
      </w:r>
      <w:r>
        <w:rPr>
          <w:rFonts w:ascii="仿宋_GB2312" w:eastAsia="仿宋_GB2312" w:hAnsi="宋体" w:cs="宋体" w:hint="eastAsia"/>
          <w:snapToGrid w:val="0"/>
          <w:color w:val="000000"/>
          <w:spacing w:val="2"/>
          <w:sz w:val="32"/>
          <w:szCs w:val="32"/>
          <w:lang w:eastAsia="zh-CN"/>
        </w:rPr>
        <w:t>】日，【</w:t>
      </w:r>
      <w:r>
        <w:rPr>
          <w:rFonts w:ascii="仿宋_GB2312" w:eastAsia="仿宋_GB2312" w:hint="eastAsia"/>
          <w:snapToGrid w:val="0"/>
          <w:color w:val="000000"/>
          <w:spacing w:val="2"/>
          <w:sz w:val="32"/>
          <w:szCs w:val="32"/>
          <w:lang w:eastAsia="zh-CN"/>
        </w:rPr>
        <w:t xml:space="preserve">         </w:t>
      </w:r>
      <w:r>
        <w:rPr>
          <w:rFonts w:ascii="仿宋_GB2312" w:eastAsia="仿宋_GB2312" w:hAnsi="宋体" w:cs="宋体" w:hint="eastAsia"/>
          <w:snapToGrid w:val="0"/>
          <w:color w:val="000000"/>
          <w:spacing w:val="2"/>
          <w:sz w:val="32"/>
          <w:szCs w:val="32"/>
          <w:lang w:eastAsia="zh-CN"/>
        </w:rPr>
        <w:t>】发布公开招标文件，乙方于【</w:t>
      </w:r>
      <w:r>
        <w:rPr>
          <w:rFonts w:ascii="仿宋_GB2312" w:eastAsia="仿宋_GB2312" w:hint="eastAsia"/>
          <w:snapToGrid w:val="0"/>
          <w:color w:val="000000"/>
          <w:spacing w:val="2"/>
          <w:sz w:val="32"/>
          <w:szCs w:val="32"/>
          <w:lang w:eastAsia="zh-CN"/>
        </w:rPr>
        <w:t xml:space="preserve">  </w:t>
      </w:r>
      <w:r>
        <w:rPr>
          <w:rFonts w:ascii="仿宋_GB2312" w:eastAsia="仿宋_GB2312" w:hAnsi="宋体" w:cs="宋体" w:hint="eastAsia"/>
          <w:snapToGrid w:val="0"/>
          <w:color w:val="000000"/>
          <w:spacing w:val="2"/>
          <w:sz w:val="32"/>
          <w:szCs w:val="32"/>
          <w:lang w:eastAsia="zh-CN"/>
        </w:rPr>
        <w:t>】月【</w:t>
      </w:r>
      <w:r>
        <w:rPr>
          <w:rFonts w:ascii="仿宋_GB2312" w:eastAsia="仿宋_GB2312" w:hint="eastAsia"/>
          <w:snapToGrid w:val="0"/>
          <w:color w:val="000000"/>
          <w:spacing w:val="2"/>
          <w:sz w:val="32"/>
          <w:szCs w:val="32"/>
          <w:lang w:eastAsia="zh-CN"/>
        </w:rPr>
        <w:t xml:space="preserve">  </w:t>
      </w:r>
      <w:r>
        <w:rPr>
          <w:rFonts w:ascii="仿宋_GB2312" w:eastAsia="仿宋_GB2312" w:hAnsi="宋体" w:cs="宋体" w:hint="eastAsia"/>
          <w:snapToGrid w:val="0"/>
          <w:color w:val="000000"/>
          <w:spacing w:val="2"/>
          <w:sz w:val="32"/>
          <w:szCs w:val="32"/>
          <w:lang w:eastAsia="zh-CN"/>
        </w:rPr>
        <w:t>】日中标作为本项目运营方。</w:t>
      </w:r>
      <w:r>
        <w:rPr>
          <w:rFonts w:ascii="仿宋GB-2312" w:eastAsia="仿宋GB-2312" w:hAnsi="宋体" w:cs="宋体" w:hint="eastAsia"/>
          <w:snapToGrid w:val="0"/>
          <w:color w:val="000000"/>
          <w:spacing w:val="2"/>
          <w:sz w:val="32"/>
          <w:szCs w:val="32"/>
          <w:lang w:eastAsia="zh-CN"/>
        </w:rPr>
        <w:t>中标通知书项目编号为【】。</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仿宋_GB2312" w:eastAsia="仿宋_GB2312" w:hAnsi="仿宋" w:cs="仿宋" w:hint="eastAsia"/>
          <w:snapToGrid w:val="0"/>
          <w:color w:val="000000"/>
          <w:spacing w:val="-2"/>
          <w:sz w:val="32"/>
          <w:szCs w:val="32"/>
          <w:lang w:eastAsia="zh-CN"/>
        </w:rPr>
      </w:pPr>
      <w:r>
        <w:rPr>
          <w:rFonts w:ascii="仿宋_GB2312" w:eastAsia="仿宋_GB2312" w:hAnsi="仿宋" w:cs="仿宋" w:hint="eastAsia"/>
          <w:snapToGrid w:val="0"/>
          <w:color w:val="000000"/>
          <w:spacing w:val="-2"/>
          <w:sz w:val="32"/>
          <w:szCs w:val="32"/>
          <w:lang w:eastAsia="zh-CN"/>
        </w:rPr>
        <w:t>现双方经友好协商，达成本合同。</w:t>
      </w:r>
      <w:bookmarkStart w:id="29" w:name="bookmark2"/>
      <w:bookmarkEnd w:id="29"/>
      <w:bookmarkStart w:id="30" w:name="_Toc21393"/>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黑体" w:eastAsia="黑体" w:hAnsi="黑体" w:cs="仿宋" w:hint="eastAsia"/>
          <w:b/>
          <w:bCs/>
          <w:snapToGrid w:val="0"/>
          <w:color w:val="000000"/>
          <w:spacing w:val="-10"/>
          <w:sz w:val="32"/>
          <w:szCs w:val="32"/>
          <w:lang w:eastAsia="zh-CN"/>
        </w:rPr>
      </w:pPr>
      <w:r>
        <w:rPr>
          <w:rFonts w:ascii="黑体" w:eastAsia="黑体" w:hAnsi="黑体" w:cs="仿宋"/>
          <w:b/>
          <w:bCs/>
          <w:snapToGrid w:val="0"/>
          <w:color w:val="000000"/>
          <w:spacing w:val="-10"/>
          <w:sz w:val="32"/>
          <w:szCs w:val="32"/>
          <w:lang w:eastAsia="zh-CN"/>
        </w:rPr>
        <w:t>第一条 定义</w:t>
      </w:r>
      <w:bookmarkEnd w:id="30"/>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 w:eastAsia="仿宋" w:hAnsi="仿宋" w:cs="仿宋"/>
          <w:snapToGrid w:val="0"/>
          <w:color w:val="000000"/>
          <w:sz w:val="32"/>
          <w:szCs w:val="32"/>
          <w:lang w:eastAsia="zh-CN"/>
        </w:rPr>
      </w:pPr>
      <w:r>
        <w:rPr>
          <w:rFonts w:ascii="仿宋" w:eastAsia="仿宋" w:hAnsi="仿宋" w:cs="仿宋"/>
          <w:snapToGrid w:val="0"/>
          <w:color w:val="000000"/>
          <w:spacing w:val="-5"/>
          <w:sz w:val="32"/>
          <w:szCs w:val="32"/>
          <w:lang w:eastAsia="zh-CN"/>
        </w:rPr>
        <w:t>以下定义适用本合同：</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1.1 本合同：指由甲方与乙方签署的项目委托运营合同，包括全部附件，以及日后可能签署的补充合同和附件，每一部分都应视为本合同的一部分。</w:t>
      </w:r>
    </w:p>
    <w:p>
      <w:pPr>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int="eastAsia"/>
          <w:snapToGrid w:val="0"/>
          <w:color w:val="000000"/>
          <w:spacing w:val="2"/>
          <w:sz w:val="32"/>
          <w:szCs w:val="32"/>
          <w:lang w:eastAsia="zh-CN"/>
        </w:rPr>
      </w:pPr>
      <w:r>
        <w:rPr>
          <w:rFonts w:ascii="仿宋_GB2312" w:eastAsia="仿宋_GB2312"/>
          <w:snapToGrid w:val="0"/>
          <w:color w:val="000000"/>
          <w:spacing w:val="2"/>
          <w:sz w:val="32"/>
          <w:szCs w:val="32"/>
          <w:lang w:eastAsia="zh-CN"/>
        </w:rPr>
        <w:t xml:space="preserve">1.2 </w:t>
      </w:r>
      <w:r>
        <w:rPr>
          <w:rFonts w:ascii="仿宋_GB2312" w:eastAsia="仿宋_GB2312" w:hint="eastAsia"/>
          <w:snapToGrid w:val="0"/>
          <w:color w:val="000000"/>
          <w:spacing w:val="2"/>
          <w:sz w:val="32"/>
          <w:szCs w:val="32"/>
          <w:lang w:eastAsia="zh-CN"/>
        </w:rPr>
        <w:t>翠竹街道综合文体中心运营项目：指位于罗湖区益田御龙天地7栋1-2楼</w:t>
      </w:r>
      <w:r>
        <w:rPr>
          <w:rFonts w:ascii="仿宋_GB2312" w:eastAsia="仿宋_GB2312"/>
          <w:snapToGrid w:val="0"/>
          <w:color w:val="000000"/>
          <w:spacing w:val="2"/>
          <w:sz w:val="32"/>
          <w:szCs w:val="32"/>
          <w:lang w:eastAsia="zh-CN"/>
        </w:rPr>
        <w:t>的建筑物，建筑面积</w:t>
      </w:r>
      <w:r>
        <w:rPr>
          <w:rFonts w:ascii="仿宋_GB2312" w:eastAsia="仿宋_GB2312" w:hint="eastAsia"/>
          <w:snapToGrid w:val="0"/>
          <w:color w:val="000000"/>
          <w:spacing w:val="2"/>
          <w:sz w:val="32"/>
          <w:szCs w:val="32"/>
          <w:lang w:eastAsia="zh-CN"/>
        </w:rPr>
        <w:t>约为</w:t>
      </w:r>
      <w:r>
        <w:rPr>
          <w:rFonts w:ascii="仿宋_GB2312" w:eastAsia="仿宋_GB2312" w:hint="eastAsia"/>
          <w:snapToGrid w:val="0"/>
          <w:color w:val="000000"/>
          <w:spacing w:val="2"/>
          <w:sz w:val="32"/>
          <w:szCs w:val="32"/>
          <w:lang w:eastAsia="zh-CN"/>
        </w:rPr>
        <w:t>1500</w:t>
      </w:r>
      <w:r>
        <w:rPr>
          <w:rFonts w:ascii="仿宋_GB2312" w:eastAsia="仿宋_GB2312" w:hint="eastAsia"/>
          <w:snapToGrid w:val="0"/>
          <w:color w:val="000000"/>
          <w:spacing w:val="2"/>
          <w:sz w:val="32"/>
          <w:szCs w:val="32"/>
          <w:lang w:eastAsia="zh-CN"/>
        </w:rPr>
        <w:t>平方米</w:t>
      </w:r>
      <w:r>
        <w:rPr>
          <w:rFonts w:ascii="仿宋_GB2312" w:eastAsia="仿宋_GB2312"/>
          <w:snapToGrid w:val="0"/>
          <w:color w:val="000000"/>
          <w:spacing w:val="2"/>
          <w:sz w:val="32"/>
          <w:szCs w:val="32"/>
          <w:lang w:eastAsia="zh-CN"/>
        </w:rPr>
        <w:t>。</w:t>
      </w:r>
    </w:p>
    <w:p>
      <w:pPr>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1.3 本项目：指甲方将</w:t>
      </w:r>
      <w:r>
        <w:rPr>
          <w:rFonts w:ascii="仿宋_GB2312" w:eastAsia="仿宋_GB2312" w:hint="eastAsia"/>
          <w:snapToGrid w:val="0"/>
          <w:color w:val="000000"/>
          <w:spacing w:val="2"/>
          <w:sz w:val="32"/>
          <w:szCs w:val="32"/>
          <w:lang w:eastAsia="zh-CN"/>
        </w:rPr>
        <w:t>翠竹街道综合文体中心运营项目</w:t>
      </w:r>
      <w:r>
        <w:rPr>
          <w:rFonts w:ascii="仿宋_GB2312" w:eastAsia="仿宋_GB2312"/>
          <w:snapToGrid w:val="0"/>
          <w:color w:val="000000"/>
          <w:spacing w:val="2"/>
          <w:sz w:val="32"/>
          <w:szCs w:val="32"/>
          <w:lang w:eastAsia="zh-CN"/>
        </w:rPr>
        <w:t>资产，即本合同第1.4条约定的项目资产交付乙方，由乙方在约定的运营期内，对项目</w:t>
      </w:r>
      <w:r>
        <w:rPr>
          <w:rFonts w:ascii="仿宋_GB2312" w:eastAsia="仿宋_GB2312" w:hint="eastAsia"/>
          <w:snapToGrid w:val="0"/>
          <w:color w:val="000000"/>
          <w:spacing w:val="2"/>
          <w:sz w:val="32"/>
          <w:szCs w:val="32"/>
          <w:lang w:eastAsia="zh-CN"/>
        </w:rPr>
        <w:t>资产进行投入与运营维护，并提供符合要求的公益服务和运</w:t>
      </w:r>
      <w:r>
        <w:rPr>
          <w:rFonts w:ascii="仿宋_GB2312" w:eastAsia="仿宋_GB2312"/>
          <w:snapToGrid w:val="0"/>
          <w:color w:val="000000"/>
          <w:spacing w:val="2"/>
          <w:sz w:val="32"/>
          <w:szCs w:val="32"/>
          <w:lang w:eastAsia="zh-CN"/>
        </w:rPr>
        <w:t>营服务，以及</w:t>
      </w:r>
      <w:r>
        <w:rPr>
          <w:rFonts w:ascii="仿宋_GB2312" w:eastAsia="仿宋_GB2312" w:hint="eastAsia"/>
          <w:snapToGrid w:val="0"/>
          <w:color w:val="000000"/>
          <w:spacing w:val="2"/>
          <w:sz w:val="32"/>
          <w:szCs w:val="32"/>
          <w:lang w:eastAsia="zh-CN"/>
        </w:rPr>
        <w:t>翠竹街道综合文体中心运营项目</w:t>
      </w:r>
      <w:r>
        <w:rPr>
          <w:rFonts w:ascii="仿宋_GB2312" w:eastAsia="仿宋_GB2312"/>
          <w:snapToGrid w:val="0"/>
          <w:color w:val="000000"/>
          <w:spacing w:val="2"/>
          <w:sz w:val="32"/>
          <w:szCs w:val="32"/>
          <w:lang w:eastAsia="zh-CN"/>
        </w:rPr>
        <w:t>的整体物业管理服务。</w:t>
      </w:r>
    </w:p>
    <w:p>
      <w:pPr>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1.4 本项目资产/项目资产：指</w:t>
      </w:r>
      <w:r>
        <w:rPr>
          <w:rFonts w:ascii="仿宋_GB2312" w:eastAsia="仿宋_GB2312" w:hint="eastAsia"/>
          <w:snapToGrid w:val="0"/>
          <w:color w:val="000000"/>
          <w:spacing w:val="2"/>
          <w:sz w:val="32"/>
          <w:szCs w:val="32"/>
          <w:lang w:eastAsia="zh-CN"/>
        </w:rPr>
        <w:t>翠竹街道综合文体中心运营项目</w:t>
      </w:r>
      <w:r>
        <w:rPr>
          <w:rFonts w:ascii="仿宋_GB2312" w:eastAsia="仿宋_GB2312"/>
          <w:snapToGrid w:val="0"/>
          <w:color w:val="000000"/>
          <w:spacing w:val="2"/>
          <w:sz w:val="32"/>
          <w:szCs w:val="32"/>
          <w:lang w:eastAsia="zh-CN"/>
        </w:rPr>
        <w:t>中交付给乙方运营的部分资产，具体范围详见本合同2.2条的约定。</w:t>
      </w:r>
    </w:p>
    <w:p>
      <w:pPr>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1.5 招标文件：指【   】年【  】月【  】日，</w:t>
      </w:r>
      <w:r>
        <w:rPr>
          <w:rFonts w:ascii="仿宋_GB2312" w:eastAsia="仿宋_GB2312" w:hint="eastAsia"/>
          <w:snapToGrid w:val="0"/>
          <w:color w:val="000000"/>
          <w:spacing w:val="2"/>
          <w:sz w:val="32"/>
          <w:szCs w:val="32"/>
          <w:lang w:eastAsia="zh-CN"/>
        </w:rPr>
        <w:t>甲方</w:t>
      </w:r>
      <w:r>
        <w:rPr>
          <w:rFonts w:ascii="仿宋_GB2312" w:eastAsia="仿宋_GB2312"/>
          <w:snapToGrid w:val="0"/>
          <w:color w:val="000000"/>
          <w:spacing w:val="2"/>
          <w:sz w:val="32"/>
          <w:szCs w:val="32"/>
          <w:lang w:eastAsia="zh-CN"/>
        </w:rPr>
        <w:t>【    】为选择本项目运营方而公开发布的招标文件。</w:t>
      </w:r>
    </w:p>
    <w:p>
      <w:pPr>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1.6 投标文件：指【    】年【  】月【  】日，</w:t>
      </w:r>
      <w:r>
        <w:rPr>
          <w:rFonts w:ascii="仿宋_GB2312" w:eastAsia="仿宋_GB2312" w:hint="eastAsia"/>
          <w:snapToGrid w:val="0"/>
          <w:color w:val="000000"/>
          <w:spacing w:val="2"/>
          <w:sz w:val="32"/>
          <w:szCs w:val="32"/>
          <w:lang w:eastAsia="zh-CN"/>
        </w:rPr>
        <w:t>翠竹街道综合文体中心运营项目</w:t>
      </w:r>
      <w:r>
        <w:rPr>
          <w:rFonts w:ascii="仿宋_GB2312" w:eastAsia="仿宋_GB2312"/>
          <w:snapToGrid w:val="0"/>
          <w:color w:val="000000"/>
          <w:spacing w:val="2"/>
          <w:sz w:val="32"/>
          <w:szCs w:val="32"/>
          <w:lang w:eastAsia="zh-CN"/>
        </w:rPr>
        <w:t>【    】公开招标选择本项目运营方，乙方在招标活动中提交的投标文件。</w:t>
      </w:r>
    </w:p>
    <w:p>
      <w:pPr>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baseline"/>
        <w:outlineLvl w:val="0"/>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1.7 运营年度：运营期内，自本项目实际运营日开始起算，每365日（闰366日）为一个运营年度。如202</w:t>
      </w:r>
      <w:r>
        <w:rPr>
          <w:rFonts w:ascii="仿宋_GB2312" w:eastAsia="仿宋_GB2312" w:hint="eastAsia"/>
          <w:snapToGrid w:val="0"/>
          <w:color w:val="000000"/>
          <w:spacing w:val="2"/>
          <w:sz w:val="32"/>
          <w:szCs w:val="32"/>
          <w:lang w:eastAsia="zh-CN"/>
        </w:rPr>
        <w:t>5</w:t>
      </w:r>
      <w:r>
        <w:rPr>
          <w:rFonts w:ascii="仿宋_GB2312" w:eastAsia="仿宋_GB2312"/>
          <w:snapToGrid w:val="0"/>
          <w:color w:val="000000"/>
          <w:spacing w:val="2"/>
          <w:sz w:val="32"/>
          <w:szCs w:val="32"/>
          <w:lang w:eastAsia="zh-CN"/>
        </w:rPr>
        <w:t>年10月15日为开始运营日，则第一个运营年为202</w:t>
      </w:r>
      <w:r>
        <w:rPr>
          <w:rFonts w:ascii="仿宋_GB2312" w:eastAsia="仿宋_GB2312" w:hint="eastAsia"/>
          <w:snapToGrid w:val="0"/>
          <w:color w:val="000000"/>
          <w:spacing w:val="2"/>
          <w:sz w:val="32"/>
          <w:szCs w:val="32"/>
          <w:lang w:eastAsia="zh-CN"/>
        </w:rPr>
        <w:t>5</w:t>
      </w:r>
      <w:r>
        <w:rPr>
          <w:rFonts w:ascii="仿宋_GB2312" w:eastAsia="仿宋_GB2312"/>
          <w:snapToGrid w:val="0"/>
          <w:color w:val="000000"/>
          <w:spacing w:val="2"/>
          <w:sz w:val="32"/>
          <w:szCs w:val="32"/>
          <w:lang w:eastAsia="zh-CN"/>
        </w:rPr>
        <w:t>年10月15日至202</w:t>
      </w:r>
      <w:r>
        <w:rPr>
          <w:rFonts w:ascii="仿宋_GB2312" w:eastAsia="仿宋_GB2312" w:hint="eastAsia"/>
          <w:snapToGrid w:val="0"/>
          <w:color w:val="000000"/>
          <w:spacing w:val="2"/>
          <w:sz w:val="32"/>
          <w:szCs w:val="32"/>
          <w:lang w:eastAsia="zh-CN"/>
        </w:rPr>
        <w:t>6</w:t>
      </w:r>
      <w:r>
        <w:rPr>
          <w:rFonts w:ascii="仿宋_GB2312" w:eastAsia="仿宋_GB2312"/>
          <w:snapToGrid w:val="0"/>
          <w:color w:val="000000"/>
          <w:spacing w:val="2"/>
          <w:sz w:val="32"/>
          <w:szCs w:val="32"/>
          <w:lang w:eastAsia="zh-CN"/>
        </w:rPr>
        <w:t>年10月14日，第二个运营年为202</w:t>
      </w:r>
      <w:r>
        <w:rPr>
          <w:rFonts w:ascii="仿宋_GB2312" w:eastAsia="仿宋_GB2312" w:hint="eastAsia"/>
          <w:snapToGrid w:val="0"/>
          <w:color w:val="000000"/>
          <w:spacing w:val="2"/>
          <w:sz w:val="32"/>
          <w:szCs w:val="32"/>
          <w:lang w:eastAsia="zh-CN"/>
        </w:rPr>
        <w:t>6</w:t>
      </w:r>
      <w:r>
        <w:rPr>
          <w:rFonts w:ascii="仿宋_GB2312" w:eastAsia="仿宋_GB2312"/>
          <w:snapToGrid w:val="0"/>
          <w:color w:val="000000"/>
          <w:spacing w:val="2"/>
          <w:sz w:val="32"/>
          <w:szCs w:val="32"/>
          <w:lang w:eastAsia="zh-CN"/>
        </w:rPr>
        <w:t>年10月15日至202</w:t>
      </w:r>
      <w:r>
        <w:rPr>
          <w:rFonts w:ascii="仿宋_GB2312" w:eastAsia="仿宋_GB2312" w:hint="eastAsia"/>
          <w:snapToGrid w:val="0"/>
          <w:color w:val="000000"/>
          <w:spacing w:val="2"/>
          <w:sz w:val="32"/>
          <w:szCs w:val="32"/>
          <w:lang w:eastAsia="zh-CN"/>
        </w:rPr>
        <w:t>7</w:t>
      </w:r>
      <w:r>
        <w:rPr>
          <w:rFonts w:ascii="仿宋_GB2312" w:eastAsia="仿宋_GB2312"/>
          <w:snapToGrid w:val="0"/>
          <w:color w:val="000000"/>
          <w:spacing w:val="2"/>
          <w:sz w:val="32"/>
          <w:szCs w:val="32"/>
          <w:lang w:eastAsia="zh-CN"/>
        </w:rPr>
        <w:t>年10月14日，以此类推。</w:t>
      </w:r>
      <w:bookmarkStart w:id="31" w:name="bookmark1"/>
      <w:bookmarkEnd w:id="31"/>
      <w:bookmarkStart w:id="32" w:name="_Toc24656"/>
    </w:p>
    <w:p>
      <w:pPr>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baseline"/>
        <w:outlineLvl w:val="0"/>
        <w:rPr>
          <w:rFonts w:ascii="黑体" w:eastAsia="黑体" w:hAnsi="黑体" w:cs="仿宋" w:hint="eastAsia"/>
          <w:b/>
          <w:bCs/>
          <w:snapToGrid w:val="0"/>
          <w:color w:val="000000"/>
          <w:spacing w:val="-10"/>
          <w:sz w:val="32"/>
          <w:szCs w:val="32"/>
          <w:lang w:eastAsia="zh-CN"/>
        </w:rPr>
      </w:pPr>
      <w:r>
        <w:rPr>
          <w:rFonts w:ascii="黑体" w:eastAsia="黑体" w:hAnsi="黑体" w:cs="仿宋"/>
          <w:b/>
          <w:bCs/>
          <w:snapToGrid w:val="0"/>
          <w:color w:val="000000"/>
          <w:spacing w:val="-10"/>
          <w:sz w:val="32"/>
          <w:szCs w:val="32"/>
          <w:lang w:eastAsia="zh-CN"/>
        </w:rPr>
        <w:t>第二条</w:t>
      </w:r>
      <w:r>
        <w:rPr>
          <w:rFonts w:ascii="黑体" w:eastAsia="黑体" w:hAnsi="黑体" w:cs="仿宋" w:hint="eastAsia"/>
          <w:b/>
          <w:bCs/>
          <w:snapToGrid w:val="0"/>
          <w:color w:val="000000"/>
          <w:spacing w:val="-10"/>
          <w:sz w:val="32"/>
          <w:szCs w:val="32"/>
          <w:lang w:eastAsia="zh-CN"/>
        </w:rPr>
        <w:t xml:space="preserve"> </w:t>
      </w:r>
      <w:r>
        <w:rPr>
          <w:rFonts w:ascii="黑体" w:eastAsia="黑体" w:hAnsi="黑体" w:cs="仿宋"/>
          <w:b/>
          <w:bCs/>
          <w:snapToGrid w:val="0"/>
          <w:color w:val="000000"/>
          <w:spacing w:val="-10"/>
          <w:sz w:val="32"/>
          <w:szCs w:val="32"/>
          <w:lang w:eastAsia="zh-CN"/>
        </w:rPr>
        <w:t>合作内容</w:t>
      </w:r>
      <w:bookmarkEnd w:id="32"/>
    </w:p>
    <w:p>
      <w:pPr>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2.1 合作模式</w:t>
      </w:r>
    </w:p>
    <w:p>
      <w:pPr>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项目运营期内，甲方将本合同2.2条约定的项目资产的运营权交付给乙方，乙方负责对本项目资产进行运营维护，在提供满足本合同要求的公益服务的前提下</w:t>
      </w:r>
      <w:r>
        <w:rPr>
          <w:rFonts w:ascii="仿宋_GB2312" w:eastAsia="仿宋_GB2312" w:hint="eastAsia"/>
          <w:snapToGrid w:val="0"/>
          <w:color w:val="000000"/>
          <w:spacing w:val="2"/>
          <w:sz w:val="32"/>
          <w:szCs w:val="32"/>
          <w:lang w:eastAsia="zh-CN"/>
        </w:rPr>
        <w:t>（详见本</w:t>
      </w:r>
      <w:r>
        <w:rPr>
          <w:rFonts w:ascii="仿宋_GB2312" w:eastAsia="仿宋_GB2312"/>
          <w:snapToGrid w:val="0"/>
          <w:color w:val="000000"/>
          <w:spacing w:val="2"/>
          <w:sz w:val="32"/>
          <w:szCs w:val="32"/>
          <w:lang w:eastAsia="zh-CN"/>
        </w:rPr>
        <w:t>合同</w:t>
      </w:r>
      <w:r>
        <w:rPr>
          <w:rFonts w:ascii="仿宋_GB2312" w:eastAsia="仿宋_GB2312" w:hint="eastAsia"/>
          <w:snapToGrid w:val="0"/>
          <w:color w:val="000000"/>
          <w:spacing w:val="2"/>
          <w:sz w:val="32"/>
          <w:szCs w:val="32"/>
          <w:lang w:eastAsia="zh-CN"/>
        </w:rPr>
        <w:t>2.4条</w:t>
      </w:r>
      <w:r>
        <w:rPr>
          <w:rFonts w:ascii="仿宋_GB2312" w:eastAsia="仿宋_GB2312"/>
          <w:snapToGrid w:val="0"/>
          <w:color w:val="000000"/>
          <w:spacing w:val="2"/>
          <w:sz w:val="32"/>
          <w:szCs w:val="32"/>
          <w:lang w:eastAsia="zh-CN"/>
        </w:rPr>
        <w:t>约定</w:t>
      </w:r>
      <w:r>
        <w:rPr>
          <w:rFonts w:ascii="仿宋_GB2312" w:eastAsia="仿宋_GB2312" w:hint="eastAsia"/>
          <w:snapToGrid w:val="0"/>
          <w:color w:val="000000"/>
          <w:spacing w:val="2"/>
          <w:sz w:val="32"/>
          <w:szCs w:val="32"/>
          <w:lang w:eastAsia="zh-CN"/>
        </w:rPr>
        <w:t>）</w:t>
      </w:r>
      <w:r>
        <w:rPr>
          <w:rFonts w:ascii="仿宋_GB2312" w:eastAsia="仿宋_GB2312"/>
          <w:snapToGrid w:val="0"/>
          <w:color w:val="000000"/>
          <w:spacing w:val="2"/>
          <w:sz w:val="32"/>
          <w:szCs w:val="32"/>
          <w:lang w:eastAsia="zh-CN"/>
        </w:rPr>
        <w:t>，对项目资产进行市场化运营以取得合法运营收入</w:t>
      </w:r>
      <w:r>
        <w:rPr>
          <w:rFonts w:ascii="仿宋_GB2312" w:eastAsia="仿宋_GB2312" w:hint="eastAsia"/>
          <w:snapToGrid w:val="0"/>
          <w:color w:val="000000"/>
          <w:spacing w:val="2"/>
          <w:sz w:val="32"/>
          <w:szCs w:val="32"/>
          <w:lang w:eastAsia="zh-CN"/>
        </w:rPr>
        <w:t>。</w:t>
      </w:r>
      <w:r>
        <w:rPr>
          <w:rFonts w:ascii="仿宋_GB2312" w:eastAsia="仿宋_GB2312"/>
          <w:snapToGrid w:val="0"/>
          <w:color w:val="000000"/>
          <w:spacing w:val="2"/>
          <w:sz w:val="32"/>
          <w:szCs w:val="32"/>
          <w:lang w:eastAsia="zh-CN"/>
        </w:rPr>
        <w:t>同时</w:t>
      </w:r>
      <w:r>
        <w:rPr>
          <w:rFonts w:ascii="仿宋_GB2312" w:eastAsia="仿宋_GB2312" w:hint="eastAsia"/>
          <w:snapToGrid w:val="0"/>
          <w:color w:val="000000"/>
          <w:spacing w:val="2"/>
          <w:sz w:val="32"/>
          <w:szCs w:val="32"/>
          <w:lang w:eastAsia="zh-CN"/>
        </w:rPr>
        <w:t>，乙方需</w:t>
      </w:r>
      <w:r>
        <w:rPr>
          <w:rFonts w:ascii="仿宋_GB2312" w:eastAsia="仿宋_GB2312"/>
          <w:snapToGrid w:val="0"/>
          <w:color w:val="000000"/>
          <w:spacing w:val="2"/>
          <w:sz w:val="32"/>
          <w:szCs w:val="32"/>
          <w:lang w:eastAsia="zh-CN"/>
        </w:rPr>
        <w:t>为</w:t>
      </w:r>
      <w:r>
        <w:rPr>
          <w:rFonts w:ascii="仿宋_GB2312" w:eastAsia="仿宋_GB2312" w:hint="eastAsia"/>
          <w:snapToGrid w:val="0"/>
          <w:color w:val="000000"/>
          <w:spacing w:val="2"/>
          <w:sz w:val="32"/>
          <w:szCs w:val="32"/>
          <w:lang w:eastAsia="zh-CN"/>
        </w:rPr>
        <w:t>翠竹街道综合文体中心运营项目</w:t>
      </w:r>
      <w:r>
        <w:rPr>
          <w:rFonts w:ascii="仿宋_GB2312" w:eastAsia="仿宋_GB2312"/>
          <w:snapToGrid w:val="0"/>
          <w:color w:val="000000"/>
          <w:spacing w:val="2"/>
          <w:sz w:val="32"/>
          <w:szCs w:val="32"/>
          <w:lang w:eastAsia="zh-CN"/>
        </w:rPr>
        <w:t>提供物业服务</w:t>
      </w:r>
      <w:r>
        <w:rPr>
          <w:rFonts w:ascii="仿宋_GB2312" w:eastAsia="仿宋_GB2312" w:hint="eastAsia"/>
          <w:snapToGrid w:val="0"/>
          <w:color w:val="000000"/>
          <w:spacing w:val="2"/>
          <w:sz w:val="32"/>
          <w:szCs w:val="32"/>
          <w:lang w:eastAsia="zh-CN"/>
        </w:rPr>
        <w:t>，或向提供物业服务的机构支付物业费用</w:t>
      </w:r>
      <w:r>
        <w:rPr>
          <w:rFonts w:ascii="仿宋_GB2312" w:eastAsia="仿宋_GB2312"/>
          <w:snapToGrid w:val="0"/>
          <w:color w:val="000000"/>
          <w:spacing w:val="2"/>
          <w:sz w:val="32"/>
          <w:szCs w:val="32"/>
          <w:lang w:eastAsia="zh-CN"/>
        </w:rPr>
        <w:t>。</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运营期满后，乙方应将项目资产（乙方运营期初接收的资产、项目设施、设备及与之相关的零部件、备品备件；本项目改造、管理和维护的档案资料、手册、图纸等；与本项目持续运营相关的资产；与本项目有关的未到期的保险受益权、保修权益（如有）等</w:t>
      </w:r>
      <w:r>
        <w:rPr>
          <w:rFonts w:ascii="仿宋_GB2312" w:eastAsia="仿宋_GB2312" w:hint="eastAsia"/>
          <w:snapToGrid w:val="0"/>
          <w:color w:val="000000"/>
          <w:spacing w:val="2"/>
          <w:sz w:val="32"/>
          <w:szCs w:val="32"/>
          <w:lang w:eastAsia="zh-CN"/>
        </w:rPr>
        <w:t>）</w:t>
      </w:r>
      <w:r>
        <w:rPr>
          <w:rFonts w:ascii="仿宋_GB2312" w:eastAsia="仿宋_GB2312"/>
          <w:snapToGrid w:val="0"/>
          <w:color w:val="000000"/>
          <w:spacing w:val="2"/>
          <w:sz w:val="32"/>
          <w:szCs w:val="32"/>
          <w:lang w:eastAsia="zh-CN"/>
        </w:rPr>
        <w:t>无偿移交给甲方或</w:t>
      </w:r>
      <w:r>
        <w:rPr>
          <w:rFonts w:ascii="仿宋_GB2312" w:eastAsia="仿宋_GB2312" w:hint="eastAsia"/>
          <w:snapToGrid w:val="0"/>
          <w:color w:val="000000"/>
          <w:spacing w:val="2"/>
          <w:sz w:val="32"/>
          <w:szCs w:val="32"/>
          <w:lang w:eastAsia="zh-CN"/>
        </w:rPr>
        <w:t>甲方</w:t>
      </w:r>
      <w:r>
        <w:rPr>
          <w:rFonts w:ascii="仿宋_GB2312" w:eastAsia="仿宋_GB2312"/>
          <w:snapToGrid w:val="0"/>
          <w:color w:val="000000"/>
          <w:spacing w:val="2"/>
          <w:sz w:val="32"/>
          <w:szCs w:val="32"/>
          <w:lang w:eastAsia="zh-CN"/>
        </w:rPr>
        <w:t>指定机构</w:t>
      </w:r>
      <w:r>
        <w:rPr>
          <w:rFonts w:ascii="仿宋_GB2312" w:eastAsia="仿宋_GB2312" w:hint="eastAsia"/>
          <w:snapToGrid w:val="0"/>
          <w:color w:val="000000"/>
          <w:spacing w:val="2"/>
          <w:sz w:val="32"/>
          <w:szCs w:val="32"/>
          <w:lang w:eastAsia="zh-CN"/>
        </w:rPr>
        <w:t>。</w:t>
      </w:r>
      <w:r>
        <w:rPr>
          <w:rFonts w:ascii="仿宋GB-2312" w:eastAsia="仿宋GB-2312" w:hAnsi="Arial" w:cs="Arial" w:hint="eastAsia"/>
          <w:snapToGrid w:val="0"/>
          <w:color w:val="000000"/>
          <w:spacing w:val="2"/>
          <w:sz w:val="32"/>
          <w:szCs w:val="32"/>
          <w:lang w:eastAsia="zh-CN"/>
        </w:rPr>
        <w:t>无偿移交的资产范围不包含乙方购置的非建筑功能需求的展示品、艺术品、可移动软装（含可移动设备）、办公家具等。</w:t>
      </w:r>
      <w:r>
        <w:rPr>
          <w:rFonts w:ascii="仿宋_GB2312" w:eastAsia="仿宋_GB2312" w:hAnsi="仿宋_GB2312" w:cs="仿宋_GB2312" w:hint="eastAsia"/>
          <w:snapToGrid w:val="0"/>
          <w:color w:val="000000"/>
          <w:sz w:val="32"/>
          <w:szCs w:val="32"/>
          <w:lang w:eastAsia="zh-CN"/>
        </w:rPr>
        <w:t>乙方</w:t>
      </w:r>
      <w:r>
        <w:rPr>
          <w:rFonts w:ascii="仿宋_GB2312" w:eastAsia="仿宋_GB2312" w:hAnsi="仿宋_GB2312" w:cs="仿宋_GB2312"/>
          <w:snapToGrid w:val="0"/>
          <w:color w:val="000000"/>
          <w:sz w:val="32"/>
          <w:szCs w:val="32"/>
          <w:lang w:eastAsia="zh-CN"/>
        </w:rPr>
        <w:t>应确保移交的项目全部资产不存在任何抵押、质押等担保权益或权利约束，亦不得存在与本项目相关的由</w:t>
      </w:r>
      <w:r>
        <w:rPr>
          <w:rFonts w:ascii="仿宋_GB2312" w:eastAsia="仿宋_GB2312" w:hAnsi="仿宋_GB2312" w:cs="仿宋_GB2312" w:hint="eastAsia"/>
          <w:snapToGrid w:val="0"/>
          <w:color w:val="000000"/>
          <w:sz w:val="32"/>
          <w:szCs w:val="32"/>
          <w:lang w:eastAsia="zh-CN"/>
        </w:rPr>
        <w:t>乙方</w:t>
      </w:r>
      <w:r>
        <w:rPr>
          <w:rFonts w:ascii="仿宋_GB2312" w:eastAsia="仿宋_GB2312" w:hAnsi="仿宋_GB2312" w:cs="仿宋_GB2312"/>
          <w:snapToGrid w:val="0"/>
          <w:color w:val="000000"/>
          <w:sz w:val="32"/>
          <w:szCs w:val="32"/>
          <w:lang w:eastAsia="zh-CN"/>
        </w:rPr>
        <w:t>引起的行政处罚或民事争议。项目设施应符合本项目运营维护所需的技术、安全和环保标准，并</w:t>
      </w:r>
      <w:r>
        <w:rPr>
          <w:rFonts w:ascii="仿宋_GB2312" w:eastAsia="仿宋_GB2312" w:hAnsi="仿宋_GB2312" w:cs="仿宋_GB2312" w:hint="eastAsia"/>
          <w:snapToGrid w:val="0"/>
          <w:color w:val="000000"/>
          <w:sz w:val="32"/>
          <w:szCs w:val="32"/>
          <w:lang w:eastAsia="zh-CN"/>
        </w:rPr>
        <w:t>具有良</w:t>
      </w:r>
      <w:r>
        <w:rPr>
          <w:rFonts w:ascii="仿宋_GB2312" w:eastAsia="仿宋_GB2312" w:hAnsi="仿宋_GB2312" w:cs="仿宋_GB2312"/>
          <w:snapToGrid w:val="0"/>
          <w:color w:val="000000"/>
          <w:sz w:val="32"/>
          <w:szCs w:val="32"/>
          <w:lang w:eastAsia="zh-CN"/>
        </w:rPr>
        <w:t>好的运营状况</w:t>
      </w:r>
      <w:r>
        <w:rPr>
          <w:rFonts w:ascii="仿宋_GB2312" w:eastAsia="仿宋_GB2312" w:hAnsi="仿宋_GB2312" w:cs="仿宋_GB2312" w:hint="eastAsia"/>
          <w:snapToGrid w:val="0"/>
          <w:color w:val="000000"/>
          <w:sz w:val="32"/>
          <w:szCs w:val="32"/>
          <w:lang w:eastAsia="zh-CN"/>
        </w:rPr>
        <w:t>。</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int="eastAsia"/>
          <w:snapToGrid w:val="0"/>
          <w:spacing w:val="2"/>
          <w:sz w:val="32"/>
          <w:szCs w:val="32"/>
          <w:lang w:eastAsia="zh-CN"/>
        </w:rPr>
      </w:pPr>
      <w:r>
        <w:rPr>
          <w:rFonts w:ascii="仿宋_GB2312" w:eastAsia="仿宋_GB2312" w:hAnsi="仿宋_GB2312" w:cs="仿宋_GB2312" w:hint="eastAsia"/>
          <w:snapToGrid w:val="0"/>
          <w:sz w:val="32"/>
          <w:szCs w:val="32"/>
          <w:lang w:eastAsia="zh-CN"/>
        </w:rPr>
        <w:t>运营期满后，由甲方重新组织采购招标事宜。</w:t>
      </w:r>
    </w:p>
    <w:p>
      <w:pPr>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2.2 运营资产范围</w:t>
      </w:r>
    </w:p>
    <w:p>
      <w:pPr>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本项目运营期内，甲方拥有本项目资产所有权，乙方独家及排他的拥有项目资产运营权，负责对项目资产范围内房屋建筑、构筑物、文体设施设备及其他配套设施运营与维护管养，并提供符合要求的公共服务内容。</w:t>
      </w:r>
    </w:p>
    <w:p>
      <w:pPr>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乙方运营的项目资产包括：</w:t>
      </w:r>
    </w:p>
    <w:p>
      <w:pPr>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罗湖区益田御龙天地7栋1-2楼的建筑物</w:t>
      </w:r>
      <w:r>
        <w:rPr>
          <w:rFonts w:ascii="仿宋_GB2312" w:eastAsia="仿宋_GB2312"/>
          <w:snapToGrid w:val="0"/>
          <w:color w:val="000000"/>
          <w:spacing w:val="2"/>
          <w:sz w:val="32"/>
          <w:szCs w:val="32"/>
          <w:lang w:eastAsia="zh-CN"/>
        </w:rPr>
        <w:t>，建筑面积</w:t>
      </w:r>
      <w:r>
        <w:rPr>
          <w:rFonts w:ascii="仿宋_GB2312" w:eastAsia="仿宋_GB2312" w:hint="eastAsia"/>
          <w:snapToGrid w:val="0"/>
          <w:color w:val="000000"/>
          <w:spacing w:val="2"/>
          <w:sz w:val="32"/>
          <w:szCs w:val="32"/>
          <w:lang w:eastAsia="zh-CN"/>
        </w:rPr>
        <w:t>约为</w:t>
      </w:r>
      <w:r>
        <w:rPr>
          <w:rFonts w:ascii="仿宋_GB2312" w:eastAsia="仿宋_GB2312" w:hint="eastAsia"/>
          <w:snapToGrid w:val="0"/>
          <w:color w:val="000000"/>
          <w:spacing w:val="2"/>
          <w:sz w:val="32"/>
          <w:szCs w:val="32"/>
          <w:lang w:eastAsia="zh-CN"/>
        </w:rPr>
        <w:t>1500</w:t>
      </w:r>
      <w:r>
        <w:rPr>
          <w:rFonts w:ascii="仿宋_GB2312" w:eastAsia="仿宋_GB2312" w:hint="eastAsia"/>
          <w:snapToGrid w:val="0"/>
          <w:color w:val="000000"/>
          <w:spacing w:val="2"/>
          <w:sz w:val="32"/>
          <w:szCs w:val="32"/>
          <w:lang w:eastAsia="zh-CN"/>
        </w:rPr>
        <w:t>平方米</w:t>
      </w:r>
      <w:r>
        <w:rPr>
          <w:rFonts w:ascii="仿宋_GB2312" w:eastAsia="仿宋_GB2312"/>
          <w:snapToGrid w:val="0"/>
          <w:color w:val="000000"/>
          <w:spacing w:val="2"/>
          <w:sz w:val="32"/>
          <w:szCs w:val="32"/>
          <w:lang w:eastAsia="zh-CN"/>
        </w:rPr>
        <w:t>；</w:t>
      </w:r>
    </w:p>
    <w:p>
      <w:pPr>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（2）《项目资产清单》列明的其他资产（如有）。</w:t>
      </w:r>
    </w:p>
    <w:p>
      <w:pPr>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项目资产详见本合同附件二《项目运营范围划分示意图》及附件三《项目资产清单》。</w:t>
      </w:r>
    </w:p>
    <w:p>
      <w:pPr>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如后续本项目资产交付时，资产范围及内容与本条约定存</w:t>
      </w:r>
      <w:r>
        <w:rPr>
          <w:rFonts w:ascii="仿宋_GB2312" w:eastAsia="仿宋_GB2312"/>
          <w:snapToGrid w:val="0"/>
          <w:color w:val="000000"/>
          <w:spacing w:val="2"/>
          <w:sz w:val="32"/>
          <w:szCs w:val="32"/>
          <w:lang w:eastAsia="zh-CN"/>
        </w:rPr>
        <w:t>在差异，以交付时资产范围为准。双方依据实际可运营面积调整本项目资产范围、公益性服务及绩效考核指标等内容，具体双方后续协商确定。</w:t>
      </w:r>
    </w:p>
    <w:p>
      <w:pPr>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2.3 运营期</w:t>
      </w:r>
    </w:p>
    <w:p>
      <w:pPr>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ascii="仿宋" w:eastAsia="仿宋" w:hAnsi="仿宋" w:cs="仿宋" w:hint="eastAsia"/>
          <w:snapToGrid w:val="0"/>
          <w:color w:val="000000"/>
          <w:sz w:val="32"/>
          <w:szCs w:val="32"/>
          <w:lang w:eastAsia="zh-CN"/>
        </w:rPr>
      </w:pPr>
      <w:r>
        <w:rPr>
          <w:rFonts w:ascii="仿宋_GB2312" w:eastAsia="仿宋_GB2312"/>
          <w:snapToGrid w:val="0"/>
          <w:color w:val="000000"/>
          <w:spacing w:val="2"/>
          <w:sz w:val="32"/>
          <w:szCs w:val="32"/>
          <w:lang w:eastAsia="zh-CN"/>
        </w:rPr>
        <w:t>项目运营期指自</w:t>
      </w:r>
      <w:r>
        <w:rPr>
          <w:rFonts w:ascii="仿宋_GB2312" w:eastAsia="仿宋_GB2312" w:hint="eastAsia"/>
          <w:snapToGrid w:val="0"/>
          <w:color w:val="000000"/>
          <w:spacing w:val="2"/>
          <w:sz w:val="32"/>
          <w:szCs w:val="32"/>
          <w:lang w:eastAsia="zh-CN"/>
        </w:rPr>
        <w:t>合同签订</w:t>
      </w:r>
      <w:r>
        <w:rPr>
          <w:rFonts w:ascii="仿宋_GB2312" w:eastAsia="仿宋_GB2312"/>
          <w:snapToGrid w:val="0"/>
          <w:color w:val="000000"/>
          <w:spacing w:val="2"/>
          <w:sz w:val="32"/>
          <w:szCs w:val="32"/>
          <w:lang w:eastAsia="zh-CN"/>
        </w:rPr>
        <w:t>之日开始至项目合作期满，项目运营期限为【</w:t>
      </w:r>
      <w:r>
        <w:rPr>
          <w:rFonts w:ascii="仿宋_GB2312" w:eastAsia="仿宋_GB2312" w:hint="eastAsia"/>
          <w:snapToGrid w:val="0"/>
          <w:color w:val="000000"/>
          <w:spacing w:val="2"/>
          <w:sz w:val="32"/>
          <w:szCs w:val="32"/>
          <w:lang w:eastAsia="zh-CN"/>
        </w:rPr>
        <w:t>5</w:t>
      </w:r>
      <w:r>
        <w:rPr>
          <w:rFonts w:ascii="仿宋_GB2312" w:eastAsia="仿宋_GB2312"/>
          <w:snapToGrid w:val="0"/>
          <w:color w:val="000000"/>
          <w:spacing w:val="2"/>
          <w:sz w:val="32"/>
          <w:szCs w:val="32"/>
          <w:lang w:eastAsia="zh-CN"/>
        </w:rPr>
        <w:t>】年。</w:t>
      </w:r>
      <w:r>
        <w:rPr>
          <w:rFonts w:ascii="仿宋" w:eastAsia="仿宋" w:hAnsi="仿宋" w:cs="仿宋"/>
          <w:snapToGrid w:val="0"/>
          <w:color w:val="000000"/>
          <w:spacing w:val="-27"/>
          <w:sz w:val="32"/>
          <w:szCs w:val="32"/>
          <w:lang w:eastAsia="zh-CN"/>
        </w:rPr>
        <w:t>即【</w:t>
      </w:r>
      <w:r>
        <w:rPr>
          <w:rFonts w:ascii="仿宋" w:eastAsia="仿宋" w:hAnsi="仿宋" w:cs="仿宋"/>
          <w:snapToGrid w:val="0"/>
          <w:color w:val="000000"/>
          <w:spacing w:val="25"/>
          <w:sz w:val="32"/>
          <w:szCs w:val="32"/>
          <w:lang w:eastAsia="zh-CN"/>
        </w:rPr>
        <w:t xml:space="preserve">    </w:t>
      </w:r>
      <w:r>
        <w:rPr>
          <w:rFonts w:ascii="仿宋" w:eastAsia="仿宋" w:hAnsi="仿宋" w:cs="仿宋"/>
          <w:snapToGrid w:val="0"/>
          <w:color w:val="000000"/>
          <w:spacing w:val="-27"/>
          <w:sz w:val="32"/>
          <w:szCs w:val="32"/>
          <w:lang w:eastAsia="zh-CN"/>
        </w:rPr>
        <w:t>】年【</w:t>
      </w:r>
      <w:r>
        <w:rPr>
          <w:rFonts w:ascii="仿宋" w:eastAsia="仿宋" w:hAnsi="仿宋" w:cs="仿宋"/>
          <w:snapToGrid w:val="0"/>
          <w:color w:val="000000"/>
          <w:spacing w:val="43"/>
          <w:sz w:val="32"/>
          <w:szCs w:val="32"/>
          <w:lang w:eastAsia="zh-CN"/>
        </w:rPr>
        <w:t xml:space="preserve">  </w:t>
      </w:r>
      <w:r>
        <w:rPr>
          <w:rFonts w:ascii="仿宋" w:eastAsia="仿宋" w:hAnsi="仿宋" w:cs="仿宋"/>
          <w:snapToGrid w:val="0"/>
          <w:color w:val="000000"/>
          <w:spacing w:val="-27"/>
          <w:sz w:val="32"/>
          <w:szCs w:val="32"/>
          <w:lang w:eastAsia="zh-CN"/>
        </w:rPr>
        <w:t>】月【</w:t>
      </w:r>
      <w:r>
        <w:rPr>
          <w:rFonts w:ascii="仿宋" w:eastAsia="仿宋" w:hAnsi="仿宋" w:cs="仿宋"/>
          <w:snapToGrid w:val="0"/>
          <w:color w:val="000000"/>
          <w:spacing w:val="44"/>
          <w:sz w:val="32"/>
          <w:szCs w:val="32"/>
          <w:lang w:eastAsia="zh-CN"/>
        </w:rPr>
        <w:t xml:space="preserve">  </w:t>
      </w:r>
      <w:r>
        <w:rPr>
          <w:rFonts w:ascii="仿宋" w:eastAsia="仿宋" w:hAnsi="仿宋" w:cs="仿宋"/>
          <w:snapToGrid w:val="0"/>
          <w:color w:val="000000"/>
          <w:spacing w:val="-27"/>
          <w:sz w:val="32"/>
          <w:szCs w:val="32"/>
          <w:lang w:eastAsia="zh-CN"/>
        </w:rPr>
        <w:t>】</w:t>
      </w:r>
      <w:r>
        <w:rPr>
          <w:rFonts w:ascii="仿宋" w:eastAsia="仿宋" w:hAnsi="仿宋" w:cs="仿宋"/>
          <w:snapToGrid w:val="0"/>
          <w:color w:val="000000"/>
          <w:spacing w:val="-74"/>
          <w:sz w:val="32"/>
          <w:szCs w:val="32"/>
          <w:lang w:eastAsia="zh-CN"/>
        </w:rPr>
        <w:t xml:space="preserve"> </w:t>
      </w:r>
      <w:r>
        <w:rPr>
          <w:rFonts w:ascii="仿宋" w:eastAsia="仿宋" w:hAnsi="仿宋" w:cs="仿宋"/>
          <w:snapToGrid w:val="0"/>
          <w:color w:val="000000"/>
          <w:spacing w:val="-27"/>
          <w:sz w:val="32"/>
          <w:szCs w:val="32"/>
          <w:lang w:eastAsia="zh-CN"/>
        </w:rPr>
        <w:t>日至【</w:t>
      </w:r>
      <w:r>
        <w:rPr>
          <w:rFonts w:ascii="仿宋" w:eastAsia="仿宋" w:hAnsi="仿宋" w:cs="仿宋"/>
          <w:snapToGrid w:val="0"/>
          <w:color w:val="000000"/>
          <w:spacing w:val="10"/>
          <w:sz w:val="32"/>
          <w:szCs w:val="32"/>
          <w:lang w:eastAsia="zh-CN"/>
        </w:rPr>
        <w:t xml:space="preserve">    </w:t>
      </w:r>
      <w:r>
        <w:rPr>
          <w:rFonts w:ascii="仿宋" w:eastAsia="仿宋" w:hAnsi="仿宋" w:cs="仿宋"/>
          <w:snapToGrid w:val="0"/>
          <w:color w:val="000000"/>
          <w:spacing w:val="-27"/>
          <w:sz w:val="32"/>
          <w:szCs w:val="32"/>
          <w:lang w:eastAsia="zh-CN"/>
        </w:rPr>
        <w:t>】年【</w:t>
      </w:r>
      <w:r>
        <w:rPr>
          <w:rFonts w:ascii="仿宋" w:eastAsia="仿宋" w:hAnsi="仿宋" w:cs="仿宋"/>
          <w:snapToGrid w:val="0"/>
          <w:color w:val="000000"/>
          <w:spacing w:val="22"/>
          <w:sz w:val="32"/>
          <w:szCs w:val="32"/>
          <w:lang w:eastAsia="zh-CN"/>
        </w:rPr>
        <w:t xml:space="preserve">  </w:t>
      </w:r>
      <w:r>
        <w:rPr>
          <w:rFonts w:ascii="仿宋" w:eastAsia="仿宋" w:hAnsi="仿宋" w:cs="仿宋"/>
          <w:snapToGrid w:val="0"/>
          <w:color w:val="000000"/>
          <w:spacing w:val="-27"/>
          <w:sz w:val="32"/>
          <w:szCs w:val="32"/>
          <w:lang w:eastAsia="zh-CN"/>
        </w:rPr>
        <w:t>】月</w:t>
      </w:r>
      <w:r>
        <w:rPr>
          <w:rFonts w:ascii="仿宋" w:eastAsia="仿宋" w:hAnsi="仿宋" w:cs="仿宋"/>
          <w:snapToGrid w:val="0"/>
          <w:color w:val="000000"/>
          <w:spacing w:val="-44"/>
          <w:sz w:val="32"/>
          <w:szCs w:val="32"/>
          <w:lang w:eastAsia="zh-CN"/>
        </w:rPr>
        <w:t>【</w:t>
      </w:r>
      <w:r>
        <w:rPr>
          <w:rFonts w:ascii="仿宋" w:eastAsia="仿宋" w:hAnsi="仿宋" w:cs="仿宋"/>
          <w:snapToGrid w:val="0"/>
          <w:color w:val="000000"/>
          <w:spacing w:val="44"/>
          <w:sz w:val="32"/>
          <w:szCs w:val="32"/>
          <w:lang w:eastAsia="zh-CN"/>
        </w:rPr>
        <w:t xml:space="preserve">  </w:t>
      </w:r>
      <w:r>
        <w:rPr>
          <w:rFonts w:ascii="仿宋" w:eastAsia="仿宋" w:hAnsi="仿宋" w:cs="仿宋"/>
          <w:snapToGrid w:val="0"/>
          <w:color w:val="000000"/>
          <w:spacing w:val="-44"/>
          <w:sz w:val="32"/>
          <w:szCs w:val="32"/>
          <w:lang w:eastAsia="zh-CN"/>
        </w:rPr>
        <w:t>】日。</w:t>
      </w:r>
    </w:p>
    <w:p>
      <w:pPr>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2.4 运营内容</w:t>
      </w:r>
    </w:p>
    <w:p>
      <w:pPr>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乙方在运营期限内独占、排他地享有对本项目资产的经营权和使用权，运营内容包括但不限于：</w:t>
      </w:r>
    </w:p>
    <w:p>
      <w:pPr>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公益服务</w:t>
      </w:r>
    </w:p>
    <w:p>
      <w:pPr>
        <w:pageBreakBefore w:val="0"/>
        <w:widowControl/>
        <w:kinsoku/>
        <w:wordWrap/>
        <w:overflowPunct/>
        <w:topLine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合作期内，乙方须按照本合同的约定提供符合要求的文化艺术类展演展示、文艺培训和讲座等公益性服务，公益性</w:t>
      </w:r>
      <w:r>
        <w:rPr>
          <w:rFonts w:ascii="仿宋_GB2312" w:eastAsia="仿宋_GB2312"/>
          <w:snapToGrid w:val="0"/>
          <w:color w:val="000000"/>
          <w:spacing w:val="2"/>
          <w:sz w:val="32"/>
          <w:szCs w:val="32"/>
          <w:lang w:eastAsia="zh-CN"/>
        </w:rPr>
        <w:t>要求</w:t>
      </w:r>
      <w:r>
        <w:rPr>
          <w:rFonts w:ascii="仿宋_GB2312" w:eastAsia="仿宋_GB2312" w:hint="eastAsia"/>
          <w:snapToGrid w:val="0"/>
          <w:color w:val="000000"/>
          <w:spacing w:val="2"/>
          <w:sz w:val="32"/>
          <w:szCs w:val="32"/>
          <w:lang w:eastAsia="zh-CN"/>
        </w:rPr>
        <w:t>如下</w:t>
      </w:r>
      <w:r>
        <w:rPr>
          <w:rFonts w:ascii="仿宋_GB2312" w:eastAsia="仿宋_GB2312"/>
          <w:snapToGrid w:val="0"/>
          <w:color w:val="000000"/>
          <w:spacing w:val="2"/>
          <w:sz w:val="32"/>
          <w:szCs w:val="32"/>
          <w:lang w:eastAsia="zh-CN"/>
        </w:rPr>
        <w:t>：</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92"/>
        <w:gridCol w:w="736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33"/>
          <w:jc w:val="center"/>
        </w:trPr>
        <w:tc>
          <w:tcPr>
            <w:tcW w:w="1692" w:type="dxa"/>
            <w:noWrap w:val="0"/>
            <w:vAlign w:val="center"/>
          </w:tcPr>
          <w:p>
            <w:pPr>
              <w:pageBreakBefore w:val="0"/>
              <w:widowControl w:val="0"/>
              <w:kinsoku w:val="0"/>
              <w:wordWrap/>
              <w:overflowPunct/>
              <w:autoSpaceDE w:val="0"/>
              <w:autoSpaceDN w:val="0"/>
              <w:bidi w:val="0"/>
              <w:adjustRightInd w:val="0"/>
              <w:snapToGrid w:val="0"/>
              <w:spacing w:line="600" w:lineRule="exact"/>
              <w:ind w:right="0"/>
              <w:jc w:val="both"/>
              <w:textAlignment w:val="baseline"/>
              <w:rPr>
                <w:rFonts w:ascii="仿宋_GB2312" w:eastAsia="仿宋_GB2312"/>
                <w:spacing w:val="2"/>
                <w:lang w:eastAsia="zh-CN"/>
              </w:rPr>
            </w:pPr>
            <w:r>
              <w:rPr>
                <w:rFonts w:ascii="仿宋_GB2312" w:eastAsia="仿宋_GB2312"/>
                <w:spacing w:val="2"/>
                <w:lang w:eastAsia="zh-CN"/>
              </w:rPr>
              <w:t>1</w:t>
            </w:r>
            <w:r>
              <w:rPr>
                <w:rFonts w:ascii="仿宋_GB2312" w:eastAsia="仿宋_GB2312" w:hint="eastAsia"/>
                <w:spacing w:val="2"/>
                <w:lang w:eastAsia="zh-CN"/>
              </w:rPr>
              <w:t>、公共文化</w:t>
            </w:r>
            <w:r>
              <w:rPr>
                <w:rFonts w:ascii="仿宋_GB2312" w:eastAsia="仿宋_GB2312"/>
                <w:spacing w:val="2"/>
                <w:lang w:eastAsia="zh-CN"/>
              </w:rPr>
              <w:t>设施配置</w:t>
            </w:r>
          </w:p>
        </w:tc>
        <w:tc>
          <w:tcPr>
            <w:tcW w:w="7367" w:type="dxa"/>
            <w:noWrap w:val="0"/>
            <w:vAlign w:val="center"/>
          </w:tcPr>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（1）站舍</w:t>
            </w:r>
            <w:r>
              <w:rPr>
                <w:rFonts w:ascii="仿宋_GB2312" w:eastAsia="仿宋_GB2312"/>
                <w:spacing w:val="2"/>
                <w:lang w:eastAsia="zh-CN"/>
              </w:rPr>
              <w:t>建筑面积：</w:t>
            </w:r>
            <w:r>
              <w:rPr>
                <w:rFonts w:ascii="仿宋_GB2312" w:eastAsia="仿宋_GB2312" w:hint="eastAsia"/>
                <w:spacing w:val="2"/>
                <w:lang w:eastAsia="zh-CN"/>
              </w:rPr>
              <w:t>建设</w:t>
            </w:r>
            <w:r>
              <w:rPr>
                <w:rFonts w:ascii="仿宋_GB2312" w:eastAsia="仿宋_GB2312"/>
                <w:spacing w:val="2"/>
                <w:lang w:eastAsia="zh-CN"/>
              </w:rPr>
              <w:t>1</w:t>
            </w:r>
            <w:r>
              <w:rPr>
                <w:rFonts w:ascii="仿宋_GB2312" w:eastAsia="仿宋_GB2312" w:hint="eastAsia"/>
                <w:spacing w:val="2"/>
                <w:lang w:eastAsia="zh-CN"/>
              </w:rPr>
              <w:t>个综合性文化服务中心</w:t>
            </w:r>
            <w:r>
              <w:rPr>
                <w:rFonts w:ascii="仿宋_GB2312" w:eastAsia="仿宋_GB2312"/>
                <w:spacing w:val="2"/>
                <w:lang w:eastAsia="zh-CN"/>
              </w:rPr>
              <w:t>,</w:t>
            </w:r>
            <w:r>
              <w:rPr>
                <w:rFonts w:ascii="仿宋_GB2312" w:eastAsia="仿宋_GB2312" w:hint="eastAsia"/>
                <w:spacing w:val="2"/>
                <w:lang w:eastAsia="zh-CN"/>
              </w:rPr>
              <w:t>室内建筑面积≥</w:t>
            </w:r>
            <w:r>
              <w:rPr>
                <w:rFonts w:ascii="仿宋_GB2312" w:eastAsia="仿宋_GB2312"/>
                <w:spacing w:val="2"/>
                <w:lang w:eastAsia="zh-CN"/>
              </w:rPr>
              <w:t>1500</w:t>
            </w:r>
            <w:r>
              <w:rPr>
                <w:rFonts w:ascii="仿宋_GB2312" w:eastAsia="仿宋_GB2312" w:hint="eastAsia"/>
                <w:spacing w:val="2"/>
                <w:lang w:eastAsia="zh-CN"/>
              </w:rPr>
              <w:t>平方米，具备图书阅读、文艺演出、展览展示、线上服务等功能。街道综合性文化服务中心建设应达到广东省特级站标准。</w:t>
            </w:r>
          </w:p>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（2）功能室</w:t>
            </w:r>
            <w:r>
              <w:rPr>
                <w:rFonts w:ascii="仿宋_GB2312" w:eastAsia="仿宋_GB2312"/>
                <w:spacing w:val="2"/>
                <w:lang w:eastAsia="zh-CN"/>
              </w:rPr>
              <w:t>设置</w:t>
            </w:r>
            <w:r>
              <w:rPr>
                <w:rFonts w:ascii="仿宋_GB2312" w:eastAsia="仿宋_GB2312" w:hint="eastAsia"/>
                <w:spacing w:val="2"/>
                <w:lang w:eastAsia="zh-CN"/>
              </w:rPr>
              <w:t>：</w:t>
            </w:r>
          </w:p>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①需集宣传文化、党员教育、科学普及、法制教育、体育健身功能于一体；</w:t>
            </w:r>
          </w:p>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②设有多功能厅、陈列展览室、辅导培训室、排练演出厅、文体娱乐室、综合阅览室和少儿、老年活动室等功能室，总数不少于10个，功能室标识清晰、醒目；</w:t>
            </w:r>
          </w:p>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③每个功能室不得少于30平方米；</w:t>
            </w:r>
          </w:p>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④鼓励配置影剧院。</w:t>
            </w:r>
          </w:p>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（3）数字化服务设施配置:</w:t>
            </w:r>
          </w:p>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①馆内免费网络全覆盖；</w:t>
            </w:r>
          </w:p>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②公用上网设备不少于3台；</w:t>
            </w:r>
          </w:p>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③建有标准配置的公共电子阅览室。</w:t>
            </w:r>
          </w:p>
        </w:tc>
      </w:tr>
      <w:tr>
        <w:tblPrEx>
          <w:tblW w:w="5000" w:type="pct"/>
          <w:jc w:val="center"/>
          <w:tblLayout w:type="fixed"/>
          <w:tblCellMar>
            <w:top w:w="0" w:type="dxa"/>
            <w:left w:w="108" w:type="dxa"/>
            <w:bottom w:w="0" w:type="dxa"/>
            <w:right w:w="108" w:type="dxa"/>
          </w:tblCellMar>
        </w:tblPrEx>
        <w:trPr>
          <w:trHeight w:val="2682"/>
          <w:jc w:val="center"/>
        </w:trPr>
        <w:tc>
          <w:tcPr>
            <w:tcW w:w="1692" w:type="dxa"/>
            <w:noWrap w:val="0"/>
            <w:vAlign w:val="center"/>
          </w:tcPr>
          <w:p>
            <w:pPr>
              <w:pageBreakBefore w:val="0"/>
              <w:widowControl w:val="0"/>
              <w:kinsoku w:val="0"/>
              <w:wordWrap/>
              <w:overflowPunct/>
              <w:autoSpaceDE w:val="0"/>
              <w:autoSpaceDN w:val="0"/>
              <w:bidi w:val="0"/>
              <w:adjustRightInd w:val="0"/>
              <w:snapToGrid w:val="0"/>
              <w:spacing w:line="600" w:lineRule="exact"/>
              <w:ind w:right="0"/>
              <w:jc w:val="both"/>
              <w:textAlignment w:val="baseline"/>
              <w:rPr>
                <w:rFonts w:ascii="仿宋_GB2312" w:eastAsia="仿宋_GB2312"/>
                <w:spacing w:val="2"/>
                <w:lang w:eastAsia="zh-CN"/>
              </w:rPr>
            </w:pPr>
            <w:r>
              <w:rPr>
                <w:rFonts w:ascii="仿宋_GB2312" w:eastAsia="仿宋_GB2312" w:hint="eastAsia"/>
                <w:spacing w:val="2"/>
                <w:lang w:eastAsia="zh-CN"/>
              </w:rPr>
              <w:t>2、公共文化设施开放</w:t>
            </w:r>
          </w:p>
        </w:tc>
        <w:tc>
          <w:tcPr>
            <w:tcW w:w="7367" w:type="dxa"/>
            <w:noWrap w:val="0"/>
            <w:vAlign w:val="center"/>
          </w:tcPr>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（1）场馆按时开放；</w:t>
            </w:r>
          </w:p>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（2）每周开放时间≥48小时；</w:t>
            </w:r>
          </w:p>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（3）错峰开放时间不少于总开放时间的三分之一；</w:t>
            </w:r>
          </w:p>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（4）每年常设性公共文化服务项目不少于15项，陈列展览、群众文化活动项目年开放时间不少于100天；展览更新不少于2次；培训项目不少于40天；演出、讲座项目每月平均不少于1次纳入统计；</w:t>
            </w:r>
          </w:p>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hint="eastAsia"/>
                <w:spacing w:val="2"/>
                <w:lang w:eastAsia="zh-CN"/>
              </w:rPr>
            </w:pPr>
            <w:r>
              <w:rPr>
                <w:rFonts w:ascii="仿宋_GB2312" w:eastAsia="仿宋_GB2312" w:hint="eastAsia"/>
                <w:spacing w:val="2"/>
                <w:lang w:eastAsia="zh-CN"/>
              </w:rPr>
              <w:t>（5）场馆</w:t>
            </w:r>
            <w:r>
              <w:rPr>
                <w:rFonts w:ascii="仿宋_GB2312" w:eastAsia="仿宋_GB2312"/>
                <w:spacing w:val="2"/>
                <w:lang w:eastAsia="zh-CN"/>
              </w:rPr>
              <w:t>纳入“i</w:t>
            </w:r>
            <w:r>
              <w:rPr>
                <w:rFonts w:ascii="仿宋_GB2312" w:eastAsia="仿宋_GB2312" w:hint="eastAsia"/>
                <w:spacing w:val="2"/>
                <w:lang w:eastAsia="zh-CN"/>
              </w:rPr>
              <w:t>深圳</w:t>
            </w:r>
            <w:r>
              <w:rPr>
                <w:rFonts w:ascii="仿宋_GB2312" w:eastAsia="仿宋_GB2312"/>
                <w:spacing w:val="2"/>
                <w:lang w:eastAsia="zh-CN"/>
              </w:rPr>
              <w:t>”</w:t>
            </w:r>
            <w:r>
              <w:rPr>
                <w:rFonts w:ascii="仿宋_GB2312" w:eastAsia="仿宋_GB2312" w:hint="eastAsia"/>
                <w:spacing w:val="2"/>
                <w:lang w:eastAsia="zh-CN"/>
              </w:rPr>
              <w:t>一键预约</w:t>
            </w:r>
            <w:r>
              <w:rPr>
                <w:rFonts w:ascii="仿宋_GB2312" w:eastAsia="仿宋_GB2312"/>
                <w:spacing w:val="2"/>
                <w:lang w:eastAsia="zh-CN"/>
              </w:rPr>
              <w:t>平台</w:t>
            </w:r>
            <w:r>
              <w:rPr>
                <w:rFonts w:ascii="仿宋_GB2312" w:eastAsia="仿宋_GB2312" w:hint="eastAsia"/>
                <w:spacing w:val="2"/>
                <w:lang w:eastAsia="zh-CN"/>
              </w:rPr>
              <w:t>且实现有效预约；</w:t>
            </w:r>
          </w:p>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（6）公示文化服务内容情况，内容包括：项目，时间，地点，组织者。</w:t>
            </w:r>
          </w:p>
        </w:tc>
      </w:tr>
      <w:tr>
        <w:tblPrEx>
          <w:tblW w:w="5000" w:type="pct"/>
          <w:jc w:val="center"/>
          <w:tblLayout w:type="fixed"/>
          <w:tblCellMar>
            <w:top w:w="0" w:type="dxa"/>
            <w:left w:w="108" w:type="dxa"/>
            <w:bottom w:w="0" w:type="dxa"/>
            <w:right w:w="108" w:type="dxa"/>
          </w:tblCellMar>
        </w:tblPrEx>
        <w:trPr>
          <w:jc w:val="center"/>
        </w:trPr>
        <w:tc>
          <w:tcPr>
            <w:tcW w:w="1692" w:type="dxa"/>
            <w:noWrap w:val="0"/>
            <w:vAlign w:val="center"/>
          </w:tcPr>
          <w:p>
            <w:pPr>
              <w:pageBreakBefore w:val="0"/>
              <w:widowControl w:val="0"/>
              <w:kinsoku w:val="0"/>
              <w:wordWrap/>
              <w:overflowPunct/>
              <w:autoSpaceDE w:val="0"/>
              <w:autoSpaceDN w:val="0"/>
              <w:bidi w:val="0"/>
              <w:adjustRightInd w:val="0"/>
              <w:snapToGrid w:val="0"/>
              <w:spacing w:line="600" w:lineRule="exact"/>
              <w:ind w:right="0"/>
              <w:jc w:val="both"/>
              <w:textAlignment w:val="baseline"/>
              <w:rPr>
                <w:rFonts w:ascii="仿宋_GB2312" w:eastAsia="仿宋_GB2312"/>
                <w:spacing w:val="2"/>
                <w:lang w:eastAsia="zh-CN"/>
              </w:rPr>
            </w:pPr>
            <w:r>
              <w:rPr>
                <w:rFonts w:ascii="仿宋_GB2312" w:eastAsia="仿宋_GB2312" w:hint="eastAsia"/>
                <w:spacing w:val="2"/>
                <w:lang w:eastAsia="zh-CN"/>
              </w:rPr>
              <w:t>3、文化场馆</w:t>
            </w:r>
            <w:r>
              <w:rPr>
                <w:rFonts w:ascii="仿宋_GB2312" w:eastAsia="仿宋_GB2312"/>
                <w:spacing w:val="2"/>
                <w:lang w:eastAsia="zh-CN"/>
              </w:rPr>
              <w:t>服务</w:t>
            </w:r>
          </w:p>
        </w:tc>
        <w:tc>
          <w:tcPr>
            <w:tcW w:w="7367" w:type="dxa"/>
            <w:noWrap w:val="0"/>
            <w:vAlign w:val="center"/>
          </w:tcPr>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（1）街道综合性文化服务中心月均进站服务人次达到300人次（不含文体广场服务）；</w:t>
            </w:r>
          </w:p>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（2）街道综合性文化服务中心每年组织公益性文化活动（指面向全辖区群众、内容为综合性的活动）≥150场次，包括</w:t>
            </w:r>
            <w:r>
              <w:rPr>
                <w:rFonts w:ascii="仿宋_GB2312" w:eastAsia="仿宋_GB2312"/>
                <w:spacing w:val="2"/>
                <w:lang w:eastAsia="zh-CN"/>
              </w:rPr>
              <w:t>：</w:t>
            </w:r>
          </w:p>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①组织</w:t>
            </w:r>
            <w:r>
              <w:rPr>
                <w:rFonts w:ascii="仿宋_GB2312" w:eastAsia="仿宋_GB2312"/>
                <w:spacing w:val="2"/>
                <w:lang w:eastAsia="zh-CN"/>
              </w:rPr>
              <w:t>综合性大型活动</w:t>
            </w:r>
            <w:r>
              <w:rPr>
                <w:rFonts w:ascii="仿宋_GB2312" w:eastAsia="仿宋_GB2312" w:hint="eastAsia"/>
                <w:spacing w:val="2"/>
                <w:lang w:eastAsia="zh-CN"/>
              </w:rPr>
              <w:t>≥7场</w:t>
            </w:r>
            <w:r>
              <w:rPr>
                <w:rFonts w:ascii="仿宋_GB2312" w:eastAsia="仿宋_GB2312"/>
                <w:spacing w:val="2"/>
                <w:lang w:eastAsia="zh-CN"/>
              </w:rPr>
              <w:t>；</w:t>
            </w:r>
          </w:p>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②每年举办品牌活动或特色活动项目6个（持续开展3年以上的综合性大型文化活动）；</w:t>
            </w:r>
          </w:p>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③每年组织开展非物质文化遗产和民间文化艺术活动≥4次；</w:t>
            </w:r>
          </w:p>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④每年举办辖区文艺骨干文化培训不少于4期；</w:t>
            </w:r>
          </w:p>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⑤每年编辑文艺、信息等刊物、资料（期）不少于4期；</w:t>
            </w:r>
          </w:p>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⑥每年编印本地业务作者文艺作品集不少于3本；</w:t>
            </w:r>
          </w:p>
          <w:p>
            <w:pPr>
              <w:pageBreakBefore w:val="0"/>
              <w:widowControl w:val="0"/>
              <w:kinsoku w:val="0"/>
              <w:wordWrap/>
              <w:overflowPunct/>
              <w:autoSpaceDE w:val="0"/>
              <w:autoSpaceDN w:val="0"/>
              <w:bidi w:val="0"/>
              <w:adjustRightInd w:val="0"/>
              <w:snapToGrid w:val="0"/>
              <w:spacing w:line="600" w:lineRule="exact"/>
              <w:ind w:left="0" w:right="0" w:firstLine="480" w:firstLineChars="200"/>
              <w:jc w:val="both"/>
              <w:textAlignment w:val="baseline"/>
              <w:rPr>
                <w:rFonts w:ascii="仿宋_GB2312" w:eastAsia="仿宋_GB2312"/>
                <w:spacing w:val="2"/>
                <w:lang w:eastAsia="zh-CN"/>
              </w:rPr>
            </w:pPr>
            <w:r>
              <w:rPr>
                <w:rFonts w:ascii="仿宋_GB2312" w:eastAsia="仿宋_GB2312" w:hint="eastAsia"/>
                <w:spacing w:val="2"/>
                <w:lang w:eastAsia="zh-CN"/>
              </w:rPr>
              <w:t>⑦</w:t>
            </w:r>
            <w:r>
              <w:rPr>
                <w:rFonts w:ascii="仿宋_GB2312" w:eastAsia="仿宋_GB2312"/>
                <w:spacing w:val="2"/>
                <w:lang w:eastAsia="zh-CN"/>
              </w:rPr>
              <w:t>提供艺术普及门类不少于</w:t>
            </w:r>
            <w:r>
              <w:rPr>
                <w:rFonts w:ascii="仿宋_GB2312" w:eastAsia="仿宋_GB2312" w:hint="eastAsia"/>
                <w:spacing w:val="2"/>
                <w:lang w:eastAsia="zh-CN"/>
              </w:rPr>
              <w:t>6个。</w:t>
            </w:r>
          </w:p>
        </w:tc>
      </w:tr>
    </w:tbl>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乙方在提供公益服务过程中不得开展商业营销、诱导消费或开展预付费消费业务等有违公益性质的活动，一经发现或被投诉举报，乙方应当按照甲方要求完成整改，如造成群体性事件或其他严重影响的，视为乙方严重违约，乙方应承担赔偿责任。</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int="eastAsia"/>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公益性服务内容根据省、市、区相关文件或政策制定，如因政策变动或辖区民众文化服务需求需要紧急调整，甲方有权进行调整。</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w:t>
      </w:r>
      <w:r>
        <w:rPr>
          <w:rFonts w:ascii="仿宋_GB2312" w:eastAsia="仿宋_GB2312"/>
          <w:snapToGrid w:val="0"/>
          <w:color w:val="000000"/>
          <w:spacing w:val="2"/>
          <w:sz w:val="32"/>
          <w:szCs w:val="32"/>
          <w:lang w:eastAsia="zh-CN"/>
        </w:rPr>
        <w:t>2）经营活动</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在满足本合同2.4条</w:t>
      </w:r>
      <w:r>
        <w:rPr>
          <w:rFonts w:ascii="仿宋_GB2312" w:eastAsia="仿宋_GB2312" w:hint="eastAsia"/>
          <w:snapToGrid w:val="0"/>
          <w:color w:val="000000"/>
          <w:spacing w:val="2"/>
          <w:sz w:val="32"/>
          <w:szCs w:val="32"/>
          <w:lang w:eastAsia="zh-CN"/>
        </w:rPr>
        <w:t>约定</w:t>
      </w:r>
      <w:r>
        <w:rPr>
          <w:rFonts w:ascii="仿宋_GB2312" w:eastAsia="仿宋_GB2312"/>
          <w:snapToGrid w:val="0"/>
          <w:color w:val="000000"/>
          <w:spacing w:val="2"/>
          <w:sz w:val="32"/>
          <w:szCs w:val="32"/>
          <w:lang w:eastAsia="zh-CN"/>
        </w:rPr>
        <w:t>的公益性要求的前提下，乙方可利用本项目场地开展经营性活动，经营性活动的范围包括：文</w:t>
      </w:r>
      <w:r>
        <w:rPr>
          <w:rFonts w:ascii="仿宋_GB2312" w:eastAsia="仿宋_GB2312" w:hint="eastAsia"/>
          <w:snapToGrid w:val="0"/>
          <w:color w:val="000000"/>
          <w:spacing w:val="2"/>
          <w:sz w:val="32"/>
          <w:szCs w:val="32"/>
          <w:lang w:eastAsia="zh-CN"/>
        </w:rPr>
        <w:t>体</w:t>
      </w:r>
      <w:r>
        <w:rPr>
          <w:rFonts w:ascii="仿宋_GB2312" w:eastAsia="仿宋_GB2312"/>
          <w:snapToGrid w:val="0"/>
          <w:color w:val="000000"/>
          <w:spacing w:val="2"/>
          <w:sz w:val="32"/>
          <w:szCs w:val="32"/>
          <w:lang w:eastAsia="zh-CN"/>
        </w:rPr>
        <w:t>培训、文</w:t>
      </w:r>
      <w:r>
        <w:rPr>
          <w:rFonts w:ascii="仿宋_GB2312" w:eastAsia="仿宋_GB2312" w:hint="eastAsia"/>
          <w:snapToGrid w:val="0"/>
          <w:color w:val="000000"/>
          <w:spacing w:val="2"/>
          <w:sz w:val="32"/>
          <w:szCs w:val="32"/>
          <w:lang w:eastAsia="zh-CN"/>
        </w:rPr>
        <w:t>体</w:t>
      </w:r>
      <w:r>
        <w:rPr>
          <w:rFonts w:ascii="仿宋_GB2312" w:eastAsia="仿宋_GB2312"/>
          <w:snapToGrid w:val="0"/>
          <w:color w:val="000000"/>
          <w:spacing w:val="2"/>
          <w:sz w:val="32"/>
          <w:szCs w:val="32"/>
          <w:lang w:eastAsia="zh-CN"/>
        </w:rPr>
        <w:t>展览、</w:t>
      </w:r>
      <w:r>
        <w:rPr>
          <w:rFonts w:ascii="仿宋_GB2312" w:eastAsia="仿宋_GB2312" w:hint="eastAsia"/>
          <w:snapToGrid w:val="0"/>
          <w:color w:val="000000"/>
          <w:spacing w:val="2"/>
          <w:sz w:val="32"/>
          <w:szCs w:val="32"/>
          <w:lang w:eastAsia="zh-CN"/>
        </w:rPr>
        <w:t>文体产品</w:t>
      </w:r>
      <w:r>
        <w:rPr>
          <w:rFonts w:ascii="仿宋_GB2312" w:eastAsia="仿宋_GB2312"/>
          <w:snapToGrid w:val="0"/>
          <w:color w:val="000000"/>
          <w:spacing w:val="2"/>
          <w:sz w:val="32"/>
          <w:szCs w:val="32"/>
          <w:lang w:eastAsia="zh-CN"/>
        </w:rPr>
        <w:t>及其他经甲方认可的相关配套服务内容</w:t>
      </w:r>
      <w:r>
        <w:rPr>
          <w:rFonts w:ascii="仿宋_GB2312" w:eastAsia="仿宋_GB2312" w:hint="eastAsia"/>
          <w:snapToGrid w:val="0"/>
          <w:color w:val="000000"/>
          <w:spacing w:val="2"/>
          <w:sz w:val="32"/>
          <w:szCs w:val="32"/>
          <w:lang w:eastAsia="zh-CN"/>
        </w:rPr>
        <w:t>，经营项目内容甲方可给予指导和监督。</w:t>
      </w:r>
      <w:r>
        <w:rPr>
          <w:rFonts w:ascii="仿宋_GB2312" w:eastAsia="仿宋_GB2312"/>
          <w:snapToGrid w:val="0"/>
          <w:color w:val="000000"/>
          <w:spacing w:val="2"/>
          <w:sz w:val="32"/>
          <w:szCs w:val="32"/>
          <w:lang w:eastAsia="zh-CN"/>
        </w:rPr>
        <w:t>乙方在项目空间内引入第三方品牌合作运营、进行楼体外的户外广告等商业资源开发需经甲方书面同意</w:t>
      </w:r>
      <w:r>
        <w:rPr>
          <w:rFonts w:ascii="仿宋_GB2312" w:eastAsia="仿宋_GB2312" w:hint="eastAsia"/>
          <w:snapToGrid w:val="0"/>
          <w:color w:val="000000"/>
          <w:spacing w:val="2"/>
          <w:sz w:val="32"/>
          <w:szCs w:val="32"/>
          <w:lang w:eastAsia="zh-CN"/>
        </w:rPr>
        <w:t>，</w:t>
      </w:r>
      <w:r>
        <w:rPr>
          <w:rFonts w:ascii="仿宋_GB2312" w:eastAsia="仿宋_GB2312" w:hAnsi="仿宋_GB2312" w:cs="仿宋_GB2312"/>
          <w:snapToGrid w:val="0"/>
          <w:color w:val="000000"/>
          <w:sz w:val="32"/>
          <w:szCs w:val="32"/>
          <w:lang w:eastAsia="zh-CN"/>
        </w:rPr>
        <w:t>但</w:t>
      </w:r>
      <w:r>
        <w:rPr>
          <w:rFonts w:ascii="仿宋_GB2312" w:eastAsia="仿宋_GB2312" w:hAnsi="仿宋_GB2312" w:cs="仿宋_GB2312" w:hint="eastAsia"/>
          <w:snapToGrid w:val="0"/>
          <w:color w:val="000000"/>
          <w:sz w:val="32"/>
          <w:szCs w:val="32"/>
          <w:lang w:eastAsia="zh-CN"/>
        </w:rPr>
        <w:t>乙方不得将经营权全部移交给第三方，</w:t>
      </w:r>
      <w:r>
        <w:rPr>
          <w:rFonts w:ascii="仿宋_GB2312" w:eastAsia="仿宋_GB2312" w:hAnsi="仿宋_GB2312" w:cs="仿宋_GB2312"/>
          <w:snapToGrid w:val="0"/>
          <w:color w:val="000000"/>
          <w:sz w:val="32"/>
          <w:szCs w:val="32"/>
          <w:lang w:eastAsia="zh-CN"/>
        </w:rPr>
        <w:t>乙方不得因引入第三方原因而减轻委托运营合同项下</w:t>
      </w:r>
      <w:r>
        <w:rPr>
          <w:rFonts w:ascii="仿宋_GB2312" w:eastAsia="仿宋_GB2312" w:hAnsi="仿宋_GB2312" w:cs="仿宋_GB2312" w:hint="eastAsia"/>
          <w:snapToGrid w:val="0"/>
          <w:color w:val="000000"/>
          <w:sz w:val="32"/>
          <w:szCs w:val="32"/>
          <w:lang w:eastAsia="zh-CN"/>
        </w:rPr>
        <w:t>乙方</w:t>
      </w:r>
      <w:r>
        <w:rPr>
          <w:rFonts w:ascii="仿宋_GB2312" w:eastAsia="仿宋_GB2312" w:hAnsi="仿宋_GB2312" w:cs="仿宋_GB2312"/>
          <w:snapToGrid w:val="0"/>
          <w:color w:val="000000"/>
          <w:sz w:val="32"/>
          <w:szCs w:val="32"/>
          <w:lang w:eastAsia="zh-CN"/>
        </w:rPr>
        <w:t>的责任和义务，</w:t>
      </w:r>
      <w:r>
        <w:rPr>
          <w:rFonts w:ascii="仿宋_GB2312" w:eastAsia="仿宋_GB2312" w:hAnsi="仿宋_GB2312" w:cs="仿宋_GB2312" w:hint="eastAsia"/>
          <w:snapToGrid w:val="0"/>
          <w:color w:val="000000"/>
          <w:sz w:val="32"/>
          <w:szCs w:val="32"/>
          <w:lang w:eastAsia="zh-CN"/>
        </w:rPr>
        <w:t>乙方</w:t>
      </w:r>
      <w:r>
        <w:rPr>
          <w:rFonts w:ascii="仿宋_GB2312" w:eastAsia="仿宋_GB2312" w:hAnsi="仿宋_GB2312" w:cs="仿宋_GB2312"/>
          <w:snapToGrid w:val="0"/>
          <w:color w:val="000000"/>
          <w:sz w:val="32"/>
          <w:szCs w:val="32"/>
          <w:lang w:eastAsia="zh-CN"/>
        </w:rPr>
        <w:t>仍对项目运营承担整体责任和义务</w:t>
      </w:r>
      <w:r>
        <w:rPr>
          <w:rFonts w:ascii="仿宋_GB2312" w:eastAsia="仿宋_GB2312"/>
          <w:snapToGrid w:val="0"/>
          <w:color w:val="000000"/>
          <w:spacing w:val="2"/>
          <w:sz w:val="32"/>
          <w:szCs w:val="32"/>
          <w:lang w:eastAsia="zh-CN"/>
        </w:rPr>
        <w:t>。</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（3）推广及营销管理</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乙方有权在遵守合同相关约定的前提下，对本项目经营性部分制定营销策略方案</w:t>
      </w:r>
      <w:r>
        <w:rPr>
          <w:rFonts w:ascii="仿宋_GB2312" w:eastAsia="仿宋_GB2312" w:hint="eastAsia"/>
          <w:snapToGrid w:val="0"/>
          <w:color w:val="000000"/>
          <w:spacing w:val="2"/>
          <w:sz w:val="32"/>
          <w:szCs w:val="32"/>
          <w:lang w:eastAsia="zh-CN"/>
        </w:rPr>
        <w:t>（须征得甲方书面同意）</w:t>
      </w:r>
      <w:r>
        <w:rPr>
          <w:rFonts w:ascii="仿宋_GB2312" w:eastAsia="仿宋_GB2312"/>
          <w:snapToGrid w:val="0"/>
          <w:color w:val="000000"/>
          <w:spacing w:val="2"/>
          <w:sz w:val="32"/>
          <w:szCs w:val="32"/>
          <w:lang w:eastAsia="zh-CN"/>
        </w:rPr>
        <w:t>，并对本项目的策划、线上、线下推广过程进行全面管理。</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（4）项目资产的维护、修理</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乙方承担</w:t>
      </w:r>
      <w:r>
        <w:rPr>
          <w:rFonts w:ascii="仿宋_GB2312" w:eastAsia="仿宋_GB2312" w:hint="eastAsia"/>
          <w:snapToGrid w:val="0"/>
          <w:color w:val="000000"/>
          <w:spacing w:val="2"/>
          <w:sz w:val="32"/>
          <w:szCs w:val="32"/>
          <w:lang w:eastAsia="zh-CN"/>
        </w:rPr>
        <w:t>翠竹街道综合文体中心运营项目</w:t>
      </w:r>
      <w:r>
        <w:rPr>
          <w:rFonts w:ascii="仿宋_GB2312" w:eastAsia="仿宋_GB2312"/>
          <w:snapToGrid w:val="0"/>
          <w:color w:val="000000"/>
          <w:spacing w:val="2"/>
          <w:sz w:val="32"/>
          <w:szCs w:val="32"/>
          <w:lang w:eastAsia="zh-CN"/>
        </w:rPr>
        <w:t>所有建筑、设备设施的日常维护、修理责任，根据建筑、各类设备设施使用、维护、保养周期的技术规范要求及实际需要，</w:t>
      </w:r>
      <w:r>
        <w:rPr>
          <w:rFonts w:ascii="仿宋_GB2312" w:eastAsia="仿宋_GB2312" w:hint="eastAsia"/>
          <w:snapToGrid w:val="0"/>
          <w:color w:val="000000"/>
          <w:spacing w:val="2"/>
          <w:sz w:val="32"/>
          <w:szCs w:val="32"/>
          <w:lang w:eastAsia="zh-CN"/>
        </w:rPr>
        <w:t>按照</w:t>
      </w:r>
      <w:r>
        <w:rPr>
          <w:rFonts w:ascii="仿宋GB-2312" w:eastAsia="仿宋GB-2312" w:hAnsi="Arial" w:cs="Arial" w:hint="eastAsia"/>
          <w:snapToGrid w:val="0"/>
          <w:color w:val="000000"/>
          <w:spacing w:val="2"/>
          <w:sz w:val="32"/>
          <w:szCs w:val="32"/>
          <w:lang w:eastAsia="zh-CN"/>
        </w:rPr>
        <w:t>9.1项目维修要求条款约定</w:t>
      </w:r>
      <w:r>
        <w:rPr>
          <w:rFonts w:ascii="仿宋_GB2312" w:eastAsia="仿宋_GB2312"/>
          <w:snapToGrid w:val="0"/>
          <w:color w:val="000000"/>
          <w:spacing w:val="2"/>
          <w:sz w:val="32"/>
          <w:szCs w:val="32"/>
          <w:lang w:eastAsia="zh-CN"/>
        </w:rPr>
        <w:t>负责进</w:t>
      </w:r>
      <w:r>
        <w:rPr>
          <w:rFonts w:ascii="仿宋_GB2312" w:eastAsia="仿宋_GB2312" w:hint="eastAsia"/>
          <w:snapToGrid w:val="0"/>
          <w:color w:val="000000"/>
          <w:spacing w:val="2"/>
          <w:sz w:val="32"/>
          <w:szCs w:val="32"/>
          <w:lang w:eastAsia="zh-CN"/>
        </w:rPr>
        <w:t>行</w:t>
      </w:r>
      <w:r>
        <w:rPr>
          <w:rFonts w:ascii="仿宋_GB2312" w:eastAsia="仿宋_GB2312"/>
          <w:snapToGrid w:val="0"/>
          <w:color w:val="000000"/>
          <w:spacing w:val="2"/>
          <w:sz w:val="32"/>
          <w:szCs w:val="32"/>
          <w:lang w:eastAsia="zh-CN"/>
        </w:rPr>
        <w:t>日常维护和年度检修工作，确保建筑及设备设施的状态完好、功能正常。</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仿宋_GB2312" w:eastAsia="仿宋_GB2312" w:hAnsi="仿宋_GB2312" w:cs="仿宋_GB2312" w:hint="eastAsia"/>
          <w:snapToGrid w:val="0"/>
          <w:color w:val="000000"/>
          <w:spacing w:val="2"/>
          <w:sz w:val="32"/>
          <w:szCs w:val="32"/>
          <w:lang w:eastAsia="zh-CN"/>
        </w:rPr>
      </w:pPr>
      <w:r>
        <w:rPr>
          <w:rFonts w:ascii="仿宋_GB2312" w:eastAsia="仿宋_GB2312"/>
          <w:snapToGrid w:val="0"/>
          <w:color w:val="000000"/>
          <w:spacing w:val="2"/>
          <w:sz w:val="32"/>
          <w:szCs w:val="32"/>
          <w:lang w:eastAsia="zh-CN"/>
        </w:rPr>
        <w:t>（5）</w:t>
      </w:r>
      <w:r>
        <w:rPr>
          <w:rFonts w:ascii="仿宋_GB2312" w:eastAsia="仿宋_GB2312" w:hAnsi="仿宋_GB2312" w:cs="仿宋_GB2312" w:hint="eastAsia"/>
          <w:snapToGrid w:val="0"/>
          <w:color w:val="000000"/>
          <w:spacing w:val="2"/>
          <w:sz w:val="32"/>
          <w:szCs w:val="32"/>
          <w:lang w:eastAsia="zh-CN"/>
        </w:rPr>
        <w:t>其他与乙方运营本项目相关的事项。甲方应支持乙方合法合规获取运营收入，提供必要的支持和优惠措施，包括但不限于税收优惠、公共或行政事业费用优惠或减免等。本条所述之各项优惠与措施，其最终批准与实现取决于项目是否符合国家、省、市各级法律法规及政策的具体要求，并须由相关有权机关依法审批决定，甲方对此不提供任何形式的保证或承诺。若最终未能成功获取或全部获取相关优惠，不构成甲方违约，乙方对此予以理解并承诺放弃就此向甲方提出任何索赔、补偿或减轻其在本协议项下任何义务的权利。</w:t>
      </w:r>
      <w:bookmarkStart w:id="33" w:name="bookmark5"/>
      <w:bookmarkEnd w:id="33"/>
      <w:bookmarkStart w:id="34" w:name="_Toc8507"/>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黑体" w:eastAsia="黑体" w:hAnsi="黑体" w:cs="仿宋" w:hint="eastAsia"/>
          <w:b/>
          <w:bCs/>
          <w:snapToGrid w:val="0"/>
          <w:color w:val="000000"/>
          <w:spacing w:val="-10"/>
          <w:sz w:val="32"/>
          <w:szCs w:val="32"/>
          <w:lang w:eastAsia="zh-CN"/>
        </w:rPr>
      </w:pPr>
      <w:r>
        <w:rPr>
          <w:rFonts w:ascii="黑体" w:eastAsia="黑体" w:hAnsi="黑体" w:cs="仿宋"/>
          <w:b/>
          <w:bCs/>
          <w:snapToGrid w:val="0"/>
          <w:color w:val="000000"/>
          <w:spacing w:val="-10"/>
          <w:sz w:val="32"/>
          <w:szCs w:val="32"/>
          <w:lang w:eastAsia="zh-CN"/>
        </w:rPr>
        <w:t>第三条 项目资产权属</w:t>
      </w:r>
      <w:bookmarkEnd w:id="34"/>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本合同2.2条约定的项目资产均归属于甲方。</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int="eastAsia"/>
          <w:snapToGrid w:val="0"/>
          <w:color w:val="000000"/>
          <w:spacing w:val="2"/>
          <w:sz w:val="32"/>
          <w:szCs w:val="32"/>
          <w:lang w:eastAsia="zh-CN"/>
        </w:rPr>
      </w:pPr>
      <w:r>
        <w:rPr>
          <w:rFonts w:ascii="仿宋_GB2312" w:eastAsia="仿宋_GB2312"/>
          <w:snapToGrid w:val="0"/>
          <w:color w:val="000000"/>
          <w:spacing w:val="2"/>
          <w:sz w:val="32"/>
          <w:szCs w:val="32"/>
          <w:lang w:eastAsia="zh-CN"/>
        </w:rPr>
        <w:t>乙方对本项目进行装修及购置设备等行为所形成的资产，委托到期后硬装部分及不可移动软装的所有权归甲方所有，乙方购置的非建筑功能需求的展示品、艺术品、可移动软装（含可移动设备）、办公家具等的所有权归乙方所有，运营期限届满乙方应</w:t>
      </w:r>
      <w:r>
        <w:rPr>
          <w:rFonts w:ascii="仿宋_GB2312" w:eastAsia="仿宋_GB2312" w:hint="eastAsia"/>
          <w:snapToGrid w:val="0"/>
          <w:color w:val="000000"/>
          <w:spacing w:val="2"/>
          <w:sz w:val="32"/>
          <w:szCs w:val="32"/>
          <w:lang w:eastAsia="zh-CN"/>
        </w:rPr>
        <w:t>在项目移交前</w:t>
      </w:r>
      <w:r>
        <w:rPr>
          <w:rFonts w:ascii="仿宋_GB2312" w:eastAsia="仿宋_GB2312"/>
          <w:snapToGrid w:val="0"/>
          <w:color w:val="000000"/>
          <w:spacing w:val="2"/>
          <w:sz w:val="32"/>
          <w:szCs w:val="32"/>
          <w:lang w:eastAsia="zh-CN"/>
        </w:rPr>
        <w:t>清理完毕该等资产</w:t>
      </w:r>
      <w:r>
        <w:rPr>
          <w:rFonts w:ascii="仿宋_GB2312" w:eastAsia="仿宋_GB2312" w:hint="eastAsia"/>
          <w:snapToGrid w:val="0"/>
          <w:color w:val="000000"/>
          <w:spacing w:val="2"/>
          <w:sz w:val="32"/>
          <w:szCs w:val="32"/>
          <w:lang w:eastAsia="zh-CN"/>
        </w:rPr>
        <w:t>，如乙方</w:t>
      </w:r>
      <w:r>
        <w:rPr>
          <w:rFonts w:ascii="仿宋_GB2312" w:eastAsia="仿宋_GB2312"/>
          <w:snapToGrid w:val="0"/>
          <w:color w:val="000000"/>
          <w:spacing w:val="2"/>
          <w:sz w:val="32"/>
          <w:szCs w:val="32"/>
          <w:lang w:eastAsia="zh-CN"/>
        </w:rPr>
        <w:t>引入第三方品牌合作</w:t>
      </w:r>
      <w:r>
        <w:rPr>
          <w:rFonts w:ascii="仿宋_GB2312" w:eastAsia="仿宋_GB2312" w:hint="eastAsia"/>
          <w:snapToGrid w:val="0"/>
          <w:color w:val="000000"/>
          <w:spacing w:val="2"/>
          <w:sz w:val="32"/>
          <w:szCs w:val="32"/>
          <w:lang w:eastAsia="zh-CN"/>
        </w:rPr>
        <w:t>的，乙方必须按要求在项目移交前清理与合作方的关系。</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乙方在运营期内有权对可移动软装、设备、办公家具等按照实际运营需求进行更新、转让、出售，同时须在当年度运营维护总结报告中列明情况。</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黑体" w:eastAsia="黑体" w:hAnsi="黑体" w:cs="仿宋" w:hint="eastAsia"/>
          <w:snapToGrid w:val="0"/>
          <w:color w:val="000000"/>
          <w:sz w:val="32"/>
          <w:szCs w:val="32"/>
          <w:lang w:eastAsia="zh-CN"/>
        </w:rPr>
      </w:pPr>
      <w:bookmarkStart w:id="35" w:name="bookmark7"/>
      <w:bookmarkEnd w:id="35"/>
      <w:bookmarkStart w:id="36" w:name="_Toc629"/>
      <w:r>
        <w:rPr>
          <w:rFonts w:ascii="黑体" w:eastAsia="黑体" w:hAnsi="黑体" w:cs="仿宋"/>
          <w:b/>
          <w:bCs/>
          <w:snapToGrid w:val="0"/>
          <w:color w:val="000000"/>
          <w:spacing w:val="-5"/>
          <w:sz w:val="32"/>
          <w:szCs w:val="32"/>
          <w:lang w:eastAsia="zh-CN"/>
        </w:rPr>
        <w:t>第四条</w:t>
      </w:r>
      <w:r>
        <w:rPr>
          <w:rFonts w:ascii="黑体" w:eastAsia="黑体" w:hAnsi="黑体" w:cs="仿宋"/>
          <w:snapToGrid w:val="0"/>
          <w:color w:val="000000"/>
          <w:spacing w:val="-5"/>
          <w:sz w:val="32"/>
          <w:szCs w:val="32"/>
          <w:lang w:eastAsia="zh-CN"/>
        </w:rPr>
        <w:t xml:space="preserve"> </w:t>
      </w:r>
      <w:r>
        <w:rPr>
          <w:rFonts w:ascii="黑体" w:eastAsia="黑体" w:hAnsi="黑体" w:cs="仿宋"/>
          <w:b/>
          <w:bCs/>
          <w:snapToGrid w:val="0"/>
          <w:color w:val="000000"/>
          <w:spacing w:val="-5"/>
          <w:sz w:val="32"/>
          <w:szCs w:val="32"/>
          <w:lang w:eastAsia="zh-CN"/>
        </w:rPr>
        <w:t>期初项目资产交付</w:t>
      </w:r>
      <w:bookmarkEnd w:id="36"/>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4.1 交付范围</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甲方应将符合本合同2.2条约定的项目资产交付给乙方。</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4.2 移交程序</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4.2.1 项目移交标准及移交时间</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（1）合同签订之日起30日内，甲方向乙方移交本项目相关资产；</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snapToGrid w:val="0"/>
          <w:color w:val="000000"/>
          <w:spacing w:val="2"/>
          <w:sz w:val="32"/>
          <w:szCs w:val="32"/>
          <w:lang w:eastAsia="zh-CN"/>
        </w:rPr>
        <w:t>（2）</w:t>
      </w:r>
      <w:r>
        <w:rPr>
          <w:rFonts w:ascii="仿宋_GB2312" w:eastAsia="仿宋_GB2312" w:hAnsi="仿宋_GB2312" w:cs="仿宋_GB2312" w:hint="eastAsia"/>
          <w:snapToGrid w:val="0"/>
          <w:color w:val="000000"/>
          <w:spacing w:val="2"/>
          <w:sz w:val="32"/>
          <w:szCs w:val="32"/>
          <w:lang w:eastAsia="zh-CN"/>
        </w:rPr>
        <w:t>甲方已在本项目移交时向乙方披露了其已知的项目资产相关风险（以书面披露文件为准），乙方同意自行承担由此产生的商业风险，不追究资产瑕疵违约责任。乙方如发现资产存在权利瑕疵，应书面通知甲方。甲方在收到通知后应当协助甲方消除该瑕疵。</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4.3 甲方应完成下列事项、文件的移交：</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（1）移交本项目竣工验收资料（含工程竣工验收、消防验收等）及有关图纸资料（竣工图等）、保修文件、设施设备清单及使用说明（如有）等文件、资料；</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（2）移交本项目不动产权证书复印件（移交时注明用途并加盖公章）。运营期内，在乙方需使用该等产权证书原件时，甲方应配合提供给乙方。</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4.4 移交完成</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仿宋_GB2312" w:eastAsia="仿宋_GB2312" w:hint="eastAsia"/>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依据本条约定的时间及程序移交且乙方对项目资产清点、确认无误之日，双方签署《移交确认书》，并对项目资产情况进行拍照、录像并存档。《移交确认书》签署之日即为移交完成日。</w:t>
      </w:r>
      <w:bookmarkStart w:id="37" w:name="bookmark9"/>
      <w:bookmarkEnd w:id="37"/>
      <w:bookmarkStart w:id="38" w:name="_Toc9868"/>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黑体" w:eastAsia="黑体" w:hAnsi="黑体" w:cs="仿宋" w:hint="eastAsia"/>
          <w:b/>
          <w:bCs/>
          <w:snapToGrid w:val="0"/>
          <w:color w:val="000000"/>
          <w:spacing w:val="-5"/>
          <w:sz w:val="32"/>
          <w:szCs w:val="32"/>
          <w:lang w:eastAsia="zh-CN"/>
        </w:rPr>
      </w:pPr>
      <w:r>
        <w:rPr>
          <w:rFonts w:ascii="黑体" w:eastAsia="黑体" w:hAnsi="黑体" w:cs="仿宋"/>
          <w:b/>
          <w:bCs/>
          <w:snapToGrid w:val="0"/>
          <w:color w:val="000000"/>
          <w:spacing w:val="-5"/>
          <w:sz w:val="32"/>
          <w:szCs w:val="32"/>
          <w:lang w:eastAsia="zh-CN"/>
        </w:rPr>
        <w:t>第五条 项目装修改造</w:t>
      </w:r>
      <w:bookmarkEnd w:id="38"/>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5.1 运营期内，乙方可根据实际经营需要，对项目资产进行装修、改造和添置设备设施，且费用由乙方自行承担，但装修或改造方案应报甲方审核，未经甲方书面同意，乙方不得实施。</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5.2 乙方对本项目资产的装修改造，不得影响乙方依据本合同的约定提供公益服务内容，且装修改造须符合相关法律法规的规定</w:t>
      </w:r>
      <w:r>
        <w:rPr>
          <w:rFonts w:ascii="仿宋_GB2312" w:eastAsia="仿宋_GB2312" w:hint="eastAsia"/>
          <w:snapToGrid w:val="0"/>
          <w:color w:val="000000"/>
          <w:spacing w:val="2"/>
          <w:sz w:val="32"/>
          <w:szCs w:val="32"/>
          <w:lang w:eastAsia="zh-CN"/>
        </w:rPr>
        <w:t>，装修改造方案需经甲方审核</w:t>
      </w:r>
      <w:r>
        <w:rPr>
          <w:rFonts w:ascii="仿宋_GB2312" w:eastAsia="仿宋_GB2312"/>
          <w:snapToGrid w:val="0"/>
          <w:color w:val="000000"/>
          <w:spacing w:val="2"/>
          <w:sz w:val="32"/>
          <w:szCs w:val="32"/>
          <w:lang w:eastAsia="zh-CN"/>
        </w:rPr>
        <w:t>。</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5.3 项目装修改造结束后，甲方有权</w:t>
      </w:r>
      <w:r>
        <w:rPr>
          <w:rFonts w:ascii="仿宋_GB2312" w:eastAsia="仿宋_GB2312" w:hint="eastAsia"/>
          <w:snapToGrid w:val="0"/>
          <w:color w:val="000000"/>
          <w:spacing w:val="2"/>
          <w:sz w:val="32"/>
          <w:szCs w:val="32"/>
          <w:lang w:eastAsia="zh-CN"/>
        </w:rPr>
        <w:t>参与验收，对于装修改造未达到双方约定标准等情况</w:t>
      </w:r>
      <w:r>
        <w:rPr>
          <w:rFonts w:ascii="仿宋_GB2312" w:eastAsia="仿宋_GB2312"/>
          <w:snapToGrid w:val="0"/>
          <w:color w:val="000000"/>
          <w:spacing w:val="2"/>
          <w:sz w:val="32"/>
          <w:szCs w:val="32"/>
          <w:lang w:eastAsia="zh-CN"/>
        </w:rPr>
        <w:t>，甲方有权要求乙方</w:t>
      </w:r>
      <w:r>
        <w:rPr>
          <w:rFonts w:ascii="仿宋_GB2312" w:eastAsia="仿宋_GB2312" w:hint="eastAsia"/>
          <w:snapToGrid w:val="0"/>
          <w:color w:val="000000"/>
          <w:spacing w:val="2"/>
          <w:sz w:val="32"/>
          <w:szCs w:val="32"/>
          <w:lang w:eastAsia="zh-CN"/>
        </w:rPr>
        <w:t>在指定期限内完成整改</w:t>
      </w:r>
      <w:r>
        <w:rPr>
          <w:rFonts w:ascii="仿宋_GB2312" w:eastAsia="仿宋_GB2312"/>
          <w:snapToGrid w:val="0"/>
          <w:color w:val="000000"/>
          <w:spacing w:val="2"/>
          <w:sz w:val="32"/>
          <w:szCs w:val="32"/>
          <w:lang w:eastAsia="zh-CN"/>
        </w:rPr>
        <w:t>。</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仿宋_GB2312" w:eastAsia="仿宋_GB2312" w:hAnsi="仿宋_GB2312" w:cs="仿宋_GB2312" w:hint="eastAsia"/>
          <w:snapToGrid w:val="0"/>
          <w:color w:val="000000"/>
          <w:spacing w:val="2"/>
          <w:sz w:val="32"/>
          <w:szCs w:val="32"/>
          <w:lang w:eastAsia="zh-CN"/>
        </w:rPr>
      </w:pPr>
      <w:r>
        <w:rPr>
          <w:rFonts w:ascii="仿宋_GB2312" w:eastAsia="仿宋_GB2312"/>
          <w:snapToGrid w:val="0"/>
          <w:color w:val="000000"/>
          <w:spacing w:val="2"/>
          <w:sz w:val="32"/>
          <w:szCs w:val="32"/>
          <w:lang w:eastAsia="zh-CN"/>
        </w:rPr>
        <w:t>5.4 装修改造的期限不超过【  】个月</w:t>
      </w:r>
      <w:r>
        <w:rPr>
          <w:rFonts w:ascii="仿宋_GB2312" w:eastAsia="仿宋_GB2312" w:hint="eastAsia"/>
          <w:snapToGrid w:val="0"/>
          <w:color w:val="000000"/>
          <w:spacing w:val="2"/>
          <w:sz w:val="32"/>
          <w:szCs w:val="32"/>
          <w:lang w:eastAsia="zh-CN"/>
        </w:rPr>
        <w:t>，</w:t>
      </w:r>
      <w:r>
        <w:rPr>
          <w:rFonts w:ascii="仿宋_GB2312" w:eastAsia="仿宋_GB2312"/>
          <w:snapToGrid w:val="0"/>
          <w:color w:val="000000"/>
          <w:spacing w:val="2"/>
          <w:sz w:val="32"/>
          <w:szCs w:val="32"/>
          <w:lang w:eastAsia="zh-CN"/>
        </w:rPr>
        <w:t>自【   】年【  】月【  】日起计算，若乙方超过该约定期限，应提前15日向甲方提出书面申请，</w:t>
      </w:r>
      <w:r>
        <w:rPr>
          <w:rFonts w:ascii="仿宋_GB2312" w:eastAsia="仿宋_GB2312" w:hAnsi="仿宋_GB2312" w:cs="仿宋_GB2312" w:hint="eastAsia"/>
          <w:snapToGrid w:val="0"/>
          <w:color w:val="000000"/>
          <w:spacing w:val="2"/>
          <w:sz w:val="32"/>
          <w:szCs w:val="32"/>
          <w:lang w:eastAsia="zh-CN"/>
        </w:rPr>
        <w:t>获甲方同意后应在甲方要求的日期内完成装修改造等工作并按甲方要求的日期开始运营。如因不可抗力或其他合理原因导致装修延期，乙方应及时通知甲方，双方应协商确定新的装修改造完成日期，乙方不承担因不可抗力或其他合理原因导致的延期责任。</w:t>
      </w:r>
      <w:bookmarkStart w:id="39" w:name="bookmark11"/>
      <w:bookmarkEnd w:id="39"/>
      <w:bookmarkStart w:id="40" w:name="_Toc2025"/>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黑体" w:eastAsia="黑体" w:hAnsi="黑体" w:cs="仿宋" w:hint="eastAsia"/>
          <w:b/>
          <w:bCs/>
          <w:snapToGrid w:val="0"/>
          <w:color w:val="000000"/>
          <w:spacing w:val="-5"/>
          <w:sz w:val="32"/>
          <w:szCs w:val="32"/>
          <w:lang w:eastAsia="zh-CN"/>
        </w:rPr>
      </w:pPr>
      <w:r>
        <w:rPr>
          <w:rFonts w:ascii="黑体" w:eastAsia="黑体" w:hAnsi="黑体" w:cs="仿宋"/>
          <w:b/>
          <w:bCs/>
          <w:snapToGrid w:val="0"/>
          <w:color w:val="000000"/>
          <w:spacing w:val="-5"/>
          <w:sz w:val="32"/>
          <w:szCs w:val="32"/>
          <w:lang w:eastAsia="zh-CN"/>
        </w:rPr>
        <w:t>第六条 双方权利及义务</w:t>
      </w:r>
      <w:bookmarkEnd w:id="40"/>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6.1 甲方的权利及义务</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6.1.1甲方的权利</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（1）甲方有权对乙方履行本合同</w:t>
      </w:r>
      <w:r>
        <w:rPr>
          <w:rFonts w:ascii="仿宋GB-2312" w:eastAsia="仿宋GB-2312" w:hAnsi="Arial" w:cs="Arial" w:hint="eastAsia"/>
          <w:snapToGrid w:val="0"/>
          <w:color w:val="000000"/>
          <w:spacing w:val="2"/>
          <w:sz w:val="32"/>
          <w:szCs w:val="32"/>
          <w:lang w:eastAsia="zh-CN"/>
        </w:rPr>
        <w:t>合法合规</w:t>
      </w:r>
      <w:r>
        <w:rPr>
          <w:rFonts w:ascii="仿宋_GB2312" w:eastAsia="仿宋_GB2312"/>
          <w:snapToGrid w:val="0"/>
          <w:color w:val="000000"/>
          <w:spacing w:val="2"/>
          <w:sz w:val="32"/>
          <w:szCs w:val="32"/>
          <w:lang w:eastAsia="zh-CN"/>
        </w:rPr>
        <w:t>情况进行监督；</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（2）在项目运营期内，甲方有权对乙方运营服务情况进行绩效考核；</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（3）对于乙方依据本合同第6.2.2（6）条的约定报备的核心运营人员，甲方认为该等人员不符合法律法规或本合同的要求，甲方有权要求乙方限期调整；</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（4）发生紧急情况、可能影响公众利益时，依法对项目进行临时接管；</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（5）</w:t>
      </w:r>
      <w:r>
        <w:rPr>
          <w:rFonts w:ascii="仿宋_GB2312" w:eastAsia="仿宋_GB2312"/>
          <w:snapToGrid w:val="0"/>
          <w:color w:val="000000"/>
          <w:spacing w:val="2"/>
          <w:sz w:val="32"/>
          <w:szCs w:val="32"/>
          <w:lang w:eastAsia="zh-CN"/>
        </w:rPr>
        <w:t>本合同约定的其他权利。</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6.1.2 甲方的义务</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（1）未经乙方书面同意，甲方不得就项目资产进行整体或分割转让、抵押或设定其他第三方权益；</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（2）项目运营期内，在乙方合法合规经营的前提下，甲方可在其职权范围内，协助乙方处理本项目经营所涉的相邻关系事项或经营资质相关事项；</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（3）</w:t>
      </w:r>
      <w:r>
        <w:rPr>
          <w:rFonts w:ascii="仿宋_GB2312" w:eastAsia="仿宋_GB2312" w:hint="eastAsia"/>
          <w:snapToGrid w:val="0"/>
          <w:color w:val="000000"/>
          <w:spacing w:val="2"/>
          <w:sz w:val="32"/>
          <w:szCs w:val="32"/>
          <w:lang w:eastAsia="zh-CN"/>
        </w:rPr>
        <w:t>项目运营期内，乙方平等参与甲方辖区范围内重要文化类活动的承接工作；甲方依法依规为辖区内符合条件运营主体提供必要的政策咨询与政务服务，包括但不限于证照办理、活动审批等程序性协助</w:t>
      </w:r>
      <w:r>
        <w:rPr>
          <w:rFonts w:ascii="仿宋_GB2312" w:eastAsia="仿宋_GB2312"/>
          <w:snapToGrid w:val="0"/>
          <w:color w:val="000000"/>
          <w:spacing w:val="2"/>
          <w:sz w:val="32"/>
          <w:szCs w:val="32"/>
          <w:lang w:eastAsia="zh-CN"/>
        </w:rPr>
        <w:t>；</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（4）项目运营期内，就本项目资产，乙方向本项目工程质保单位提出质保服务要求时，甲方应提供必要的协助</w:t>
      </w:r>
      <w:r>
        <w:rPr>
          <w:rFonts w:ascii="仿宋_GB2312" w:eastAsia="仿宋_GB2312" w:hint="eastAsia"/>
          <w:snapToGrid w:val="0"/>
          <w:color w:val="000000"/>
          <w:spacing w:val="2"/>
          <w:sz w:val="32"/>
          <w:szCs w:val="32"/>
          <w:lang w:eastAsia="zh-CN"/>
        </w:rPr>
        <w:t>；</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（5）</w:t>
      </w:r>
      <w:r>
        <w:rPr>
          <w:rFonts w:ascii="仿宋_GB2312" w:eastAsia="仿宋_GB2312" w:hint="eastAsia"/>
          <w:snapToGrid w:val="0"/>
          <w:color w:val="000000"/>
          <w:spacing w:val="2"/>
          <w:sz w:val="32"/>
          <w:szCs w:val="32"/>
          <w:lang w:eastAsia="zh-CN"/>
        </w:rPr>
        <w:t>运营期内，如乙方因享有本项目经营权而缴纳的土地使用税及房产税，符合国家及本市关于减免税的相关规定，甲方应积极指导乙方准备所需材料，协助乙方向主管税务机关提出减免税申请。若经税务机关核准后给予减免，则按核准结果执行；若因任何原因未能通过核准或需全额缴纳，则该税费应由乙方自行承担；</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snapToGrid w:val="0"/>
          <w:color w:val="000000"/>
          <w:spacing w:val="2"/>
          <w:sz w:val="32"/>
          <w:szCs w:val="32"/>
          <w:lang w:eastAsia="zh-CN"/>
        </w:rPr>
        <w:t>（</w:t>
      </w:r>
      <w:r>
        <w:rPr>
          <w:rFonts w:ascii="仿宋_GB2312" w:eastAsia="仿宋_GB2312" w:hAnsi="仿宋_GB2312" w:cs="仿宋_GB2312"/>
          <w:snapToGrid w:val="0"/>
          <w:color w:val="000000"/>
          <w:spacing w:val="2"/>
          <w:sz w:val="32"/>
          <w:szCs w:val="32"/>
          <w:lang w:eastAsia="zh-CN"/>
        </w:rPr>
        <w:t>6</w:t>
      </w:r>
      <w:r>
        <w:rPr>
          <w:rFonts w:ascii="仿宋_GB2312" w:eastAsia="仿宋_GB2312" w:hAnsi="仿宋_GB2312" w:cs="仿宋_GB2312" w:hint="eastAsia"/>
          <w:snapToGrid w:val="0"/>
          <w:color w:val="000000"/>
          <w:spacing w:val="2"/>
          <w:sz w:val="32"/>
          <w:szCs w:val="32"/>
          <w:lang w:eastAsia="zh-CN"/>
        </w:rPr>
        <w:t>）运营期内，在乙方遵守本合同各项约定的前提下，甲方有义务按约定维持乙方对本项目资产的运营权，保障合 同持续履行；</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w:t>
      </w:r>
      <w:r>
        <w:rPr>
          <w:rFonts w:ascii="仿宋_GB2312" w:eastAsia="仿宋_GB2312" w:hint="eastAsia"/>
          <w:snapToGrid w:val="0"/>
          <w:color w:val="000000"/>
          <w:spacing w:val="2"/>
          <w:sz w:val="32"/>
          <w:szCs w:val="32"/>
          <w:lang w:eastAsia="zh-CN"/>
        </w:rPr>
        <w:t>7</w:t>
      </w:r>
      <w:r>
        <w:rPr>
          <w:rFonts w:ascii="仿宋_GB2312" w:eastAsia="仿宋_GB2312"/>
          <w:snapToGrid w:val="0"/>
          <w:color w:val="000000"/>
          <w:spacing w:val="2"/>
          <w:sz w:val="32"/>
          <w:szCs w:val="32"/>
          <w:lang w:eastAsia="zh-CN"/>
        </w:rPr>
        <w:t>）本合同约定的其他义务。</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6.2  乙方的权利及义务</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6.2.1  乙方的权利</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（1）运营期内，乙方享有本项目的经营权及部分资产</w:t>
      </w:r>
      <w:r>
        <w:rPr>
          <w:rFonts w:ascii="仿宋_GB2312" w:eastAsia="仿宋_GB2312"/>
          <w:snapToGrid w:val="0"/>
          <w:color w:val="000000"/>
          <w:spacing w:val="2"/>
          <w:sz w:val="32"/>
          <w:szCs w:val="32"/>
          <w:lang w:eastAsia="zh-CN"/>
        </w:rPr>
        <w:t>（乙方购置的非建筑功能需求的展示品、艺术品、可移动软装（含可移动设备）、办公家具等）的占有、使用、收益的权利；</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（2）乙方有权在提供约定的公益服务的基础上，对本项目进行甲方许可的市场化运营，并通过向使用者收费等方式获取收益；</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（3）在满足并保证甲方公益性服务要求的前提下</w:t>
      </w:r>
      <w:r>
        <w:rPr>
          <w:rFonts w:ascii="仿宋_GB2312" w:eastAsia="仿宋_GB2312" w:hint="eastAsia"/>
          <w:snapToGrid w:val="0"/>
          <w:color w:val="000000"/>
          <w:spacing w:val="2"/>
          <w:sz w:val="32"/>
          <w:szCs w:val="32"/>
          <w:lang w:eastAsia="zh-CN"/>
        </w:rPr>
        <w:t>，</w:t>
      </w:r>
      <w:r>
        <w:rPr>
          <w:rFonts w:ascii="仿宋_GB2312" w:eastAsia="仿宋_GB2312"/>
          <w:snapToGrid w:val="0"/>
          <w:color w:val="000000"/>
          <w:spacing w:val="2"/>
          <w:sz w:val="32"/>
          <w:szCs w:val="32"/>
          <w:lang w:eastAsia="zh-CN"/>
        </w:rPr>
        <w:t>乙方享有活动的宣传、广告、预约和安排权；</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（4）乙方享有在运营期内无偿使用本项目资产的权利，除非甲方书面许可，乙方不得将本项目资产用于除委托运营合同约定用途以外的其他用途；</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（5）乙方为运营本项目产生的知识产权均归乙方所</w:t>
      </w:r>
      <w:r>
        <w:rPr>
          <w:rFonts w:ascii="仿宋_GB2312" w:eastAsia="仿宋_GB2312" w:hint="eastAsia"/>
          <w:snapToGrid w:val="0"/>
          <w:color w:val="000000"/>
          <w:spacing w:val="2"/>
          <w:sz w:val="32"/>
          <w:szCs w:val="32"/>
          <w:lang w:eastAsia="zh-CN"/>
        </w:rPr>
        <w:t>有；</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w:t>
      </w:r>
      <w:r>
        <w:rPr>
          <w:rFonts w:ascii="仿宋_GB2312" w:eastAsia="仿宋_GB2312"/>
          <w:snapToGrid w:val="0"/>
          <w:color w:val="000000"/>
          <w:spacing w:val="2"/>
          <w:sz w:val="32"/>
          <w:szCs w:val="32"/>
          <w:lang w:eastAsia="zh-CN"/>
        </w:rPr>
        <w:t>6</w:t>
      </w:r>
      <w:r>
        <w:rPr>
          <w:rFonts w:ascii="仿宋_GB2312" w:eastAsia="仿宋_GB2312" w:hint="eastAsia"/>
          <w:snapToGrid w:val="0"/>
          <w:color w:val="000000"/>
          <w:spacing w:val="2"/>
          <w:sz w:val="32"/>
          <w:szCs w:val="32"/>
          <w:lang w:eastAsia="zh-CN"/>
        </w:rPr>
        <w:t>）按照国家、省、市的相关规定，本项目运营期间，享受有关的</w:t>
      </w:r>
      <w:r>
        <w:rPr>
          <w:rFonts w:ascii="仿宋_GB2312" w:eastAsia="仿宋_GB2312" w:hAnsi="仿宋_GB2312" w:cs="仿宋_GB2312" w:hint="eastAsia"/>
          <w:snapToGrid w:val="0"/>
          <w:color w:val="000000"/>
          <w:spacing w:val="2"/>
          <w:sz w:val="32"/>
          <w:szCs w:val="32"/>
          <w:lang w:eastAsia="zh-CN"/>
        </w:rPr>
        <w:t>优惠政策（包括但不限于税收优惠政策）；</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int="eastAsia"/>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（7）本合同约定的其他权利。</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int="eastAsia"/>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6.2.2  乙方的义务</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（1）运营期内，乙方应合法合规运营维护本项目资产，</w:t>
      </w:r>
      <w:r>
        <w:rPr>
          <w:rFonts w:ascii="仿宋_GB2312" w:eastAsia="仿宋_GB2312"/>
          <w:snapToGrid w:val="0"/>
          <w:color w:val="000000"/>
          <w:spacing w:val="2"/>
          <w:sz w:val="32"/>
          <w:szCs w:val="32"/>
          <w:lang w:eastAsia="zh-CN"/>
        </w:rPr>
        <w:t>提供符合本合同约定的运营服务内容及公益服务内容；</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（2）运营期内，经甲方书面同意的前提下，乙方可在项目空间内引入第三方品牌合作运营，</w:t>
      </w:r>
      <w:r>
        <w:rPr>
          <w:rFonts w:ascii="仿宋_GB2312" w:eastAsia="仿宋_GB2312" w:hAnsi="仿宋_GB2312" w:cs="仿宋_GB2312"/>
          <w:snapToGrid w:val="0"/>
          <w:color w:val="000000"/>
          <w:sz w:val="32"/>
          <w:szCs w:val="32"/>
          <w:lang w:eastAsia="zh-CN"/>
        </w:rPr>
        <w:t>但</w:t>
      </w:r>
      <w:r>
        <w:rPr>
          <w:rFonts w:ascii="仿宋_GB2312" w:eastAsia="仿宋_GB2312" w:hAnsi="仿宋_GB2312" w:cs="仿宋_GB2312" w:hint="eastAsia"/>
          <w:snapToGrid w:val="0"/>
          <w:color w:val="000000"/>
          <w:sz w:val="32"/>
          <w:szCs w:val="32"/>
          <w:lang w:eastAsia="zh-CN"/>
        </w:rPr>
        <w:t>乙方不得将经营权全部移交给第三方，</w:t>
      </w:r>
      <w:r>
        <w:rPr>
          <w:rFonts w:ascii="仿宋_GB2312" w:eastAsia="仿宋_GB2312" w:hAnsi="仿宋_GB2312" w:cs="仿宋_GB2312"/>
          <w:snapToGrid w:val="0"/>
          <w:color w:val="000000"/>
          <w:sz w:val="32"/>
          <w:szCs w:val="32"/>
          <w:lang w:eastAsia="zh-CN"/>
        </w:rPr>
        <w:t>乙方不得因引入第三方原因而减轻委托运营合同项下</w:t>
      </w:r>
      <w:r>
        <w:rPr>
          <w:rFonts w:ascii="仿宋_GB2312" w:eastAsia="仿宋_GB2312" w:hAnsi="仿宋_GB2312" w:cs="仿宋_GB2312" w:hint="eastAsia"/>
          <w:snapToGrid w:val="0"/>
          <w:color w:val="000000"/>
          <w:sz w:val="32"/>
          <w:szCs w:val="32"/>
          <w:lang w:eastAsia="zh-CN"/>
        </w:rPr>
        <w:t>乙方</w:t>
      </w:r>
      <w:r>
        <w:rPr>
          <w:rFonts w:ascii="仿宋_GB2312" w:eastAsia="仿宋_GB2312" w:hAnsi="仿宋_GB2312" w:cs="仿宋_GB2312"/>
          <w:snapToGrid w:val="0"/>
          <w:color w:val="000000"/>
          <w:sz w:val="32"/>
          <w:szCs w:val="32"/>
          <w:lang w:eastAsia="zh-CN"/>
        </w:rPr>
        <w:t>的责任和义务，</w:t>
      </w:r>
      <w:r>
        <w:rPr>
          <w:rFonts w:ascii="仿宋_GB2312" w:eastAsia="仿宋_GB2312" w:hAnsi="仿宋_GB2312" w:cs="仿宋_GB2312" w:hint="eastAsia"/>
          <w:snapToGrid w:val="0"/>
          <w:color w:val="000000"/>
          <w:sz w:val="32"/>
          <w:szCs w:val="32"/>
          <w:lang w:eastAsia="zh-CN"/>
        </w:rPr>
        <w:t>乙方</w:t>
      </w:r>
      <w:r>
        <w:rPr>
          <w:rFonts w:ascii="仿宋_GB2312" w:eastAsia="仿宋_GB2312" w:hAnsi="仿宋_GB2312" w:cs="仿宋_GB2312"/>
          <w:snapToGrid w:val="0"/>
          <w:color w:val="000000"/>
          <w:sz w:val="32"/>
          <w:szCs w:val="32"/>
          <w:lang w:eastAsia="zh-CN"/>
        </w:rPr>
        <w:t>仍对项目运营承担整体责任和义务</w:t>
      </w:r>
      <w:r>
        <w:rPr>
          <w:rFonts w:ascii="仿宋_GB2312" w:eastAsia="仿宋_GB2312"/>
          <w:snapToGrid w:val="0"/>
          <w:color w:val="000000"/>
          <w:spacing w:val="2"/>
          <w:sz w:val="32"/>
          <w:szCs w:val="32"/>
          <w:lang w:eastAsia="zh-CN"/>
        </w:rPr>
        <w:t>；</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snapToGrid w:val="0"/>
          <w:color w:val="000000"/>
          <w:spacing w:val="2"/>
          <w:sz w:val="32"/>
          <w:szCs w:val="32"/>
          <w:lang w:eastAsia="zh-CN"/>
        </w:rPr>
        <w:t>（3）</w:t>
      </w:r>
      <w:r>
        <w:rPr>
          <w:rFonts w:ascii="仿宋_GB2312" w:eastAsia="仿宋_GB2312" w:hAnsi="仿宋_GB2312" w:cs="仿宋_GB2312" w:hint="eastAsia"/>
          <w:snapToGrid w:val="0"/>
          <w:color w:val="000000"/>
          <w:spacing w:val="2"/>
          <w:sz w:val="32"/>
          <w:szCs w:val="32"/>
          <w:lang w:eastAsia="zh-CN"/>
        </w:rPr>
        <w:t>运营期内，除本合同另有约定外，本项目在运营期限内产生的全部经营性收益均归乙方享有。项目运营管理及使用产生的全部成本（包括运营期内乙方出于运营需要而自行对项目资产进行装修装饰等发生的成本）、费用以及运营维护及移交本项目发生的各项税费（房产税及土地使用税除外）均由乙方承担，乙方自负盈亏；但在以下特定情况下，甲方应对乙方进行成本补偿：①因甲方原因（如：甲方未按合同约定提供项目所需条件、甲方提出合同范围外的不合理指令或变更要求等）导致乙方额外增加的成本；②其他经双方协商一致的情况。</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（4）运营期内，乙方应于每个运营年度结束之日起30日内向甲方提交本项目运营维护总结报告；</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（5）运营期内，如</w:t>
      </w:r>
      <w:r>
        <w:rPr>
          <w:rFonts w:ascii="仿宋_GB2312" w:eastAsia="仿宋_GB2312" w:hint="eastAsia"/>
          <w:snapToGrid w:val="0"/>
          <w:color w:val="000000"/>
          <w:spacing w:val="2"/>
          <w:sz w:val="32"/>
          <w:szCs w:val="32"/>
          <w:lang w:eastAsia="zh-CN"/>
        </w:rPr>
        <w:t>乙方因自身原因</w:t>
      </w:r>
      <w:r>
        <w:rPr>
          <w:rFonts w:ascii="仿宋_GB2312" w:eastAsia="仿宋_GB2312"/>
          <w:snapToGrid w:val="0"/>
          <w:color w:val="000000"/>
          <w:spacing w:val="2"/>
          <w:sz w:val="32"/>
          <w:szCs w:val="32"/>
          <w:lang w:eastAsia="zh-CN"/>
        </w:rPr>
        <w:t>在运营期限内与第三方发生经济纠纷，乙方应当承担相应的法律责任；</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6）乙方应委派专业的运营团队运营本项目，相关团队及人员须满足本项目招投文件和投标文件的要求，并具备项目运营所须的资质及经验。同时，本项目运营期开始之后，乙方应及时将本项目管理架构（图/表）及核心管理人员向甲方报备，后续如发生变更也须及时报备。甲方有权要求乙方更换不符合运营本项目所需经验和资质的核心管理人员；</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（7）乙方应在项目运营日起十五（15）日内，足额投保本项目的</w:t>
      </w:r>
      <w:r>
        <w:rPr>
          <w:rFonts w:ascii="仿宋_GB2312" w:eastAsia="仿宋_GB2312" w:hint="eastAsia"/>
          <w:snapToGrid w:val="0"/>
          <w:color w:val="000000"/>
          <w:spacing w:val="2"/>
          <w:sz w:val="32"/>
          <w:szCs w:val="32"/>
          <w:lang w:eastAsia="zh-CN"/>
        </w:rPr>
        <w:t>财产一切</w:t>
      </w:r>
      <w:r>
        <w:rPr>
          <w:rFonts w:ascii="仿宋_GB2312" w:eastAsia="仿宋_GB2312"/>
          <w:snapToGrid w:val="0"/>
          <w:color w:val="000000"/>
          <w:spacing w:val="2"/>
          <w:sz w:val="32"/>
          <w:szCs w:val="32"/>
          <w:lang w:eastAsia="zh-CN"/>
        </w:rPr>
        <w:t>险、公众责任险及其他法律法规规定的保险险种，乙方及甲方为共同被保险人。乙方应</w:t>
      </w:r>
      <w:r>
        <w:rPr>
          <w:rFonts w:ascii="仿宋_GB2312" w:eastAsia="仿宋_GB2312" w:hint="eastAsia"/>
          <w:snapToGrid w:val="0"/>
          <w:color w:val="000000"/>
          <w:spacing w:val="2"/>
          <w:sz w:val="32"/>
          <w:szCs w:val="32"/>
          <w:lang w:eastAsia="zh-CN"/>
        </w:rPr>
        <w:t>保证</w:t>
      </w:r>
      <w:r>
        <w:rPr>
          <w:rFonts w:ascii="仿宋_GB2312" w:eastAsia="仿宋_GB2312"/>
          <w:snapToGrid w:val="0"/>
          <w:color w:val="000000"/>
          <w:spacing w:val="2"/>
          <w:sz w:val="32"/>
          <w:szCs w:val="32"/>
          <w:lang w:eastAsia="zh-CN"/>
        </w:rPr>
        <w:t>项目运营期内保险始终足额、有效。保险协议文件应于签署之日起七（7）日内提交甲方备案；</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（8）运营期内，乙方对外公告、宣传、合作所使用的项目整体名称需经甲方书面同意</w:t>
      </w:r>
      <w:r>
        <w:rPr>
          <w:rFonts w:ascii="仿宋_GB2312" w:eastAsia="仿宋_GB2312" w:hint="eastAsia"/>
          <w:snapToGrid w:val="0"/>
          <w:color w:val="000000"/>
          <w:spacing w:val="2"/>
          <w:sz w:val="32"/>
          <w:szCs w:val="32"/>
          <w:lang w:eastAsia="zh-CN"/>
        </w:rPr>
        <w:t>且乙方不得以甲方名义开展任何与本项目无关的商业宣传活动</w:t>
      </w:r>
      <w:r>
        <w:rPr>
          <w:rFonts w:ascii="仿宋_GB2312" w:eastAsia="仿宋_GB2312"/>
          <w:snapToGrid w:val="0"/>
          <w:color w:val="000000"/>
          <w:spacing w:val="2"/>
          <w:sz w:val="32"/>
          <w:szCs w:val="32"/>
          <w:lang w:eastAsia="zh-CN"/>
        </w:rPr>
        <w:t>；</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（9）运营期内，除本合同另有约定外，乙方不得擅自转让、出租、出借本项目经营权及本项目资产；</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（10）运营期内，未经甲方书面同意，乙方不得在本项目资产设置担保物权；</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（11）运营期内，乙方不得擅自将本项目场地用于与本合同约定的经营内容无关的事项；</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12）运营期内，运营范围内的消防及安全管理责任由乙方承担，在合法合规的前提下，依据甲方所在地政府部门要求，乙方应于本合同运营之日起十五（15）日内，与甲方签署消防责任书及安全管理责任书，明确本项目消防管理及安全管理责任；</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消防责任书及安全管理责任书详见附件四，非因法律法规或政府消防、安全主管部门要求，甲方不得随意调整该等消防责任书及安全管理责任书</w:t>
      </w:r>
      <w:r>
        <w:rPr>
          <w:rFonts w:ascii="仿宋_GB2312" w:eastAsia="仿宋_GB2312" w:hint="eastAsia"/>
          <w:snapToGrid w:val="0"/>
          <w:color w:val="000000"/>
          <w:spacing w:val="2"/>
          <w:sz w:val="32"/>
          <w:szCs w:val="32"/>
          <w:lang w:eastAsia="zh-CN"/>
        </w:rPr>
        <w:t>；</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（13）如甲方或其他政府部门在本合同第八条约定的公益服务之外使用本项目场地的，甲方应</w:t>
      </w:r>
      <w:r>
        <w:rPr>
          <w:rFonts w:ascii="仿宋_GB2312" w:eastAsia="仿宋_GB2312" w:hint="eastAsia"/>
          <w:snapToGrid w:val="0"/>
          <w:color w:val="000000"/>
          <w:spacing w:val="2"/>
          <w:sz w:val="32"/>
          <w:szCs w:val="32"/>
          <w:lang w:eastAsia="zh-CN"/>
        </w:rPr>
        <w:t>在合理时间内提前</w:t>
      </w:r>
      <w:r>
        <w:rPr>
          <w:rFonts w:ascii="仿宋_GB2312" w:eastAsia="仿宋_GB2312"/>
          <w:snapToGrid w:val="0"/>
          <w:color w:val="000000"/>
          <w:spacing w:val="2"/>
          <w:sz w:val="32"/>
          <w:szCs w:val="32"/>
          <w:lang w:eastAsia="zh-CN"/>
        </w:rPr>
        <w:t>通知乙方，乙方应尽可能按甲方要求时间提供场地；</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w:t>
      </w:r>
      <w:r>
        <w:rPr>
          <w:rFonts w:ascii="仿宋_GB2312" w:eastAsia="仿宋_GB2312"/>
          <w:snapToGrid w:val="0"/>
          <w:color w:val="000000"/>
          <w:spacing w:val="2"/>
          <w:sz w:val="32"/>
          <w:szCs w:val="32"/>
          <w:lang w:eastAsia="zh-CN"/>
        </w:rPr>
        <w:t>14</w:t>
      </w:r>
      <w:r>
        <w:rPr>
          <w:rFonts w:ascii="仿宋_GB2312" w:eastAsia="仿宋_GB2312" w:hint="eastAsia"/>
          <w:snapToGrid w:val="0"/>
          <w:color w:val="000000"/>
          <w:spacing w:val="2"/>
          <w:sz w:val="32"/>
          <w:szCs w:val="32"/>
          <w:lang w:eastAsia="zh-CN"/>
        </w:rPr>
        <w:t>）运营期内，乙方有义务配合各类党政机关对翠竹街道综合文体中心运营项目的调研、检查及考核，包括但不限于全国文明城市创建等，</w:t>
      </w:r>
      <w:r>
        <w:rPr>
          <w:rFonts w:ascii="仿宋_GB2312" w:eastAsia="仿宋_GB2312"/>
          <w:snapToGrid w:val="0"/>
          <w:color w:val="000000"/>
          <w:spacing w:val="2"/>
          <w:sz w:val="32"/>
          <w:szCs w:val="32"/>
          <w:lang w:eastAsia="zh-CN"/>
        </w:rPr>
        <w:t>并对存在问题及时进行整改。</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（15）乙方承担本项目开办物资设备的购置，费用乙方自行承担。乙方所购置的物资设备须符合本项目正常运营需求；</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仿宋_GB2312" w:eastAsia="仿宋_GB2312"/>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（16）</w:t>
      </w:r>
      <w:r>
        <w:rPr>
          <w:rFonts w:ascii="仿宋_GB2312" w:eastAsia="仿宋_GB2312"/>
          <w:snapToGrid w:val="0"/>
          <w:color w:val="000000"/>
          <w:spacing w:val="2"/>
          <w:sz w:val="32"/>
          <w:szCs w:val="32"/>
          <w:lang w:eastAsia="zh-CN"/>
        </w:rPr>
        <w:t>本合同约定的其他义务。</w:t>
      </w:r>
      <w:bookmarkStart w:id="41" w:name="bookmark13"/>
      <w:bookmarkEnd w:id="41"/>
      <w:bookmarkStart w:id="42" w:name="_Toc19481"/>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黑体" w:eastAsia="黑体" w:hAnsi="黑体" w:cs="仿宋" w:hint="eastAsia"/>
          <w:b/>
          <w:bCs/>
          <w:snapToGrid w:val="0"/>
          <w:color w:val="000000"/>
          <w:spacing w:val="-5"/>
          <w:sz w:val="32"/>
          <w:szCs w:val="32"/>
          <w:lang w:eastAsia="zh-CN"/>
        </w:rPr>
      </w:pPr>
      <w:r>
        <w:rPr>
          <w:rFonts w:ascii="黑体" w:eastAsia="黑体" w:hAnsi="黑体" w:cs="仿宋"/>
          <w:b/>
          <w:bCs/>
          <w:snapToGrid w:val="0"/>
          <w:color w:val="000000"/>
          <w:spacing w:val="-5"/>
          <w:sz w:val="32"/>
          <w:szCs w:val="32"/>
          <w:lang w:eastAsia="zh-CN"/>
        </w:rPr>
        <w:t>第七条 项目运营、维护</w:t>
      </w:r>
      <w:bookmarkEnd w:id="42"/>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7.1 经营内容</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项目合作期内，乙方有权通过自营或引入第三方品牌开展与文化业存在一定关联性的服务业态，如文</w:t>
      </w:r>
      <w:r>
        <w:rPr>
          <w:rFonts w:ascii="仿宋_GB2312" w:eastAsia="仿宋_GB2312" w:hint="eastAsia"/>
          <w:snapToGrid w:val="0"/>
          <w:color w:val="000000"/>
          <w:spacing w:val="2"/>
          <w:sz w:val="32"/>
          <w:szCs w:val="32"/>
          <w:lang w:eastAsia="zh-CN"/>
        </w:rPr>
        <w:t>体</w:t>
      </w:r>
      <w:r>
        <w:rPr>
          <w:rFonts w:ascii="仿宋_GB2312" w:eastAsia="仿宋_GB2312"/>
          <w:snapToGrid w:val="0"/>
          <w:color w:val="000000"/>
          <w:spacing w:val="2"/>
          <w:sz w:val="32"/>
          <w:szCs w:val="32"/>
          <w:lang w:eastAsia="zh-CN"/>
        </w:rPr>
        <w:t>培训、文</w:t>
      </w:r>
      <w:r>
        <w:rPr>
          <w:rFonts w:ascii="仿宋_GB2312" w:eastAsia="仿宋_GB2312" w:hint="eastAsia"/>
          <w:snapToGrid w:val="0"/>
          <w:color w:val="000000"/>
          <w:spacing w:val="2"/>
          <w:sz w:val="32"/>
          <w:szCs w:val="32"/>
          <w:lang w:eastAsia="zh-CN"/>
        </w:rPr>
        <w:t>体</w:t>
      </w:r>
      <w:r>
        <w:rPr>
          <w:rFonts w:ascii="仿宋_GB2312" w:eastAsia="仿宋_GB2312"/>
          <w:snapToGrid w:val="0"/>
          <w:color w:val="000000"/>
          <w:spacing w:val="2"/>
          <w:sz w:val="32"/>
          <w:szCs w:val="32"/>
          <w:lang w:eastAsia="zh-CN"/>
        </w:rPr>
        <w:t>展览、</w:t>
      </w:r>
      <w:r>
        <w:rPr>
          <w:rFonts w:ascii="仿宋_GB2312" w:eastAsia="仿宋_GB2312" w:hint="eastAsia"/>
          <w:snapToGrid w:val="0"/>
          <w:color w:val="000000"/>
          <w:spacing w:val="2"/>
          <w:sz w:val="32"/>
          <w:szCs w:val="32"/>
          <w:lang w:eastAsia="zh-CN"/>
        </w:rPr>
        <w:t>文体产品</w:t>
      </w:r>
      <w:r>
        <w:rPr>
          <w:rFonts w:ascii="仿宋_GB2312" w:eastAsia="仿宋_GB2312"/>
          <w:snapToGrid w:val="0"/>
          <w:color w:val="000000"/>
          <w:spacing w:val="2"/>
          <w:sz w:val="32"/>
          <w:szCs w:val="32"/>
          <w:lang w:eastAsia="zh-CN"/>
        </w:rPr>
        <w:t>，或与上述活动相配套的服务内容，或其他经甲方认可的文化相关的配套服务内容</w:t>
      </w:r>
      <w:r>
        <w:rPr>
          <w:rFonts w:ascii="仿宋_GB2312" w:eastAsia="仿宋_GB2312" w:hint="eastAsia"/>
          <w:snapToGrid w:val="0"/>
          <w:color w:val="000000"/>
          <w:spacing w:val="2"/>
          <w:sz w:val="32"/>
          <w:szCs w:val="32"/>
          <w:lang w:eastAsia="zh-CN"/>
        </w:rPr>
        <w:t>，经营内容及运营方案需经甲方审核</w:t>
      </w:r>
      <w:r>
        <w:rPr>
          <w:rFonts w:ascii="仿宋_GB2312" w:eastAsia="仿宋_GB2312"/>
          <w:snapToGrid w:val="0"/>
          <w:color w:val="000000"/>
          <w:spacing w:val="2"/>
          <w:sz w:val="32"/>
          <w:szCs w:val="32"/>
          <w:lang w:eastAsia="zh-CN"/>
        </w:rPr>
        <w:t>。</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7.2 经营负面清单</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乙方开展或引入的经营活动不得涉及如下负面清单列示的业态：</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（1）歌舞厅、游戏机厅、KTV等娱乐活动；</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（2）产生高噪音和环境污染的非文化活动；</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（3）违法以及违背公序良俗，如赌场经营等；</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w:t>
      </w:r>
      <w:r>
        <w:rPr>
          <w:rFonts w:ascii="仿宋_GB2312" w:eastAsia="仿宋_GB2312"/>
          <w:snapToGrid w:val="0"/>
          <w:color w:val="000000"/>
          <w:spacing w:val="2"/>
          <w:sz w:val="32"/>
          <w:szCs w:val="32"/>
          <w:lang w:eastAsia="zh-CN"/>
        </w:rPr>
        <w:t>4</w:t>
      </w:r>
      <w:r>
        <w:rPr>
          <w:rFonts w:ascii="仿宋_GB2312" w:eastAsia="仿宋_GB2312" w:hint="eastAsia"/>
          <w:snapToGrid w:val="0"/>
          <w:color w:val="000000"/>
          <w:spacing w:val="2"/>
          <w:sz w:val="32"/>
          <w:szCs w:val="32"/>
          <w:lang w:eastAsia="zh-CN"/>
        </w:rPr>
        <w:t>）对运营效果或本项目的形象产生不良影响的，如足浴城、按摩店等；</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w:t>
      </w:r>
      <w:r>
        <w:rPr>
          <w:rFonts w:ascii="仿宋_GB2312" w:eastAsia="仿宋_GB2312"/>
          <w:snapToGrid w:val="0"/>
          <w:color w:val="000000"/>
          <w:spacing w:val="2"/>
          <w:sz w:val="32"/>
          <w:szCs w:val="32"/>
          <w:lang w:eastAsia="zh-CN"/>
        </w:rPr>
        <w:t>5</w:t>
      </w:r>
      <w:r>
        <w:rPr>
          <w:rFonts w:ascii="仿宋_GB2312" w:eastAsia="仿宋_GB2312" w:hint="eastAsia"/>
          <w:snapToGrid w:val="0"/>
          <w:color w:val="000000"/>
          <w:spacing w:val="2"/>
          <w:sz w:val="32"/>
          <w:szCs w:val="32"/>
          <w:lang w:eastAsia="zh-CN"/>
        </w:rPr>
        <w:t>）有可能招致公众批评或反对，经过解释与补救之后仍然无法消除影响的项目。</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7.3 服务价格</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本合同第2.4条约定的经营内容中，文</w:t>
      </w:r>
      <w:r>
        <w:rPr>
          <w:rFonts w:ascii="仿宋_GB2312" w:eastAsia="仿宋_GB2312" w:hint="eastAsia"/>
          <w:snapToGrid w:val="0"/>
          <w:color w:val="000000"/>
          <w:spacing w:val="2"/>
          <w:sz w:val="32"/>
          <w:szCs w:val="32"/>
          <w:lang w:eastAsia="zh-CN"/>
        </w:rPr>
        <w:t>体</w:t>
      </w:r>
      <w:r>
        <w:rPr>
          <w:rFonts w:ascii="仿宋_GB2312" w:eastAsia="仿宋_GB2312"/>
          <w:snapToGrid w:val="0"/>
          <w:color w:val="000000"/>
          <w:spacing w:val="2"/>
          <w:sz w:val="32"/>
          <w:szCs w:val="32"/>
          <w:lang w:eastAsia="zh-CN"/>
        </w:rPr>
        <w:t>培训、文</w:t>
      </w:r>
      <w:r>
        <w:rPr>
          <w:rFonts w:ascii="仿宋_GB2312" w:eastAsia="仿宋_GB2312" w:hint="eastAsia"/>
          <w:snapToGrid w:val="0"/>
          <w:color w:val="000000"/>
          <w:spacing w:val="2"/>
          <w:sz w:val="32"/>
          <w:szCs w:val="32"/>
          <w:lang w:eastAsia="zh-CN"/>
        </w:rPr>
        <w:t>体</w:t>
      </w:r>
      <w:r>
        <w:rPr>
          <w:rFonts w:ascii="仿宋_GB2312" w:eastAsia="仿宋_GB2312"/>
          <w:snapToGrid w:val="0"/>
          <w:color w:val="000000"/>
          <w:spacing w:val="2"/>
          <w:sz w:val="32"/>
          <w:szCs w:val="32"/>
          <w:lang w:eastAsia="zh-CN"/>
        </w:rPr>
        <w:t>展览、</w:t>
      </w:r>
      <w:r>
        <w:rPr>
          <w:rFonts w:ascii="仿宋_GB2312" w:eastAsia="仿宋_GB2312" w:hint="eastAsia"/>
          <w:snapToGrid w:val="0"/>
          <w:color w:val="000000"/>
          <w:spacing w:val="2"/>
          <w:sz w:val="32"/>
          <w:szCs w:val="32"/>
          <w:lang w:eastAsia="zh-CN"/>
        </w:rPr>
        <w:t>文体产品</w:t>
      </w:r>
      <w:r>
        <w:rPr>
          <w:rFonts w:ascii="仿宋_GB2312" w:eastAsia="仿宋_GB2312"/>
          <w:snapToGrid w:val="0"/>
          <w:color w:val="000000"/>
          <w:spacing w:val="2"/>
          <w:sz w:val="32"/>
          <w:szCs w:val="32"/>
          <w:lang w:eastAsia="zh-CN"/>
        </w:rPr>
        <w:t>及其他经甲方认可的相关配套服务内容价格，乙方应参考周边同类项目、并综合本项目服务水平进行合理定价，并于每年度1月31日前向甲方备案。</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甲方及物价主管部门</w:t>
      </w:r>
      <w:r>
        <w:rPr>
          <w:rFonts w:ascii="仿宋_GB2312" w:eastAsia="仿宋_GB2312"/>
          <w:snapToGrid w:val="0"/>
          <w:color w:val="000000"/>
          <w:spacing w:val="2"/>
          <w:sz w:val="32"/>
          <w:szCs w:val="32"/>
          <w:lang w:eastAsia="zh-CN"/>
        </w:rPr>
        <w:t>认为乙方制定的价格</w:t>
      </w:r>
      <w:r>
        <w:rPr>
          <w:rFonts w:ascii="仿宋GB-2312" w:eastAsia="仿宋GB-2312" w:hAnsi="Arial" w:cs="Arial" w:hint="eastAsia"/>
          <w:snapToGrid w:val="0"/>
          <w:color w:val="000000"/>
          <w:spacing w:val="2"/>
          <w:sz w:val="32"/>
          <w:szCs w:val="32"/>
          <w:lang w:eastAsia="zh-CN"/>
        </w:rPr>
        <w:t>存在</w:t>
      </w:r>
      <w:r>
        <w:rPr>
          <w:rFonts w:ascii="仿宋_GB2312" w:eastAsia="仿宋_GB2312"/>
          <w:snapToGrid w:val="0"/>
          <w:color w:val="000000"/>
          <w:spacing w:val="2"/>
          <w:sz w:val="32"/>
          <w:szCs w:val="32"/>
          <w:lang w:eastAsia="zh-CN"/>
        </w:rPr>
        <w:t>不合理的，有权要求乙方调整相应的价格。</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int="eastAsia"/>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7.4</w:t>
      </w:r>
      <w:r>
        <w:rPr>
          <w:rFonts w:ascii="仿宋_GB2312" w:eastAsia="仿宋_GB2312" w:hint="eastAsia"/>
          <w:snapToGrid w:val="0"/>
          <w:color w:val="000000"/>
          <w:spacing w:val="2"/>
          <w:sz w:val="32"/>
          <w:szCs w:val="32"/>
          <w:lang w:eastAsia="zh-CN"/>
        </w:rPr>
        <w:t xml:space="preserve"> </w:t>
      </w:r>
      <w:r>
        <w:rPr>
          <w:rFonts w:ascii="仿宋_GB2312" w:eastAsia="仿宋_GB2312" w:hint="eastAsia"/>
          <w:snapToGrid w:val="0"/>
          <w:color w:val="000000"/>
          <w:spacing w:val="2"/>
          <w:sz w:val="32"/>
          <w:szCs w:val="32"/>
          <w:lang w:eastAsia="zh-CN"/>
        </w:rPr>
        <w:t>超额收益分享机制</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当项目平均净利润率超过8%（年平均净利润/年平均总收入）时，乙方应按甲方要求将8%以上部分净利润的30%捐赠给社区基金或甲方指定的其他机构，用于公共慈善事业或其他公益事业的发展。</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7.</w:t>
      </w:r>
      <w:r>
        <w:rPr>
          <w:rFonts w:ascii="仿宋_GB2312" w:eastAsia="仿宋_GB2312" w:hint="eastAsia"/>
          <w:snapToGrid w:val="0"/>
          <w:color w:val="000000"/>
          <w:spacing w:val="2"/>
          <w:sz w:val="32"/>
          <w:szCs w:val="32"/>
          <w:lang w:eastAsia="zh-CN"/>
        </w:rPr>
        <w:t>5</w:t>
      </w:r>
      <w:r>
        <w:rPr>
          <w:rFonts w:ascii="仿宋_GB2312" w:eastAsia="仿宋_GB2312"/>
          <w:snapToGrid w:val="0"/>
          <w:color w:val="000000"/>
          <w:spacing w:val="2"/>
          <w:sz w:val="32"/>
          <w:szCs w:val="32"/>
          <w:lang w:eastAsia="zh-CN"/>
        </w:rPr>
        <w:t xml:space="preserve"> 场地的管理和维护</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7.</w:t>
      </w:r>
      <w:r>
        <w:rPr>
          <w:rFonts w:ascii="仿宋_GB2312" w:eastAsia="仿宋_GB2312" w:hint="eastAsia"/>
          <w:snapToGrid w:val="0"/>
          <w:color w:val="000000"/>
          <w:spacing w:val="2"/>
          <w:sz w:val="32"/>
          <w:szCs w:val="32"/>
          <w:lang w:eastAsia="zh-CN"/>
        </w:rPr>
        <w:t>5</w:t>
      </w:r>
      <w:r>
        <w:rPr>
          <w:rFonts w:ascii="仿宋_GB2312" w:eastAsia="仿宋_GB2312"/>
          <w:snapToGrid w:val="0"/>
          <w:color w:val="000000"/>
          <w:spacing w:val="2"/>
          <w:sz w:val="32"/>
          <w:szCs w:val="32"/>
          <w:lang w:eastAsia="zh-CN"/>
        </w:rPr>
        <w:t>.1 项目资产的维护、修理</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乙方承担本项目所有建筑、设备设施的日常维护、修理责任，根据建筑、各类设备设施使用、维护、保养周期的技术规范要求及实际需要，负责进</w:t>
      </w:r>
      <w:r>
        <w:rPr>
          <w:rFonts w:ascii="仿宋_GB2312" w:eastAsia="仿宋_GB2312" w:hint="eastAsia"/>
          <w:snapToGrid w:val="0"/>
          <w:color w:val="000000"/>
          <w:spacing w:val="2"/>
          <w:sz w:val="32"/>
          <w:szCs w:val="32"/>
          <w:lang w:eastAsia="zh-CN"/>
        </w:rPr>
        <w:t>行</w:t>
      </w:r>
      <w:r>
        <w:rPr>
          <w:rFonts w:ascii="仿宋_GB2312" w:eastAsia="仿宋_GB2312"/>
          <w:snapToGrid w:val="0"/>
          <w:color w:val="000000"/>
          <w:spacing w:val="2"/>
          <w:sz w:val="32"/>
          <w:szCs w:val="32"/>
          <w:lang w:eastAsia="zh-CN"/>
        </w:rPr>
        <w:t>日常维护和年度检修工作，确保建筑及设备设施的完好、安全和功能正常使用。</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7.</w:t>
      </w:r>
      <w:r>
        <w:rPr>
          <w:rFonts w:ascii="仿宋_GB2312" w:eastAsia="仿宋_GB2312" w:hint="eastAsia"/>
          <w:snapToGrid w:val="0"/>
          <w:color w:val="000000"/>
          <w:spacing w:val="2"/>
          <w:sz w:val="32"/>
          <w:szCs w:val="32"/>
          <w:lang w:eastAsia="zh-CN"/>
        </w:rPr>
        <w:t>5</w:t>
      </w:r>
      <w:r>
        <w:rPr>
          <w:rFonts w:ascii="仿宋_GB2312" w:eastAsia="仿宋_GB2312"/>
          <w:snapToGrid w:val="0"/>
          <w:color w:val="000000"/>
          <w:spacing w:val="2"/>
          <w:sz w:val="32"/>
          <w:szCs w:val="32"/>
          <w:lang w:eastAsia="zh-CN"/>
        </w:rPr>
        <w:t>.2 运营维护标准</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乙方对本项目设施进行管理、运营和维护的工作内容及质量标准应符合法律法规、国家规范的强制性要求。适用法律和国家行业规范、标准的每一项规定。运营期内，运营维护标准相关法律法规、行业规范和管理办法有变更的，按最新的标准执行。</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int="eastAsia"/>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 xml:space="preserve">7.5.3 </w:t>
      </w:r>
      <w:r>
        <w:rPr>
          <w:rFonts w:ascii="仿宋_GB2312" w:eastAsia="仿宋_GB2312" w:hint="eastAsia"/>
          <w:snapToGrid w:val="0"/>
          <w:color w:val="000000"/>
          <w:spacing w:val="2"/>
          <w:sz w:val="32"/>
          <w:szCs w:val="32"/>
          <w:lang w:eastAsia="zh-CN"/>
        </w:rPr>
        <w:t>运营维护总结报告</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int="eastAsia"/>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运营期内，乙方应于每个运营年度结束之日起三十（30）日内，向甲方提交上年度运营维护总结报告。</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int="eastAsia"/>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 xml:space="preserve">7.5.4 </w:t>
      </w:r>
      <w:r>
        <w:rPr>
          <w:rFonts w:ascii="仿宋_GB2312" w:eastAsia="仿宋_GB2312" w:hint="eastAsia"/>
          <w:snapToGrid w:val="0"/>
          <w:color w:val="000000"/>
          <w:spacing w:val="2"/>
          <w:sz w:val="32"/>
          <w:szCs w:val="32"/>
          <w:lang w:eastAsia="zh-CN"/>
        </w:rPr>
        <w:t>财务报告</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int="eastAsia"/>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本项目运营期内，乙方应为本项目运营维护设立专项账户，本项目支出及收入均通过专项账户单独核算。乙方应建立合理的财务记录，以便准确确定项目各项收入、成本情况。</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本项目运营期内，甲方有权自行或者会同财政、审计等部门的相关人员组织对本项目运营情况进行财务审计，乙方应予以配合。</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7.</w:t>
      </w:r>
      <w:r>
        <w:rPr>
          <w:rFonts w:ascii="仿宋_GB2312" w:eastAsia="仿宋_GB2312" w:hint="eastAsia"/>
          <w:snapToGrid w:val="0"/>
          <w:color w:val="000000"/>
          <w:spacing w:val="2"/>
          <w:sz w:val="32"/>
          <w:szCs w:val="32"/>
          <w:lang w:eastAsia="zh-CN"/>
        </w:rPr>
        <w:t>6</w:t>
      </w:r>
      <w:r>
        <w:rPr>
          <w:rFonts w:ascii="仿宋_GB2312" w:eastAsia="仿宋_GB2312"/>
          <w:snapToGrid w:val="0"/>
          <w:color w:val="000000"/>
          <w:spacing w:val="2"/>
          <w:sz w:val="32"/>
          <w:szCs w:val="32"/>
          <w:lang w:eastAsia="zh-CN"/>
        </w:rPr>
        <w:t xml:space="preserve"> 运营期能源成本</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本项目运营期内，乙方运营范围内的能耗费用由乙方承担。</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7.</w:t>
      </w:r>
      <w:r>
        <w:rPr>
          <w:rFonts w:ascii="仿宋_GB2312" w:eastAsia="仿宋_GB2312" w:hint="eastAsia"/>
          <w:snapToGrid w:val="0"/>
          <w:color w:val="000000"/>
          <w:spacing w:val="2"/>
          <w:sz w:val="32"/>
          <w:szCs w:val="32"/>
          <w:lang w:eastAsia="zh-CN"/>
        </w:rPr>
        <w:t>7</w:t>
      </w:r>
      <w:r>
        <w:rPr>
          <w:rFonts w:ascii="仿宋_GB2312" w:eastAsia="仿宋_GB2312"/>
          <w:snapToGrid w:val="0"/>
          <w:color w:val="000000"/>
          <w:spacing w:val="2"/>
          <w:sz w:val="32"/>
          <w:szCs w:val="32"/>
          <w:lang w:eastAsia="zh-CN"/>
        </w:rPr>
        <w:t xml:space="preserve"> 第三方协议期限</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项目运营期内，乙方与第三方签订的协议的有效期不得晚于本项目运营期结束之日。</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如乙方为运营维护本项目的需要，乙方与第三方签署的协议有效期必须晚于本项目运营期结束之日的，则乙方应在签署该等协议前报经甲方书面同意。未经甲方书面同意的，乙方不得签署。</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如因乙方原因导致其在经营权期限内因行使运营管理权与第三方发生的经济纠纷，乙方应当承担法律责任。</w:t>
      </w:r>
      <w:bookmarkStart w:id="43" w:name="bookmark15"/>
      <w:bookmarkEnd w:id="43"/>
      <w:bookmarkStart w:id="44" w:name="_Toc4895"/>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仿宋_GB2312" w:eastAsia="仿宋_GB2312" w:hint="eastAsia"/>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 xml:space="preserve">7.8 </w:t>
      </w:r>
      <w:r>
        <w:rPr>
          <w:rFonts w:ascii="仿宋_GB2312" w:eastAsia="仿宋_GB2312" w:hint="eastAsia"/>
          <w:snapToGrid w:val="0"/>
          <w:color w:val="000000"/>
          <w:spacing w:val="2"/>
          <w:sz w:val="32"/>
          <w:szCs w:val="32"/>
          <w:lang w:eastAsia="zh-CN"/>
        </w:rPr>
        <w:t>履约保障</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仿宋_GB2312" w:eastAsia="仿宋_GB2312" w:hint="eastAsia"/>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 xml:space="preserve">7.8.1 </w:t>
      </w:r>
      <w:r>
        <w:rPr>
          <w:rFonts w:ascii="仿宋_GB2312" w:eastAsia="仿宋_GB2312" w:hint="eastAsia"/>
          <w:snapToGrid w:val="0"/>
          <w:color w:val="000000"/>
          <w:spacing w:val="2"/>
          <w:sz w:val="32"/>
          <w:szCs w:val="32"/>
          <w:lang w:eastAsia="zh-CN"/>
        </w:rPr>
        <w:t>强制保险方案</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仿宋_GB2312" w:eastAsia="仿宋_GB2312" w:hint="eastAsia"/>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乙方应按行业的国家管理规定办理和维持合理的运营保险。乙方应在本项目运营期开始之日起十五（15）日内，足额投保本项目的财产一切险、公众责任险及其他法律法规规定的保险险种，甲乙双方为共同被保险人。乙方应同时维持项目运营期内保险始终足额、有效。保险合同文件应于签署之日起七（7）日内提交甲方备案。</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仿宋_GB2312" w:eastAsia="仿宋_GB2312" w:hint="eastAsia"/>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 xml:space="preserve">7.8.2 </w:t>
      </w:r>
      <w:r>
        <w:rPr>
          <w:rFonts w:ascii="仿宋_GB2312" w:eastAsia="仿宋_GB2312" w:hint="eastAsia"/>
          <w:snapToGrid w:val="0"/>
          <w:color w:val="000000"/>
          <w:spacing w:val="2"/>
          <w:sz w:val="32"/>
          <w:szCs w:val="32"/>
          <w:lang w:eastAsia="zh-CN"/>
        </w:rPr>
        <w:t>履约担保体系</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仿宋_GB2312" w:eastAsia="仿宋_GB2312" w:hint="eastAsia"/>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履约担保体系主要包括运营维护保函及移交维修保函。任一保函被提取任意金额后，乙方应在十五（15）日内将保函担保金额恢复至原始金额。</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98"/>
        <w:gridCol w:w="3504"/>
        <w:gridCol w:w="405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43"/>
          <w:jc w:val="center"/>
        </w:trPr>
        <w:tc>
          <w:tcPr>
            <w:tcW w:w="8931" w:type="dxa"/>
            <w:gridSpan w:val="3"/>
            <w:tcBorders>
              <w:top w:val="nil"/>
              <w:left w:val="nil"/>
              <w:bottom w:val="single" w:sz="4" w:space="0" w:color="auto"/>
              <w:right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ascii="宋体" w:eastAsia="宋体" w:hAnsi="宋体" w:cs="宋体" w:hint="eastAsia"/>
                <w:b/>
                <w:bCs/>
                <w:snapToGrid w:val="0"/>
                <w:sz w:val="32"/>
                <w:szCs w:val="32"/>
              </w:rPr>
            </w:pPr>
            <w:r>
              <w:rPr>
                <w:rFonts w:ascii="宋体" w:eastAsia="宋体" w:hAnsi="宋体" w:cs="宋体" w:hint="eastAsia"/>
                <w:b/>
                <w:bCs/>
                <w:snapToGrid w:val="0"/>
                <w:sz w:val="32"/>
                <w:szCs w:val="32"/>
              </w:rPr>
              <w:t>项目履约担保体系</w:t>
            </w:r>
          </w:p>
        </w:tc>
      </w:tr>
      <w:tr>
        <w:tblPrEx>
          <w:tblW w:w="5000" w:type="pct"/>
          <w:jc w:val="center"/>
          <w:tblLayout w:type="fixed"/>
          <w:tblCellMar>
            <w:top w:w="0" w:type="dxa"/>
            <w:left w:w="108" w:type="dxa"/>
            <w:bottom w:w="0" w:type="dxa"/>
            <w:right w:w="108" w:type="dxa"/>
          </w:tblCellMar>
        </w:tblPrEx>
        <w:trPr>
          <w:trHeight w:val="643"/>
          <w:jc w:val="center"/>
        </w:trPr>
        <w:tc>
          <w:tcPr>
            <w:tcW w:w="1477" w:type="dxa"/>
            <w:tcBorders>
              <w:top w:val="single" w:sz="4" w:space="0" w:color="auto"/>
            </w:tcBorders>
            <w:noWrap w:val="0"/>
            <w:vAlign w:val="center"/>
          </w:tcPr>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0" w:firstLineChars="0"/>
              <w:jc w:val="center"/>
              <w:textAlignment w:val="baseline"/>
              <w:outlineLvl w:val="0"/>
              <w:rPr>
                <w:rFonts w:ascii="仿宋_GB2312" w:eastAsia="仿宋_GB2312" w:hint="eastAsia"/>
                <w:snapToGrid w:val="0"/>
                <w:color w:val="000000"/>
                <w:spacing w:val="2"/>
                <w:sz w:val="28"/>
                <w:szCs w:val="28"/>
                <w:lang w:eastAsia="zh-CN"/>
              </w:rPr>
            </w:pPr>
            <w:r>
              <w:rPr>
                <w:rFonts w:ascii="仿宋_GB2312" w:eastAsia="仿宋_GB2312" w:hint="eastAsia"/>
                <w:snapToGrid w:val="0"/>
                <w:color w:val="000000"/>
                <w:spacing w:val="2"/>
                <w:sz w:val="28"/>
                <w:szCs w:val="28"/>
                <w:lang w:eastAsia="zh-CN"/>
              </w:rPr>
              <w:t>条款</w:t>
            </w:r>
          </w:p>
        </w:tc>
        <w:tc>
          <w:tcPr>
            <w:tcW w:w="3454" w:type="dxa"/>
            <w:tcBorders>
              <w:top w:val="single" w:sz="4" w:space="0" w:color="auto"/>
            </w:tcBorders>
            <w:noWrap w:val="0"/>
            <w:vAlign w:val="center"/>
          </w:tcPr>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0" w:firstLineChars="0"/>
              <w:jc w:val="center"/>
              <w:textAlignment w:val="baseline"/>
              <w:outlineLvl w:val="0"/>
              <w:rPr>
                <w:rFonts w:ascii="仿宋_GB2312" w:eastAsia="仿宋_GB2312" w:hint="eastAsia"/>
                <w:snapToGrid w:val="0"/>
                <w:color w:val="000000"/>
                <w:spacing w:val="2"/>
                <w:sz w:val="28"/>
                <w:szCs w:val="28"/>
                <w:lang w:eastAsia="zh-CN"/>
              </w:rPr>
            </w:pPr>
            <w:r>
              <w:rPr>
                <w:rFonts w:ascii="仿宋_GB2312" w:eastAsia="仿宋_GB2312" w:hint="eastAsia"/>
                <w:snapToGrid w:val="0"/>
                <w:color w:val="000000"/>
                <w:spacing w:val="2"/>
                <w:sz w:val="28"/>
                <w:szCs w:val="28"/>
                <w:lang w:eastAsia="zh-CN"/>
              </w:rPr>
              <w:t>运营维护保函</w:t>
            </w:r>
          </w:p>
        </w:tc>
        <w:tc>
          <w:tcPr>
            <w:tcW w:w="4000" w:type="dxa"/>
            <w:tcBorders>
              <w:top w:val="single" w:sz="4" w:space="0" w:color="auto"/>
            </w:tcBorders>
            <w:noWrap w:val="0"/>
            <w:vAlign w:val="center"/>
          </w:tcPr>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0" w:firstLineChars="0"/>
              <w:jc w:val="center"/>
              <w:textAlignment w:val="baseline"/>
              <w:outlineLvl w:val="0"/>
              <w:rPr>
                <w:rFonts w:ascii="仿宋_GB2312" w:eastAsia="仿宋_GB2312" w:hint="eastAsia"/>
                <w:snapToGrid w:val="0"/>
                <w:color w:val="000000"/>
                <w:spacing w:val="2"/>
                <w:sz w:val="28"/>
                <w:szCs w:val="28"/>
                <w:lang w:eastAsia="zh-CN"/>
              </w:rPr>
            </w:pPr>
            <w:r>
              <w:rPr>
                <w:rFonts w:ascii="仿宋_GB2312" w:eastAsia="仿宋_GB2312" w:hint="eastAsia"/>
                <w:snapToGrid w:val="0"/>
                <w:color w:val="000000"/>
                <w:spacing w:val="2"/>
                <w:sz w:val="28"/>
                <w:szCs w:val="28"/>
                <w:lang w:eastAsia="zh-CN"/>
              </w:rPr>
              <w:t>移交维修保函</w:t>
            </w:r>
          </w:p>
        </w:tc>
      </w:tr>
      <w:tr>
        <w:tblPrEx>
          <w:tblW w:w="5000" w:type="pct"/>
          <w:jc w:val="center"/>
          <w:tblLayout w:type="fixed"/>
          <w:tblCellMar>
            <w:top w:w="0" w:type="dxa"/>
            <w:left w:w="108" w:type="dxa"/>
            <w:bottom w:w="0" w:type="dxa"/>
            <w:right w:w="108" w:type="dxa"/>
          </w:tblCellMar>
        </w:tblPrEx>
        <w:trPr>
          <w:trHeight w:val="487"/>
          <w:jc w:val="center"/>
        </w:trPr>
        <w:tc>
          <w:tcPr>
            <w:tcW w:w="1477"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0" w:firstLineChars="0"/>
              <w:jc w:val="center"/>
              <w:textAlignment w:val="baseline"/>
              <w:outlineLvl w:val="0"/>
              <w:rPr>
                <w:rFonts w:ascii="仿宋_GB2312" w:eastAsia="仿宋_GB2312" w:hint="eastAsia"/>
                <w:snapToGrid w:val="0"/>
                <w:color w:val="000000"/>
                <w:spacing w:val="2"/>
                <w:sz w:val="28"/>
                <w:szCs w:val="28"/>
                <w:lang w:eastAsia="zh-CN"/>
              </w:rPr>
            </w:pPr>
            <w:r>
              <w:rPr>
                <w:rFonts w:ascii="仿宋_GB2312" w:eastAsia="仿宋_GB2312" w:hint="eastAsia"/>
                <w:snapToGrid w:val="0"/>
                <w:color w:val="000000"/>
                <w:spacing w:val="2"/>
                <w:sz w:val="28"/>
                <w:szCs w:val="28"/>
                <w:lang w:eastAsia="zh-CN"/>
              </w:rPr>
              <w:t>提交主体</w:t>
            </w:r>
          </w:p>
        </w:tc>
        <w:tc>
          <w:tcPr>
            <w:tcW w:w="3454"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0" w:firstLineChars="0"/>
              <w:jc w:val="center"/>
              <w:textAlignment w:val="baseline"/>
              <w:outlineLvl w:val="0"/>
              <w:rPr>
                <w:rFonts w:ascii="仿宋_GB2312" w:eastAsia="仿宋_GB2312" w:hint="eastAsia"/>
                <w:snapToGrid w:val="0"/>
                <w:color w:val="000000"/>
                <w:spacing w:val="2"/>
                <w:sz w:val="28"/>
                <w:szCs w:val="28"/>
                <w:lang w:eastAsia="zh-CN"/>
              </w:rPr>
            </w:pPr>
            <w:r>
              <w:rPr>
                <w:rFonts w:ascii="仿宋_GB2312" w:eastAsia="仿宋_GB2312" w:hint="eastAsia"/>
                <w:snapToGrid w:val="0"/>
                <w:color w:val="000000"/>
                <w:spacing w:val="2"/>
                <w:sz w:val="28"/>
                <w:szCs w:val="28"/>
                <w:lang w:eastAsia="zh-CN"/>
              </w:rPr>
              <w:t>乙方</w:t>
            </w:r>
          </w:p>
        </w:tc>
        <w:tc>
          <w:tcPr>
            <w:tcW w:w="400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0" w:firstLineChars="0"/>
              <w:jc w:val="center"/>
              <w:textAlignment w:val="baseline"/>
              <w:outlineLvl w:val="0"/>
              <w:rPr>
                <w:rFonts w:ascii="仿宋_GB2312" w:eastAsia="仿宋_GB2312" w:hint="eastAsia"/>
                <w:snapToGrid w:val="0"/>
                <w:color w:val="000000"/>
                <w:spacing w:val="2"/>
                <w:sz w:val="28"/>
                <w:szCs w:val="28"/>
                <w:lang w:eastAsia="zh-CN"/>
              </w:rPr>
            </w:pPr>
            <w:r>
              <w:rPr>
                <w:rFonts w:ascii="仿宋_GB2312" w:eastAsia="仿宋_GB2312" w:hint="eastAsia"/>
                <w:snapToGrid w:val="0"/>
                <w:color w:val="000000"/>
                <w:spacing w:val="2"/>
                <w:sz w:val="28"/>
                <w:szCs w:val="28"/>
                <w:lang w:eastAsia="zh-CN"/>
              </w:rPr>
              <w:t>乙方</w:t>
            </w:r>
          </w:p>
        </w:tc>
      </w:tr>
      <w:tr>
        <w:tblPrEx>
          <w:tblW w:w="5000" w:type="pct"/>
          <w:jc w:val="center"/>
          <w:tblLayout w:type="fixed"/>
          <w:tblCellMar>
            <w:top w:w="0" w:type="dxa"/>
            <w:left w:w="108" w:type="dxa"/>
            <w:bottom w:w="0" w:type="dxa"/>
            <w:right w:w="108" w:type="dxa"/>
          </w:tblCellMar>
        </w:tblPrEx>
        <w:trPr>
          <w:trHeight w:val="692"/>
          <w:jc w:val="center"/>
        </w:trPr>
        <w:tc>
          <w:tcPr>
            <w:tcW w:w="1477"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0" w:firstLineChars="0"/>
              <w:jc w:val="center"/>
              <w:textAlignment w:val="baseline"/>
              <w:outlineLvl w:val="0"/>
              <w:rPr>
                <w:rFonts w:ascii="仿宋_GB2312" w:eastAsia="仿宋_GB2312" w:hint="eastAsia"/>
                <w:snapToGrid w:val="0"/>
                <w:color w:val="000000"/>
                <w:spacing w:val="2"/>
                <w:sz w:val="28"/>
                <w:szCs w:val="28"/>
                <w:lang w:eastAsia="zh-CN"/>
              </w:rPr>
            </w:pPr>
            <w:r>
              <w:rPr>
                <w:rFonts w:ascii="仿宋_GB2312" w:eastAsia="仿宋_GB2312" w:hint="eastAsia"/>
                <w:snapToGrid w:val="0"/>
                <w:color w:val="000000"/>
                <w:spacing w:val="2"/>
                <w:sz w:val="28"/>
                <w:szCs w:val="28"/>
                <w:lang w:eastAsia="zh-CN"/>
              </w:rPr>
              <w:t>提交时间</w:t>
            </w:r>
          </w:p>
        </w:tc>
        <w:tc>
          <w:tcPr>
            <w:tcW w:w="3454"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0" w:firstLineChars="0"/>
              <w:jc w:val="center"/>
              <w:textAlignment w:val="baseline"/>
              <w:outlineLvl w:val="0"/>
              <w:rPr>
                <w:rFonts w:ascii="仿宋_GB2312" w:eastAsia="仿宋_GB2312" w:hint="eastAsia"/>
                <w:snapToGrid w:val="0"/>
                <w:color w:val="000000"/>
                <w:spacing w:val="2"/>
                <w:sz w:val="28"/>
                <w:szCs w:val="28"/>
                <w:lang w:eastAsia="zh-CN"/>
              </w:rPr>
            </w:pPr>
            <w:r>
              <w:rPr>
                <w:rFonts w:ascii="仿宋_GB2312" w:eastAsia="仿宋_GB2312" w:hint="eastAsia"/>
                <w:snapToGrid w:val="0"/>
                <w:color w:val="000000"/>
                <w:spacing w:val="2"/>
                <w:sz w:val="28"/>
                <w:szCs w:val="28"/>
                <w:lang w:eastAsia="zh-CN"/>
              </w:rPr>
              <w:t>运营合同签订后30日内</w:t>
            </w:r>
          </w:p>
        </w:tc>
        <w:tc>
          <w:tcPr>
            <w:tcW w:w="400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0" w:firstLineChars="0"/>
              <w:jc w:val="center"/>
              <w:textAlignment w:val="baseline"/>
              <w:outlineLvl w:val="0"/>
              <w:rPr>
                <w:rFonts w:ascii="仿宋_GB2312" w:eastAsia="仿宋_GB2312" w:hint="eastAsia"/>
                <w:snapToGrid w:val="0"/>
                <w:color w:val="000000"/>
                <w:spacing w:val="2"/>
                <w:sz w:val="28"/>
                <w:szCs w:val="28"/>
                <w:lang w:eastAsia="zh-CN"/>
              </w:rPr>
            </w:pPr>
            <w:r>
              <w:rPr>
                <w:rFonts w:ascii="仿宋_GB2312" w:eastAsia="仿宋_GB2312" w:hint="eastAsia"/>
                <w:snapToGrid w:val="0"/>
                <w:color w:val="000000"/>
                <w:spacing w:val="2"/>
                <w:sz w:val="28"/>
                <w:szCs w:val="28"/>
                <w:lang w:eastAsia="zh-CN"/>
              </w:rPr>
              <w:t>合作期最后一个运营年开始前十五个工作日内</w:t>
            </w:r>
          </w:p>
        </w:tc>
      </w:tr>
      <w:tr>
        <w:tblPrEx>
          <w:tblW w:w="5000" w:type="pct"/>
          <w:jc w:val="center"/>
          <w:tblLayout w:type="fixed"/>
          <w:tblCellMar>
            <w:top w:w="0" w:type="dxa"/>
            <w:left w:w="108" w:type="dxa"/>
            <w:bottom w:w="0" w:type="dxa"/>
            <w:right w:w="108" w:type="dxa"/>
          </w:tblCellMar>
        </w:tblPrEx>
        <w:trPr>
          <w:trHeight w:val="561"/>
          <w:jc w:val="center"/>
        </w:trPr>
        <w:tc>
          <w:tcPr>
            <w:tcW w:w="1477"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0" w:firstLineChars="0"/>
              <w:jc w:val="center"/>
              <w:textAlignment w:val="baseline"/>
              <w:outlineLvl w:val="0"/>
              <w:rPr>
                <w:rFonts w:ascii="仿宋_GB2312" w:eastAsia="仿宋_GB2312" w:hint="eastAsia"/>
                <w:snapToGrid w:val="0"/>
                <w:color w:val="000000"/>
                <w:spacing w:val="2"/>
                <w:sz w:val="28"/>
                <w:szCs w:val="28"/>
                <w:lang w:eastAsia="zh-CN"/>
              </w:rPr>
            </w:pPr>
            <w:r>
              <w:rPr>
                <w:rFonts w:ascii="仿宋_GB2312" w:eastAsia="仿宋_GB2312" w:hint="eastAsia"/>
                <w:snapToGrid w:val="0"/>
                <w:color w:val="000000"/>
                <w:spacing w:val="2"/>
                <w:sz w:val="28"/>
                <w:szCs w:val="28"/>
                <w:lang w:eastAsia="zh-CN"/>
              </w:rPr>
              <w:t>退还时间</w:t>
            </w:r>
          </w:p>
        </w:tc>
        <w:tc>
          <w:tcPr>
            <w:tcW w:w="3454"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0" w:firstLineChars="0"/>
              <w:jc w:val="center"/>
              <w:textAlignment w:val="baseline"/>
              <w:outlineLvl w:val="0"/>
              <w:rPr>
                <w:rFonts w:ascii="仿宋_GB2312" w:eastAsia="仿宋_GB2312" w:hint="eastAsia"/>
                <w:snapToGrid w:val="0"/>
                <w:color w:val="000000"/>
                <w:spacing w:val="2"/>
                <w:sz w:val="28"/>
                <w:szCs w:val="28"/>
                <w:lang w:eastAsia="zh-CN"/>
              </w:rPr>
            </w:pPr>
            <w:r>
              <w:rPr>
                <w:rFonts w:ascii="仿宋_GB2312" w:eastAsia="仿宋_GB2312" w:hint="eastAsia"/>
                <w:snapToGrid w:val="0"/>
                <w:color w:val="000000"/>
                <w:spacing w:val="2"/>
                <w:sz w:val="28"/>
                <w:szCs w:val="28"/>
                <w:lang w:eastAsia="zh-CN"/>
              </w:rPr>
              <w:t>乙方提交移交维修保函后</w:t>
            </w:r>
          </w:p>
        </w:tc>
        <w:tc>
          <w:tcPr>
            <w:tcW w:w="400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0" w:firstLineChars="0"/>
              <w:jc w:val="center"/>
              <w:textAlignment w:val="baseline"/>
              <w:outlineLvl w:val="0"/>
              <w:rPr>
                <w:rFonts w:ascii="仿宋_GB2312" w:eastAsia="仿宋_GB2312" w:hint="eastAsia"/>
                <w:snapToGrid w:val="0"/>
                <w:color w:val="000000"/>
                <w:spacing w:val="2"/>
                <w:sz w:val="28"/>
                <w:szCs w:val="28"/>
                <w:lang w:eastAsia="zh-CN"/>
              </w:rPr>
            </w:pPr>
            <w:r>
              <w:rPr>
                <w:rFonts w:ascii="仿宋_GB2312" w:eastAsia="仿宋_GB2312" w:hint="eastAsia"/>
                <w:snapToGrid w:val="0"/>
                <w:color w:val="000000"/>
                <w:spacing w:val="2"/>
                <w:sz w:val="28"/>
                <w:szCs w:val="28"/>
                <w:lang w:eastAsia="zh-CN"/>
              </w:rPr>
              <w:t>项目移交完毕后</w:t>
            </w:r>
          </w:p>
        </w:tc>
      </w:tr>
      <w:tr>
        <w:tblPrEx>
          <w:tblW w:w="5000" w:type="pct"/>
          <w:jc w:val="center"/>
          <w:tblLayout w:type="fixed"/>
          <w:tblCellMar>
            <w:top w:w="0" w:type="dxa"/>
            <w:left w:w="108" w:type="dxa"/>
            <w:bottom w:w="0" w:type="dxa"/>
            <w:right w:w="108" w:type="dxa"/>
          </w:tblCellMar>
        </w:tblPrEx>
        <w:trPr>
          <w:trHeight w:val="144"/>
          <w:jc w:val="center"/>
        </w:trPr>
        <w:tc>
          <w:tcPr>
            <w:tcW w:w="1477"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0" w:firstLineChars="0"/>
              <w:jc w:val="center"/>
              <w:textAlignment w:val="baseline"/>
              <w:outlineLvl w:val="0"/>
              <w:rPr>
                <w:rFonts w:ascii="仿宋_GB2312" w:eastAsia="仿宋_GB2312" w:hint="eastAsia"/>
                <w:snapToGrid w:val="0"/>
                <w:color w:val="000000"/>
                <w:spacing w:val="2"/>
                <w:sz w:val="28"/>
                <w:szCs w:val="28"/>
                <w:lang w:eastAsia="zh-CN"/>
              </w:rPr>
            </w:pPr>
            <w:r>
              <w:rPr>
                <w:rFonts w:ascii="仿宋_GB2312" w:eastAsia="仿宋_GB2312" w:hint="eastAsia"/>
                <w:snapToGrid w:val="0"/>
                <w:color w:val="000000"/>
                <w:spacing w:val="2"/>
                <w:sz w:val="28"/>
                <w:szCs w:val="28"/>
                <w:lang w:eastAsia="zh-CN"/>
              </w:rPr>
              <w:t>担保金额</w:t>
            </w:r>
          </w:p>
        </w:tc>
        <w:tc>
          <w:tcPr>
            <w:tcW w:w="3454"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0" w:firstLineChars="0"/>
              <w:jc w:val="center"/>
              <w:textAlignment w:val="baseline"/>
              <w:outlineLvl w:val="0"/>
              <w:rPr>
                <w:rFonts w:ascii="仿宋_GB2312" w:eastAsia="仿宋_GB2312" w:hint="eastAsia"/>
                <w:snapToGrid w:val="0"/>
                <w:color w:val="000000"/>
                <w:spacing w:val="2"/>
                <w:sz w:val="28"/>
                <w:szCs w:val="28"/>
                <w:lang w:eastAsia="zh-CN"/>
              </w:rPr>
            </w:pPr>
            <w:r>
              <w:rPr>
                <w:rFonts w:ascii="仿宋_GB2312" w:eastAsia="仿宋_GB2312" w:hint="eastAsia"/>
                <w:snapToGrid w:val="0"/>
                <w:color w:val="000000"/>
                <w:spacing w:val="2"/>
                <w:sz w:val="28"/>
                <w:szCs w:val="28"/>
                <w:lang w:eastAsia="zh-CN"/>
              </w:rPr>
              <w:t>100万元</w:t>
            </w:r>
          </w:p>
        </w:tc>
        <w:tc>
          <w:tcPr>
            <w:tcW w:w="400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0" w:firstLineChars="0"/>
              <w:jc w:val="center"/>
              <w:textAlignment w:val="baseline"/>
              <w:outlineLvl w:val="0"/>
              <w:rPr>
                <w:rFonts w:ascii="仿宋_GB2312" w:eastAsia="仿宋_GB2312" w:hint="eastAsia"/>
                <w:snapToGrid w:val="0"/>
                <w:color w:val="000000"/>
                <w:spacing w:val="2"/>
                <w:sz w:val="28"/>
                <w:szCs w:val="28"/>
                <w:lang w:eastAsia="zh-CN"/>
              </w:rPr>
            </w:pPr>
            <w:r>
              <w:rPr>
                <w:rFonts w:ascii="仿宋_GB2312" w:eastAsia="仿宋_GB2312" w:hint="eastAsia"/>
                <w:snapToGrid w:val="0"/>
                <w:color w:val="000000"/>
                <w:spacing w:val="2"/>
                <w:sz w:val="28"/>
                <w:szCs w:val="28"/>
                <w:lang w:eastAsia="zh-CN"/>
              </w:rPr>
              <w:t>1</w:t>
            </w:r>
            <w:r>
              <w:rPr>
                <w:rFonts w:ascii="仿宋_GB2312" w:eastAsia="仿宋_GB2312" w:hint="eastAsia"/>
                <w:snapToGrid w:val="0"/>
                <w:color w:val="000000"/>
                <w:spacing w:val="2"/>
                <w:sz w:val="28"/>
                <w:szCs w:val="28"/>
                <w:lang w:eastAsia="zh-CN"/>
              </w:rPr>
              <w:t>00万元</w:t>
            </w:r>
          </w:p>
        </w:tc>
      </w:tr>
      <w:tr>
        <w:tblPrEx>
          <w:tblW w:w="5000" w:type="pct"/>
          <w:jc w:val="center"/>
          <w:tblLayout w:type="fixed"/>
          <w:tblCellMar>
            <w:top w:w="0" w:type="dxa"/>
            <w:left w:w="108" w:type="dxa"/>
            <w:bottom w:w="0" w:type="dxa"/>
            <w:right w:w="108" w:type="dxa"/>
          </w:tblCellMar>
        </w:tblPrEx>
        <w:trPr>
          <w:trHeight w:val="144"/>
          <w:jc w:val="center"/>
        </w:trPr>
        <w:tc>
          <w:tcPr>
            <w:tcW w:w="1477"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0" w:firstLineChars="0"/>
              <w:jc w:val="center"/>
              <w:textAlignment w:val="baseline"/>
              <w:outlineLvl w:val="0"/>
              <w:rPr>
                <w:rFonts w:ascii="仿宋_GB2312" w:eastAsia="仿宋_GB2312" w:hint="eastAsia"/>
                <w:snapToGrid w:val="0"/>
                <w:color w:val="000000"/>
                <w:spacing w:val="2"/>
                <w:sz w:val="28"/>
                <w:szCs w:val="28"/>
                <w:lang w:eastAsia="zh-CN"/>
              </w:rPr>
            </w:pPr>
            <w:r>
              <w:rPr>
                <w:rFonts w:ascii="仿宋_GB2312" w:eastAsia="仿宋_GB2312" w:hint="eastAsia"/>
                <w:snapToGrid w:val="0"/>
                <w:color w:val="000000"/>
                <w:spacing w:val="2"/>
                <w:sz w:val="28"/>
                <w:szCs w:val="28"/>
                <w:lang w:eastAsia="zh-CN"/>
              </w:rPr>
              <w:t>受益人</w:t>
            </w:r>
          </w:p>
        </w:tc>
        <w:tc>
          <w:tcPr>
            <w:tcW w:w="3454"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0" w:firstLineChars="0"/>
              <w:jc w:val="center"/>
              <w:textAlignment w:val="baseline"/>
              <w:outlineLvl w:val="0"/>
              <w:rPr>
                <w:rFonts w:ascii="仿宋_GB2312" w:eastAsia="仿宋_GB2312" w:hint="eastAsia"/>
                <w:snapToGrid w:val="0"/>
                <w:color w:val="000000"/>
                <w:spacing w:val="2"/>
                <w:sz w:val="28"/>
                <w:szCs w:val="28"/>
                <w:lang w:eastAsia="zh-CN"/>
              </w:rPr>
            </w:pPr>
            <w:r>
              <w:rPr>
                <w:rFonts w:ascii="仿宋_GB2312" w:eastAsia="仿宋_GB2312" w:hint="eastAsia"/>
                <w:snapToGrid w:val="0"/>
                <w:color w:val="000000"/>
                <w:spacing w:val="2"/>
                <w:sz w:val="28"/>
                <w:szCs w:val="28"/>
                <w:lang w:eastAsia="zh-CN"/>
              </w:rPr>
              <w:t>甲方</w:t>
            </w:r>
          </w:p>
        </w:tc>
        <w:tc>
          <w:tcPr>
            <w:tcW w:w="400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0" w:firstLineChars="0"/>
              <w:jc w:val="center"/>
              <w:textAlignment w:val="baseline"/>
              <w:outlineLvl w:val="0"/>
              <w:rPr>
                <w:rFonts w:ascii="仿宋_GB2312" w:eastAsia="仿宋_GB2312" w:hint="eastAsia"/>
                <w:snapToGrid w:val="0"/>
                <w:color w:val="000000"/>
                <w:spacing w:val="2"/>
                <w:sz w:val="28"/>
                <w:szCs w:val="28"/>
                <w:lang w:eastAsia="zh-CN"/>
              </w:rPr>
            </w:pPr>
            <w:r>
              <w:rPr>
                <w:rFonts w:ascii="仿宋_GB2312" w:eastAsia="仿宋_GB2312" w:hint="eastAsia"/>
                <w:snapToGrid w:val="0"/>
                <w:color w:val="000000"/>
                <w:spacing w:val="2"/>
                <w:sz w:val="28"/>
                <w:szCs w:val="28"/>
                <w:lang w:eastAsia="zh-CN"/>
              </w:rPr>
              <w:t>甲方</w:t>
            </w:r>
          </w:p>
        </w:tc>
      </w:tr>
      <w:tr>
        <w:tblPrEx>
          <w:tblW w:w="5000" w:type="pct"/>
          <w:jc w:val="center"/>
          <w:tblLayout w:type="fixed"/>
          <w:tblCellMar>
            <w:top w:w="0" w:type="dxa"/>
            <w:left w:w="108" w:type="dxa"/>
            <w:bottom w:w="0" w:type="dxa"/>
            <w:right w:w="108" w:type="dxa"/>
          </w:tblCellMar>
        </w:tblPrEx>
        <w:trPr>
          <w:trHeight w:val="699"/>
          <w:jc w:val="center"/>
        </w:trPr>
        <w:tc>
          <w:tcPr>
            <w:tcW w:w="1477"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0" w:firstLineChars="0"/>
              <w:jc w:val="center"/>
              <w:textAlignment w:val="baseline"/>
              <w:outlineLvl w:val="0"/>
              <w:rPr>
                <w:rFonts w:ascii="仿宋_GB2312" w:eastAsia="仿宋_GB2312" w:hint="eastAsia"/>
                <w:snapToGrid w:val="0"/>
                <w:color w:val="000000"/>
                <w:spacing w:val="2"/>
                <w:sz w:val="28"/>
                <w:szCs w:val="28"/>
                <w:lang w:eastAsia="zh-CN"/>
              </w:rPr>
            </w:pPr>
            <w:r>
              <w:rPr>
                <w:rFonts w:ascii="仿宋_GB2312" w:eastAsia="仿宋_GB2312" w:hint="eastAsia"/>
                <w:snapToGrid w:val="0"/>
                <w:color w:val="000000"/>
                <w:spacing w:val="2"/>
                <w:sz w:val="28"/>
                <w:szCs w:val="28"/>
                <w:lang w:eastAsia="zh-CN"/>
              </w:rPr>
              <w:t>担保事项</w:t>
            </w:r>
          </w:p>
        </w:tc>
        <w:tc>
          <w:tcPr>
            <w:tcW w:w="3454"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0" w:firstLineChars="0"/>
              <w:jc w:val="both"/>
              <w:textAlignment w:val="baseline"/>
              <w:outlineLvl w:val="0"/>
              <w:rPr>
                <w:rFonts w:ascii="仿宋_GB2312" w:eastAsia="仿宋_GB2312" w:hint="eastAsia"/>
                <w:snapToGrid w:val="0"/>
                <w:color w:val="000000"/>
                <w:spacing w:val="2"/>
                <w:sz w:val="28"/>
                <w:szCs w:val="28"/>
                <w:lang w:eastAsia="zh-CN"/>
              </w:rPr>
            </w:pPr>
            <w:r>
              <w:rPr>
                <w:rFonts w:ascii="仿宋_GB2312" w:eastAsia="仿宋_GB2312" w:hint="eastAsia"/>
                <w:snapToGrid w:val="0"/>
                <w:color w:val="000000"/>
                <w:spacing w:val="2"/>
                <w:sz w:val="28"/>
                <w:szCs w:val="28"/>
                <w:lang w:eastAsia="zh-CN"/>
              </w:rPr>
              <w:t>功能优化升级的投入及效果、建（构）筑物的维护与保养、设备维修维护、项目运营效率、持续稳定普遍服务义务、服务质量反馈情况、安全保障、移交维修保函提交等。</w:t>
            </w:r>
          </w:p>
        </w:tc>
        <w:tc>
          <w:tcPr>
            <w:tcW w:w="400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0" w:firstLineChars="0"/>
              <w:jc w:val="both"/>
              <w:textAlignment w:val="baseline"/>
              <w:outlineLvl w:val="0"/>
              <w:rPr>
                <w:rFonts w:ascii="仿宋_GB2312" w:eastAsia="仿宋_GB2312" w:hint="eastAsia"/>
                <w:snapToGrid w:val="0"/>
                <w:color w:val="000000"/>
                <w:spacing w:val="2"/>
                <w:sz w:val="28"/>
                <w:szCs w:val="28"/>
                <w:lang w:eastAsia="zh-CN"/>
              </w:rPr>
            </w:pPr>
            <w:r>
              <w:rPr>
                <w:rFonts w:ascii="仿宋_GB2312" w:eastAsia="仿宋_GB2312" w:hint="eastAsia"/>
                <w:snapToGrid w:val="0"/>
                <w:color w:val="000000"/>
                <w:spacing w:val="2"/>
                <w:sz w:val="28"/>
                <w:szCs w:val="28"/>
                <w:lang w:eastAsia="zh-CN"/>
              </w:rPr>
              <w:t>最后一个运营年的运营效果、服务质量、建（构）筑物的移交、主要设备移交标准、全套项目文档及知识产权移交、人员培训、建（构）筑物与项目设施存在隐蔽性缺陷修复、经证明由于乙方合作期内对设施的运营不善所造成的瑕疵修复等。</w:t>
            </w:r>
          </w:p>
        </w:tc>
      </w:tr>
    </w:tbl>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黑体" w:eastAsia="黑体" w:hAnsi="黑体" w:cs="仿宋" w:hint="eastAsia"/>
          <w:b/>
          <w:bCs/>
          <w:snapToGrid w:val="0"/>
          <w:color w:val="000000"/>
          <w:spacing w:val="-5"/>
          <w:sz w:val="32"/>
          <w:szCs w:val="32"/>
          <w:lang w:eastAsia="zh-CN"/>
        </w:rPr>
      </w:pPr>
      <w:r>
        <w:rPr>
          <w:rFonts w:ascii="黑体" w:eastAsia="黑体" w:hAnsi="黑体" w:cs="仿宋"/>
          <w:b/>
          <w:bCs/>
          <w:snapToGrid w:val="0"/>
          <w:color w:val="000000"/>
          <w:spacing w:val="-5"/>
          <w:sz w:val="32"/>
          <w:szCs w:val="32"/>
          <w:lang w:eastAsia="zh-CN"/>
        </w:rPr>
        <w:t>第八条 项目公益服务</w:t>
      </w:r>
      <w:bookmarkEnd w:id="44"/>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项目运营期内，乙方应按</w:t>
      </w:r>
      <w:r>
        <w:rPr>
          <w:rFonts w:ascii="仿宋_GB2312" w:eastAsia="仿宋_GB2312" w:hint="eastAsia"/>
          <w:snapToGrid w:val="0"/>
          <w:color w:val="000000"/>
          <w:spacing w:val="2"/>
          <w:sz w:val="32"/>
          <w:szCs w:val="32"/>
          <w:lang w:eastAsia="zh-CN"/>
        </w:rPr>
        <w:t>本</w:t>
      </w:r>
      <w:r>
        <w:rPr>
          <w:rFonts w:ascii="仿宋_GB2312" w:eastAsia="仿宋_GB2312"/>
          <w:snapToGrid w:val="0"/>
          <w:color w:val="000000"/>
          <w:spacing w:val="2"/>
          <w:sz w:val="32"/>
          <w:szCs w:val="32"/>
          <w:lang w:eastAsia="zh-CN"/>
        </w:rPr>
        <w:t>合同</w:t>
      </w:r>
      <w:r>
        <w:rPr>
          <w:rFonts w:ascii="仿宋_GB2312" w:eastAsia="仿宋_GB2312" w:hint="eastAsia"/>
          <w:snapToGrid w:val="0"/>
          <w:color w:val="000000"/>
          <w:spacing w:val="2"/>
          <w:sz w:val="32"/>
          <w:szCs w:val="32"/>
          <w:lang w:eastAsia="zh-CN"/>
        </w:rPr>
        <w:t>2.4条</w:t>
      </w:r>
      <w:r>
        <w:rPr>
          <w:rFonts w:ascii="仿宋_GB2312" w:eastAsia="仿宋_GB2312"/>
          <w:snapToGrid w:val="0"/>
          <w:color w:val="000000"/>
          <w:spacing w:val="2"/>
          <w:sz w:val="32"/>
          <w:szCs w:val="32"/>
          <w:lang w:eastAsia="zh-CN"/>
        </w:rPr>
        <w:t>约定要求提供公益服务</w:t>
      </w:r>
      <w:r>
        <w:rPr>
          <w:rFonts w:ascii="仿宋_GB2312" w:eastAsia="仿宋_GB2312" w:hint="eastAsia"/>
          <w:snapToGrid w:val="0"/>
          <w:color w:val="000000"/>
          <w:spacing w:val="2"/>
          <w:sz w:val="32"/>
          <w:szCs w:val="32"/>
          <w:lang w:eastAsia="zh-CN"/>
        </w:rPr>
        <w:t>，并按照甲方要求及时公示公益服务及其他服务时间、地点、内容等信息</w:t>
      </w:r>
      <w:r>
        <w:rPr>
          <w:rFonts w:ascii="仿宋_GB2312" w:eastAsia="仿宋_GB2312"/>
          <w:snapToGrid w:val="0"/>
          <w:color w:val="000000"/>
          <w:spacing w:val="2"/>
          <w:sz w:val="32"/>
          <w:szCs w:val="32"/>
          <w:lang w:eastAsia="zh-CN"/>
        </w:rPr>
        <w:t>：</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因非乙方原因导致上述场地使用场次、使用时长、使用面积等未达约定的，乙方不承担违约责任，甲方不得因此收取违约金或</w:t>
      </w:r>
      <w:r>
        <w:rPr>
          <w:rFonts w:ascii="仿宋_GB2312" w:eastAsia="仿宋_GB2312" w:hint="eastAsia"/>
          <w:snapToGrid w:val="0"/>
          <w:color w:val="000000"/>
          <w:spacing w:val="2"/>
          <w:sz w:val="32"/>
          <w:szCs w:val="32"/>
          <w:lang w:eastAsia="zh-CN"/>
        </w:rPr>
        <w:t>认定绩效考核不及格</w:t>
      </w:r>
      <w:r>
        <w:rPr>
          <w:rFonts w:ascii="仿宋_GB2312" w:eastAsia="仿宋_GB2312"/>
          <w:snapToGrid w:val="0"/>
          <w:color w:val="000000"/>
          <w:spacing w:val="2"/>
          <w:sz w:val="32"/>
          <w:szCs w:val="32"/>
          <w:lang w:eastAsia="zh-CN"/>
        </w:rPr>
        <w:t>或进行其他处罚。</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本项目运营期内，如因</w:t>
      </w:r>
      <w:r>
        <w:rPr>
          <w:rFonts w:ascii="仿宋_GB2312" w:eastAsia="仿宋_GB2312" w:hint="eastAsia"/>
          <w:snapToGrid w:val="0"/>
          <w:color w:val="000000"/>
          <w:spacing w:val="2"/>
          <w:sz w:val="32"/>
          <w:szCs w:val="32"/>
          <w:lang w:eastAsia="zh-CN"/>
        </w:rPr>
        <w:t>政策变动或社</w:t>
      </w:r>
      <w:r>
        <w:rPr>
          <w:rFonts w:ascii="仿宋_GB2312" w:eastAsia="仿宋_GB2312"/>
          <w:snapToGrid w:val="0"/>
          <w:color w:val="000000"/>
          <w:spacing w:val="2"/>
          <w:sz w:val="32"/>
          <w:szCs w:val="32"/>
          <w:lang w:eastAsia="zh-CN"/>
        </w:rPr>
        <w:t>区民众文化服务需求调整，甲方有权对本条约定的公益服务内容进行调整以满足民众需求，上述调整应</w:t>
      </w:r>
      <w:r>
        <w:rPr>
          <w:rFonts w:ascii="仿宋_GB2312" w:eastAsia="仿宋_GB2312" w:hint="eastAsia"/>
          <w:snapToGrid w:val="0"/>
          <w:color w:val="000000"/>
          <w:spacing w:val="2"/>
          <w:sz w:val="32"/>
          <w:szCs w:val="32"/>
          <w:lang w:eastAsia="zh-CN"/>
        </w:rPr>
        <w:t>尽量</w:t>
      </w:r>
      <w:r>
        <w:rPr>
          <w:rFonts w:ascii="仿宋_GB2312" w:eastAsia="仿宋_GB2312"/>
          <w:snapToGrid w:val="0"/>
          <w:color w:val="000000"/>
          <w:spacing w:val="2"/>
          <w:sz w:val="32"/>
          <w:szCs w:val="32"/>
          <w:lang w:eastAsia="zh-CN"/>
        </w:rPr>
        <w:t>避免使乙方的运营效益发生变化，具体调整方式届时由双方协商确定。</w:t>
      </w:r>
      <w:bookmarkStart w:id="45" w:name="bookmark17"/>
      <w:bookmarkEnd w:id="45"/>
      <w:bookmarkStart w:id="46" w:name="_Toc24056"/>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黑体" w:eastAsia="黑体" w:hAnsi="黑体" w:cs="仿宋" w:hint="eastAsia"/>
          <w:b/>
          <w:bCs/>
          <w:snapToGrid w:val="0"/>
          <w:color w:val="000000"/>
          <w:spacing w:val="-5"/>
          <w:sz w:val="32"/>
          <w:szCs w:val="32"/>
          <w:lang w:eastAsia="zh-CN"/>
        </w:rPr>
      </w:pPr>
      <w:r>
        <w:rPr>
          <w:rFonts w:ascii="黑体" w:eastAsia="黑体" w:hAnsi="黑体" w:cs="仿宋"/>
          <w:b/>
          <w:bCs/>
          <w:snapToGrid w:val="0"/>
          <w:color w:val="000000"/>
          <w:spacing w:val="-5"/>
          <w:sz w:val="32"/>
          <w:szCs w:val="32"/>
          <w:lang w:eastAsia="zh-CN"/>
        </w:rPr>
        <w:t>第九条 项目维修、重置</w:t>
      </w:r>
      <w:bookmarkEnd w:id="46"/>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9.1 项目维修</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整个运营维护期内，乙方须按照法律法规、运营、维护技术规范和合同约定，对本项目所有工程及其附属设施实施日常预防性维护、经常性巡查、定期检测和评价，按适用技术规范的标准进行必要的保养和维修工程。保证项目设施完好和安全运行，达到设计使用要求和预期使用目的。乙方至少每年年末进行一次小修检查，每</w:t>
      </w:r>
      <w:r>
        <w:rPr>
          <w:rFonts w:ascii="仿宋_GB2312" w:eastAsia="仿宋_GB2312" w:hint="eastAsia"/>
          <w:snapToGrid w:val="0"/>
          <w:color w:val="000000"/>
          <w:spacing w:val="2"/>
          <w:sz w:val="32"/>
          <w:szCs w:val="32"/>
          <w:lang w:eastAsia="zh-CN"/>
        </w:rPr>
        <w:t>3</w:t>
      </w:r>
      <w:r>
        <w:rPr>
          <w:rFonts w:ascii="仿宋_GB2312" w:eastAsia="仿宋_GB2312"/>
          <w:snapToGrid w:val="0"/>
          <w:color w:val="000000"/>
          <w:spacing w:val="2"/>
          <w:sz w:val="32"/>
          <w:szCs w:val="32"/>
          <w:lang w:eastAsia="zh-CN"/>
        </w:rPr>
        <w:t>年进行一次大中修检查，并提交一次运营检修评估报告，鉴于项目规模小，运营期内主要维修重置内容主要是屋内软装的维护修缮，费用很小且不具有规律性，因此具体修理检查标准双方另行商定。</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9.2 大修、重置计划</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乙方应依据项目资产的实际情况与使用年限，在大修前一年的6月30日前向甲方提交次年大修、重置计划，计划中须包含大修、重置的原因、内容、预算、工期等；经甲方审核确认后，乙方应按计划执行。</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9.3 维修、重置责任承担</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项目运营过程中，由于乙方使用不当等乙方原因（如超负荷使用、不当操作、未按使用说明书操作等）导致的维修、重置所产生的费用，由乙方自行承担。</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依据《房屋建筑工程质量保修办法》（中华人民共和国建设部令〔2000〕第80号）相关条款，项目正常运营过中，在符合保修条件、保修期限等条件下的维修，由乙方协调项目建筑主体建设单位和施工单位履行保修义务，甲方应提供必要的支持。</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由于项目运营期均在主体结构合理使用年限内，因此乙方无需承担项目正常使用情况下的地基基础工程和主体结构工程方面的维修责任。</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保修期外，除地基基础工程和主体结构工程之外其他维修重置工作，由乙方负责，并承担相应的费用。</w:t>
      </w:r>
    </w:p>
    <w:p>
      <w:pPr>
        <w:pageBreakBefore w:val="0"/>
        <w:widowControl w:val="0"/>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kern w:val="2"/>
          <w:sz w:val="32"/>
          <w:szCs w:val="32"/>
          <w:lang w:eastAsia="zh-CN"/>
        </w:rPr>
      </w:pPr>
      <w:r>
        <w:rPr>
          <w:rFonts w:ascii="仿宋_GB2312" w:eastAsia="仿宋_GB2312"/>
          <w:snapToGrid w:val="0"/>
          <w:color w:val="000000"/>
          <w:spacing w:val="2"/>
          <w:kern w:val="2"/>
          <w:sz w:val="32"/>
          <w:szCs w:val="32"/>
          <w:lang w:eastAsia="zh-CN"/>
        </w:rPr>
        <w:t>项目维修期间乙方应保证项目主要功能的正常使用。</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黑体" w:eastAsia="黑体" w:hAnsi="黑体" w:cs="仿宋" w:hint="eastAsia"/>
          <w:b/>
          <w:bCs/>
          <w:snapToGrid w:val="0"/>
          <w:color w:val="000000"/>
          <w:spacing w:val="-5"/>
          <w:sz w:val="32"/>
          <w:szCs w:val="32"/>
          <w:lang w:eastAsia="zh-CN"/>
        </w:rPr>
      </w:pPr>
      <w:bookmarkStart w:id="47" w:name="bookmark19"/>
      <w:bookmarkEnd w:id="47"/>
      <w:bookmarkStart w:id="48" w:name="_Toc19868"/>
      <w:r>
        <w:rPr>
          <w:rFonts w:ascii="黑体" w:eastAsia="黑体" w:hAnsi="黑体" w:cs="仿宋"/>
          <w:b/>
          <w:bCs/>
          <w:snapToGrid w:val="0"/>
          <w:color w:val="000000"/>
          <w:spacing w:val="-5"/>
          <w:sz w:val="32"/>
          <w:szCs w:val="32"/>
          <w:lang w:eastAsia="zh-CN"/>
        </w:rPr>
        <w:t>第十条 应急预案和临时接管</w:t>
      </w:r>
      <w:bookmarkEnd w:id="48"/>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10.1 应急预案</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乙方应在本项目运营开始之日前，制定项目运营、管理、维护过程中的应急管理预案，包括针对自然灾害、事故灾难、公共卫生事件、社会安全事件等各类可能发生的事故和所有危险源制定应急预案和现场处置方案，明确事前、事中、事后的各个过程中相关部门和有关人员的职责。运营期内的所有管理制度及应急方案，均应具有针对性和可操作性，并体现如何防范事故的发生，消除发生事故的隐患，以及万一发生事故时如何恢复秩序、将损失减少到最低限度等。乙方制定的应急预案过程中应征求甲方的意见，并应于本项目开始运营之日起十五（15）日内，提交给甲方备案。</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乙方应积极配合甲方及政府有关部门进行突发紧急事件的演练等工作。发生突发紧急事件时，乙方应当依据应急预案和政府要求进行处理，并按照国家有关规定及时向甲方和</w:t>
      </w:r>
      <w:r>
        <w:rPr>
          <w:rFonts w:ascii="仿宋_GB2312" w:eastAsia="仿宋_GB2312" w:hint="eastAsia"/>
          <w:snapToGrid w:val="0"/>
          <w:color w:val="000000"/>
          <w:spacing w:val="2"/>
          <w:sz w:val="32"/>
          <w:szCs w:val="32"/>
          <w:lang w:eastAsia="zh-CN"/>
        </w:rPr>
        <w:t>罗湖</w:t>
      </w:r>
      <w:r>
        <w:rPr>
          <w:rFonts w:ascii="仿宋_GB2312" w:eastAsia="仿宋_GB2312"/>
          <w:snapToGrid w:val="0"/>
          <w:color w:val="000000"/>
          <w:spacing w:val="2"/>
          <w:sz w:val="32"/>
          <w:szCs w:val="32"/>
          <w:lang w:eastAsia="zh-CN"/>
        </w:rPr>
        <w:t>区政府、深圳市政府有关部门报告。</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在紧急情况下，乙方应采取各种应急措施进行补救，尽量减轻事故的影响，甲方协调相关政府部门给予必要的配合。甲方协调职能部门加强对乙方应对自然灾害等突发事件的指导，监督乙方完善和落实各类应急预案。在发生及或可能危及公共利益、公共安全等紧急情况时，甲方可采取应急管制措施。</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10.2 临时接管</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本项目自委托运营合同生效后，在项目存在危及或者可能危及公众利益、公共安全等</w:t>
      </w:r>
      <w:r>
        <w:rPr>
          <w:rFonts w:ascii="仿宋_GB2312" w:eastAsia="仿宋_GB2312" w:hint="eastAsia"/>
          <w:snapToGrid w:val="0"/>
          <w:color w:val="000000"/>
          <w:spacing w:val="2"/>
          <w:sz w:val="32"/>
          <w:szCs w:val="32"/>
          <w:lang w:eastAsia="zh-CN"/>
        </w:rPr>
        <w:t>不可抗力情况</w:t>
      </w:r>
      <w:r>
        <w:rPr>
          <w:rFonts w:ascii="仿宋_GB2312" w:eastAsia="仿宋_GB2312"/>
          <w:snapToGrid w:val="0"/>
          <w:color w:val="000000"/>
          <w:spacing w:val="2"/>
          <w:sz w:val="32"/>
          <w:szCs w:val="32"/>
          <w:lang w:eastAsia="zh-CN"/>
        </w:rPr>
        <w:t>下，或者其他适用法律规定的导致临时接管情形的，项目甲方有权依法临时终止委托运营合同，临时取消其运营权。临时接管期间，乙方须无条件服从项目甲方或政府指定机构接收或接管本项目的所有指令、命令，乙方应当在项目甲方接管前善意履行看守职责，并继续履行委托运营合同项下的义务。</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10.2.1 启动情形</w:t>
      </w:r>
      <w:r>
        <w:rPr>
          <w:rFonts w:ascii="仿宋_GB2312" w:eastAsia="仿宋_GB2312" w:hint="eastAsia"/>
          <w:snapToGrid w:val="0"/>
          <w:color w:val="000000"/>
          <w:spacing w:val="2"/>
          <w:sz w:val="32"/>
          <w:szCs w:val="32"/>
          <w:lang w:eastAsia="zh-CN"/>
        </w:rPr>
        <w:t>（满足</w:t>
      </w:r>
      <w:r>
        <w:rPr>
          <w:rFonts w:ascii="仿宋_GB2312" w:eastAsia="仿宋_GB2312"/>
          <w:snapToGrid w:val="0"/>
          <w:color w:val="000000"/>
          <w:spacing w:val="2"/>
          <w:sz w:val="32"/>
          <w:szCs w:val="32"/>
          <w:lang w:eastAsia="zh-CN"/>
        </w:rPr>
        <w:t>任意一项即视为满足启动</w:t>
      </w:r>
      <w:r>
        <w:rPr>
          <w:rFonts w:ascii="仿宋_GB2312" w:eastAsia="仿宋_GB2312" w:hint="eastAsia"/>
          <w:snapToGrid w:val="0"/>
          <w:color w:val="000000"/>
          <w:spacing w:val="2"/>
          <w:sz w:val="32"/>
          <w:szCs w:val="32"/>
          <w:lang w:eastAsia="zh-CN"/>
        </w:rPr>
        <w:t>情形）</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宋体" w:eastAsia="宋体" w:hAnsi="宋体" w:cs="宋体" w:hint="eastAsia"/>
          <w:snapToGrid w:val="0"/>
          <w:color w:val="000000"/>
          <w:spacing w:val="2"/>
          <w:sz w:val="32"/>
          <w:szCs w:val="32"/>
          <w:lang w:eastAsia="zh-CN"/>
        </w:rPr>
        <w:t>①</w:t>
      </w:r>
      <w:r>
        <w:rPr>
          <w:rFonts w:ascii="仿宋_GB2312" w:eastAsia="仿宋_GB2312"/>
          <w:snapToGrid w:val="0"/>
          <w:color w:val="000000"/>
          <w:spacing w:val="2"/>
          <w:sz w:val="32"/>
          <w:szCs w:val="32"/>
          <w:lang w:eastAsia="zh-CN"/>
        </w:rPr>
        <w:t>乙方违反委托运营合同的约定；</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宋体" w:eastAsia="宋体" w:hAnsi="宋体" w:cs="宋体" w:hint="eastAsia"/>
          <w:snapToGrid w:val="0"/>
          <w:color w:val="000000"/>
          <w:spacing w:val="2"/>
          <w:sz w:val="32"/>
          <w:szCs w:val="32"/>
          <w:lang w:eastAsia="zh-CN"/>
        </w:rPr>
        <w:t>②</w:t>
      </w:r>
      <w:r>
        <w:rPr>
          <w:rFonts w:ascii="仿宋_GB2312" w:eastAsia="仿宋_GB2312"/>
          <w:snapToGrid w:val="0"/>
          <w:color w:val="000000"/>
          <w:spacing w:val="2"/>
          <w:sz w:val="32"/>
          <w:szCs w:val="32"/>
          <w:lang w:eastAsia="zh-CN"/>
        </w:rPr>
        <w:t>威胁公共产品或服务持续稳定安全供给；</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宋体" w:eastAsia="宋体" w:hAnsi="宋体" w:cs="宋体" w:hint="eastAsia"/>
          <w:snapToGrid w:val="0"/>
          <w:color w:val="000000"/>
          <w:spacing w:val="2"/>
          <w:sz w:val="32"/>
          <w:szCs w:val="32"/>
          <w:lang w:eastAsia="zh-CN"/>
        </w:rPr>
        <w:t>③</w:t>
      </w:r>
      <w:r>
        <w:rPr>
          <w:rFonts w:ascii="仿宋_GB2312" w:eastAsia="仿宋_GB2312"/>
          <w:snapToGrid w:val="0"/>
          <w:color w:val="000000"/>
          <w:spacing w:val="2"/>
          <w:sz w:val="32"/>
          <w:szCs w:val="32"/>
          <w:lang w:eastAsia="zh-CN"/>
        </w:rPr>
        <w:t>危害区域安全或重大公共利益；</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 w:eastAsia="仿宋" w:hAnsi="仿宋" w:cs="仿宋"/>
          <w:snapToGrid w:val="0"/>
          <w:color w:val="000000"/>
          <w:spacing w:val="4"/>
          <w:sz w:val="32"/>
          <w:szCs w:val="32"/>
          <w:lang w:eastAsia="zh-CN"/>
        </w:rPr>
      </w:pPr>
      <w:r>
        <w:rPr>
          <w:rFonts w:ascii="宋体" w:eastAsia="宋体" w:hAnsi="宋体" w:cs="宋体" w:hint="eastAsia"/>
          <w:snapToGrid w:val="0"/>
          <w:color w:val="000000"/>
          <w:spacing w:val="2"/>
          <w:sz w:val="32"/>
          <w:szCs w:val="32"/>
          <w:lang w:eastAsia="zh-CN"/>
        </w:rPr>
        <w:t>④</w:t>
      </w:r>
      <w:r>
        <w:rPr>
          <w:rFonts w:ascii="仿宋_GB2312" w:eastAsia="仿宋_GB2312"/>
          <w:snapToGrid w:val="0"/>
          <w:color w:val="000000"/>
          <w:spacing w:val="2"/>
          <w:sz w:val="32"/>
          <w:szCs w:val="32"/>
          <w:lang w:eastAsia="zh-CN"/>
        </w:rPr>
        <w:t>法律、法规禁止的其他行为</w:t>
      </w:r>
      <w:r>
        <w:rPr>
          <w:rFonts w:ascii="仿宋" w:eastAsia="仿宋" w:hAnsi="仿宋" w:cs="仿宋"/>
          <w:snapToGrid w:val="0"/>
          <w:color w:val="000000"/>
          <w:spacing w:val="-4"/>
          <w:sz w:val="32"/>
          <w:szCs w:val="32"/>
          <w:lang w:eastAsia="zh-CN"/>
        </w:rPr>
        <w:t>。</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10.2.2 情况说明</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违反合同约定，指乙方违反合同约定，构成严重违约（造成重大损失或影响）或者根本违约（导致合同目的不能实现）的情形。</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威胁公共产品或服务持续稳定安全供给，指因乙方原因，造成公共产品或服务中止、中断、终止等，给区域民生造成严重影响的情形。</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危害国家安全或重大公共利益，主要是指乙方违反法律规定、国家政策，危及国家安全、社会稳定等情形；</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因公共产品或服务质量不合格、监管不利、措施不足等原因造成重大安全隐患或事故，及其他损害社会公共利益的情形。</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10.2.3 接管程序</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启动：由政府根据实际情况决定是否启动临时接管程序。</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接管：由政府直接实施接管或由政府指定合格机构实施临时接管。</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费用：临时接管所产生的一切费用，根据合同的约定由违约方或相关责任方承担。乙方应承担的费用可以从其应获终止补偿款（若有）中扣减。</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停止：直至项目重新启动或者启动项目提前终止程序。</w:t>
      </w:r>
      <w:bookmarkStart w:id="49" w:name="_Toc15957"/>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黑体" w:eastAsia="黑体" w:hAnsi="黑体" w:cs="仿宋" w:hint="eastAsia"/>
          <w:b/>
          <w:bCs/>
          <w:snapToGrid w:val="0"/>
          <w:color w:val="000000"/>
          <w:spacing w:val="-10"/>
          <w:sz w:val="32"/>
          <w:szCs w:val="32"/>
          <w:lang w:eastAsia="zh-CN"/>
        </w:rPr>
      </w:pPr>
      <w:r>
        <w:rPr>
          <w:rFonts w:ascii="黑体" w:eastAsia="黑体" w:hAnsi="黑体" w:cs="仿宋"/>
          <w:b/>
          <w:bCs/>
          <w:snapToGrid w:val="0"/>
          <w:color w:val="000000"/>
          <w:spacing w:val="-10"/>
          <w:sz w:val="32"/>
          <w:szCs w:val="32"/>
          <w:lang w:eastAsia="zh-CN"/>
        </w:rPr>
        <w:t>第十</w:t>
      </w:r>
      <w:r>
        <w:rPr>
          <w:rFonts w:ascii="黑体" w:eastAsia="黑体" w:hAnsi="黑体" w:cs="仿宋" w:hint="eastAsia"/>
          <w:b/>
          <w:bCs/>
          <w:snapToGrid w:val="0"/>
          <w:color w:val="000000"/>
          <w:spacing w:val="-10"/>
          <w:sz w:val="32"/>
          <w:szCs w:val="32"/>
          <w:lang w:eastAsia="zh-CN"/>
        </w:rPr>
        <w:t>一</w:t>
      </w:r>
      <w:r>
        <w:rPr>
          <w:rFonts w:ascii="黑体" w:eastAsia="黑体" w:hAnsi="黑体" w:cs="仿宋"/>
          <w:b/>
          <w:bCs/>
          <w:snapToGrid w:val="0"/>
          <w:color w:val="000000"/>
          <w:spacing w:val="-10"/>
          <w:sz w:val="32"/>
          <w:szCs w:val="32"/>
          <w:lang w:eastAsia="zh-CN"/>
        </w:rPr>
        <w:t>条 期满移交</w:t>
      </w:r>
      <w:bookmarkEnd w:id="49"/>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1</w:t>
      </w:r>
      <w:r>
        <w:rPr>
          <w:rFonts w:ascii="仿宋_GB2312" w:eastAsia="仿宋_GB2312"/>
          <w:snapToGrid w:val="0"/>
          <w:color w:val="000000"/>
          <w:spacing w:val="2"/>
          <w:sz w:val="32"/>
          <w:szCs w:val="32"/>
          <w:lang w:eastAsia="zh-CN"/>
        </w:rPr>
        <w:t>.1 移交范围</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w:t>
      </w: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）乙方运营期初接收的资产、项目设施、设备及与之相关的零部件、备品备件；</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int="eastAsia"/>
          <w:snapToGrid w:val="0"/>
          <w:color w:val="000000"/>
          <w:spacing w:val="2"/>
          <w:sz w:val="32"/>
          <w:szCs w:val="32"/>
          <w:lang w:eastAsia="zh-CN"/>
        </w:rPr>
      </w:pPr>
      <w:r>
        <w:rPr>
          <w:rFonts w:ascii="仿宋_GB2312" w:eastAsia="仿宋_GB2312"/>
          <w:snapToGrid w:val="0"/>
          <w:color w:val="000000"/>
          <w:spacing w:val="2"/>
          <w:sz w:val="32"/>
          <w:szCs w:val="32"/>
          <w:lang w:eastAsia="zh-CN"/>
        </w:rPr>
        <w:t>（2）本项目改造、管理和维护的档案资料、手册、图纸等；</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w:t>
      </w:r>
      <w:r>
        <w:rPr>
          <w:rFonts w:ascii="仿宋_GB2312" w:eastAsia="仿宋_GB2312" w:hint="eastAsia"/>
          <w:snapToGrid w:val="0"/>
          <w:color w:val="000000"/>
          <w:spacing w:val="2"/>
          <w:sz w:val="32"/>
          <w:szCs w:val="32"/>
          <w:lang w:eastAsia="zh-CN"/>
        </w:rPr>
        <w:t>3</w:t>
      </w:r>
      <w:r>
        <w:rPr>
          <w:rFonts w:ascii="仿宋_GB2312" w:eastAsia="仿宋_GB2312"/>
          <w:snapToGrid w:val="0"/>
          <w:color w:val="000000"/>
          <w:spacing w:val="2"/>
          <w:sz w:val="32"/>
          <w:szCs w:val="32"/>
          <w:lang w:eastAsia="zh-CN"/>
        </w:rPr>
        <w:t>）与本项目持续运营相关的资产；</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w:t>
      </w:r>
      <w:r>
        <w:rPr>
          <w:rFonts w:ascii="仿宋_GB2312" w:eastAsia="仿宋_GB2312" w:hint="eastAsia"/>
          <w:snapToGrid w:val="0"/>
          <w:color w:val="000000"/>
          <w:spacing w:val="2"/>
          <w:sz w:val="32"/>
          <w:szCs w:val="32"/>
          <w:lang w:eastAsia="zh-CN"/>
        </w:rPr>
        <w:t>4</w:t>
      </w:r>
      <w:r>
        <w:rPr>
          <w:rFonts w:ascii="仿宋_GB2312" w:eastAsia="仿宋_GB2312"/>
          <w:snapToGrid w:val="0"/>
          <w:color w:val="000000"/>
          <w:spacing w:val="2"/>
          <w:sz w:val="32"/>
          <w:szCs w:val="32"/>
          <w:lang w:eastAsia="zh-CN"/>
        </w:rPr>
        <w:t>）与本项目有关的未到期的保险受益权、保修权益（如有）。</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1</w:t>
      </w:r>
      <w:r>
        <w:rPr>
          <w:rFonts w:ascii="仿宋_GB2312" w:eastAsia="仿宋_GB2312"/>
          <w:snapToGrid w:val="0"/>
          <w:color w:val="000000"/>
          <w:spacing w:val="2"/>
          <w:sz w:val="32"/>
          <w:szCs w:val="32"/>
          <w:lang w:eastAsia="zh-CN"/>
        </w:rPr>
        <w:t>.2 移交标准</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（1）乙方应将符合本合同第13.1条约定的项目资产移交甲方或甲方指定机构。</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（2）乙方应确保移交的项目全部资产不存在任何抵押、质押等担保权益或权利约束，亦不得存在</w:t>
      </w:r>
      <w:r>
        <w:rPr>
          <w:rFonts w:ascii="仿宋_GB2312" w:eastAsia="仿宋_GB2312" w:hint="eastAsia"/>
          <w:snapToGrid w:val="0"/>
          <w:color w:val="000000"/>
          <w:spacing w:val="2"/>
          <w:sz w:val="32"/>
          <w:szCs w:val="32"/>
          <w:lang w:eastAsia="zh-CN"/>
        </w:rPr>
        <w:t>与</w:t>
      </w:r>
      <w:r>
        <w:rPr>
          <w:rFonts w:ascii="仿宋_GB2312" w:eastAsia="仿宋_GB2312"/>
          <w:snapToGrid w:val="0"/>
          <w:color w:val="000000"/>
          <w:spacing w:val="2"/>
          <w:sz w:val="32"/>
          <w:szCs w:val="32"/>
          <w:lang w:eastAsia="zh-CN"/>
        </w:rPr>
        <w:t>本项目相关的由乙方引起的行政处罚或民事争议。</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（3）项目设施应符合本项目运营维护所需的安全和环保标准，并处于良好的运营状况。</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1</w:t>
      </w:r>
      <w:r>
        <w:rPr>
          <w:rFonts w:ascii="仿宋_GB2312" w:eastAsia="仿宋_GB2312"/>
          <w:snapToGrid w:val="0"/>
          <w:color w:val="000000"/>
          <w:spacing w:val="2"/>
          <w:sz w:val="32"/>
          <w:szCs w:val="32"/>
          <w:lang w:eastAsia="zh-CN"/>
        </w:rPr>
        <w:t>.3 移交验收</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项目合作期结束之日前三个月内，甲方有权自行或委托专业机构对本项目资产进行评估和检测。</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如项目资产无法正常使用的，乙方应</w:t>
      </w:r>
      <w:r>
        <w:rPr>
          <w:rFonts w:ascii="仿宋_GB2312" w:eastAsia="仿宋_GB2312" w:hint="eastAsia"/>
          <w:snapToGrid w:val="0"/>
          <w:color w:val="000000"/>
          <w:spacing w:val="2"/>
          <w:sz w:val="32"/>
          <w:szCs w:val="32"/>
          <w:lang w:eastAsia="zh-CN"/>
        </w:rPr>
        <w:t>在收到甲方通知后</w:t>
      </w:r>
      <w:r>
        <w:rPr>
          <w:rFonts w:ascii="仿宋_GB2312" w:eastAsia="仿宋_GB2312" w:hint="eastAsia"/>
          <w:snapToGrid w:val="0"/>
          <w:color w:val="000000"/>
          <w:spacing w:val="2"/>
          <w:sz w:val="32"/>
          <w:szCs w:val="32"/>
          <w:lang w:eastAsia="zh-CN"/>
        </w:rPr>
        <w:t>10个工作日</w:t>
      </w:r>
      <w:r>
        <w:rPr>
          <w:rFonts w:ascii="仿宋_GB2312" w:eastAsia="仿宋_GB2312"/>
          <w:snapToGrid w:val="0"/>
          <w:color w:val="000000"/>
          <w:spacing w:val="2"/>
          <w:sz w:val="32"/>
          <w:szCs w:val="32"/>
          <w:lang w:eastAsia="zh-CN"/>
        </w:rPr>
        <w:t>及时修复，以满足本合同约定的移交标准，但甲方原因导致不符合移交标准情形除外。如任</w:t>
      </w:r>
      <w:r>
        <w:rPr>
          <w:rFonts w:ascii="仿宋_GB2312" w:eastAsia="仿宋_GB2312" w:hint="eastAsia"/>
          <w:snapToGrid w:val="0"/>
          <w:color w:val="000000"/>
          <w:spacing w:val="2"/>
          <w:sz w:val="32"/>
          <w:szCs w:val="32"/>
          <w:lang w:eastAsia="zh-CN"/>
        </w:rPr>
        <w:t>何</w:t>
      </w:r>
      <w:r>
        <w:rPr>
          <w:rFonts w:ascii="仿宋_GB2312" w:eastAsia="仿宋_GB2312"/>
          <w:snapToGrid w:val="0"/>
          <w:color w:val="000000"/>
          <w:spacing w:val="2"/>
          <w:sz w:val="32"/>
          <w:szCs w:val="32"/>
          <w:lang w:eastAsia="zh-CN"/>
        </w:rPr>
        <w:t>一方对是否达到移交标准有异议的，</w:t>
      </w:r>
      <w:r>
        <w:rPr>
          <w:rFonts w:ascii="仿宋_GB2312" w:eastAsia="仿宋_GB2312" w:hint="eastAsia"/>
          <w:snapToGrid w:val="0"/>
          <w:color w:val="000000"/>
          <w:spacing w:val="2"/>
          <w:sz w:val="32"/>
          <w:szCs w:val="32"/>
          <w:lang w:eastAsia="zh-CN"/>
        </w:rPr>
        <w:t>应聘请双方共同认可的第三方机构进行评定。最终评定结果认定一方异议成立的，该第三方机构的聘请费用由另一方承担；若评定结果认定异议不成立，则聘请费用由提出异议方承担。若乙方未按本合同约定承担移交前的修复责任，或未在指定期限内完成修复的，甲方有权委托第三方进行修复，产生的全部合理费用由乙方承担，给甲方造成其他损失的，以实际损失为限，甲方有权直接从履约保函中提取上述合理费用和实际损失，不足部分有权向乙方追偿。</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1</w:t>
      </w:r>
      <w:r>
        <w:rPr>
          <w:rFonts w:ascii="仿宋_GB2312" w:eastAsia="仿宋_GB2312"/>
          <w:snapToGrid w:val="0"/>
          <w:color w:val="000000"/>
          <w:spacing w:val="2"/>
          <w:sz w:val="32"/>
          <w:szCs w:val="32"/>
          <w:lang w:eastAsia="zh-CN"/>
        </w:rPr>
        <w:t>.4 移交程序</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snapToGrid w:val="0"/>
          <w:color w:val="000000"/>
          <w:spacing w:val="2"/>
          <w:sz w:val="32"/>
          <w:szCs w:val="32"/>
          <w:lang w:eastAsia="zh-CN"/>
        </w:rPr>
        <w:t>（1）在符合本合同第13.2条约定的情况下，甲方收到乙方移交书面通知之日起15个</w:t>
      </w:r>
      <w:r>
        <w:rPr>
          <w:rFonts w:ascii="仿宋_GB2312" w:eastAsia="仿宋_GB2312" w:hAnsi="仿宋_GB2312" w:cs="仿宋_GB2312" w:hint="eastAsia"/>
          <w:snapToGrid w:val="0"/>
          <w:color w:val="000000"/>
          <w:spacing w:val="2"/>
          <w:sz w:val="32"/>
          <w:szCs w:val="32"/>
          <w:lang w:eastAsia="zh-CN"/>
        </w:rPr>
        <w:t>工作日内对项目返还的建筑物、构筑物及配套设施设备进行清点核验，并按照双方协商确定的移交标准和流程签署项目资产移交确认书。</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（2）移交产生的成本和费用由双方各自承担。</w:t>
      </w:r>
      <w:bookmarkStart w:id="50" w:name="bookmark29"/>
      <w:bookmarkEnd w:id="50"/>
      <w:bookmarkStart w:id="51" w:name="_Toc23723"/>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黑体" w:eastAsia="黑体" w:hAnsi="黑体" w:cs="仿宋" w:hint="eastAsia"/>
          <w:snapToGrid w:val="0"/>
          <w:color w:val="000000"/>
          <w:sz w:val="32"/>
          <w:szCs w:val="32"/>
          <w:lang w:eastAsia="zh-CN"/>
        </w:rPr>
      </w:pPr>
      <w:r>
        <w:rPr>
          <w:rFonts w:ascii="黑体" w:eastAsia="黑体" w:hAnsi="黑体" w:cs="仿宋"/>
          <w:b/>
          <w:bCs/>
          <w:snapToGrid w:val="0"/>
          <w:color w:val="000000"/>
          <w:spacing w:val="-10"/>
          <w:sz w:val="32"/>
          <w:szCs w:val="32"/>
          <w:lang w:eastAsia="zh-CN"/>
        </w:rPr>
        <w:t>第十</w:t>
      </w:r>
      <w:r>
        <w:rPr>
          <w:rFonts w:ascii="黑体" w:eastAsia="黑体" w:hAnsi="黑体" w:cs="仿宋" w:hint="eastAsia"/>
          <w:b/>
          <w:bCs/>
          <w:snapToGrid w:val="0"/>
          <w:color w:val="000000"/>
          <w:spacing w:val="-10"/>
          <w:sz w:val="32"/>
          <w:szCs w:val="32"/>
          <w:lang w:eastAsia="zh-CN"/>
        </w:rPr>
        <w:t>二</w:t>
      </w:r>
      <w:r>
        <w:rPr>
          <w:rFonts w:ascii="黑体" w:eastAsia="黑体" w:hAnsi="黑体" w:cs="仿宋"/>
          <w:b/>
          <w:bCs/>
          <w:snapToGrid w:val="0"/>
          <w:color w:val="000000"/>
          <w:spacing w:val="-10"/>
          <w:sz w:val="32"/>
          <w:szCs w:val="32"/>
          <w:lang w:eastAsia="zh-CN"/>
        </w:rPr>
        <w:t>条</w:t>
      </w:r>
      <w:r>
        <w:rPr>
          <w:rFonts w:ascii="黑体" w:eastAsia="黑体" w:hAnsi="黑体" w:cs="仿宋"/>
          <w:snapToGrid w:val="0"/>
          <w:color w:val="000000"/>
          <w:spacing w:val="33"/>
          <w:sz w:val="32"/>
          <w:szCs w:val="32"/>
          <w:lang w:eastAsia="zh-CN"/>
        </w:rPr>
        <w:t xml:space="preserve"> </w:t>
      </w:r>
      <w:r>
        <w:rPr>
          <w:rFonts w:ascii="黑体" w:eastAsia="黑体" w:hAnsi="黑体" w:cs="仿宋"/>
          <w:b/>
          <w:bCs/>
          <w:snapToGrid w:val="0"/>
          <w:color w:val="000000"/>
          <w:spacing w:val="-10"/>
          <w:sz w:val="32"/>
          <w:szCs w:val="32"/>
          <w:lang w:eastAsia="zh-CN"/>
        </w:rPr>
        <w:t>不可抗力</w:t>
      </w:r>
      <w:bookmarkEnd w:id="51"/>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2</w:t>
      </w:r>
      <w:r>
        <w:rPr>
          <w:rFonts w:ascii="仿宋_GB2312" w:eastAsia="仿宋_GB2312"/>
          <w:snapToGrid w:val="0"/>
          <w:color w:val="000000"/>
          <w:spacing w:val="2"/>
          <w:sz w:val="32"/>
          <w:szCs w:val="32"/>
          <w:lang w:eastAsia="zh-CN"/>
        </w:rPr>
        <w:t>.1 不可抗力事件</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2</w:t>
      </w:r>
      <w:r>
        <w:rPr>
          <w:rFonts w:ascii="仿宋_GB2312" w:eastAsia="仿宋_GB2312"/>
          <w:snapToGrid w:val="0"/>
          <w:color w:val="000000"/>
          <w:spacing w:val="2"/>
          <w:sz w:val="32"/>
          <w:szCs w:val="32"/>
          <w:lang w:eastAsia="zh-CN"/>
        </w:rPr>
        <w:t>.1.1 不可抗力引起的中止履行</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（1）不可抗力</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任何一方由于出现不可抗力事件使该方无法全部或部分履行其本合同项下的义务时，该方应有权中止履行本合同项下的义务。</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（2）通知</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声称受到不可抗力影响的一方应在知道不可抗力之后十五（15）个工作日内书面通知另一方，详细描述不可抗力的发生情况和可能导致的后果，并根据对方要求提供证明。</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（3）损失承担原则</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发生不可抗力时，双方应各自承担由于不可抗力对其造成的损失。</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（4）减少损失的责任和协商</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受到不可抗力影响的一方应努力减少不可抗力的影响。双方应协商采取合理的补救措施尽量减少不可抗力给双方带来的损失。</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声称受不可抗力影响的一方在不可抗力消除之后应尽快恢复履行本合同项下的义务。</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2</w:t>
      </w:r>
      <w:r>
        <w:rPr>
          <w:rFonts w:ascii="仿宋_GB2312" w:eastAsia="仿宋_GB2312"/>
          <w:snapToGrid w:val="0"/>
          <w:color w:val="000000"/>
          <w:spacing w:val="2"/>
          <w:sz w:val="32"/>
          <w:szCs w:val="32"/>
          <w:lang w:eastAsia="zh-CN"/>
        </w:rPr>
        <w:t>.</w:t>
      </w:r>
      <w:r>
        <w:rPr>
          <w:rFonts w:ascii="仿宋_GB2312" w:eastAsia="仿宋_GB2312" w:hint="eastAsia"/>
          <w:snapToGrid w:val="0"/>
          <w:color w:val="000000"/>
          <w:spacing w:val="2"/>
          <w:sz w:val="32"/>
          <w:szCs w:val="32"/>
          <w:lang w:eastAsia="zh-CN"/>
        </w:rPr>
        <w:t>2</w:t>
      </w:r>
      <w:r>
        <w:rPr>
          <w:rFonts w:ascii="仿宋_GB2312" w:eastAsia="仿宋_GB2312"/>
          <w:snapToGrid w:val="0"/>
          <w:color w:val="000000"/>
          <w:spacing w:val="2"/>
          <w:sz w:val="32"/>
          <w:szCs w:val="32"/>
          <w:lang w:eastAsia="zh-CN"/>
        </w:rPr>
        <w:t xml:space="preserve"> 不可抗力造成的终止</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int="eastAsia"/>
          <w:snapToGrid w:val="0"/>
          <w:color w:val="000000"/>
          <w:spacing w:val="2"/>
          <w:sz w:val="32"/>
          <w:szCs w:val="32"/>
          <w:lang w:eastAsia="zh-CN"/>
        </w:rPr>
      </w:pPr>
      <w:r>
        <w:rPr>
          <w:rFonts w:ascii="仿宋_GB2312" w:eastAsia="仿宋_GB2312"/>
          <w:snapToGrid w:val="0"/>
          <w:color w:val="000000"/>
          <w:spacing w:val="2"/>
          <w:sz w:val="32"/>
          <w:szCs w:val="32"/>
          <w:lang w:eastAsia="zh-CN"/>
        </w:rPr>
        <w:t>当不可抗力事件阻止一方履行其义务的时间持续九十(90)天以上时，双方应协商决定继续履行本合同的条件或者终止本合同。如果自不可抗力发生后一百八十(180)天之内双方不能就继续履行的条件或终止本合同达成一致意见，</w:t>
      </w:r>
      <w:r>
        <w:rPr>
          <w:rFonts w:ascii="仿宋_GB2312" w:eastAsia="仿宋_GB2312" w:hint="eastAsia"/>
          <w:snapToGrid w:val="0"/>
          <w:color w:val="000000"/>
          <w:spacing w:val="2"/>
          <w:sz w:val="32"/>
          <w:szCs w:val="32"/>
          <w:lang w:eastAsia="zh-CN"/>
        </w:rPr>
        <w:t>视为因不可抗力导致合同目的无法实现，则任何一方有权向另一方书面发出提前终止通知，双方不承担违约责任。</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仿宋_GB2312" w:eastAsia="仿宋_GB2312" w:hint="eastAsia"/>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因不可抗力甲方提前终止本合同的，除法定情形外，不承担违约责任。</w:t>
      </w:r>
      <w:bookmarkStart w:id="52" w:name="bookmark31"/>
      <w:bookmarkEnd w:id="52"/>
      <w:bookmarkStart w:id="53" w:name="_Toc25047"/>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黑体" w:eastAsia="黑体" w:hAnsi="黑体" w:cs="仿宋" w:hint="eastAsia"/>
          <w:b/>
          <w:bCs/>
          <w:snapToGrid w:val="0"/>
          <w:color w:val="000000"/>
          <w:spacing w:val="-10"/>
          <w:sz w:val="32"/>
          <w:szCs w:val="32"/>
          <w:lang w:eastAsia="zh-CN"/>
        </w:rPr>
      </w:pPr>
      <w:r>
        <w:rPr>
          <w:rFonts w:ascii="黑体" w:eastAsia="黑体" w:hAnsi="黑体" w:cs="仿宋"/>
          <w:b/>
          <w:bCs/>
          <w:snapToGrid w:val="0"/>
          <w:color w:val="000000"/>
          <w:spacing w:val="-10"/>
          <w:sz w:val="32"/>
          <w:szCs w:val="32"/>
          <w:lang w:eastAsia="zh-CN"/>
        </w:rPr>
        <w:t>第十</w:t>
      </w:r>
      <w:r>
        <w:rPr>
          <w:rFonts w:ascii="黑体" w:eastAsia="黑体" w:hAnsi="黑体" w:cs="仿宋" w:hint="eastAsia"/>
          <w:b/>
          <w:bCs/>
          <w:snapToGrid w:val="0"/>
          <w:color w:val="000000"/>
          <w:spacing w:val="-10"/>
          <w:sz w:val="32"/>
          <w:szCs w:val="32"/>
          <w:lang w:eastAsia="zh-CN"/>
        </w:rPr>
        <w:t>三</w:t>
      </w:r>
      <w:r>
        <w:rPr>
          <w:rFonts w:ascii="黑体" w:eastAsia="黑体" w:hAnsi="黑体" w:cs="仿宋"/>
          <w:b/>
          <w:bCs/>
          <w:snapToGrid w:val="0"/>
          <w:color w:val="000000"/>
          <w:spacing w:val="-10"/>
          <w:sz w:val="32"/>
          <w:szCs w:val="32"/>
          <w:lang w:eastAsia="zh-CN"/>
        </w:rPr>
        <w:t>条 违约责任及违约补偿</w:t>
      </w:r>
      <w:bookmarkEnd w:id="53"/>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3</w:t>
      </w:r>
      <w:r>
        <w:rPr>
          <w:rFonts w:ascii="仿宋_GB2312" w:eastAsia="仿宋_GB2312"/>
          <w:snapToGrid w:val="0"/>
          <w:color w:val="000000"/>
          <w:spacing w:val="2"/>
          <w:sz w:val="32"/>
          <w:szCs w:val="32"/>
          <w:lang w:eastAsia="zh-CN"/>
        </w:rPr>
        <w:t>.1 一般违约</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3</w:t>
      </w:r>
      <w:r>
        <w:rPr>
          <w:rFonts w:ascii="仿宋_GB2312" w:eastAsia="仿宋_GB2312"/>
          <w:snapToGrid w:val="0"/>
          <w:color w:val="000000"/>
          <w:spacing w:val="2"/>
          <w:sz w:val="32"/>
          <w:szCs w:val="32"/>
          <w:lang w:eastAsia="zh-CN"/>
        </w:rPr>
        <w:t>.1.1 一般违约情形</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除本合同另有约定外，双方行为如有不符合本合同约定时，构成一般违约。</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3</w:t>
      </w:r>
      <w:r>
        <w:rPr>
          <w:rFonts w:ascii="仿宋_GB2312" w:eastAsia="仿宋_GB2312"/>
          <w:snapToGrid w:val="0"/>
          <w:color w:val="000000"/>
          <w:spacing w:val="2"/>
          <w:sz w:val="32"/>
          <w:szCs w:val="32"/>
          <w:lang w:eastAsia="zh-CN"/>
        </w:rPr>
        <w:t>.1.2 一般违约处理</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任何一方如有一般违约行为时，守约方有权要求违约方限期改正，并以载明下列事项的书面改正通知送达违约方：</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（1）一般违约的具体事实。</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（2）改正一般违约的合理期限。</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（3）改正后应达到的标准。</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违约方应按照书面改正通知载明的合理期限改正一般违约。否则，守约方有权代违约方改正或指定第三方代为改正，由此产生的全部合理费用由违约方承担。</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违约方认为书面改正通知载明的期限或改正后应达到的标准不合理的，双方可进行协商，双方协商不成的，按本合同约定的争议处理相关约定进行处理。违约方认为书面改正通知载明的违约事项不属实的，按本合同约定的争议处理相关约定处理。</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3</w:t>
      </w:r>
      <w:r>
        <w:rPr>
          <w:rFonts w:ascii="仿宋_GB2312" w:eastAsia="仿宋_GB2312"/>
          <w:snapToGrid w:val="0"/>
          <w:color w:val="000000"/>
          <w:spacing w:val="2"/>
          <w:sz w:val="32"/>
          <w:szCs w:val="32"/>
          <w:lang w:eastAsia="zh-CN"/>
        </w:rPr>
        <w:t>.2 重大违约</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3</w:t>
      </w:r>
      <w:r>
        <w:rPr>
          <w:rFonts w:ascii="仿宋_GB2312" w:eastAsia="仿宋_GB2312"/>
          <w:snapToGrid w:val="0"/>
          <w:color w:val="000000"/>
          <w:spacing w:val="2"/>
          <w:sz w:val="32"/>
          <w:szCs w:val="32"/>
          <w:lang w:eastAsia="zh-CN"/>
        </w:rPr>
        <w:t>.2.1 乙方重大违约情形</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因可归责于乙方而有下列情况之一的，构成乙方重大违约：</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Ansi="仿宋_GB2312" w:cs="仿宋_GB2312" w:hint="eastAsia"/>
          <w:snapToGrid w:val="0"/>
          <w:color w:val="000000"/>
          <w:spacing w:val="2"/>
          <w:sz w:val="32"/>
          <w:szCs w:val="32"/>
          <w:lang w:eastAsia="zh-CN"/>
        </w:rPr>
        <w:t>除政策调整原因外、场地条件限制且无法整改等，因乙方原因乙方在连续两年或在运营期内累计三个运营年度绩效考核得分低于</w:t>
      </w:r>
      <w:r>
        <w:rPr>
          <w:rFonts w:ascii="仿宋_GB2312" w:eastAsia="仿宋_GB2312" w:hAnsi="仿宋_GB2312" w:cs="仿宋_GB2312" w:hint="eastAsia"/>
          <w:snapToGrid w:val="0"/>
          <w:color w:val="000000"/>
          <w:spacing w:val="2"/>
          <w:sz w:val="32"/>
          <w:szCs w:val="32"/>
          <w:lang w:eastAsia="zh-CN"/>
        </w:rPr>
        <w:t>90</w:t>
      </w:r>
      <w:r>
        <w:rPr>
          <w:rFonts w:ascii="仿宋_GB2312" w:eastAsia="仿宋_GB2312" w:hAnsi="仿宋_GB2312" w:cs="仿宋_GB2312" w:hint="eastAsia"/>
          <w:snapToGrid w:val="0"/>
          <w:color w:val="000000"/>
          <w:spacing w:val="2"/>
          <w:sz w:val="32"/>
          <w:szCs w:val="32"/>
          <w:lang w:eastAsia="zh-CN"/>
        </w:rPr>
        <w:t>分，经甲方通知，未在合理期限内（原则上最长不超过60日）整改，拒不整改或整改后仍不合格的，但不包括因不可抗力或甲方原因导致的情况；</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w:t>
      </w:r>
      <w:r>
        <w:rPr>
          <w:rFonts w:ascii="仿宋_GB2312" w:eastAsia="仿宋_GB2312" w:hAnsi="仿宋_GB2312" w:cs="仿宋_GB2312" w:hint="eastAsia"/>
          <w:snapToGrid w:val="0"/>
          <w:color w:val="000000"/>
          <w:spacing w:val="2"/>
          <w:sz w:val="32"/>
          <w:szCs w:val="32"/>
          <w:lang w:eastAsia="zh-CN"/>
        </w:rPr>
        <w:t>2</w:t>
      </w:r>
      <w:r>
        <w:rPr>
          <w:rFonts w:ascii="仿宋_GB2312" w:eastAsia="仿宋_GB2312" w:hAnsi="仿宋_GB2312" w:cs="仿宋_GB2312" w:hint="eastAsia"/>
          <w:snapToGrid w:val="0"/>
          <w:color w:val="000000"/>
          <w:spacing w:val="2"/>
          <w:sz w:val="32"/>
          <w:szCs w:val="32"/>
          <w:lang w:eastAsia="zh-CN"/>
        </w:rPr>
        <w:t>）非因法定或约定事由，擅自中止主要功能单元（指：公共阅读区、公共文化活动空间、非遗展示区、展厅）运营超过60日的；</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w:t>
      </w:r>
      <w:r>
        <w:rPr>
          <w:rFonts w:ascii="仿宋_GB2312" w:eastAsia="仿宋_GB2312" w:hAnsi="仿宋_GB2312" w:cs="仿宋_GB2312" w:hint="eastAsia"/>
          <w:snapToGrid w:val="0"/>
          <w:color w:val="000000"/>
          <w:spacing w:val="2"/>
          <w:sz w:val="32"/>
          <w:szCs w:val="32"/>
          <w:lang w:eastAsia="zh-CN"/>
        </w:rPr>
        <w:t>3</w:t>
      </w:r>
      <w:r>
        <w:rPr>
          <w:rFonts w:ascii="仿宋_GB2312" w:eastAsia="仿宋_GB2312" w:hAnsi="仿宋_GB2312" w:cs="仿宋_GB2312" w:hint="eastAsia"/>
          <w:snapToGrid w:val="0"/>
          <w:color w:val="000000"/>
          <w:spacing w:val="2"/>
          <w:sz w:val="32"/>
          <w:szCs w:val="32"/>
          <w:lang w:eastAsia="zh-CN"/>
        </w:rPr>
        <w:t>）未按合同约定将部分或全部项目资产于权益期满移交予甲方超120日的；</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w:t>
      </w:r>
      <w:r>
        <w:rPr>
          <w:rFonts w:ascii="仿宋_GB2312" w:eastAsia="仿宋_GB2312" w:hAnsi="仿宋_GB2312" w:cs="仿宋_GB2312" w:hint="eastAsia"/>
          <w:snapToGrid w:val="0"/>
          <w:color w:val="000000"/>
          <w:spacing w:val="2"/>
          <w:sz w:val="32"/>
          <w:szCs w:val="32"/>
          <w:lang w:eastAsia="zh-CN"/>
        </w:rPr>
        <w:t>4</w:t>
      </w:r>
      <w:r>
        <w:rPr>
          <w:rFonts w:ascii="仿宋_GB2312" w:eastAsia="仿宋_GB2312" w:hAnsi="仿宋_GB2312" w:cs="仿宋_GB2312" w:hint="eastAsia"/>
          <w:snapToGrid w:val="0"/>
          <w:color w:val="000000"/>
          <w:spacing w:val="2"/>
          <w:sz w:val="32"/>
          <w:szCs w:val="32"/>
          <w:lang w:eastAsia="zh-CN"/>
        </w:rPr>
        <w:t>）除合同另有约定外，擅自以出售、转让、抵押等方式处置归属于甲方的项目资产；</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w:t>
      </w:r>
      <w:r>
        <w:rPr>
          <w:rFonts w:ascii="仿宋_GB2312" w:eastAsia="仿宋_GB2312" w:hAnsi="仿宋_GB2312" w:cs="仿宋_GB2312" w:hint="eastAsia"/>
          <w:snapToGrid w:val="0"/>
          <w:color w:val="000000"/>
          <w:spacing w:val="2"/>
          <w:sz w:val="32"/>
          <w:szCs w:val="32"/>
          <w:lang w:eastAsia="zh-CN"/>
        </w:rPr>
        <w:t>5</w:t>
      </w:r>
      <w:r>
        <w:rPr>
          <w:rFonts w:ascii="仿宋_GB2312" w:eastAsia="仿宋_GB2312" w:hAnsi="仿宋_GB2312" w:cs="仿宋_GB2312" w:hint="eastAsia"/>
          <w:snapToGrid w:val="0"/>
          <w:color w:val="000000"/>
          <w:spacing w:val="2"/>
          <w:sz w:val="32"/>
          <w:szCs w:val="32"/>
          <w:lang w:eastAsia="zh-CN"/>
        </w:rPr>
        <w:t>）除因合同约定或法定事由外，擅自停业、歇业、或其他因乙方过错导致本项目歇业超过60日的；</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w:t>
      </w:r>
      <w:r>
        <w:rPr>
          <w:rFonts w:ascii="仿宋_GB2312" w:eastAsia="仿宋_GB2312" w:hAnsi="仿宋_GB2312" w:cs="仿宋_GB2312" w:hint="eastAsia"/>
          <w:snapToGrid w:val="0"/>
          <w:color w:val="000000"/>
          <w:spacing w:val="2"/>
          <w:sz w:val="32"/>
          <w:szCs w:val="32"/>
          <w:lang w:eastAsia="zh-CN"/>
        </w:rPr>
        <w:t>6</w:t>
      </w:r>
      <w:r>
        <w:rPr>
          <w:rFonts w:ascii="仿宋_GB2312" w:eastAsia="仿宋_GB2312" w:hAnsi="仿宋_GB2312" w:cs="仿宋_GB2312" w:hint="eastAsia"/>
          <w:snapToGrid w:val="0"/>
          <w:color w:val="000000"/>
          <w:spacing w:val="2"/>
          <w:sz w:val="32"/>
          <w:szCs w:val="32"/>
          <w:lang w:eastAsia="zh-CN"/>
        </w:rPr>
        <w:t>）部分或全部项目存在重大安全隐患且拒不整改，严重危及公共利益、公共安全的；</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w:t>
      </w:r>
      <w:r>
        <w:rPr>
          <w:rFonts w:ascii="仿宋_GB2312" w:eastAsia="仿宋_GB2312" w:hAnsi="仿宋_GB2312" w:cs="仿宋_GB2312" w:hint="eastAsia"/>
          <w:snapToGrid w:val="0"/>
          <w:color w:val="000000"/>
          <w:spacing w:val="2"/>
          <w:sz w:val="32"/>
          <w:szCs w:val="32"/>
          <w:lang w:eastAsia="zh-CN"/>
        </w:rPr>
        <w:t>7</w:t>
      </w:r>
      <w:r>
        <w:rPr>
          <w:rFonts w:ascii="仿宋_GB2312" w:eastAsia="仿宋_GB2312" w:hAnsi="仿宋_GB2312" w:cs="仿宋_GB2312" w:hint="eastAsia"/>
          <w:snapToGrid w:val="0"/>
          <w:color w:val="000000"/>
          <w:spacing w:val="2"/>
          <w:sz w:val="32"/>
          <w:szCs w:val="32"/>
          <w:lang w:eastAsia="zh-CN"/>
        </w:rPr>
        <w:t>）运营期内，因乙方运营原因，被行政机关立案调查、发生群体性事件或重大安全事故合计达2次的；</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w:t>
      </w:r>
      <w:r>
        <w:rPr>
          <w:rFonts w:ascii="仿宋_GB2312" w:eastAsia="仿宋_GB2312" w:hAnsi="仿宋_GB2312" w:cs="仿宋_GB2312" w:hint="eastAsia"/>
          <w:snapToGrid w:val="0"/>
          <w:color w:val="000000"/>
          <w:spacing w:val="2"/>
          <w:sz w:val="32"/>
          <w:szCs w:val="32"/>
          <w:lang w:eastAsia="zh-CN"/>
        </w:rPr>
        <w:t>8</w:t>
      </w:r>
      <w:r>
        <w:rPr>
          <w:rFonts w:ascii="仿宋_GB2312" w:eastAsia="仿宋_GB2312" w:hAnsi="仿宋_GB2312" w:cs="仿宋_GB2312" w:hint="eastAsia"/>
          <w:snapToGrid w:val="0"/>
          <w:color w:val="000000"/>
          <w:spacing w:val="2"/>
          <w:sz w:val="32"/>
          <w:szCs w:val="32"/>
          <w:lang w:eastAsia="zh-CN"/>
        </w:rPr>
        <w:t>）除不可抗力及甲方认可的原因外，连续两个运营年度均未提供合同约定的公益服务的，但不包括因不可抗力或甲方原因导致的情况；</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w:t>
      </w:r>
      <w:r>
        <w:rPr>
          <w:rFonts w:ascii="仿宋_GB2312" w:eastAsia="仿宋_GB2312" w:hAnsi="仿宋_GB2312" w:cs="仿宋_GB2312" w:hint="eastAsia"/>
          <w:snapToGrid w:val="0"/>
          <w:color w:val="000000"/>
          <w:spacing w:val="2"/>
          <w:sz w:val="32"/>
          <w:szCs w:val="32"/>
          <w:lang w:eastAsia="zh-CN"/>
        </w:rPr>
        <w:t>9</w:t>
      </w:r>
      <w:r>
        <w:rPr>
          <w:rFonts w:ascii="仿宋_GB2312" w:eastAsia="仿宋_GB2312" w:hAnsi="仿宋_GB2312" w:cs="仿宋_GB2312" w:hint="eastAsia"/>
          <w:snapToGrid w:val="0"/>
          <w:color w:val="000000"/>
          <w:spacing w:val="2"/>
          <w:sz w:val="32"/>
          <w:szCs w:val="32"/>
          <w:lang w:eastAsia="zh-CN"/>
        </w:rPr>
        <w:t>）因乙方故意或重大过失等原因给甲方造成严重损失的；</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（1</w:t>
      </w:r>
      <w:r>
        <w:rPr>
          <w:rFonts w:ascii="仿宋_GB2312" w:eastAsia="仿宋_GB2312" w:hAnsi="仿宋_GB2312" w:cs="仿宋_GB2312" w:hint="eastAsia"/>
          <w:snapToGrid w:val="0"/>
          <w:color w:val="000000"/>
          <w:spacing w:val="2"/>
          <w:sz w:val="32"/>
          <w:szCs w:val="32"/>
          <w:lang w:eastAsia="zh-CN"/>
        </w:rPr>
        <w:t>0</w:t>
      </w:r>
      <w:r>
        <w:rPr>
          <w:rFonts w:ascii="仿宋_GB2312" w:eastAsia="仿宋_GB2312" w:hAnsi="仿宋_GB2312" w:cs="仿宋_GB2312" w:hint="eastAsia"/>
          <w:snapToGrid w:val="0"/>
          <w:color w:val="000000"/>
          <w:spacing w:val="2"/>
          <w:sz w:val="32"/>
          <w:szCs w:val="32"/>
          <w:lang w:eastAsia="zh-CN"/>
        </w:rPr>
        <w:t>）非因法律法规或合同约定等合理事由，乙方擅自单方解除合同的；</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（1</w:t>
      </w:r>
      <w:r>
        <w:rPr>
          <w:rFonts w:ascii="仿宋_GB2312" w:eastAsia="仿宋_GB2312" w:hAnsi="仿宋_GB2312" w:cs="仿宋_GB2312" w:hint="eastAsia"/>
          <w:snapToGrid w:val="0"/>
          <w:color w:val="000000"/>
          <w:spacing w:val="2"/>
          <w:sz w:val="32"/>
          <w:szCs w:val="32"/>
          <w:lang w:eastAsia="zh-CN"/>
        </w:rPr>
        <w:t>1</w:t>
      </w:r>
      <w:r>
        <w:rPr>
          <w:rFonts w:ascii="仿宋_GB2312" w:eastAsia="仿宋_GB2312" w:hAnsi="仿宋_GB2312" w:cs="仿宋_GB2312" w:hint="eastAsia"/>
          <w:snapToGrid w:val="0"/>
          <w:color w:val="000000"/>
          <w:spacing w:val="2"/>
          <w:sz w:val="32"/>
          <w:szCs w:val="32"/>
          <w:lang w:eastAsia="zh-CN"/>
        </w:rPr>
        <w:t>）乙方存在本合同第1</w:t>
      </w:r>
      <w:r>
        <w:rPr>
          <w:rFonts w:ascii="仿宋_GB2312" w:eastAsia="仿宋_GB2312" w:hAnsi="仿宋_GB2312" w:cs="仿宋_GB2312" w:hint="eastAsia"/>
          <w:snapToGrid w:val="0"/>
          <w:color w:val="000000"/>
          <w:spacing w:val="2"/>
          <w:sz w:val="32"/>
          <w:szCs w:val="32"/>
          <w:lang w:eastAsia="zh-CN"/>
        </w:rPr>
        <w:t>3</w:t>
      </w:r>
      <w:r>
        <w:rPr>
          <w:rFonts w:ascii="仿宋_GB2312" w:eastAsia="仿宋_GB2312" w:hAnsi="仿宋_GB2312" w:cs="仿宋_GB2312" w:hint="eastAsia"/>
          <w:snapToGrid w:val="0"/>
          <w:color w:val="000000"/>
          <w:spacing w:val="2"/>
          <w:sz w:val="32"/>
          <w:szCs w:val="32"/>
          <w:lang w:eastAsia="zh-CN"/>
        </w:rPr>
        <w:t>.1.1条约定的一般违约情形，经甲方书面通知限期整改后未按要求整改，且超过限定完成整改的日期达到60日的，但不包括因不可抗力或甲方原因导致的情况；</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（1</w:t>
      </w:r>
      <w:r>
        <w:rPr>
          <w:rFonts w:ascii="仿宋_GB2312" w:eastAsia="仿宋_GB2312" w:hAnsi="仿宋_GB2312" w:cs="仿宋_GB2312" w:hint="eastAsia"/>
          <w:snapToGrid w:val="0"/>
          <w:color w:val="000000"/>
          <w:spacing w:val="2"/>
          <w:sz w:val="32"/>
          <w:szCs w:val="32"/>
          <w:lang w:eastAsia="zh-CN"/>
        </w:rPr>
        <w:t>2</w:t>
      </w:r>
      <w:r>
        <w:rPr>
          <w:rFonts w:ascii="仿宋_GB2312" w:eastAsia="仿宋_GB2312" w:hAnsi="仿宋_GB2312" w:cs="仿宋_GB2312" w:hint="eastAsia"/>
          <w:snapToGrid w:val="0"/>
          <w:color w:val="000000"/>
          <w:spacing w:val="2"/>
          <w:sz w:val="32"/>
          <w:szCs w:val="32"/>
          <w:lang w:eastAsia="zh-CN"/>
        </w:rPr>
        <w:t>）因乙方原因，造成舆论或意识形态等方面的重大社会负面影响；</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（1</w:t>
      </w:r>
      <w:r>
        <w:rPr>
          <w:rFonts w:ascii="仿宋_GB2312" w:eastAsia="仿宋_GB2312" w:hAnsi="仿宋_GB2312" w:cs="仿宋_GB2312" w:hint="eastAsia"/>
          <w:snapToGrid w:val="0"/>
          <w:color w:val="000000"/>
          <w:spacing w:val="2"/>
          <w:sz w:val="32"/>
          <w:szCs w:val="32"/>
          <w:lang w:eastAsia="zh-CN"/>
        </w:rPr>
        <w:t>3</w:t>
      </w:r>
      <w:r>
        <w:rPr>
          <w:rFonts w:ascii="仿宋_GB2312" w:eastAsia="仿宋_GB2312" w:hAnsi="仿宋_GB2312" w:cs="仿宋_GB2312" w:hint="eastAsia"/>
          <w:snapToGrid w:val="0"/>
          <w:color w:val="000000"/>
          <w:spacing w:val="2"/>
          <w:sz w:val="32"/>
          <w:szCs w:val="32"/>
          <w:lang w:eastAsia="zh-CN"/>
        </w:rPr>
        <w:t>）乙方破产或资不抵债的；</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（1</w:t>
      </w:r>
      <w:r>
        <w:rPr>
          <w:rFonts w:ascii="仿宋_GB2312" w:eastAsia="仿宋_GB2312" w:hAnsi="仿宋_GB2312" w:cs="仿宋_GB2312" w:hint="eastAsia"/>
          <w:snapToGrid w:val="0"/>
          <w:color w:val="000000"/>
          <w:spacing w:val="2"/>
          <w:sz w:val="32"/>
          <w:szCs w:val="32"/>
          <w:lang w:eastAsia="zh-CN"/>
        </w:rPr>
        <w:t>4</w:t>
      </w:r>
      <w:r>
        <w:rPr>
          <w:rFonts w:ascii="仿宋_GB2312" w:eastAsia="仿宋_GB2312" w:hAnsi="仿宋_GB2312" w:cs="仿宋_GB2312" w:hint="eastAsia"/>
          <w:snapToGrid w:val="0"/>
          <w:color w:val="000000"/>
          <w:spacing w:val="2"/>
          <w:sz w:val="32"/>
          <w:szCs w:val="32"/>
          <w:lang w:eastAsia="zh-CN"/>
        </w:rPr>
        <w:t>）乙方装修改造未达到双方约定标准，甲方要求乙方在指定期限内完成整改，乙方未按要求完成的；</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（1</w:t>
      </w:r>
      <w:r>
        <w:rPr>
          <w:rFonts w:ascii="仿宋_GB2312" w:eastAsia="仿宋_GB2312" w:hAnsi="仿宋_GB2312" w:cs="仿宋_GB2312" w:hint="eastAsia"/>
          <w:snapToGrid w:val="0"/>
          <w:color w:val="000000"/>
          <w:spacing w:val="2"/>
          <w:sz w:val="32"/>
          <w:szCs w:val="32"/>
          <w:lang w:eastAsia="zh-CN"/>
        </w:rPr>
        <w:t>5</w:t>
      </w:r>
      <w:r>
        <w:rPr>
          <w:rFonts w:ascii="仿宋_GB2312" w:eastAsia="仿宋_GB2312" w:hAnsi="仿宋_GB2312" w:cs="仿宋_GB2312" w:hint="eastAsia"/>
          <w:snapToGrid w:val="0"/>
          <w:color w:val="000000"/>
          <w:spacing w:val="2"/>
          <w:sz w:val="32"/>
          <w:szCs w:val="32"/>
          <w:lang w:eastAsia="zh-CN"/>
        </w:rPr>
        <w:t>）乙方擅自将本项目运营服务内容整体或部分分包或转包给第三方的；乙方擅自分包和转包主体、关键性的工作、核心服务、主要功能单元的；</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（1</w:t>
      </w:r>
      <w:r>
        <w:rPr>
          <w:rFonts w:ascii="仿宋_GB2312" w:eastAsia="仿宋_GB2312" w:hAnsi="仿宋_GB2312" w:cs="仿宋_GB2312" w:hint="eastAsia"/>
          <w:snapToGrid w:val="0"/>
          <w:color w:val="000000"/>
          <w:spacing w:val="2"/>
          <w:sz w:val="32"/>
          <w:szCs w:val="32"/>
          <w:lang w:eastAsia="zh-CN"/>
        </w:rPr>
        <w:t>6</w:t>
      </w:r>
      <w:r>
        <w:rPr>
          <w:rFonts w:ascii="仿宋_GB2312" w:eastAsia="仿宋_GB2312" w:hAnsi="仿宋_GB2312" w:cs="仿宋_GB2312" w:hint="eastAsia"/>
          <w:snapToGrid w:val="0"/>
          <w:color w:val="000000"/>
          <w:spacing w:val="2"/>
          <w:sz w:val="32"/>
          <w:szCs w:val="32"/>
          <w:lang w:eastAsia="zh-CN"/>
        </w:rPr>
        <w:t>）乙方在本级或上级党委、政府、人大、审计机关等开展的巡察、审计、专项检查等监督程序中被发现存在重大违法违规行为，或者乙方未按巡察、审计等监督机关提出的整改要求，在合理期限内完成整改或整改后仍不合格的；</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w:t>
      </w:r>
      <w:r>
        <w:rPr>
          <w:rFonts w:ascii="仿宋_GB2312" w:eastAsia="仿宋_GB2312" w:hAnsi="仿宋_GB2312" w:cs="仿宋_GB2312" w:hint="eastAsia"/>
          <w:snapToGrid w:val="0"/>
          <w:color w:val="000000"/>
          <w:spacing w:val="2"/>
          <w:sz w:val="32"/>
          <w:szCs w:val="32"/>
          <w:lang w:eastAsia="zh-CN"/>
        </w:rPr>
        <w:t>11</w:t>
      </w:r>
      <w:r>
        <w:rPr>
          <w:rFonts w:ascii="仿宋_GB2312" w:eastAsia="仿宋_GB2312" w:hAnsi="仿宋_GB2312" w:cs="仿宋_GB2312" w:hint="eastAsia"/>
          <w:snapToGrid w:val="0"/>
          <w:color w:val="000000"/>
          <w:spacing w:val="2"/>
          <w:sz w:val="32"/>
          <w:szCs w:val="32"/>
          <w:lang w:eastAsia="zh-CN"/>
        </w:rPr>
        <w:t>）适用法律规定的其他情形。</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3</w:t>
      </w:r>
      <w:r>
        <w:rPr>
          <w:rFonts w:ascii="仿宋_GB2312" w:eastAsia="仿宋_GB2312"/>
          <w:snapToGrid w:val="0"/>
          <w:color w:val="000000"/>
          <w:spacing w:val="2"/>
          <w:sz w:val="32"/>
          <w:szCs w:val="32"/>
          <w:lang w:eastAsia="zh-CN"/>
        </w:rPr>
        <w:t>.2.2 甲方重大违约情形</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（1）非因法律法规或本合同约定等合理事由，甲方擅自单方解除本合同的；</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（2）甲方</w:t>
      </w:r>
      <w:r>
        <w:rPr>
          <w:rFonts w:ascii="仿宋_GB2312" w:eastAsia="仿宋_GB2312" w:hint="eastAsia"/>
          <w:snapToGrid w:val="0"/>
          <w:color w:val="000000"/>
          <w:spacing w:val="2"/>
          <w:sz w:val="32"/>
          <w:szCs w:val="32"/>
          <w:lang w:eastAsia="zh-CN"/>
        </w:rPr>
        <w:t>无合法正当理由</w:t>
      </w:r>
      <w:r>
        <w:rPr>
          <w:rFonts w:ascii="仿宋_GB2312" w:eastAsia="仿宋_GB2312"/>
          <w:snapToGrid w:val="0"/>
          <w:color w:val="000000"/>
          <w:spacing w:val="2"/>
          <w:sz w:val="32"/>
          <w:szCs w:val="32"/>
          <w:lang w:eastAsia="zh-CN"/>
        </w:rPr>
        <w:t>在期初交付项目资产过程中拒绝乙方进场查验达30天、或</w:t>
      </w:r>
      <w:r>
        <w:rPr>
          <w:rFonts w:ascii="仿宋_GB2312" w:eastAsia="仿宋_GB2312" w:hint="eastAsia"/>
          <w:snapToGrid w:val="0"/>
          <w:color w:val="000000"/>
          <w:spacing w:val="2"/>
          <w:sz w:val="32"/>
          <w:szCs w:val="32"/>
          <w:lang w:eastAsia="zh-CN"/>
        </w:rPr>
        <w:t>在</w:t>
      </w:r>
      <w:r>
        <w:rPr>
          <w:rFonts w:ascii="仿宋_GB2312" w:eastAsia="仿宋_GB2312"/>
          <w:snapToGrid w:val="0"/>
          <w:color w:val="000000"/>
          <w:spacing w:val="2"/>
          <w:sz w:val="32"/>
          <w:szCs w:val="32"/>
          <w:lang w:eastAsia="zh-CN"/>
        </w:rPr>
        <w:t>乙方查验合格后拒绝向乙方交付本项目资产，经乙方催告后仍拒不履行相应义务的；</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（3）项目因甲方故意或重大过失，导致项目整体停止运营超过</w:t>
      </w:r>
      <w:r>
        <w:rPr>
          <w:rFonts w:ascii="仿宋_GB2312" w:eastAsia="仿宋_GB2312" w:hint="eastAsia"/>
          <w:snapToGrid w:val="0"/>
          <w:color w:val="000000"/>
          <w:spacing w:val="2"/>
          <w:sz w:val="32"/>
          <w:szCs w:val="32"/>
          <w:lang w:eastAsia="zh-CN"/>
        </w:rPr>
        <w:t>六</w:t>
      </w:r>
      <w:r>
        <w:rPr>
          <w:rFonts w:ascii="仿宋_GB2312" w:eastAsia="仿宋_GB2312"/>
          <w:snapToGrid w:val="0"/>
          <w:color w:val="000000"/>
          <w:spacing w:val="2"/>
          <w:sz w:val="32"/>
          <w:szCs w:val="32"/>
          <w:lang w:eastAsia="zh-CN"/>
        </w:rPr>
        <w:t>十（</w:t>
      </w:r>
      <w:r>
        <w:rPr>
          <w:rFonts w:ascii="仿宋_GB2312" w:eastAsia="仿宋_GB2312" w:hint="eastAsia"/>
          <w:snapToGrid w:val="0"/>
          <w:color w:val="000000"/>
          <w:spacing w:val="2"/>
          <w:sz w:val="32"/>
          <w:szCs w:val="32"/>
          <w:lang w:eastAsia="zh-CN"/>
        </w:rPr>
        <w:t>6</w:t>
      </w:r>
      <w:r>
        <w:rPr>
          <w:rFonts w:ascii="仿宋_GB2312" w:eastAsia="仿宋_GB2312"/>
          <w:snapToGrid w:val="0"/>
          <w:color w:val="000000"/>
          <w:spacing w:val="2"/>
          <w:sz w:val="32"/>
          <w:szCs w:val="32"/>
          <w:lang w:eastAsia="zh-CN"/>
        </w:rPr>
        <w:t>0）日的；</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（4）甲方擅自就项目资产进行整体或分割转让、抵押或设定其他第三方权益的，造成乙方权益受损的；</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（5）适用法律规定的其他情形。</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1</w:t>
      </w:r>
      <w:r>
        <w:rPr>
          <w:rFonts w:ascii="仿宋_GB2312" w:eastAsia="仿宋_GB2312" w:hAnsi="仿宋_GB2312" w:cs="仿宋_GB2312" w:hint="eastAsia"/>
          <w:snapToGrid w:val="0"/>
          <w:color w:val="000000"/>
          <w:spacing w:val="2"/>
          <w:sz w:val="32"/>
          <w:szCs w:val="32"/>
          <w:lang w:eastAsia="zh-CN"/>
        </w:rPr>
        <w:t>3</w:t>
      </w:r>
      <w:r>
        <w:rPr>
          <w:rFonts w:ascii="仿宋_GB2312" w:eastAsia="仿宋_GB2312" w:hAnsi="仿宋_GB2312" w:cs="仿宋_GB2312" w:hint="eastAsia"/>
          <w:snapToGrid w:val="0"/>
          <w:color w:val="000000"/>
          <w:spacing w:val="2"/>
          <w:sz w:val="32"/>
          <w:szCs w:val="32"/>
          <w:lang w:eastAsia="zh-CN"/>
        </w:rPr>
        <w:t>.2.3 重大违约处理</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守约方有权要求违约方限期改正，并以载明下列事项的书面改正通知送达违约方，同时有权随时以书面方式通知违约方终止本合同：</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（1）重大违约的具体事实。</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（2）改正重大违约的合理期限，该期限应不少于60日。</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（3）改正后应达到的合理标准。</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如守约方发出书面通知要求违约方改正的，违约方应按照书面改正通知载明的期限改正重大违约。违约方逾期未改正的，守约方有权直接书面通知终止合同，按照提前终止处理。</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1</w:t>
      </w:r>
      <w:r>
        <w:rPr>
          <w:rFonts w:ascii="仿宋_GB2312" w:eastAsia="仿宋_GB2312" w:hAnsi="仿宋_GB2312" w:cs="仿宋_GB2312" w:hint="eastAsia"/>
          <w:snapToGrid w:val="0"/>
          <w:color w:val="000000"/>
          <w:spacing w:val="2"/>
          <w:sz w:val="32"/>
          <w:szCs w:val="32"/>
          <w:lang w:eastAsia="zh-CN"/>
        </w:rPr>
        <w:t>3</w:t>
      </w:r>
      <w:r>
        <w:rPr>
          <w:rFonts w:ascii="仿宋_GB2312" w:eastAsia="仿宋_GB2312" w:hAnsi="仿宋_GB2312" w:cs="仿宋_GB2312" w:hint="eastAsia"/>
          <w:snapToGrid w:val="0"/>
          <w:color w:val="000000"/>
          <w:spacing w:val="2"/>
          <w:sz w:val="32"/>
          <w:szCs w:val="32"/>
          <w:lang w:eastAsia="zh-CN"/>
        </w:rPr>
        <w:t>.3 违约补偿</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Arial" w:eastAsia="等线" w:hAnsi="Arial" w:cs="Arial"/>
          <w:snapToGrid w:val="0"/>
          <w:color w:val="000000"/>
          <w:sz w:val="21"/>
          <w:szCs w:val="21"/>
          <w:lang w:eastAsia="zh-CN"/>
        </w:rPr>
      </w:pPr>
      <w:r>
        <w:rPr>
          <w:rFonts w:ascii="仿宋_GB2312" w:eastAsia="仿宋_GB2312" w:hAnsi="仿宋_GB2312" w:cs="仿宋_GB2312" w:hint="eastAsia"/>
          <w:snapToGrid w:val="0"/>
          <w:color w:val="000000"/>
          <w:spacing w:val="2"/>
          <w:sz w:val="32"/>
          <w:szCs w:val="32"/>
          <w:lang w:eastAsia="zh-CN"/>
        </w:rPr>
        <w:t>违约方因违约或其他行为给守约方造成损失的，违约方应赔偿守约方全部损失，包括直接损失、间接损失、守约方因违约产生的合理替代服务费用、临时接管费用、监管费用、因 违约方违约导致守约方对第三方承担的赔偿责任以及守约方主张权利产生的律师费、诉讼费、保全费、担保费、鉴定费、公证费等必要费用。</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黑体" w:eastAsia="黑体" w:hAnsi="黑体" w:cs="仿宋" w:hint="eastAsia"/>
          <w:b/>
          <w:bCs/>
          <w:snapToGrid w:val="0"/>
          <w:color w:val="000000"/>
          <w:spacing w:val="-10"/>
          <w:sz w:val="32"/>
          <w:szCs w:val="32"/>
          <w:lang w:eastAsia="zh-CN"/>
        </w:rPr>
      </w:pPr>
      <w:bookmarkStart w:id="54" w:name="bookmark33"/>
      <w:bookmarkEnd w:id="54"/>
      <w:bookmarkStart w:id="55" w:name="_Toc23736"/>
      <w:r>
        <w:rPr>
          <w:rFonts w:ascii="黑体" w:eastAsia="黑体" w:hAnsi="黑体" w:cs="仿宋"/>
          <w:b/>
          <w:bCs/>
          <w:snapToGrid w:val="0"/>
          <w:color w:val="000000"/>
          <w:spacing w:val="-10"/>
          <w:sz w:val="32"/>
          <w:szCs w:val="32"/>
          <w:lang w:eastAsia="zh-CN"/>
        </w:rPr>
        <w:t>第十</w:t>
      </w:r>
      <w:r>
        <w:rPr>
          <w:rFonts w:ascii="黑体" w:eastAsia="黑体" w:hAnsi="黑体" w:cs="仿宋" w:hint="eastAsia"/>
          <w:b/>
          <w:bCs/>
          <w:snapToGrid w:val="0"/>
          <w:color w:val="000000"/>
          <w:spacing w:val="-10"/>
          <w:sz w:val="32"/>
          <w:szCs w:val="32"/>
          <w:lang w:eastAsia="zh-CN"/>
        </w:rPr>
        <w:t>四</w:t>
      </w:r>
      <w:r>
        <w:rPr>
          <w:rFonts w:ascii="黑体" w:eastAsia="黑体" w:hAnsi="黑体" w:cs="仿宋"/>
          <w:b/>
          <w:bCs/>
          <w:snapToGrid w:val="0"/>
          <w:color w:val="000000"/>
          <w:spacing w:val="-10"/>
          <w:sz w:val="32"/>
          <w:szCs w:val="32"/>
          <w:lang w:eastAsia="zh-CN"/>
        </w:rPr>
        <w:t>条 提前终止</w:t>
      </w:r>
      <w:bookmarkEnd w:id="55"/>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4</w:t>
      </w:r>
      <w:r>
        <w:rPr>
          <w:rFonts w:ascii="仿宋_GB2312" w:eastAsia="仿宋_GB2312"/>
          <w:snapToGrid w:val="0"/>
          <w:color w:val="000000"/>
          <w:spacing w:val="2"/>
          <w:sz w:val="32"/>
          <w:szCs w:val="32"/>
          <w:lang w:eastAsia="zh-CN"/>
        </w:rPr>
        <w:t>.1 提前终止的事由</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4</w:t>
      </w:r>
      <w:r>
        <w:rPr>
          <w:rFonts w:ascii="仿宋_GB2312" w:eastAsia="仿宋_GB2312"/>
          <w:snapToGrid w:val="0"/>
          <w:color w:val="000000"/>
          <w:spacing w:val="2"/>
          <w:sz w:val="32"/>
          <w:szCs w:val="32"/>
          <w:lang w:eastAsia="zh-CN"/>
        </w:rPr>
        <w:t xml:space="preserve">.1.1 </w:t>
      </w:r>
      <w:r>
        <w:rPr>
          <w:rFonts w:ascii="仿宋_GB2312" w:eastAsia="仿宋_GB2312" w:hint="eastAsia"/>
          <w:snapToGrid w:val="0"/>
          <w:color w:val="000000"/>
          <w:spacing w:val="2"/>
          <w:sz w:val="32"/>
          <w:szCs w:val="32"/>
          <w:lang w:eastAsia="zh-CN"/>
        </w:rPr>
        <w:t>甲方违约：发生甲方违约事件，且甲方未在双方</w:t>
      </w:r>
      <w:r>
        <w:rPr>
          <w:rFonts w:ascii="仿宋_GB2312" w:eastAsia="仿宋_GB2312"/>
          <w:snapToGrid w:val="0"/>
          <w:color w:val="000000"/>
          <w:spacing w:val="2"/>
          <w:sz w:val="32"/>
          <w:szCs w:val="32"/>
          <w:lang w:eastAsia="zh-CN"/>
        </w:rPr>
        <w:t>约定的期限内补救的，乙方可根据合同约定主张终止委托运</w:t>
      </w:r>
      <w:r>
        <w:rPr>
          <w:rFonts w:ascii="仿宋_GB2312" w:eastAsia="仿宋_GB2312" w:hint="eastAsia"/>
          <w:snapToGrid w:val="0"/>
          <w:color w:val="000000"/>
          <w:spacing w:val="2"/>
          <w:sz w:val="32"/>
          <w:szCs w:val="32"/>
          <w:lang w:eastAsia="zh-CN"/>
        </w:rPr>
        <w:t>营合同；</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4</w:t>
      </w:r>
      <w:r>
        <w:rPr>
          <w:rFonts w:ascii="仿宋_GB2312" w:eastAsia="仿宋_GB2312"/>
          <w:snapToGrid w:val="0"/>
          <w:color w:val="000000"/>
          <w:spacing w:val="2"/>
          <w:sz w:val="32"/>
          <w:szCs w:val="32"/>
          <w:lang w:eastAsia="zh-CN"/>
        </w:rPr>
        <w:t>.</w:t>
      </w:r>
      <w:r>
        <w:rPr>
          <w:rFonts w:ascii="仿宋_GB2312" w:eastAsia="仿宋_GB2312" w:hAnsi="仿宋_GB2312" w:cs="仿宋_GB2312" w:hint="eastAsia"/>
          <w:snapToGrid w:val="0"/>
          <w:color w:val="000000"/>
          <w:spacing w:val="2"/>
          <w:sz w:val="32"/>
          <w:szCs w:val="32"/>
          <w:lang w:eastAsia="zh-CN"/>
        </w:rPr>
        <w:t>1.2 乙方违约：发生乙方违约事件，且乙方和其指定的第三方均未能在双方约定的期限内对该违约进行补救的，甲方可根据合同约定主张终止委托运营合同；但因非乙方原因导致的绩效考核不合格时，乙方不承担违约责任。</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4</w:t>
      </w:r>
      <w:r>
        <w:rPr>
          <w:rFonts w:ascii="仿宋_GB2312" w:eastAsia="仿宋_GB2312"/>
          <w:snapToGrid w:val="0"/>
          <w:color w:val="000000"/>
          <w:spacing w:val="2"/>
          <w:sz w:val="32"/>
          <w:szCs w:val="32"/>
          <w:lang w:eastAsia="zh-CN"/>
        </w:rPr>
        <w:t xml:space="preserve">.1.3 </w:t>
      </w:r>
      <w:r>
        <w:rPr>
          <w:rFonts w:ascii="仿宋_GB2312" w:eastAsia="仿宋_GB2312" w:hint="eastAsia"/>
          <w:snapToGrid w:val="0"/>
          <w:color w:val="000000"/>
          <w:spacing w:val="2"/>
          <w:sz w:val="32"/>
          <w:szCs w:val="32"/>
          <w:lang w:eastAsia="zh-CN"/>
        </w:rPr>
        <w:t>双方合意进行提前终止；</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int="eastAsia"/>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4</w:t>
      </w:r>
      <w:r>
        <w:rPr>
          <w:rFonts w:ascii="仿宋_GB2312" w:eastAsia="仿宋_GB2312"/>
          <w:snapToGrid w:val="0"/>
          <w:color w:val="000000"/>
          <w:spacing w:val="2"/>
          <w:sz w:val="32"/>
          <w:szCs w:val="32"/>
          <w:lang w:eastAsia="zh-CN"/>
        </w:rPr>
        <w:t xml:space="preserve">.1.4 </w:t>
      </w:r>
      <w:r>
        <w:rPr>
          <w:rFonts w:ascii="仿宋_GB2312" w:eastAsia="仿宋_GB2312" w:hint="eastAsia"/>
          <w:snapToGrid w:val="0"/>
          <w:color w:val="000000"/>
          <w:spacing w:val="2"/>
          <w:sz w:val="32"/>
          <w:szCs w:val="32"/>
          <w:lang w:eastAsia="zh-CN"/>
        </w:rPr>
        <w:t>不可抗力事件：发生不可抗力事件导致项目提前终止。除法定情形外，双方互不承担违约责任。</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int="eastAsia"/>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14.1.5 法律政策变更：本合同生效后，对于不可归责于双方的法律政策变更，如国家、省、市等上级政府或上级人大统一修订、实施的新法律、法规、规章、规范性文件、政策规定等，双方应根据现行有效或最新修订的法律政策对原合同相应条款进行协商变更，并签订书面补充协议。法律政策变更导致乙方运营维护成本费用显著增加的，双方可基于公平原则协商变更合同，协商不成的，甲方有权单方通知乙方提前终止合同，甲方不承担违约责任。如法律政策变更直接导致合同无法继续履行、合同目的无法实现的，视为不可抗力，甲方可通知乙方提前终止合同，不承担违约责任。</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14.1.6 巡察审计需要：本级或上级党委、政府、人大、审计机关等开展的巡察、审计、专项检查等监督程序，明确提出要求终止本合同的，此情况可由双方合意提前终止，甲方不承担违约责任。</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4</w:t>
      </w:r>
      <w:r>
        <w:rPr>
          <w:rFonts w:ascii="仿宋_GB2312" w:eastAsia="仿宋_GB2312"/>
          <w:snapToGrid w:val="0"/>
          <w:color w:val="000000"/>
          <w:spacing w:val="2"/>
          <w:sz w:val="32"/>
          <w:szCs w:val="32"/>
          <w:lang w:eastAsia="zh-CN"/>
        </w:rPr>
        <w:t xml:space="preserve">.2 </w:t>
      </w:r>
      <w:r>
        <w:rPr>
          <w:rFonts w:ascii="仿宋_GB2312" w:eastAsia="仿宋_GB2312" w:hint="eastAsia"/>
          <w:snapToGrid w:val="0"/>
          <w:color w:val="000000"/>
          <w:spacing w:val="2"/>
          <w:sz w:val="32"/>
          <w:szCs w:val="32"/>
          <w:lang w:eastAsia="zh-CN"/>
        </w:rPr>
        <w:t>终止后的补偿</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int="eastAsia"/>
          <w:snapToGrid w:val="0"/>
          <w:color w:val="000000"/>
          <w:spacing w:val="2"/>
          <w:sz w:val="32"/>
          <w:szCs w:val="32"/>
          <w:lang w:eastAsia="zh-CN"/>
        </w:rPr>
      </w:pPr>
      <w:r>
        <w:rPr>
          <w:rFonts w:ascii="仿宋_GB2312" w:eastAsia="仿宋_GB2312" w:hAnsi="仿宋_GB2312" w:cs="仿宋_GB2312" w:hint="eastAsia"/>
          <w:snapToGrid w:val="0"/>
          <w:color w:val="000000"/>
          <w:spacing w:val="2"/>
          <w:sz w:val="32"/>
          <w:szCs w:val="32"/>
          <w:lang w:eastAsia="zh-CN"/>
        </w:rPr>
        <w:t>对于因甲方违约事件所导致的委托运营合同终止，一般的补偿原则是确保乙方不会因项目提前终止而受损或获得额外利益；对于因乙方违约事件导致的委托运营合同终止，如果政府选择合同终止时，甲方有权清退乙方且无需就合同终止支付相应补偿，给甲方造成损失的，甲方有权对乙方进行追偿；对于不可抗力、政策法律变更、</w:t>
      </w:r>
      <w:r>
        <w:rPr>
          <w:rFonts w:ascii="仿宋_GB2312" w:eastAsia="仿宋_GB2312" w:hint="eastAsia"/>
          <w:snapToGrid w:val="0"/>
          <w:color w:val="000000"/>
          <w:spacing w:val="2"/>
          <w:sz w:val="32"/>
          <w:szCs w:val="32"/>
          <w:lang w:eastAsia="zh-CN"/>
        </w:rPr>
        <w:t>巡察</w:t>
      </w:r>
      <w:r>
        <w:rPr>
          <w:rFonts w:ascii="仿宋_GB2312" w:eastAsia="仿宋_GB2312" w:hAnsi="仿宋_GB2312" w:cs="仿宋_GB2312" w:hint="eastAsia"/>
          <w:snapToGrid w:val="0"/>
          <w:color w:val="000000"/>
          <w:spacing w:val="2"/>
          <w:sz w:val="32"/>
          <w:szCs w:val="32"/>
          <w:lang w:eastAsia="zh-CN"/>
        </w:rPr>
        <w:t>审计等导致的终止，一般的原</w:t>
      </w:r>
      <w:r>
        <w:rPr>
          <w:rFonts w:ascii="仿宋_GB2312" w:eastAsia="仿宋_GB2312" w:hint="eastAsia"/>
          <w:snapToGrid w:val="0"/>
          <w:color w:val="000000"/>
          <w:spacing w:val="2"/>
          <w:sz w:val="32"/>
          <w:szCs w:val="32"/>
          <w:lang w:eastAsia="zh-CN"/>
        </w:rPr>
        <w:t>则是互不承担违约责任及补偿责任，各自承担损失。</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int="eastAsia"/>
          <w:snapToGrid w:val="0"/>
          <w:color w:val="000000"/>
          <w:spacing w:val="2"/>
          <w:sz w:val="32"/>
          <w:szCs w:val="32"/>
          <w:lang w:eastAsia="zh-CN"/>
        </w:rPr>
      </w:pPr>
      <w:r>
        <w:rPr>
          <w:rFonts w:ascii="仿宋_GB2312" w:eastAsia="仿宋_GB2312" w:hint="eastAsia"/>
          <w:snapToGrid w:val="0"/>
          <w:color w:val="000000"/>
          <w:spacing w:val="2"/>
          <w:sz w:val="32"/>
          <w:szCs w:val="32"/>
          <w:lang w:eastAsia="zh-CN"/>
        </w:rPr>
        <w:t>不同情形下甲方向乙方支付的提前终止补偿金额按以下方式计算：</w:t>
      </w:r>
    </w:p>
    <w:tbl>
      <w:tblPr>
        <w:tblStyle w:val="TableNormal"/>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1093"/>
        <w:gridCol w:w="4632"/>
        <w:gridCol w:w="3124"/>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03"/>
          <w:jc w:val="center"/>
        </w:trPr>
        <w:tc>
          <w:tcPr>
            <w:tcW w:w="1036" w:type="dxa"/>
            <w:shd w:val="clear" w:color="auto" w:fill="D9D9D9"/>
            <w:noWrap w:val="0"/>
            <w:vAlign w:val="center"/>
          </w:tcPr>
          <w:p>
            <w:pPr>
              <w:pageBreakBefore w:val="0"/>
              <w:widowControl/>
              <w:kinsoku w:val="0"/>
              <w:wordWrap/>
              <w:overflowPunct/>
              <w:autoSpaceDE w:val="0"/>
              <w:autoSpaceDN w:val="0"/>
              <w:bidi w:val="0"/>
              <w:adjustRightInd w:val="0"/>
              <w:snapToGrid w:val="0"/>
              <w:spacing w:line="600" w:lineRule="exact"/>
              <w:ind w:right="0"/>
              <w:jc w:val="center"/>
              <w:textAlignment w:val="baseline"/>
              <w:rPr>
                <w:rFonts w:ascii="仿宋_GB2312" w:eastAsia="仿宋_GB2312" w:hAnsi="仿宋_GB2312" w:cs="仿宋_GB2312"/>
                <w:snapToGrid w:val="0"/>
                <w:color w:val="000000"/>
              </w:rPr>
            </w:pPr>
            <w:r>
              <w:rPr>
                <w:rFonts w:ascii="仿宋_GB2312" w:eastAsia="仿宋_GB2312" w:hAnsi="仿宋_GB2312" w:cs="仿宋_GB2312"/>
                <w:b/>
                <w:bCs/>
                <w:snapToGrid w:val="0"/>
                <w:color w:val="000000"/>
                <w:spacing w:val="-6"/>
              </w:rPr>
              <w:t>项次</w:t>
            </w:r>
          </w:p>
        </w:tc>
        <w:tc>
          <w:tcPr>
            <w:tcW w:w="4389" w:type="dxa"/>
            <w:shd w:val="clear" w:color="auto" w:fill="D9D9D9"/>
            <w:noWrap w:val="0"/>
            <w:vAlign w:val="center"/>
          </w:tcPr>
          <w:p>
            <w:pPr>
              <w:pageBreakBefore w:val="0"/>
              <w:widowControl/>
              <w:kinsoku w:val="0"/>
              <w:wordWrap/>
              <w:overflowPunct/>
              <w:autoSpaceDE w:val="0"/>
              <w:autoSpaceDN w:val="0"/>
              <w:bidi w:val="0"/>
              <w:adjustRightInd w:val="0"/>
              <w:snapToGrid w:val="0"/>
              <w:spacing w:line="600" w:lineRule="exact"/>
              <w:ind w:right="0"/>
              <w:jc w:val="center"/>
              <w:textAlignment w:val="baseline"/>
              <w:rPr>
                <w:rFonts w:ascii="仿宋_GB2312" w:eastAsia="仿宋_GB2312" w:hAnsi="仿宋_GB2312" w:cs="仿宋_GB2312"/>
                <w:snapToGrid w:val="0"/>
                <w:color w:val="000000"/>
              </w:rPr>
            </w:pPr>
            <w:r>
              <w:rPr>
                <w:rFonts w:ascii="仿宋_GB2312" w:eastAsia="仿宋_GB2312" w:hAnsi="仿宋_GB2312" w:cs="仿宋_GB2312"/>
                <w:b/>
                <w:bCs/>
                <w:snapToGrid w:val="0"/>
                <w:color w:val="000000"/>
                <w:spacing w:val="-3"/>
              </w:rPr>
              <w:t>提前终止情形</w:t>
            </w:r>
          </w:p>
        </w:tc>
        <w:tc>
          <w:tcPr>
            <w:tcW w:w="2960" w:type="dxa"/>
            <w:shd w:val="clear" w:color="auto" w:fill="D9D9D9"/>
            <w:noWrap w:val="0"/>
            <w:vAlign w:val="center"/>
          </w:tcPr>
          <w:p>
            <w:pPr>
              <w:pageBreakBefore w:val="0"/>
              <w:widowControl/>
              <w:kinsoku w:val="0"/>
              <w:wordWrap/>
              <w:overflowPunct/>
              <w:autoSpaceDE w:val="0"/>
              <w:autoSpaceDN w:val="0"/>
              <w:bidi w:val="0"/>
              <w:adjustRightInd w:val="0"/>
              <w:snapToGrid w:val="0"/>
              <w:spacing w:line="600" w:lineRule="exact"/>
              <w:ind w:right="0"/>
              <w:jc w:val="center"/>
              <w:textAlignment w:val="baseline"/>
              <w:rPr>
                <w:rFonts w:ascii="仿宋_GB2312" w:eastAsia="仿宋_GB2312" w:hAnsi="仿宋_GB2312" w:cs="仿宋_GB2312"/>
                <w:snapToGrid w:val="0"/>
                <w:color w:val="000000"/>
              </w:rPr>
            </w:pPr>
            <w:r>
              <w:rPr>
                <w:rFonts w:ascii="仿宋_GB2312" w:eastAsia="仿宋_GB2312" w:hAnsi="仿宋_GB2312" w:cs="仿宋_GB2312"/>
                <w:b/>
                <w:bCs/>
                <w:snapToGrid w:val="0"/>
                <w:color w:val="000000"/>
                <w:spacing w:val="-4"/>
              </w:rPr>
              <w:t>终止补偿金</w:t>
            </w:r>
          </w:p>
        </w:tc>
      </w:tr>
      <w:tr>
        <w:tblPrEx>
          <w:tblW w:w="5000" w:type="pct"/>
          <w:jc w:val="center"/>
          <w:tblLayout w:type="fixed"/>
          <w:tblCellMar>
            <w:top w:w="0" w:type="dxa"/>
            <w:left w:w="0" w:type="dxa"/>
            <w:bottom w:w="0" w:type="dxa"/>
            <w:right w:w="0" w:type="dxa"/>
          </w:tblCellMar>
        </w:tblPrEx>
        <w:trPr>
          <w:trHeight w:val="628"/>
          <w:jc w:val="center"/>
        </w:trPr>
        <w:tc>
          <w:tcPr>
            <w:tcW w:w="1036" w:type="dxa"/>
            <w:noWrap w:val="0"/>
            <w:vAlign w:val="center"/>
          </w:tcPr>
          <w:p>
            <w:pPr>
              <w:pageBreakBefore w:val="0"/>
              <w:widowControl/>
              <w:kinsoku w:val="0"/>
              <w:wordWrap/>
              <w:overflowPunct/>
              <w:autoSpaceDE w:val="0"/>
              <w:autoSpaceDN w:val="0"/>
              <w:bidi w:val="0"/>
              <w:adjustRightInd w:val="0"/>
              <w:snapToGrid w:val="0"/>
              <w:spacing w:line="600" w:lineRule="exact"/>
              <w:ind w:right="0"/>
              <w:jc w:val="center"/>
              <w:textAlignment w:val="baseline"/>
              <w:rPr>
                <w:rFonts w:ascii="仿宋" w:eastAsia="仿宋" w:hAnsi="仿宋" w:cs="仿宋"/>
                <w:snapToGrid w:val="0"/>
                <w:color w:val="000000"/>
              </w:rPr>
            </w:pPr>
            <w:r>
              <w:rPr>
                <w:rFonts w:ascii="仿宋" w:eastAsia="仿宋" w:hAnsi="仿宋" w:cs="仿宋"/>
                <w:snapToGrid w:val="0"/>
                <w:color w:val="000000"/>
                <w:position w:val="-4"/>
              </w:rPr>
              <w:t>一</w:t>
            </w:r>
          </w:p>
        </w:tc>
        <w:tc>
          <w:tcPr>
            <w:tcW w:w="4389" w:type="dxa"/>
            <w:noWrap w:val="0"/>
            <w:vAlign w:val="center"/>
          </w:tcPr>
          <w:p>
            <w:pPr>
              <w:pageBreakBefore w:val="0"/>
              <w:widowControl/>
              <w:kinsoku w:val="0"/>
              <w:wordWrap/>
              <w:overflowPunct/>
              <w:autoSpaceDE w:val="0"/>
              <w:autoSpaceDN w:val="0"/>
              <w:bidi w:val="0"/>
              <w:adjustRightInd w:val="0"/>
              <w:snapToGrid w:val="0"/>
              <w:spacing w:line="600" w:lineRule="exact"/>
              <w:ind w:right="0"/>
              <w:jc w:val="center"/>
              <w:textAlignment w:val="baseline"/>
              <w:rPr>
                <w:rFonts w:ascii="仿宋" w:eastAsia="仿宋" w:hAnsi="仿宋" w:cs="仿宋"/>
                <w:snapToGrid w:val="0"/>
                <w:color w:val="000000"/>
              </w:rPr>
            </w:pPr>
            <w:r>
              <w:rPr>
                <w:rFonts w:ascii="仿宋" w:eastAsia="仿宋" w:hAnsi="仿宋" w:cs="仿宋"/>
                <w:snapToGrid w:val="0"/>
                <w:color w:val="000000"/>
                <w:spacing w:val="-11"/>
              </w:rPr>
              <w:t>乙方违约</w:t>
            </w:r>
          </w:p>
        </w:tc>
        <w:tc>
          <w:tcPr>
            <w:tcW w:w="2960" w:type="dxa"/>
            <w:noWrap w:val="0"/>
            <w:vAlign w:val="center"/>
          </w:tcPr>
          <w:p>
            <w:pPr>
              <w:pageBreakBefore w:val="0"/>
              <w:widowControl/>
              <w:kinsoku w:val="0"/>
              <w:wordWrap/>
              <w:overflowPunct/>
              <w:autoSpaceDE w:val="0"/>
              <w:autoSpaceDN w:val="0"/>
              <w:bidi w:val="0"/>
              <w:adjustRightInd w:val="0"/>
              <w:snapToGrid w:val="0"/>
              <w:spacing w:line="600" w:lineRule="exact"/>
              <w:ind w:right="0"/>
              <w:jc w:val="center"/>
              <w:textAlignment w:val="baseline"/>
              <w:rPr>
                <w:rFonts w:ascii="仿宋" w:eastAsia="仿宋" w:hAnsi="仿宋" w:cs="仿宋"/>
                <w:snapToGrid w:val="0"/>
                <w:color w:val="000000"/>
              </w:rPr>
            </w:pPr>
            <w:r>
              <w:rPr>
                <w:rFonts w:ascii="仿宋" w:eastAsia="仿宋" w:hAnsi="仿宋" w:cs="仿宋"/>
                <w:snapToGrid w:val="0"/>
                <w:color w:val="000000"/>
                <w:spacing w:val="-2"/>
              </w:rPr>
              <w:t>不支付补偿金</w:t>
            </w:r>
          </w:p>
        </w:tc>
      </w:tr>
      <w:tr>
        <w:tblPrEx>
          <w:tblW w:w="5000" w:type="pct"/>
          <w:jc w:val="center"/>
          <w:tblLayout w:type="fixed"/>
          <w:tblCellMar>
            <w:top w:w="0" w:type="dxa"/>
            <w:left w:w="0" w:type="dxa"/>
            <w:bottom w:w="0" w:type="dxa"/>
            <w:right w:w="0" w:type="dxa"/>
          </w:tblCellMar>
        </w:tblPrEx>
        <w:trPr>
          <w:trHeight w:val="575"/>
          <w:jc w:val="center"/>
        </w:trPr>
        <w:tc>
          <w:tcPr>
            <w:tcW w:w="1036" w:type="dxa"/>
            <w:noWrap w:val="0"/>
            <w:vAlign w:val="center"/>
          </w:tcPr>
          <w:p>
            <w:pPr>
              <w:pageBreakBefore w:val="0"/>
              <w:widowControl/>
              <w:kinsoku w:val="0"/>
              <w:wordWrap/>
              <w:overflowPunct/>
              <w:autoSpaceDE w:val="0"/>
              <w:autoSpaceDN w:val="0"/>
              <w:bidi w:val="0"/>
              <w:adjustRightInd w:val="0"/>
              <w:snapToGrid w:val="0"/>
              <w:spacing w:line="600" w:lineRule="exact"/>
              <w:ind w:right="0"/>
              <w:jc w:val="center"/>
              <w:textAlignment w:val="baseline"/>
              <w:rPr>
                <w:rFonts w:ascii="仿宋" w:eastAsia="仿宋" w:hAnsi="仿宋" w:cs="仿宋"/>
                <w:snapToGrid w:val="0"/>
                <w:color w:val="000000"/>
              </w:rPr>
            </w:pPr>
            <w:r>
              <w:rPr>
                <w:rFonts w:ascii="仿宋" w:eastAsia="仿宋" w:hAnsi="仿宋" w:cs="仿宋"/>
                <w:snapToGrid w:val="0"/>
                <w:color w:val="000000"/>
              </w:rPr>
              <w:t>二</w:t>
            </w:r>
          </w:p>
        </w:tc>
        <w:tc>
          <w:tcPr>
            <w:tcW w:w="4389" w:type="dxa"/>
            <w:noWrap w:val="0"/>
            <w:vAlign w:val="center"/>
          </w:tcPr>
          <w:p>
            <w:pPr>
              <w:pageBreakBefore w:val="0"/>
              <w:widowControl/>
              <w:kinsoku w:val="0"/>
              <w:wordWrap/>
              <w:overflowPunct/>
              <w:autoSpaceDE w:val="0"/>
              <w:autoSpaceDN w:val="0"/>
              <w:bidi w:val="0"/>
              <w:adjustRightInd w:val="0"/>
              <w:snapToGrid w:val="0"/>
              <w:spacing w:line="600" w:lineRule="exact"/>
              <w:ind w:right="0"/>
              <w:jc w:val="center"/>
              <w:textAlignment w:val="baseline"/>
              <w:rPr>
                <w:rFonts w:ascii="仿宋" w:eastAsia="仿宋" w:hAnsi="仿宋" w:cs="仿宋"/>
                <w:snapToGrid w:val="0"/>
                <w:color w:val="000000"/>
              </w:rPr>
            </w:pPr>
            <w:r>
              <w:rPr>
                <w:rFonts w:ascii="仿宋" w:eastAsia="仿宋" w:hAnsi="仿宋" w:cs="仿宋"/>
                <w:snapToGrid w:val="0"/>
                <w:color w:val="000000"/>
                <w:spacing w:val="-12"/>
              </w:rPr>
              <w:t>甲方违约</w:t>
            </w:r>
          </w:p>
        </w:tc>
        <w:tc>
          <w:tcPr>
            <w:tcW w:w="2960" w:type="dxa"/>
            <w:noWrap w:val="0"/>
            <w:vAlign w:val="center"/>
          </w:tcPr>
          <w:p>
            <w:pPr>
              <w:pageBreakBefore w:val="0"/>
              <w:widowControl/>
              <w:kinsoku w:val="0"/>
              <w:wordWrap/>
              <w:overflowPunct/>
              <w:autoSpaceDE w:val="0"/>
              <w:autoSpaceDN w:val="0"/>
              <w:bidi w:val="0"/>
              <w:adjustRightInd w:val="0"/>
              <w:snapToGrid w:val="0"/>
              <w:spacing w:line="600" w:lineRule="exact"/>
              <w:ind w:right="0"/>
              <w:jc w:val="center"/>
              <w:textAlignment w:val="baseline"/>
              <w:rPr>
                <w:rFonts w:ascii="仿宋" w:eastAsia="仿宋" w:hAnsi="仿宋" w:cs="仿宋"/>
                <w:snapToGrid w:val="0"/>
                <w:color w:val="000000"/>
              </w:rPr>
            </w:pPr>
            <w:r>
              <w:rPr>
                <w:rFonts w:ascii="仿宋" w:eastAsia="仿宋" w:hAnsi="仿宋" w:cs="仿宋"/>
                <w:snapToGrid w:val="0"/>
                <w:color w:val="000000"/>
                <w:spacing w:val="-3"/>
              </w:rPr>
              <w:t>A</w:t>
            </w:r>
          </w:p>
        </w:tc>
      </w:tr>
      <w:tr>
        <w:tblPrEx>
          <w:tblW w:w="5000" w:type="pct"/>
          <w:jc w:val="center"/>
          <w:tblLayout w:type="fixed"/>
          <w:tblCellMar>
            <w:top w:w="0" w:type="dxa"/>
            <w:left w:w="0" w:type="dxa"/>
            <w:bottom w:w="0" w:type="dxa"/>
            <w:right w:w="0" w:type="dxa"/>
          </w:tblCellMar>
        </w:tblPrEx>
        <w:trPr>
          <w:trHeight w:val="570"/>
          <w:jc w:val="center"/>
        </w:trPr>
        <w:tc>
          <w:tcPr>
            <w:tcW w:w="1036" w:type="dxa"/>
            <w:noWrap w:val="0"/>
            <w:vAlign w:val="center"/>
          </w:tcPr>
          <w:p>
            <w:pPr>
              <w:pageBreakBefore w:val="0"/>
              <w:widowControl/>
              <w:kinsoku w:val="0"/>
              <w:wordWrap/>
              <w:overflowPunct/>
              <w:autoSpaceDE w:val="0"/>
              <w:autoSpaceDN w:val="0"/>
              <w:bidi w:val="0"/>
              <w:adjustRightInd w:val="0"/>
              <w:snapToGrid w:val="0"/>
              <w:spacing w:line="600" w:lineRule="exact"/>
              <w:ind w:right="0"/>
              <w:jc w:val="center"/>
              <w:textAlignment w:val="baseline"/>
              <w:rPr>
                <w:rFonts w:ascii="仿宋" w:eastAsia="仿宋" w:hAnsi="仿宋" w:cs="仿宋"/>
                <w:snapToGrid w:val="0"/>
                <w:color w:val="000000"/>
              </w:rPr>
            </w:pPr>
            <w:r>
              <w:rPr>
                <w:rFonts w:ascii="仿宋" w:eastAsia="仿宋" w:hAnsi="仿宋" w:cs="仿宋"/>
                <w:snapToGrid w:val="0"/>
                <w:color w:val="000000"/>
              </w:rPr>
              <w:t>三</w:t>
            </w:r>
          </w:p>
        </w:tc>
        <w:tc>
          <w:tcPr>
            <w:tcW w:w="4389" w:type="dxa"/>
            <w:noWrap w:val="0"/>
            <w:vAlign w:val="center"/>
          </w:tcPr>
          <w:p>
            <w:pPr>
              <w:pageBreakBefore w:val="0"/>
              <w:widowControl/>
              <w:kinsoku w:val="0"/>
              <w:wordWrap/>
              <w:overflowPunct/>
              <w:autoSpaceDE w:val="0"/>
              <w:autoSpaceDN w:val="0"/>
              <w:bidi w:val="0"/>
              <w:adjustRightInd w:val="0"/>
              <w:snapToGrid w:val="0"/>
              <w:spacing w:line="600" w:lineRule="exact"/>
              <w:ind w:right="0"/>
              <w:jc w:val="center"/>
              <w:textAlignment w:val="baseline"/>
              <w:rPr>
                <w:rFonts w:ascii="仿宋" w:eastAsia="仿宋" w:hAnsi="仿宋" w:cs="仿宋"/>
                <w:snapToGrid w:val="0"/>
                <w:color w:val="000000"/>
                <w:lang w:eastAsia="zh-CN"/>
              </w:rPr>
            </w:pPr>
            <w:r>
              <w:rPr>
                <w:rFonts w:ascii="仿宋" w:eastAsia="仿宋" w:hAnsi="仿宋" w:cs="仿宋" w:hint="eastAsia"/>
                <w:snapToGrid w:val="0"/>
                <w:color w:val="000000"/>
                <w:spacing w:val="-2"/>
                <w:lang w:eastAsia="zh-CN"/>
              </w:rPr>
              <w:t>政策、</w:t>
            </w:r>
            <w:r>
              <w:rPr>
                <w:rFonts w:ascii="仿宋" w:eastAsia="仿宋" w:hAnsi="仿宋" w:cs="仿宋"/>
                <w:snapToGrid w:val="0"/>
                <w:color w:val="000000"/>
                <w:spacing w:val="-2"/>
                <w:lang w:eastAsia="zh-CN"/>
              </w:rPr>
              <w:t>法律变更导致的终止</w:t>
            </w:r>
          </w:p>
        </w:tc>
        <w:tc>
          <w:tcPr>
            <w:tcW w:w="2960" w:type="dxa"/>
            <w:noWrap w:val="0"/>
            <w:vAlign w:val="center"/>
          </w:tcPr>
          <w:p>
            <w:pPr>
              <w:pageBreakBefore w:val="0"/>
              <w:widowControl/>
              <w:kinsoku w:val="0"/>
              <w:wordWrap/>
              <w:overflowPunct/>
              <w:autoSpaceDE w:val="0"/>
              <w:autoSpaceDN w:val="0"/>
              <w:bidi w:val="0"/>
              <w:adjustRightInd w:val="0"/>
              <w:snapToGrid w:val="0"/>
              <w:spacing w:line="600" w:lineRule="exact"/>
              <w:ind w:right="0"/>
              <w:jc w:val="center"/>
              <w:textAlignment w:val="baseline"/>
              <w:rPr>
                <w:rFonts w:ascii="仿宋" w:eastAsia="仿宋" w:hAnsi="仿宋" w:cs="仿宋"/>
                <w:snapToGrid w:val="0"/>
                <w:color w:val="000000"/>
                <w:lang w:eastAsia="zh-CN"/>
              </w:rPr>
            </w:pPr>
            <w:r>
              <w:rPr>
                <w:rFonts w:ascii="仿宋" w:eastAsia="仿宋" w:hAnsi="仿宋" w:cs="仿宋"/>
                <w:snapToGrid w:val="0"/>
                <w:color w:val="000000"/>
                <w:spacing w:val="-2"/>
              </w:rPr>
              <w:t>不支付补偿金</w:t>
            </w:r>
          </w:p>
        </w:tc>
      </w:tr>
      <w:tr>
        <w:tblPrEx>
          <w:tblW w:w="5000" w:type="pct"/>
          <w:jc w:val="center"/>
          <w:tblLayout w:type="fixed"/>
          <w:tblCellMar>
            <w:top w:w="0" w:type="dxa"/>
            <w:left w:w="0" w:type="dxa"/>
            <w:bottom w:w="0" w:type="dxa"/>
            <w:right w:w="0" w:type="dxa"/>
          </w:tblCellMar>
        </w:tblPrEx>
        <w:trPr>
          <w:trHeight w:val="570"/>
          <w:jc w:val="center"/>
        </w:trPr>
        <w:tc>
          <w:tcPr>
            <w:tcW w:w="1036" w:type="dxa"/>
            <w:noWrap w:val="0"/>
            <w:vAlign w:val="center"/>
          </w:tcPr>
          <w:p>
            <w:pPr>
              <w:pageBreakBefore w:val="0"/>
              <w:widowControl/>
              <w:kinsoku w:val="0"/>
              <w:wordWrap/>
              <w:overflowPunct/>
              <w:autoSpaceDE w:val="0"/>
              <w:autoSpaceDN w:val="0"/>
              <w:bidi w:val="0"/>
              <w:adjustRightInd w:val="0"/>
              <w:snapToGrid w:val="0"/>
              <w:spacing w:line="600" w:lineRule="exact"/>
              <w:ind w:right="0"/>
              <w:jc w:val="center"/>
              <w:textAlignment w:val="baseline"/>
              <w:rPr>
                <w:rFonts w:ascii="仿宋" w:eastAsia="仿宋" w:hAnsi="仿宋" w:cs="仿宋"/>
                <w:snapToGrid w:val="0"/>
                <w:color w:val="000000"/>
              </w:rPr>
            </w:pPr>
            <w:r>
              <w:rPr>
                <w:rFonts w:ascii="仿宋" w:eastAsia="仿宋" w:hAnsi="仿宋" w:cs="仿宋"/>
                <w:snapToGrid w:val="0"/>
                <w:color w:val="000000"/>
              </w:rPr>
              <w:t>四</w:t>
            </w:r>
          </w:p>
        </w:tc>
        <w:tc>
          <w:tcPr>
            <w:tcW w:w="4389" w:type="dxa"/>
            <w:noWrap w:val="0"/>
            <w:vAlign w:val="center"/>
          </w:tcPr>
          <w:p>
            <w:pPr>
              <w:pageBreakBefore w:val="0"/>
              <w:widowControl/>
              <w:kinsoku w:val="0"/>
              <w:wordWrap/>
              <w:overflowPunct/>
              <w:autoSpaceDE w:val="0"/>
              <w:autoSpaceDN w:val="0"/>
              <w:bidi w:val="0"/>
              <w:adjustRightInd w:val="0"/>
              <w:snapToGrid w:val="0"/>
              <w:spacing w:line="600" w:lineRule="exact"/>
              <w:ind w:right="0"/>
              <w:jc w:val="center"/>
              <w:textAlignment w:val="baseline"/>
              <w:rPr>
                <w:rFonts w:ascii="仿宋" w:eastAsia="仿宋" w:hAnsi="仿宋" w:cs="仿宋"/>
                <w:snapToGrid w:val="0"/>
                <w:color w:val="000000"/>
              </w:rPr>
            </w:pPr>
            <w:r>
              <w:rPr>
                <w:rFonts w:ascii="仿宋" w:eastAsia="仿宋" w:hAnsi="仿宋" w:cs="仿宋"/>
                <w:snapToGrid w:val="0"/>
                <w:color w:val="000000"/>
                <w:spacing w:val="-2"/>
              </w:rPr>
              <w:t>双方合意的提前终止</w:t>
            </w:r>
          </w:p>
        </w:tc>
        <w:tc>
          <w:tcPr>
            <w:tcW w:w="2960" w:type="dxa"/>
            <w:noWrap w:val="0"/>
            <w:vAlign w:val="center"/>
          </w:tcPr>
          <w:p>
            <w:pPr>
              <w:pageBreakBefore w:val="0"/>
              <w:widowControl/>
              <w:kinsoku w:val="0"/>
              <w:wordWrap/>
              <w:overflowPunct/>
              <w:autoSpaceDE w:val="0"/>
              <w:autoSpaceDN w:val="0"/>
              <w:bidi w:val="0"/>
              <w:adjustRightInd w:val="0"/>
              <w:snapToGrid w:val="0"/>
              <w:spacing w:line="600" w:lineRule="exact"/>
              <w:ind w:right="0"/>
              <w:jc w:val="center"/>
              <w:textAlignment w:val="baseline"/>
              <w:rPr>
                <w:rFonts w:ascii="仿宋" w:eastAsia="仿宋" w:hAnsi="仿宋" w:cs="仿宋"/>
                <w:snapToGrid w:val="0"/>
                <w:color w:val="000000"/>
              </w:rPr>
            </w:pPr>
            <w:r>
              <w:rPr>
                <w:rFonts w:ascii="仿宋" w:eastAsia="仿宋" w:hAnsi="仿宋" w:cs="仿宋"/>
                <w:snapToGrid w:val="0"/>
                <w:color w:val="000000"/>
                <w:spacing w:val="-2"/>
              </w:rPr>
              <w:t>双方自行协商</w:t>
            </w:r>
          </w:p>
        </w:tc>
      </w:tr>
      <w:tr>
        <w:tblPrEx>
          <w:tblW w:w="5000" w:type="pct"/>
          <w:jc w:val="center"/>
          <w:tblLayout w:type="fixed"/>
          <w:tblCellMar>
            <w:top w:w="0" w:type="dxa"/>
            <w:left w:w="0" w:type="dxa"/>
            <w:bottom w:w="0" w:type="dxa"/>
            <w:right w:w="0" w:type="dxa"/>
          </w:tblCellMar>
        </w:tblPrEx>
        <w:trPr>
          <w:trHeight w:val="575"/>
          <w:jc w:val="center"/>
        </w:trPr>
        <w:tc>
          <w:tcPr>
            <w:tcW w:w="1036" w:type="dxa"/>
            <w:noWrap w:val="0"/>
            <w:vAlign w:val="center"/>
          </w:tcPr>
          <w:p>
            <w:pPr>
              <w:pageBreakBefore w:val="0"/>
              <w:widowControl/>
              <w:kinsoku w:val="0"/>
              <w:wordWrap/>
              <w:overflowPunct/>
              <w:autoSpaceDE w:val="0"/>
              <w:autoSpaceDN w:val="0"/>
              <w:bidi w:val="0"/>
              <w:adjustRightInd w:val="0"/>
              <w:snapToGrid w:val="0"/>
              <w:spacing w:line="600" w:lineRule="exact"/>
              <w:ind w:right="0"/>
              <w:jc w:val="center"/>
              <w:textAlignment w:val="baseline"/>
              <w:rPr>
                <w:rFonts w:ascii="仿宋" w:eastAsia="仿宋" w:hAnsi="仿宋" w:cs="仿宋"/>
                <w:snapToGrid w:val="0"/>
                <w:color w:val="000000"/>
              </w:rPr>
            </w:pPr>
            <w:r>
              <w:rPr>
                <w:rFonts w:ascii="仿宋" w:eastAsia="仿宋" w:hAnsi="仿宋" w:cs="仿宋"/>
                <w:snapToGrid w:val="0"/>
                <w:color w:val="000000"/>
              </w:rPr>
              <w:t>五</w:t>
            </w:r>
          </w:p>
        </w:tc>
        <w:tc>
          <w:tcPr>
            <w:tcW w:w="4389" w:type="dxa"/>
            <w:noWrap w:val="0"/>
            <w:vAlign w:val="center"/>
          </w:tcPr>
          <w:p>
            <w:pPr>
              <w:pageBreakBefore w:val="0"/>
              <w:widowControl/>
              <w:kinsoku w:val="0"/>
              <w:wordWrap/>
              <w:overflowPunct/>
              <w:autoSpaceDE w:val="0"/>
              <w:autoSpaceDN w:val="0"/>
              <w:bidi w:val="0"/>
              <w:adjustRightInd w:val="0"/>
              <w:snapToGrid w:val="0"/>
              <w:spacing w:line="600" w:lineRule="exact"/>
              <w:ind w:right="0"/>
              <w:jc w:val="center"/>
              <w:textAlignment w:val="baseline"/>
              <w:rPr>
                <w:rFonts w:ascii="仿宋" w:eastAsia="仿宋" w:hAnsi="仿宋" w:cs="仿宋"/>
                <w:snapToGrid w:val="0"/>
                <w:color w:val="000000"/>
                <w:lang w:eastAsia="zh-CN"/>
              </w:rPr>
            </w:pPr>
            <w:r>
              <w:rPr>
                <w:rFonts w:ascii="仿宋" w:eastAsia="仿宋" w:hAnsi="仿宋" w:cs="仿宋"/>
                <w:snapToGrid w:val="0"/>
                <w:color w:val="000000"/>
                <w:spacing w:val="-4"/>
                <w:lang w:eastAsia="zh-CN"/>
              </w:rPr>
              <w:t>不可抗力事件导致的终止</w:t>
            </w:r>
          </w:p>
        </w:tc>
        <w:tc>
          <w:tcPr>
            <w:tcW w:w="2960" w:type="dxa"/>
            <w:noWrap w:val="0"/>
            <w:vAlign w:val="center"/>
          </w:tcPr>
          <w:p>
            <w:pPr>
              <w:pageBreakBefore w:val="0"/>
              <w:widowControl/>
              <w:kinsoku w:val="0"/>
              <w:wordWrap/>
              <w:overflowPunct/>
              <w:autoSpaceDE w:val="0"/>
              <w:autoSpaceDN w:val="0"/>
              <w:bidi w:val="0"/>
              <w:adjustRightInd w:val="0"/>
              <w:snapToGrid w:val="0"/>
              <w:spacing w:line="600" w:lineRule="exact"/>
              <w:ind w:right="0"/>
              <w:jc w:val="center"/>
              <w:textAlignment w:val="baseline"/>
              <w:rPr>
                <w:rFonts w:ascii="仿宋" w:eastAsia="仿宋" w:hAnsi="仿宋" w:cs="仿宋"/>
                <w:snapToGrid w:val="0"/>
                <w:color w:val="000000"/>
              </w:rPr>
            </w:pPr>
            <w:r>
              <w:rPr>
                <w:rFonts w:ascii="仿宋" w:eastAsia="仿宋" w:hAnsi="仿宋" w:cs="仿宋"/>
                <w:snapToGrid w:val="0"/>
                <w:color w:val="000000"/>
                <w:spacing w:val="-2"/>
              </w:rPr>
              <w:t>不支付补偿金</w:t>
            </w:r>
          </w:p>
        </w:tc>
      </w:tr>
    </w:tbl>
    <w:p>
      <w:pPr>
        <w:pageBreakBefore w:val="0"/>
        <w:widowControl w:val="0"/>
        <w:kinsoku/>
        <w:wordWrap/>
        <w:overflowPunct/>
        <w:bidi w:val="0"/>
        <w:spacing w:line="600" w:lineRule="exact"/>
        <w:ind w:left="0" w:right="0" w:firstLine="640" w:firstLineChars="200"/>
        <w:jc w:val="both"/>
        <w:rPr>
          <w:rFonts w:ascii="仿宋_GB2312" w:eastAsia="仿宋_GB2312" w:hint="eastAsia"/>
          <w:snapToGrid w:val="0"/>
          <w:color w:val="000000"/>
          <w:spacing w:val="2"/>
          <w:sz w:val="32"/>
          <w:szCs w:val="32"/>
          <w:lang w:eastAsia="zh-CN"/>
        </w:rPr>
      </w:pPr>
      <w:r>
        <w:rPr>
          <w:rFonts w:ascii="仿宋_GB2312" w:eastAsia="仿宋_GB2312"/>
          <w:snapToGrid w:val="0"/>
          <w:color w:val="000000"/>
          <w:spacing w:val="2"/>
          <w:sz w:val="32"/>
          <w:szCs w:val="32"/>
          <w:lang w:eastAsia="zh-CN"/>
        </w:rPr>
        <w:t>其中：A为经第三方评估的乙方投入资金所形成资产的</w:t>
      </w:r>
      <w:r>
        <w:rPr>
          <w:rFonts w:ascii="仿宋_GB2312" w:eastAsia="仿宋_GB2312" w:hint="eastAsia"/>
          <w:snapToGrid w:val="0"/>
          <w:color w:val="000000"/>
          <w:spacing w:val="2"/>
          <w:sz w:val="32"/>
          <w:szCs w:val="32"/>
          <w:lang w:eastAsia="zh-CN"/>
        </w:rPr>
        <w:t>折旧后</w:t>
      </w:r>
      <w:r>
        <w:rPr>
          <w:rFonts w:ascii="仿宋_GB2312" w:eastAsia="仿宋_GB2312"/>
          <w:snapToGrid w:val="0"/>
          <w:color w:val="000000"/>
          <w:spacing w:val="2"/>
          <w:sz w:val="32"/>
          <w:szCs w:val="32"/>
          <w:lang w:eastAsia="zh-CN"/>
        </w:rPr>
        <w:t>账面价值</w:t>
      </w:r>
      <w:r>
        <w:rPr>
          <w:rFonts w:ascii="仿宋_GB2312" w:eastAsia="仿宋_GB2312" w:hint="eastAsia"/>
          <w:snapToGrid w:val="0"/>
          <w:color w:val="000000"/>
          <w:spacing w:val="2"/>
          <w:sz w:val="32"/>
          <w:szCs w:val="32"/>
          <w:lang w:eastAsia="zh-CN"/>
        </w:rPr>
        <w:t>。</w:t>
      </w:r>
      <w:bookmarkStart w:id="56" w:name="bookmark35"/>
      <w:bookmarkEnd w:id="56"/>
      <w:bookmarkStart w:id="57" w:name="_Toc3092"/>
    </w:p>
    <w:p>
      <w:pPr>
        <w:pageBreakBefore w:val="0"/>
        <w:widowControl w:val="0"/>
        <w:kinsoku/>
        <w:wordWrap/>
        <w:overflowPunct/>
        <w:bidi w:val="0"/>
        <w:spacing w:line="600" w:lineRule="exact"/>
        <w:ind w:left="0" w:right="0" w:firstLine="640" w:firstLineChars="200"/>
        <w:jc w:val="both"/>
        <w:rPr>
          <w:rFonts w:ascii="仿宋_GB2312" w:eastAsia="仿宋_GB2312" w:hint="eastAsia"/>
          <w:spacing w:val="2"/>
          <w:kern w:val="2"/>
          <w:sz w:val="32"/>
          <w:szCs w:val="32"/>
          <w:lang w:eastAsia="zh-CN"/>
        </w:rPr>
      </w:pPr>
      <w:r>
        <w:rPr>
          <w:rFonts w:ascii="仿宋_GB2312" w:eastAsia="仿宋_GB2312" w:hint="eastAsia"/>
          <w:spacing w:val="2"/>
          <w:kern w:val="2"/>
          <w:sz w:val="32"/>
          <w:szCs w:val="32"/>
          <w:lang w:eastAsia="zh-CN"/>
        </w:rPr>
        <w:t xml:space="preserve">14.3 </w:t>
      </w:r>
      <w:r>
        <w:rPr>
          <w:rFonts w:ascii="仿宋_GB2312" w:eastAsia="仿宋_GB2312" w:hint="eastAsia"/>
          <w:spacing w:val="2"/>
          <w:kern w:val="2"/>
          <w:sz w:val="32"/>
          <w:szCs w:val="32"/>
          <w:lang w:eastAsia="zh-CN"/>
        </w:rPr>
        <w:t>提前终止后的项目移交</w:t>
      </w:r>
      <w:r>
        <w:rPr>
          <w:rFonts w:ascii="仿宋_GB2312" w:eastAsia="仿宋_GB2312" w:hint="eastAsia"/>
          <w:spacing w:val="2"/>
          <w:kern w:val="2"/>
          <w:sz w:val="32"/>
          <w:szCs w:val="32"/>
          <w:lang w:eastAsia="zh-CN"/>
        </w:rPr>
        <w:tab/>
      </w:r>
    </w:p>
    <w:p>
      <w:pPr>
        <w:pageBreakBefore w:val="0"/>
        <w:widowControl w:val="0"/>
        <w:kinsoku/>
        <w:wordWrap/>
        <w:overflowPunct/>
        <w:bidi w:val="0"/>
        <w:spacing w:line="600" w:lineRule="exact"/>
        <w:ind w:left="0" w:right="0" w:firstLine="640" w:firstLineChars="200"/>
        <w:jc w:val="both"/>
        <w:rPr>
          <w:rFonts w:ascii="仿宋_GB2312" w:eastAsia="仿宋_GB2312" w:hint="eastAsia"/>
          <w:spacing w:val="2"/>
          <w:kern w:val="2"/>
          <w:sz w:val="32"/>
          <w:szCs w:val="32"/>
          <w:lang w:eastAsia="zh-CN"/>
        </w:rPr>
      </w:pPr>
      <w:r>
        <w:rPr>
          <w:rFonts w:ascii="仿宋_GB2312" w:eastAsia="仿宋_GB2312" w:hint="eastAsia"/>
          <w:spacing w:val="2"/>
          <w:kern w:val="2"/>
          <w:sz w:val="32"/>
          <w:szCs w:val="32"/>
          <w:lang w:eastAsia="zh-CN"/>
        </w:rPr>
        <w:t>14.3.</w:t>
      </w:r>
      <w:r>
        <w:rPr>
          <w:rFonts w:ascii="仿宋_GB2312" w:eastAsia="仿宋_GB2312" w:hint="eastAsia"/>
          <w:spacing w:val="2"/>
          <w:kern w:val="2"/>
          <w:sz w:val="32"/>
          <w:szCs w:val="32"/>
          <w:lang w:eastAsia="zh-CN"/>
        </w:rPr>
        <w:t>1</w:t>
      </w:r>
      <w:r>
        <w:rPr>
          <w:rFonts w:ascii="仿宋_GB2312" w:eastAsia="仿宋_GB2312" w:hint="eastAsia"/>
          <w:spacing w:val="2"/>
          <w:kern w:val="2"/>
          <w:sz w:val="32"/>
          <w:szCs w:val="32"/>
          <w:lang w:eastAsia="zh-CN"/>
        </w:rPr>
        <w:t xml:space="preserve"> </w:t>
      </w:r>
      <w:r>
        <w:rPr>
          <w:rFonts w:ascii="仿宋_GB2312" w:eastAsia="仿宋_GB2312" w:hint="eastAsia"/>
          <w:spacing w:val="2"/>
          <w:kern w:val="2"/>
          <w:sz w:val="32"/>
          <w:szCs w:val="32"/>
          <w:lang w:eastAsia="zh-CN"/>
        </w:rPr>
        <w:t>出现提前终止事宜后，乙方应自发出或收到提前终止通知之日起二十日内制作项目设施清单报送甲方，甲方在收到乙方报送的项目设施清单之日起二十日内与乙方共同确定移交日，并在确定的移交日完成项目移交工作和终止违约金的支付（如有）。如双方无法达成一致的，则按甲方确定的移交日完成项目移交工作及收回项目运营权，乙方应积极配合，不得阻碍或故意设置障碍。否则，甲方或政府指定机构有权强制收回项目设施资产及项目运营权，由此产生的全部费用和责任由乙方承担。因乙方不配合或阻碍或故意设置障碍，导致未能在甲方确定的移交日完成项目移交工作的，每逾期一日，乙方应向甲方支付人民币贰万元整（￥20,000.00）的逾期违约金。如逾期超过三十日的，每逾期一日，乙方应向甲方支付人民币伍万元整（￥50,000.00）的逾期违约金。如果届时收回的项目设施资产不符合本合同约定的移交标准的，乙方应负责修复直至达到移交标准，乙方拒不修复或者修复不到位的，甲方或政府指定机构有权委托第三方机构进行修复，由此产生的所有费用和责任由乙方承担，甲方有权从移交维修保函中提取相应金额支付上述费用。不足部分，乙方应另行支付。其他争议事项则依据本合同第</w:t>
      </w:r>
      <w:r>
        <w:rPr>
          <w:rFonts w:ascii="仿宋_GB2312" w:eastAsia="仿宋_GB2312" w:hint="eastAsia"/>
          <w:spacing w:val="2"/>
          <w:kern w:val="2"/>
          <w:sz w:val="32"/>
          <w:szCs w:val="32"/>
          <w:lang w:eastAsia="zh-CN"/>
        </w:rPr>
        <w:t>15条</w:t>
      </w:r>
      <w:r>
        <w:rPr>
          <w:rFonts w:ascii="仿宋_GB2312" w:eastAsia="仿宋_GB2312" w:hint="eastAsia"/>
          <w:spacing w:val="2"/>
          <w:kern w:val="2"/>
          <w:sz w:val="32"/>
          <w:szCs w:val="32"/>
          <w:lang w:eastAsia="zh-CN"/>
        </w:rPr>
        <w:t>争议解决条款处理。</w:t>
      </w:r>
    </w:p>
    <w:p>
      <w:pPr>
        <w:pageBreakBefore w:val="0"/>
        <w:widowControl w:val="0"/>
        <w:kinsoku/>
        <w:wordWrap/>
        <w:overflowPunct/>
        <w:bidi w:val="0"/>
        <w:spacing w:line="600" w:lineRule="exact"/>
        <w:ind w:left="0" w:right="0" w:firstLine="640" w:firstLineChars="200"/>
        <w:jc w:val="both"/>
        <w:rPr>
          <w:rFonts w:ascii="仿宋_GB2312" w:eastAsia="仿宋_GB2312" w:hint="eastAsia"/>
          <w:spacing w:val="2"/>
          <w:kern w:val="2"/>
          <w:sz w:val="32"/>
          <w:szCs w:val="32"/>
          <w:lang w:eastAsia="zh-CN"/>
        </w:rPr>
      </w:pPr>
      <w:r>
        <w:rPr>
          <w:rFonts w:ascii="仿宋_GB2312" w:eastAsia="仿宋_GB2312" w:hint="eastAsia"/>
          <w:spacing w:val="2"/>
          <w:kern w:val="2"/>
          <w:sz w:val="32"/>
          <w:szCs w:val="32"/>
          <w:lang w:eastAsia="zh-CN"/>
        </w:rPr>
        <w:t>14.3.</w:t>
      </w:r>
      <w:r>
        <w:rPr>
          <w:rFonts w:ascii="仿宋_GB2312" w:eastAsia="仿宋_GB2312" w:hint="eastAsia"/>
          <w:spacing w:val="2"/>
          <w:kern w:val="2"/>
          <w:sz w:val="32"/>
          <w:szCs w:val="32"/>
          <w:lang w:eastAsia="zh-CN"/>
        </w:rPr>
        <w:t>2</w:t>
      </w:r>
      <w:r>
        <w:rPr>
          <w:rFonts w:ascii="仿宋_GB2312" w:eastAsia="仿宋_GB2312" w:hint="eastAsia"/>
          <w:spacing w:val="2"/>
          <w:kern w:val="2"/>
          <w:sz w:val="32"/>
          <w:szCs w:val="32"/>
          <w:lang w:eastAsia="zh-CN"/>
        </w:rPr>
        <w:t xml:space="preserve"> </w:t>
      </w:r>
      <w:r>
        <w:rPr>
          <w:rFonts w:ascii="仿宋_GB2312" w:eastAsia="仿宋_GB2312" w:hint="eastAsia"/>
          <w:spacing w:val="2"/>
          <w:kern w:val="2"/>
          <w:sz w:val="32"/>
          <w:szCs w:val="32"/>
          <w:lang w:eastAsia="zh-CN"/>
        </w:rPr>
        <w:t>若属于不可抗力、政策法律变更、巡察审计导致的提前终止，双方互不构成违约，乙方应将项目设施资产及相关权利无偿、完好、无债务、不设定担保地移交给甲方或政府指定的其他机构。</w:t>
      </w:r>
    </w:p>
    <w:p>
      <w:pPr>
        <w:pageBreakBefore w:val="0"/>
        <w:widowControl w:val="0"/>
        <w:kinsoku/>
        <w:wordWrap/>
        <w:overflowPunct/>
        <w:bidi w:val="0"/>
        <w:spacing w:line="600" w:lineRule="exact"/>
        <w:ind w:left="0" w:right="0" w:firstLine="640" w:firstLineChars="200"/>
        <w:jc w:val="both"/>
        <w:rPr>
          <w:rFonts w:ascii="仿宋_GB2312" w:eastAsia="仿宋_GB2312" w:hint="eastAsia"/>
          <w:spacing w:val="2"/>
          <w:kern w:val="2"/>
          <w:sz w:val="32"/>
          <w:szCs w:val="32"/>
          <w:lang w:eastAsia="zh-CN"/>
        </w:rPr>
      </w:pPr>
      <w:r>
        <w:rPr>
          <w:rFonts w:ascii="仿宋_GB2312" w:eastAsia="仿宋_GB2312" w:hint="eastAsia"/>
          <w:spacing w:val="2"/>
          <w:kern w:val="2"/>
          <w:sz w:val="32"/>
          <w:szCs w:val="32"/>
          <w:lang w:eastAsia="zh-CN"/>
        </w:rPr>
        <w:t xml:space="preserve">14.3.3 </w:t>
      </w:r>
      <w:r>
        <w:rPr>
          <w:rFonts w:ascii="仿宋_GB2312" w:eastAsia="仿宋_GB2312" w:hint="eastAsia"/>
          <w:spacing w:val="2"/>
          <w:kern w:val="2"/>
          <w:sz w:val="32"/>
          <w:szCs w:val="32"/>
          <w:lang w:eastAsia="zh-CN"/>
        </w:rPr>
        <w:t>无论何种原因导致本项目提前终止，在移交完成前，乙方均应照常运营维护本项目，不得以任何理由停止项目的运营维护或者停止项目服务或者实施其他任何影响公共利益和公共安全的行为。</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黑体" w:eastAsia="黑体" w:hAnsi="黑体" w:cs="仿宋_GB2312"/>
          <w:b/>
          <w:bCs/>
          <w:snapToGrid w:val="0"/>
          <w:color w:val="000000"/>
          <w:spacing w:val="-9"/>
          <w:sz w:val="32"/>
          <w:szCs w:val="32"/>
          <w:lang w:eastAsia="zh-CN"/>
        </w:rPr>
      </w:pPr>
      <w:r>
        <w:rPr>
          <w:rFonts w:ascii="黑体" w:eastAsia="黑体" w:hAnsi="黑体" w:cs="仿宋_GB2312"/>
          <w:b/>
          <w:bCs/>
          <w:snapToGrid w:val="0"/>
          <w:color w:val="000000"/>
          <w:spacing w:val="-9"/>
          <w:sz w:val="32"/>
          <w:szCs w:val="32"/>
          <w:lang w:eastAsia="zh-CN"/>
        </w:rPr>
        <w:t>第十</w:t>
      </w:r>
      <w:r>
        <w:rPr>
          <w:rFonts w:ascii="黑体" w:eastAsia="黑体" w:hAnsi="黑体" w:cs="仿宋_GB2312" w:hint="eastAsia"/>
          <w:b/>
          <w:bCs/>
          <w:snapToGrid w:val="0"/>
          <w:color w:val="000000"/>
          <w:spacing w:val="-9"/>
          <w:sz w:val="32"/>
          <w:szCs w:val="32"/>
          <w:lang w:eastAsia="zh-CN"/>
        </w:rPr>
        <w:t>五</w:t>
      </w:r>
      <w:r>
        <w:rPr>
          <w:rFonts w:ascii="黑体" w:eastAsia="黑体" w:hAnsi="黑体" w:cs="仿宋_GB2312"/>
          <w:b/>
          <w:bCs/>
          <w:snapToGrid w:val="0"/>
          <w:color w:val="000000"/>
          <w:spacing w:val="-9"/>
          <w:sz w:val="32"/>
          <w:szCs w:val="32"/>
          <w:lang w:eastAsia="zh-CN"/>
        </w:rPr>
        <w:t>条</w:t>
      </w:r>
      <w:r>
        <w:rPr>
          <w:rFonts w:ascii="黑体" w:eastAsia="黑体" w:hAnsi="黑体" w:cs="仿宋_GB2312"/>
          <w:snapToGrid w:val="0"/>
          <w:color w:val="000000"/>
          <w:spacing w:val="24"/>
          <w:sz w:val="32"/>
          <w:szCs w:val="32"/>
          <w:lang w:eastAsia="zh-CN"/>
        </w:rPr>
        <w:t xml:space="preserve"> </w:t>
      </w:r>
      <w:r>
        <w:rPr>
          <w:rFonts w:ascii="黑体" w:eastAsia="黑体" w:hAnsi="黑体" w:cs="仿宋_GB2312"/>
          <w:b/>
          <w:bCs/>
          <w:snapToGrid w:val="0"/>
          <w:color w:val="000000"/>
          <w:spacing w:val="-9"/>
          <w:sz w:val="32"/>
          <w:szCs w:val="32"/>
          <w:lang w:eastAsia="zh-CN"/>
        </w:rPr>
        <w:t>争议解决</w:t>
      </w:r>
      <w:bookmarkEnd w:id="57"/>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5</w:t>
      </w:r>
      <w:r>
        <w:rPr>
          <w:rFonts w:ascii="仿宋_GB2312" w:eastAsia="仿宋_GB2312"/>
          <w:snapToGrid w:val="0"/>
          <w:color w:val="000000"/>
          <w:spacing w:val="2"/>
          <w:sz w:val="32"/>
          <w:szCs w:val="32"/>
          <w:lang w:eastAsia="zh-CN"/>
        </w:rPr>
        <w:t xml:space="preserve">.1 </w:t>
      </w:r>
      <w:r>
        <w:rPr>
          <w:rFonts w:ascii="仿宋_GB2312" w:eastAsia="仿宋_GB2312" w:hint="eastAsia"/>
          <w:snapToGrid w:val="0"/>
          <w:color w:val="000000"/>
          <w:spacing w:val="2"/>
          <w:sz w:val="32"/>
          <w:szCs w:val="32"/>
          <w:lang w:eastAsia="zh-CN"/>
        </w:rPr>
        <w:t>甲乙双方在本合同的履行过程中如发生争议，应通</w:t>
      </w:r>
      <w:r>
        <w:rPr>
          <w:rFonts w:ascii="仿宋_GB2312" w:eastAsia="仿宋_GB2312"/>
          <w:snapToGrid w:val="0"/>
          <w:color w:val="000000"/>
          <w:spacing w:val="2"/>
          <w:sz w:val="32"/>
          <w:szCs w:val="32"/>
          <w:lang w:eastAsia="zh-CN"/>
        </w:rPr>
        <w:t xml:space="preserve"> </w:t>
      </w:r>
      <w:r>
        <w:rPr>
          <w:rFonts w:ascii="仿宋_GB2312" w:eastAsia="仿宋_GB2312" w:hint="eastAsia"/>
          <w:snapToGrid w:val="0"/>
          <w:color w:val="000000"/>
          <w:spacing w:val="2"/>
          <w:sz w:val="32"/>
          <w:szCs w:val="32"/>
          <w:lang w:eastAsia="zh-CN"/>
        </w:rPr>
        <w:t>过友好协商的方式予以解决。</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5</w:t>
      </w:r>
      <w:r>
        <w:rPr>
          <w:rFonts w:ascii="仿宋_GB2312" w:eastAsia="仿宋_GB2312"/>
          <w:snapToGrid w:val="0"/>
          <w:color w:val="000000"/>
          <w:spacing w:val="2"/>
          <w:sz w:val="32"/>
          <w:szCs w:val="32"/>
          <w:lang w:eastAsia="zh-CN"/>
        </w:rPr>
        <w:t>.</w:t>
      </w:r>
      <w:r>
        <w:rPr>
          <w:rFonts w:ascii="仿宋_GB2312" w:eastAsia="仿宋_GB2312" w:hint="eastAsia"/>
          <w:snapToGrid w:val="0"/>
          <w:color w:val="000000"/>
          <w:spacing w:val="2"/>
          <w:sz w:val="32"/>
          <w:szCs w:val="32"/>
          <w:lang w:eastAsia="zh-CN"/>
        </w:rPr>
        <w:t>2</w:t>
      </w:r>
      <w:r>
        <w:rPr>
          <w:rFonts w:ascii="仿宋_GB2312" w:eastAsia="仿宋_GB2312"/>
          <w:snapToGrid w:val="0"/>
          <w:color w:val="000000"/>
          <w:spacing w:val="2"/>
          <w:sz w:val="32"/>
          <w:szCs w:val="32"/>
          <w:lang w:eastAsia="zh-CN"/>
        </w:rPr>
        <w:t xml:space="preserve"> 因本合同的订立、生效、变更、终止、履行和效力等产生的任何民事争议，如果该争议未能按照本合同第1</w:t>
      </w:r>
      <w:r>
        <w:rPr>
          <w:rFonts w:ascii="仿宋_GB2312" w:eastAsia="仿宋_GB2312" w:hint="eastAsia"/>
          <w:snapToGrid w:val="0"/>
          <w:color w:val="000000"/>
          <w:spacing w:val="2"/>
          <w:sz w:val="32"/>
          <w:szCs w:val="32"/>
          <w:lang w:eastAsia="zh-CN"/>
        </w:rPr>
        <w:t>7</w:t>
      </w:r>
      <w:r>
        <w:rPr>
          <w:rFonts w:ascii="仿宋_GB2312" w:eastAsia="仿宋_GB2312"/>
          <w:snapToGrid w:val="0"/>
          <w:color w:val="000000"/>
          <w:spacing w:val="2"/>
          <w:sz w:val="32"/>
          <w:szCs w:val="32"/>
          <w:lang w:eastAsia="zh-CN"/>
        </w:rPr>
        <w:t>.1条解决，双方可向项目所在地有管辖权的人民法院起诉。因争议而产生的诉讼费、保全费、保全担保费、律师费、差旅费等一切费用由败诉方承担。</w:t>
      </w:r>
      <w:bookmarkStart w:id="58" w:name="bookmark37"/>
      <w:bookmarkEnd w:id="58"/>
      <w:bookmarkStart w:id="59" w:name="_Toc8312"/>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黑体" w:eastAsia="黑体" w:hAnsi="黑体" w:cs="仿宋_GB2312" w:hint="eastAsia"/>
          <w:b/>
          <w:bCs/>
          <w:snapToGrid w:val="0"/>
          <w:color w:val="000000"/>
          <w:spacing w:val="-9"/>
          <w:sz w:val="32"/>
          <w:szCs w:val="32"/>
          <w:lang w:eastAsia="zh-CN"/>
        </w:rPr>
      </w:pPr>
      <w:r>
        <w:rPr>
          <w:rFonts w:ascii="黑体" w:eastAsia="黑体" w:hAnsi="黑体" w:cs="仿宋_GB2312" w:hint="eastAsia"/>
          <w:b/>
          <w:bCs/>
          <w:snapToGrid w:val="0"/>
          <w:color w:val="000000"/>
          <w:spacing w:val="-9"/>
          <w:sz w:val="32"/>
          <w:szCs w:val="32"/>
          <w:lang w:eastAsia="zh-CN"/>
        </w:rPr>
        <w:t>第十</w:t>
      </w:r>
      <w:r>
        <w:rPr>
          <w:rFonts w:ascii="黑体" w:eastAsia="黑体" w:hAnsi="黑体" w:cs="仿宋_GB2312" w:hint="eastAsia"/>
          <w:b/>
          <w:bCs/>
          <w:snapToGrid w:val="0"/>
          <w:color w:val="000000"/>
          <w:spacing w:val="-9"/>
          <w:sz w:val="32"/>
          <w:szCs w:val="32"/>
          <w:lang w:eastAsia="zh-CN"/>
        </w:rPr>
        <w:t>六</w:t>
      </w:r>
      <w:r>
        <w:rPr>
          <w:rFonts w:ascii="黑体" w:eastAsia="黑体" w:hAnsi="黑体" w:cs="仿宋_GB2312" w:hint="eastAsia"/>
          <w:b/>
          <w:bCs/>
          <w:snapToGrid w:val="0"/>
          <w:color w:val="000000"/>
          <w:spacing w:val="-9"/>
          <w:sz w:val="32"/>
          <w:szCs w:val="32"/>
          <w:lang w:eastAsia="zh-CN"/>
        </w:rPr>
        <w:t>条</w:t>
      </w:r>
      <w:r>
        <w:rPr>
          <w:rFonts w:ascii="黑体" w:eastAsia="黑体" w:hAnsi="黑体" w:cs="仿宋_GB2312"/>
          <w:b/>
          <w:bCs/>
          <w:snapToGrid w:val="0"/>
          <w:color w:val="000000"/>
          <w:spacing w:val="-9"/>
          <w:sz w:val="32"/>
          <w:szCs w:val="32"/>
          <w:lang w:eastAsia="zh-CN"/>
        </w:rPr>
        <w:t xml:space="preserve"> </w:t>
      </w:r>
      <w:r>
        <w:rPr>
          <w:rFonts w:ascii="黑体" w:eastAsia="黑体" w:hAnsi="黑体" w:cs="仿宋_GB2312" w:hint="eastAsia"/>
          <w:b/>
          <w:bCs/>
          <w:snapToGrid w:val="0"/>
          <w:color w:val="000000"/>
          <w:spacing w:val="-9"/>
          <w:sz w:val="32"/>
          <w:szCs w:val="32"/>
          <w:lang w:eastAsia="zh-CN"/>
        </w:rPr>
        <w:t>其他条款</w:t>
      </w:r>
      <w:bookmarkEnd w:id="59"/>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6</w:t>
      </w:r>
      <w:r>
        <w:rPr>
          <w:rFonts w:ascii="仿宋_GB2312" w:eastAsia="仿宋_GB2312"/>
          <w:snapToGrid w:val="0"/>
          <w:color w:val="000000"/>
          <w:spacing w:val="2"/>
          <w:sz w:val="32"/>
          <w:szCs w:val="32"/>
          <w:lang w:eastAsia="zh-CN"/>
        </w:rPr>
        <w:t>.1 本合同自双方</w:t>
      </w:r>
      <w:r>
        <w:rPr>
          <w:rFonts w:ascii="仿宋_GB2312" w:eastAsia="仿宋_GB2312" w:hint="eastAsia"/>
          <w:snapToGrid w:val="0"/>
          <w:color w:val="000000"/>
          <w:spacing w:val="2"/>
          <w:sz w:val="32"/>
          <w:szCs w:val="32"/>
          <w:lang w:eastAsia="zh-CN"/>
        </w:rPr>
        <w:t>法人</w:t>
      </w:r>
      <w:r>
        <w:rPr>
          <w:rFonts w:ascii="仿宋_GB2312" w:eastAsia="仿宋_GB2312"/>
          <w:snapToGrid w:val="0"/>
          <w:color w:val="000000"/>
          <w:spacing w:val="2"/>
          <w:sz w:val="32"/>
          <w:szCs w:val="32"/>
          <w:lang w:eastAsia="zh-CN"/>
        </w:rPr>
        <w:t>代表</w:t>
      </w:r>
      <w:r>
        <w:rPr>
          <w:rFonts w:ascii="仿宋GB-2312" w:eastAsia="仿宋GB-2312" w:hAnsi="Arial" w:cs="Arial" w:hint="eastAsia"/>
          <w:snapToGrid w:val="0"/>
          <w:color w:val="000000"/>
          <w:spacing w:val="2"/>
          <w:sz w:val="32"/>
          <w:szCs w:val="32"/>
          <w:lang w:eastAsia="zh-CN"/>
        </w:rPr>
        <w:t>人或授权代表</w:t>
      </w:r>
      <w:r>
        <w:rPr>
          <w:rFonts w:ascii="仿宋_GB2312" w:eastAsia="仿宋_GB2312"/>
          <w:snapToGrid w:val="0"/>
          <w:color w:val="000000"/>
          <w:spacing w:val="2"/>
          <w:sz w:val="32"/>
          <w:szCs w:val="32"/>
          <w:lang w:eastAsia="zh-CN"/>
        </w:rPr>
        <w:t>签</w:t>
      </w:r>
      <w:r>
        <w:rPr>
          <w:rFonts w:ascii="仿宋_GB2312" w:eastAsia="仿宋_GB2312" w:hint="eastAsia"/>
          <w:snapToGrid w:val="0"/>
          <w:color w:val="000000"/>
          <w:spacing w:val="2"/>
          <w:sz w:val="32"/>
          <w:szCs w:val="32"/>
          <w:lang w:eastAsia="zh-CN"/>
        </w:rPr>
        <w:t>名</w:t>
      </w:r>
      <w:r>
        <w:rPr>
          <w:rFonts w:ascii="仿宋_GB2312" w:eastAsia="仿宋_GB2312"/>
          <w:snapToGrid w:val="0"/>
          <w:color w:val="000000"/>
          <w:spacing w:val="2"/>
          <w:sz w:val="32"/>
          <w:szCs w:val="32"/>
          <w:lang w:eastAsia="zh-CN"/>
        </w:rPr>
        <w:t>并加盖公章之日起生效。</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6</w:t>
      </w:r>
      <w:r>
        <w:rPr>
          <w:rFonts w:ascii="仿宋_GB2312" w:eastAsia="仿宋_GB2312"/>
          <w:snapToGrid w:val="0"/>
          <w:color w:val="000000"/>
          <w:spacing w:val="2"/>
          <w:sz w:val="32"/>
          <w:szCs w:val="32"/>
          <w:lang w:eastAsia="zh-CN"/>
        </w:rPr>
        <w:t>.2 本合同正本一式捌份，双方各执肆份，每份具有同等法律效力。</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int="eastAsia"/>
          <w:snapToGrid w:val="0"/>
          <w:color w:val="000000"/>
          <w:spacing w:val="2"/>
          <w:sz w:val="32"/>
          <w:szCs w:val="32"/>
          <w:lang w:eastAsia="zh-CN"/>
        </w:rPr>
      </w:pPr>
      <w:r>
        <w:rPr>
          <w:rFonts w:ascii="仿宋_GB2312" w:eastAsia="仿宋_GB2312"/>
          <w:snapToGrid w:val="0"/>
          <w:color w:val="000000"/>
          <w:spacing w:val="2"/>
          <w:sz w:val="32"/>
          <w:szCs w:val="32"/>
          <w:lang w:eastAsia="zh-CN"/>
        </w:rPr>
        <w:t>1</w:t>
      </w:r>
      <w:r>
        <w:rPr>
          <w:rFonts w:ascii="仿宋_GB2312" w:eastAsia="仿宋_GB2312" w:hint="eastAsia"/>
          <w:snapToGrid w:val="0"/>
          <w:color w:val="000000"/>
          <w:spacing w:val="2"/>
          <w:sz w:val="32"/>
          <w:szCs w:val="32"/>
          <w:lang w:eastAsia="zh-CN"/>
        </w:rPr>
        <w:t>6</w:t>
      </w:r>
      <w:r>
        <w:rPr>
          <w:rFonts w:ascii="仿宋_GB2312" w:eastAsia="仿宋_GB2312"/>
          <w:snapToGrid w:val="0"/>
          <w:color w:val="000000"/>
          <w:spacing w:val="2"/>
          <w:sz w:val="32"/>
          <w:szCs w:val="32"/>
          <w:lang w:eastAsia="zh-CN"/>
        </w:rPr>
        <w:t xml:space="preserve">.3 </w:t>
      </w:r>
      <w:r>
        <w:rPr>
          <w:rFonts w:ascii="仿宋_GB2312" w:eastAsia="仿宋_GB2312" w:hint="eastAsia"/>
          <w:snapToGrid w:val="0"/>
          <w:color w:val="000000"/>
          <w:spacing w:val="2"/>
          <w:sz w:val="32"/>
          <w:szCs w:val="32"/>
          <w:lang w:eastAsia="zh-CN"/>
        </w:rPr>
        <w:t>本合同未尽事宜由双方协商解决，并签订书面补充协议。补充协议如与本合同不一致，以补充协议约定为准。</w:t>
      </w:r>
    </w:p>
    <w:p>
      <w:pPr>
        <w:pageBreakBefore w:val="0"/>
        <w:widowControl w:val="0"/>
        <w:kinsoku/>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hAnsi="仿宋_GB2312" w:cs="仿宋_GB2312" w:hint="eastAsia"/>
          <w:snapToGrid w:val="0"/>
          <w:color w:val="000000"/>
          <w:spacing w:val="2"/>
          <w:kern w:val="2"/>
          <w:sz w:val="32"/>
          <w:szCs w:val="32"/>
          <w:lang w:eastAsia="zh-CN"/>
        </w:rPr>
      </w:pP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 w:eastAsia="仿宋" w:hAnsi="仿宋" w:cs="仿宋"/>
          <w:snapToGrid w:val="0"/>
          <w:color w:val="000000"/>
          <w:spacing w:val="-2"/>
          <w:sz w:val="32"/>
          <w:szCs w:val="32"/>
          <w:lang w:eastAsia="zh-CN"/>
        </w:rPr>
      </w:pPr>
      <w:r>
        <w:rPr>
          <w:rFonts w:ascii="仿宋" w:eastAsia="仿宋" w:hAnsi="仿宋" w:cs="仿宋"/>
          <w:snapToGrid w:val="0"/>
          <w:color w:val="000000"/>
          <w:spacing w:val="-2"/>
          <w:sz w:val="32"/>
          <w:szCs w:val="32"/>
          <w:lang w:eastAsia="zh-CN"/>
        </w:rPr>
        <w:t>附件一：本项目授权文件或其他证明文件</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 w:eastAsia="仿宋" w:hAnsi="仿宋" w:cs="仿宋"/>
          <w:snapToGrid w:val="0"/>
          <w:color w:val="000000"/>
          <w:spacing w:val="-2"/>
          <w:sz w:val="32"/>
          <w:szCs w:val="32"/>
          <w:lang w:eastAsia="zh-CN"/>
        </w:rPr>
      </w:pPr>
      <w:r>
        <w:rPr>
          <w:rFonts w:ascii="仿宋" w:eastAsia="仿宋" w:hAnsi="仿宋" w:cs="仿宋"/>
          <w:snapToGrid w:val="0"/>
          <w:color w:val="000000"/>
          <w:spacing w:val="-2"/>
          <w:sz w:val="32"/>
          <w:szCs w:val="32"/>
          <w:lang w:eastAsia="zh-CN"/>
        </w:rPr>
        <w:t>附件二：项目运营范围划分示意图</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 w:eastAsia="仿宋" w:hAnsi="仿宋" w:cs="仿宋" w:hint="eastAsia"/>
          <w:snapToGrid w:val="0"/>
          <w:color w:val="000000"/>
          <w:spacing w:val="-2"/>
          <w:sz w:val="32"/>
          <w:szCs w:val="32"/>
          <w:lang w:eastAsia="zh-CN"/>
        </w:rPr>
      </w:pPr>
      <w:r>
        <w:rPr>
          <w:rFonts w:ascii="仿宋" w:eastAsia="仿宋" w:hAnsi="仿宋" w:cs="仿宋"/>
          <w:snapToGrid w:val="0"/>
          <w:color w:val="000000"/>
          <w:spacing w:val="-2"/>
          <w:sz w:val="32"/>
          <w:szCs w:val="32"/>
          <w:lang w:eastAsia="zh-CN"/>
        </w:rPr>
        <w:t>附件三：项目资产清单</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 w:eastAsia="仿宋" w:hAnsi="仿宋" w:cs="仿宋"/>
          <w:snapToGrid w:val="0"/>
          <w:color w:val="000000"/>
          <w:spacing w:val="-2"/>
          <w:sz w:val="32"/>
          <w:szCs w:val="32"/>
          <w:lang w:eastAsia="zh-CN"/>
        </w:rPr>
      </w:pPr>
      <w:r>
        <w:rPr>
          <w:rFonts w:ascii="仿宋" w:eastAsia="仿宋" w:hAnsi="仿宋" w:cs="仿宋"/>
          <w:snapToGrid w:val="0"/>
          <w:color w:val="000000"/>
          <w:spacing w:val="-2"/>
          <w:sz w:val="32"/>
          <w:szCs w:val="32"/>
          <w:lang w:eastAsia="zh-CN"/>
        </w:rPr>
        <w:t>附件四：消防责任书及安全管理责任书模板文件</w:t>
      </w:r>
    </w:p>
    <w:p>
      <w:pPr>
        <w:pageBreakBefore w:val="0"/>
        <w:widowControl/>
        <w:kinsoku/>
        <w:wordWrap/>
        <w:overflowPunct/>
        <w:autoSpaceDE w:val="0"/>
        <w:autoSpaceDN w:val="0"/>
        <w:bidi w:val="0"/>
        <w:adjustRightInd w:val="0"/>
        <w:snapToGrid w:val="0"/>
        <w:spacing w:line="600" w:lineRule="exact"/>
        <w:ind w:left="0" w:right="0" w:firstLine="640" w:firstLineChars="200"/>
        <w:jc w:val="both"/>
        <w:textAlignment w:val="baseline"/>
        <w:rPr>
          <w:rFonts w:ascii="仿宋" w:eastAsia="仿宋" w:hAnsi="仿宋" w:cs="仿宋"/>
          <w:snapToGrid w:val="0"/>
          <w:color w:val="000000"/>
          <w:spacing w:val="-2"/>
          <w:sz w:val="32"/>
          <w:szCs w:val="32"/>
          <w:lang w:eastAsia="zh-CN"/>
        </w:rPr>
      </w:pPr>
      <w:r>
        <w:rPr>
          <w:rFonts w:ascii="仿宋" w:eastAsia="仿宋" w:hAnsi="仿宋" w:cs="仿宋"/>
          <w:snapToGrid w:val="0"/>
          <w:color w:val="000000"/>
          <w:spacing w:val="-2"/>
          <w:sz w:val="32"/>
          <w:szCs w:val="32"/>
          <w:lang w:eastAsia="zh-CN"/>
        </w:rPr>
        <w:t>附件五：绩效考核指标</w:t>
      </w:r>
    </w:p>
    <w:p>
      <w:pPr>
        <w:pageBreakBefore w:val="0"/>
        <w:widowControl w:val="0"/>
        <w:wordWrap/>
        <w:overflowPunct/>
        <w:bidi w:val="0"/>
        <w:spacing w:line="600" w:lineRule="exact"/>
        <w:ind w:left="0" w:right="0" w:firstLine="640" w:firstLineChars="200"/>
        <w:jc w:val="both"/>
        <w:rPr>
          <w:rFonts w:ascii="仿宋" w:eastAsia="仿宋" w:hAnsi="仿宋" w:cs="仿宋"/>
          <w:kern w:val="2"/>
          <w:sz w:val="32"/>
          <w:szCs w:val="32"/>
          <w:lang w:eastAsia="zh-CN"/>
        </w:rPr>
        <w:sectPr>
          <w:headerReference w:type="even" r:id="rId17"/>
          <w:headerReference w:type="default" r:id="rId18"/>
          <w:footerReference w:type="default" r:id="rId19"/>
          <w:headerReference w:type="first" r:id="rId20"/>
          <w:pgSz w:w="11905" w:h="16839"/>
          <w:pgMar w:top="1814" w:right="1531" w:bottom="1814" w:left="1531" w:header="680" w:footer="1213" w:gutter="0"/>
          <w:pgNumType w:fmt="decimal"/>
          <w:cols w:num="1" w:space="720"/>
          <w:docGrid w:linePitch="286" w:charSpace="0"/>
        </w:sectPr>
      </w:pPr>
    </w:p>
    <w:p>
      <w:pPr>
        <w:pageBreakBefore w:val="0"/>
        <w:widowControl/>
        <w:kinsoku w:val="0"/>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w:t>
      </w:r>
      <w:r>
        <w:rPr>
          <w:rFonts w:ascii="仿宋_GB2312" w:eastAsia="仿宋_GB2312" w:hAnsi="Arial" w:cs="Arial" w:hint="eastAsia"/>
          <w:snapToGrid w:val="0"/>
          <w:color w:val="000000"/>
          <w:spacing w:val="2"/>
          <w:sz w:val="32"/>
          <w:szCs w:val="32"/>
          <w:lang w:eastAsia="zh-CN"/>
        </w:rPr>
        <w:t>合同由甲乙双方签署于深圳市罗湖区。</w:t>
      </w:r>
      <w:r>
        <w:rPr>
          <w:rFonts w:ascii="仿宋_GB2312" w:eastAsia="仿宋_GB2312"/>
          <w:snapToGrid w:val="0"/>
          <w:color w:val="000000"/>
          <w:spacing w:val="2"/>
          <w:sz w:val="32"/>
          <w:szCs w:val="32"/>
          <w:lang w:eastAsia="zh-CN"/>
        </w:rPr>
        <w:t>本页无正文，为《深圳市</w:t>
      </w:r>
      <w:r>
        <w:rPr>
          <w:rFonts w:ascii="仿宋_GB2312" w:eastAsia="仿宋_GB2312" w:hint="eastAsia"/>
          <w:snapToGrid w:val="0"/>
          <w:color w:val="000000"/>
          <w:spacing w:val="2"/>
          <w:sz w:val="32"/>
          <w:szCs w:val="32"/>
          <w:lang w:eastAsia="zh-CN"/>
        </w:rPr>
        <w:t>罗湖</w:t>
      </w:r>
      <w:r>
        <w:rPr>
          <w:rFonts w:ascii="仿宋_GB2312" w:eastAsia="仿宋_GB2312"/>
          <w:snapToGrid w:val="0"/>
          <w:color w:val="000000"/>
          <w:spacing w:val="2"/>
          <w:sz w:val="32"/>
          <w:szCs w:val="32"/>
          <w:lang w:eastAsia="zh-CN"/>
        </w:rPr>
        <w:t>区</w:t>
      </w:r>
      <w:r>
        <w:rPr>
          <w:rFonts w:ascii="仿宋_GB2312" w:eastAsia="仿宋_GB2312" w:hint="eastAsia"/>
          <w:snapToGrid w:val="0"/>
          <w:color w:val="000000"/>
          <w:spacing w:val="2"/>
          <w:sz w:val="32"/>
          <w:szCs w:val="32"/>
          <w:lang w:eastAsia="zh-CN"/>
        </w:rPr>
        <w:t>翠竹街道综合文体中心</w:t>
      </w:r>
      <w:r>
        <w:rPr>
          <w:rFonts w:ascii="仿宋_GB2312" w:eastAsia="仿宋_GB2312"/>
          <w:snapToGrid w:val="0"/>
          <w:color w:val="000000"/>
          <w:spacing w:val="2"/>
          <w:sz w:val="32"/>
          <w:szCs w:val="32"/>
          <w:lang w:eastAsia="zh-CN"/>
        </w:rPr>
        <w:t>委托运营项目委托运营合同》之签署页）</w:t>
      </w:r>
    </w:p>
    <w:p>
      <w:pPr>
        <w:pageBreakBefore w:val="0"/>
        <w:widowControl/>
        <w:kinsoku w:val="0"/>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p>
    <w:p>
      <w:pPr>
        <w:pageBreakBefore w:val="0"/>
        <w:widowControl/>
        <w:kinsoku w:val="0"/>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甲方：</w:t>
      </w:r>
    </w:p>
    <w:p>
      <w:pPr>
        <w:pageBreakBefore w:val="0"/>
        <w:widowControl/>
        <w:kinsoku w:val="0"/>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法定代表人或授权代表：</w:t>
      </w:r>
    </w:p>
    <w:p>
      <w:pPr>
        <w:pageBreakBefore w:val="0"/>
        <w:widowControl/>
        <w:kinsoku w:val="0"/>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p>
    <w:p>
      <w:pPr>
        <w:pageBreakBefore w:val="0"/>
        <w:widowControl/>
        <w:kinsoku w:val="0"/>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乙方：</w:t>
      </w:r>
    </w:p>
    <w:p>
      <w:pPr>
        <w:pageBreakBefore w:val="0"/>
        <w:widowControl/>
        <w:kinsoku w:val="0"/>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法定代表人或授权代表：</w:t>
      </w:r>
    </w:p>
    <w:p>
      <w:pPr>
        <w:pageBreakBefore w:val="0"/>
        <w:widowControl/>
        <w:kinsoku w:val="0"/>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p>
    <w:p>
      <w:pPr>
        <w:pageBreakBefore w:val="0"/>
        <w:widowControl/>
        <w:kinsoku w:val="0"/>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p>
    <w:p>
      <w:pPr>
        <w:pageBreakBefore w:val="0"/>
        <w:widowControl/>
        <w:kinsoku w:val="0"/>
        <w:wordWrap/>
        <w:overflowPunct/>
        <w:autoSpaceDE w:val="0"/>
        <w:autoSpaceDN w:val="0"/>
        <w:bidi w:val="0"/>
        <w:adjustRightInd w:val="0"/>
        <w:snapToGrid w:val="0"/>
        <w:spacing w:line="600" w:lineRule="exact"/>
        <w:ind w:left="0" w:right="0" w:firstLine="640" w:firstLineChars="200"/>
        <w:jc w:val="both"/>
        <w:textAlignment w:val="baseline"/>
        <w:rPr>
          <w:rFonts w:ascii="仿宋_GB2312" w:eastAsia="仿宋_GB2312"/>
          <w:snapToGrid w:val="0"/>
          <w:color w:val="000000"/>
          <w:spacing w:val="2"/>
          <w:sz w:val="32"/>
          <w:szCs w:val="32"/>
          <w:lang w:eastAsia="zh-CN"/>
        </w:rPr>
      </w:pPr>
      <w:r>
        <w:rPr>
          <w:rFonts w:ascii="仿宋_GB2312" w:eastAsia="仿宋_GB2312"/>
          <w:snapToGrid w:val="0"/>
          <w:color w:val="000000"/>
          <w:spacing w:val="2"/>
          <w:sz w:val="32"/>
          <w:szCs w:val="32"/>
          <w:lang w:eastAsia="zh-CN"/>
        </w:rPr>
        <w:t>签署日期：</w:t>
      </w:r>
    </w:p>
    <w:p>
      <w:pPr>
        <w:pageBreakBefore w:val="0"/>
        <w:widowControl w:val="0"/>
        <w:wordWrap/>
        <w:overflowPunct/>
        <w:bidi w:val="0"/>
        <w:spacing w:line="600" w:lineRule="exact"/>
        <w:ind w:left="0" w:right="0" w:firstLine="640" w:firstLineChars="200"/>
        <w:jc w:val="both"/>
        <w:rPr>
          <w:rFonts w:ascii="仿宋" w:eastAsia="仿宋" w:hAnsi="仿宋" w:cs="仿宋"/>
          <w:kern w:val="2"/>
          <w:sz w:val="32"/>
          <w:szCs w:val="32"/>
          <w:lang w:eastAsia="zh-CN"/>
        </w:rPr>
        <w:sectPr>
          <w:headerReference w:type="even" r:id="rId21"/>
          <w:headerReference w:type="default" r:id="rId22"/>
          <w:footerReference w:type="default" r:id="rId23"/>
          <w:headerReference w:type="first" r:id="rId24"/>
          <w:pgSz w:w="11905" w:h="16839"/>
          <w:pgMar w:top="1419" w:right="1785" w:bottom="1376" w:left="1785" w:header="680" w:footer="1213" w:gutter="0"/>
          <w:pgNumType w:fmt="decimal"/>
          <w:cols w:num="1" w:space="720"/>
          <w:docGrid w:linePitch="286" w:charSpace="0"/>
        </w:sectPr>
      </w:pPr>
    </w:p>
    <w:p>
      <w:pPr>
        <w:pageBreakBefore w:val="0"/>
        <w:widowControl/>
        <w:kinsoku w:val="0"/>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仿宋" w:eastAsia="仿宋" w:hAnsi="仿宋" w:cs="仿宋"/>
          <w:b/>
          <w:bCs/>
          <w:snapToGrid w:val="0"/>
          <w:color w:val="000000"/>
          <w:spacing w:val="-6"/>
          <w:sz w:val="32"/>
          <w:szCs w:val="32"/>
          <w:lang w:eastAsia="zh-CN"/>
        </w:rPr>
      </w:pPr>
      <w:bookmarkStart w:id="60" w:name="bookmark39"/>
      <w:bookmarkEnd w:id="60"/>
      <w:bookmarkStart w:id="61" w:name="_Toc13464"/>
      <w:r>
        <w:rPr>
          <w:rFonts w:ascii="仿宋" w:eastAsia="仿宋" w:hAnsi="仿宋" w:cs="仿宋"/>
          <w:b/>
          <w:bCs/>
          <w:snapToGrid w:val="0"/>
          <w:color w:val="000000"/>
          <w:spacing w:val="-6"/>
          <w:sz w:val="32"/>
          <w:szCs w:val="32"/>
          <w:lang w:eastAsia="zh-CN"/>
        </w:rPr>
        <w:t>附件一：本项目授权文件或其他证明文件</w:t>
      </w:r>
      <w:bookmarkEnd w:id="61"/>
    </w:p>
    <w:p>
      <w:pPr>
        <w:pageBreakBefore w:val="0"/>
        <w:widowControl/>
        <w:kinsoku w:val="0"/>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仿宋" w:eastAsia="仿宋" w:hAnsi="仿宋" w:cs="仿宋"/>
          <w:b/>
          <w:bCs/>
          <w:snapToGrid w:val="0"/>
          <w:color w:val="000000"/>
          <w:spacing w:val="-6"/>
          <w:sz w:val="32"/>
          <w:szCs w:val="32"/>
          <w:lang w:eastAsia="zh-CN"/>
        </w:rPr>
      </w:pPr>
      <w:bookmarkStart w:id="62" w:name="bookmark41"/>
      <w:bookmarkEnd w:id="62"/>
      <w:bookmarkStart w:id="63" w:name="_Toc6721"/>
      <w:r>
        <w:rPr>
          <w:rFonts w:ascii="仿宋" w:eastAsia="仿宋" w:hAnsi="仿宋" w:cs="仿宋"/>
          <w:b/>
          <w:bCs/>
          <w:snapToGrid w:val="0"/>
          <w:color w:val="000000"/>
          <w:spacing w:val="-6"/>
          <w:sz w:val="32"/>
          <w:szCs w:val="32"/>
          <w:lang w:eastAsia="zh-CN"/>
        </w:rPr>
        <w:t>附件二：项目运营范围划分示意图</w:t>
      </w:r>
      <w:bookmarkEnd w:id="63"/>
    </w:p>
    <w:p>
      <w:pPr>
        <w:pageBreakBefore w:val="0"/>
        <w:widowControl/>
        <w:kinsoku w:val="0"/>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仿宋" w:eastAsia="仿宋" w:hAnsi="仿宋" w:cs="仿宋"/>
          <w:b/>
          <w:bCs/>
          <w:snapToGrid w:val="0"/>
          <w:color w:val="000000"/>
          <w:spacing w:val="-6"/>
          <w:sz w:val="32"/>
          <w:szCs w:val="32"/>
          <w:lang w:eastAsia="zh-CN"/>
        </w:rPr>
      </w:pPr>
      <w:bookmarkStart w:id="64" w:name="bookmark44"/>
      <w:bookmarkEnd w:id="64"/>
      <w:bookmarkStart w:id="65" w:name="bookmark43"/>
      <w:bookmarkEnd w:id="65"/>
      <w:bookmarkStart w:id="66" w:name="_Toc346"/>
      <w:r>
        <w:rPr>
          <w:rFonts w:ascii="仿宋" w:eastAsia="仿宋" w:hAnsi="仿宋" w:cs="仿宋"/>
          <w:b/>
          <w:bCs/>
          <w:snapToGrid w:val="0"/>
          <w:color w:val="000000"/>
          <w:spacing w:val="-6"/>
          <w:sz w:val="32"/>
          <w:szCs w:val="32"/>
          <w:lang w:eastAsia="zh-CN"/>
        </w:rPr>
        <w:t>附件三：《项目资产清单》</w:t>
      </w:r>
      <w:bookmarkEnd w:id="66"/>
    </w:p>
    <w:p>
      <w:pPr>
        <w:pageBreakBefore w:val="0"/>
        <w:widowControl/>
        <w:kinsoku w:val="0"/>
        <w:wordWrap/>
        <w:overflowPunct/>
        <w:autoSpaceDE w:val="0"/>
        <w:autoSpaceDN w:val="0"/>
        <w:bidi w:val="0"/>
        <w:adjustRightInd w:val="0"/>
        <w:snapToGrid w:val="0"/>
        <w:spacing w:line="600" w:lineRule="exact"/>
        <w:ind w:left="0" w:right="0" w:firstLine="640" w:firstLineChars="200"/>
        <w:jc w:val="both"/>
        <w:textAlignment w:val="baseline"/>
        <w:outlineLvl w:val="0"/>
        <w:rPr>
          <w:rFonts w:ascii="仿宋" w:eastAsia="仿宋" w:hAnsi="仿宋" w:cs="仿宋"/>
          <w:b/>
          <w:bCs/>
          <w:snapToGrid w:val="0"/>
          <w:color w:val="000000"/>
          <w:spacing w:val="-6"/>
          <w:sz w:val="32"/>
          <w:szCs w:val="32"/>
          <w:lang w:eastAsia="zh-CN"/>
        </w:rPr>
        <w:sectPr>
          <w:headerReference w:type="even" r:id="rId25"/>
          <w:headerReference w:type="default" r:id="rId26"/>
          <w:footerReference w:type="default" r:id="rId27"/>
          <w:headerReference w:type="first" r:id="rId28"/>
          <w:pgSz w:w="11905" w:h="16839"/>
          <w:pgMar w:top="1431" w:right="1785" w:bottom="1376" w:left="1785" w:header="680" w:footer="1213" w:gutter="0"/>
          <w:pgNumType w:fmt="decimal"/>
          <w:cols w:num="1" w:space="720"/>
          <w:docGrid w:linePitch="286" w:charSpace="0"/>
        </w:sectPr>
      </w:pPr>
      <w:r>
        <w:rPr>
          <w:rFonts w:ascii="仿宋" w:eastAsia="仿宋" w:hAnsi="仿宋" w:cs="仿宋" w:hint="eastAsia"/>
          <w:b/>
          <w:bCs/>
          <w:snapToGrid w:val="0"/>
          <w:color w:val="000000"/>
          <w:spacing w:val="-6"/>
          <w:sz w:val="32"/>
          <w:szCs w:val="32"/>
          <w:lang w:eastAsia="zh-CN"/>
        </w:rPr>
        <w:t>附件五：绩效考核指标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ascii="仿宋" w:eastAsia="仿宋" w:hAnsi="仿宋" w:cs="仿宋"/>
          <w:b/>
          <w:bCs/>
          <w:snapToGrid w:val="0"/>
          <w:color w:val="000000"/>
          <w:spacing w:val="-6"/>
          <w:sz w:val="32"/>
          <w:szCs w:val="32"/>
          <w:lang w:eastAsia="zh-CN"/>
        </w:rPr>
      </w:pPr>
      <w:bookmarkStart w:id="67" w:name="bookmark46"/>
      <w:bookmarkEnd w:id="67"/>
      <w:bookmarkStart w:id="68" w:name="bookmark45"/>
      <w:bookmarkEnd w:id="68"/>
      <w:bookmarkStart w:id="69" w:name="_Toc18757"/>
      <w:r>
        <w:rPr>
          <w:rFonts w:ascii="仿宋" w:eastAsia="仿宋" w:hAnsi="仿宋" w:cs="仿宋"/>
          <w:b/>
          <w:bCs/>
          <w:snapToGrid w:val="0"/>
          <w:color w:val="000000"/>
          <w:spacing w:val="-6"/>
          <w:sz w:val="32"/>
          <w:szCs w:val="32"/>
          <w:lang w:eastAsia="zh-CN"/>
        </w:rPr>
        <w:t>附件四：消防责任书及安全管理责任书模板文件</w:t>
      </w:r>
      <w:bookmarkEnd w:id="69"/>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0" w:firstLineChars="200"/>
        <w:jc w:val="both"/>
        <w:textAlignment w:val="baseline"/>
        <w:rPr>
          <w:rFonts w:ascii="黑体" w:eastAsia="黑体" w:hAnsi="黑体" w:cs="仿宋"/>
          <w:snapToGrid w:val="0"/>
          <w:color w:val="000000"/>
          <w:sz w:val="30"/>
          <w:szCs w:val="30"/>
          <w:lang w:eastAsia="zh-CN"/>
        </w:rPr>
      </w:pPr>
      <w:r>
        <w:rPr>
          <w:rFonts w:ascii="黑体" w:eastAsia="黑体" w:hAnsi="黑体"/>
          <w:b/>
          <w:bCs/>
          <w:snapToGrid w:val="0"/>
          <w:color w:val="000000"/>
          <w:spacing w:val="-5"/>
          <w:sz w:val="30"/>
          <w:szCs w:val="30"/>
          <w:lang w:eastAsia="zh-CN"/>
        </w:rPr>
        <w:t>1.</w:t>
      </w:r>
      <w:r>
        <w:rPr>
          <w:rFonts w:ascii="黑体" w:eastAsia="黑体" w:hAnsi="黑体" w:cs="仿宋"/>
          <w:b/>
          <w:bCs/>
          <w:snapToGrid w:val="0"/>
          <w:color w:val="000000"/>
          <w:spacing w:val="-5"/>
          <w:sz w:val="30"/>
          <w:szCs w:val="30"/>
          <w:lang w:eastAsia="zh-CN"/>
        </w:rPr>
        <w:t>消防责任书（模板文件）</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snapToGrid w:val="0"/>
          <w:color w:val="000000"/>
          <w:spacing w:val="2"/>
          <w:sz w:val="30"/>
          <w:szCs w:val="30"/>
          <w:lang w:eastAsia="zh-CN"/>
        </w:rPr>
        <w:t>为进一步贯彻落实“谁主管、谁负责"的原则，根据《中华人民共和国消防法》和《机关、团体、企业、事业单位消防安全管理规定》以及单位消防安全管理职责规定，同志为消防安全责任人，负责本单位的消防安全工作，履行下列职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snapToGrid w:val="0"/>
          <w:color w:val="000000"/>
          <w:spacing w:val="2"/>
          <w:sz w:val="30"/>
          <w:szCs w:val="30"/>
          <w:lang w:eastAsia="zh-CN"/>
        </w:rPr>
        <w:t>（一）贯彻执行消防法规，保障场馆消防安全符合规定，掌握本场馆的消防安全情况：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snapToGrid w:val="0"/>
          <w:color w:val="000000"/>
          <w:spacing w:val="2"/>
          <w:sz w:val="30"/>
          <w:szCs w:val="30"/>
          <w:lang w:eastAsia="zh-CN"/>
        </w:rPr>
        <w:t>（二）统筹安排消防安全管理工作，批准实施年度消防工作计划：</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snapToGrid w:val="0"/>
          <w:color w:val="000000"/>
          <w:spacing w:val="2"/>
          <w:sz w:val="30"/>
          <w:szCs w:val="30"/>
          <w:lang w:eastAsia="zh-CN"/>
        </w:rPr>
        <w:t>（三）为消防安全管理提供必要的经费和物资保障；</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snapToGrid w:val="0"/>
          <w:color w:val="000000"/>
          <w:spacing w:val="2"/>
          <w:sz w:val="30"/>
          <w:szCs w:val="30"/>
          <w:lang w:eastAsia="zh-CN"/>
        </w:rPr>
        <w:t>（四）确定逐级消防安全责任，批准实施消防安全管理制度和保障消防安全的操作规程；</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snapToGrid w:val="0"/>
          <w:color w:val="000000"/>
          <w:spacing w:val="2"/>
          <w:sz w:val="30"/>
          <w:szCs w:val="30"/>
          <w:lang w:eastAsia="zh-CN"/>
        </w:rPr>
        <w:t>（五）组织防火检查，督促整改火灾隐患，及时处理涉及消防安全的重大问题；</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snapToGrid w:val="0"/>
          <w:color w:val="000000"/>
          <w:spacing w:val="2"/>
          <w:sz w:val="30"/>
          <w:szCs w:val="30"/>
          <w:lang w:eastAsia="zh-CN"/>
        </w:rPr>
        <w:t>（六）根据消防法规的规定配备相关岗位人员、配备相应的消防器材和装备，并定期组织消防安全培训；</w:t>
      </w:r>
    </w:p>
    <w:p>
      <w:pPr>
        <w:pageBreakBefore w:val="0"/>
        <w:widowControl/>
        <w:kinsoku w:val="0"/>
        <w:wordWrap/>
        <w:overflowPunct/>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snapToGrid w:val="0"/>
          <w:color w:val="000000"/>
          <w:spacing w:val="2"/>
          <w:sz w:val="30"/>
          <w:szCs w:val="30"/>
          <w:lang w:eastAsia="zh-CN"/>
        </w:rPr>
        <w:t>（七）针对本单位的实际情况组织制定灭火和应急疏散预案，并每半年组织一次实施演练。</w:t>
      </w:r>
    </w:p>
    <w:p>
      <w:pPr>
        <w:pageBreakBefore w:val="0"/>
        <w:widowControl/>
        <w:kinsoku w:val="0"/>
        <w:wordWrap/>
        <w:overflowPunct/>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snapToGrid w:val="0"/>
          <w:color w:val="000000"/>
          <w:spacing w:val="2"/>
          <w:sz w:val="30"/>
          <w:szCs w:val="30"/>
          <w:lang w:eastAsia="zh-CN"/>
        </w:rPr>
        <w:t>单位盖章：</w:t>
      </w:r>
      <w:r>
        <w:rPr>
          <w:rFonts w:ascii="仿宋_GB2312" w:eastAsia="仿宋_GB2312" w:hint="eastAsia"/>
          <w:snapToGrid w:val="0"/>
          <w:color w:val="000000"/>
          <w:spacing w:val="2"/>
          <w:sz w:val="30"/>
          <w:szCs w:val="30"/>
          <w:lang w:eastAsia="zh-CN"/>
        </w:rPr>
        <w:t xml:space="preserve"> </w:t>
      </w:r>
      <w:r>
        <w:rPr>
          <w:rFonts w:ascii="仿宋_GB2312" w:eastAsia="仿宋_GB2312"/>
          <w:snapToGrid w:val="0"/>
          <w:color w:val="000000"/>
          <w:spacing w:val="2"/>
          <w:sz w:val="30"/>
          <w:szCs w:val="30"/>
          <w:lang w:eastAsia="zh-CN"/>
        </w:rPr>
        <w:t xml:space="preserve">                       </w:t>
      </w:r>
    </w:p>
    <w:p>
      <w:pPr>
        <w:pageBreakBefore w:val="0"/>
        <w:widowControl/>
        <w:kinsoku w:val="0"/>
        <w:wordWrap/>
        <w:overflowPunct/>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hint="eastAsia"/>
          <w:snapToGrid w:val="0"/>
          <w:color w:val="000000"/>
          <w:spacing w:val="2"/>
          <w:sz w:val="30"/>
          <w:szCs w:val="30"/>
          <w:lang w:eastAsia="zh-CN"/>
        </w:rPr>
        <w:t xml:space="preserve">消防安全责任人（签字）： </w:t>
      </w:r>
      <w:r>
        <w:rPr>
          <w:rFonts w:ascii="仿宋_GB2312" w:eastAsia="仿宋_GB2312"/>
          <w:snapToGrid w:val="0"/>
          <w:color w:val="000000"/>
          <w:spacing w:val="2"/>
          <w:sz w:val="30"/>
          <w:szCs w:val="30"/>
          <w:lang w:eastAsia="zh-CN"/>
        </w:rPr>
        <w:t xml:space="preserve">         </w:t>
      </w:r>
    </w:p>
    <w:p>
      <w:pPr>
        <w:pageBreakBefore w:val="0"/>
        <w:widowControl/>
        <w:kinsoku w:val="0"/>
        <w:wordWrap/>
        <w:overflowPunct/>
        <w:autoSpaceDE w:val="0"/>
        <w:autoSpaceDN w:val="0"/>
        <w:bidi w:val="0"/>
        <w:adjustRightInd w:val="0"/>
        <w:snapToGrid w:val="0"/>
        <w:spacing w:line="600" w:lineRule="exact"/>
        <w:ind w:left="0" w:right="0" w:firstLine="600" w:firstLineChars="200"/>
        <w:jc w:val="right"/>
        <w:textAlignment w:val="baseline"/>
        <w:rPr>
          <w:rFonts w:ascii="仿宋_GB2312" w:eastAsia="仿宋_GB2312"/>
          <w:snapToGrid w:val="0"/>
          <w:color w:val="000000"/>
          <w:spacing w:val="2"/>
          <w:sz w:val="30"/>
          <w:szCs w:val="30"/>
          <w:lang w:eastAsia="zh-CN"/>
        </w:rPr>
      </w:pPr>
      <w:r>
        <w:rPr>
          <w:rFonts w:ascii="仿宋_GB2312" w:eastAsia="仿宋_GB2312" w:hint="eastAsia"/>
          <w:snapToGrid w:val="0"/>
          <w:color w:val="000000"/>
          <w:spacing w:val="2"/>
          <w:sz w:val="30"/>
          <w:szCs w:val="30"/>
          <w:lang w:eastAsia="zh-CN"/>
        </w:rPr>
        <w:t>年</w:t>
      </w:r>
      <w:r>
        <w:rPr>
          <w:rFonts w:ascii="仿宋_GB2312" w:eastAsia="仿宋_GB2312"/>
          <w:snapToGrid w:val="0"/>
          <w:color w:val="000000"/>
          <w:spacing w:val="2"/>
          <w:sz w:val="30"/>
          <w:szCs w:val="30"/>
          <w:lang w:eastAsia="zh-CN"/>
        </w:rPr>
        <w:t xml:space="preserve">    月    日</w:t>
      </w:r>
      <w:r>
        <w:rPr>
          <w:rFonts w:ascii="仿宋_GB2312" w:eastAsia="仿宋_GB2312" w:hint="eastAsia"/>
          <w:snapToGrid w:val="0"/>
          <w:color w:val="000000"/>
          <w:spacing w:val="2"/>
          <w:sz w:val="30"/>
          <w:szCs w:val="30"/>
          <w:lang w:eastAsia="zh-CN"/>
        </w:rPr>
        <w:t xml:space="preserve"> </w:t>
      </w:r>
      <w:r>
        <w:rPr>
          <w:rFonts w:ascii="仿宋_GB2312" w:eastAsia="仿宋_GB2312"/>
          <w:snapToGrid w:val="0"/>
          <w:color w:val="000000"/>
          <w:spacing w:val="2"/>
          <w:sz w:val="30"/>
          <w:szCs w:val="30"/>
          <w:lang w:eastAsia="zh-CN"/>
        </w:rPr>
        <w:t xml:space="preserve">         </w:t>
      </w:r>
    </w:p>
    <w:p>
      <w:pPr>
        <w:pageBreakBefore w:val="0"/>
        <w:widowControl w:val="0"/>
        <w:wordWrap/>
        <w:overflowPunct/>
        <w:bidi w:val="0"/>
        <w:spacing w:line="600" w:lineRule="exact"/>
        <w:ind w:left="0" w:right="0" w:firstLine="640" w:firstLineChars="200"/>
        <w:jc w:val="both"/>
        <w:rPr>
          <w:rFonts w:ascii="仿宋" w:eastAsia="仿宋" w:hAnsi="仿宋" w:cs="仿宋"/>
          <w:kern w:val="2"/>
          <w:sz w:val="32"/>
          <w:szCs w:val="32"/>
          <w:lang w:eastAsia="zh-CN"/>
        </w:rPr>
        <w:sectPr>
          <w:headerReference w:type="even" r:id="rId29"/>
          <w:headerReference w:type="default" r:id="rId30"/>
          <w:footerReference w:type="default" r:id="rId31"/>
          <w:headerReference w:type="first" r:id="rId32"/>
          <w:pgSz w:w="11905" w:h="16839"/>
          <w:pgMar w:top="1419" w:right="1785" w:bottom="1376" w:left="1785" w:header="680" w:footer="1213" w:gutter="0"/>
          <w:pgNumType w:fmt="decimal"/>
          <w:cols w:num="1" w:space="720"/>
          <w:docGrid w:linePitch="286" w:charSpace="0"/>
        </w:sectPr>
      </w:pPr>
    </w:p>
    <w:p>
      <w:pPr>
        <w:pageBreakBefore w:val="0"/>
        <w:widowControl/>
        <w:kinsoku w:val="0"/>
        <w:wordWrap/>
        <w:overflowPunct/>
        <w:autoSpaceDE w:val="0"/>
        <w:autoSpaceDN w:val="0"/>
        <w:bidi w:val="0"/>
        <w:adjustRightInd w:val="0"/>
        <w:snapToGrid w:val="0"/>
        <w:spacing w:line="600" w:lineRule="exact"/>
        <w:ind w:left="0" w:right="0" w:firstLine="600" w:firstLineChars="200"/>
        <w:jc w:val="both"/>
        <w:textAlignment w:val="baseline"/>
        <w:rPr>
          <w:rFonts w:ascii="黑体" w:eastAsia="黑体" w:hAnsi="黑体"/>
          <w:b/>
          <w:bCs/>
          <w:snapToGrid w:val="0"/>
          <w:color w:val="000000"/>
          <w:spacing w:val="-5"/>
          <w:sz w:val="30"/>
          <w:szCs w:val="30"/>
          <w:lang w:eastAsia="zh-CN"/>
        </w:rPr>
      </w:pPr>
      <w:r>
        <w:rPr>
          <w:rFonts w:ascii="黑体" w:eastAsia="黑体" w:hAnsi="黑体"/>
          <w:b/>
          <w:bCs/>
          <w:snapToGrid w:val="0"/>
          <w:color w:val="000000"/>
          <w:spacing w:val="-5"/>
          <w:sz w:val="30"/>
          <w:szCs w:val="30"/>
          <w:lang w:eastAsia="zh-CN"/>
        </w:rPr>
        <w:t>2.安全管理责任书（模板文件）</w:t>
      </w:r>
    </w:p>
    <w:p>
      <w:pPr>
        <w:pageBreakBefore w:val="0"/>
        <w:widowControl/>
        <w:kinsoku w:val="0"/>
        <w:wordWrap/>
        <w:overflowPunct/>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snapToGrid w:val="0"/>
          <w:color w:val="000000"/>
          <w:spacing w:val="2"/>
          <w:sz w:val="30"/>
          <w:szCs w:val="30"/>
          <w:lang w:eastAsia="zh-CN"/>
        </w:rPr>
        <w:t>为深入贯彻《中华人民共和国消防法》、国务院办公厅 《关于进一步加强消防工作的意见》和《××省消防条例》， 全面落实各级各部门消防安全职责，确保</w:t>
      </w:r>
      <w:r>
        <w:rPr>
          <w:rFonts w:ascii="仿宋_GB2312" w:eastAsia="仿宋_GB2312" w:hint="eastAsia"/>
          <w:snapToGrid w:val="0"/>
          <w:color w:val="000000"/>
          <w:spacing w:val="2"/>
          <w:sz w:val="30"/>
          <w:szCs w:val="30"/>
          <w:lang w:eastAsia="zh-CN"/>
        </w:rPr>
        <w:t>【  】</w:t>
      </w:r>
      <w:r>
        <w:rPr>
          <w:rFonts w:ascii="仿宋_GB2312" w:eastAsia="仿宋_GB2312"/>
          <w:snapToGrid w:val="0"/>
          <w:color w:val="000000"/>
          <w:spacing w:val="2"/>
          <w:sz w:val="30"/>
          <w:szCs w:val="30"/>
          <w:lang w:eastAsia="zh-CN"/>
        </w:rPr>
        <w:t>项目安全稳定运营，现履行下列职责：</w:t>
      </w:r>
    </w:p>
    <w:p>
      <w:pPr>
        <w:pageBreakBefore w:val="0"/>
        <w:widowControl/>
        <w:kinsoku w:val="0"/>
        <w:wordWrap/>
        <w:overflowPunct/>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snapToGrid w:val="0"/>
          <w:color w:val="000000"/>
          <w:spacing w:val="2"/>
          <w:sz w:val="30"/>
          <w:szCs w:val="30"/>
          <w:lang w:eastAsia="zh-CN"/>
        </w:rPr>
        <w:t>一、遵守消防法律、法规、规章，依法履行消防安全职责。</w:t>
      </w:r>
    </w:p>
    <w:p>
      <w:pPr>
        <w:pageBreakBefore w:val="0"/>
        <w:widowControl/>
        <w:kinsoku w:val="0"/>
        <w:wordWrap/>
        <w:overflowPunct/>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snapToGrid w:val="0"/>
          <w:color w:val="000000"/>
          <w:spacing w:val="2"/>
          <w:sz w:val="30"/>
          <w:szCs w:val="30"/>
          <w:lang w:eastAsia="zh-CN"/>
        </w:rPr>
        <w:t>二、明确并落实岗位消防安全责任制，建立并落实消防安全自我管理， 自我检查，自我整改机制。</w:t>
      </w:r>
    </w:p>
    <w:p>
      <w:pPr>
        <w:pageBreakBefore w:val="0"/>
        <w:widowControl/>
        <w:kinsoku w:val="0"/>
        <w:wordWrap/>
        <w:overflowPunct/>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snapToGrid w:val="0"/>
          <w:color w:val="000000"/>
          <w:spacing w:val="2"/>
          <w:sz w:val="30"/>
          <w:szCs w:val="30"/>
          <w:lang w:eastAsia="zh-CN"/>
        </w:rPr>
        <w:t>三、把消防安全工作纳入工作议程，认真制定消防安全工作制度、实施方案、灭火预案及应急疏散预案，保证每半年开展一次灭火及应急疏散演练。</w:t>
      </w:r>
    </w:p>
    <w:p>
      <w:pPr>
        <w:pageBreakBefore w:val="0"/>
        <w:widowControl/>
        <w:kinsoku w:val="0"/>
        <w:wordWrap/>
        <w:overflowPunct/>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snapToGrid w:val="0"/>
          <w:color w:val="000000"/>
          <w:spacing w:val="2"/>
          <w:sz w:val="30"/>
          <w:szCs w:val="30"/>
          <w:lang w:eastAsia="zh-CN"/>
        </w:rPr>
        <w:t>四、加强对项目大楼的消防安全管理，每半年开展一次专项检查，如发现火灾隐患要及时整改，有重大火灾隐患的要上报消防管理部门处理。</w:t>
      </w:r>
    </w:p>
    <w:p>
      <w:pPr>
        <w:pageBreakBefore w:val="0"/>
        <w:widowControl/>
        <w:kinsoku w:val="0"/>
        <w:wordWrap/>
        <w:overflowPunct/>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snapToGrid w:val="0"/>
          <w:color w:val="000000"/>
          <w:spacing w:val="2"/>
          <w:sz w:val="30"/>
          <w:szCs w:val="30"/>
          <w:lang w:eastAsia="zh-CN"/>
        </w:rPr>
        <w:t>五、举办文化旅游体育活动，落实消防安全监管主体责任。</w:t>
      </w:r>
    </w:p>
    <w:p>
      <w:pPr>
        <w:pageBreakBefore w:val="0"/>
        <w:widowControl/>
        <w:kinsoku w:val="0"/>
        <w:wordWrap/>
        <w:overflowPunct/>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snapToGrid w:val="0"/>
          <w:color w:val="000000"/>
          <w:spacing w:val="2"/>
          <w:sz w:val="30"/>
          <w:szCs w:val="30"/>
          <w:lang w:eastAsia="zh-CN"/>
        </w:rPr>
        <w:t>六、在“6月安全月”和“119”消防日期间按要求开展消防宣传活动。</w:t>
      </w:r>
    </w:p>
    <w:p>
      <w:pPr>
        <w:pageBreakBefore w:val="0"/>
        <w:widowControl/>
        <w:kinsoku w:val="0"/>
        <w:wordWrap/>
        <w:overflowPunct/>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snapToGrid w:val="0"/>
          <w:color w:val="000000"/>
          <w:spacing w:val="2"/>
          <w:sz w:val="30"/>
          <w:szCs w:val="30"/>
          <w:lang w:eastAsia="zh-CN"/>
        </w:rPr>
        <w:t>七、每季度开展一次本单位的消防安全检查，消除火灾隐患，确保消防安全。（有检查记录、火灾隐患整改记录）</w:t>
      </w:r>
    </w:p>
    <w:p>
      <w:pPr>
        <w:pageBreakBefore w:val="0"/>
        <w:widowControl/>
        <w:kinsoku w:val="0"/>
        <w:wordWrap/>
        <w:overflowPunct/>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snapToGrid w:val="0"/>
          <w:color w:val="000000"/>
          <w:spacing w:val="2"/>
          <w:sz w:val="30"/>
          <w:szCs w:val="30"/>
          <w:lang w:eastAsia="zh-CN"/>
        </w:rPr>
        <w:t>八、定期检验维护消防设施，保障消防水源充足，消防 设施、灭火器材和消防安全标志完好有效。</w:t>
      </w:r>
    </w:p>
    <w:p>
      <w:pPr>
        <w:pageBreakBefore w:val="0"/>
        <w:widowControl/>
        <w:kinsoku w:val="0"/>
        <w:wordWrap/>
        <w:overflowPunct/>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snapToGrid w:val="0"/>
          <w:color w:val="000000"/>
          <w:spacing w:val="2"/>
          <w:sz w:val="30"/>
          <w:szCs w:val="30"/>
          <w:lang w:eastAsia="zh-CN"/>
        </w:rPr>
        <w:t>九、严禁堵塞、占用安全疏散通道和锁闭安全疏散出口。</w:t>
      </w:r>
      <w:r>
        <w:rPr>
          <w:rFonts w:ascii="仿宋_GB2312" w:eastAsia="仿宋_GB2312" w:hint="eastAsia"/>
          <w:snapToGrid w:val="0"/>
          <w:color w:val="000000"/>
          <w:spacing w:val="2"/>
          <w:sz w:val="30"/>
          <w:szCs w:val="30"/>
          <w:lang w:eastAsia="zh-CN"/>
        </w:rPr>
        <w:t>严禁使用不安全的电热器具，要实行人、气分离。要及时维</w:t>
      </w:r>
      <w:r>
        <w:rPr>
          <w:rFonts w:ascii="仿宋_GB2312" w:eastAsia="仿宋_GB2312"/>
          <w:snapToGrid w:val="0"/>
          <w:color w:val="000000"/>
          <w:spacing w:val="2"/>
          <w:sz w:val="30"/>
          <w:szCs w:val="30"/>
          <w:lang w:eastAsia="zh-CN"/>
        </w:rPr>
        <w:t xml:space="preserve"> </w:t>
      </w:r>
      <w:r>
        <w:rPr>
          <w:rFonts w:ascii="仿宋_GB2312" w:eastAsia="仿宋_GB2312" w:hint="eastAsia"/>
          <w:snapToGrid w:val="0"/>
          <w:color w:val="000000"/>
          <w:spacing w:val="2"/>
          <w:sz w:val="30"/>
          <w:szCs w:val="30"/>
          <w:lang w:eastAsia="zh-CN"/>
        </w:rPr>
        <w:t>修和更换室内外照明线路。确保用电、用气、用火安全。</w:t>
      </w:r>
    </w:p>
    <w:p>
      <w:pPr>
        <w:pageBreakBefore w:val="0"/>
        <w:widowControl/>
        <w:kinsoku w:val="0"/>
        <w:wordWrap/>
        <w:overflowPunct/>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snapToGrid w:val="0"/>
          <w:color w:val="000000"/>
          <w:spacing w:val="2"/>
          <w:sz w:val="30"/>
          <w:szCs w:val="30"/>
          <w:lang w:eastAsia="zh-CN"/>
        </w:rPr>
        <w:t>十、每年进行两次消防安全教育培训。要做到“三知”（知防火知识、知灭火知识、知火警电话）和“四会”（会报警、会使用灭火器材、会扑救初起火灾、会疏散自救）。</w:t>
      </w:r>
    </w:p>
    <w:p>
      <w:pPr>
        <w:pageBreakBefore w:val="0"/>
        <w:widowControl/>
        <w:kinsoku w:val="0"/>
        <w:wordWrap/>
        <w:overflowPunct/>
        <w:autoSpaceDE w:val="0"/>
        <w:autoSpaceDN w:val="0"/>
        <w:bidi w:val="0"/>
        <w:adjustRightInd w:val="0"/>
        <w:snapToGrid w:val="0"/>
        <w:spacing w:line="600" w:lineRule="exact"/>
        <w:ind w:left="0" w:right="0" w:firstLine="600" w:firstLineChars="200"/>
        <w:jc w:val="both"/>
        <w:textAlignment w:val="baseline"/>
        <w:rPr>
          <w:rFonts w:ascii="仿宋_GB2312" w:eastAsia="仿宋_GB2312" w:hint="eastAsia"/>
          <w:snapToGrid w:val="0"/>
          <w:color w:val="000000"/>
          <w:spacing w:val="2"/>
          <w:sz w:val="30"/>
          <w:szCs w:val="30"/>
          <w:lang w:eastAsia="zh-CN"/>
        </w:rPr>
      </w:pPr>
      <w:r>
        <w:rPr>
          <w:rFonts w:ascii="仿宋_GB2312" w:eastAsia="仿宋_GB2312" w:hint="eastAsia"/>
          <w:snapToGrid w:val="0"/>
          <w:color w:val="000000"/>
          <w:spacing w:val="2"/>
          <w:sz w:val="30"/>
          <w:szCs w:val="30"/>
          <w:lang w:eastAsia="zh-CN"/>
        </w:rPr>
        <w:t>十一、确保本单位、馆、所不发生重大火灾隐患和事故。</w:t>
      </w:r>
    </w:p>
    <w:p>
      <w:pPr>
        <w:pageBreakBefore w:val="0"/>
        <w:widowControl/>
        <w:kinsoku w:val="0"/>
        <w:wordWrap/>
        <w:overflowPunct/>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hint="eastAsia"/>
          <w:snapToGrid w:val="0"/>
          <w:color w:val="000000"/>
          <w:spacing w:val="2"/>
          <w:sz w:val="30"/>
          <w:szCs w:val="30"/>
          <w:lang w:eastAsia="zh-CN"/>
        </w:rPr>
        <w:t>责任单位（盖章）：</w:t>
      </w:r>
      <w:r>
        <w:rPr>
          <w:rFonts w:ascii="仿宋_GB2312" w:eastAsia="仿宋_GB2312"/>
          <w:snapToGrid w:val="0"/>
          <w:color w:val="000000"/>
          <w:spacing w:val="2"/>
          <w:sz w:val="30"/>
          <w:szCs w:val="30"/>
          <w:lang w:eastAsia="zh-CN"/>
        </w:rPr>
        <w:t xml:space="preserve">        </w:t>
      </w:r>
    </w:p>
    <w:p>
      <w:pPr>
        <w:pageBreakBefore w:val="0"/>
        <w:widowControl/>
        <w:kinsoku w:val="0"/>
        <w:wordWrap/>
        <w:overflowPunct/>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r>
        <w:rPr>
          <w:rFonts w:ascii="仿宋_GB2312" w:eastAsia="仿宋_GB2312" w:hint="eastAsia"/>
          <w:snapToGrid w:val="0"/>
          <w:color w:val="000000"/>
          <w:spacing w:val="2"/>
          <w:sz w:val="30"/>
          <w:szCs w:val="30"/>
          <w:lang w:eastAsia="zh-CN"/>
        </w:rPr>
        <w:t xml:space="preserve">负责人（签字）： </w:t>
      </w:r>
      <w:r>
        <w:rPr>
          <w:rFonts w:ascii="仿宋_GB2312" w:eastAsia="仿宋_GB2312"/>
          <w:snapToGrid w:val="0"/>
          <w:color w:val="000000"/>
          <w:spacing w:val="2"/>
          <w:sz w:val="30"/>
          <w:szCs w:val="30"/>
          <w:lang w:eastAsia="zh-CN"/>
        </w:rPr>
        <w:t xml:space="preserve">   </w:t>
      </w:r>
    </w:p>
    <w:p>
      <w:pPr>
        <w:pageBreakBefore w:val="0"/>
        <w:widowControl/>
        <w:kinsoku w:val="0"/>
        <w:wordWrap/>
        <w:overflowPunct/>
        <w:autoSpaceDE w:val="0"/>
        <w:autoSpaceDN w:val="0"/>
        <w:bidi w:val="0"/>
        <w:adjustRightInd w:val="0"/>
        <w:snapToGrid w:val="0"/>
        <w:spacing w:line="600" w:lineRule="exact"/>
        <w:ind w:left="0" w:right="0" w:firstLine="600" w:firstLineChars="200"/>
        <w:jc w:val="right"/>
        <w:textAlignment w:val="baseline"/>
        <w:rPr>
          <w:rFonts w:ascii="仿宋_GB2312" w:eastAsia="仿宋_GB2312"/>
          <w:snapToGrid w:val="0"/>
          <w:color w:val="000000"/>
          <w:spacing w:val="2"/>
          <w:sz w:val="30"/>
          <w:szCs w:val="30"/>
          <w:lang w:eastAsia="zh-CN"/>
        </w:rPr>
      </w:pPr>
      <w:r>
        <w:rPr>
          <w:rFonts w:ascii="仿宋_GB2312" w:eastAsia="仿宋_GB2312" w:hint="eastAsia"/>
          <w:snapToGrid w:val="0"/>
          <w:color w:val="000000"/>
          <w:spacing w:val="2"/>
          <w:sz w:val="30"/>
          <w:szCs w:val="30"/>
          <w:lang w:eastAsia="zh-CN"/>
        </w:rPr>
        <w:t>年</w:t>
      </w:r>
      <w:r>
        <w:rPr>
          <w:rFonts w:ascii="仿宋_GB2312" w:eastAsia="仿宋_GB2312"/>
          <w:snapToGrid w:val="0"/>
          <w:color w:val="000000"/>
          <w:spacing w:val="2"/>
          <w:sz w:val="30"/>
          <w:szCs w:val="30"/>
          <w:lang w:eastAsia="zh-CN"/>
        </w:rPr>
        <w:t xml:space="preserve">     </w:t>
      </w:r>
      <w:r>
        <w:rPr>
          <w:rFonts w:ascii="仿宋_GB2312" w:eastAsia="仿宋_GB2312" w:hint="eastAsia"/>
          <w:snapToGrid w:val="0"/>
          <w:color w:val="000000"/>
          <w:spacing w:val="2"/>
          <w:sz w:val="30"/>
          <w:szCs w:val="30"/>
          <w:lang w:eastAsia="zh-CN"/>
        </w:rPr>
        <w:t>月</w:t>
      </w:r>
      <w:r>
        <w:rPr>
          <w:rFonts w:ascii="仿宋_GB2312" w:eastAsia="仿宋_GB2312"/>
          <w:snapToGrid w:val="0"/>
          <w:color w:val="000000"/>
          <w:spacing w:val="2"/>
          <w:sz w:val="30"/>
          <w:szCs w:val="30"/>
          <w:lang w:eastAsia="zh-CN"/>
        </w:rPr>
        <w:t xml:space="preserve">    </w:t>
      </w:r>
      <w:r>
        <w:rPr>
          <w:rFonts w:ascii="仿宋_GB2312" w:eastAsia="仿宋_GB2312" w:hint="eastAsia"/>
          <w:snapToGrid w:val="0"/>
          <w:color w:val="000000"/>
          <w:spacing w:val="2"/>
          <w:sz w:val="30"/>
          <w:szCs w:val="30"/>
          <w:lang w:eastAsia="zh-CN"/>
        </w:rPr>
        <w:t xml:space="preserve">日 </w:t>
      </w:r>
      <w:r>
        <w:rPr>
          <w:rFonts w:ascii="仿宋_GB2312" w:eastAsia="仿宋_GB2312"/>
          <w:snapToGrid w:val="0"/>
          <w:color w:val="000000"/>
          <w:spacing w:val="2"/>
          <w:sz w:val="30"/>
          <w:szCs w:val="30"/>
          <w:lang w:eastAsia="zh-CN"/>
        </w:rPr>
        <w:t xml:space="preserve">   </w:t>
      </w:r>
    </w:p>
    <w:p>
      <w:pPr>
        <w:pageBreakBefore w:val="0"/>
        <w:widowControl/>
        <w:kinsoku w:val="0"/>
        <w:wordWrap/>
        <w:overflowPunct/>
        <w:autoSpaceDE w:val="0"/>
        <w:autoSpaceDN w:val="0"/>
        <w:bidi w:val="0"/>
        <w:adjustRightInd w:val="0"/>
        <w:snapToGrid w:val="0"/>
        <w:spacing w:line="600" w:lineRule="exact"/>
        <w:ind w:left="0" w:right="0" w:firstLine="600" w:firstLineChars="200"/>
        <w:jc w:val="both"/>
        <w:textAlignment w:val="baseline"/>
        <w:rPr>
          <w:rFonts w:ascii="仿宋_GB2312" w:eastAsia="仿宋_GB2312"/>
          <w:snapToGrid w:val="0"/>
          <w:color w:val="000000"/>
          <w:spacing w:val="2"/>
          <w:sz w:val="30"/>
          <w:szCs w:val="30"/>
          <w:lang w:eastAsia="zh-CN"/>
        </w:rPr>
      </w:pPr>
    </w:p>
    <w:p>
      <w:pPr>
        <w:widowControl w:val="0"/>
        <w:adjustRightInd w:val="0"/>
        <w:snapToGrid w:val="0"/>
        <w:spacing w:after="163" w:afterLines="50" w:line="300" w:lineRule="auto"/>
        <w:jc w:val="both"/>
        <w:rPr>
          <w:rFonts w:ascii="宋体" w:eastAsia="宋体" w:hAnsi="宋体" w:cs="宋体" w:hint="eastAsia"/>
          <w:kern w:val="2"/>
          <w:sz w:val="36"/>
          <w:szCs w:val="36"/>
          <w:lang w:eastAsia="zh-CN"/>
        </w:rPr>
      </w:pPr>
    </w:p>
    <w:p>
      <w:pPr>
        <w:widowControl w:val="0"/>
        <w:adjustRightInd w:val="0"/>
        <w:snapToGrid w:val="0"/>
        <w:spacing w:after="163" w:afterLines="50" w:line="300" w:lineRule="auto"/>
        <w:ind w:firstLine="720" w:firstLineChars="200"/>
        <w:jc w:val="center"/>
        <w:rPr>
          <w:rFonts w:ascii="宋体" w:eastAsia="宋体" w:hAnsi="宋体" w:cs="宋体" w:hint="eastAsia"/>
          <w:kern w:val="2"/>
          <w:sz w:val="36"/>
          <w:szCs w:val="36"/>
          <w:lang w:eastAsia="zh-CN"/>
        </w:rPr>
      </w:pPr>
    </w:p>
    <w:p>
      <w:pPr>
        <w:widowControl w:val="0"/>
        <w:adjustRightInd w:val="0"/>
        <w:snapToGrid w:val="0"/>
        <w:spacing w:after="163" w:afterLines="50" w:line="300" w:lineRule="auto"/>
        <w:ind w:firstLine="720" w:firstLineChars="200"/>
        <w:jc w:val="center"/>
        <w:rPr>
          <w:rFonts w:ascii="宋体" w:eastAsia="宋体" w:hAnsi="宋体" w:cs="宋体" w:hint="eastAsia"/>
          <w:kern w:val="2"/>
          <w:sz w:val="36"/>
          <w:szCs w:val="36"/>
          <w:lang w:eastAsia="zh-CN"/>
        </w:rPr>
      </w:pPr>
    </w:p>
    <w:p>
      <w:pPr>
        <w:widowControl w:val="0"/>
        <w:adjustRightInd w:val="0"/>
        <w:snapToGrid w:val="0"/>
        <w:spacing w:after="163" w:afterLines="50" w:line="300" w:lineRule="auto"/>
        <w:ind w:firstLine="720" w:firstLineChars="200"/>
        <w:jc w:val="center"/>
        <w:rPr>
          <w:rFonts w:ascii="宋体" w:eastAsia="宋体" w:hAnsi="宋体" w:cs="宋体" w:hint="eastAsia"/>
          <w:kern w:val="2"/>
          <w:sz w:val="36"/>
          <w:szCs w:val="36"/>
          <w:lang w:eastAsia="zh-CN"/>
        </w:rPr>
      </w:pPr>
    </w:p>
    <w:p>
      <w:pPr>
        <w:widowControl w:val="0"/>
        <w:adjustRightInd w:val="0"/>
        <w:snapToGrid w:val="0"/>
        <w:spacing w:after="163" w:afterLines="50" w:line="300" w:lineRule="auto"/>
        <w:ind w:firstLine="720" w:firstLineChars="200"/>
        <w:jc w:val="center"/>
        <w:rPr>
          <w:rFonts w:ascii="宋体" w:eastAsia="宋体" w:hAnsi="宋体" w:cs="宋体" w:hint="eastAsia"/>
          <w:kern w:val="2"/>
          <w:sz w:val="36"/>
          <w:szCs w:val="36"/>
          <w:lang w:eastAsia="zh-CN"/>
        </w:rPr>
      </w:pPr>
    </w:p>
    <w:p>
      <w:pPr>
        <w:widowControl w:val="0"/>
        <w:adjustRightInd w:val="0"/>
        <w:snapToGrid w:val="0"/>
        <w:spacing w:after="163" w:afterLines="50" w:line="300" w:lineRule="auto"/>
        <w:ind w:firstLine="720" w:firstLineChars="200"/>
        <w:jc w:val="center"/>
        <w:rPr>
          <w:rFonts w:ascii="宋体" w:eastAsia="宋体" w:hAnsi="宋体" w:cs="宋体" w:hint="eastAsia"/>
          <w:kern w:val="2"/>
          <w:sz w:val="36"/>
          <w:szCs w:val="36"/>
          <w:lang w:eastAsia="zh-CN"/>
        </w:rPr>
      </w:pPr>
    </w:p>
    <w:p>
      <w:pPr>
        <w:widowControl w:val="0"/>
        <w:adjustRightInd w:val="0"/>
        <w:snapToGrid w:val="0"/>
        <w:spacing w:after="163" w:afterLines="50" w:line="300" w:lineRule="auto"/>
        <w:ind w:firstLine="720" w:firstLineChars="200"/>
        <w:jc w:val="center"/>
        <w:rPr>
          <w:rFonts w:ascii="宋体" w:eastAsia="宋体" w:hAnsi="宋体" w:cs="宋体" w:hint="eastAsia"/>
          <w:kern w:val="2"/>
          <w:sz w:val="36"/>
          <w:szCs w:val="36"/>
          <w:lang w:eastAsia="zh-CN"/>
        </w:rPr>
      </w:pPr>
    </w:p>
    <w:p>
      <w:pPr>
        <w:widowControl w:val="0"/>
        <w:adjustRightInd w:val="0"/>
        <w:snapToGrid w:val="0"/>
        <w:spacing w:after="163" w:afterLines="50" w:line="300" w:lineRule="auto"/>
        <w:ind w:firstLine="720" w:firstLineChars="200"/>
        <w:jc w:val="center"/>
        <w:rPr>
          <w:rFonts w:ascii="宋体" w:eastAsia="宋体" w:hAnsi="宋体" w:cs="宋体" w:hint="eastAsia"/>
          <w:kern w:val="2"/>
          <w:sz w:val="36"/>
          <w:szCs w:val="36"/>
          <w:lang w:eastAsia="zh-CN"/>
        </w:rPr>
      </w:pPr>
    </w:p>
    <w:p>
      <w:pPr>
        <w:widowControl w:val="0"/>
        <w:adjustRightInd w:val="0"/>
        <w:snapToGrid w:val="0"/>
        <w:spacing w:after="163" w:afterLines="50" w:line="300" w:lineRule="auto"/>
        <w:ind w:firstLine="720" w:firstLineChars="200"/>
        <w:jc w:val="center"/>
        <w:rPr>
          <w:rFonts w:ascii="宋体" w:eastAsia="宋体" w:hAnsi="宋体" w:cs="宋体" w:hint="eastAsia"/>
          <w:kern w:val="2"/>
          <w:sz w:val="36"/>
          <w:szCs w:val="36"/>
          <w:lang w:eastAsia="zh-CN"/>
        </w:rPr>
        <w:sectPr>
          <w:headerReference w:type="even" r:id="rId33"/>
          <w:headerReference w:type="default" r:id="rId34"/>
          <w:footerReference w:type="even" r:id="rId35"/>
          <w:footerReference w:type="default" r:id="rId36"/>
          <w:pgSz w:w="11906" w:h="16838"/>
          <w:pgMar w:top="1440" w:right="1800" w:bottom="1440" w:left="1800" w:header="851" w:footer="992" w:gutter="0"/>
          <w:pgNumType w:fmt="decimal"/>
          <w:cols w:num="1" w:space="720"/>
          <w:titlePg/>
          <w:docGrid w:type="lines" w:linePitch="326" w:charSpace="0"/>
        </w:sectPr>
      </w:pPr>
    </w:p>
    <w:p>
      <w:pPr>
        <w:keepNext/>
        <w:keepLines/>
        <w:widowControl w:val="0"/>
        <w:spacing w:before="340" w:after="78" w:afterLines="25"/>
        <w:jc w:val="center"/>
        <w:outlineLvl w:val="0"/>
        <w:rPr>
          <w:rFonts w:ascii="宋体" w:eastAsia="宋体" w:hAnsi="宋体" w:cs="宋体" w:hint="eastAsia"/>
          <w:b/>
          <w:bCs/>
          <w:kern w:val="44"/>
          <w:lang w:eastAsia="zh-CN"/>
        </w:rPr>
      </w:pPr>
      <w:r>
        <w:rPr>
          <w:rFonts w:ascii="宋体" w:eastAsia="宋体" w:hAnsi="宋体" w:cs="宋体" w:hint="eastAsia"/>
          <w:b/>
          <w:bCs/>
          <w:kern w:val="44"/>
          <w:lang w:eastAsia="zh-CN"/>
        </w:rPr>
        <w:t>第二册通用条款（公开招标）</w:t>
      </w:r>
    </w:p>
    <w:p>
      <w:pPr>
        <w:keepNext/>
        <w:keepLines/>
        <w:widowControl w:val="0"/>
        <w:tabs>
          <w:tab w:val="left" w:pos="720"/>
        </w:tabs>
        <w:adjustRightInd w:val="0"/>
        <w:spacing w:before="156" w:beforeLines="50" w:after="156" w:afterLines="50"/>
        <w:ind w:left="1080" w:hanging="1080" w:firstLineChars="0"/>
        <w:jc w:val="center"/>
        <w:textAlignment w:val="baseline"/>
        <w:outlineLvl w:val="1"/>
        <w:rPr>
          <w:rFonts w:ascii="宋体" w:eastAsia="宋体" w:hAnsi="宋体" w:cs="宋体" w:hint="eastAsia"/>
          <w:b/>
          <w:bCs/>
          <w:kern w:val="2"/>
          <w:lang w:eastAsia="zh-CN"/>
        </w:rPr>
      </w:pPr>
      <w:bookmarkStart w:id="70" w:name="_Hlk72399513"/>
      <w:r>
        <w:rPr>
          <w:rFonts w:ascii="宋体" w:eastAsia="宋体" w:hAnsi="宋体" w:cs="宋体" w:hint="eastAsia"/>
          <w:b/>
          <w:bCs/>
          <w:kern w:val="2"/>
          <w:lang w:eastAsia="zh-CN"/>
        </w:rPr>
        <w:t>第一章</w:t>
      </w:r>
      <w:r>
        <w:rPr>
          <w:rFonts w:ascii="宋体" w:eastAsia="宋体" w:hAnsi="宋体" w:cs="宋体" w:hint="eastAsia"/>
          <w:b/>
          <w:bCs/>
          <w:kern w:val="2"/>
          <w:lang w:eastAsia="zh-CN"/>
        </w:rPr>
        <w:t xml:space="preserve"> </w:t>
      </w:r>
      <w:r>
        <w:rPr>
          <w:rFonts w:ascii="宋体" w:eastAsia="宋体" w:hAnsi="宋体" w:cs="宋体" w:hint="eastAsia"/>
          <w:b/>
          <w:bCs/>
          <w:kern w:val="2"/>
          <w:lang w:eastAsia="zh-CN"/>
        </w:rPr>
        <w:t>总则</w:t>
      </w:r>
    </w:p>
    <w:bookmarkEnd w:id="70"/>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bookmarkStart w:id="71" w:name="_Hlk72439706"/>
      <w:r>
        <w:rPr>
          <w:rFonts w:ascii="宋体" w:eastAsia="宋体" w:hAnsi="宋体" w:cs="宋体" w:hint="eastAsia"/>
          <w:kern w:val="2"/>
          <w:lang w:eastAsia="zh-CN"/>
        </w:rPr>
        <w:t>1.通用条款说明</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1.1</w:t>
      </w:r>
      <w:bookmarkStart w:id="72" w:name="OLE_LINK2"/>
      <w:r>
        <w:rPr>
          <w:rFonts w:ascii="宋体" w:eastAsia="宋体" w:hAnsi="宋体" w:cs="宋体" w:hint="eastAsia"/>
          <w:kern w:val="2"/>
          <w:lang w:eastAsia="zh-CN"/>
        </w:rPr>
        <w:t>招标代理机构发出招标文件</w:t>
      </w:r>
      <w:bookmarkEnd w:id="72"/>
      <w:r>
        <w:rPr>
          <w:rFonts w:ascii="宋体" w:eastAsia="宋体" w:hAnsi="宋体" w:cs="宋体" w:hint="eastAsia"/>
          <w:kern w:val="2"/>
          <w:lang w:eastAsia="zh-CN"/>
        </w:rPr>
        <w:t>通用条款版本，列出招标项目进行招标所适用的通用条款内容。</w:t>
      </w:r>
      <w:bookmarkStart w:id="73" w:name="_Hlk72399729"/>
      <w:r>
        <w:rPr>
          <w:rFonts w:ascii="宋体" w:eastAsia="宋体" w:hAnsi="宋体" w:cs="宋体" w:hint="eastAsia"/>
          <w:kern w:val="2"/>
          <w:lang w:eastAsia="zh-CN"/>
        </w:rPr>
        <w:t>如有需要，招标代理机构可以对通用条款的内容进行补充。</w:t>
      </w:r>
      <w:bookmarkEnd w:id="73"/>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1.2招标文件分为第一册“专用条款”和第二册“通用条款”。</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1.3“专用条款”是对本次招标项目的具体要求，包含招标公告、对通用条款的补充内容及其他关键信息、用户需求书、投标文件格式及附件、协议条款及格式等内容。</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1.4“通用条款”是适用于公开招标项目的基础性条款，具有普遍性和通用性。</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1.5“专用条款”和“通用条款”表述不一致或有冲突时，以“专用条款”为准。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2．招标说明</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本项目为运营权项目，根据《中华人民共和国政府采购法》《中华人民共和国招标投标法》《</w:t>
      </w:r>
      <w:hyperlink r:id="rId4" w:tgtFrame="https://www.baidu.com/_blank" w:history="1">
        <w:r>
          <w:rPr>
            <w:rFonts w:ascii="宋体" w:eastAsia="宋体" w:hAnsi="宋体" w:cs="宋体" w:hint="eastAsia"/>
            <w:kern w:val="2"/>
            <w:lang w:eastAsia="zh-CN"/>
          </w:rPr>
          <w:t>中华人民共和国民法典</w:t>
        </w:r>
      </w:hyperlink>
      <w:r>
        <w:rPr>
          <w:rFonts w:ascii="宋体" w:eastAsia="宋体" w:hAnsi="宋体" w:cs="宋体" w:hint="eastAsia"/>
          <w:kern w:val="2"/>
          <w:lang w:eastAsia="zh-CN"/>
        </w:rPr>
        <w:t>》，并参照有关法规、政策、规章、规定通过公开招标择优选定</w:t>
      </w:r>
      <w:r>
        <w:rPr>
          <w:rFonts w:ascii="宋体" w:eastAsia="宋体" w:hAnsi="宋体" w:cs="宋体" w:hint="eastAsia"/>
          <w:kern w:val="2"/>
          <w:lang w:eastAsia="zh-CN"/>
        </w:rPr>
        <w:t>乙方（中标方）</w:t>
      </w:r>
      <w:r>
        <w:rPr>
          <w:rFonts w:ascii="宋体" w:eastAsia="宋体" w:hAnsi="宋体" w:cs="宋体" w:hint="eastAsia"/>
          <w:kern w:val="2"/>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3．定义</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招标文件中下列术语应解释为：</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3.1“</w:t>
      </w:r>
      <w:bookmarkStart w:id="74" w:name="OLE_LINK7"/>
      <w:r>
        <w:rPr>
          <w:rFonts w:ascii="宋体" w:eastAsia="宋体" w:hAnsi="宋体" w:cs="宋体" w:hint="eastAsia"/>
          <w:kern w:val="2"/>
          <w:lang w:eastAsia="zh-CN"/>
        </w:rPr>
        <w:t>招标人</w:t>
      </w:r>
      <w:bookmarkEnd w:id="74"/>
      <w:r>
        <w:rPr>
          <w:rFonts w:ascii="宋体" w:eastAsia="宋体" w:hAnsi="宋体" w:cs="宋体" w:hint="eastAsia"/>
          <w:kern w:val="2"/>
          <w:lang w:eastAsia="zh-CN"/>
        </w:rPr>
        <w:t>”：指对项目进行招标的国家机关、事业单位、团体组织；</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3.2“招标代理机构”</w:t>
      </w:r>
      <w:r>
        <w:rPr>
          <w:rFonts w:ascii="宋体" w:eastAsia="宋体" w:hAnsi="宋体" w:cs="宋体" w:hint="eastAsia"/>
          <w:kern w:val="2"/>
          <w:shd w:val="clear" w:color="auto" w:fill="FFFFFF"/>
          <w:lang w:eastAsia="zh-CN"/>
        </w:rPr>
        <w:t>：</w:t>
      </w:r>
      <w:r>
        <w:rPr>
          <w:rFonts w:ascii="宋体" w:eastAsia="宋体" w:hAnsi="宋体" w:cs="宋体" w:hint="eastAsia"/>
          <w:kern w:val="2"/>
          <w:lang w:eastAsia="zh-CN"/>
        </w:rPr>
        <w:t>本文件所述的“招标代理机构”指深圳交易集团有限公司罗湖分公司；</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3.3“投标人”，即供应商，指参加投标竞争并愿意按照招标文件要求向招标人提供货物、工程或者服务的依法成立的法人、其他组织或者自然人；</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3.4“评审委员会”是专门负责本次招标其评审工作的临时性机构；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3.5“日期”指公历日；</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3.6“协议”指由本次招标所产生的协议或合约文件；</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3.7“电子投标文件”指利用</w:t>
      </w:r>
      <w:r>
        <w:rPr>
          <w:rFonts w:ascii="宋体" w:eastAsia="宋体" w:hAnsi="宋体" w:cs="宋体" w:hint="eastAsia"/>
          <w:b/>
          <w:bCs/>
          <w:kern w:val="2"/>
          <w:lang w:eastAsia="zh-CN"/>
        </w:rPr>
        <w:t>深圳公共资源交易中心（深圳交易集团有限公司罗湖分公司）</w:t>
      </w:r>
      <w:r>
        <w:rPr>
          <w:rFonts w:ascii="宋体" w:eastAsia="宋体" w:hAnsi="宋体" w:cs="宋体" w:hint="eastAsia"/>
          <w:kern w:val="2"/>
          <w:lang w:eastAsia="zh-CN"/>
        </w:rPr>
        <w:t>网站提供的深圳市自行采购系统投标文件制作专用软件（以下简称：投标文件制作软件）制作并加密的投标文件</w:t>
      </w:r>
      <w:r>
        <w:rPr>
          <w:rFonts w:ascii="宋体" w:eastAsia="宋体" w:hAnsi="宋体" w:cs="宋体" w:hint="eastAsia"/>
          <w:kern w:val="2"/>
          <w:lang w:eastAsia="zh-CN"/>
        </w:rPr>
        <w:t>，</w:t>
      </w:r>
      <w:r>
        <w:rPr>
          <w:rFonts w:ascii="宋体" w:eastAsia="宋体" w:hAnsi="宋体" w:cs="宋体" w:hint="eastAsia"/>
          <w:kern w:val="2"/>
          <w:lang w:eastAsia="zh-CN"/>
        </w:rPr>
        <w:t>适用于网上投标；（投标文件制作软件可从“下载地址：https://www.szggzy.com/jyfw/details.html?contentId=2053275深圳市自行采购系统投标文件编制工具”下载）</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3.8“网上投标”指通过</w:t>
      </w:r>
      <w:r>
        <w:rPr>
          <w:rFonts w:ascii="宋体" w:eastAsia="宋体" w:hAnsi="宋体" w:cs="宋体" w:hint="eastAsia"/>
          <w:b/>
          <w:bCs/>
          <w:kern w:val="2"/>
          <w:lang w:eastAsia="zh-CN"/>
        </w:rPr>
        <w:t>深圳公共资源交易中心（深圳交易集团有限公司罗湖分公司）</w:t>
      </w:r>
      <w:r>
        <w:rPr>
          <w:rFonts w:ascii="宋体" w:eastAsia="宋体" w:hAnsi="宋体" w:cs="宋体" w:hint="eastAsia"/>
          <w:kern w:val="2"/>
          <w:lang w:eastAsia="zh-CN"/>
        </w:rPr>
        <w:t>网站上传电子投标文件；</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3.9招标文件中的标题或题名仅起引导作用，而不应视为对招标文件内容的理解和解释。</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4.</w:t>
      </w:r>
      <w:bookmarkStart w:id="75" w:name="_Hlk72398643"/>
      <w:r>
        <w:rPr>
          <w:rFonts w:ascii="宋体" w:eastAsia="宋体" w:hAnsi="宋体" w:cs="宋体" w:hint="eastAsia"/>
          <w:kern w:val="2"/>
          <w:lang w:eastAsia="zh-CN"/>
        </w:rPr>
        <w:t>投标人责任</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4.1投标人应当遵循公平竞争的原则，不得恶意串通，不得妨碍其他投标人的竞争行为，不得损害招标人或者其他投标人的合法权益。如违反上述要求，经核实后，投标人的投标无效。</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5．投标人参加交易活动的条件</w:t>
      </w:r>
    </w:p>
    <w:p>
      <w:pPr>
        <w:widowControl w:val="0"/>
        <w:ind w:firstLine="470" w:firstLineChars="196"/>
        <w:jc w:val="left"/>
        <w:rPr>
          <w:rFonts w:ascii="宋体" w:eastAsia="宋体" w:hAnsi="宋体" w:cs="宋体" w:hint="eastAsia"/>
          <w:kern w:val="2"/>
          <w:lang w:eastAsia="zh-CN"/>
        </w:rPr>
      </w:pPr>
      <w:r>
        <w:rPr>
          <w:rFonts w:ascii="宋体" w:eastAsia="宋体" w:hAnsi="宋体" w:cs="宋体" w:hint="eastAsia"/>
          <w:kern w:val="2"/>
          <w:lang w:eastAsia="zh-CN"/>
        </w:rPr>
        <w:t>5.1投标人应在投标前到</w:t>
      </w:r>
      <w:r>
        <w:rPr>
          <w:rFonts w:ascii="宋体" w:eastAsia="宋体" w:hAnsi="宋体" w:cs="宋体" w:hint="eastAsia"/>
          <w:b/>
          <w:bCs/>
          <w:kern w:val="2"/>
          <w:lang w:eastAsia="zh-CN"/>
        </w:rPr>
        <w:t>深圳公共资源交易中心（具体在深圳交易集团有限公司政府采购业务分公司进行办理）</w:t>
      </w:r>
      <w:r>
        <w:rPr>
          <w:rFonts w:ascii="宋体" w:eastAsia="宋体" w:hAnsi="宋体" w:cs="宋体" w:hint="eastAsia"/>
          <w:kern w:val="2"/>
          <w:lang w:eastAsia="zh-CN"/>
        </w:rPr>
        <w:t>进行注册并办理电子密钥。电子密钥办理咨询电话（0755-83948165、0755-83938966、4008301330）。</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5.2投标人资格要求</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参加本项目的投标人应具备的资格条件详见本项目招标公告中“投标人资格要求”（即申请人的资格要求）的内容。</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5.3联合体投标</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5.3.1　以下有关联合体投标的条款仅适用于允许投标人组成联合体投标的项目。</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5.3.2由两个或两个以上的自然人、法人或者其他组织可以组成一个联合体，以一个投标人的身份共同投标时，应符合以下原则：</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（1）投标联合体各方参加交易活动应当具备下列条件：</w:t>
      </w:r>
    </w:p>
    <w:p>
      <w:pPr>
        <w:widowControl w:val="0"/>
        <w:ind w:left="480" w:firstLine="470" w:leftChars="200" w:firstLineChars="196"/>
        <w:jc w:val="both"/>
        <w:rPr>
          <w:rFonts w:ascii="宋体" w:eastAsia="宋体" w:hAnsi="宋体" w:cs="宋体" w:hint="eastAsia"/>
          <w:kern w:val="2"/>
          <w:lang w:eastAsia="zh-CN"/>
        </w:rPr>
      </w:pPr>
      <w:r>
        <w:rPr>
          <w:rFonts w:ascii="宋体" w:eastAsia="宋体" w:hAnsi="宋体" w:cs="宋体" w:hint="eastAsia"/>
          <w:kern w:val="2"/>
          <w:lang w:eastAsia="zh-CN"/>
        </w:rPr>
        <w:t>1、具有独立承担民事责任的能力；</w:t>
      </w:r>
    </w:p>
    <w:p>
      <w:pPr>
        <w:widowControl w:val="0"/>
        <w:ind w:left="420"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2、有良好的商业信誉和健全的财务会计制度；</w:t>
      </w:r>
    </w:p>
    <w:p>
      <w:pPr>
        <w:widowControl w:val="0"/>
        <w:ind w:left="480" w:firstLine="470" w:leftChars="200" w:firstLineChars="196"/>
        <w:jc w:val="both"/>
        <w:rPr>
          <w:rFonts w:ascii="宋体" w:eastAsia="宋体" w:hAnsi="宋体" w:cs="宋体" w:hint="eastAsia"/>
          <w:kern w:val="2"/>
          <w:lang w:eastAsia="zh-CN"/>
        </w:rPr>
      </w:pPr>
      <w:r>
        <w:rPr>
          <w:rFonts w:ascii="宋体" w:eastAsia="宋体" w:hAnsi="宋体" w:cs="宋体" w:hint="eastAsia"/>
          <w:kern w:val="2"/>
          <w:lang w:eastAsia="zh-CN"/>
        </w:rPr>
        <w:t>3、具有履行协议所必需的设备和专业技术能力；</w:t>
      </w:r>
    </w:p>
    <w:p>
      <w:pPr>
        <w:widowControl w:val="0"/>
        <w:ind w:left="480" w:firstLine="470" w:leftChars="200" w:firstLineChars="196"/>
        <w:jc w:val="both"/>
        <w:rPr>
          <w:rFonts w:ascii="宋体" w:eastAsia="宋体" w:hAnsi="宋体" w:cs="宋体" w:hint="eastAsia"/>
          <w:kern w:val="2"/>
          <w:lang w:eastAsia="zh-CN"/>
        </w:rPr>
      </w:pPr>
      <w:r>
        <w:rPr>
          <w:rFonts w:ascii="宋体" w:eastAsia="宋体" w:hAnsi="宋体" w:cs="宋体" w:hint="eastAsia"/>
          <w:kern w:val="2"/>
          <w:lang w:eastAsia="zh-CN"/>
        </w:rPr>
        <w:t>4、有依法缴纳税收和社会保障资金的良好记录；</w:t>
      </w:r>
    </w:p>
    <w:p>
      <w:pPr>
        <w:widowControl w:val="0"/>
        <w:ind w:left="480" w:firstLine="470" w:leftChars="200" w:firstLineChars="196"/>
        <w:jc w:val="both"/>
        <w:rPr>
          <w:rFonts w:ascii="宋体" w:eastAsia="宋体" w:hAnsi="宋体" w:cs="宋体" w:hint="eastAsia"/>
          <w:kern w:val="2"/>
          <w:lang w:eastAsia="zh-CN"/>
        </w:rPr>
      </w:pPr>
      <w:r>
        <w:rPr>
          <w:rFonts w:ascii="宋体" w:eastAsia="宋体" w:hAnsi="宋体" w:cs="宋体" w:hint="eastAsia"/>
          <w:kern w:val="2"/>
          <w:lang w:eastAsia="zh-CN"/>
        </w:rPr>
        <w:t>5、参加交易活动前三年内，在经营活动中没有重大违法记录；</w:t>
      </w:r>
    </w:p>
    <w:p>
      <w:pPr>
        <w:widowControl w:val="0"/>
        <w:ind w:left="480" w:firstLine="470" w:leftChars="200" w:firstLineChars="196"/>
        <w:jc w:val="both"/>
        <w:rPr>
          <w:rFonts w:ascii="宋体" w:eastAsia="宋体" w:hAnsi="宋体" w:cs="宋体" w:hint="eastAsia"/>
          <w:kern w:val="2"/>
          <w:lang w:eastAsia="zh-CN"/>
        </w:rPr>
      </w:pPr>
      <w:r>
        <w:rPr>
          <w:rFonts w:ascii="宋体" w:eastAsia="宋体" w:hAnsi="宋体" w:cs="宋体" w:hint="eastAsia"/>
          <w:kern w:val="2"/>
          <w:lang w:eastAsia="zh-CN"/>
        </w:rPr>
        <w:t>6、法律、行政法规规定的其他条件。</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（2）在投标截止前，投标联合体各方均应注册成政府集中采购机构供应商；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（3）联合体中有同类资质的供应商按照联合体分工承担相同工作的，应当按照资质等级较低的供应商确定资质等级；</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（4）是否允许联合体参加投标，应当由招标人和招标代理机构根据项目的实际情况和潜在供应商的数量自主决定，如果决定接受联合体投标则应当在招标公告中明示；</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（5）投标人的投标文件及中标后签署的协议协议对联合体各方均具法律约束力；</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（6）联合体各方应当签订联合体投标协议，明确约定各方拟承担的工作和责任，并将该协议随投标文件一并递交给招标代理机构；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（7）联合体中标后，联合体各方应当共同与招标人签订协议，就中标项目向招标人承担连带责任；</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（8）以联合体形式参加</w:t>
      </w:r>
      <w:bookmarkStart w:id="76" w:name="OLE_LINK8"/>
      <w:r>
        <w:rPr>
          <w:rFonts w:ascii="宋体" w:eastAsia="宋体" w:hAnsi="宋体" w:cs="宋体" w:hint="eastAsia"/>
          <w:kern w:val="2"/>
          <w:lang w:eastAsia="zh-CN"/>
        </w:rPr>
        <w:t>招标活动</w:t>
      </w:r>
      <w:bookmarkEnd w:id="76"/>
      <w:r>
        <w:rPr>
          <w:rFonts w:ascii="宋体" w:eastAsia="宋体" w:hAnsi="宋体" w:cs="宋体" w:hint="eastAsia"/>
          <w:kern w:val="2"/>
          <w:lang w:eastAsia="zh-CN"/>
        </w:rPr>
        <w:t>的，联合体各方不得再单独参加或者与其他供应商另外组成联合体参加同一协议项下的招标活动，出现上述情况者，其投标和与此有关联合体、总包单位的投标将被拒绝；</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（9）本通用条款中“投标人”一词亦指联合体各方，专用条款另有规定或说明的除外。</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6．政策导向</w:t>
      </w:r>
    </w:p>
    <w:p>
      <w:pPr>
        <w:widowControl w:val="0"/>
        <w:ind w:firstLine="405"/>
        <w:jc w:val="both"/>
        <w:rPr>
          <w:rFonts w:ascii="宋体" w:eastAsia="宋体" w:hAnsi="宋体" w:cs="宋体" w:hint="eastAsia"/>
          <w:kern w:val="2"/>
          <w:lang w:eastAsia="zh-CN"/>
        </w:rPr>
      </w:pPr>
      <w:r>
        <w:rPr>
          <w:rFonts w:ascii="宋体" w:eastAsia="宋体" w:hAnsi="宋体" w:cs="宋体" w:hint="eastAsia"/>
          <w:kern w:val="2"/>
          <w:lang w:eastAsia="zh-CN"/>
        </w:rPr>
        <w:t>6.1本项目支持投标人性别平等的相关政策。</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7．本项目若涉及采购货物，则合格的货物及相应服务应满足以下要求：</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7.1必须是全新、未使用过的原装合格正品（包括零部件），如安装或配置了软件的，须为正版软件。</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7.2国产的货物及其有关服务必须符合中华人民共和国的设计、制造生产标准及行业标准。招标公告有其他要求的，亦应符合其要求。</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7.4投标人</w:t>
      </w:r>
      <w:bookmarkStart w:id="77" w:name="_Hlk72152753"/>
      <w:r>
        <w:rPr>
          <w:rFonts w:ascii="宋体" w:eastAsia="宋体" w:hAnsi="宋体" w:cs="宋体" w:hint="eastAsia"/>
          <w:kern w:val="2"/>
          <w:lang w:eastAsia="zh-CN"/>
        </w:rPr>
        <w:t>应保证，其所提供的货物通过合法正规渠道供货，在提供给招标人前具有完全的所有权，招标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77"/>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协议规定完成设备的安装，并达到验收标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7.6工期要求：投标人在投标时对其所投项目应提交交货进度、交货计划等，在协议规定的时间内完成项目实施工作。</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7.7投标人必须承担的设备运输、安装调试、验收检测和提供设备操作说明书、图纸等其他相关及类似的义务。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8．投标费用</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不论投标结果如何，投标人应承担其编制投标文件与递交投标文件所涉及的一切费用。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9．踏勘现场</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9.1如有需要（详见专用条款），招标人或招标代理机构将组织投标人对项目现场及周围环境进行踏勘，以便投标人获取有关编制投标文件和签署协议所需的资料。踏勘现场所发生的费用由投标人自行承担。投标人应按招标文件所约定的时间、地点踏勘现场。</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9.2投标人及其人员经过招标人的允许，可以进入招标人的项目现场踏勘。若招标文件要求投标人于统一时间地点踏勘现场的，投标人应当按时前往。</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9.3招标人应当通过招标代理机构向投标人提供有关现场的书面资料和数据。</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9.4任何人或任何组织在踏勘现场时向投标人提供的任何书面资料或口头承诺，未经招标代理机构在网上发布或书面通知，均作无效处理。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9.5未参与踏勘现场不作为否定投标人资格的理由。</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10．标前会议</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10.1如招标人或招标代理机构认为有必要组织标前会议，投标人应按照招标文件规定的时间或招标代理机构另行书面通知（包括招标代理机构网站发布方式，如更正公告等）的时间和地点，参与标前会议。</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10.2任何人或任何组织在标前会议时向投标人提供的任何书面资料或口头承诺，未经招标代理机构在网上发布或书面通知，均作无效处理。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10.3未参与标前会议不作为否定投标人资格的理由。</w:t>
      </w:r>
    </w:p>
    <w:bookmarkEnd w:id="75"/>
    <w:p>
      <w:pPr>
        <w:widowControl w:val="0"/>
        <w:ind w:firstLine="470" w:firstLineChars="196"/>
        <w:jc w:val="both"/>
        <w:rPr>
          <w:rFonts w:ascii="宋体" w:eastAsia="宋体" w:hAnsi="宋体" w:cs="宋体" w:hint="eastAsia"/>
          <w:kern w:val="2"/>
          <w:lang w:eastAsia="zh-CN"/>
        </w:rPr>
      </w:pPr>
    </w:p>
    <w:p>
      <w:pPr>
        <w:keepNext/>
        <w:keepLines/>
        <w:widowControl w:val="0"/>
        <w:spacing w:before="156" w:beforeLines="50" w:after="156" w:afterLines="50" w:line="240" w:lineRule="auto"/>
        <w:ind w:left="562" w:hanging="562"/>
        <w:jc w:val="center"/>
        <w:outlineLvl w:val="1"/>
        <w:rPr>
          <w:rFonts w:ascii="宋体" w:eastAsia="宋体" w:hAnsi="宋体" w:cs="宋体" w:hint="eastAsia"/>
          <w:b/>
          <w:bCs/>
          <w:kern w:val="2"/>
          <w:lang w:eastAsia="zh-CN"/>
        </w:rPr>
      </w:pPr>
      <w:r>
        <w:rPr>
          <w:rFonts w:ascii="宋体" w:eastAsia="宋体" w:hAnsi="宋体" w:cs="宋体" w:hint="eastAsia"/>
          <w:b/>
          <w:bCs/>
          <w:kern w:val="2"/>
          <w:lang w:eastAsia="zh-CN"/>
        </w:rPr>
        <w:t>第二章</w:t>
      </w:r>
      <w:r>
        <w:rPr>
          <w:rFonts w:ascii="宋体" w:eastAsia="宋体" w:hAnsi="宋体" w:cs="宋体" w:hint="eastAsia"/>
          <w:b/>
          <w:bCs/>
          <w:kern w:val="2"/>
          <w:lang w:eastAsia="zh-CN"/>
        </w:rPr>
        <w:t xml:space="preserve"> </w:t>
      </w:r>
      <w:r>
        <w:rPr>
          <w:rFonts w:ascii="宋体" w:eastAsia="宋体" w:hAnsi="宋体" w:cs="宋体" w:hint="eastAsia"/>
          <w:b/>
          <w:bCs/>
          <w:kern w:val="2"/>
          <w:lang w:eastAsia="zh-CN"/>
        </w:rPr>
        <w:t>招标文件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11．</w:t>
      </w:r>
      <w:bookmarkStart w:id="78" w:name="_Hlk72399819"/>
      <w:r>
        <w:rPr>
          <w:rFonts w:ascii="宋体" w:eastAsia="宋体" w:hAnsi="宋体" w:cs="宋体" w:hint="eastAsia"/>
          <w:kern w:val="2"/>
          <w:lang w:eastAsia="zh-CN"/>
        </w:rPr>
        <w:t>招标文件的编制与组成</w:t>
      </w:r>
    </w:p>
    <w:p>
      <w:pPr>
        <w:widowControl w:val="0"/>
        <w:snapToGrid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11.1招标文件除以下内容外，招标代理机构在招标期间发出的澄清或修改等相关公告或通知内容，均是招标文件的组成部分，对投标人起约束作用；</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招标文件包括下列内容：</w:t>
      </w:r>
    </w:p>
    <w:p>
      <w:pPr>
        <w:widowControl w:val="0"/>
        <w:ind w:left="480" w:firstLine="470" w:leftChars="200" w:firstLineChars="196"/>
        <w:jc w:val="both"/>
        <w:rPr>
          <w:rFonts w:ascii="宋体" w:eastAsia="宋体" w:hAnsi="宋体" w:cs="宋体" w:hint="eastAsia"/>
          <w:b/>
          <w:kern w:val="2"/>
          <w:lang w:eastAsia="zh-CN"/>
        </w:rPr>
      </w:pPr>
      <w:r>
        <w:rPr>
          <w:rFonts w:ascii="宋体" w:eastAsia="宋体" w:hAnsi="宋体" w:cs="宋体" w:hint="eastAsia"/>
          <w:b/>
          <w:kern w:val="2"/>
          <w:lang w:eastAsia="zh-CN"/>
        </w:rPr>
        <w:t>第一册专用条款</w:t>
      </w:r>
    </w:p>
    <w:p>
      <w:pPr>
        <w:widowControl w:val="0"/>
        <w:ind w:left="1234" w:leftChars="514"/>
        <w:jc w:val="both"/>
        <w:rPr>
          <w:rFonts w:ascii="宋体" w:eastAsia="宋体" w:hAnsi="宋体" w:cs="宋体" w:hint="eastAsia"/>
          <w:b/>
          <w:kern w:val="2"/>
          <w:lang w:eastAsia="zh-CN"/>
        </w:rPr>
      </w:pPr>
      <w:r>
        <w:rPr>
          <w:rFonts w:ascii="宋体" w:eastAsia="宋体" w:hAnsi="宋体" w:cs="宋体" w:hint="eastAsia"/>
          <w:b/>
          <w:kern w:val="2"/>
          <w:lang w:eastAsia="zh-CN"/>
        </w:rPr>
        <w:t>关键信息</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第一章招标公告</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第二章对通用条款的补充内容及其他关键信息</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第三章用户需求书</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第四章投标文件格式及附件</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第五章协议条款及格式</w:t>
      </w:r>
    </w:p>
    <w:p>
      <w:pPr>
        <w:widowControl w:val="0"/>
        <w:ind w:left="480" w:firstLine="470" w:leftChars="200" w:firstLineChars="196"/>
        <w:jc w:val="both"/>
        <w:rPr>
          <w:rFonts w:ascii="宋体" w:eastAsia="宋体" w:hAnsi="宋体" w:cs="宋体" w:hint="eastAsia"/>
          <w:b/>
          <w:kern w:val="2"/>
          <w:lang w:eastAsia="zh-CN"/>
        </w:rPr>
      </w:pPr>
      <w:r>
        <w:rPr>
          <w:rFonts w:ascii="宋体" w:eastAsia="宋体" w:hAnsi="宋体" w:cs="宋体" w:hint="eastAsia"/>
          <w:b/>
          <w:kern w:val="2"/>
          <w:lang w:eastAsia="zh-CN"/>
        </w:rPr>
        <w:t>第二册通用条款</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第一章总则</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第二章招标文件</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第三章投标文件的编制</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第四章投标文件的递交</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第五章开标</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第六章评审要求</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第七章评审程序及评审方法</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第八章定标及公示</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第九章公开招标失败的后续处理</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第十章协议的授予与备案</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第十一章质疑处理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11.2投标人下载招标文件后，应仔细检查招标文件的所有内容，如有疑问应在答疑截止时间之前向招标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11.3任何人或任何组织向投标人提交的任何书面或口头资料，未经招标代理机构在网上发布或书面通知，均作无效处理，不得作为招标文件的组成部分。招标代理机构对投标人由此而做出的推论、理解和结论概不负责。</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12．招标文件的澄清</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12.1招标文件澄清的目的是澄清、解答投标人在查阅招标文件后或现场踏勘中可能提出的与投标有关的疑问或询问。</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12.2投标人如对招标文件内容有疑问，应当在招标公告规定的澄清（提问）截止时间前以网上提问的形式通过自行采购系统提交招标代理机构。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12.3不论是招标代理机构根据需要主动对招标文件进行必要的澄清或是根据投标人的要求对招标文件做出澄清，招标代理机构都将在投标截止日期前以书面形式（包括招标代理机构网站发布方式）答复或发送给所有投标人。答复内容是招标文件的组成部分，对投标人起约束作用，其有效性按照本通用条款第13.3、13.4款规定执行。</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13．招标文件的修改</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13.1招标文件发出后，在投标截止日期前任何时候，确需要变更招标文件内容的，招标代理机构可主动或在解答投标人提出的澄清问题时对招标文件进行修改。</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13.2招标文件的修改以书面形式（包括招标代理机构网站发布方式，如更正公告等）发送给所有投标人，招标文件的修改内容作为招标文件的组成部分，并具有约束力。</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13.3招标文件、招标文件澄清答复内容、招标文件修改补充内容均以书面形式（包括招标代理机构网站公开发布方式，如更正公告等）明确的内容为准。当招标文件、修改补充通知、招标文件澄清答复内容相互矛盾时，以最后发出的内容为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13.4招标代理机构保证招标文件澄清答复内容和招标文件修改补充内容在投标截止时间前以书面形式（包括招标代理机构网站发布方式，如更正公告等）发送给所有投标人。为使投标人在编制投标文件时有充分时间对招标文件的修改部分进行研究，招标代理机构可以酌情延长递交投标文件的截止日期。</w:t>
      </w:r>
      <w:bookmarkEnd w:id="78"/>
    </w:p>
    <w:p>
      <w:pPr>
        <w:widowControl w:val="0"/>
        <w:jc w:val="both"/>
        <w:rPr>
          <w:rFonts w:ascii="宋体" w:eastAsia="宋体" w:hAnsi="宋体" w:cs="宋体" w:hint="eastAsia"/>
          <w:kern w:val="2"/>
          <w:lang w:eastAsia="zh-CN"/>
        </w:rPr>
      </w:pPr>
    </w:p>
    <w:p>
      <w:pPr>
        <w:keepNext/>
        <w:keepLines/>
        <w:widowControl w:val="0"/>
        <w:spacing w:before="156" w:beforeLines="50" w:after="156" w:afterLines="50" w:line="240" w:lineRule="auto"/>
        <w:ind w:left="562" w:hanging="562"/>
        <w:jc w:val="center"/>
        <w:outlineLvl w:val="1"/>
        <w:rPr>
          <w:rFonts w:ascii="宋体" w:eastAsia="宋体" w:hAnsi="宋体" w:cs="宋体" w:hint="eastAsia"/>
          <w:b/>
          <w:bCs/>
          <w:kern w:val="2"/>
          <w:lang w:eastAsia="zh-CN"/>
        </w:rPr>
      </w:pPr>
      <w:r>
        <w:rPr>
          <w:rFonts w:ascii="宋体" w:eastAsia="宋体" w:hAnsi="宋体" w:cs="宋体" w:hint="eastAsia"/>
          <w:b/>
          <w:bCs/>
          <w:kern w:val="2"/>
          <w:lang w:eastAsia="zh-CN"/>
        </w:rPr>
        <w:t>第三章</w:t>
      </w:r>
      <w:r>
        <w:rPr>
          <w:rFonts w:ascii="宋体" w:eastAsia="宋体" w:hAnsi="宋体" w:cs="宋体" w:hint="eastAsia"/>
          <w:b/>
          <w:bCs/>
          <w:kern w:val="2"/>
          <w:lang w:eastAsia="zh-CN"/>
        </w:rPr>
        <w:t xml:space="preserve"> </w:t>
      </w:r>
      <w:r>
        <w:rPr>
          <w:rFonts w:ascii="宋体" w:eastAsia="宋体" w:hAnsi="宋体" w:cs="宋体" w:hint="eastAsia"/>
          <w:b/>
          <w:bCs/>
          <w:kern w:val="2"/>
          <w:lang w:eastAsia="zh-CN"/>
        </w:rPr>
        <w:t>投标文件的编制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14．</w:t>
      </w:r>
      <w:bookmarkStart w:id="79" w:name="_Hlk72400236"/>
      <w:r>
        <w:rPr>
          <w:rFonts w:ascii="宋体" w:eastAsia="宋体" w:hAnsi="宋体" w:cs="宋体" w:hint="eastAsia"/>
          <w:kern w:val="2"/>
          <w:lang w:eastAsia="zh-CN"/>
        </w:rPr>
        <w:t>投标文件的语言及度量单位</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14.1投标人与招标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14.2除技术规范另有规定外，投标文件使用的度量单位，均采用中华人民共和国法定计量单位。</w:t>
      </w:r>
    </w:p>
    <w:bookmarkEnd w:id="79"/>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15．</w:t>
      </w:r>
      <w:bookmarkStart w:id="80" w:name="_Hlk72401567"/>
      <w:r>
        <w:rPr>
          <w:rFonts w:ascii="宋体" w:eastAsia="宋体" w:hAnsi="宋体" w:cs="宋体" w:hint="eastAsia"/>
          <w:kern w:val="2"/>
          <w:lang w:eastAsia="zh-CN"/>
        </w:rPr>
        <w:t>投标文件的组成</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具体内容在招标文件专用条款中进行规定。</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16．投标文件格式</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投标文件包括本通用条款第15条中规定的内容。如招标文件提供了投标文件格式，则</w:t>
      </w:r>
      <w:r>
        <w:rPr>
          <w:rFonts w:ascii="宋体" w:eastAsia="宋体" w:hAnsi="宋体" w:cs="宋体" w:hint="eastAsia"/>
          <w:b/>
          <w:bCs/>
          <w:kern w:val="2"/>
          <w:lang w:eastAsia="zh-CN"/>
        </w:rPr>
        <w:t>投标人提交的投标文件应毫无例外地使用招标文件所提供的相应格式</w:t>
      </w:r>
      <w:r>
        <w:rPr>
          <w:rFonts w:ascii="宋体" w:eastAsia="宋体" w:hAnsi="宋体" w:cs="宋体" w:hint="eastAsia"/>
          <w:kern w:val="2"/>
          <w:lang w:eastAsia="zh-CN"/>
        </w:rPr>
        <w:t>（表格均可按同样格式扩展）。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17．投标货币</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本项目的投标报价应以人民币计。</w:t>
      </w:r>
    </w:p>
    <w:bookmarkEnd w:id="80"/>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18．</w:t>
      </w:r>
      <w:bookmarkStart w:id="81" w:name="_Hlk72401735"/>
      <w:r>
        <w:rPr>
          <w:rFonts w:ascii="宋体" w:eastAsia="宋体" w:hAnsi="宋体" w:cs="宋体" w:hint="eastAsia"/>
          <w:kern w:val="2"/>
          <w:lang w:eastAsia="zh-CN"/>
        </w:rPr>
        <w:t>证明投标文件投标技术方案的合格性和符合招标文件规定的文件要求</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18.1投标人应提交证明文件，证明其投标技术方案项下的货物和服务的合格性符合招标文件规定。该投标技术方案及其证明文件均作为投标文件组成部分。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18.2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18.2.1主要技术指标和性能的详细说明。</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18.2.2投标产品从招标人开始使用至招标文件中规定的周期内正常、连续地使用所必须的备件和专用工具清单，包括备件和专用工具的货源及现行价格。</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18.2.3对照招标文件技术规格，逐条说明投标技术方案已对招标人的技术规格做出了实质性的响应，或申明与技术规格条文的偏差和例外。投标人应详细说明投标技术方案中产品的具体参数，不得不合理照搬照抄招标文件的技术要求。</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18.3相关资料不符合18.2款要求的，评审委员会有权认定为投标技术方案不合格响应，其相关分数予以扣减或作投标无效处理。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18.4投标人在阐述上述第18.2时应注意招标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18.5除非另有规定或说明，投标人对同一项目投标时，不得同时提供两套或两套以上的投标方案。</w:t>
      </w:r>
    </w:p>
    <w:bookmarkEnd w:id="81"/>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19．</w:t>
      </w:r>
      <w:bookmarkStart w:id="82" w:name="_Hlk72402034"/>
      <w:r>
        <w:rPr>
          <w:rFonts w:ascii="宋体" w:eastAsia="宋体" w:hAnsi="宋体" w:cs="宋体" w:hint="eastAsia"/>
          <w:kern w:val="2"/>
          <w:lang w:eastAsia="zh-CN"/>
        </w:rPr>
        <w:t>投标文件其他证明文件的要求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color w:val="FF0000"/>
          <w:kern w:val="2"/>
          <w:lang w:eastAsia="zh-CN"/>
        </w:rPr>
      </w:pPr>
      <w:r>
        <w:rPr>
          <w:rFonts w:ascii="宋体" w:eastAsia="宋体" w:hAnsi="宋体" w:cs="宋体" w:hint="eastAsia"/>
          <w:kern w:val="2"/>
          <w:lang w:eastAsia="zh-CN"/>
        </w:rPr>
        <w:t>19.1</w:t>
      </w:r>
      <w:bookmarkStart w:id="83" w:name="_Hlk71407299"/>
      <w:r>
        <w:rPr>
          <w:rFonts w:ascii="宋体" w:eastAsia="宋体" w:hAnsi="宋体" w:cs="宋体" w:hint="eastAsia"/>
          <w:kern w:val="2"/>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招标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83"/>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20．投标有效期</w:t>
      </w:r>
    </w:p>
    <w:bookmarkEnd w:id="82"/>
    <w:p>
      <w:pPr>
        <w:widowControl w:val="0"/>
        <w:ind w:firstLine="470" w:firstLineChars="196"/>
        <w:jc w:val="both"/>
        <w:rPr>
          <w:rFonts w:ascii="宋体" w:eastAsia="宋体" w:hAnsi="宋体" w:cs="宋体" w:hint="eastAsia"/>
          <w:kern w:val="2"/>
          <w:lang w:eastAsia="zh-CN"/>
        </w:rPr>
      </w:pPr>
      <w:bookmarkStart w:id="84" w:name="_Hlk72402214"/>
      <w:r>
        <w:rPr>
          <w:rFonts w:ascii="宋体" w:eastAsia="宋体" w:hAnsi="宋体" w:cs="宋体" w:hint="eastAsia"/>
          <w:kern w:val="2"/>
          <w:lang w:eastAsia="zh-CN"/>
        </w:rPr>
        <w:t>20.1投标有效期为从投标截止之日算起的日历天数。在此期限内，所有投标文件均保持有效。</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20.2在特殊情况下，招标代理机构在原定的投标有效期满之前，招标代理机构可以根据需要以书面形式（包括招标代理机构网站公开发布方式）向投标人提出延长投标有效期的要求，对此要求投标人须以书面形式予以答复，投标人可以拒绝招标代理机构此项要求，其投标在原投标有效期满后不再有效。同意延长投标有效期的投标人不能要求也不允许修改其投标文件。</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20.3中标投标人的投标文件有效期，截止于完成本招标文件规定的全部项目内容，并通过竣工验收及保修期结束。</w:t>
      </w:r>
    </w:p>
    <w:bookmarkEnd w:id="84"/>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21．</w:t>
      </w:r>
      <w:bookmarkStart w:id="85" w:name="_Hlk72402325"/>
      <w:r>
        <w:rPr>
          <w:rFonts w:ascii="宋体" w:eastAsia="宋体" w:hAnsi="宋体" w:cs="宋体" w:hint="eastAsia"/>
          <w:kern w:val="2"/>
          <w:lang w:eastAsia="zh-CN"/>
        </w:rPr>
        <w:t>关于投标保证金</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21.1项见第二章对通用条款的补充内容及其他关键信息。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22．投标人的替代方案</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85"/>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23．</w:t>
      </w:r>
      <w:bookmarkStart w:id="86" w:name="_Hlk72402860"/>
      <w:r>
        <w:rPr>
          <w:rFonts w:ascii="宋体" w:eastAsia="宋体" w:hAnsi="宋体" w:cs="宋体" w:hint="eastAsia"/>
          <w:kern w:val="2"/>
          <w:lang w:eastAsia="zh-CN"/>
        </w:rPr>
        <w:t>投标文件的制作要求</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23.1投标人应准备所投项目的电子投标文件一份。</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23.2投标人在使用《投标书编制软件》编制投标书时须注意：</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23.2.2不能用非本公司的电子密钥加密本公司的投标文件，或者用其它公司的登录用户上传本公司的投标文件。</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23.2.3要求用《投标书编制软件》编制投标书的包，不能用其它方式编制投标书。编制投标文件时，电脑须连通互联网。</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23.2.4投标文件不能带病毒。招标代理机构将用专业杀毒软件对投标文件进行病毒检测，如果这两种软件均报告发现病毒，则招标代理机构认为该投标文件带病毒。</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23.2.6投标人在编辑投标文件时，</w:t>
      </w:r>
      <w:r>
        <w:rPr>
          <w:rFonts w:ascii="宋体" w:eastAsia="宋体" w:hAnsi="宋体" w:cs="宋体" w:hint="eastAsia"/>
          <w:b/>
          <w:kern w:val="2"/>
          <w:lang w:eastAsia="zh-CN"/>
        </w:rPr>
        <w:t>在投标文件目录中属于本节点内容的必须在本节点中填写，填写到其他节点或附件，</w:t>
      </w:r>
      <w:r>
        <w:rPr>
          <w:rFonts w:ascii="宋体" w:eastAsia="宋体" w:hAnsi="宋体" w:cs="宋体" w:hint="eastAsia"/>
          <w:kern w:val="2"/>
          <w:lang w:eastAsia="zh-CN"/>
        </w:rPr>
        <w:t>一切后果由供应商自行承担。</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23.2.7投标文件编写完成后，</w:t>
      </w:r>
      <w:r>
        <w:rPr>
          <w:rFonts w:ascii="宋体" w:eastAsia="宋体" w:hAnsi="宋体" w:cs="宋体" w:hint="eastAsia"/>
          <w:b/>
          <w:kern w:val="2"/>
          <w:lang w:eastAsia="zh-CN"/>
        </w:rPr>
        <w:t>必须用属于投标人的电子密钥或电子营业执照进行加密，否则视同未盖公章，将导致投标文件无效。</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23.2.8招标代理机构不接受投标截止时间后递交的纸质、电子、传真等所有形式的投标文件。由于对自行采购系统操作不熟悉或自身电脑、网络等原因导致不能在投标截止时间之前上传投标文件，招标代理机构概不负责。建议于开标前一个工作日完成投标文件的制作与上传，如上传确有困难，请及时咨询。</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23.2.9如果开标时出现网络故障、技术故障，影响了交易活动，招标代理机构有权采取措施如延期、接受无法从网上上传的投标书等，以保障交易活动的公开、公平和公正。</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23.3电报、电话、传真形式的投标概不接受。</w:t>
      </w:r>
    </w:p>
    <w:p>
      <w:pPr>
        <w:widowControl w:val="0"/>
        <w:ind w:firstLine="470" w:firstLineChars="196"/>
        <w:jc w:val="both"/>
        <w:rPr>
          <w:rFonts w:ascii="宋体" w:eastAsia="宋体" w:hAnsi="宋体" w:cs="宋体" w:hint="eastAsia"/>
          <w:b/>
          <w:kern w:val="2"/>
          <w:lang w:eastAsia="zh-CN"/>
        </w:rPr>
      </w:pPr>
      <w:r>
        <w:rPr>
          <w:rFonts w:ascii="宋体" w:eastAsia="宋体" w:hAnsi="宋体" w:cs="宋体" w:hint="eastAsia"/>
          <w:b/>
          <w:kern w:val="2"/>
          <w:lang w:eastAsia="zh-CN"/>
        </w:rPr>
        <w:t>23.4经投标人电子密钥或电子营业执照加密的投标文件无须盖章或签字，</w:t>
      </w:r>
      <w:r>
        <w:rPr>
          <w:rFonts w:ascii="宋体" w:eastAsia="宋体" w:hAnsi="宋体" w:cs="宋体" w:hint="eastAsia"/>
          <w:kern w:val="2"/>
          <w:lang w:eastAsia="zh-CN"/>
        </w:rPr>
        <w:t>专用条款另有要求的除外。</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b/>
          <w:kern w:val="2"/>
          <w:lang w:eastAsia="zh-CN"/>
        </w:rPr>
        <w:t>23.5</w:t>
      </w:r>
      <w:r>
        <w:rPr>
          <w:rFonts w:ascii="宋体" w:eastAsia="宋体" w:hAnsi="宋体" w:cs="宋体" w:hint="eastAsia"/>
          <w:kern w:val="2"/>
          <w:lang w:eastAsia="zh-CN"/>
        </w:rPr>
        <w:t>各类资格（资质）文件提供扫描件，专用条款另有要求的除外。</w:t>
      </w:r>
      <w:bookmarkEnd w:id="86"/>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b/>
          <w:bCs/>
          <w:kern w:val="2"/>
          <w:lang w:eastAsia="zh-CN"/>
        </w:rPr>
        <w:t>23.6供应商用户手册下载</w:t>
      </w:r>
      <w:r>
        <w:rPr>
          <w:rFonts w:ascii="宋体" w:eastAsia="宋体" w:hAnsi="宋体" w:cs="宋体" w:hint="eastAsia"/>
          <w:kern w:val="2"/>
          <w:lang w:eastAsia="zh-CN"/>
        </w:rPr>
        <w:t>：输入网址</w:t>
      </w:r>
      <w:bookmarkStart w:id="87" w:name="OLE_LINK21"/>
      <w:hyperlink r:id="rId37" w:history="1">
        <w:r>
          <w:rPr>
            <w:rFonts w:ascii="宋体" w:eastAsia="宋体" w:hAnsi="宋体" w:cs="宋体" w:hint="eastAsia"/>
            <w:kern w:val="2"/>
            <w:lang w:eastAsia="zh-CN"/>
          </w:rPr>
          <w:t>https://www.szggzy.com/static/index.html</w:t>
        </w:r>
      </w:hyperlink>
      <w:bookmarkEnd w:id="87"/>
      <w:r>
        <w:rPr>
          <w:rFonts w:ascii="宋体" w:eastAsia="宋体" w:hAnsi="宋体" w:cs="宋体" w:hint="eastAsia"/>
          <w:kern w:val="2"/>
          <w:lang w:eastAsia="zh-CN"/>
        </w:rPr>
        <w:t>，选择政府采购，点击资料下载，找到【深圳市自行采购系统用户操作指引（供应商）】，下载查阅。</w:t>
      </w:r>
    </w:p>
    <w:p>
      <w:pPr>
        <w:widowControl w:val="0"/>
        <w:ind w:firstLine="470" w:firstLineChars="196"/>
        <w:jc w:val="both"/>
        <w:rPr>
          <w:rFonts w:ascii="宋体" w:eastAsia="宋体" w:hAnsi="宋体" w:cs="宋体" w:hint="eastAsia"/>
          <w:kern w:val="2"/>
          <w:lang w:eastAsia="zh-CN"/>
        </w:rPr>
      </w:pPr>
    </w:p>
    <w:p>
      <w:pPr>
        <w:keepNext/>
        <w:keepLines/>
        <w:widowControl w:val="0"/>
        <w:spacing w:before="156" w:beforeLines="50" w:after="156" w:afterLines="50" w:line="240" w:lineRule="auto"/>
        <w:ind w:left="562" w:hanging="562"/>
        <w:jc w:val="center"/>
        <w:outlineLvl w:val="1"/>
        <w:rPr>
          <w:rFonts w:ascii="宋体" w:eastAsia="宋体" w:hAnsi="宋体" w:cs="宋体" w:hint="eastAsia"/>
          <w:b/>
          <w:bCs/>
          <w:kern w:val="2"/>
          <w:lang w:eastAsia="zh-CN"/>
        </w:rPr>
      </w:pPr>
      <w:r>
        <w:rPr>
          <w:rFonts w:ascii="宋体" w:eastAsia="宋体" w:hAnsi="宋体" w:cs="宋体" w:hint="eastAsia"/>
          <w:b/>
          <w:bCs/>
          <w:kern w:val="2"/>
          <w:lang w:eastAsia="zh-CN"/>
        </w:rPr>
        <w:t>第四章</w:t>
      </w:r>
      <w:r>
        <w:rPr>
          <w:rFonts w:ascii="宋体" w:eastAsia="宋体" w:hAnsi="宋体" w:cs="宋体" w:hint="eastAsia"/>
          <w:b/>
          <w:bCs/>
          <w:kern w:val="2"/>
          <w:lang w:eastAsia="zh-CN"/>
        </w:rPr>
        <w:t xml:space="preserve"> </w:t>
      </w:r>
      <w:r>
        <w:rPr>
          <w:rFonts w:ascii="宋体" w:eastAsia="宋体" w:hAnsi="宋体" w:cs="宋体" w:hint="eastAsia"/>
          <w:b/>
          <w:bCs/>
          <w:kern w:val="2"/>
          <w:lang w:eastAsia="zh-CN"/>
        </w:rPr>
        <w:t>投标文件的递交</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bookmarkStart w:id="88" w:name="_Hlk72405459"/>
      <w:r>
        <w:rPr>
          <w:rFonts w:ascii="宋体" w:eastAsia="宋体" w:hAnsi="宋体" w:cs="宋体" w:hint="eastAsia"/>
          <w:kern w:val="2"/>
          <w:lang w:eastAsia="zh-CN"/>
        </w:rPr>
        <w:t>24．投标文件的保密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b/>
          <w:kern w:val="2"/>
          <w:lang w:eastAsia="zh-CN"/>
        </w:rPr>
      </w:pPr>
      <w:r>
        <w:rPr>
          <w:rFonts w:ascii="宋体" w:eastAsia="宋体" w:hAnsi="宋体" w:cs="宋体" w:hint="eastAsia"/>
          <w:b/>
          <w:kern w:val="2"/>
          <w:lang w:eastAsia="zh-CN"/>
        </w:rPr>
        <w:t>24.2若采购项目出现延期情况：</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如果供下载的招标文件有更新，投标人必须重新下载招标文件、重新制作投标文件、重新加密投标文件、重新上传投标文件。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25．上传投标文件及投标截止日期</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cs="宋体" w:hint="eastAsia"/>
          <w:b/>
          <w:bCs/>
          <w:kern w:val="2"/>
          <w:lang w:eastAsia="zh-CN"/>
        </w:rPr>
        <w:t>深圳公共资源交易中心（深圳交易集团有限公司罗湖分公司）服务大厅（地址：深圳市罗湖区黄贝街道凤凰社区深南东路1076号罗湖区党群服务中心4层）协助上传，但上传过程中投标截止时间到达仍无法上传成功的，由投标人自行负责</w:t>
      </w:r>
      <w:r>
        <w:rPr>
          <w:rFonts w:ascii="宋体" w:eastAsia="宋体" w:hAnsi="宋体" w:cs="宋体" w:hint="eastAsia"/>
          <w:kern w:val="2"/>
          <w:lang w:eastAsia="zh-CN"/>
        </w:rPr>
        <w:t>。</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25.2招标代理机构可以按本通用条款第13条规定，通过修改招标文件自行决定酌情延长投标截止期。在此情况下，招标代理机构、招标人和投标人受投标截止期制约的所有权利和义务均应延长至新的截止期。</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25.3投标截止时间以后不得上传投标文件。</w:t>
      </w:r>
    </w:p>
    <w:bookmarkEnd w:id="88"/>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26.样品、现场演示、方案讲解</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26.1样品、现场演示、方案讲解等事项在招标文件专用条款中进行规定。</w:t>
      </w:r>
    </w:p>
    <w:p>
      <w:pPr>
        <w:widowControl w:val="0"/>
        <w:jc w:val="both"/>
        <w:rPr>
          <w:rFonts w:ascii="宋体" w:eastAsia="宋体" w:hAnsi="宋体" w:cs="宋体" w:hint="eastAsia"/>
          <w:kern w:val="2"/>
          <w:lang w:eastAsia="zh-CN"/>
        </w:rPr>
      </w:pPr>
      <w:bookmarkStart w:id="89" w:name="_Hlk72428346"/>
      <w:r>
        <w:rPr>
          <w:rFonts w:ascii="宋体" w:eastAsia="宋体" w:hAnsi="宋体" w:cs="宋体" w:hint="eastAsia"/>
          <w:kern w:val="2"/>
          <w:lang w:eastAsia="zh-CN"/>
        </w:rPr>
        <w:t>27．投标文件的修改和撤销</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27.1投标方在提交投标文件后可对其投标文件进行修改并重新上传投标文件或在网上进行撤销投标的操作。</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27.2投标截止时间以后不得修改投标文件。</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27.3从投标截止期至投标人在投标文件中确定的投标有效期之间的这段时间内，投标人不得撤回其投标。</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27.4招标代理机构不退还投标文件，专用条款另有规定的除外。</w:t>
      </w:r>
    </w:p>
    <w:bookmarkEnd w:id="89"/>
    <w:p>
      <w:pPr>
        <w:keepNext/>
        <w:keepLines/>
        <w:widowControl w:val="0"/>
        <w:spacing w:before="156" w:beforeLines="50" w:after="156" w:afterLines="50" w:line="240" w:lineRule="auto"/>
        <w:ind w:left="562" w:hanging="562"/>
        <w:jc w:val="center"/>
        <w:outlineLvl w:val="1"/>
        <w:rPr>
          <w:rFonts w:ascii="宋体" w:eastAsia="宋体" w:hAnsi="宋体" w:cs="宋体" w:hint="eastAsia"/>
          <w:b/>
          <w:bCs/>
          <w:kern w:val="2"/>
          <w:lang w:eastAsia="zh-CN"/>
        </w:rPr>
      </w:pPr>
      <w:r>
        <w:rPr>
          <w:rFonts w:ascii="宋体" w:eastAsia="宋体" w:hAnsi="宋体" w:cs="宋体" w:hint="eastAsia"/>
          <w:b/>
          <w:bCs/>
          <w:kern w:val="2"/>
          <w:lang w:eastAsia="zh-CN"/>
        </w:rPr>
        <w:t>第五章</w:t>
      </w:r>
      <w:r>
        <w:rPr>
          <w:rFonts w:ascii="宋体" w:eastAsia="宋体" w:hAnsi="宋体" w:cs="宋体" w:hint="eastAsia"/>
          <w:b/>
          <w:bCs/>
          <w:kern w:val="2"/>
          <w:lang w:eastAsia="zh-CN"/>
        </w:rPr>
        <w:t xml:space="preserve"> </w:t>
      </w:r>
      <w:r>
        <w:rPr>
          <w:rFonts w:ascii="宋体" w:eastAsia="宋体" w:hAnsi="宋体" w:cs="宋体" w:hint="eastAsia"/>
          <w:b/>
          <w:bCs/>
          <w:kern w:val="2"/>
          <w:lang w:eastAsia="zh-CN"/>
        </w:rPr>
        <w:t>开标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28．开标</w:t>
      </w:r>
    </w:p>
    <w:p>
      <w:pPr>
        <w:widowControl w:val="0"/>
        <w:ind w:firstLine="410" w:firstLineChars="171"/>
        <w:jc w:val="both"/>
        <w:rPr>
          <w:rFonts w:ascii="宋体" w:eastAsia="宋体" w:hAnsi="宋体" w:cs="宋体" w:hint="eastAsia"/>
          <w:kern w:val="2"/>
          <w:lang w:eastAsia="zh-CN"/>
        </w:rPr>
      </w:pPr>
      <w:r>
        <w:rPr>
          <w:rFonts w:ascii="宋体" w:eastAsia="宋体" w:hAnsi="宋体" w:cs="宋体" w:hint="eastAsia"/>
          <w:kern w:val="2"/>
          <w:lang w:eastAsia="zh-CN"/>
        </w:rPr>
        <w:t>28.1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pPr>
        <w:widowControl w:val="0"/>
        <w:ind w:firstLine="360" w:firstLineChars="150"/>
        <w:jc w:val="both"/>
        <w:rPr>
          <w:rFonts w:ascii="宋体" w:eastAsia="宋体" w:hAnsi="宋体" w:cs="宋体" w:hint="eastAsia"/>
          <w:kern w:val="2"/>
          <w:lang w:eastAsia="zh-CN"/>
        </w:rPr>
      </w:pPr>
      <w:r>
        <w:rPr>
          <w:rFonts w:ascii="宋体" w:eastAsia="宋体" w:hAnsi="宋体" w:cs="宋体" w:hint="eastAsia"/>
          <w:kern w:val="2"/>
          <w:lang w:eastAsia="zh-CN"/>
        </w:rPr>
        <w:t>28.2招标代理机构将在满足开标条件（①解密时间结束，解密后的投标供应商数量满足开标要求或②解密时间结束前所有投标供应商均完成投标文件解密）后，对投标文件进行开标，并在网上公布开标结果。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60" w:firstLineChars="150"/>
        <w:jc w:val="both"/>
        <w:rPr>
          <w:rFonts w:ascii="宋体" w:eastAsia="宋体" w:hAnsi="宋体" w:cs="宋体" w:hint="eastAsia"/>
          <w:kern w:val="2"/>
          <w:lang w:eastAsia="zh-CN"/>
        </w:rPr>
      </w:pPr>
    </w:p>
    <w:p>
      <w:pPr>
        <w:keepNext/>
        <w:keepLines/>
        <w:widowControl w:val="0"/>
        <w:spacing w:before="156" w:beforeLines="50" w:after="156" w:afterLines="50" w:line="240" w:lineRule="auto"/>
        <w:ind w:left="562" w:hanging="562"/>
        <w:jc w:val="center"/>
        <w:outlineLvl w:val="1"/>
        <w:rPr>
          <w:rFonts w:ascii="宋体" w:eastAsia="宋体" w:hAnsi="宋体" w:cs="宋体" w:hint="eastAsia"/>
          <w:b/>
          <w:bCs/>
          <w:kern w:val="2"/>
          <w:lang w:eastAsia="zh-CN"/>
        </w:rPr>
      </w:pPr>
      <w:r>
        <w:rPr>
          <w:rFonts w:ascii="宋体" w:eastAsia="宋体" w:hAnsi="宋体" w:cs="宋体" w:hint="eastAsia"/>
          <w:b/>
          <w:bCs/>
          <w:kern w:val="2"/>
          <w:lang w:eastAsia="zh-CN"/>
        </w:rPr>
        <w:t>第六章</w:t>
      </w:r>
      <w:r>
        <w:rPr>
          <w:rFonts w:ascii="宋体" w:eastAsia="宋体" w:hAnsi="宋体" w:cs="宋体" w:hint="eastAsia"/>
          <w:b/>
          <w:bCs/>
          <w:kern w:val="2"/>
          <w:lang w:eastAsia="zh-CN"/>
        </w:rPr>
        <w:t xml:space="preserve"> </w:t>
      </w:r>
      <w:r>
        <w:rPr>
          <w:rFonts w:ascii="宋体" w:eastAsia="宋体" w:hAnsi="宋体" w:cs="宋体" w:hint="eastAsia"/>
          <w:b/>
          <w:bCs/>
          <w:kern w:val="2"/>
          <w:lang w:eastAsia="zh-CN"/>
        </w:rPr>
        <w:t>评审要求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29．评审委员会组成</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29.1网上开标结束后召开评审会议，评审委员会由招标代理机构依法组建，负责评审活动。</w:t>
      </w:r>
    </w:p>
    <w:p>
      <w:pPr>
        <w:widowControl w:val="0"/>
        <w:ind w:firstLine="470" w:firstLineChars="196"/>
        <w:jc w:val="both"/>
        <w:rPr>
          <w:rFonts w:ascii="宋体" w:eastAsia="宋体" w:hAnsi="宋体" w:cs="宋体" w:hint="eastAsia"/>
          <w:kern w:val="2"/>
          <w:lang w:eastAsia="zh-CN"/>
        </w:rPr>
      </w:pPr>
      <w:bookmarkStart w:id="90" w:name="_Hlk72436580"/>
      <w:r>
        <w:rPr>
          <w:rFonts w:ascii="宋体" w:eastAsia="宋体" w:hAnsi="宋体" w:cs="宋体" w:hint="eastAsia"/>
          <w:kern w:val="2"/>
          <w:lang w:eastAsia="zh-CN"/>
        </w:rPr>
        <w:t>评审委员会由招标人代表和评审专家组成，成员人数应当为5人以上单数（部分条件下为7人以上单数），其中评审专家不得少于成员总数的三分之二。</w:t>
      </w:r>
      <w:bookmarkEnd w:id="90"/>
      <w:r>
        <w:rPr>
          <w:rFonts w:ascii="宋体" w:eastAsia="宋体" w:hAnsi="宋体" w:cs="宋体" w:hint="eastAsia"/>
          <w:kern w:val="2"/>
          <w:lang w:eastAsia="zh-CN"/>
        </w:rPr>
        <w:t>评定分离项目评审专家均由评审专家组成。评审专家一般是从深圳市政府采购评审专家库中随机抽取。招标人代表须持本单位签发的《评审授权书》参加评审。</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29.2评审定标应当遵循公平、公正、科学、择优的原则。</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29.3评审活动依法进行，任何单位和个人不得非法干预评标过程和结果。</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29.4评审过程中不允许违背评标程序或采用招标文件未载明的评标方法或评标因素进行评标。</w:t>
      </w:r>
    </w:p>
    <w:p>
      <w:pPr>
        <w:widowControl w:val="0"/>
        <w:ind w:firstLine="470" w:firstLineChars="196"/>
        <w:jc w:val="both"/>
        <w:rPr>
          <w:rFonts w:ascii="宋体" w:eastAsia="宋体" w:hAnsi="宋体" w:cs="宋体" w:hint="eastAsia"/>
          <w:bCs/>
          <w:kern w:val="2"/>
          <w:lang w:eastAsia="zh-CN"/>
        </w:rPr>
      </w:pPr>
      <w:r>
        <w:rPr>
          <w:rFonts w:ascii="宋体" w:eastAsia="宋体" w:hAnsi="宋体" w:cs="宋体" w:hint="eastAsia"/>
          <w:bCs/>
          <w:kern w:val="2"/>
          <w:lang w:eastAsia="zh-CN"/>
        </w:rPr>
        <w:t>29.5开标后，直到签订协议为止，凡属于对投标文件的审查、澄清、评价和比较的有关资料以及中标候选人的推荐情况、与评审有关的其他任何情况均严格保密（</w:t>
      </w:r>
      <w:r>
        <w:rPr>
          <w:rFonts w:ascii="宋体" w:eastAsia="宋体" w:hAnsi="宋体" w:cs="宋体" w:hint="eastAsia"/>
          <w:kern w:val="2"/>
          <w:lang w:eastAsia="zh-CN"/>
        </w:rPr>
        <w:t>信息公开的内容除外</w:t>
      </w:r>
      <w:r>
        <w:rPr>
          <w:rFonts w:ascii="宋体" w:eastAsia="宋体" w:hAnsi="宋体" w:cs="宋体" w:hint="eastAsia"/>
          <w:bCs/>
          <w:kern w:val="2"/>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30．向评审委员会提供的资料</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30.1公开发布的招标文件，包括图纸、服务清单、答疑文件等；</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30.2其他评标必须的资料。</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30.3评审委员会应当认真研究招标文件，至少应了解熟悉以下内容：</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（1）招标的目的；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（2）招标项目需求的范围和性质；</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（3）招标文件规定的投标人的资格、财政预算限额、商务条款；</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（4）招标文件规定的评标程序、评标方法和评标因素；</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（5）招标文件所列示的资格性审查表及符合性审查表。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31．独立评审</w:t>
      </w:r>
    </w:p>
    <w:p>
      <w:pPr>
        <w:widowControl w:val="0"/>
        <w:ind w:firstLine="470" w:firstLineChars="196"/>
        <w:jc w:val="both"/>
        <w:rPr>
          <w:rFonts w:ascii="宋体" w:eastAsia="宋体" w:hAnsi="宋体" w:cs="宋体" w:hint="eastAsia"/>
          <w:bCs/>
          <w:kern w:val="2"/>
          <w:lang w:eastAsia="zh-CN"/>
        </w:rPr>
      </w:pPr>
      <w:r>
        <w:rPr>
          <w:rFonts w:ascii="宋体" w:eastAsia="宋体" w:hAnsi="宋体" w:cs="宋体" w:hint="eastAsia"/>
          <w:bCs/>
          <w:kern w:val="2"/>
          <w:lang w:eastAsia="zh-CN"/>
        </w:rPr>
        <w:t>31.1</w:t>
      </w:r>
      <w:r>
        <w:rPr>
          <w:rFonts w:ascii="宋体" w:eastAsia="宋体" w:hAnsi="宋体" w:cs="宋体" w:hint="eastAsia"/>
          <w:kern w:val="2"/>
          <w:lang w:eastAsia="zh-CN"/>
        </w:rPr>
        <w:t>评审委员会</w:t>
      </w:r>
      <w:r>
        <w:rPr>
          <w:rFonts w:ascii="宋体" w:eastAsia="宋体" w:hAnsi="宋体" w:cs="宋体" w:hint="eastAsia"/>
          <w:bCs/>
          <w:kern w:val="2"/>
          <w:lang w:eastAsia="zh-CN"/>
        </w:rPr>
        <w:t>成员的评标活动应当独立进行，并应遵循投标文件初审、澄清有关问题、比较与评价、确定中标供应商、编写评审报告的工作程序。</w:t>
      </w:r>
    </w:p>
    <w:p>
      <w:pPr>
        <w:widowControl w:val="0"/>
        <w:ind w:firstLine="470" w:firstLineChars="196"/>
        <w:jc w:val="both"/>
        <w:rPr>
          <w:rFonts w:ascii="宋体" w:eastAsia="宋体" w:hAnsi="宋体" w:cs="宋体" w:hint="eastAsia"/>
          <w:bCs/>
          <w:kern w:val="2"/>
          <w:lang w:eastAsia="zh-CN"/>
        </w:rPr>
      </w:pPr>
    </w:p>
    <w:p>
      <w:pPr>
        <w:keepNext/>
        <w:keepLines/>
        <w:widowControl w:val="0"/>
        <w:spacing w:before="156" w:beforeLines="50" w:after="156" w:afterLines="50" w:line="240" w:lineRule="auto"/>
        <w:ind w:left="562" w:hanging="562"/>
        <w:jc w:val="center"/>
        <w:outlineLvl w:val="1"/>
        <w:rPr>
          <w:rFonts w:ascii="宋体" w:eastAsia="宋体" w:hAnsi="宋体" w:cs="宋体" w:hint="eastAsia"/>
          <w:b/>
          <w:bCs/>
          <w:kern w:val="2"/>
          <w:lang w:eastAsia="zh-CN"/>
        </w:rPr>
      </w:pPr>
      <w:r>
        <w:rPr>
          <w:rFonts w:ascii="宋体" w:eastAsia="宋体" w:hAnsi="宋体" w:cs="宋体" w:hint="eastAsia"/>
          <w:b/>
          <w:bCs/>
          <w:kern w:val="2"/>
          <w:lang w:eastAsia="zh-CN"/>
        </w:rPr>
        <w:t>第七章</w:t>
      </w:r>
      <w:r>
        <w:rPr>
          <w:rFonts w:ascii="宋体" w:eastAsia="宋体" w:hAnsi="宋体" w:cs="宋体" w:hint="eastAsia"/>
          <w:b/>
          <w:bCs/>
          <w:kern w:val="2"/>
          <w:lang w:eastAsia="zh-CN"/>
        </w:rPr>
        <w:t xml:space="preserve"> </w:t>
      </w:r>
      <w:r>
        <w:rPr>
          <w:rFonts w:ascii="宋体" w:eastAsia="宋体" w:hAnsi="宋体" w:cs="宋体" w:hint="eastAsia"/>
          <w:b/>
          <w:bCs/>
          <w:kern w:val="2"/>
          <w:lang w:eastAsia="zh-CN"/>
        </w:rPr>
        <w:t>评审程序及评审方法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32．投标文件初审</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32.1投标文件初审包括资格性审查和符合性审查。</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资格性审查：依据法律法规和招标文件的规定，对投标文件中的资格证明等进行审查，以确定投标供应商是否具备投标资格。</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符合性审查：依据招标文件的规定，对投标文件的有效性、完整性和对招标文件的响应程度进行审查，以确定是否满足符合性审查的要求。</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32.2投标文件初审内容请详见《资格性审查表》和《符合性审查表》部分。投标人若有一条审查不通过则按投标无效处理。</w:t>
      </w:r>
    </w:p>
    <w:p>
      <w:pPr>
        <w:widowControl w:val="0"/>
        <w:ind w:firstLine="470" w:firstLineChars="196"/>
        <w:jc w:val="both"/>
        <w:rPr>
          <w:rFonts w:ascii="宋体" w:eastAsia="宋体" w:hAnsi="宋体" w:cs="宋体" w:hint="eastAsia"/>
          <w:bCs/>
          <w:kern w:val="2"/>
          <w:lang w:eastAsia="zh-CN"/>
        </w:rPr>
      </w:pPr>
      <w:r>
        <w:rPr>
          <w:rFonts w:ascii="宋体" w:eastAsia="宋体" w:hAnsi="宋体" w:cs="宋体" w:hint="eastAsia"/>
          <w:bCs/>
          <w:kern w:val="2"/>
          <w:lang w:eastAsia="zh-CN"/>
        </w:rPr>
        <w:t>32.3投标文件初审中关于供应商家数的计算:</w:t>
      </w:r>
    </w:p>
    <w:p>
      <w:pPr>
        <w:widowControl w:val="0"/>
        <w:ind w:firstLine="470" w:firstLineChars="196"/>
        <w:jc w:val="both"/>
        <w:rPr>
          <w:rFonts w:ascii="宋体" w:eastAsia="宋体" w:hAnsi="宋体" w:cs="宋体" w:hint="eastAsia"/>
          <w:bCs/>
          <w:kern w:val="2"/>
          <w:lang w:eastAsia="zh-CN"/>
        </w:rPr>
      </w:pPr>
      <w:r>
        <w:rPr>
          <w:rFonts w:ascii="宋体" w:eastAsia="宋体" w:hAnsi="宋体" w:cs="宋体" w:hint="eastAsia"/>
          <w:bCs/>
          <w:kern w:val="2"/>
          <w:lang w:eastAsia="zh-CN"/>
        </w:rPr>
        <w:t>32.3.1采用最低评标价法的采购项目，提供相同品牌产品的不同投标人参加同一协议项下投标的，以其中通过资格审查、符合性审查且报价最低的参加评标；报价相同的，由招标人或者招标人委托评审委员会按照招标文件规定的方式确定一个参加评审的投标人，招标文件未规定的采取随机抽取方式确定，其他投标无效。</w:t>
      </w:r>
    </w:p>
    <w:p>
      <w:pPr>
        <w:widowControl w:val="0"/>
        <w:ind w:firstLine="470" w:firstLineChars="196"/>
        <w:jc w:val="both"/>
        <w:rPr>
          <w:rFonts w:ascii="宋体" w:eastAsia="宋体" w:hAnsi="宋体" w:cs="宋体" w:hint="eastAsia"/>
          <w:bCs/>
          <w:kern w:val="2"/>
          <w:lang w:eastAsia="zh-CN"/>
        </w:rPr>
      </w:pPr>
      <w:r>
        <w:rPr>
          <w:rFonts w:ascii="宋体" w:eastAsia="宋体" w:hAnsi="宋体" w:cs="宋体" w:hint="eastAsia"/>
          <w:bCs/>
          <w:kern w:val="2"/>
          <w:lang w:eastAsia="zh-CN"/>
        </w:rPr>
        <w:t>32.3.2采用综合评分法的采购项目，提供相同品牌产品且通过资格审查、符合性审查的不同投标人参加同一协议项下投标的，按一家投标人计算，评审后得分最高的同品牌投标人获得中标人推荐资格；评审得分相同的，由招标人或者招标人委托评审委员会按照招标文件规定的方式确定一个投标人获得中标人推荐资格，招标文件未规定的采取随机抽取方式确定，其他同品牌投标人不作为中标候选人。</w:t>
      </w:r>
    </w:p>
    <w:p>
      <w:pPr>
        <w:widowControl w:val="0"/>
        <w:ind w:firstLine="470" w:firstLineChars="196"/>
        <w:jc w:val="both"/>
        <w:rPr>
          <w:rFonts w:ascii="宋体" w:eastAsia="宋体" w:hAnsi="宋体" w:cs="宋体" w:hint="eastAsia"/>
          <w:bCs/>
          <w:kern w:val="2"/>
          <w:lang w:eastAsia="zh-CN"/>
        </w:rPr>
      </w:pPr>
      <w:r>
        <w:rPr>
          <w:rFonts w:ascii="宋体" w:eastAsia="宋体" w:hAnsi="宋体" w:cs="宋体" w:hint="eastAsia"/>
          <w:bCs/>
          <w:kern w:val="2"/>
          <w:lang w:eastAsia="zh-CN"/>
        </w:rPr>
        <w:t>32.3.3非单一产品采购项目，招标人应当根据采购项目技术构成、产品价格比重等合理确定核心产品，并在招标文件中载明。多家投标人提供的核心产品品牌相同的，按前两款规定处理。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32.4投标人投标文件作无效处理的情形，具体包括但不限于以下：</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32.4.1不同投标人的投标文件由同一单位或者同一个人编制，或者由同一个人分阶段参与编制；</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32.4.2不同投标人委托同一单位或者个人办理投标事宜；</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32.4.3不同投标人的投标文件载明的项目管理成员或者联系人员为同一人；</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32.4.4不同投标人的投标文件异常一致或者投标报价呈规律性差异；</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32.4.5不同投标供应商的投标文件或部分投标文件相互混装；</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32.4.6投标供应商之间相互约定给予未中标的供应商利益补偿；</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32.4.7不同投标供应商的法定代表人、主要经营负责人、项目投标授权代表人、项目负责人、主要技术人员为同一人、属同一单位或者同一单位缴纳社会保险；</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32.4.8不同投标供应商的投标文件内容存在非正常一致；</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32.4.9在同一单位工作人员为两家以上（含两家）供应商进行同一项投标活动；</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32.4.10主管部门依照法律、法规认定的其他情形。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32.5对不属于《资格性审查表》和《符合性审查表》所列的其他情形，除专用条款另有规定和32.4条款所列情形外，不得作为投标无效的理由。</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33．澄清有关问题</w:t>
      </w:r>
    </w:p>
    <w:p>
      <w:pPr>
        <w:widowControl w:val="0"/>
        <w:ind w:firstLine="470" w:firstLineChars="196"/>
        <w:jc w:val="both"/>
        <w:rPr>
          <w:rFonts w:ascii="宋体" w:eastAsia="宋体" w:hAnsi="宋体" w:cs="宋体" w:hint="eastAsia"/>
          <w:kern w:val="2"/>
          <w:lang w:eastAsia="zh-CN"/>
        </w:rPr>
      </w:pPr>
      <w:bookmarkStart w:id="91" w:name="_Hlk71407321"/>
      <w:r>
        <w:rPr>
          <w:rFonts w:ascii="宋体" w:eastAsia="宋体" w:hAnsi="宋体" w:cs="宋体" w:hint="eastAsia"/>
          <w:kern w:val="2"/>
          <w:lang w:eastAsia="zh-CN"/>
        </w:rPr>
        <w:t>33.1对招标文件中描述有歧义或前后不一致的地方（不含招标文件存在歧义、重大缺陷导致评审工作无法进行的情况），评审委员会有权进行评判，但对同一条款的评判应适用于每个投标人。</w:t>
      </w:r>
      <w:bookmarkEnd w:id="91"/>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33.2评审委员会发现招标文件存在歧义、重大缺陷导致评审工作无法进行，或者招标文件内容违反国家有关强制性规定的，应当停止评审工作，与招标代理机构沟通并作书面记录。经确认后，项目应当修改招标文件，重新组织交易活动。</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33.3对于投标文件中含义不明确、同类问题表述不一致或者有明显文字和计算错误的内容，评审委员会应当以书面形式要求投标人作出必要的澄清、说明或者补正。</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根据本通用条款第34条，凡属于评审委员会在评审中发现的算术错误进行核实的修改不在此列。</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bookmarkStart w:id="92" w:name="_Toc100052400"/>
      <w:bookmarkStart w:id="93" w:name="_Toc73521669"/>
      <w:bookmarkStart w:id="94" w:name="_Toc73518151"/>
      <w:bookmarkStart w:id="95" w:name="_Toc73521581"/>
      <w:bookmarkStart w:id="96" w:name="_Toc73517673"/>
      <w:r>
        <w:rPr>
          <w:rFonts w:ascii="宋体" w:eastAsia="宋体" w:hAnsi="宋体" w:cs="宋体" w:hint="eastAsia"/>
          <w:kern w:val="2"/>
          <w:lang w:eastAsia="zh-CN"/>
        </w:rPr>
        <w:t>34．错误的修正</w:t>
      </w:r>
      <w:bookmarkEnd w:id="92"/>
      <w:bookmarkEnd w:id="93"/>
      <w:bookmarkEnd w:id="94"/>
      <w:bookmarkEnd w:id="95"/>
      <w:bookmarkEnd w:id="96"/>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投标文件报价出现前后不一致的，除专用条款另有规定外，按照下列规定修正：</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34.1投标文件中建设投资额报价表投标报价内容与投标文件中投标报价相应内容不一致的，以建设投资额报价表为准；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34.2大写金额和小写金额不一致的，以大写金额为准；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34.3单价金额小数点或者百分比有明显错位，以建设投资额报价表的建设投资额为准，并修改单价；</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34.4总价金额与按单价汇总金额不一致的，以单价金额计算结果为准。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34.5同时出现两种以上不一致的，按照前款规定的顺序修正。修正后的报价按照本通用条款33条的规定，经投标人确认后产生约束力，投标人不确认的，其投标无效。</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35．投标文件的比较与评价</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评审委员会将参照《中华人民共和国政府采购法》《中华人民共和国招标投标法》《</w:t>
      </w:r>
      <w:hyperlink r:id="rId4" w:tgtFrame="https://www.baidu.com/_blank" w:history="1">
        <w:r>
          <w:rPr>
            <w:rFonts w:ascii="宋体" w:eastAsia="宋体" w:hAnsi="宋体" w:cs="宋体" w:hint="eastAsia"/>
            <w:kern w:val="2"/>
            <w:lang w:eastAsia="zh-CN"/>
          </w:rPr>
          <w:t>中华人民共和国民法典</w:t>
        </w:r>
      </w:hyperlink>
      <w:r>
        <w:rPr>
          <w:rFonts w:ascii="宋体" w:eastAsia="宋体" w:hAnsi="宋体" w:cs="宋体" w:hint="eastAsia"/>
          <w:kern w:val="2"/>
          <w:lang w:eastAsia="zh-CN"/>
        </w:rPr>
        <w:t>》，并参照有关法规、政策、规章，仅对通过资格性审查和符合性审查的投标文件进行综合比较与评价。</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评审委员会成员对需要共同认定的事项存在争议的，应当按照少数服从多数的原则作出结论。持不同意见的评审委员会成员应当书面作出说明，否则视为无异议。</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36.实地考察或资料查验</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36.1在评审过程中，评审委员会有权决定是否对本项目投标人进行实地考察或资料查验（原件）。投标人应随时做好接受实地考察或资料查验的准备。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37．评审方法</w:t>
      </w:r>
    </w:p>
    <w:p>
      <w:pPr>
        <w:widowControl w:val="0"/>
        <w:ind w:firstLine="470" w:firstLineChars="196"/>
        <w:jc w:val="both"/>
        <w:rPr>
          <w:rFonts w:ascii="宋体" w:eastAsia="宋体" w:hAnsi="宋体" w:cs="宋体" w:hint="eastAsia"/>
          <w:b/>
          <w:bCs/>
          <w:kern w:val="2"/>
          <w:lang w:eastAsia="zh-CN"/>
        </w:rPr>
      </w:pPr>
      <w:r>
        <w:rPr>
          <w:rFonts w:ascii="宋体" w:eastAsia="宋体" w:hAnsi="宋体" w:cs="宋体" w:hint="eastAsia"/>
          <w:b/>
          <w:bCs/>
          <w:kern w:val="2"/>
          <w:lang w:eastAsia="zh-CN"/>
        </w:rPr>
        <w:t>37.1.1最低价法</w:t>
      </w:r>
    </w:p>
    <w:p>
      <w:pPr>
        <w:widowControl w:val="0"/>
        <w:ind w:firstLine="470" w:firstLineChars="196"/>
        <w:jc w:val="both"/>
        <w:rPr>
          <w:rFonts w:ascii="宋体" w:eastAsia="宋体" w:hAnsi="宋体" w:cs="宋体" w:hint="eastAsia"/>
          <w:kern w:val="2"/>
          <w:lang w:eastAsia="zh-CN"/>
        </w:rPr>
      </w:pPr>
      <w:bookmarkStart w:id="97" w:name="_Hlk72438142"/>
      <w:r>
        <w:rPr>
          <w:rFonts w:ascii="宋体" w:eastAsia="宋体" w:hAnsi="宋体" w:cs="宋体" w:hint="eastAsia"/>
          <w:kern w:val="2"/>
          <w:lang w:eastAsia="zh-CN"/>
        </w:rPr>
        <w:t>最低价法，是指完全满足招标文件实质性要求，按照报价由低到高的顺序，依据招标文件中规定的数量或者比例推荐候选中标供应商。</w:t>
      </w:r>
    </w:p>
    <w:p>
      <w:pPr>
        <w:widowControl w:val="0"/>
        <w:ind w:firstLine="470" w:firstLineChars="196"/>
        <w:jc w:val="both"/>
        <w:rPr>
          <w:rFonts w:ascii="宋体" w:eastAsia="宋体" w:hAnsi="宋体" w:cs="宋体" w:hint="eastAsia"/>
          <w:b/>
          <w:bCs/>
          <w:kern w:val="2"/>
          <w:lang w:eastAsia="zh-CN"/>
        </w:rPr>
      </w:pPr>
      <w:r>
        <w:rPr>
          <w:rFonts w:ascii="宋体" w:eastAsia="宋体" w:hAnsi="宋体" w:cs="宋体" w:hint="eastAsia"/>
          <w:b/>
          <w:bCs/>
          <w:kern w:val="2"/>
          <w:lang w:eastAsia="zh-CN"/>
        </w:rPr>
        <w:t>37.1.2综合评分法</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综合评分法，是指在满足招标文件全部实质性要求的前提下，按照招标文件中规定的各项因素进行综合评审，评审总得分排名前列的投标人，作为推荐的候选中标供应商。</w:t>
      </w:r>
      <w:bookmarkEnd w:id="97"/>
    </w:p>
    <w:p>
      <w:pPr>
        <w:widowControl w:val="0"/>
        <w:ind w:firstLine="470" w:firstLineChars="196"/>
        <w:jc w:val="both"/>
        <w:rPr>
          <w:rFonts w:ascii="宋体" w:eastAsia="宋体" w:hAnsi="宋体" w:cs="宋体" w:hint="eastAsia"/>
          <w:b/>
          <w:bCs/>
          <w:kern w:val="2"/>
          <w:lang w:eastAsia="zh-CN"/>
        </w:rPr>
      </w:pPr>
      <w:r>
        <w:rPr>
          <w:rFonts w:ascii="宋体" w:eastAsia="宋体" w:hAnsi="宋体" w:cs="宋体" w:hint="eastAsia"/>
          <w:b/>
          <w:bCs/>
          <w:kern w:val="2"/>
          <w:lang w:eastAsia="zh-CN"/>
        </w:rPr>
        <w:t>37.2本项目采用的评审方法见本项目招标文件第一册“专用条款”的相关内容。</w:t>
      </w:r>
    </w:p>
    <w:p>
      <w:pPr>
        <w:widowControl w:val="0"/>
        <w:ind w:firstLine="470" w:firstLineChars="196"/>
        <w:jc w:val="both"/>
        <w:rPr>
          <w:rFonts w:ascii="宋体" w:eastAsia="宋体" w:hAnsi="宋体" w:cs="宋体" w:hint="eastAsia"/>
          <w:b/>
          <w:bCs/>
          <w:kern w:val="2"/>
          <w:lang w:eastAsia="zh-CN"/>
        </w:rPr>
      </w:pPr>
      <w:r>
        <w:rPr>
          <w:rFonts w:ascii="宋体" w:eastAsia="宋体" w:hAnsi="宋体" w:cs="宋体" w:hint="eastAsia"/>
          <w:b/>
          <w:bCs/>
          <w:kern w:val="2"/>
          <w:lang w:eastAsia="zh-CN"/>
        </w:rPr>
        <w:t>37.3重新评审的情形</w:t>
      </w:r>
    </w:p>
    <w:p>
      <w:pPr>
        <w:widowControl w:val="0"/>
        <w:ind w:firstLine="470" w:firstLineChars="196"/>
        <w:jc w:val="both"/>
        <w:rPr>
          <w:rFonts w:ascii="宋体" w:eastAsia="宋体" w:hAnsi="宋体" w:cs="宋体" w:hint="eastAsia"/>
          <w:b/>
          <w:bCs/>
          <w:kern w:val="2"/>
          <w:lang w:eastAsia="zh-CN"/>
        </w:rPr>
      </w:pPr>
      <w:r>
        <w:rPr>
          <w:rFonts w:ascii="宋体" w:eastAsia="宋体" w:hAnsi="宋体" w:cs="宋体" w:hint="eastAsia"/>
          <w:lang w:eastAsia="zh-CN"/>
        </w:rPr>
        <w:t>评审结果汇总完成后，除下列情形外，任何人不得修改评审结果：</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37.3.1分值汇总计算错误的；</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37.3.2分项评分超出评分标准范围的；</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37.3.3评审委员会成员对客观评审因素评分不一致的；</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37.3.4经评审委员会认定评分畸高、畸低的。</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评审报告签署前，经复核发现存在以上情形之一的，评审委员会应当当场修改评审结果，并进行书面记载；评审报告签署后，招标人或者招标代理机构发现存在以上情形之一的，应当组织原评审委员会进行重新评审。</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投标人对本条第一款情形提出质疑的，招标人或者招标代理机构可以组织原评审委员会进行重新评审。</w:t>
      </w:r>
    </w:p>
    <w:p>
      <w:pPr>
        <w:widowControl w:val="0"/>
        <w:ind w:firstLine="470" w:firstLineChars="196"/>
        <w:jc w:val="both"/>
        <w:rPr>
          <w:rFonts w:ascii="宋体" w:eastAsia="宋体" w:hAnsi="宋体" w:cs="宋体" w:hint="eastAsia"/>
          <w:b/>
          <w:bCs/>
          <w:kern w:val="2"/>
          <w:lang w:eastAsia="zh-CN"/>
        </w:rPr>
      </w:pPr>
      <w:r>
        <w:rPr>
          <w:rFonts w:ascii="宋体" w:eastAsia="宋体" w:hAnsi="宋体" w:cs="宋体" w:hint="eastAsia"/>
          <w:b/>
          <w:bCs/>
          <w:kern w:val="2"/>
          <w:lang w:eastAsia="zh-CN"/>
        </w:rPr>
        <w:t>37.4重新组建评审委员会的情形</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评审委员会或者其成员存在下列情形导致评审结果无效的，重新组建评审委员会进行评标：</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37.4.1评审委员会组成不符合《政府采购货物和服务招标投标管理办法》规定的；</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37.4.2有《政府采购货物和服务招标投标管理办法》第六十二条第一至五项情形的；</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37.4.3评审委员会及其成员独立评标受到非法干预的；</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37.4.4有政府采购法实施条例第七十五条规定的违法行为的。</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有违法违规行为的原评审委员会成员不得参加重新组建的评审委员会。</w:t>
      </w:r>
    </w:p>
    <w:p>
      <w:pPr>
        <w:widowControl w:val="0"/>
        <w:ind w:firstLine="470" w:firstLineChars="196"/>
        <w:jc w:val="both"/>
        <w:rPr>
          <w:rFonts w:ascii="宋体" w:eastAsia="宋体" w:hAnsi="宋体" w:cs="宋体" w:hint="eastAsia"/>
          <w:kern w:val="2"/>
          <w:lang w:eastAsia="zh-CN"/>
        </w:rPr>
      </w:pPr>
    </w:p>
    <w:p>
      <w:pPr>
        <w:keepNext/>
        <w:keepLines/>
        <w:widowControl w:val="0"/>
        <w:spacing w:before="156" w:beforeLines="50" w:after="156" w:afterLines="50" w:line="240" w:lineRule="auto"/>
        <w:ind w:left="562" w:hanging="562"/>
        <w:jc w:val="center"/>
        <w:outlineLvl w:val="1"/>
        <w:rPr>
          <w:rFonts w:ascii="宋体" w:eastAsia="宋体" w:hAnsi="宋体" w:cs="宋体" w:hint="eastAsia"/>
          <w:b/>
          <w:bCs/>
          <w:kern w:val="2"/>
          <w:lang w:eastAsia="zh-CN"/>
        </w:rPr>
      </w:pPr>
      <w:r>
        <w:rPr>
          <w:rFonts w:ascii="宋体" w:eastAsia="宋体" w:hAnsi="宋体" w:cs="宋体" w:hint="eastAsia"/>
          <w:b/>
          <w:bCs/>
          <w:kern w:val="2"/>
          <w:lang w:eastAsia="zh-CN"/>
        </w:rPr>
        <w:t>第八章</w:t>
      </w:r>
      <w:r>
        <w:rPr>
          <w:rFonts w:ascii="宋体" w:eastAsia="宋体" w:hAnsi="宋体" w:cs="宋体" w:hint="eastAsia"/>
          <w:b/>
          <w:bCs/>
          <w:kern w:val="2"/>
          <w:lang w:eastAsia="zh-CN"/>
        </w:rPr>
        <w:t xml:space="preserve"> </w:t>
      </w:r>
      <w:r>
        <w:rPr>
          <w:rFonts w:ascii="宋体" w:eastAsia="宋体" w:hAnsi="宋体" w:cs="宋体" w:hint="eastAsia"/>
          <w:b/>
          <w:bCs/>
          <w:kern w:val="2"/>
          <w:lang w:eastAsia="zh-CN"/>
        </w:rPr>
        <w:t>定标及公示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38．定标方法</w:t>
      </w:r>
    </w:p>
    <w:p>
      <w:pPr>
        <w:widowControl w:val="0"/>
        <w:ind w:firstLine="470" w:firstLineChars="196"/>
        <w:jc w:val="both"/>
        <w:rPr>
          <w:rFonts w:ascii="宋体" w:eastAsia="宋体" w:hAnsi="宋体" w:cs="宋体" w:hint="eastAsia"/>
          <w:b/>
          <w:bCs/>
          <w:kern w:val="2"/>
          <w:lang w:eastAsia="zh-CN"/>
        </w:rPr>
      </w:pPr>
      <w:r>
        <w:rPr>
          <w:rFonts w:ascii="宋体" w:eastAsia="宋体" w:hAnsi="宋体" w:cs="宋体" w:hint="eastAsia"/>
          <w:b/>
          <w:bCs/>
          <w:kern w:val="2"/>
          <w:lang w:eastAsia="zh-CN"/>
        </w:rPr>
        <w:t>38.1非评定分离项目定标方法</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38.1.1评审委员会依据本项目招标文件所约定的评审方法进行评审和比较，向招标代理机构提交书面评审报告，并根据评审方法比较评价结果从优到劣进行排序，确定候选中标供应商。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38.1.3采用综合评分法的，评标结果按评审后得分由高到低顺序排列。得分相同的，按投标报价由低到高顺序排列。得分且投标报价相同的并列。</w:t>
      </w:r>
    </w:p>
    <w:p>
      <w:pPr>
        <w:widowControl w:val="0"/>
        <w:ind w:firstLine="240" w:firstLineChars="100"/>
        <w:jc w:val="both"/>
        <w:rPr>
          <w:rFonts w:ascii="宋体" w:eastAsia="宋体" w:hAnsi="宋体" w:cs="宋体" w:hint="eastAsia"/>
          <w:kern w:val="2"/>
          <w:lang w:eastAsia="zh-CN"/>
        </w:rPr>
      </w:pPr>
      <w:r>
        <w:rPr>
          <w:rFonts w:ascii="Wingdings" w:eastAsia="宋体" w:hAnsi="Wingdings" w:cs="宋体"/>
          <w:kern w:val="2"/>
          <w:lang w:eastAsia="zh-CN"/>
        </w:rPr>
        <w:sym w:font="Wingdings" w:char="F0A8"/>
      </w:r>
      <w:r>
        <w:rPr>
          <w:rFonts w:ascii="宋体" w:eastAsia="宋体" w:hAnsi="宋体" w:cs="宋体" w:hint="eastAsia"/>
          <w:kern w:val="2"/>
          <w:lang w:eastAsia="zh-CN"/>
        </w:rPr>
        <w:t>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具体操作办法及流程由评审委员会确定。</w:t>
      </w:r>
      <w:r>
        <w:rPr>
          <w:rFonts w:ascii="宋体" w:eastAsia="宋体" w:hAnsi="宋体" w:cs="宋体" w:hint="eastAsia"/>
          <w:b/>
          <w:bCs/>
          <w:kern w:val="2"/>
          <w:lang w:eastAsia="zh-CN"/>
        </w:rPr>
        <w:t>如排名第一的中标候选人被认定投标或中标无效，符合法定情形时，依法顺次替补；合格供应商不符合法定数量时，应当重新开展交易活动。</w:t>
      </w:r>
    </w:p>
    <w:p>
      <w:pPr>
        <w:widowControl w:val="0"/>
        <w:ind w:firstLine="240" w:firstLineChars="100"/>
        <w:jc w:val="both"/>
        <w:rPr>
          <w:rFonts w:ascii="宋体" w:eastAsia="宋体" w:hAnsi="宋体" w:cs="宋体" w:hint="eastAsia"/>
          <w:kern w:val="2"/>
          <w:lang w:eastAsia="zh-CN"/>
        </w:rPr>
      </w:pPr>
      <w:r>
        <w:rPr>
          <w:rFonts w:ascii="Wingdings" w:eastAsia="宋体" w:hAnsi="Wingdings" w:cs="宋体"/>
          <w:kern w:val="2"/>
          <w:lang w:eastAsia="zh-CN"/>
        </w:rPr>
        <w:sym w:font="Wingdings" w:char="F0A8"/>
      </w:r>
      <w:r>
        <w:rPr>
          <w:rFonts w:ascii="宋体" w:eastAsia="宋体" w:hAnsi="宋体" w:cs="宋体" w:hint="eastAsia"/>
          <w:kern w:val="2"/>
          <w:lang w:eastAsia="zh-CN"/>
        </w:rPr>
        <w:t>投标文件满足招标文件全部实质性要求，且按照评审因素的量化指标评审得分最高的投标人为唯一中标候选人。中标候选人并列的，采取随机抽取的方式确定，具体操作办法及流程由评标委员会确定。</w:t>
      </w:r>
      <w:r>
        <w:rPr>
          <w:rFonts w:ascii="宋体" w:eastAsia="宋体" w:hAnsi="宋体" w:cs="宋体" w:hint="eastAsia"/>
          <w:b/>
          <w:bCs/>
          <w:kern w:val="2"/>
          <w:lang w:eastAsia="zh-CN"/>
        </w:rPr>
        <w:t>如唯一候选中标供应商被认定投标或中标无效，招标人应当重新开展交易活动。</w:t>
      </w:r>
    </w:p>
    <w:p>
      <w:pPr>
        <w:widowControl w:val="0"/>
        <w:ind w:firstLine="470" w:firstLineChars="196"/>
        <w:jc w:val="both"/>
        <w:rPr>
          <w:rFonts w:ascii="宋体" w:eastAsia="宋体" w:hAnsi="宋体" w:cs="宋体" w:hint="eastAsia"/>
          <w:b/>
          <w:bCs/>
          <w:kern w:val="2"/>
          <w:lang w:eastAsia="zh-CN"/>
        </w:rPr>
      </w:pPr>
      <w:r>
        <w:rPr>
          <w:rFonts w:ascii="宋体" w:eastAsia="宋体" w:hAnsi="宋体" w:cs="宋体" w:hint="eastAsia"/>
          <w:b/>
          <w:bCs/>
          <w:kern w:val="2"/>
          <w:lang w:eastAsia="zh-CN"/>
        </w:rPr>
        <w:t>38.2评定分离项目定标方法</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38.2.1评定分离是指在采购程序中，以公开招标方式执行采购，评审委员会负责对投标文件进行评审、推荐候选中标供应商并出具书面评审报告，由招标人根据评审委员会出具的评审报告从推荐的候选中标供应商中确定中标供应商。单个项目需要确定多家中标供应商的，不适用评定分离。</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38.2.2</w:t>
      </w:r>
      <w:bookmarkStart w:id="98" w:name="_Hlk71469733"/>
      <w:r>
        <w:rPr>
          <w:rFonts w:ascii="宋体" w:eastAsia="宋体" w:hAnsi="宋体" w:cs="宋体" w:hint="eastAsia"/>
          <w:kern w:val="2"/>
          <w:lang w:eastAsia="zh-CN"/>
        </w:rPr>
        <w:t>适用评定分离的采购项目，采用综合评分法评审。评审委员会按照评审结果，推荐三个合格的候选中标供应商。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38.2.3</w:t>
      </w:r>
      <w:bookmarkStart w:id="99" w:name="_Hlk71469688"/>
      <w:r>
        <w:rPr>
          <w:rFonts w:ascii="宋体" w:eastAsia="宋体" w:hAnsi="宋体" w:cs="宋体" w:hint="eastAsia"/>
          <w:kern w:val="2"/>
          <w:lang w:eastAsia="zh-CN"/>
        </w:rPr>
        <w:t>适用评定分离的交易项目，按照自定法确定中标供应商：自定法是指招标人组织定标委员会，由定标委员会在三家候选中标供应商中确定中标供应商。</w:t>
      </w:r>
      <w:bookmarkEnd w:id="98"/>
      <w:bookmarkEnd w:id="99"/>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38.2.4招标代理机构应当自评审结束之日起两个工作日内将候选中标供应商名单及其投标文件、评审报告送交招标人。招标人应当安排专人对定标过程进行书面记录，形成定标报告，作为采购文件的组成部分存档，并及时将定标结果反馈招标代理机构。具体定标程序及相关要求以按照《深圳市财政局关于&lt;深圳市政府采购评标定标分离管理办法&gt;续期的通知》（深财规〔2023〕1号）执行。</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说明：招标人及投标供应商应按照上述方法提前做好相关准备。</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38.3专用条款另有规定的，按专用条款相关要求定标。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39．编写评审报告</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40．中标公告</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40.1</w:t>
      </w:r>
      <w:bookmarkStart w:id="100" w:name="_Hlk72438709"/>
      <w:r>
        <w:rPr>
          <w:rFonts w:ascii="宋体" w:eastAsia="宋体" w:hAnsi="宋体" w:cs="宋体" w:hint="eastAsia"/>
          <w:kern w:val="2"/>
          <w:lang w:eastAsia="zh-CN"/>
        </w:rPr>
        <w:t>为体现“公开、公平、公正”的原则，评审结束后经招标人确认（确定）评审结果，招标代理机构将在</w:t>
      </w:r>
      <w:r>
        <w:rPr>
          <w:rFonts w:ascii="宋体" w:eastAsia="宋体" w:hAnsi="宋体" w:cs="宋体" w:hint="eastAsia"/>
          <w:b/>
          <w:bCs/>
          <w:kern w:val="2"/>
          <w:lang w:eastAsia="zh-CN"/>
        </w:rPr>
        <w:t>深圳公共资源交易网（https://szggzy.com/）</w:t>
      </w:r>
      <w:r>
        <w:rPr>
          <w:rFonts w:ascii="宋体" w:eastAsia="宋体" w:hAnsi="宋体" w:cs="宋体" w:hint="eastAsia"/>
          <w:kern w:val="2"/>
          <w:lang w:eastAsia="zh-CN"/>
        </w:rPr>
        <w:t>上发布中标结果公告。</w:t>
      </w:r>
      <w:bookmarkEnd w:id="100"/>
      <w:bookmarkStart w:id="101" w:name="_Hlk72438751"/>
      <w:r>
        <w:rPr>
          <w:rFonts w:ascii="宋体" w:eastAsia="宋体" w:hAnsi="宋体" w:cs="宋体" w:hint="eastAsia"/>
          <w:kern w:val="2"/>
          <w:lang w:eastAsia="zh-CN"/>
        </w:rPr>
        <w:t>供应商如对评审结果有异议，可在发布公示日期起七个工作日内向招标代理机构提出。若在公示期内未提出质疑，则视为认同该评审结果。</w:t>
      </w:r>
    </w:p>
    <w:bookmarkEnd w:id="101"/>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40.2质疑、投诉供应商应保证质疑、投诉内容的真实性和可靠性，并承担相应的法律责任。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41．中标通知书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41.1</w:t>
      </w:r>
      <w:bookmarkStart w:id="102" w:name="_Hlk72438863"/>
      <w:r>
        <w:rPr>
          <w:rFonts w:ascii="宋体" w:eastAsia="宋体" w:hAnsi="宋体" w:cs="宋体" w:hint="eastAsia"/>
          <w:kern w:val="2"/>
          <w:lang w:eastAsia="zh-CN"/>
        </w:rPr>
        <w:t>中标公告公布以后无异常的情况下</w:t>
      </w:r>
      <w:r>
        <w:rPr>
          <w:rFonts w:ascii="宋体" w:eastAsia="宋体" w:hAnsi="宋体" w:cs="宋体" w:hint="eastAsia"/>
          <w:kern w:val="2"/>
          <w:lang w:eastAsia="zh-CN"/>
        </w:rPr>
        <w:t>，</w:t>
      </w:r>
      <w:r>
        <w:rPr>
          <w:rFonts w:ascii="宋体" w:eastAsia="宋体" w:hAnsi="宋体" w:cs="宋体" w:hint="eastAsia"/>
          <w:kern w:val="2"/>
          <w:lang w:eastAsia="zh-CN"/>
        </w:rPr>
        <w:t>中标供应商和招标人可自行在</w:t>
      </w:r>
      <w:r>
        <w:rPr>
          <w:rFonts w:ascii="宋体" w:eastAsia="宋体" w:hAnsi="宋体" w:cs="宋体" w:hint="eastAsia"/>
          <w:b/>
          <w:bCs/>
          <w:kern w:val="2"/>
          <w:lang w:eastAsia="zh-CN"/>
        </w:rPr>
        <w:t>“</w:t>
      </w:r>
      <w:r>
        <w:rPr>
          <w:rFonts w:ascii="宋体" w:eastAsia="宋体" w:hAnsi="宋体" w:cs="宋体" w:hint="eastAsia"/>
          <w:kern w:val="2"/>
          <w:lang w:eastAsia="zh-CN"/>
        </w:rPr>
        <w:t>深圳市自行采购系统（https://trade.szggzy.com/ggzy/center/#/login）</w:t>
      </w:r>
      <w:r>
        <w:rPr>
          <w:rFonts w:ascii="宋体" w:eastAsia="宋体" w:hAnsi="宋体" w:cs="宋体" w:hint="eastAsia"/>
          <w:b/>
          <w:bCs/>
          <w:kern w:val="2"/>
          <w:lang w:eastAsia="zh-CN"/>
        </w:rPr>
        <w:t>”</w:t>
      </w:r>
      <w:r>
        <w:rPr>
          <w:rFonts w:ascii="宋体" w:eastAsia="宋体" w:hAnsi="宋体" w:cs="宋体" w:hint="eastAsia"/>
          <w:kern w:val="2"/>
          <w:lang w:eastAsia="zh-CN"/>
        </w:rPr>
        <w:t>上打印</w:t>
      </w:r>
      <w:r>
        <w:rPr>
          <w:rFonts w:ascii="宋体" w:eastAsia="宋体" w:hAnsi="宋体" w:cs="宋体" w:hint="eastAsia"/>
          <w:b/>
          <w:kern w:val="2"/>
          <w:lang w:eastAsia="zh-CN"/>
        </w:rPr>
        <w:t>《数字中标通知书》</w:t>
      </w:r>
      <w:r>
        <w:rPr>
          <w:rFonts w:ascii="宋体" w:eastAsia="宋体" w:hAnsi="宋体" w:cs="宋体" w:hint="eastAsia"/>
          <w:kern w:val="2"/>
          <w:lang w:eastAsia="zh-CN"/>
        </w:rPr>
        <w:t>。</w:t>
      </w:r>
      <w:bookmarkEnd w:id="102"/>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41.2中标通知书是协议的重要组成部分。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bookmarkStart w:id="103" w:name="_Hlk71407340"/>
      <w:r>
        <w:rPr>
          <w:rFonts w:ascii="宋体" w:eastAsia="宋体" w:hAnsi="宋体" w:cs="宋体" w:hint="eastAsia"/>
          <w:kern w:val="2"/>
          <w:lang w:eastAsia="zh-CN"/>
        </w:rPr>
        <w:t>41.3因质疑投诉或其它原因导致项目结果变更或采购终止的，招标代理机构有权吊销中标通知书。</w:t>
      </w:r>
    </w:p>
    <w:bookmarkEnd w:id="103"/>
    <w:p>
      <w:pPr>
        <w:widowControl w:val="0"/>
        <w:ind w:firstLine="470" w:firstLineChars="196"/>
        <w:jc w:val="both"/>
        <w:rPr>
          <w:rFonts w:ascii="宋体" w:eastAsia="宋体" w:hAnsi="宋体" w:cs="宋体" w:hint="eastAsia"/>
          <w:kern w:val="2"/>
          <w:lang w:eastAsia="zh-CN"/>
        </w:rPr>
      </w:pPr>
    </w:p>
    <w:p>
      <w:pPr>
        <w:keepNext/>
        <w:keepLines/>
        <w:widowControl w:val="0"/>
        <w:spacing w:before="156" w:beforeLines="50" w:after="156" w:afterLines="50" w:line="240" w:lineRule="auto"/>
        <w:ind w:left="562" w:hanging="562"/>
        <w:jc w:val="center"/>
        <w:outlineLvl w:val="1"/>
        <w:rPr>
          <w:rFonts w:ascii="宋体" w:eastAsia="宋体" w:hAnsi="宋体" w:cs="宋体" w:hint="eastAsia"/>
          <w:b/>
          <w:bCs/>
          <w:kern w:val="2"/>
          <w:lang w:eastAsia="zh-CN"/>
        </w:rPr>
      </w:pPr>
      <w:r>
        <w:rPr>
          <w:rFonts w:ascii="宋体" w:eastAsia="宋体" w:hAnsi="宋体" w:cs="宋体" w:hint="eastAsia"/>
          <w:b/>
          <w:bCs/>
          <w:kern w:val="2"/>
          <w:lang w:eastAsia="zh-CN"/>
        </w:rPr>
        <w:t>第九章</w:t>
      </w:r>
      <w:r>
        <w:rPr>
          <w:rFonts w:ascii="宋体" w:eastAsia="宋体" w:hAnsi="宋体" w:cs="宋体" w:hint="eastAsia"/>
          <w:b/>
          <w:bCs/>
          <w:kern w:val="2"/>
          <w:lang w:eastAsia="zh-CN"/>
        </w:rPr>
        <w:t xml:space="preserve"> </w:t>
      </w:r>
      <w:r>
        <w:rPr>
          <w:rFonts w:ascii="宋体" w:eastAsia="宋体" w:hAnsi="宋体" w:cs="宋体" w:hint="eastAsia"/>
          <w:b/>
          <w:bCs/>
          <w:kern w:val="2"/>
          <w:lang w:eastAsia="zh-CN"/>
        </w:rPr>
        <w:t>公开招标失败的后续处理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42．公开招标失败的处理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42.1本项目公开招标过程中若由于投标截止后实际递交投标文件的供应商数量不足、经评审委员会评审对招标文件作实质响应的供应商不足等原因造成公开招标失败，可由招标代理机构重新组织采购。</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42.3重新组织采购有以下两种组织形式：</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（1）由招标代理机构重新组织公开招标；</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（2）根据实际情况需要向同级财政部门提出非公开招标方式申请，经同级财政部门批准，公开招标失败采购项目可转为竞争性谈判或单一来源谈判方式采购。</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42.4公开招标失败的采购项目重新组织公开招标，由招标代理机构重新按公开招标流程组织交易活动。</w:t>
      </w:r>
    </w:p>
    <w:p>
      <w:pPr>
        <w:widowControl w:val="0"/>
        <w:jc w:val="both"/>
        <w:rPr>
          <w:rFonts w:ascii="宋体" w:eastAsia="宋体" w:hAnsi="宋体" w:cs="宋体" w:hint="eastAsia"/>
          <w:kern w:val="2"/>
          <w:lang w:eastAsia="zh-CN"/>
        </w:rPr>
      </w:pPr>
    </w:p>
    <w:p>
      <w:pPr>
        <w:keepNext/>
        <w:keepLines/>
        <w:widowControl w:val="0"/>
        <w:spacing w:before="156" w:beforeLines="50" w:after="156" w:afterLines="50" w:line="240" w:lineRule="auto"/>
        <w:ind w:left="562" w:hanging="562"/>
        <w:jc w:val="center"/>
        <w:outlineLvl w:val="1"/>
        <w:rPr>
          <w:rFonts w:ascii="宋体" w:eastAsia="宋体" w:hAnsi="宋体" w:cs="宋体" w:hint="eastAsia"/>
          <w:b/>
          <w:bCs/>
          <w:kern w:val="2"/>
          <w:lang w:eastAsia="zh-CN"/>
        </w:rPr>
      </w:pPr>
      <w:bookmarkStart w:id="104" w:name="_Hlk72439043"/>
      <w:r>
        <w:rPr>
          <w:rFonts w:ascii="宋体" w:eastAsia="宋体" w:hAnsi="宋体" w:cs="宋体" w:hint="eastAsia"/>
          <w:b/>
          <w:bCs/>
          <w:kern w:val="2"/>
          <w:lang w:eastAsia="zh-CN"/>
        </w:rPr>
        <w:t>第十章</w:t>
      </w:r>
      <w:r>
        <w:rPr>
          <w:rFonts w:ascii="宋体" w:eastAsia="宋体" w:hAnsi="宋体" w:cs="宋体" w:hint="eastAsia"/>
          <w:b/>
          <w:bCs/>
          <w:kern w:val="2"/>
          <w:lang w:eastAsia="zh-CN"/>
        </w:rPr>
        <w:t xml:space="preserve"> </w:t>
      </w:r>
      <w:r>
        <w:rPr>
          <w:rFonts w:ascii="宋体" w:eastAsia="宋体" w:hAnsi="宋体" w:cs="宋体" w:hint="eastAsia"/>
          <w:b/>
          <w:bCs/>
          <w:kern w:val="2"/>
          <w:lang w:eastAsia="zh-CN"/>
        </w:rPr>
        <w:t>协议的授予与备案</w:t>
      </w:r>
      <w:bookmarkEnd w:id="104"/>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bookmarkStart w:id="105" w:name="_Toc100052408"/>
      <w:bookmarkStart w:id="106" w:name="_Toc73517679"/>
      <w:bookmarkStart w:id="107" w:name="_Toc73518157"/>
      <w:bookmarkStart w:id="108" w:name="_Toc73521674"/>
      <w:bookmarkStart w:id="109" w:name="_Toc73521586"/>
      <w:bookmarkStart w:id="110" w:name="_Hlk72439088"/>
      <w:r>
        <w:rPr>
          <w:rFonts w:ascii="宋体" w:eastAsia="宋体" w:hAnsi="宋体" w:cs="宋体" w:hint="eastAsia"/>
          <w:kern w:val="2"/>
          <w:lang w:eastAsia="zh-CN"/>
        </w:rPr>
        <w:t>43．协议授予标准</w:t>
      </w:r>
      <w:bookmarkEnd w:id="105"/>
      <w:bookmarkEnd w:id="106"/>
      <w:bookmarkEnd w:id="107"/>
      <w:bookmarkEnd w:id="108"/>
      <w:bookmarkEnd w:id="109"/>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本项目的协议将授予经本招标文件规定评审确定的中标供应商。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bookmarkStart w:id="111" w:name="_Toc73517680"/>
      <w:bookmarkStart w:id="112" w:name="_Toc73518158"/>
      <w:bookmarkStart w:id="113" w:name="_Toc100052409"/>
      <w:bookmarkStart w:id="114" w:name="_Toc73521675"/>
      <w:bookmarkStart w:id="115" w:name="_Toc73521587"/>
      <w:r>
        <w:rPr>
          <w:rFonts w:ascii="宋体" w:eastAsia="宋体" w:hAnsi="宋体" w:cs="宋体" w:hint="eastAsia"/>
          <w:kern w:val="2"/>
          <w:lang w:eastAsia="zh-CN"/>
        </w:rPr>
        <w:t>44．</w:t>
      </w:r>
      <w:bookmarkEnd w:id="111"/>
      <w:bookmarkEnd w:id="112"/>
      <w:bookmarkEnd w:id="113"/>
      <w:bookmarkEnd w:id="114"/>
      <w:bookmarkEnd w:id="115"/>
      <w:r>
        <w:rPr>
          <w:rFonts w:ascii="宋体" w:eastAsia="宋体" w:hAnsi="宋体" w:cs="宋体" w:hint="eastAsia"/>
          <w:kern w:val="2"/>
          <w:lang w:eastAsia="zh-CN"/>
        </w:rPr>
        <w:t>接受和拒绝任何或所有投标的权力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招标代理机构和招标人保留在投标之前任何时候接受或拒绝任何投标或所有投标，以及宣布招标无效的权力，对受影响的投标人不承担任何责任，也无义务向受影响的投标人解释采取这一行动的理由。</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bookmarkStart w:id="116" w:name="_Toc100052410"/>
      <w:bookmarkStart w:id="117" w:name="_Toc73517682"/>
      <w:bookmarkStart w:id="118" w:name="_Toc73521589"/>
      <w:bookmarkStart w:id="119" w:name="_Toc73521677"/>
      <w:bookmarkStart w:id="120" w:name="_Toc73518160"/>
      <w:r>
        <w:rPr>
          <w:rFonts w:ascii="宋体" w:eastAsia="宋体" w:hAnsi="宋体" w:cs="宋体" w:hint="eastAsia"/>
          <w:kern w:val="2"/>
          <w:lang w:eastAsia="zh-CN"/>
        </w:rPr>
        <w:t>45．协议的签订</w:t>
      </w:r>
      <w:bookmarkEnd w:id="116"/>
      <w:bookmarkEnd w:id="117"/>
      <w:bookmarkEnd w:id="118"/>
      <w:bookmarkEnd w:id="119"/>
      <w:bookmarkEnd w:id="120"/>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45.1中标人将于中标通知书发出之日起三十日内，按照采购文件（招标文件和投标文件等）内容与招标人签订协议；协议的实质性内容应当符合招标文件的规定；</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45.2中标人如不按本通用条款第45.1款的规定与招标人签订协议；</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45.3中标人应当按照协议约定履行义务，完成中标项目，不得将中标项目转让（转包）给他人。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bookmarkStart w:id="121" w:name="_Toc100052411"/>
      <w:bookmarkStart w:id="122" w:name="_Toc73521590"/>
      <w:bookmarkStart w:id="123" w:name="_Toc73517683"/>
      <w:bookmarkStart w:id="124" w:name="_Toc73518161"/>
      <w:bookmarkStart w:id="125" w:name="_Toc73521678"/>
      <w:r>
        <w:rPr>
          <w:rFonts w:ascii="宋体" w:eastAsia="宋体" w:hAnsi="宋体" w:cs="宋体" w:hint="eastAsia"/>
          <w:kern w:val="2"/>
          <w:lang w:eastAsia="zh-CN"/>
        </w:rPr>
        <w:t>46．履约担保</w:t>
      </w:r>
      <w:bookmarkEnd w:id="121"/>
      <w:bookmarkEnd w:id="122"/>
      <w:bookmarkEnd w:id="123"/>
      <w:bookmarkEnd w:id="124"/>
      <w:bookmarkEnd w:id="125"/>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46.1在签订项目协议的同时，中标人应按“对通用条款的补充内容”中规定的金额向招标人提交履约担保；</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47.项目验收</w:t>
      </w:r>
    </w:p>
    <w:p>
      <w:pPr>
        <w:widowControl/>
        <w:ind w:right="176" w:firstLine="480" w:firstLineChars="200"/>
        <w:jc w:val="left"/>
        <w:rPr>
          <w:rFonts w:ascii="宋体" w:eastAsia="宋体" w:hAnsi="宋体" w:cs="宋体" w:hint="eastAsia"/>
          <w:kern w:val="2"/>
          <w:lang w:eastAsia="zh-CN"/>
        </w:rPr>
      </w:pPr>
      <w:r>
        <w:rPr>
          <w:rFonts w:ascii="宋体" w:eastAsia="宋体" w:hAnsi="宋体" w:cs="宋体" w:hint="eastAsia"/>
          <w:kern w:val="2"/>
          <w:lang w:eastAsia="zh-CN"/>
        </w:rPr>
        <w:t>47.1招标人应当按照招标文件和协议规定的标准和方法，及时组织验收。</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48.供应商违法责任</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48.1《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（1）在采购活动中应当回避而未回避的；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（2）未按本条例规定签订、履行采购协议，造成严重后果的；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（3）隐瞒真实情况，提供虚假资料的；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（4）以非法手段排斥其他供应商参与竞争的；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（5）与其他采购参加人串通投标的；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（6）恶意投诉的；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（7）向采购项目相关人行贿或者提供其他不当利益的；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（8）阻碍、抗拒主管部门监督检查的；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（9）其他违反本条例规定的行为。</w:t>
      </w:r>
    </w:p>
    <w:bookmarkEnd w:id="110"/>
    <w:p>
      <w:pPr>
        <w:keepNext/>
        <w:keepLines/>
        <w:widowControl w:val="0"/>
        <w:spacing w:before="156" w:beforeLines="50" w:after="156" w:afterLines="50" w:line="240" w:lineRule="auto"/>
        <w:ind w:left="562" w:hanging="562"/>
        <w:jc w:val="center"/>
        <w:outlineLvl w:val="1"/>
        <w:rPr>
          <w:rFonts w:ascii="宋体" w:eastAsia="宋体" w:hAnsi="宋体" w:cs="宋体" w:hint="eastAsia"/>
          <w:b/>
          <w:bCs/>
          <w:kern w:val="2"/>
          <w:lang w:eastAsia="zh-CN"/>
        </w:rPr>
      </w:pPr>
      <w:r>
        <w:rPr>
          <w:rFonts w:ascii="宋体" w:eastAsia="宋体" w:hAnsi="宋体" w:cs="宋体" w:hint="eastAsia"/>
          <w:b/>
          <w:bCs/>
          <w:kern w:val="2"/>
          <w:lang w:eastAsia="zh-CN"/>
        </w:rPr>
        <w:t>第十一章</w:t>
      </w:r>
      <w:r>
        <w:rPr>
          <w:rFonts w:ascii="宋体" w:eastAsia="宋体" w:hAnsi="宋体" w:cs="宋体" w:hint="eastAsia"/>
          <w:b/>
          <w:bCs/>
          <w:kern w:val="2"/>
          <w:lang w:eastAsia="zh-CN"/>
        </w:rPr>
        <w:t xml:space="preserve"> </w:t>
      </w:r>
      <w:r>
        <w:rPr>
          <w:rFonts w:ascii="宋体" w:eastAsia="宋体" w:hAnsi="宋体" w:cs="宋体" w:hint="eastAsia"/>
          <w:b/>
          <w:bCs/>
          <w:kern w:val="2"/>
          <w:lang w:eastAsia="zh-CN"/>
        </w:rPr>
        <w:t>质疑处理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49.质疑提出与答复</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49.1提出质疑</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参与招标活动的供应商认为自己的权益在采购活动中受到损害的，应当自知道或者应当知道其权益受到损害之日起七个工作日内向招标人、招标代理机构以书面形式提出质疑。</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49.2法律依据</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49.3质疑条件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49.3.1提出质疑的供应商应当是参与所质疑项目采购活动的供应商；以联合体形式参与的，质疑应当由组成联合体的所有成员共同提出；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49.3.2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jc w:val="both"/>
        <w:rPr>
          <w:rFonts w:ascii="宋体" w:eastAsia="宋体" w:hAnsi="宋体" w:cs="宋体" w:hint="eastAsia"/>
          <w:kern w:val="2"/>
          <w:lang w:eastAsia="zh-CN"/>
        </w:rPr>
      </w:pPr>
      <w:r>
        <w:rPr>
          <w:rFonts w:ascii="宋体" w:eastAsia="宋体" w:hAnsi="宋体" w:cs="宋体" w:hint="eastAsia"/>
          <w:kern w:val="2"/>
          <w:lang w:eastAsia="zh-CN"/>
        </w:rPr>
        <w:t>49.3.3应提交书面质疑函，质疑函应当包括以下内容：</w:t>
      </w:r>
    </w:p>
    <w:p>
      <w:pPr>
        <w:widowControl w:val="0"/>
        <w:ind w:firstLine="420"/>
        <w:jc w:val="both"/>
        <w:rPr>
          <w:rFonts w:ascii="宋体" w:eastAsia="宋体" w:hAnsi="宋体" w:cs="宋体" w:hint="eastAsia"/>
          <w:kern w:val="2"/>
          <w:lang w:eastAsia="zh-CN"/>
        </w:rPr>
      </w:pPr>
      <w:r>
        <w:rPr>
          <w:rFonts w:ascii="宋体" w:eastAsia="宋体" w:hAnsi="宋体" w:cs="宋体" w:hint="eastAsia"/>
          <w:kern w:val="2"/>
          <w:lang w:eastAsia="zh-CN"/>
        </w:rPr>
        <w:t>（1）供应商的名称（或者姓名）、地址、邮编、邮箱、联系人及联系电话；</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（2）质疑项目的名称、编号；</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（3）具体、明确的质疑对象、质疑事项和质疑请求；</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（4）因质疑事项而受损害的权益；</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（5）事实依据；</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（6）必要的法律依据；</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（7）提出质疑的日期。</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供应商为自然人的，应当由本人签字；供应商为法人或者其他组织的，应当由法定代表人（负责人），或者其授权代理人签字或者盖章，并加盖公章。</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49.4提交材料</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80" w:firstLineChars="200"/>
        <w:jc w:val="both"/>
        <w:rPr>
          <w:rFonts w:ascii="宋体" w:eastAsia="宋体" w:hAnsi="宋体" w:cs="宋体" w:hint="eastAsia"/>
          <w:b/>
          <w:bCs/>
          <w:color w:val="FF0000"/>
          <w:kern w:val="2"/>
          <w:lang w:eastAsia="zh-CN"/>
        </w:rPr>
      </w:pPr>
      <w:r>
        <w:rPr>
          <w:rFonts w:ascii="宋体" w:eastAsia="宋体" w:hAnsi="宋体" w:cs="宋体" w:hint="eastAsia"/>
          <w:b/>
          <w:bCs/>
          <w:color w:val="FF0000"/>
          <w:kern w:val="2"/>
          <w:lang w:eastAsia="zh-CN"/>
        </w:rPr>
        <w:t>49.5提交方式</w:t>
      </w:r>
    </w:p>
    <w:p>
      <w:pPr>
        <w:widowControl w:val="0"/>
        <w:ind w:firstLine="480" w:firstLineChars="200"/>
        <w:jc w:val="both"/>
        <w:rPr>
          <w:rFonts w:ascii="宋体" w:eastAsia="宋体" w:hAnsi="宋体" w:cs="宋体" w:hint="eastAsia"/>
          <w:b/>
          <w:color w:val="FF0000"/>
          <w:kern w:val="2"/>
          <w:lang w:eastAsia="zh-CN"/>
        </w:rPr>
      </w:pPr>
      <w:r>
        <w:rPr>
          <w:rFonts w:ascii="宋体" w:eastAsia="宋体" w:hAnsi="宋体" w:cs="宋体" w:hint="eastAsia"/>
          <w:b/>
          <w:bCs/>
          <w:color w:val="FF0000"/>
          <w:kern w:val="2"/>
          <w:lang w:eastAsia="zh-CN"/>
        </w:rPr>
        <w:t>49.5.1请质疑供应商根据深圳公共资源交易中心网页</w:t>
      </w:r>
      <w:r>
        <w:rPr>
          <w:rFonts w:ascii="宋体" w:eastAsia="宋体" w:hAnsi="宋体" w:cs="宋体" w:hint="eastAsia"/>
          <w:b/>
          <w:color w:val="FF0000"/>
          <w:kern w:val="2"/>
          <w:lang w:eastAsia="zh-CN"/>
        </w:rPr>
        <w:t>（https://www.szggzy.com/globalSearch/details.html?contentId=1211037）所发布的质疑指引、质疑函模板填写质疑函并提交质疑材料。</w:t>
      </w:r>
    </w:p>
    <w:p>
      <w:pPr>
        <w:widowControl w:val="0"/>
        <w:jc w:val="both"/>
        <w:rPr>
          <w:rFonts w:ascii="宋体" w:eastAsia="宋体" w:hAnsi="宋体" w:cs="宋体" w:hint="eastAsia"/>
          <w:b/>
          <w:bCs/>
          <w:color w:val="FF0000"/>
          <w:kern w:val="2"/>
          <w:lang w:eastAsia="zh-CN"/>
        </w:rPr>
      </w:pPr>
      <w:r>
        <w:rPr>
          <w:rFonts w:ascii="宋体" w:eastAsia="宋体" w:hAnsi="宋体" w:cs="宋体" w:hint="eastAsia"/>
          <w:b/>
          <w:bCs/>
          <w:color w:val="FF0000"/>
          <w:kern w:val="2"/>
          <w:lang w:eastAsia="zh-CN"/>
        </w:rPr>
        <w:t>收文地点：深圳公共资源交易中心（深圳交易集团有限公司罗湖分公司）深圳市罗湖区黄贝街道凤凰社区深南东路1076号罗湖区党群服务中心4层。质疑咨询电话：0755-82232523。</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49.6收文办理程序</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49.6.1供应商提交的质疑符合受理条件的，招标代理机构自收到质疑材料之日起即为受理，应当向供应商出具质疑函收文回执并可以要求其递交质疑的法定代表人（负责人）或者授权代理人签署质疑文书送达地址确认书。</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49.6.2供应商提交的质疑材料不符合质疑条件的，视情况处理：</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供应商提交的质疑材料不全或者未按要求签字或者盖章的，招标代理机构应当一次性告知供应商需补正的内容和补正期限。</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供应商提交的质疑存在下列情形之一的，不予受理：</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（1）质疑主体不满足要求的；</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（2）供应商自身权益未受到损害的；</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（3）供应商未在法定质疑期限内提出质疑的；</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（4）质疑材料不全或者未按要求签字或者盖章的情况下，要求补正后，逾期未补正或者补正后仍不符合规定的；</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（5）其他不符合受理条件情形的。</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质疑事项不予受理的，招标代理机构应当向供应商出具不符合质疑条件告知书。</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49.7质疑答复时限</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自收文之日起七个工作日内。</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49.8投诉</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对质疑答复不满意或者未在规定时间内答复的，提出质疑的供应商可以在答复期满后15个工作日内向有关部门投诉。</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50.质疑后续处理</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50.1供应商质疑不成立，或者成立但未对中标、成交结果构成影响的，继续开展采购活动。</w:t>
      </w:r>
    </w:p>
    <w:p>
      <w:pPr>
        <w:widowControl w:val="0"/>
        <w:ind w:firstLine="432"/>
        <w:jc w:val="both"/>
        <w:rPr>
          <w:rFonts w:ascii="宋体" w:eastAsia="宋体" w:hAnsi="宋体" w:cs="宋体" w:hint="eastAsia"/>
          <w:kern w:val="2"/>
          <w:lang w:eastAsia="zh-CN"/>
        </w:rPr>
      </w:pPr>
      <w:r>
        <w:rPr>
          <w:rFonts w:ascii="宋体" w:eastAsia="宋体" w:hAnsi="宋体" w:cs="宋体" w:hint="eastAsia"/>
          <w:kern w:val="2"/>
          <w:lang w:eastAsia="zh-CN"/>
        </w:rPr>
        <w:t>50.2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left"/>
        <w:rPr>
          <w:rFonts w:ascii="宋体" w:eastAsia="宋体" w:hAnsi="宋体" w:cs="宋体" w:hint="eastAsia"/>
          <w:kern w:val="2"/>
          <w:lang w:eastAsia="zh-CN"/>
        </w:rPr>
      </w:pPr>
    </w:p>
    <w:p>
      <w:pPr>
        <w:widowControl w:val="0"/>
        <w:spacing w:line="360" w:lineRule="auto"/>
        <w:jc w:val="both"/>
        <w:rPr>
          <w:rFonts w:ascii="宋体" w:eastAsia="宋体" w:hAnsi="宋体" w:cs="宋体" w:hint="eastAsia"/>
          <w:b/>
          <w:bCs/>
          <w:kern w:val="2"/>
          <w:lang w:eastAsia="zh-CN"/>
        </w:rPr>
      </w:pPr>
    </w:p>
    <w:p>
      <w:pPr>
        <w:widowControl w:val="0"/>
        <w:jc w:val="both"/>
        <w:rPr>
          <w:rFonts w:ascii="宋体" w:eastAsia="宋体" w:hAnsi="宋体" w:cs="宋体" w:hint="eastAsia"/>
          <w:kern w:val="2"/>
          <w:sz w:val="21"/>
          <w:szCs w:val="22"/>
          <w:lang w:eastAsia="zh-CN"/>
        </w:rPr>
      </w:pPr>
    </w:p>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----END----</w:t>
      </w:r>
      <w:bookmarkEnd w:id="71"/>
    </w:p>
    <w:p>
      <w:pPr>
        <w:widowControl w:val="0"/>
        <w:jc w:val="both"/>
        <w:rPr>
          <w:rFonts w:ascii="宋体" w:eastAsia="宋体" w:hAnsi="宋体" w:cs="宋体" w:hint="eastAsia"/>
          <w:b/>
          <w:color w:val="FF0000"/>
          <w:kern w:val="2"/>
          <w:lang w:eastAsia="zh-CN"/>
        </w:rPr>
      </w:pPr>
    </w:p>
    <w:p>
      <w:pPr>
        <w:widowControl w:val="0"/>
        <w:jc w:val="both"/>
        <w:rPr>
          <w:rFonts w:ascii="宋体" w:eastAsia="宋体" w:hAnsi="宋体" w:cs="宋体" w:hint="eastAsia"/>
          <w:kern w:val="2"/>
          <w:sz w:val="21"/>
          <w:szCs w:val="22"/>
          <w:lang w:eastAsia="zh-CN"/>
        </w:rPr>
        <w:sectPr>
          <w:headerReference w:type="even" r:id="rId38"/>
          <w:headerReference w:type="default" r:id="rId39"/>
          <w:footerReference w:type="even" r:id="rId40"/>
          <w:footerReference w:type="default" r:id="rId41"/>
          <w:headerReference w:type="first" r:id="rId42"/>
          <w:footerReference w:type="first" r:id="rId43"/>
          <w:pgSz w:w="11906" w:h="16838"/>
          <w:pgMar w:top="1440" w:right="1417" w:bottom="1440" w:left="1417" w:header="851" w:footer="992" w:gutter="0"/>
          <w:pgNumType w:fmt="decimal"/>
          <w:cols w:num="1" w:space="425"/>
          <w:docGrid w:type="lines" w:linePitch="31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翠竹街道综合文体中心社会化运营项目-A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封面</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项目报价表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场馆运营能力</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社会效益保障能力</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大型活动保障能力</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服务网点</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投标人认为需要加以说明的其他内容（正文）</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实质性条款响应情况表（如有）</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平面规划图</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项目运营方案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项目公益性方案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质量（完成时间、安全、环保）保障措施及方案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投标人认为需要加以说明的其他内容（附件）</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LHZXCG-2025-00011-001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翠竹街道综合文体中心社会化运营项目-A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推荐前3名作为中标候选人，候选人排序，并列时均进入定标环节</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投标人不符合资格要求，或未提交相应的资格证明资料（详见招标公告投标人资格要求，即申请人的资格要求）。：</w:t>
            </w:r>
            <w:r>
              <w:rPr>
                <w:rFonts w:ascii="FangSong" w:eastAsia="FangSong" w:hAnsi="FangSong" w:cs="FangSong"/>
                <w:color w:val="666666"/>
                <w:lang w:val="en" w:eastAsia="en"/>
              </w:rPr>
              <w:br/>
            </w:r>
            <w:r>
              <w:rPr>
                <w:rFonts w:ascii="FangSong" w:eastAsia="FangSong" w:hAnsi="FangSong" w:cs="FangSong"/>
                <w:color w:val="666666"/>
                <w:lang w:val="en" w:eastAsia="en"/>
              </w:rPr>
              <w:t>投标人不符合资格要求，或未提交相应的资格证明资料（详见招标公告投标人资格要求，即申请人的资格要求）。</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将一个包或一个标段的内容拆开投标；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将一个包或一个标段的内容拆开投标；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未按招标文件规定的形式和金额提交投标保证金的；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未按招标文件规定的形式和金额提交投标保证金的；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所投货物、服务在技术、商务等方面没有实质性满足招标文件要求的（是否实质性满足招标文件要求，由评审委员会根据《实质性条款响应情况表》做出评判）；</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所投货物、服务在技术、商务等方面没有实质性满足招标文件要求的（是否实质性满足招标文件要求，由评审委员会根据《实质性条款响应情况表》做出评判）；</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经核实，不同投标人的投标文件由同一电子设备编制、加密或者上传的；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经核实，不同投标人的投标文件由同一电子设备编制、加密或者上传的；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平面规划图</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评审内容： 根据现场实际情况，提供总平面规划图，评标委员会根据投标人效果图进行综合评价。 评审依据： 1、投标人提供的方案提供每一层平面规划图得1.5分，最多得3分；未提供不得分。 2、在第1项的基础上，根据以下标准进行评价评分： （1）按要求规划各公共文化功能室布局；（2）科学合理设置每层各功能室面积； （3）平面规划图内容可操作性强。 优评分标准：满足以上三项要求的评价为优，加3分； 良评分标准：满足以上两项要求的评价为良，加2分； 中评分标准：满足以上一项要求的评价为中，加1分； 差评分标准：其余情况评价为差，得0分。 注：提供项目平面规划图并加盖投标人公章，格式自拟，未按要求提供或不清晰导致无法辨认的不得分。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项目运营方案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评审内容： 投标人根据本项目需求，提供项目运营方案包括但不限于： 1、装修方案； 2、日常运营； 3、品牌运营。 评审依据： 1、投标人提供的项目运营方案提供每一项得2分，最多得6分；其他情况不得分。 2、在第1项的基础上，根据以下标准进行评价评分： 优评分标准：内容非常完整具体，融合创新项目运营方式，条理非常清晰，非常贴合需求，方案数据测算非常详实、内容针对性非常强，且可执行性非常强的，得9分； 良评分标准：内容比较完整具体，融合创新项目运营方式，条理比较清晰，比较贴合需求，方案数据测算比较详实、内容针对性比较强，且可执行性比较强的，得5分； 中评分标准；方案内容简单，数据测算欠缺，针对性一般，可执行性一般的，得2分； 差评分标准：方案内容不完整，数据测算欠缺，可执行性差，不得分。 注：提供项目运营方案并加盖投标人公章，格式自拟，未按要求提供或不清晰导致无法辨认的不得分。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项目公益性方案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评审内容： 投标人根据本项目需求，提供项目公益性方案包括但不限于： 1、产业服务活动公益安排： 2、公共服务活动公益安排； 3、场地公益服务安排。 评审依据： 1、满足以上三点得6分，满足以上任意两点得4分，仅满足以上任意一点得2分，其他情况不得分。 2、在第1项的基础上，根据以下标准进行评价评分： 优评分标准：内容完整具体，思路清晰，贴合实际情况，方案内容详实、针对性强，且有较强的可执行性，得5分； 良评分标准：内容完整，思路清晰，但针对性一般，可执行性一般，得3分： 中评分标准：方案内容简单，针对性一般，可执行性一般，得1分： 差评分标准：方案内容不完整，可执行性差，不得分。 注：提供项目公益性方案并加盖投标人公章，格式自拟，未按要求提供或不清晰导致无法辨认的不得分。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质量（完成时间、安全、环保）保障措施及方案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评审内容： 投标人管理服务、应急反应等能力。 1.具有项目管理制度、档案管理； 2.具有服务质量保障及投诉处理方案； 3.应急预案。 评审依据： 1、满足以上三点得3分，满足以上任意两点得2分，仅满足以上任意一点得1分，其他情况不得分。 2、在第1项的基础上，专家根据各供应商的具体响应内容进一步评审： 评审为优：措施内容针对性强，全面具体，且科学合理可操作性强的，得3分； 评审为良：内容措施针对性较强，较全面具体，科学合理可操作性较好的，得2分； 评审为中，针对性一般，合理及可操作性一般的，得1分； 评价为差，不得分。 注：提供项目质量（完成时间、安全、环保）保障措施及方案并加盖投标人公章，格式自拟，未按要求提供或不清晰导致无法辨认的不得分。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评审内容： 考察投标人的服务承诺得分。 1.服务承诺书； 2.公共文化服务活动承诺。 3.公益服务承诺。 4.保留政府使用权利承诺。 评审依据： 1、满足以上4点得4分，满足以上任意三点得3分，满足以上任意两点得2分，仅满足以上任意一点得1分，其他情况不得分。 备注：以上资料均要求提供扫描件，原件备查，评分中出现无证明资料或证书过期或专家无法凭所提供资料判断是否得分的情况，一律作不得分处理。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评审内容： 投标人承诺以下全部三项的得3分，否则不得分。 1、公共文化设施配置严格按照招标文件及投标承诺配置； 2、文化场馆开放服务质量达到招标文件要求； 3.对未能达到管理要求承担相应管理责任。 评审依据： 要求提供承诺函（格式自拟）作为得分依据。 备注：以上资料均要求提供扫描件，原件备查，评分中出现无证明资料或证书过期或专家无法凭所提供资料判断是否得分的情况，一律作不得分处理。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综合实力</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场馆运营能力</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评审标准： 1.投标人自2020年1月至本项目投标截止日（以合同签订时间为准）运营管理的室内文体服务场馆（非室外体育馆、公园）运营经验业绩，提供1个业绩得3分，最高得6分。 2.投标人目前在运营管理或曾经运营管理的室内文体服务场馆（非室外体育馆、公园）累计总室内占地面积。 ①总室内占地面积≥2000平方米的，得4分； ②500平方米≤总占地面积＜2000平方米的，得2分； 其他情况不得分。 3.投标人曾经获得过的荣誉或奖项（荣誉主体是投标人公司本身），最高可得6分。 ①获得国家级荣誉或奖项，1项可得4分； ②获得省级（含副省级）荣誉或奖项，1项可得2分； ③获得市、县（或区）级荣誉或奖项，1项可得1分。 证明材料： 1.提供合同关键页（包括但不限于合同项目名称、签章页、签订时间）扫描件； 2.通过合同关键信息无法判断是否得分的，还需同时提供能证明得分的其它证明资料，如合同甲方出具的证明文件； 3.涉及荣誉或奖项的须提供相关材料，原件备查。 备注：评分中出现无证明资料或证书过期或专家无法凭所提供资料判断是否得分的情况，一律作不得分处理。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社会效益保障能力</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评审标准： 投标人自2020年1月至本项目投标截止日（以合同签订时间为准）承接公益文化活动或公共文化体育场馆的公益惠民服务经验证明，提供1个业绩得2分，最高得6分。 证明材料： 1.提供合同关键页（包括但不限于合同项目名称、签章页、签订时间）扫描件； 2.通过合同关键信息无法判断是否得分的，还需同时提供能证明得分的其它证明资料，如合同甲方出具的证明文件。 备注：评分中出现无证明资料或证书过期或专家无法凭所提供资料判断是否得分的情况，一律作不得分处理。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大型活动保障能力</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评审标准： 1.自2020年1月1日起至本项目投标截止日期止（以合同签订时间为准），投标人承接过行政机关（或事业单位）的文化活动（音乐节、文化月、博览会、赛事等）策划及落地执行的，每提供一个经验证明的得5分，最高得15分。 2.在评审标准1的基础上，如对应项目有获得荣誉或奖项可加分，同一个项目不累计，本项最高得8分。 ①获得国家级荣誉或奖项，1项可得5分； ②获得省级（含副省级）荣誉或奖项，1项可得3分； ③获得市、县（或区）级荣誉或奖项，1项可得2分。 证明材料： 1.投标人必须提供项目列表，并提供合同关键页（包括但不限于合同项目服务内容、签字盖章页、签订日期），涉及荣誉或奖项的须提供相关材料，原件备查。 2.通过合同关键信息无法判断是否得分的，提供能证明得分的其它证明资料，如项目报告或合同甲方出具的证明文件等； 备注：评分中出现无证明资料或证书过期或专家无法凭所提供资料判断是否得分的情况，一律作不得分处理。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23</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服务网点</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评审标准： 1.深圳供应商得5分； 2.非深圳供应商投标，但其在深圳有分公司或售后机构的，得5分； 3.外地供应商承诺中标后设立本地经营（服务）网点的，得5分。 证明材料： 1.深圳供应商要求提供营业执照扫描件，原件备查； 2.分公司要求提供营业执照扫描件，原件备查；售后机构必须同时提供售后服务合作合同（或售后服务合作协议）及售后机构营业执照证明文件。 3.外地供应商提供承诺函（格式自拟）证明文件。 备注：以上资料均要求提供扫描件，原件备查，评分中出现无证明资料或证书过期或专家无法凭所提供资料判断是否得分的情况，一律作不得分处理。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诚信管理情况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r>
    </w:tbl>
    <w:p>
      <w:pPr>
        <w:pBdr>
          <w:top w:val="none" w:sz="0" w:space="0" w:color="auto"/>
          <w:left w:val="none" w:sz="0" w:space="0" w:color="auto"/>
          <w:bottom w:val="none" w:sz="0" w:space="0" w:color="auto"/>
          <w:right w:val="none" w:sz="0" w:space="0" w:color="auto"/>
        </w:pBdr>
        <w:spacing w:line="432" w:lineRule="atLeast"/>
        <w:rPr>
          <w:rFonts w:ascii="Microsoft YaHei" w:eastAsia="Microsoft YaHei" w:hAnsi="Microsoft YaHei" w:cs="Microsoft YaHei"/>
          <w:color w:val="333333"/>
          <w:lang w:val="en" w:eastAsia="en"/>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FZSSK--GBK1-0">
    <w:altName w:val="XcGJSymbol"/>
    <w:panose1 w:val="00000000000000000000"/>
    <w:charset w:val="00"/>
    <w:family w:val="roman"/>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CESI宋体-GB2312">
    <w:altName w:val="宋体"/>
    <w:panose1 w:val="02000500000000000000"/>
    <w:charset w:val="86"/>
    <w:family w:val="auto"/>
    <w:pitch w:val="default"/>
    <w:sig w:usb0="00000000" w:usb1="00000000" w:usb2="00000010"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GB-2312">
    <w:altName w:val="仿宋"/>
    <w:panose1 w:val="00000000000000000000"/>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kinsoku w:val="0"/>
      <w:autoSpaceDE w:val="0"/>
      <w:autoSpaceDN w:val="0"/>
      <w:adjustRightInd w:val="0"/>
      <w:snapToGrid w:val="0"/>
      <w:spacing w:line="168" w:lineRule="auto"/>
      <w:ind w:left="4157"/>
      <w:jc w:val="left"/>
      <w:textAlignment w:val="baseline"/>
      <w:rPr>
        <w:rFonts w:ascii="Calibri" w:eastAsia="Calibri" w:hAnsi="Calibri" w:cs="Calibri"/>
        <w:snapToGrid w:val="0"/>
        <w:color w:val="000000"/>
        <w:kern w:val="0"/>
        <w:sz w:val="18"/>
        <w:szCs w:val="18"/>
        <w:lang w:eastAsia="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153"/>
        <w:tab w:val="right" w:pos="8306"/>
      </w:tabs>
      <w:kinsoku w:val="0"/>
      <w:autoSpaceDE w:val="0"/>
      <w:autoSpaceDN w:val="0"/>
      <w:adjustRightInd w:val="0"/>
      <w:snapToGrid w:val="0"/>
      <w:jc w:val="center"/>
      <w:textAlignment w:val="baseline"/>
      <w:rPr>
        <w:rFonts w:ascii="Arial" w:eastAsia="等线" w:hAnsi="Arial" w:cs="Arial" w:hint="eastAsia"/>
        <w:b/>
        <w:bCs/>
        <w:snapToGrid w:val="0"/>
        <w:color w:val="000000"/>
        <w:sz w:val="24"/>
        <w:szCs w:val="24"/>
        <w:lang w:val="en-US" w:eastAsia="zh-CN" w:bidi="ar-SA"/>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153"/>
        <w:tab w:val="right" w:pos="8306"/>
      </w:tabs>
      <w:kinsoku w:val="0"/>
      <w:autoSpaceDE w:val="0"/>
      <w:autoSpaceDN w:val="0"/>
      <w:adjustRightInd w:val="0"/>
      <w:snapToGrid w:val="0"/>
      <w:jc w:val="center"/>
      <w:textAlignment w:val="baseline"/>
      <w:rPr>
        <w:rFonts w:ascii="宋体" w:eastAsia="宋体" w:hAnsi="宋体" w:cs="Arial"/>
        <w:snapToGrid w:val="0"/>
        <w:color w:val="000000"/>
        <w:sz w:val="28"/>
        <w:szCs w:val="28"/>
        <w:lang w:val="en-US" w:eastAsia="en-US" w:bidi="ar-SA"/>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153"/>
        <w:tab w:val="right" w:pos="8306"/>
      </w:tabs>
      <w:kinsoku w:val="0"/>
      <w:autoSpaceDE w:val="0"/>
      <w:autoSpaceDN w:val="0"/>
      <w:adjustRightInd w:val="0"/>
      <w:snapToGrid w:val="0"/>
      <w:jc w:val="center"/>
      <w:textAlignment w:val="baseline"/>
      <w:rPr>
        <w:rFonts w:ascii="Arial" w:eastAsia="等线" w:hAnsi="Arial" w:cs="Arial"/>
        <w:snapToGrid w:val="0"/>
        <w:color w:val="000000"/>
        <w:sz w:val="18"/>
        <w:szCs w:val="18"/>
        <w:lang w:val="en-US" w:eastAsia="en-US" w:bidi="ar-SA"/>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153"/>
        <w:tab w:val="right" w:pos="8306"/>
      </w:tabs>
      <w:kinsoku w:val="0"/>
      <w:autoSpaceDE w:val="0"/>
      <w:autoSpaceDN w:val="0"/>
      <w:adjustRightInd w:val="0"/>
      <w:snapToGrid w:val="0"/>
      <w:jc w:val="center"/>
      <w:textAlignment w:val="baseline"/>
      <w:rPr>
        <w:rFonts w:ascii="Arial" w:eastAsia="等线" w:hAnsi="Arial" w:cs="Arial"/>
        <w:snapToGrid w:val="0"/>
        <w:color w:val="000000"/>
        <w:sz w:val="18"/>
        <w:szCs w:val="18"/>
        <w:lang w:val="en-US" w:eastAsia="en-US" w:bidi="ar-SA"/>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153"/>
        <w:tab w:val="right" w:pos="8306"/>
      </w:tabs>
      <w:kinsoku w:val="0"/>
      <w:autoSpaceDE w:val="0"/>
      <w:autoSpaceDN w:val="0"/>
      <w:adjustRightInd w:val="0"/>
      <w:snapToGrid w:val="0"/>
      <w:jc w:val="center"/>
      <w:textAlignment w:val="baseline"/>
      <w:rPr>
        <w:rFonts w:ascii="Arial" w:eastAsia="等线" w:hAnsi="Arial" w:cs="Arial"/>
        <w:snapToGrid w:val="0"/>
        <w:color w:val="000000"/>
        <w:sz w:val="18"/>
        <w:szCs w:val="18"/>
        <w:lang w:val="en-US" w:eastAsia="en-US" w:bidi="ar-SA"/>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bottom w:val="single" w:sz="6" w:space="1" w:color="auto"/>
      </w:pBdr>
      <w:tabs>
        <w:tab w:val="center" w:pos="4153"/>
        <w:tab w:val="right" w:pos="8306"/>
      </w:tabs>
      <w:kinsoku w:val="0"/>
      <w:autoSpaceDE w:val="0"/>
      <w:autoSpaceDN w:val="0"/>
      <w:adjustRightInd w:val="0"/>
      <w:snapToGrid w:val="0"/>
      <w:jc w:val="center"/>
      <w:textAlignment w:val="baseline"/>
      <w:rPr>
        <w:rFonts w:ascii="Arial" w:eastAsia="等线" w:hAnsi="Arial" w:cs="Arial"/>
        <w:snapToGrid w:val="0"/>
        <w:color w:val="000000"/>
        <w:sz w:val="18"/>
        <w:szCs w:val="18"/>
        <w:lang w:val="en-US" w:eastAsia="en-US" w:bidi="ar-SA"/>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bottom w:val="single" w:sz="6" w:space="1" w:color="auto"/>
      </w:pBdr>
      <w:tabs>
        <w:tab w:val="center" w:pos="4153"/>
        <w:tab w:val="right" w:pos="8306"/>
      </w:tabs>
      <w:kinsoku w:val="0"/>
      <w:autoSpaceDE w:val="0"/>
      <w:autoSpaceDN w:val="0"/>
      <w:adjustRightInd w:val="0"/>
      <w:snapToGrid w:val="0"/>
      <w:jc w:val="center"/>
      <w:textAlignment w:val="baseline"/>
      <w:rPr>
        <w:rFonts w:ascii="Arial" w:eastAsia="等线" w:hAnsi="Arial" w:cs="Arial"/>
        <w:snapToGrid w:val="0"/>
        <w:color w:val="000000"/>
        <w:sz w:val="18"/>
        <w:szCs w:val="18"/>
        <w:lang w:val="en-US" w:eastAsia="en-US" w:bidi="ar-SA"/>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Bdr>
        <w:left w:val="single" w:sz="12" w:space="11" w:color="5B9BD5"/>
      </w:pBdr>
      <w:tabs>
        <w:tab w:val="left" w:pos="3620"/>
        <w:tab w:val="left" w:pos="3964"/>
      </w:tabs>
      <w:kinsoku w:val="0"/>
      <w:autoSpaceDE w:val="0"/>
      <w:autoSpaceDN w:val="0"/>
      <w:adjustRightInd w:val="0"/>
      <w:snapToGrid w:val="0"/>
      <w:jc w:val="left"/>
      <w:textAlignment w:val="baseline"/>
      <w:rPr>
        <w:rFonts w:ascii="等线 Light" w:eastAsia="等线 Light" w:hAnsi="等线 Light" w:cs="Times New Roman"/>
        <w:snapToGrid w:val="0"/>
        <w:color w:val="2E75B5"/>
        <w:kern w:val="0"/>
        <w:sz w:val="26"/>
        <w:szCs w:val="26"/>
        <w:lang w:eastAsia="en-US"/>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bottom w:val="single" w:sz="6" w:space="1" w:color="auto"/>
      </w:pBdr>
      <w:tabs>
        <w:tab w:val="center" w:pos="4153"/>
        <w:tab w:val="right" w:pos="8306"/>
      </w:tabs>
      <w:kinsoku w:val="0"/>
      <w:autoSpaceDE w:val="0"/>
      <w:autoSpaceDN w:val="0"/>
      <w:adjustRightInd w:val="0"/>
      <w:snapToGrid w:val="0"/>
      <w:jc w:val="center"/>
      <w:textAlignment w:val="baseline"/>
      <w:rPr>
        <w:rFonts w:ascii="Arial" w:eastAsia="等线" w:hAnsi="Arial" w:cs="Arial"/>
        <w:snapToGrid w:val="0"/>
        <w:color w:val="000000"/>
        <w:sz w:val="18"/>
        <w:szCs w:val="18"/>
        <w:lang w:val="en-US" w:eastAsia="en-US" w:bidi="ar-SA"/>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bottom w:val="single" w:sz="6" w:space="1" w:color="auto"/>
      </w:pBdr>
      <w:tabs>
        <w:tab w:val="center" w:pos="4153"/>
        <w:tab w:val="right" w:pos="8306"/>
      </w:tabs>
      <w:kinsoku w:val="0"/>
      <w:autoSpaceDE w:val="0"/>
      <w:autoSpaceDN w:val="0"/>
      <w:adjustRightInd w:val="0"/>
      <w:snapToGrid w:val="0"/>
      <w:jc w:val="center"/>
      <w:textAlignment w:val="baseline"/>
      <w:rPr>
        <w:rFonts w:ascii="Arial" w:eastAsia="等线" w:hAnsi="Arial" w:cs="Arial"/>
        <w:snapToGrid w:val="0"/>
        <w:color w:val="000000"/>
        <w:sz w:val="18"/>
        <w:szCs w:val="18"/>
        <w:lang w:val="en-US" w:eastAsia="en-US" w:bidi="ar-SA"/>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Bdr>
        <w:left w:val="single" w:sz="12" w:space="11" w:color="5B9BD5"/>
      </w:pBdr>
      <w:tabs>
        <w:tab w:val="left" w:pos="3620"/>
        <w:tab w:val="left" w:pos="3964"/>
      </w:tabs>
      <w:kinsoku w:val="0"/>
      <w:autoSpaceDE w:val="0"/>
      <w:autoSpaceDN w:val="0"/>
      <w:adjustRightInd w:val="0"/>
      <w:snapToGrid w:val="0"/>
      <w:jc w:val="left"/>
      <w:textAlignment w:val="baseline"/>
      <w:rPr>
        <w:rFonts w:ascii="等线 Light" w:eastAsia="等线 Light" w:hAnsi="等线 Light" w:cs="Times New Roman"/>
        <w:snapToGrid w:val="0"/>
        <w:color w:val="2E75B5"/>
        <w:kern w:val="0"/>
        <w:sz w:val="26"/>
        <w:szCs w:val="26"/>
        <w:lang w:eastAsia="en-US"/>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bottom w:val="single" w:sz="6" w:space="1" w:color="auto"/>
      </w:pBdr>
      <w:tabs>
        <w:tab w:val="center" w:pos="4153"/>
        <w:tab w:val="right" w:pos="8306"/>
      </w:tabs>
      <w:kinsoku w:val="0"/>
      <w:autoSpaceDE w:val="0"/>
      <w:autoSpaceDN w:val="0"/>
      <w:adjustRightInd w:val="0"/>
      <w:snapToGrid w:val="0"/>
      <w:jc w:val="center"/>
      <w:textAlignment w:val="baseline"/>
      <w:rPr>
        <w:rFonts w:ascii="Arial" w:eastAsia="等线" w:hAnsi="Arial" w:cs="Arial"/>
        <w:snapToGrid w:val="0"/>
        <w:color w:val="000000"/>
        <w:sz w:val="18"/>
        <w:szCs w:val="18"/>
        <w:lang w:val="en-US" w:eastAsia="en-US" w:bidi="ar-SA"/>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bottom w:val="single" w:sz="6" w:space="1" w:color="auto"/>
      </w:pBdr>
      <w:tabs>
        <w:tab w:val="center" w:pos="4153"/>
        <w:tab w:val="right" w:pos="8306"/>
      </w:tabs>
      <w:kinsoku w:val="0"/>
      <w:autoSpaceDE w:val="0"/>
      <w:autoSpaceDN w:val="0"/>
      <w:adjustRightInd w:val="0"/>
      <w:snapToGrid w:val="0"/>
      <w:jc w:val="center"/>
      <w:textAlignment w:val="baseline"/>
      <w:rPr>
        <w:rFonts w:ascii="Arial" w:eastAsia="等线" w:hAnsi="Arial" w:cs="Arial"/>
        <w:snapToGrid w:val="0"/>
        <w:color w:val="000000"/>
        <w:sz w:val="18"/>
        <w:szCs w:val="18"/>
        <w:lang w:val="en-US" w:eastAsia="en-US" w:bidi="ar-SA"/>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Bdr>
        <w:left w:val="single" w:sz="12" w:space="11" w:color="5B9BD5"/>
      </w:pBdr>
      <w:tabs>
        <w:tab w:val="left" w:pos="3620"/>
        <w:tab w:val="left" w:pos="3964"/>
      </w:tabs>
      <w:kinsoku w:val="0"/>
      <w:autoSpaceDE w:val="0"/>
      <w:autoSpaceDN w:val="0"/>
      <w:adjustRightInd w:val="0"/>
      <w:snapToGrid w:val="0"/>
      <w:jc w:val="left"/>
      <w:textAlignment w:val="baseline"/>
      <w:rPr>
        <w:rFonts w:ascii="等线 Light" w:eastAsia="等线 Light" w:hAnsi="等线 Light" w:cs="Times New Roman"/>
        <w:snapToGrid w:val="0"/>
        <w:color w:val="2E75B5"/>
        <w:kern w:val="0"/>
        <w:sz w:val="26"/>
        <w:szCs w:val="26"/>
        <w:lang w:eastAsia="en-US"/>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bottom w:val="single" w:sz="6" w:space="1" w:color="auto"/>
      </w:pBdr>
      <w:tabs>
        <w:tab w:val="center" w:pos="4153"/>
        <w:tab w:val="right" w:pos="8306"/>
      </w:tabs>
      <w:kinsoku w:val="0"/>
      <w:autoSpaceDE w:val="0"/>
      <w:autoSpaceDN w:val="0"/>
      <w:adjustRightInd w:val="0"/>
      <w:snapToGrid w:val="0"/>
      <w:jc w:val="center"/>
      <w:textAlignment w:val="baseline"/>
      <w:rPr>
        <w:rFonts w:ascii="Arial" w:eastAsia="等线" w:hAnsi="Arial" w:cs="Arial"/>
        <w:snapToGrid w:val="0"/>
        <w:color w:val="000000"/>
        <w:sz w:val="18"/>
        <w:szCs w:val="18"/>
        <w:lang w:val="en-US" w:eastAsia="en-US" w:bidi="ar-S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bottom w:val="single" w:sz="6" w:space="1" w:color="auto"/>
      </w:pBdr>
      <w:tabs>
        <w:tab w:val="center" w:pos="4153"/>
        <w:tab w:val="right" w:pos="8306"/>
      </w:tabs>
      <w:kinsoku w:val="0"/>
      <w:autoSpaceDE w:val="0"/>
      <w:autoSpaceDN w:val="0"/>
      <w:adjustRightInd w:val="0"/>
      <w:snapToGrid w:val="0"/>
      <w:jc w:val="center"/>
      <w:textAlignment w:val="baseline"/>
      <w:rPr>
        <w:rFonts w:ascii="Arial" w:eastAsia="等线" w:hAnsi="Arial" w:cs="Arial"/>
        <w:snapToGrid w:val="0"/>
        <w:color w:val="000000"/>
        <w:sz w:val="18"/>
        <w:szCs w:val="18"/>
        <w:lang w:val="en-US" w:eastAsia="en-US" w:bidi="ar-SA"/>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jc w:val="both"/>
      <w:rPr>
        <w:rFonts w:ascii="仿宋" w:eastAsia="仿宋" w:hAnsi="仿宋" w:hint="eastAsia"/>
        <w:sz w:val="10"/>
        <w:szCs w:val="10"/>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bottom w:val="single" w:sz="6" w:space="1" w:color="auto"/>
      </w:pBdr>
      <w:tabs>
        <w:tab w:val="center" w:pos="4153"/>
        <w:tab w:val="right" w:pos="8306"/>
      </w:tabs>
      <w:kinsoku w:val="0"/>
      <w:autoSpaceDE w:val="0"/>
      <w:autoSpaceDN w:val="0"/>
      <w:adjustRightInd w:val="0"/>
      <w:snapToGrid w:val="0"/>
      <w:jc w:val="center"/>
      <w:textAlignment w:val="baseline"/>
      <w:rPr>
        <w:rFonts w:ascii="Arial" w:eastAsia="等线" w:hAnsi="Arial" w:cs="Arial"/>
        <w:snapToGrid w:val="0"/>
        <w:color w:val="000000"/>
        <w:sz w:val="18"/>
        <w:szCs w:val="18"/>
        <w:lang w:val="en-US" w:eastAsia="en-US" w:bidi="ar-SA"/>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Bdr>
        <w:left w:val="single" w:sz="12" w:space="11" w:color="5B9BD5"/>
      </w:pBdr>
      <w:tabs>
        <w:tab w:val="left" w:pos="3620"/>
        <w:tab w:val="left" w:pos="3964"/>
      </w:tabs>
      <w:kinsoku w:val="0"/>
      <w:autoSpaceDE w:val="0"/>
      <w:autoSpaceDN w:val="0"/>
      <w:adjustRightInd w:val="0"/>
      <w:snapToGrid w:val="0"/>
      <w:jc w:val="left"/>
      <w:textAlignment w:val="baseline"/>
      <w:rPr>
        <w:rFonts w:ascii="等线 Light" w:eastAsia="等线 Light" w:hAnsi="等线 Light" w:cs="Times New Roman"/>
        <w:snapToGrid w:val="0"/>
        <w:color w:val="2E75B5"/>
        <w:kern w:val="0"/>
        <w:sz w:val="26"/>
        <w:szCs w:val="26"/>
        <w:lang w:eastAsia="en-US"/>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bottom w:val="single" w:sz="6" w:space="1" w:color="auto"/>
      </w:pBdr>
      <w:tabs>
        <w:tab w:val="center" w:pos="4153"/>
        <w:tab w:val="right" w:pos="8306"/>
      </w:tabs>
      <w:kinsoku w:val="0"/>
      <w:autoSpaceDE w:val="0"/>
      <w:autoSpaceDN w:val="0"/>
      <w:adjustRightInd w:val="0"/>
      <w:snapToGrid w:val="0"/>
      <w:jc w:val="center"/>
      <w:textAlignment w:val="baseline"/>
      <w:rPr>
        <w:rFonts w:ascii="Arial" w:eastAsia="等线" w:hAnsi="Arial" w:cs="Arial"/>
        <w:snapToGrid w:val="0"/>
        <w:color w:val="000000"/>
        <w:sz w:val="18"/>
        <w:szCs w:val="18"/>
        <w:lang w:val="en-US" w:eastAsia="en-US" w:bidi="ar-SA"/>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bottom w:val="single" w:sz="6" w:space="1" w:color="auto"/>
      </w:pBdr>
      <w:tabs>
        <w:tab w:val="center" w:pos="4153"/>
        <w:tab w:val="right" w:pos="8306"/>
      </w:tabs>
      <w:kinsoku w:val="0"/>
      <w:autoSpaceDE w:val="0"/>
      <w:autoSpaceDN w:val="0"/>
      <w:adjustRightInd w:val="0"/>
      <w:snapToGrid w:val="0"/>
      <w:jc w:val="left"/>
      <w:textAlignment w:val="baseline"/>
      <w:rPr>
        <w:rFonts w:ascii="Arial" w:eastAsia="等线" w:hAnsi="Arial" w:cs="Arial"/>
        <w:snapToGrid w:val="0"/>
        <w:color w:val="000000"/>
        <w:sz w:val="18"/>
        <w:szCs w:val="18"/>
        <w:lang w:val="en-US" w:eastAsia="en-US" w:bidi="ar-SA"/>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bottom w:val="single" w:sz="6" w:space="1" w:color="auto"/>
      </w:pBdr>
      <w:tabs>
        <w:tab w:val="center" w:pos="4153"/>
        <w:tab w:val="right" w:pos="8306"/>
      </w:tabs>
      <w:kinsoku w:val="0"/>
      <w:autoSpaceDE w:val="0"/>
      <w:autoSpaceDN w:val="0"/>
      <w:adjustRightInd w:val="0"/>
      <w:snapToGrid w:val="0"/>
      <w:jc w:val="center"/>
      <w:textAlignment w:val="baseline"/>
      <w:rPr>
        <w:rFonts w:ascii="Arial" w:eastAsia="等线" w:hAnsi="Arial" w:cs="Arial"/>
        <w:snapToGrid w:val="0"/>
        <w:color w:val="000000"/>
        <w:sz w:val="18"/>
        <w:szCs w:val="18"/>
        <w:lang w:val="en-US" w:eastAsia="en-US" w:bidi="ar-SA"/>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bottom w:val="single" w:sz="6" w:space="1" w:color="auto"/>
      </w:pBdr>
      <w:tabs>
        <w:tab w:val="center" w:pos="4153"/>
        <w:tab w:val="right" w:pos="8306"/>
      </w:tabs>
      <w:kinsoku w:val="0"/>
      <w:autoSpaceDE w:val="0"/>
      <w:autoSpaceDN w:val="0"/>
      <w:adjustRightInd w:val="0"/>
      <w:snapToGrid w:val="0"/>
      <w:jc w:val="center"/>
      <w:textAlignment w:val="baseline"/>
      <w:rPr>
        <w:rFonts w:ascii="Arial" w:eastAsia="等线" w:hAnsi="Arial" w:cs="Arial"/>
        <w:snapToGrid w:val="0"/>
        <w:color w:val="000000"/>
        <w:sz w:val="18"/>
        <w:szCs w:val="18"/>
        <w:lang w:val="en-US" w:eastAsia="en-US" w:bidi="ar-SA"/>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Bdr>
        <w:left w:val="single" w:sz="12" w:space="11" w:color="5B9BD5"/>
      </w:pBdr>
      <w:tabs>
        <w:tab w:val="left" w:pos="3620"/>
        <w:tab w:val="left" w:pos="3964"/>
      </w:tabs>
      <w:kinsoku w:val="0"/>
      <w:autoSpaceDE w:val="0"/>
      <w:autoSpaceDN w:val="0"/>
      <w:adjustRightInd w:val="0"/>
      <w:snapToGrid w:val="0"/>
      <w:jc w:val="left"/>
      <w:textAlignment w:val="baseline"/>
      <w:rPr>
        <w:rFonts w:ascii="等线 Light" w:eastAsia="等线 Light" w:hAnsi="等线 Light" w:cs="Times New Roman"/>
        <w:snapToGrid w:val="0"/>
        <w:color w:val="2E75B5"/>
        <w:kern w:val="0"/>
        <w:sz w:val="26"/>
        <w:szCs w:val="26"/>
        <w:lang w:eastAsia="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A73A2E"/>
    <w:multiLevelType w:val="singleLevel"/>
    <w:tmpl w:val="B5A73A2E"/>
    <w:lvl w:ilvl="0">
      <w:start w:val="4"/>
      <w:numFmt w:val="decimal"/>
      <w:lvlText w:val="%1."/>
      <w:lvlJc w:val="left"/>
      <w:pPr>
        <w:tabs>
          <w:tab w:val="left" w:pos="312"/>
        </w:tabs>
      </w:pPr>
    </w:lvl>
  </w:abstractNum>
  <w:abstractNum w:abstractNumId="1">
    <w:nsid w:val="B9358C2E"/>
    <w:multiLevelType w:val="singleLevel"/>
    <w:tmpl w:val="B9358C2E"/>
    <w:lvl w:ilvl="0">
      <w:start w:val="2"/>
      <w:numFmt w:val="decimal"/>
      <w:suff w:val="nothing"/>
      <w:lvlText w:val="%1、"/>
      <w:lvlJc w:val="left"/>
    </w:lvl>
  </w:abstractNum>
  <w:abstractNum w:abstractNumId="2">
    <w:nsid w:val="0CB11FD7"/>
    <w:multiLevelType w:val="multilevel"/>
    <w:tmpl w:val="0CB11FD7"/>
    <w:lvl w:ilvl="0">
      <w:start w:val="1"/>
      <w:numFmt w:val="decimal"/>
      <w:lvlText w:val="%1)"/>
      <w:lvlJc w:val="left"/>
      <w:pPr>
        <w:tabs>
          <w:tab w:val="left" w:pos="1470"/>
        </w:tabs>
        <w:ind w:left="1470" w:hanging="420"/>
      </w:pPr>
      <w:rPr>
        <w:rFonts w:hint="eastAsia"/>
        <w:b w:val="0"/>
      </w:rPr>
    </w:lvl>
    <w:lvl w:ilvl="1">
      <w:start w:val="4"/>
      <w:numFmt w:val="japaneseCounting"/>
      <w:lvlText w:val="%2、"/>
      <w:lvlJc w:val="left"/>
      <w:pPr>
        <w:tabs>
          <w:tab w:val="left" w:pos="1140"/>
        </w:tabs>
        <w:ind w:left="1140" w:hanging="720"/>
      </w:pPr>
      <w:rPr>
        <w:rFonts w:hint="default"/>
      </w:rPr>
    </w:lvl>
    <w:lvl w:ilvl="2">
      <w:start w:val="1"/>
      <w:numFmt w:val="decimal"/>
      <w:lvlText w:val="%3、"/>
      <w:lvlJc w:val="left"/>
      <w:pPr>
        <w:tabs>
          <w:tab w:val="left" w:pos="360"/>
        </w:tabs>
        <w:ind w:left="360" w:hanging="360"/>
      </w:pPr>
      <w:rPr>
        <w:rFonts w:hint="default"/>
      </w:rPr>
    </w:lvl>
    <w:lvl w:ilvl="3">
      <w:start w:val="6"/>
      <w:numFmt w:val="japaneseCounting"/>
      <w:lvlText w:val="第%4章"/>
      <w:lvlJc w:val="left"/>
      <w:pPr>
        <w:tabs>
          <w:tab w:val="left" w:pos="2400"/>
        </w:tabs>
        <w:ind w:left="2400" w:hanging="114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EC27779"/>
    <w:multiLevelType w:val="multilevel"/>
    <w:tmpl w:val="5EC27779"/>
    <w:lvl w:ilvl="0">
      <w:start w:val="1"/>
      <w:numFmt w:val="decimal"/>
      <w:lvlText w:val="%1)"/>
      <w:lvlJc w:val="left"/>
      <w:pPr>
        <w:tabs>
          <w:tab w:val="left" w:pos="1470"/>
        </w:tabs>
        <w:ind w:left="1470" w:hanging="420"/>
      </w:pPr>
      <w:rPr>
        <w:rFonts w:asciiTheme="majorEastAsia" w:eastAsiaTheme="majorEastAsia" w:hAnsiTheme="majorEastAsia" w:hint="eastAsia"/>
        <w:sz w:val="28"/>
        <w:szCs w:val="28"/>
      </w:rPr>
    </w:lvl>
    <w:lvl w:ilvl="1">
      <w:start w:val="4"/>
      <w:numFmt w:val="japaneseCounting"/>
      <w:lvlText w:val="%2、"/>
      <w:lvlJc w:val="left"/>
      <w:pPr>
        <w:tabs>
          <w:tab w:val="left" w:pos="1140"/>
        </w:tabs>
        <w:ind w:left="1140" w:hanging="720"/>
      </w:pPr>
      <w:rPr>
        <w:rFonts w:hint="default"/>
      </w:rPr>
    </w:lvl>
    <w:lvl w:ilvl="2">
      <w:start w:val="1"/>
      <w:numFmt w:val="decimal"/>
      <w:lvlText w:val="%3、"/>
      <w:lvlJc w:val="left"/>
      <w:pPr>
        <w:tabs>
          <w:tab w:val="left" w:pos="360"/>
        </w:tabs>
        <w:ind w:left="360" w:hanging="360"/>
      </w:pPr>
      <w:rPr>
        <w:rFonts w:hint="default"/>
      </w:rPr>
    </w:lvl>
    <w:lvl w:ilvl="3">
      <w:start w:val="6"/>
      <w:numFmt w:val="japaneseCounting"/>
      <w:lvlText w:val="第%4章"/>
      <w:lvlJc w:val="left"/>
      <w:pPr>
        <w:tabs>
          <w:tab w:val="left" w:pos="2400"/>
        </w:tabs>
        <w:ind w:left="2400" w:hanging="114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2"/>
    <w:uiPriority w:val="9"/>
    <w:semiHidden/>
    <w:unhideWhenUsed/>
    <w:qFormat/>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lang w:eastAsia="zh-CN"/>
    </w:rPr>
  </w:style>
  <w:style w:type="paragraph" w:styleId="Heading5">
    <w:name w:val="heading 5"/>
    <w:basedOn w:val="Normal"/>
    <w:next w:val="Normal"/>
    <w:qFormat/>
    <w:pPr>
      <w:keepNext/>
      <w:keepLines/>
      <w:widowControl w:val="0"/>
      <w:spacing w:before="280" w:after="290" w:line="376" w:lineRule="auto"/>
      <w:jc w:val="both"/>
      <w:outlineLvl w:val="4"/>
    </w:pPr>
    <w:rPr>
      <w:rFonts w:asciiTheme="minorHAnsi" w:eastAsiaTheme="minorEastAsia" w:hAnsiTheme="minorHAnsi" w:cstheme="minorBidi"/>
      <w:b/>
      <w:kern w:val="2"/>
      <w:sz w:val="28"/>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semiHidden/>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
    <w:name w:val="页眉 字符"/>
    <w:basedOn w:val="DefaultParagraphFont"/>
    <w:link w:val="Header"/>
    <w:uiPriority w:val="99"/>
    <w:semiHidden/>
    <w:qFormat/>
    <w:rPr>
      <w:rFonts w:eastAsia="宋体"/>
      <w:sz w:val="18"/>
      <w:szCs w:val="18"/>
    </w:rPr>
  </w:style>
  <w:style w:type="paragraph" w:styleId="Footer">
    <w:name w:val="footer"/>
    <w:basedOn w:val="Normal"/>
    <w:link w:val="a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0">
    <w:name w:val="页脚 字符"/>
    <w:basedOn w:val="DefaultParagraphFont"/>
    <w:link w:val="Footer"/>
    <w:uiPriority w:val="99"/>
    <w:qFormat/>
    <w:rPr>
      <w:rFonts w:eastAsia="宋体"/>
      <w:sz w:val="18"/>
      <w:szCs w:val="18"/>
    </w:rPr>
  </w:style>
  <w:style w:type="paragraph" w:styleId="BodyText">
    <w:name w:val="Body Text"/>
    <w:basedOn w:val="Normal"/>
    <w:next w:val="BodyText2"/>
    <w:qFormat/>
    <w:pPr>
      <w:widowControl w:val="0"/>
      <w:spacing w:line="360" w:lineRule="auto"/>
      <w:jc w:val="both"/>
    </w:pPr>
    <w:rPr>
      <w:rFonts w:asciiTheme="minorHAnsi" w:eastAsiaTheme="minorEastAsia" w:hAnsiTheme="minorHAnsi" w:cstheme="minorBidi"/>
      <w:b/>
      <w:bCs/>
      <w:kern w:val="2"/>
      <w:szCs w:val="22"/>
      <w:lang w:eastAsia="zh-CN"/>
    </w:rPr>
  </w:style>
  <w:style w:type="paragraph" w:styleId="BodyText2">
    <w:name w:val="Body Text 2"/>
    <w:basedOn w:val="Normal"/>
    <w:qFormat/>
    <w:pPr>
      <w:widowControl w:val="0"/>
      <w:spacing w:line="360" w:lineRule="auto"/>
      <w:jc w:val="both"/>
    </w:pPr>
    <w:rPr>
      <w:rFonts w:asciiTheme="minorHAnsi" w:eastAsiaTheme="minorEastAsia" w:hAnsiTheme="minorHAnsi" w:cstheme="minorBidi"/>
      <w:kern w:val="2"/>
      <w:szCs w:val="22"/>
      <w:lang w:eastAsia="zh-CN"/>
    </w:rPr>
  </w:style>
  <w:style w:type="paragraph" w:styleId="NormalWeb">
    <w:name w:val="Normal (Web)"/>
    <w:basedOn w:val="Normal"/>
    <w:link w:val="a1"/>
    <w:uiPriority w:val="99"/>
    <w:qFormat/>
    <w:pPr>
      <w:spacing w:before="100" w:beforeAutospacing="1" w:afterAutospacing="1"/>
    </w:pPr>
    <w:rPr>
      <w:rFonts w:ascii="宋体" w:hAnsi="宋体" w:eastAsiaTheme="minorEastAsia" w:cstheme="minorBidi"/>
      <w:kern w:val="2"/>
      <w:lang w:eastAsia="zh-CN"/>
    </w:rPr>
  </w:style>
  <w:style w:type="character" w:customStyle="1" w:styleId="a1">
    <w:name w:val="普通(网站) 字符"/>
    <w:link w:val="NormalWeb"/>
    <w:uiPriority w:val="99"/>
    <w:qFormat/>
    <w:rPr>
      <w:rFonts w:ascii="宋体" w:eastAsia="宋体" w:hAnsi="宋体"/>
      <w:sz w:val="24"/>
      <w:szCs w:val="24"/>
    </w:rPr>
  </w:style>
  <w:style w:type="paragraph" w:styleId="NormalIndent">
    <w:name w:val="Normal Indent"/>
    <w:basedOn w:val="Normal"/>
    <w:qFormat/>
    <w:pPr>
      <w:widowControl w:val="0"/>
      <w:ind w:firstLine="420"/>
      <w:jc w:val="both"/>
    </w:pPr>
    <w:rPr>
      <w:rFonts w:asciiTheme="minorHAnsi" w:eastAsiaTheme="minorEastAsia" w:hAnsiTheme="minorHAnsi" w:cstheme="minorBidi"/>
      <w:kern w:val="2"/>
      <w:sz w:val="21"/>
      <w:szCs w:val="20"/>
      <w:lang w:eastAsia="zh-CN"/>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semiHidden/>
    <w:unhideWhenUsed/>
    <w:qFormat/>
    <w:rPr>
      <w:rFonts w:eastAsia="宋体"/>
    </w:rPr>
    <w:tblPr>
      <w:tblCellMar>
        <w:top w:w="0" w:type="dxa"/>
        <w:left w:w="0" w:type="dxa"/>
        <w:bottom w:w="0" w:type="dxa"/>
        <w:right w:w="0" w:type="dxa"/>
      </w:tblCellMar>
    </w:tblPr>
  </w:style>
  <w:style w:type="paragraph" w:customStyle="1" w:styleId="TableText">
    <w:name w:val="Table Text"/>
    <w:basedOn w:val="Normal"/>
    <w:semiHidden/>
    <w:qFormat/>
    <w:pPr>
      <w:widowControl w:val="0"/>
      <w:jc w:val="both"/>
    </w:pPr>
    <w:rPr>
      <w:rFonts w:ascii="宋体" w:eastAsia="宋体" w:hAnsi="宋体" w:cs="宋体"/>
      <w:kern w:val="2"/>
      <w:sz w:val="20"/>
      <w:szCs w:val="20"/>
    </w:rPr>
  </w:style>
  <w:style w:type="paragraph" w:styleId="BodyTextIndent">
    <w:name w:val="Body Text Indent"/>
    <w:basedOn w:val="Normal"/>
    <w:qFormat/>
    <w:pPr>
      <w:widowControl w:val="0"/>
      <w:spacing w:line="360" w:lineRule="auto"/>
      <w:ind w:firstLine="420" w:firstLineChars="200"/>
      <w:jc w:val="both"/>
    </w:pPr>
    <w:rPr>
      <w:rFonts w:asciiTheme="minorHAnsi" w:eastAsiaTheme="minorEastAsia" w:hAnsiTheme="minorHAnsi" w:cstheme="minorBidi"/>
      <w:kern w:val="2"/>
      <w:sz w:val="21"/>
      <w:szCs w:val="22"/>
      <w:lang w:eastAsia="zh-CN"/>
    </w:rPr>
  </w:style>
  <w:style w:type="paragraph" w:styleId="BodyTextFirstIndent2">
    <w:name w:val="Body Text First Indent 2"/>
    <w:basedOn w:val="BodyTextIndent"/>
    <w:qFormat/>
    <w:pPr>
      <w:spacing w:after="120" w:line="240" w:lineRule="auto"/>
      <w:ind w:left="420" w:leftChars="200"/>
    </w:pPr>
  </w:style>
  <w:style w:type="paragraph" w:customStyle="1" w:styleId="a2">
    <w:name w:val="模板正文"/>
    <w:basedOn w:val="Normal"/>
    <w:qFormat/>
    <w:pPr>
      <w:widowControl w:val="0"/>
      <w:spacing w:after="50" w:afterLines="50" w:line="360" w:lineRule="auto"/>
      <w:ind w:firstLine="200" w:firstLineChars="200"/>
      <w:jc w:val="both"/>
    </w:pPr>
    <w:rPr>
      <w:rFonts w:eastAsiaTheme="minorEastAsia"/>
      <w:kern w:val="2"/>
      <w:sz w:val="21"/>
      <w:szCs w:val="21"/>
      <w:lang w:eastAsia="zh-CN"/>
    </w:rPr>
  </w:style>
  <w:style w:type="character" w:customStyle="1" w:styleId="2">
    <w:name w:val="标题 2 字符"/>
    <w:basedOn w:val="DefaultParagraphFont"/>
    <w:link w:val="Heading2"/>
    <w:uiPriority w:val="9"/>
    <w:semiHidden/>
    <w:qFormat/>
    <w:rPr>
      <w:rFonts w:asciiTheme="majorHAnsi" w:eastAsiaTheme="majorEastAsia" w:hAnsiTheme="majorHAnsi" w:cstheme="majorBidi"/>
      <w:b/>
      <w:bCs/>
      <w:sz w:val="32"/>
      <w:szCs w:val="32"/>
    </w:rPr>
  </w:style>
  <w:style w:type="paragraph" w:styleId="ListParagraph">
    <w:name w:val="List Paragraph"/>
    <w:basedOn w:val="Normal"/>
    <w:uiPriority w:val="34"/>
    <w:qFormat/>
    <w:pPr>
      <w:widowControl w:val="0"/>
      <w:ind w:firstLine="420" w:firstLineChars="200"/>
      <w:jc w:val="both"/>
    </w:pPr>
    <w:rPr>
      <w:rFonts w:asciiTheme="minorHAnsi" w:eastAsiaTheme="minorEastAsia" w:hAnsiTheme="minorHAnsi" w:cstheme="minorBid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2.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footer" Target="footer3.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10.xml"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footer" Target="footer5.xml" /><Relationship Id="rId24" Type="http://schemas.openxmlformats.org/officeDocument/2006/relationships/header" Target="header13.xml" /><Relationship Id="rId25" Type="http://schemas.openxmlformats.org/officeDocument/2006/relationships/header" Target="header14.xml" /><Relationship Id="rId26" Type="http://schemas.openxmlformats.org/officeDocument/2006/relationships/header" Target="header15.xml" /><Relationship Id="rId27" Type="http://schemas.openxmlformats.org/officeDocument/2006/relationships/footer" Target="footer6.xml" /><Relationship Id="rId28" Type="http://schemas.openxmlformats.org/officeDocument/2006/relationships/header" Target="header16.xml" /><Relationship Id="rId29" Type="http://schemas.openxmlformats.org/officeDocument/2006/relationships/header" Target="header17.xml" /><Relationship Id="rId3" Type="http://schemas.openxmlformats.org/officeDocument/2006/relationships/fontTable" Target="fontTable.xml" /><Relationship Id="rId30" Type="http://schemas.openxmlformats.org/officeDocument/2006/relationships/header" Target="header18.xml" /><Relationship Id="rId31" Type="http://schemas.openxmlformats.org/officeDocument/2006/relationships/footer" Target="footer7.xml" /><Relationship Id="rId32" Type="http://schemas.openxmlformats.org/officeDocument/2006/relationships/header" Target="header19.xml" /><Relationship Id="rId33" Type="http://schemas.openxmlformats.org/officeDocument/2006/relationships/header" Target="header20.xml" /><Relationship Id="rId34" Type="http://schemas.openxmlformats.org/officeDocument/2006/relationships/header" Target="header21.xml" /><Relationship Id="rId35" Type="http://schemas.openxmlformats.org/officeDocument/2006/relationships/footer" Target="footer8.xml" /><Relationship Id="rId36" Type="http://schemas.openxmlformats.org/officeDocument/2006/relationships/footer" Target="footer9.xml" /><Relationship Id="rId37" Type="http://schemas.openxmlformats.org/officeDocument/2006/relationships/hyperlink" Target="https://www.szggzy.com/static/index.html" TargetMode="External" /><Relationship Id="rId38" Type="http://schemas.openxmlformats.org/officeDocument/2006/relationships/header" Target="header22.xml" /><Relationship Id="rId39" Type="http://schemas.openxmlformats.org/officeDocument/2006/relationships/header" Target="header23.xml" /><Relationship Id="rId4" Type="http://schemas.openxmlformats.org/officeDocument/2006/relationships/hyperlink" Target="http://www.baidu.com/link?url=6TUmbbSdkQxdcJaeHRzTO4mBxp9fQtiBr4U3woWl_azESqs3mBGaEop_LCuC-SJkD_IjzhVv5T3W1ed0YfeWVnmlKtx2JOuwBjACvXaaFhK" TargetMode="External" /><Relationship Id="rId40" Type="http://schemas.openxmlformats.org/officeDocument/2006/relationships/footer" Target="footer10.xml" /><Relationship Id="rId41" Type="http://schemas.openxmlformats.org/officeDocument/2006/relationships/footer" Target="footer11.xml" /><Relationship Id="rId42" Type="http://schemas.openxmlformats.org/officeDocument/2006/relationships/header" Target="header24.xml" /><Relationship Id="rId43" Type="http://schemas.openxmlformats.org/officeDocument/2006/relationships/footer" Target="footer12.xml" /><Relationship Id="rId44" Type="http://schemas.openxmlformats.org/officeDocument/2006/relationships/theme" Target="theme/theme1.xml" /><Relationship Id="rId45" Type="http://schemas.openxmlformats.org/officeDocument/2006/relationships/numbering" Target="numbering.xml" /><Relationship Id="rId46" Type="http://schemas.openxmlformats.org/officeDocument/2006/relationships/styles" Target="styles.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