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BA5D">
      <w:pPr>
        <w:pStyle w:val="13"/>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505C6E43">
      <w:pPr>
        <w:pStyle w:val="13"/>
        <w:widowControl/>
        <w:numPr>
          <w:ilvl w:val="0"/>
          <w:numId w:val="2"/>
        </w:numPr>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项目名称：血凝分析仪    </w:t>
      </w:r>
    </w:p>
    <w:p w14:paraId="0E253CC5">
      <w:pPr>
        <w:pStyle w:val="13"/>
        <w:widowControl/>
        <w:numPr>
          <w:ilvl w:val="0"/>
          <w:numId w:val="2"/>
        </w:numPr>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项目预算：15万元   </w:t>
      </w:r>
    </w:p>
    <w:p w14:paraId="3EF1FC31">
      <w:pPr>
        <w:pStyle w:val="13"/>
        <w:widowControl/>
        <w:numPr>
          <w:ilvl w:val="0"/>
          <w:numId w:val="2"/>
        </w:numPr>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项目报价类型：总价</w:t>
      </w:r>
    </w:p>
    <w:p w14:paraId="1015FB41">
      <w:pPr>
        <w:pStyle w:val="13"/>
        <w:widowControl/>
        <w:numPr>
          <w:ilvl w:val="0"/>
          <w:numId w:val="2"/>
        </w:numPr>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资金来源：单位资金</w:t>
      </w:r>
    </w:p>
    <w:p w14:paraId="37944D7F">
      <w:pPr>
        <w:pStyle w:val="13"/>
        <w:widowControl/>
        <w:numPr>
          <w:ilvl w:val="0"/>
          <w:numId w:val="2"/>
        </w:numPr>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采购类别：货物</w:t>
      </w:r>
    </w:p>
    <w:p w14:paraId="1E04A4D7">
      <w:pPr>
        <w:pStyle w:val="13"/>
        <w:widowControl/>
        <w:numPr>
          <w:ilvl w:val="0"/>
          <w:numId w:val="1"/>
        </w:numPr>
        <w:spacing w:line="360" w:lineRule="auto"/>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项目采购需求：</w:t>
      </w:r>
    </w:p>
    <w:p w14:paraId="49D11113">
      <w:pPr>
        <w:pStyle w:val="13"/>
        <w:widowControl/>
        <w:numPr>
          <w:ilvl w:val="0"/>
          <w:numId w:val="3"/>
        </w:num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采购项目需实现的功能和目标：</w:t>
      </w:r>
    </w:p>
    <w:p w14:paraId="2B54F06F">
      <w:pPr>
        <w:pStyle w:val="13"/>
        <w:widowControl/>
        <w:spacing w:line="360" w:lineRule="auto"/>
        <w:ind w:left="284" w:firstLine="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为满足重症医学科抢救患者应用ECMO、CRRT、IABP等体外生命设备支持治疗时对凝血功能实时监测的临床需求，拟申购全自动床旁血凝分析仪。该设备可精准指导抗凝药物剂量调控，降低出血及血栓风险，提高救治效率与安全性。同时具备多项凝血指标检测功能，拟采购的全自动床旁血凝分析仪，具备以下功能:1.活性凝血时间试剂(ACT+和 ACT-LR)、激活的部分凝血活酶时间试剂(APTT)、凝血酶原试剂(PT)通用凝结鉴别试验测定，具备精准度高、稳定性好检测快速、操作维护保养简单方便、经济耐用等特点。2.支持全血样本检测，操作简便，结果出具时间短，适用于床旁即刻评估。（二）项目属性：</w:t>
      </w:r>
    </w:p>
    <w:p w14:paraId="38EECAAB">
      <w:pPr>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1C4F3ABB">
      <w:pPr>
        <w:numPr>
          <w:ilvl w:val="0"/>
          <w:numId w:val="5"/>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□是否仅面向小微企业</w:t>
      </w:r>
    </w:p>
    <w:p w14:paraId="5820C799">
      <w:pPr>
        <w:numPr>
          <w:ilvl w:val="0"/>
          <w:numId w:val="5"/>
        </w:numPr>
        <w:spacing w:line="360" w:lineRule="auto"/>
        <w:rPr>
          <w:rFonts w:hint="eastAsia"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 w:hAnsi="仿宋" w:eastAsia="仿宋"/>
          <w:sz w:val="28"/>
          <w:szCs w:val="28"/>
          <w:u w:val="single"/>
        </w:rPr>
        <w:t>按照办法规定预留采购份额无法确保充分供应、充分竞争，或者存在可能影响政府采购目标实现的情形。</w:t>
      </w:r>
    </w:p>
    <w:p w14:paraId="62B08DCB">
      <w:pPr>
        <w:numPr>
          <w:ilvl w:val="0"/>
          <w:numId w:val="6"/>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是否接受联合体投标</w:t>
      </w:r>
      <w:r>
        <w:rPr>
          <w:rFonts w:hint="eastAsia" w:ascii="仿宋_GB2312" w:hAnsi="仿宋_GB2312" w:eastAsia="仿宋_GB2312" w:cs="仿宋_GB2312"/>
          <w:sz w:val="28"/>
          <w:szCs w:val="28"/>
        </w:rPr>
        <w:t>：  □是    ☑否</w:t>
      </w:r>
    </w:p>
    <w:p w14:paraId="4B6077A2">
      <w:pPr>
        <w:spacing w:line="360" w:lineRule="auto"/>
        <w:rPr>
          <w:rFonts w:hint="eastAsia" w:ascii="仿宋_GB2312" w:hAnsi="仿宋_GB2312" w:eastAsia="仿宋_GB2312" w:cs="仿宋_GB2312"/>
          <w:b/>
          <w:bCs/>
          <w:sz w:val="28"/>
          <w:szCs w:val="28"/>
        </w:rPr>
      </w:pPr>
      <w:r>
        <w:rPr>
          <w:rFonts w:hint="eastAsia" w:ascii="仿宋" w:hAnsi="仿宋" w:eastAsia="仿宋"/>
          <w:b/>
          <w:bCs/>
          <w:sz w:val="32"/>
          <w:szCs w:val="32"/>
        </w:rPr>
        <w:t>（</w:t>
      </w:r>
      <w:r>
        <w:rPr>
          <w:rFonts w:hint="eastAsia" w:ascii="仿宋_GB2312" w:hAnsi="仿宋_GB2312" w:eastAsia="仿宋_GB2312" w:cs="仿宋_GB2312"/>
          <w:b/>
          <w:bCs/>
          <w:sz w:val="28"/>
          <w:szCs w:val="28"/>
        </w:rPr>
        <w:t>四）采购标的汇总表：</w:t>
      </w:r>
    </w:p>
    <w:tbl>
      <w:tblPr>
        <w:tblStyle w:val="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19D5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5030331F">
            <w:pPr>
              <w:autoSpaceDE w:val="0"/>
              <w:autoSpaceDN w:val="0"/>
              <w:adjustRightInd w:val="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331" w:type="dxa"/>
            <w:shd w:val="clear" w:color="auto" w:fill="FFFFFF"/>
            <w:tcMar>
              <w:top w:w="0" w:type="dxa"/>
              <w:right w:w="0" w:type="dxa"/>
            </w:tcMar>
            <w:vAlign w:val="center"/>
          </w:tcPr>
          <w:p w14:paraId="0ABFA8FA">
            <w:pPr>
              <w:autoSpaceDE w:val="0"/>
              <w:autoSpaceDN w:val="0"/>
              <w:adjustRightInd w:val="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5B7724EF">
            <w:pPr>
              <w:autoSpaceDE w:val="0"/>
              <w:autoSpaceDN w:val="0"/>
              <w:adjustRightInd w:val="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6E6C4208">
            <w:pPr>
              <w:autoSpaceDE w:val="0"/>
              <w:autoSpaceDN w:val="0"/>
              <w:adjustRightInd w:val="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4CE829F8">
            <w:pPr>
              <w:autoSpaceDE w:val="0"/>
              <w:autoSpaceDN w:val="0"/>
              <w:adjustRightInd w:val="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总预算（元）</w:t>
            </w:r>
          </w:p>
        </w:tc>
        <w:tc>
          <w:tcPr>
            <w:tcW w:w="2065" w:type="dxa"/>
            <w:shd w:val="clear" w:color="auto" w:fill="FFFFFF"/>
            <w:tcMar>
              <w:top w:w="0" w:type="dxa"/>
              <w:right w:w="0" w:type="dxa"/>
            </w:tcMar>
            <w:vAlign w:val="center"/>
          </w:tcPr>
          <w:p w14:paraId="719C7908">
            <w:pPr>
              <w:autoSpaceDE w:val="0"/>
              <w:autoSpaceDN w:val="0"/>
              <w:adjustRightInd w:val="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是否进口      （货物类提供）</w:t>
            </w:r>
          </w:p>
        </w:tc>
      </w:tr>
      <w:tr w14:paraId="40EB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7022FCDE">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kern w:val="0"/>
                <w:sz w:val="28"/>
                <w:szCs w:val="28"/>
              </w:rPr>
              <w:t>血凝分析仪</w:t>
            </w:r>
            <w:r>
              <w:rPr>
                <w:rFonts w:hint="eastAsia" w:ascii="仿宋_GB2312" w:hAnsi="仿宋_GB2312" w:eastAsia="仿宋_GB2312" w:cs="仿宋_GB2312"/>
                <w:color w:val="5E6B87"/>
                <w:kern w:val="0"/>
                <w:sz w:val="28"/>
                <w:szCs w:val="28"/>
              </w:rPr>
              <w:t xml:space="preserve">   </w:t>
            </w:r>
          </w:p>
        </w:tc>
        <w:tc>
          <w:tcPr>
            <w:tcW w:w="2331" w:type="dxa"/>
            <w:shd w:val="clear" w:color="auto" w:fill="FFFFFF"/>
            <w:tcMar>
              <w:top w:w="0" w:type="dxa"/>
              <w:right w:w="0" w:type="dxa"/>
            </w:tcMar>
            <w:vAlign w:val="center"/>
          </w:tcPr>
          <w:p w14:paraId="192DE66F">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kern w:val="0"/>
                <w:sz w:val="28"/>
                <w:szCs w:val="28"/>
              </w:rPr>
              <w:t>A02321900、临床检验设备</w:t>
            </w:r>
          </w:p>
        </w:tc>
        <w:tc>
          <w:tcPr>
            <w:tcW w:w="1601" w:type="dxa"/>
            <w:shd w:val="clear" w:color="auto" w:fill="FFFFFF"/>
            <w:tcMar>
              <w:top w:w="0" w:type="dxa"/>
              <w:right w:w="0" w:type="dxa"/>
            </w:tcMar>
            <w:vAlign w:val="center"/>
          </w:tcPr>
          <w:p w14:paraId="3A1BCF05">
            <w:pPr>
              <w:autoSpaceDE w:val="0"/>
              <w:autoSpaceDN w:val="0"/>
              <w:adjustRightIn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台  </w:t>
            </w:r>
          </w:p>
        </w:tc>
        <w:tc>
          <w:tcPr>
            <w:tcW w:w="968" w:type="dxa"/>
            <w:shd w:val="clear" w:color="auto" w:fill="FFFFFF"/>
            <w:vAlign w:val="center"/>
          </w:tcPr>
          <w:p w14:paraId="07A36ABB">
            <w:pPr>
              <w:autoSpaceDE w:val="0"/>
              <w:autoSpaceDN w:val="0"/>
              <w:adjustRightIn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  </w:t>
            </w:r>
          </w:p>
        </w:tc>
        <w:tc>
          <w:tcPr>
            <w:tcW w:w="1200" w:type="dxa"/>
            <w:shd w:val="clear" w:color="auto" w:fill="FFFFFF"/>
            <w:vAlign w:val="center"/>
          </w:tcPr>
          <w:p w14:paraId="52A99E45">
            <w:pPr>
              <w:autoSpaceDE w:val="0"/>
              <w:autoSpaceDN w:val="0"/>
              <w:adjustRightIn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150000 </w:t>
            </w:r>
          </w:p>
        </w:tc>
        <w:tc>
          <w:tcPr>
            <w:tcW w:w="2065" w:type="dxa"/>
            <w:shd w:val="clear" w:color="auto" w:fill="FFFFFF"/>
            <w:tcMar>
              <w:top w:w="0" w:type="dxa"/>
              <w:right w:w="0" w:type="dxa"/>
            </w:tcMar>
            <w:vAlign w:val="center"/>
          </w:tcPr>
          <w:p w14:paraId="1C6CD723">
            <w:pPr>
              <w:autoSpaceDE w:val="0"/>
              <w:autoSpaceDN w:val="0"/>
              <w:adjustRightIn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不限</w:t>
            </w:r>
            <w:r>
              <w:rPr>
                <w:rFonts w:hint="eastAsia" w:ascii="仿宋_GB2312" w:hAnsi="仿宋_GB2312" w:eastAsia="仿宋_GB2312" w:cs="仿宋_GB2312"/>
                <w:kern w:val="0"/>
                <w:sz w:val="28"/>
                <w:szCs w:val="28"/>
              </w:rPr>
              <w:t xml:space="preserve"> </w:t>
            </w:r>
          </w:p>
        </w:tc>
      </w:tr>
    </w:tbl>
    <w:p w14:paraId="3C5BE86F">
      <w:pPr>
        <w:rPr>
          <w:rFonts w:hint="eastAsia"/>
          <w:b/>
          <w:bCs/>
        </w:rPr>
      </w:pPr>
      <w:r>
        <w:rPr>
          <w:rFonts w:hint="eastAsia" w:ascii="仿宋_GB2312" w:hAnsi="仿宋_GB2312" w:eastAsia="仿宋_GB2312" w:cs="仿宋_GB2312"/>
          <w:b/>
          <w:bCs/>
          <w:sz w:val="28"/>
          <w:szCs w:val="28"/>
        </w:rPr>
        <w:t>（五）按照规定及项目情况设置投标供应商资格要求：</w:t>
      </w:r>
    </w:p>
    <w:p w14:paraId="25BCD1D5">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投标人必须具有独立法人资格，《营业执照》、《税务登记证》、《组织机构代码证》或“三证合一”的《营业执照》并具有相关经营范围（提供相关证明扫描件，原件备查）；</w:t>
      </w:r>
    </w:p>
    <w:p w14:paraId="2118205C">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5B817A31">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若所供产品为进口产品，投标人必须是所供产品的制造商或合法代理商或合法授权投标人（提供相关证明扫描件）；若所供产品是国产产品（非进口产品），则投标人不需要提供其为所供产品的制造商或合法代理商或合法授权投标人的证明。</w:t>
      </w:r>
    </w:p>
    <w:p w14:paraId="57A4FC32">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若所供产品为进口产品，则投标人需提供由制造商或授权的中国总代理签署的合法有效的保修、维修承诺函（免费保修期满足招标文件要求）扫描件；若所供产品为国产产品，则无需提供。</w:t>
      </w:r>
    </w:p>
    <w:p w14:paraId="1E5143EC">
      <w:pPr>
        <w:ind w:firstLine="480" w:firstLineChars="200"/>
        <w:rPr>
          <w:rFonts w:hint="eastAsia"/>
        </w:rPr>
      </w:pPr>
      <w:r>
        <w:rPr>
          <w:rFonts w:hint="eastAsia" w:ascii="仿宋_GB2312" w:hAnsi="仿宋_GB2312" w:eastAsia="仿宋_GB2312" w:cs="仿宋_GB2312"/>
          <w:color w:val="000000" w:themeColor="text1"/>
          <w:sz w:val="24"/>
          <w:szCs w:val="24"/>
          <w14:textFill>
            <w14:solidFill>
              <w14:schemeClr w14:val="tx1"/>
            </w14:solidFill>
          </w14:textFill>
        </w:rPr>
        <w:t>投标人必须承诺参与本项目投标前三年内，在经营活动中没有重大违法记录，以及参与本项目政府采购活动时不存在被有关部门禁止参与政府采购活动且在有效期内的情况（提供承诺函）；</w:t>
      </w:r>
    </w:p>
    <w:p w14:paraId="4BDC27DA">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（六）技术、服务要求与商务要求：</w:t>
      </w:r>
    </w:p>
    <w:p w14:paraId="382FC498">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技术要求：（包括性能、材料、结构、外观、安全或服务内容和服务标准）</w:t>
      </w:r>
    </w:p>
    <w:tbl>
      <w:tblPr>
        <w:tblStyle w:val="7"/>
        <w:tblW w:w="9030" w:type="dxa"/>
        <w:tblInd w:w="93" w:type="dxa"/>
        <w:tblLayout w:type="autofit"/>
        <w:tblCellMar>
          <w:top w:w="0" w:type="dxa"/>
          <w:left w:w="108" w:type="dxa"/>
          <w:bottom w:w="0" w:type="dxa"/>
          <w:right w:w="108" w:type="dxa"/>
        </w:tblCellMar>
      </w:tblPr>
      <w:tblGrid>
        <w:gridCol w:w="825"/>
        <w:gridCol w:w="8205"/>
      </w:tblGrid>
      <w:tr w14:paraId="18E3AC16">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F35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序号</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D8E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技术要求</w:t>
            </w:r>
          </w:p>
        </w:tc>
      </w:tr>
      <w:tr w14:paraId="7C2F2BA5">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31F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bookmarkStart w:id="0" w:name="_GoBack"/>
            <w:r>
              <w:rPr>
                <w:rFonts w:hint="eastAsia" w:ascii="宋体" w:hAnsi="宋体" w:eastAsia="宋体" w:cs="宋体"/>
                <w:color w:val="000000"/>
                <w:kern w:val="0"/>
                <w:sz w:val="22"/>
                <w:lang w:bidi="ar"/>
              </w:rPr>
              <w:t>▲</w:t>
            </w:r>
            <w:bookmarkEnd w:id="0"/>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CFC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手持式、电池供电，适用于床旁检测（POCT），支持新鲜全血或柠檬酸盐抗凝全血检测。</w:t>
            </w:r>
          </w:p>
        </w:tc>
      </w:tr>
      <w:tr w14:paraId="1FEF652B">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0E7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0B3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采用真实凝固终点法。</w:t>
            </w:r>
          </w:p>
        </w:tc>
      </w:tr>
      <w:tr w14:paraId="247C0F61">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197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5C2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检测时间＜5分钟，样本用量＜50μL。</w:t>
            </w:r>
          </w:p>
        </w:tc>
      </w:tr>
      <w:tr w14:paraId="5ADEB96A">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360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3E9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可报告范围：0秒至1000秒。</w:t>
            </w:r>
          </w:p>
        </w:tc>
      </w:tr>
      <w:tr w14:paraId="19D4D87E">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47E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54A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加热至孵育温度时间＜90秒。</w:t>
            </w:r>
          </w:p>
        </w:tc>
      </w:tr>
      <w:tr w14:paraId="6FE34D71">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E7C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6</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BE0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ACT检测：低、中、高浓度（1.0-6.0u/mL，0-2.5u/mL）。</w:t>
            </w:r>
          </w:p>
        </w:tc>
      </w:tr>
      <w:tr w14:paraId="069E8E23">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05C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7</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3E5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精准度误差≤±5%，重复性CV≤3%。</w:t>
            </w:r>
          </w:p>
        </w:tc>
      </w:tr>
      <w:tr w14:paraId="555FE272">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1F9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8</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670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满电操作时间≥2小时，支持≥40次检测循环及≥15次质控循环。</w:t>
            </w:r>
          </w:p>
        </w:tc>
      </w:tr>
      <w:tr w14:paraId="345E3D94">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A32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9</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7BA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常温储存消耗品有效期≥1年</w:t>
            </w:r>
            <w:r>
              <w:rPr>
                <w:rFonts w:hint="eastAsia"/>
              </w:rPr>
              <w:t>。</w:t>
            </w:r>
          </w:p>
        </w:tc>
      </w:tr>
      <w:tr w14:paraId="38DA21D4">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050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B44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检测项目：活性凝血时间（ACT）、凝血酶原时间（PT/INR）和活化部分凝血活酶时间（APTT）。</w:t>
            </w:r>
          </w:p>
        </w:tc>
      </w:tr>
      <w:tr w14:paraId="2BEE535D">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E7E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11</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087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支持全血类型：动脉血、静脉血、末梢血。</w:t>
            </w:r>
          </w:p>
        </w:tc>
      </w:tr>
      <w:tr w14:paraId="14FF26ED">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8B8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12</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5CC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单通道试验仓设计，无需多通道切换。</w:t>
            </w:r>
          </w:p>
        </w:tc>
      </w:tr>
      <w:tr w14:paraId="518ADB73">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951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13</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2CE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存储容量：≥600条患者结果及质控数据，支持日期、时间、操作者ID标记。</w:t>
            </w:r>
          </w:p>
        </w:tc>
      </w:tr>
      <w:tr w14:paraId="37D28ED0">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A37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14</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925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接口配置：以太网、RS-232、激光条码阅读器，免费对接医院LIS/HIS系统。</w:t>
            </w:r>
          </w:p>
        </w:tc>
      </w:tr>
      <w:tr w14:paraId="77082E5D">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E6E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15</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1C3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打印功能：直接输出检测报告。</w:t>
            </w:r>
          </w:p>
        </w:tc>
      </w:tr>
      <w:tr w14:paraId="6DE3ADD6">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C80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16</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14D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支持快速充电及待机模式。</w:t>
            </w:r>
          </w:p>
        </w:tc>
      </w:tr>
    </w:tbl>
    <w:p w14:paraId="3F582248">
      <w:pPr>
        <w:jc w:val="left"/>
        <w:rPr>
          <w:rFonts w:hint="eastAsia" w:ascii="仿宋_GB2312" w:hAnsi="仿宋_GB2312" w:eastAsia="仿宋_GB2312" w:cs="仿宋_GB2312"/>
          <w:sz w:val="28"/>
          <w:szCs w:val="28"/>
        </w:rPr>
      </w:pPr>
    </w:p>
    <w:p w14:paraId="104F5933">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配置清单</w:t>
      </w:r>
    </w:p>
    <w:tbl>
      <w:tblPr>
        <w:tblStyle w:val="7"/>
        <w:tblW w:w="7395" w:type="dxa"/>
        <w:tblInd w:w="93" w:type="dxa"/>
        <w:tblLayout w:type="fixed"/>
        <w:tblCellMar>
          <w:top w:w="0" w:type="dxa"/>
          <w:left w:w="108" w:type="dxa"/>
          <w:bottom w:w="0" w:type="dxa"/>
          <w:right w:w="108" w:type="dxa"/>
        </w:tblCellMar>
      </w:tblPr>
      <w:tblGrid>
        <w:gridCol w:w="825"/>
        <w:gridCol w:w="6570"/>
      </w:tblGrid>
      <w:tr w14:paraId="16123DF3">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E38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序号</w:t>
            </w:r>
          </w:p>
        </w:tc>
        <w:tc>
          <w:tcPr>
            <w:tcW w:w="6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E6D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配置名称</w:t>
            </w:r>
          </w:p>
        </w:tc>
      </w:tr>
      <w:tr w14:paraId="151A9325">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A2F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6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B52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主机1台</w:t>
            </w:r>
          </w:p>
        </w:tc>
      </w:tr>
      <w:tr w14:paraId="086B1D02">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915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6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D1D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数据管理软件CD 1张</w:t>
            </w:r>
          </w:p>
        </w:tc>
      </w:tr>
      <w:tr w14:paraId="5E254F84">
        <w:tblPrEx>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53D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6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229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配件包1套</w:t>
            </w:r>
          </w:p>
        </w:tc>
      </w:tr>
    </w:tbl>
    <w:p w14:paraId="21D6F473">
      <w:pPr>
        <w:jc w:val="left"/>
        <w:rPr>
          <w:rFonts w:hint="eastAsia" w:ascii="仿宋_GB2312" w:hAnsi="仿宋_GB2312" w:eastAsia="仿宋_GB2312" w:cs="仿宋_GB2312"/>
          <w:sz w:val="28"/>
          <w:szCs w:val="28"/>
        </w:rPr>
      </w:pPr>
    </w:p>
    <w:p w14:paraId="759D3BD4">
      <w:pPr>
        <w:jc w:val="left"/>
        <w:rPr>
          <w:rFonts w:hint="eastAsia" w:ascii="仿宋_GB2312" w:hAnsi="仿宋_GB2312" w:eastAsia="仿宋_GB2312" w:cs="仿宋_GB2312"/>
          <w:sz w:val="28"/>
          <w:szCs w:val="28"/>
        </w:rPr>
      </w:pPr>
    </w:p>
    <w:p w14:paraId="68B95E71">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配套耗材：</w:t>
      </w:r>
    </w:p>
    <w:p w14:paraId="00279DCF">
      <w:pPr>
        <w:jc w:val="left"/>
        <w:rPr>
          <w:rFonts w:hint="eastAsia" w:ascii="仿宋_GB2312" w:hAnsi="仿宋_GB2312" w:eastAsia="仿宋_GB2312" w:cs="仿宋_GB2312"/>
          <w:sz w:val="28"/>
          <w:szCs w:val="28"/>
        </w:rPr>
      </w:pPr>
      <w:r>
        <w:rPr>
          <w:rFonts w:ascii="宋体" w:hAnsi="宋体" w:eastAsia="宋体" w:cs="宋体"/>
          <w:sz w:val="24"/>
          <w:szCs w:val="24"/>
        </w:rPr>
        <w:t>ACT试剂</w:t>
      </w:r>
      <w:r>
        <w:rPr>
          <w:rFonts w:hint="eastAsia" w:ascii="宋体" w:hAnsi="宋体" w:eastAsia="宋体" w:cs="宋体"/>
          <w:sz w:val="24"/>
          <w:szCs w:val="24"/>
        </w:rPr>
        <w:t>，最高限价：</w:t>
      </w:r>
      <w:r>
        <w:rPr>
          <w:rFonts w:ascii="宋体" w:hAnsi="宋体" w:eastAsia="宋体" w:cs="宋体"/>
          <w:sz w:val="24"/>
          <w:szCs w:val="24"/>
        </w:rPr>
        <w:t>49元/支</w:t>
      </w:r>
      <w:r>
        <w:rPr>
          <w:rFonts w:ascii="宋体" w:hAnsi="宋体" w:eastAsia="宋体" w:cs="宋体"/>
          <w:sz w:val="24"/>
          <w:szCs w:val="24"/>
        </w:rPr>
        <w:br w:type="textWrapping"/>
      </w:r>
      <w:r>
        <w:rPr>
          <w:rFonts w:ascii="宋体" w:hAnsi="宋体" w:eastAsia="宋体" w:cs="宋体"/>
          <w:sz w:val="24"/>
          <w:szCs w:val="24"/>
        </w:rPr>
        <w:t>APTT试剂</w:t>
      </w:r>
      <w:r>
        <w:rPr>
          <w:rFonts w:hint="eastAsia" w:ascii="宋体" w:hAnsi="宋体" w:eastAsia="宋体" w:cs="宋体"/>
          <w:sz w:val="24"/>
          <w:szCs w:val="24"/>
        </w:rPr>
        <w:t>，最高限价：</w:t>
      </w:r>
      <w:r>
        <w:rPr>
          <w:rFonts w:ascii="宋体" w:hAnsi="宋体" w:eastAsia="宋体" w:cs="宋体"/>
          <w:sz w:val="24"/>
          <w:szCs w:val="24"/>
        </w:rPr>
        <w:t>49元/支</w:t>
      </w:r>
      <w:r>
        <w:rPr>
          <w:rFonts w:ascii="宋体" w:hAnsi="宋体" w:eastAsia="宋体" w:cs="宋体"/>
          <w:sz w:val="24"/>
          <w:szCs w:val="24"/>
        </w:rPr>
        <w:br w:type="textWrapping"/>
      </w:r>
      <w:r>
        <w:rPr>
          <w:rFonts w:ascii="宋体" w:hAnsi="宋体" w:eastAsia="宋体" w:cs="宋体"/>
          <w:sz w:val="24"/>
          <w:szCs w:val="24"/>
        </w:rPr>
        <w:t>PT试剂</w:t>
      </w:r>
      <w:r>
        <w:rPr>
          <w:rFonts w:hint="eastAsia" w:ascii="宋体" w:hAnsi="宋体" w:eastAsia="宋体" w:cs="宋体"/>
          <w:sz w:val="24"/>
          <w:szCs w:val="24"/>
        </w:rPr>
        <w:t>，最高限价：</w:t>
      </w:r>
      <w:r>
        <w:rPr>
          <w:rFonts w:ascii="宋体" w:hAnsi="宋体" w:eastAsia="宋体" w:cs="宋体"/>
          <w:sz w:val="24"/>
          <w:szCs w:val="24"/>
        </w:rPr>
        <w:t>49元/支</w:t>
      </w:r>
      <w:r>
        <w:rPr>
          <w:rFonts w:hint="eastAsia" w:ascii="仿宋_GB2312" w:hAnsi="仿宋_GB2312" w:eastAsia="仿宋_GB2312" w:cs="仿宋_GB2312"/>
          <w:sz w:val="28"/>
          <w:szCs w:val="28"/>
        </w:rPr>
        <w:t>。</w:t>
      </w:r>
    </w:p>
    <w:p w14:paraId="657D70B2">
      <w:pPr>
        <w:numPr>
          <w:ilvl w:val="0"/>
          <w:numId w:val="7"/>
        </w:num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商务要求：</w:t>
      </w:r>
    </w:p>
    <w:tbl>
      <w:tblPr>
        <w:tblStyle w:val="7"/>
        <w:tblW w:w="10365" w:type="dxa"/>
        <w:jc w:val="center"/>
        <w:tblLayout w:type="autofit"/>
        <w:tblCellMar>
          <w:top w:w="0" w:type="dxa"/>
          <w:left w:w="108" w:type="dxa"/>
          <w:bottom w:w="0" w:type="dxa"/>
          <w:right w:w="108" w:type="dxa"/>
        </w:tblCellMar>
      </w:tblPr>
      <w:tblGrid>
        <w:gridCol w:w="525"/>
        <w:gridCol w:w="735"/>
        <w:gridCol w:w="1020"/>
        <w:gridCol w:w="8085"/>
      </w:tblGrid>
      <w:tr w14:paraId="7B558EA8">
        <w:tblPrEx>
          <w:tblCellMar>
            <w:top w:w="0" w:type="dxa"/>
            <w:left w:w="108" w:type="dxa"/>
            <w:bottom w:w="0" w:type="dxa"/>
            <w:right w:w="108" w:type="dxa"/>
          </w:tblCellMar>
        </w:tblPrEx>
        <w:trPr>
          <w:trHeight w:val="7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3705">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序号</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796CF">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商务需求项</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A858">
            <w:pPr>
              <w:widowControl/>
              <w:jc w:val="center"/>
              <w:textAlignment w:val="center"/>
              <w:rPr>
                <w:rFonts w:hint="eastAsia" w:ascii="仿宋_GB2312" w:hAnsi="宋体" w:eastAsia="仿宋_GB2312" w:cs="仿宋_GB2312"/>
                <w:b/>
                <w:bCs/>
                <w:color w:val="000000"/>
                <w:sz w:val="28"/>
                <w:szCs w:val="28"/>
              </w:rPr>
            </w:pPr>
            <w:r>
              <w:rPr>
                <w:rFonts w:hint="eastAsia" w:ascii="微软雅黑" w:hAnsi="微软雅黑" w:eastAsia="微软雅黑" w:cs="微软雅黑"/>
                <w:color w:val="000000"/>
                <w:kern w:val="0"/>
                <w:sz w:val="28"/>
                <w:szCs w:val="28"/>
                <w:lang w:bidi="ar"/>
              </w:rPr>
              <w:t>★</w:t>
            </w:r>
            <w:r>
              <w:rPr>
                <w:rFonts w:hint="eastAsia" w:ascii="仿宋_GB2312" w:hAnsi="宋体" w:eastAsia="仿宋_GB2312" w:cs="仿宋_GB2312"/>
                <w:b/>
                <w:bCs/>
                <w:color w:val="000000"/>
                <w:kern w:val="0"/>
                <w:sz w:val="28"/>
                <w:szCs w:val="28"/>
                <w:lang w:bidi="ar"/>
              </w:rPr>
              <w:t>商务要求</w:t>
            </w:r>
          </w:p>
        </w:tc>
      </w:tr>
      <w:tr w14:paraId="22132DEB">
        <w:tblPrEx>
          <w:tblCellMar>
            <w:top w:w="0" w:type="dxa"/>
            <w:left w:w="108" w:type="dxa"/>
            <w:bottom w:w="0" w:type="dxa"/>
            <w:right w:w="108" w:type="dxa"/>
          </w:tblCellMar>
        </w:tblPrEx>
        <w:trPr>
          <w:trHeight w:val="780"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E36FDB">
            <w:pPr>
              <w:widowControl/>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（一）免费保修期内售后服务要求</w:t>
            </w:r>
          </w:p>
        </w:tc>
      </w:tr>
      <w:tr w14:paraId="2BC4E0AA">
        <w:tblPrEx>
          <w:tblCellMar>
            <w:top w:w="0" w:type="dxa"/>
            <w:left w:w="108" w:type="dxa"/>
            <w:bottom w:w="0" w:type="dxa"/>
            <w:right w:w="108" w:type="dxa"/>
          </w:tblCellMar>
        </w:tblPrEx>
        <w:trPr>
          <w:trHeight w:val="75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22CBB">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1BEF4">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免费保修期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DD4F">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36FD">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设备原厂（含附件）免费保修期为</w:t>
            </w:r>
            <w:r>
              <w:rPr>
                <w:rStyle w:val="15"/>
                <w:rFonts w:hint="default" w:hAnsi="宋体"/>
                <w:lang w:bidi="ar"/>
              </w:rPr>
              <w:t>5</w:t>
            </w:r>
            <w:r>
              <w:rPr>
                <w:rStyle w:val="16"/>
                <w:rFonts w:hint="default" w:hAnsi="宋体"/>
                <w:lang w:bidi="ar"/>
              </w:rPr>
              <w:t>年，自验收报告签字之日开始计算。</w:t>
            </w:r>
          </w:p>
        </w:tc>
      </w:tr>
      <w:tr w14:paraId="479A0B79">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C0348">
            <w:pPr>
              <w:jc w:val="center"/>
              <w:rPr>
                <w:rFonts w:hint="eastAsia"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ACFA3">
            <w:pPr>
              <w:jc w:val="center"/>
              <w:rPr>
                <w:rFonts w:hint="eastAsia"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3292">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6B58">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6F5BA197">
        <w:tblPrEx>
          <w:tblCellMar>
            <w:top w:w="0" w:type="dxa"/>
            <w:left w:w="108" w:type="dxa"/>
            <w:bottom w:w="0" w:type="dxa"/>
            <w:right w:w="108" w:type="dxa"/>
          </w:tblCellMar>
        </w:tblPrEx>
        <w:trPr>
          <w:trHeight w:val="7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D2C45">
            <w:pPr>
              <w:jc w:val="center"/>
              <w:rPr>
                <w:rFonts w:hint="eastAsia"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77FB3">
            <w:pPr>
              <w:jc w:val="center"/>
              <w:rPr>
                <w:rFonts w:hint="eastAsia"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A31C">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7442">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投标人不得向采购人收取额外的费用），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7D7F7B3A">
        <w:tblPrEx>
          <w:tblCellMar>
            <w:top w:w="0" w:type="dxa"/>
            <w:left w:w="108" w:type="dxa"/>
            <w:bottom w:w="0" w:type="dxa"/>
            <w:right w:w="108"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3EB4">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0C12">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B32E">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FA7F">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投标人应按其投标文件中的承诺，进行其他售后服务工作。</w:t>
            </w:r>
          </w:p>
        </w:tc>
      </w:tr>
      <w:tr w14:paraId="3190ADBE">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CD3268">
            <w:pPr>
              <w:widowControl/>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（二）免费保修期外售后服务要求</w:t>
            </w:r>
          </w:p>
        </w:tc>
      </w:tr>
      <w:tr w14:paraId="44B893D4">
        <w:tblPrEx>
          <w:tblCellMar>
            <w:top w:w="0" w:type="dxa"/>
            <w:left w:w="108" w:type="dxa"/>
            <w:bottom w:w="0" w:type="dxa"/>
            <w:right w:w="108" w:type="dxa"/>
          </w:tblCellMar>
        </w:tblPrEx>
        <w:trPr>
          <w:trHeight w:val="18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A7AA">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B39D">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8E5D">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E982">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免费保修期结束后的维修只按优惠价格收取材料费，不收取人工费及差旅费，投标人须在签订合同前提供该设备免费保修期结束后的年度维保方案和报价，以作为采购人购买后续服务的基本保证。</w:t>
            </w:r>
          </w:p>
        </w:tc>
      </w:tr>
      <w:tr w14:paraId="4F0D5133">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7B85D5">
            <w:pPr>
              <w:widowControl/>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（三）其他商务要求</w:t>
            </w:r>
          </w:p>
        </w:tc>
      </w:tr>
      <w:tr w14:paraId="2F4B9593">
        <w:tblPrEx>
          <w:tblCellMar>
            <w:top w:w="0" w:type="dxa"/>
            <w:left w:w="108" w:type="dxa"/>
            <w:bottom w:w="0" w:type="dxa"/>
            <w:right w:w="108" w:type="dxa"/>
          </w:tblCellMar>
        </w:tblPrEx>
        <w:trPr>
          <w:trHeight w:val="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C6390">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D620A">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关于交货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5067">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960C">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合同签订或约定之日起</w:t>
            </w:r>
            <w:r>
              <w:rPr>
                <w:rStyle w:val="15"/>
                <w:rFonts w:hint="default" w:hAnsi="宋体"/>
                <w:lang w:bidi="ar"/>
              </w:rPr>
              <w:t>30</w:t>
            </w:r>
            <w:r>
              <w:rPr>
                <w:rStyle w:val="16"/>
                <w:rFonts w:hint="default" w:hAnsi="宋体"/>
                <w:lang w:bidi="ar"/>
              </w:rPr>
              <w:t>日历天内交货。</w:t>
            </w:r>
          </w:p>
        </w:tc>
      </w:tr>
      <w:tr w14:paraId="1C91722A">
        <w:tblPrEx>
          <w:tblCellMar>
            <w:top w:w="0" w:type="dxa"/>
            <w:left w:w="108" w:type="dxa"/>
            <w:bottom w:w="0" w:type="dxa"/>
            <w:right w:w="108" w:type="dxa"/>
          </w:tblCellMar>
        </w:tblPrEx>
        <w:trPr>
          <w:trHeight w:val="3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4CB4E">
            <w:pPr>
              <w:jc w:val="center"/>
              <w:rPr>
                <w:rFonts w:hint="eastAsia"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D0470">
            <w:pPr>
              <w:jc w:val="center"/>
              <w:rPr>
                <w:rFonts w:hint="eastAsia"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9892">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5DDD">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地点：采购人指定地点。</w:t>
            </w:r>
          </w:p>
        </w:tc>
      </w:tr>
      <w:tr w14:paraId="459CB362">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E4105">
            <w:pPr>
              <w:jc w:val="center"/>
              <w:rPr>
                <w:rFonts w:hint="eastAsia"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8AA33">
            <w:pPr>
              <w:jc w:val="center"/>
              <w:rPr>
                <w:rFonts w:hint="eastAsia"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23AF">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4D28">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投标人必须在交货之日起</w:t>
            </w:r>
            <w:r>
              <w:rPr>
                <w:rStyle w:val="15"/>
                <w:rFonts w:hint="default" w:hAnsi="宋体"/>
                <w:b w:val="0"/>
                <w:bCs w:val="0"/>
                <w:lang w:bidi="ar"/>
              </w:rPr>
              <w:t>60</w:t>
            </w:r>
            <w:r>
              <w:rPr>
                <w:rStyle w:val="16"/>
                <w:rFonts w:hint="default" w:hAnsi="宋体"/>
                <w:lang w:bidi="ar"/>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1E3D0D89">
        <w:tblPrEx>
          <w:tblCellMar>
            <w:top w:w="0" w:type="dxa"/>
            <w:left w:w="108" w:type="dxa"/>
            <w:bottom w:w="0" w:type="dxa"/>
            <w:right w:w="108" w:type="dxa"/>
          </w:tblCellMar>
        </w:tblPrEx>
        <w:trPr>
          <w:trHeight w:val="30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21E5F">
            <w:pPr>
              <w:jc w:val="center"/>
              <w:rPr>
                <w:rFonts w:hint="eastAsia"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21208">
            <w:pPr>
              <w:jc w:val="center"/>
              <w:rPr>
                <w:rFonts w:hint="eastAsia"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6A1D">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3EB1">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包装运输：投标人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057ECA51">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346DA">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08641">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关于验收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2ECB">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EDDD">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投标人货物经过双方检验认可后，签署验收报告，产品保修期自验收合格之日起算，由投标人提供产品保修文件。</w:t>
            </w:r>
          </w:p>
        </w:tc>
      </w:tr>
      <w:tr w14:paraId="092D7379">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099D6">
            <w:pPr>
              <w:jc w:val="center"/>
              <w:rPr>
                <w:rFonts w:hint="eastAsia"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36A8">
            <w:pPr>
              <w:jc w:val="center"/>
              <w:rPr>
                <w:rFonts w:hint="eastAsia"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48DA">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7BA7">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当满足以下条件时，采购人才向投标人签发货物验收报告：投标人已按照合同规定提供了全部产品及完整的技术资料。货物符合招标文件技术要求，性能满足要求。国产货物必须具备产品合格证。</w:t>
            </w:r>
          </w:p>
        </w:tc>
      </w:tr>
      <w:tr w14:paraId="5FBD649C">
        <w:tblPrEx>
          <w:tblCellMar>
            <w:top w:w="0" w:type="dxa"/>
            <w:left w:w="108" w:type="dxa"/>
            <w:bottom w:w="0" w:type="dxa"/>
            <w:right w:w="108" w:type="dxa"/>
          </w:tblCellMar>
        </w:tblPrEx>
        <w:trPr>
          <w:trHeight w:val="7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D63D0">
            <w:pPr>
              <w:jc w:val="center"/>
              <w:rPr>
                <w:rFonts w:hint="eastAsia"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638C5">
            <w:pPr>
              <w:jc w:val="center"/>
              <w:rPr>
                <w:rFonts w:hint="eastAsia"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BE0D">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8C29">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凡属于国家规定强制检测的设备项目，都必须具备计量质检部门的检测合格证。</w:t>
            </w:r>
          </w:p>
        </w:tc>
      </w:tr>
      <w:tr w14:paraId="311BD870">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AD618">
            <w:pPr>
              <w:jc w:val="center"/>
              <w:rPr>
                <w:rFonts w:hint="eastAsia"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A909C">
            <w:pPr>
              <w:jc w:val="center"/>
              <w:rPr>
                <w:rFonts w:hint="eastAsia"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48CB">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99DF">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验收过程中，如采购人拟对货物质量进行实质验收时，有权邀请第三方检测机构对货物进行检测或测试，因此所需的费用由投标人承担。</w:t>
            </w:r>
          </w:p>
        </w:tc>
      </w:tr>
      <w:tr w14:paraId="1F024BCA">
        <w:tblPrEx>
          <w:tblCellMar>
            <w:top w:w="0" w:type="dxa"/>
            <w:left w:w="108" w:type="dxa"/>
            <w:bottom w:w="0" w:type="dxa"/>
            <w:right w:w="108" w:type="dxa"/>
          </w:tblCellMar>
        </w:tblPrEx>
        <w:trPr>
          <w:trHeight w:val="4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FCB45">
            <w:pPr>
              <w:jc w:val="center"/>
              <w:rPr>
                <w:rFonts w:hint="eastAsia"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828EA">
            <w:pPr>
              <w:jc w:val="center"/>
              <w:rPr>
                <w:rFonts w:hint="eastAsia"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4C12">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10A4">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664DC1C5">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17609">
            <w:pPr>
              <w:jc w:val="center"/>
              <w:rPr>
                <w:rFonts w:hint="eastAsia"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FFB8F">
            <w:pPr>
              <w:jc w:val="center"/>
              <w:rPr>
                <w:rFonts w:hint="eastAsia"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B0C5">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2.6</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D2A8">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在验收过程中，中标人需出具与设备制造商签订的与原合同条款一致的维保合同或原厂维保承诺函。</w:t>
            </w:r>
          </w:p>
        </w:tc>
      </w:tr>
      <w:tr w14:paraId="0D52CB01">
        <w:tblPrEx>
          <w:tblCellMar>
            <w:top w:w="0" w:type="dxa"/>
            <w:left w:w="108" w:type="dxa"/>
            <w:bottom w:w="0" w:type="dxa"/>
            <w:right w:w="108" w:type="dxa"/>
          </w:tblCellMar>
        </w:tblPrEx>
        <w:trPr>
          <w:trHeight w:val="18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47151">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EF5E2">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2AB8">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BBAB">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投标人须支持物联网协议，便于与医院信息系统的对接，按采购人要求无条件开放数据交换接口，并提供技术支持（中标投标人不得向采购人收取额外的费用），并保证所使用软件的合法性，任何知识产权纠纷与采购人无关。</w:t>
            </w:r>
          </w:p>
        </w:tc>
      </w:tr>
      <w:tr w14:paraId="07E4DB6F">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938FB">
            <w:pPr>
              <w:jc w:val="center"/>
              <w:rPr>
                <w:rFonts w:hint="eastAsia"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F766E">
            <w:pPr>
              <w:jc w:val="center"/>
              <w:rPr>
                <w:rFonts w:hint="eastAsia"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0E48">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A01F">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670FA7A8">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D0947">
            <w:pPr>
              <w:jc w:val="center"/>
              <w:rPr>
                <w:rFonts w:hint="eastAsia"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78810">
            <w:pPr>
              <w:jc w:val="center"/>
              <w:rPr>
                <w:rFonts w:hint="eastAsia"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F032">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1AB0">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若所投产品为进口产品，则投标人需提供由制造商或授权的中国总代理签署的合法有效的保修、维修承诺函（免费保修期满足招标文件要求）扫描件；若所投产品为国产产品，则无需提供。</w:t>
            </w:r>
          </w:p>
        </w:tc>
      </w:tr>
      <w:tr w14:paraId="0757E1CA">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431E">
            <w:pPr>
              <w:jc w:val="center"/>
              <w:rPr>
                <w:rFonts w:hint="eastAsia"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2E916">
            <w:pPr>
              <w:jc w:val="center"/>
              <w:rPr>
                <w:rFonts w:hint="eastAsia"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D5C2">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9C76">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投标人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649D9812">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EEAB2">
            <w:pPr>
              <w:jc w:val="center"/>
              <w:rPr>
                <w:rFonts w:hint="eastAsia"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EF3ED">
            <w:pPr>
              <w:jc w:val="center"/>
              <w:rPr>
                <w:rFonts w:hint="eastAsia"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763C">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F26F">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本次标的若包含软件服务，需本地化部署，并严格遵照《信息安全法》等相关法律法规，符合网络安全管理相关规定，所有数据未经采购方允许，不得向第三方私自泄漏。</w:t>
            </w:r>
          </w:p>
        </w:tc>
      </w:tr>
      <w:tr w14:paraId="056EFFDD">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D92CA">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3B945">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关于付款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8B15">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FCE2">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合同生效后，货到指定地点，安装验收合格后，采购人收到投标人提供的相应金额合法有效发票后，支付合同总金额的100%。</w:t>
            </w:r>
          </w:p>
        </w:tc>
      </w:tr>
      <w:tr w14:paraId="4E91323D">
        <w:tblPrEx>
          <w:tblCellMar>
            <w:top w:w="0" w:type="dxa"/>
            <w:left w:w="108" w:type="dxa"/>
            <w:bottom w:w="0" w:type="dxa"/>
            <w:right w:w="108" w:type="dxa"/>
          </w:tblCellMar>
        </w:tblPrEx>
        <w:trPr>
          <w:trHeight w:val="26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06413">
            <w:pPr>
              <w:jc w:val="center"/>
              <w:rPr>
                <w:rFonts w:hint="eastAsia"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D03CF">
            <w:pPr>
              <w:jc w:val="center"/>
              <w:rPr>
                <w:rFonts w:hint="eastAsia"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8FBD">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 xml:space="preserve">1.2 </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667A">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2EFD5BC4">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AF737">
            <w:pPr>
              <w:jc w:val="center"/>
              <w:rPr>
                <w:rFonts w:hint="eastAsia"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5133A">
            <w:pPr>
              <w:jc w:val="center"/>
              <w:rPr>
                <w:rFonts w:hint="eastAsia"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C87B">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AF85">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若本项目财政下达的资金数额不足以支付合同约定的比例金额，采购人将按照实际财政下达的资金数额支付合同款，不足部分将待新的项目资金下达后进行支付。</w:t>
            </w:r>
          </w:p>
        </w:tc>
      </w:tr>
      <w:tr w14:paraId="724C8E20">
        <w:tblPrEx>
          <w:tblCellMar>
            <w:top w:w="0" w:type="dxa"/>
            <w:left w:w="108" w:type="dxa"/>
            <w:bottom w:w="0" w:type="dxa"/>
            <w:right w:w="108" w:type="dxa"/>
          </w:tblCellMar>
        </w:tblPrEx>
        <w:trPr>
          <w:trHeight w:val="3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14530">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0B250">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违约责任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CCAF">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AED4">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82A1120">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5577">
            <w:pPr>
              <w:jc w:val="center"/>
              <w:rPr>
                <w:rFonts w:hint="eastAsia"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C0C40">
            <w:pPr>
              <w:jc w:val="center"/>
              <w:rPr>
                <w:rFonts w:hint="eastAsia"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8B47">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22A8">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由于投标人的原因未能按时交货的，每迟一天向采购人支付合同总额的0.5%违约金，如超过交货期10天，采购人有权终止合同并通过法律程序对投标人进行索赔。</w:t>
            </w:r>
          </w:p>
        </w:tc>
      </w:tr>
      <w:tr w14:paraId="20CD1109">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5EE3E">
            <w:pPr>
              <w:jc w:val="center"/>
              <w:rPr>
                <w:rFonts w:hint="eastAsia"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2208C">
            <w:pPr>
              <w:jc w:val="center"/>
              <w:rPr>
                <w:rFonts w:hint="eastAsia"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85A4">
            <w:pPr>
              <w:widowControl/>
              <w:jc w:val="center"/>
              <w:textAlignment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2415">
            <w:pPr>
              <w:widowControl/>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由于投标人的原因，在货到一周内未进行安装调试，或安装调试时间超过正常要求，按每超过一天按合同总额的0.5%向采购人支付违约金。情节严重者，将依法律程序对投标人进行索赔。</w:t>
            </w:r>
          </w:p>
        </w:tc>
      </w:tr>
    </w:tbl>
    <w:p w14:paraId="494DE683">
      <w:pPr>
        <w:pStyle w:val="2"/>
        <w:spacing w:before="0" w:after="0" w:line="240" w:lineRule="auto"/>
        <w:rPr>
          <w:rFonts w:hint="eastAsia" w:ascii="仿宋" w:hAnsi="仿宋" w:eastAsia="仿宋"/>
          <w:sz w:val="28"/>
          <w:szCs w:val="28"/>
        </w:rPr>
      </w:pPr>
      <w:r>
        <w:rPr>
          <w:rFonts w:hint="eastAsia" w:ascii="仿宋_GB2312" w:hAnsi="仿宋_GB2312" w:eastAsia="仿宋_GB2312" w:cs="仿宋_GB2312"/>
          <w:sz w:val="28"/>
          <w:szCs w:val="28"/>
        </w:rPr>
        <w:t>（七）</w:t>
      </w:r>
      <w:r>
        <w:rPr>
          <w:rFonts w:hint="eastAsia" w:ascii="仿宋" w:hAnsi="仿宋" w:eastAsia="仿宋"/>
          <w:sz w:val="28"/>
          <w:szCs w:val="28"/>
        </w:rPr>
        <w:t>评审规则：</w:t>
      </w:r>
    </w:p>
    <w:p w14:paraId="1C8E1AB6">
      <w:pPr>
        <w:adjustRightInd w:val="0"/>
        <w:snapToGrid w:val="0"/>
        <w:jc w:val="left"/>
        <w:rPr>
          <w:rFonts w:hint="eastAsia" w:ascii="仿宋_GB2312" w:hAnsi="仿宋_GB2312" w:eastAsia="仿宋_GB2312" w:cs="仿宋_GB2312"/>
          <w:color w:val="FF0000"/>
          <w:sz w:val="24"/>
          <w:szCs w:val="24"/>
        </w:rPr>
      </w:pPr>
      <w:r>
        <w:rPr>
          <w:rFonts w:hint="eastAsia" w:ascii="仿宋" w:hAnsi="仿宋" w:eastAsia="仿宋"/>
          <w:sz w:val="28"/>
          <w:szCs w:val="28"/>
        </w:rPr>
        <w:t>1.评标方法：综合评分法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722087AD">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9F6FECE4"/>
    <w:multiLevelType w:val="singleLevel"/>
    <w:tmpl w:val="9F6FECE4"/>
    <w:lvl w:ilvl="0" w:tentative="0">
      <w:start w:val="1"/>
      <w:numFmt w:val="chineseCounting"/>
      <w:suff w:val="nothing"/>
      <w:lvlText w:val="（%1）"/>
      <w:lvlJc w:val="left"/>
      <w:rPr>
        <w:rFonts w:hint="eastAsia"/>
      </w:rPr>
    </w:lvl>
  </w:abstractNum>
  <w:abstractNum w:abstractNumId="2">
    <w:nsid w:val="A67903EB"/>
    <w:multiLevelType w:val="singleLevel"/>
    <w:tmpl w:val="A67903EB"/>
    <w:lvl w:ilvl="0" w:tentative="0">
      <w:start w:val="3"/>
      <w:numFmt w:val="chineseCounting"/>
      <w:suff w:val="nothing"/>
      <w:lvlText w:val="（%1）"/>
      <w:lvlJc w:val="left"/>
      <w:rPr>
        <w:rFonts w:hint="eastAsia"/>
        <w:b/>
        <w:bCs/>
      </w:rPr>
    </w:lvl>
  </w:abstractNum>
  <w:abstractNum w:abstractNumId="3">
    <w:nsid w:val="D581D833"/>
    <w:multiLevelType w:val="singleLevel"/>
    <w:tmpl w:val="D581D833"/>
    <w:lvl w:ilvl="0" w:tentative="0">
      <w:start w:val="1"/>
      <w:numFmt w:val="decimal"/>
      <w:lvlText w:val="%1."/>
      <w:lvlJc w:val="left"/>
      <w:pPr>
        <w:ind w:left="425" w:hanging="425"/>
      </w:pPr>
      <w:rPr>
        <w:rFonts w:hint="default"/>
      </w:r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4D2419"/>
    <w:multiLevelType w:val="singleLevel"/>
    <w:tmpl w:val="4F4D2419"/>
    <w:lvl w:ilvl="0" w:tentative="0">
      <w:start w:val="1"/>
      <w:numFmt w:val="decimal"/>
      <w:lvlText w:val="(%1)"/>
      <w:lvlJc w:val="left"/>
      <w:pPr>
        <w:ind w:left="425" w:hanging="425"/>
      </w:pPr>
      <w:rPr>
        <w:rFonts w:hint="default"/>
      </w:rPr>
    </w:lvl>
  </w:abstractNum>
  <w:abstractNum w:abstractNumId="6">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4"/>
  </w:num>
  <w:num w:numId="2">
    <w:abstractNumId w:val="6"/>
  </w:num>
  <w:num w:numId="3">
    <w:abstractNumId w:val="1"/>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wMDJmYmFjY2M2OTFjMTIxNzk0ODhlZjcyOGI2MjUifQ=="/>
  </w:docVars>
  <w:rsids>
    <w:rsidRoot w:val="00681410"/>
    <w:rsid w:val="0002072A"/>
    <w:rsid w:val="00061E07"/>
    <w:rsid w:val="00160CAF"/>
    <w:rsid w:val="00162818"/>
    <w:rsid w:val="00216720"/>
    <w:rsid w:val="002277A4"/>
    <w:rsid w:val="002401AE"/>
    <w:rsid w:val="002740EC"/>
    <w:rsid w:val="004007E5"/>
    <w:rsid w:val="00422F16"/>
    <w:rsid w:val="004C243E"/>
    <w:rsid w:val="00503932"/>
    <w:rsid w:val="005F6D58"/>
    <w:rsid w:val="00681410"/>
    <w:rsid w:val="006A5F3D"/>
    <w:rsid w:val="006D7AE6"/>
    <w:rsid w:val="006E15EC"/>
    <w:rsid w:val="0078244A"/>
    <w:rsid w:val="008914B7"/>
    <w:rsid w:val="008A534C"/>
    <w:rsid w:val="00B119D2"/>
    <w:rsid w:val="00B449F7"/>
    <w:rsid w:val="00B97AED"/>
    <w:rsid w:val="00C9106E"/>
    <w:rsid w:val="00DC4096"/>
    <w:rsid w:val="00F0151F"/>
    <w:rsid w:val="00F43941"/>
    <w:rsid w:val="014D28C9"/>
    <w:rsid w:val="04B52C5F"/>
    <w:rsid w:val="092B34AD"/>
    <w:rsid w:val="0A526D39"/>
    <w:rsid w:val="0C6A7D1D"/>
    <w:rsid w:val="0D532C76"/>
    <w:rsid w:val="115A0E16"/>
    <w:rsid w:val="11D72467"/>
    <w:rsid w:val="15A2090F"/>
    <w:rsid w:val="1C4A5F2B"/>
    <w:rsid w:val="1D3E161D"/>
    <w:rsid w:val="23C938DA"/>
    <w:rsid w:val="24042E63"/>
    <w:rsid w:val="268A3AF4"/>
    <w:rsid w:val="29623380"/>
    <w:rsid w:val="2B033E75"/>
    <w:rsid w:val="2CBA4A07"/>
    <w:rsid w:val="2F705F4D"/>
    <w:rsid w:val="2FFC57B7"/>
    <w:rsid w:val="312A0667"/>
    <w:rsid w:val="31BC3D81"/>
    <w:rsid w:val="345D1B1D"/>
    <w:rsid w:val="35102C97"/>
    <w:rsid w:val="386B2CF7"/>
    <w:rsid w:val="3876471E"/>
    <w:rsid w:val="3BE455FD"/>
    <w:rsid w:val="3CB60D47"/>
    <w:rsid w:val="3DA24B99"/>
    <w:rsid w:val="3F7439F7"/>
    <w:rsid w:val="3F786788"/>
    <w:rsid w:val="3FB6AD20"/>
    <w:rsid w:val="418F2299"/>
    <w:rsid w:val="47946129"/>
    <w:rsid w:val="4B754B37"/>
    <w:rsid w:val="4BE62CCB"/>
    <w:rsid w:val="4C4243A5"/>
    <w:rsid w:val="4F624D5E"/>
    <w:rsid w:val="51D9166A"/>
    <w:rsid w:val="539D45B7"/>
    <w:rsid w:val="59266DFD"/>
    <w:rsid w:val="5EC136DE"/>
    <w:rsid w:val="61A96E48"/>
    <w:rsid w:val="6C70102E"/>
    <w:rsid w:val="6D282CEC"/>
    <w:rsid w:val="6E0472B5"/>
    <w:rsid w:val="715278CE"/>
    <w:rsid w:val="74974D88"/>
    <w:rsid w:val="74B15375"/>
    <w:rsid w:val="75AE135E"/>
    <w:rsid w:val="79194C3C"/>
    <w:rsid w:val="7B2F2690"/>
    <w:rsid w:val="7CC51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paragraph" w:styleId="6">
    <w:name w:val="annotation subject"/>
    <w:basedOn w:val="3"/>
    <w:next w:val="3"/>
    <w:link w:val="19"/>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left="704" w:hanging="420"/>
    </w:pPr>
    <w:rPr>
      <w:rFonts w:ascii="Times New Roman" w:hAnsi="Times New Roman" w:eastAsia="黑体" w:cs="Times New Roman"/>
      <w:sz w:val="32"/>
      <w:szCs w:val="24"/>
    </w:rPr>
  </w:style>
  <w:style w:type="character" w:customStyle="1" w:styleId="14">
    <w:name w:val="标题 1 字符"/>
    <w:basedOn w:val="9"/>
    <w:link w:val="2"/>
    <w:qFormat/>
    <w:uiPriority w:val="9"/>
    <w:rPr>
      <w:b/>
      <w:bCs/>
      <w:kern w:val="44"/>
      <w:sz w:val="44"/>
      <w:szCs w:val="44"/>
    </w:rPr>
  </w:style>
  <w:style w:type="character" w:customStyle="1" w:styleId="15">
    <w:name w:val="font21"/>
    <w:basedOn w:val="9"/>
    <w:qFormat/>
    <w:uiPriority w:val="0"/>
    <w:rPr>
      <w:rFonts w:hint="eastAsia" w:ascii="仿宋_GB2312" w:eastAsia="仿宋_GB2312" w:cs="仿宋_GB2312"/>
      <w:b/>
      <w:bCs/>
      <w:color w:val="000000"/>
      <w:sz w:val="28"/>
      <w:szCs w:val="28"/>
      <w:u w:val="none"/>
    </w:rPr>
  </w:style>
  <w:style w:type="character" w:customStyle="1" w:styleId="16">
    <w:name w:val="font31"/>
    <w:basedOn w:val="9"/>
    <w:qFormat/>
    <w:uiPriority w:val="0"/>
    <w:rPr>
      <w:rFonts w:hint="eastAsia" w:ascii="仿宋_GB2312" w:eastAsia="仿宋_GB2312" w:cs="仿宋_GB2312"/>
      <w:color w:val="000000"/>
      <w:sz w:val="28"/>
      <w:szCs w:val="28"/>
      <w:u w:val="none"/>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文字 字符"/>
    <w:basedOn w:val="9"/>
    <w:link w:val="3"/>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1811</Words>
  <Characters>1941</Characters>
  <Lines>239</Lines>
  <Paragraphs>196</Paragraphs>
  <TotalTime>1</TotalTime>
  <ScaleCrop>false</ScaleCrop>
  <LinksUpToDate>false</LinksUpToDate>
  <CharactersWithSpaces>1993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2024-01-10T16:47:00Z</dcterms:created>
  <dc:creator>Liu W</dc:creator>
  <cp:lastModifiedBy>JH</cp:lastModifiedBy>
  <dcterms:modified xsi:type="dcterms:W3CDTF">2025-07-11T01:56:01Z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40A1DF5D503F44FE92A33C696E2AFFDF_13</vt:lpwstr>
  </property>
  <property fmtid="{D5CDD505-2E9C-101B-9397-08002B2CF9AE}" pid="4" name="KSOTemplateDocerSaveRecord">
    <vt:lpwstr>eyJoZGlkIjoiOTgxNzhhZWVjZDVjYzFiNzUyN2FlYmU1YTIwNTA2N2MiLCJ1c2VySWQiOiIxMTI2ODg3MDA2In0=</vt:lpwstr>
  </property>
</Properties>
</file>