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sz w:val="44"/>
          <w:szCs w:val="52"/>
        </w:rPr>
      </w:pPr>
      <w:bookmarkStart w:id="0" w:name="OLE_LINK1"/>
      <w:r>
        <w:rPr>
          <w:rFonts w:hint="eastAsia" w:ascii="仿宋_GB2312" w:hAnsi="仿宋_GB2312" w:eastAsia="仿宋_GB2312" w:cs="仿宋_GB2312"/>
          <w:sz w:val="44"/>
          <w:szCs w:val="52"/>
        </w:rPr>
        <w:t>询价函</w:t>
      </w:r>
    </w:p>
    <w:bookmarkEnd w:id="0"/>
    <w:p>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sz w:val="44"/>
          <w:szCs w:val="52"/>
        </w:rPr>
      </w:pPr>
    </w:p>
    <w:p>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各供应商：</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我司拟就</w:t>
      </w:r>
      <w:r>
        <w:rPr>
          <w:rFonts w:hint="eastAsia" w:ascii="仿宋_GB2312" w:hAnsi="仿宋_GB2312" w:eastAsia="仿宋_GB2312" w:cs="仿宋_GB2312"/>
          <w:sz w:val="32"/>
          <w:szCs w:val="40"/>
          <w:u w:val="single"/>
        </w:rPr>
        <w:t>“清水河数智新城服务中心启用仪式活动服务”</w:t>
      </w:r>
      <w:r>
        <w:rPr>
          <w:rFonts w:hint="eastAsia" w:ascii="仿宋_GB2312" w:hAnsi="仿宋_GB2312" w:eastAsia="仿宋_GB2312" w:cs="仿宋_GB2312"/>
          <w:sz w:val="32"/>
          <w:szCs w:val="40"/>
        </w:rPr>
        <w:t>进行</w:t>
      </w:r>
      <w:r>
        <w:rPr>
          <w:rFonts w:hint="eastAsia" w:ascii="仿宋_GB2312" w:hAnsi="仿宋_GB2312" w:eastAsia="仿宋_GB2312" w:cs="仿宋_GB2312"/>
          <w:sz w:val="32"/>
          <w:szCs w:val="40"/>
          <w:lang w:val="en-US" w:eastAsia="zh-CN"/>
        </w:rPr>
        <w:t>公开</w:t>
      </w:r>
      <w:r>
        <w:rPr>
          <w:rFonts w:hint="eastAsia" w:ascii="仿宋_GB2312" w:hAnsi="仿宋_GB2312" w:eastAsia="仿宋_GB2312" w:cs="仿宋_GB2312"/>
          <w:sz w:val="32"/>
          <w:szCs w:val="40"/>
        </w:rPr>
        <w:t>询价，欢迎贵公司就以下采购内容进行报价。现将有关事项说明如下：</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left"/>
        <w:rPr>
          <w:rFonts w:hint="eastAsia" w:ascii="仿宋_GB2312" w:hAnsi="仿宋_GB2312" w:eastAsia="仿宋_GB2312" w:cs="仿宋_GB2312"/>
          <w:sz w:val="32"/>
          <w:szCs w:val="32"/>
          <w:u w:val="single"/>
          <w:lang w:val="en-US" w:eastAsia="zh-CN"/>
        </w:rPr>
      </w:pPr>
      <w:r>
        <w:rPr>
          <w:rFonts w:hint="eastAsia" w:ascii="黑体" w:hAnsi="黑体" w:eastAsia="黑体" w:cs="黑体"/>
          <w:sz w:val="32"/>
          <w:szCs w:val="32"/>
          <w:lang w:val="en-US" w:eastAsia="zh-CN"/>
        </w:rPr>
        <w:t>一、</w:t>
      </w:r>
      <w:r>
        <w:rPr>
          <w:rFonts w:hint="eastAsia" w:ascii="黑体" w:hAnsi="黑体" w:eastAsia="黑体" w:cs="黑体"/>
          <w:sz w:val="32"/>
          <w:szCs w:val="32"/>
        </w:rPr>
        <w:t>项目名称</w:t>
      </w:r>
      <w:r>
        <w:rPr>
          <w:rFonts w:hint="eastAsia" w:ascii="黑体" w:hAnsi="黑体" w:eastAsia="黑体" w:cs="黑体"/>
          <w:sz w:val="32"/>
          <w:szCs w:val="32"/>
          <w:lang w:eastAsia="zh-CN"/>
        </w:rPr>
        <w:t>：</w:t>
      </w:r>
      <w:r>
        <w:rPr>
          <w:rFonts w:hint="eastAsia" w:ascii="仿宋_GB2312" w:hAnsi="仿宋_GB2312" w:eastAsia="仿宋_GB2312" w:cs="仿宋_GB2312"/>
          <w:sz w:val="32"/>
          <w:szCs w:val="40"/>
          <w:lang w:eastAsia="zh-CN"/>
        </w:rPr>
        <w:t>清水河数智新城服务中心启用仪式活动服务</w:t>
      </w:r>
    </w:p>
    <w:p>
      <w:pPr>
        <w:keepNext w:val="0"/>
        <w:keepLines w:val="0"/>
        <w:pageBreakBefore w:val="0"/>
        <w:kinsoku/>
        <w:wordWrap/>
        <w:overflowPunct/>
        <w:topLinePunct w:val="0"/>
        <w:autoSpaceDE/>
        <w:autoSpaceDN/>
        <w:bidi w:val="0"/>
        <w:adjustRightInd/>
        <w:snapToGrid/>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lang w:val="en-US" w:eastAsia="zh-CN"/>
        </w:rPr>
        <w:t>二、</w:t>
      </w:r>
      <w:r>
        <w:rPr>
          <w:rFonts w:hint="eastAsia" w:ascii="黑体" w:hAnsi="黑体" w:eastAsia="黑体" w:cs="黑体"/>
          <w:sz w:val="32"/>
          <w:szCs w:val="32"/>
        </w:rPr>
        <w:t>采购内容</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2"/>
          <w:szCs w:val="32"/>
          <w:highlight w:val="none"/>
          <w:lang w:val="en-US" w:eastAsia="zh-CN"/>
        </w:rPr>
      </w:pPr>
      <w:r>
        <w:rPr>
          <w:rFonts w:hint="eastAsia" w:ascii="楷体_GB2312" w:hAnsi="楷体_GB2312" w:eastAsia="楷体_GB2312" w:cs="楷体_GB2312"/>
          <w:kern w:val="0"/>
          <w:sz w:val="32"/>
          <w:szCs w:val="32"/>
          <w:highlight w:val="none"/>
          <w:lang w:val="en-US" w:eastAsia="zh-CN"/>
        </w:rPr>
        <w:t>（一）活动名称</w:t>
      </w:r>
      <w:r>
        <w:rPr>
          <w:rFonts w:hint="eastAsia" w:ascii="仿宋_GB2312" w:hAnsi="仿宋_GB2312" w:eastAsia="仿宋_GB2312" w:cs="仿宋_GB2312"/>
          <w:kern w:val="0"/>
          <w:sz w:val="32"/>
          <w:szCs w:val="32"/>
          <w:highlight w:val="none"/>
          <w:lang w:val="en-US" w:eastAsia="zh-CN"/>
        </w:rPr>
        <w:t>：清水河数智新城服务中心启用仪式</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kern w:val="0"/>
          <w:sz w:val="32"/>
          <w:szCs w:val="32"/>
          <w:highlight w:val="none"/>
          <w:lang w:val="en-US" w:eastAsia="zh-CN"/>
        </w:rPr>
      </w:pPr>
      <w:r>
        <w:rPr>
          <w:rFonts w:hint="eastAsia" w:ascii="楷体_GB2312" w:hAnsi="楷体_GB2312" w:eastAsia="楷体_GB2312" w:cs="楷体_GB2312"/>
          <w:kern w:val="0"/>
          <w:sz w:val="32"/>
          <w:szCs w:val="32"/>
          <w:highlight w:val="none"/>
          <w:lang w:val="en-US" w:eastAsia="zh-CN"/>
        </w:rPr>
        <w:t>（二）活动时间</w:t>
      </w:r>
      <w:r>
        <w:rPr>
          <w:rFonts w:hint="eastAsia" w:ascii="仿宋_GB2312" w:hAnsi="仿宋_GB2312" w:eastAsia="仿宋_GB2312" w:cs="仿宋_GB2312"/>
          <w:kern w:val="0"/>
          <w:sz w:val="32"/>
          <w:szCs w:val="32"/>
          <w:highlight w:val="none"/>
          <w:lang w:val="en-US" w:eastAsia="zh-CN"/>
        </w:rPr>
        <w:t>：10月20日半天（暂定）</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kern w:val="0"/>
          <w:sz w:val="32"/>
          <w:szCs w:val="32"/>
          <w:highlight w:val="none"/>
          <w:lang w:val="en-US" w:eastAsia="zh-CN"/>
        </w:rPr>
      </w:pPr>
      <w:r>
        <w:rPr>
          <w:rFonts w:hint="eastAsia" w:ascii="楷体_GB2312" w:hAnsi="楷体_GB2312" w:eastAsia="楷体_GB2312" w:cs="楷体_GB2312"/>
          <w:kern w:val="0"/>
          <w:sz w:val="32"/>
          <w:szCs w:val="32"/>
          <w:highlight w:val="none"/>
          <w:lang w:val="en-US" w:eastAsia="zh-CN"/>
        </w:rPr>
        <w:t>（三）活动地点</w:t>
      </w:r>
      <w:r>
        <w:rPr>
          <w:rFonts w:hint="eastAsia" w:ascii="仿宋_GB2312" w:hAnsi="仿宋_GB2312" w:eastAsia="仿宋_GB2312" w:cs="仿宋_GB2312"/>
          <w:kern w:val="0"/>
          <w:sz w:val="32"/>
          <w:szCs w:val="32"/>
          <w:highlight w:val="none"/>
          <w:lang w:val="en-US" w:eastAsia="zh-CN"/>
        </w:rPr>
        <w:t>：清水河街道中海慧智大厦1A栋4楼</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kern w:val="0"/>
          <w:sz w:val="32"/>
          <w:szCs w:val="32"/>
          <w:highlight w:val="none"/>
          <w:lang w:val="en-US" w:eastAsia="zh-CN"/>
        </w:rPr>
      </w:pPr>
      <w:r>
        <w:rPr>
          <w:rFonts w:hint="eastAsia" w:ascii="楷体_GB2312" w:hAnsi="楷体_GB2312" w:eastAsia="楷体_GB2312" w:cs="楷体_GB2312"/>
          <w:kern w:val="0"/>
          <w:sz w:val="32"/>
          <w:szCs w:val="32"/>
          <w:highlight w:val="none"/>
          <w:lang w:val="en-US" w:eastAsia="zh-CN"/>
        </w:rPr>
        <w:t>（四）活动规模</w:t>
      </w:r>
      <w:r>
        <w:rPr>
          <w:rFonts w:hint="eastAsia" w:ascii="仿宋_GB2312" w:hAnsi="仿宋_GB2312" w:eastAsia="仿宋_GB2312" w:cs="仿宋_GB2312"/>
          <w:kern w:val="0"/>
          <w:sz w:val="32"/>
          <w:szCs w:val="32"/>
          <w:highlight w:val="none"/>
          <w:lang w:val="en-US" w:eastAsia="zh-CN"/>
        </w:rPr>
        <w:t>：80-100人（其中邀请企业不低于50家）</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2"/>
          <w:szCs w:val="32"/>
          <w:highlight w:val="none"/>
          <w:lang w:val="en-US" w:eastAsia="zh-CN"/>
        </w:rPr>
      </w:pPr>
      <w:r>
        <w:rPr>
          <w:rFonts w:hint="eastAsia" w:ascii="楷体_GB2312" w:hAnsi="楷体_GB2312" w:eastAsia="楷体_GB2312" w:cs="楷体_GB2312"/>
          <w:kern w:val="0"/>
          <w:sz w:val="32"/>
          <w:szCs w:val="32"/>
          <w:highlight w:val="none"/>
          <w:lang w:val="en-US" w:eastAsia="zh-CN"/>
        </w:rPr>
        <w:t>（五）服务内容</w:t>
      </w:r>
      <w:r>
        <w:rPr>
          <w:rFonts w:hint="eastAsia" w:ascii="仿宋_GB2312" w:hAnsi="仿宋_GB2312" w:eastAsia="仿宋_GB2312" w:cs="仿宋_GB2312"/>
          <w:kern w:val="0"/>
          <w:sz w:val="32"/>
          <w:szCs w:val="32"/>
          <w:highlight w:val="none"/>
          <w:lang w:val="en-US" w:eastAsia="zh-CN"/>
        </w:rPr>
        <w:t>：</w:t>
      </w:r>
      <w:r>
        <w:rPr>
          <w:rFonts w:hint="eastAsia" w:ascii="仿宋_GB2312" w:hAnsi="仿宋_GB2312" w:eastAsia="仿宋_GB2312" w:cs="仿宋_GB2312"/>
          <w:kern w:val="0"/>
          <w:sz w:val="32"/>
          <w:szCs w:val="32"/>
          <w:highlight w:val="none"/>
        </w:rPr>
        <w:t>清水河数智新城服务中心</w:t>
      </w:r>
      <w:r>
        <w:rPr>
          <w:rFonts w:hint="eastAsia" w:ascii="仿宋_GB2312" w:hAnsi="仿宋_GB2312" w:eastAsia="仿宋_GB2312" w:cs="仿宋_GB2312"/>
          <w:kern w:val="0"/>
          <w:sz w:val="32"/>
          <w:szCs w:val="32"/>
          <w:highlight w:val="none"/>
          <w:lang w:val="en-US" w:eastAsia="zh-CN"/>
        </w:rPr>
        <w:t>预计10月建成投用，计划于10月20日上午或下午（最终以服务中心具体完工时间为准）举办一场政企联动、高规格的启用仪式，正式宣告清水河数智新城园区服务中心建成投用，向社会各界全面展示服务中心集招商服务、企业服务、职工关怀、创业孵化于一体的综合功能布局，系统呈现清水河数智新城的战略定位、产业规划与营商环境优势，并借助签约发布、圆桌对话与媒体传播聚合产业生态资源，有效提升片区知名度与产业吸引力，为后续招商引资与企业入驻奠定坚实基础。具体采购服务内容如下：</w:t>
      </w:r>
    </w:p>
    <w:p>
      <w:pPr>
        <w:keepNext w:val="0"/>
        <w:keepLines w:val="0"/>
        <w:pageBreakBefore w:val="0"/>
        <w:kinsoku/>
        <w:wordWrap/>
        <w:overflowPunct/>
        <w:topLinePunct w:val="0"/>
        <w:autoSpaceDE/>
        <w:autoSpaceDN/>
        <w:bidi w:val="0"/>
        <w:adjustRightInd/>
        <w:snapToGrid/>
        <w:spacing w:line="560" w:lineRule="exact"/>
        <w:ind w:firstLine="643"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1.活动整体策划</w:t>
      </w:r>
      <w:r>
        <w:rPr>
          <w:rFonts w:hint="eastAsia" w:ascii="仿宋_GB2312" w:hAnsi="仿宋_GB2312" w:eastAsia="仿宋_GB2312" w:cs="仿宋_GB2312"/>
          <w:sz w:val="32"/>
          <w:szCs w:val="32"/>
          <w:lang w:val="en-US" w:eastAsia="zh-CN"/>
        </w:rPr>
        <w:t>。涵盖活动主题设计、议程设计、揭牌形式策划、企业嘉宾邀约（不低于50家）。活动内容包括但不限于揭牌仪式、服务中心推介、参观讲解、招商推介、产业论坛等。</w:t>
      </w:r>
    </w:p>
    <w:p>
      <w:pPr>
        <w:keepNext w:val="0"/>
        <w:keepLines w:val="0"/>
        <w:pageBreakBefore w:val="0"/>
        <w:kinsoku/>
        <w:wordWrap/>
        <w:overflowPunct/>
        <w:topLinePunct w:val="0"/>
        <w:autoSpaceDE/>
        <w:autoSpaceDN/>
        <w:bidi w:val="0"/>
        <w:adjustRightInd/>
        <w:snapToGrid/>
        <w:spacing w:line="560" w:lineRule="exact"/>
        <w:ind w:firstLine="643"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2.视觉设计</w:t>
      </w:r>
      <w:r>
        <w:rPr>
          <w:rFonts w:hint="eastAsia" w:ascii="仿宋_GB2312" w:hAnsi="仿宋_GB2312" w:eastAsia="仿宋_GB2312" w:cs="仿宋_GB2312"/>
          <w:sz w:val="32"/>
          <w:szCs w:val="32"/>
          <w:lang w:val="en-US" w:eastAsia="zh-CN"/>
        </w:rPr>
        <w:t>。包括主视觉方案、宣传海报等宣传物料设计，</w:t>
      </w:r>
    </w:p>
    <w:p>
      <w:pPr>
        <w:keepNext w:val="0"/>
        <w:keepLines w:val="0"/>
        <w:pageBreakBefore w:val="0"/>
        <w:kinsoku/>
        <w:wordWrap/>
        <w:overflowPunct/>
        <w:topLinePunct w:val="0"/>
        <w:autoSpaceDE/>
        <w:autoSpaceDN/>
        <w:bidi w:val="0"/>
        <w:adjustRightInd/>
        <w:snapToGrid/>
        <w:spacing w:line="560" w:lineRule="exact"/>
        <w:ind w:firstLine="643"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3.技术设备与搭建</w:t>
      </w:r>
      <w:r>
        <w:rPr>
          <w:rFonts w:hint="eastAsia" w:ascii="仿宋_GB2312" w:hAnsi="仿宋_GB2312" w:eastAsia="仿宋_GB2312" w:cs="仿宋_GB2312"/>
          <w:sz w:val="32"/>
          <w:szCs w:val="32"/>
          <w:lang w:val="en-US" w:eastAsia="zh-CN"/>
        </w:rPr>
        <w:t>。包括揭牌设计制作、舞台台阶搭建、会场布置等。</w:t>
      </w:r>
    </w:p>
    <w:p>
      <w:pPr>
        <w:keepNext w:val="0"/>
        <w:keepLines w:val="0"/>
        <w:pageBreakBefore w:val="0"/>
        <w:kinsoku/>
        <w:wordWrap/>
        <w:overflowPunct/>
        <w:topLinePunct w:val="0"/>
        <w:autoSpaceDE/>
        <w:autoSpaceDN/>
        <w:bidi w:val="0"/>
        <w:adjustRightInd/>
        <w:snapToGrid/>
        <w:spacing w:line="560" w:lineRule="exact"/>
        <w:ind w:firstLine="643"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4.物料制作</w:t>
      </w:r>
      <w:r>
        <w:rPr>
          <w:rFonts w:hint="eastAsia" w:ascii="仿宋_GB2312" w:hAnsi="仿宋_GB2312" w:eastAsia="仿宋_GB2312" w:cs="仿宋_GB2312"/>
          <w:sz w:val="32"/>
          <w:szCs w:val="32"/>
          <w:lang w:val="en-US" w:eastAsia="zh-CN"/>
        </w:rPr>
        <w:t>。包括但不限于嘉宾参会证、指引牌等现场物料。</w:t>
      </w:r>
    </w:p>
    <w:p>
      <w:pPr>
        <w:keepNext w:val="0"/>
        <w:keepLines w:val="0"/>
        <w:pageBreakBefore w:val="0"/>
        <w:kinsoku/>
        <w:wordWrap/>
        <w:overflowPunct/>
        <w:topLinePunct w:val="0"/>
        <w:autoSpaceDE/>
        <w:autoSpaceDN/>
        <w:bidi w:val="0"/>
        <w:adjustRightInd/>
        <w:snapToGrid/>
        <w:spacing w:line="560" w:lineRule="exact"/>
        <w:ind w:firstLine="643"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5.会务服务</w:t>
      </w:r>
      <w:r>
        <w:rPr>
          <w:rFonts w:hint="eastAsia" w:ascii="仿宋_GB2312" w:hAnsi="仿宋_GB2312" w:eastAsia="仿宋_GB2312" w:cs="仿宋_GB2312"/>
          <w:sz w:val="32"/>
          <w:szCs w:val="32"/>
          <w:lang w:val="en-US" w:eastAsia="zh-CN"/>
        </w:rPr>
        <w:t>。包括主持人、礼仪引导、嘉宾茶歇、签到接待及现场执行人员配置。</w:t>
      </w:r>
    </w:p>
    <w:p>
      <w:pPr>
        <w:keepNext w:val="0"/>
        <w:keepLines w:val="0"/>
        <w:pageBreakBefore w:val="0"/>
        <w:kinsoku/>
        <w:wordWrap/>
        <w:overflowPunct/>
        <w:topLinePunct w:val="0"/>
        <w:autoSpaceDE/>
        <w:autoSpaceDN/>
        <w:bidi w:val="0"/>
        <w:adjustRightInd/>
        <w:snapToGrid/>
        <w:spacing w:line="560" w:lineRule="exact"/>
        <w:ind w:firstLine="643" w:firstLineChars="200"/>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6.宣传记录</w:t>
      </w:r>
      <w:r>
        <w:rPr>
          <w:rFonts w:hint="eastAsia" w:ascii="仿宋_GB2312" w:hAnsi="仿宋_GB2312" w:eastAsia="仿宋_GB2312" w:cs="仿宋_GB2312"/>
          <w:sz w:val="32"/>
          <w:szCs w:val="32"/>
          <w:lang w:val="en-US" w:eastAsia="zh-CN"/>
        </w:rPr>
        <w:t>。包括活动全程摄影摄像、照片直播、视频录制及后期剪辑切片。</w:t>
      </w:r>
    </w:p>
    <w:p>
      <w:pPr>
        <w:keepNext w:val="0"/>
        <w:keepLines w:val="0"/>
        <w:pageBreakBefore w:val="0"/>
        <w:kinsoku/>
        <w:wordWrap/>
        <w:overflowPunct/>
        <w:topLinePunct w:val="0"/>
        <w:autoSpaceDE/>
        <w:autoSpaceDN/>
        <w:bidi w:val="0"/>
        <w:adjustRightInd/>
        <w:snapToGrid/>
        <w:spacing w:line="560" w:lineRule="exact"/>
        <w:ind w:firstLine="640" w:firstLineChars="200"/>
        <w:jc w:val="left"/>
        <w:rPr>
          <w:rFonts w:hint="eastAsia" w:ascii="仿宋_GB2312" w:hAnsi="仿宋_GB2312" w:eastAsia="仿宋_GB2312" w:cs="仿宋_GB2312"/>
          <w:sz w:val="32"/>
          <w:szCs w:val="40"/>
          <w:lang w:val="en-US" w:eastAsia="zh-CN"/>
        </w:rPr>
      </w:pPr>
      <w:r>
        <w:rPr>
          <w:rFonts w:hint="eastAsia" w:ascii="黑体" w:hAnsi="黑体" w:eastAsia="黑体" w:cs="黑体"/>
          <w:sz w:val="32"/>
          <w:szCs w:val="32"/>
          <w:lang w:val="en-US" w:eastAsia="zh-CN"/>
        </w:rPr>
        <w:t>三、项目预算限额</w:t>
      </w:r>
      <w:r>
        <w:rPr>
          <w:rFonts w:hint="eastAsia" w:ascii="仿宋_GB2312" w:hAnsi="仿宋_GB2312" w:eastAsia="仿宋_GB2312" w:cs="仿宋_GB2312"/>
          <w:sz w:val="32"/>
          <w:szCs w:val="40"/>
          <w:lang w:eastAsia="zh-CN"/>
        </w:rPr>
        <w:t>：人民币</w:t>
      </w:r>
      <w:r>
        <w:rPr>
          <w:rFonts w:hint="eastAsia" w:ascii="仿宋_GB2312" w:hAnsi="仿宋_GB2312" w:eastAsia="仿宋_GB2312" w:cs="仿宋_GB2312"/>
          <w:sz w:val="32"/>
          <w:szCs w:val="40"/>
          <w:u w:val="single"/>
          <w:lang w:val="en-US" w:eastAsia="zh-CN"/>
        </w:rPr>
        <w:t>5.25</w:t>
      </w:r>
      <w:r>
        <w:rPr>
          <w:rFonts w:hint="eastAsia" w:ascii="仿宋_GB2312" w:hAnsi="仿宋_GB2312" w:eastAsia="仿宋_GB2312" w:cs="仿宋_GB2312"/>
          <w:sz w:val="32"/>
          <w:szCs w:val="40"/>
          <w:lang w:val="en-US" w:eastAsia="zh-CN"/>
        </w:rPr>
        <w:t>万元（上限价）。</w:t>
      </w:r>
    </w:p>
    <w:p>
      <w:pPr>
        <w:keepNext w:val="0"/>
        <w:keepLines w:val="0"/>
        <w:pageBreakBefore w:val="0"/>
        <w:kinsoku/>
        <w:wordWrap/>
        <w:overflowPunct/>
        <w:topLinePunct w:val="0"/>
        <w:autoSpaceDE/>
        <w:autoSpaceDN/>
        <w:bidi w:val="0"/>
        <w:adjustRightInd/>
        <w:snapToGrid/>
        <w:spacing w:line="560" w:lineRule="exact"/>
        <w:ind w:firstLine="640" w:firstLineChars="200"/>
        <w:jc w:val="left"/>
        <w:rPr>
          <w:rFonts w:hint="eastAsia" w:ascii="仿宋_GB2312" w:hAnsi="仿宋_GB2312" w:eastAsia="仿宋_GB2312" w:cs="仿宋_GB2312"/>
          <w:sz w:val="32"/>
          <w:szCs w:val="40"/>
          <w:lang w:val="en-US" w:eastAsia="zh-CN"/>
        </w:rPr>
      </w:pPr>
      <w:r>
        <w:rPr>
          <w:rFonts w:hint="eastAsia" w:ascii="黑体" w:hAnsi="黑体" w:eastAsia="黑体" w:cs="黑体"/>
          <w:sz w:val="32"/>
          <w:szCs w:val="32"/>
          <w:lang w:val="en-US" w:eastAsia="zh-CN"/>
        </w:rPr>
        <w:t>四、服务期</w:t>
      </w:r>
      <w:r>
        <w:rPr>
          <w:rFonts w:hint="eastAsia" w:ascii="仿宋_GB2312" w:hAnsi="仿宋_GB2312" w:eastAsia="仿宋_GB2312" w:cs="仿宋_GB2312"/>
          <w:sz w:val="32"/>
          <w:szCs w:val="40"/>
          <w:lang w:val="en-US" w:eastAsia="zh-CN"/>
        </w:rPr>
        <w:t>：暂定</w:t>
      </w:r>
      <w:r>
        <w:rPr>
          <w:rFonts w:hint="eastAsia" w:ascii="仿宋_GB2312" w:hAnsi="仿宋_GB2312" w:eastAsia="仿宋_GB2312" w:cs="仿宋_GB2312"/>
          <w:sz w:val="32"/>
          <w:szCs w:val="40"/>
          <w:u w:val="single"/>
          <w:lang w:val="en-US" w:eastAsia="zh-CN"/>
        </w:rPr>
        <w:t>30</w:t>
      </w:r>
      <w:r>
        <w:rPr>
          <w:rFonts w:hint="eastAsia" w:ascii="仿宋_GB2312" w:hAnsi="仿宋_GB2312" w:eastAsia="仿宋_GB2312" w:cs="仿宋_GB2312"/>
          <w:sz w:val="32"/>
          <w:szCs w:val="40"/>
          <w:u w:val="none"/>
          <w:lang w:val="en-US" w:eastAsia="zh-CN"/>
        </w:rPr>
        <w:t>日历天</w:t>
      </w:r>
      <w:r>
        <w:rPr>
          <w:rFonts w:hint="eastAsia" w:ascii="仿宋_GB2312" w:hAnsi="仿宋_GB2312" w:eastAsia="仿宋_GB2312" w:cs="仿宋_GB2312"/>
          <w:sz w:val="32"/>
          <w:szCs w:val="40"/>
          <w:lang w:val="en-US" w:eastAsia="zh-CN"/>
        </w:rPr>
        <w:t>，具体以合同签订时间为准。</w:t>
      </w:r>
    </w:p>
    <w:p>
      <w:pPr>
        <w:keepNext w:val="0"/>
        <w:keepLines w:val="0"/>
        <w:pageBreakBefore w:val="0"/>
        <w:kinsoku/>
        <w:wordWrap/>
        <w:overflowPunct/>
        <w:topLinePunct w:val="0"/>
        <w:autoSpaceDE/>
        <w:autoSpaceDN/>
        <w:bidi w:val="0"/>
        <w:adjustRightInd/>
        <w:snapToGrid/>
        <w:spacing w:line="56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五、特别提醒</w:t>
      </w:r>
    </w:p>
    <w:p>
      <w:pPr>
        <w:keepNext w:val="0"/>
        <w:keepLines w:val="0"/>
        <w:pageBreakBefore w:val="0"/>
        <w:kinsoku/>
        <w:wordWrap/>
        <w:overflowPunct/>
        <w:topLinePunct w:val="0"/>
        <w:autoSpaceDE/>
        <w:autoSpaceDN/>
        <w:bidi w:val="0"/>
        <w:adjustRightInd/>
        <w:snapToGrid/>
        <w:spacing w:line="560" w:lineRule="exact"/>
        <w:ind w:firstLine="640" w:firstLineChars="200"/>
        <w:jc w:val="left"/>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（一）报价要求</w:t>
      </w:r>
    </w:p>
    <w:p>
      <w:pPr>
        <w:keepNext w:val="0"/>
        <w:keepLines w:val="0"/>
        <w:pageBreakBefore w:val="0"/>
        <w:kinsoku/>
        <w:wordWrap w:val="0"/>
        <w:overflowPunct/>
        <w:topLinePunct w:val="0"/>
        <w:autoSpaceDE/>
        <w:autoSpaceDN/>
        <w:bidi w:val="0"/>
        <w:adjustRightInd/>
        <w:snapToGrid/>
        <w:spacing w:line="560" w:lineRule="exact"/>
        <w:ind w:firstLine="640" w:firstLineChars="200"/>
        <w:jc w:val="left"/>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rPr>
        <w:t>报价一经认可，即为签订合同的最终依据。</w:t>
      </w:r>
      <w:r>
        <w:rPr>
          <w:rFonts w:hint="eastAsia" w:ascii="仿宋_GB2312" w:hAnsi="仿宋_GB2312" w:eastAsia="仿宋_GB2312" w:cs="仿宋_GB2312"/>
          <w:sz w:val="32"/>
          <w:szCs w:val="40"/>
          <w:u w:val="none"/>
          <w:lang w:val="en-US" w:eastAsia="zh-CN"/>
        </w:rPr>
        <w:t>请各</w:t>
      </w:r>
      <w:r>
        <w:rPr>
          <w:rFonts w:hint="eastAsia" w:ascii="仿宋_GB2312" w:hAnsi="仿宋_GB2312" w:eastAsia="仿宋_GB2312" w:cs="仿宋_GB2312"/>
          <w:sz w:val="32"/>
          <w:szCs w:val="40"/>
          <w:lang w:val="en-US" w:eastAsia="zh-CN"/>
        </w:rPr>
        <w:t>报价单位</w:t>
      </w:r>
      <w:r>
        <w:rPr>
          <w:rFonts w:hint="eastAsia" w:ascii="仿宋_GB2312" w:hAnsi="仿宋_GB2312" w:eastAsia="仿宋_GB2312" w:cs="仿宋_GB2312"/>
          <w:sz w:val="32"/>
          <w:szCs w:val="40"/>
          <w:u w:val="none"/>
          <w:lang w:val="en-US" w:eastAsia="zh-CN"/>
        </w:rPr>
        <w:t>严格按照附件格式要求进行填写并加盖公章</w:t>
      </w:r>
      <w:r>
        <w:rPr>
          <w:rFonts w:hint="eastAsia" w:ascii="仿宋_GB2312" w:hAnsi="仿宋_GB2312" w:eastAsia="仿宋_GB2312" w:cs="仿宋_GB2312"/>
          <w:sz w:val="32"/>
          <w:szCs w:val="40"/>
          <w:lang w:val="en-US" w:eastAsia="zh-CN"/>
        </w:rPr>
        <w:t>密封</w:t>
      </w:r>
      <w:r>
        <w:rPr>
          <w:rFonts w:hint="eastAsia" w:ascii="仿宋_GB2312" w:hAnsi="仿宋_GB2312" w:eastAsia="仿宋_GB2312" w:cs="仿宋_GB2312"/>
          <w:sz w:val="32"/>
          <w:szCs w:val="40"/>
        </w:rPr>
        <w:t>，于</w:t>
      </w:r>
      <w:r>
        <w:rPr>
          <w:rFonts w:hint="eastAsia" w:ascii="仿宋_GB2312" w:hAnsi="仿宋_GB2312" w:eastAsia="仿宋_GB2312" w:cs="仿宋_GB2312"/>
          <w:sz w:val="32"/>
          <w:szCs w:val="40"/>
          <w:highlight w:val="none"/>
          <w:u w:val="none"/>
        </w:rPr>
        <w:t>20</w:t>
      </w:r>
      <w:r>
        <w:rPr>
          <w:rFonts w:hint="eastAsia" w:ascii="仿宋_GB2312" w:hAnsi="仿宋_GB2312" w:eastAsia="仿宋_GB2312" w:cs="仿宋_GB2312"/>
          <w:sz w:val="32"/>
          <w:szCs w:val="40"/>
          <w:highlight w:val="none"/>
          <w:u w:val="none"/>
          <w:lang w:val="en-US" w:eastAsia="zh-CN"/>
        </w:rPr>
        <w:t>26</w:t>
      </w:r>
      <w:r>
        <w:rPr>
          <w:rFonts w:hint="eastAsia" w:ascii="仿宋_GB2312" w:hAnsi="仿宋_GB2312" w:eastAsia="仿宋_GB2312" w:cs="仿宋_GB2312"/>
          <w:sz w:val="32"/>
          <w:szCs w:val="40"/>
          <w:highlight w:val="none"/>
          <w:u w:val="none"/>
        </w:rPr>
        <w:t>年</w:t>
      </w:r>
      <w:r>
        <w:rPr>
          <w:rFonts w:hint="eastAsia" w:ascii="仿宋_GB2312" w:hAnsi="仿宋_GB2312" w:eastAsia="仿宋_GB2312" w:cs="仿宋_GB2312"/>
          <w:sz w:val="32"/>
          <w:szCs w:val="40"/>
          <w:highlight w:val="none"/>
          <w:u w:val="none"/>
          <w:lang w:val="en-US" w:eastAsia="zh-CN"/>
        </w:rPr>
        <w:t>10</w:t>
      </w:r>
      <w:r>
        <w:rPr>
          <w:rFonts w:hint="eastAsia" w:ascii="仿宋_GB2312" w:hAnsi="仿宋_GB2312" w:eastAsia="仿宋_GB2312" w:cs="仿宋_GB2312"/>
          <w:sz w:val="32"/>
          <w:szCs w:val="40"/>
          <w:highlight w:val="none"/>
          <w:u w:val="none"/>
        </w:rPr>
        <w:t>月</w:t>
      </w:r>
      <w:r>
        <w:rPr>
          <w:rFonts w:hint="eastAsia" w:ascii="仿宋_GB2312" w:hAnsi="仿宋_GB2312" w:eastAsia="仿宋_GB2312" w:cs="仿宋_GB2312"/>
          <w:sz w:val="32"/>
          <w:szCs w:val="40"/>
          <w:highlight w:val="none"/>
          <w:u w:val="none"/>
          <w:lang w:val="en-US" w:eastAsia="zh-CN"/>
        </w:rPr>
        <w:t>14</w:t>
      </w:r>
      <w:r>
        <w:rPr>
          <w:rFonts w:hint="eastAsia" w:ascii="仿宋_GB2312" w:hAnsi="仿宋_GB2312" w:eastAsia="仿宋_GB2312" w:cs="仿宋_GB2312"/>
          <w:sz w:val="32"/>
          <w:szCs w:val="40"/>
          <w:highlight w:val="none"/>
          <w:u w:val="none"/>
        </w:rPr>
        <w:t>日</w:t>
      </w:r>
      <w:r>
        <w:rPr>
          <w:rFonts w:hint="eastAsia" w:ascii="仿宋_GB2312" w:hAnsi="仿宋_GB2312" w:eastAsia="仿宋_GB2312" w:cs="仿宋_GB2312"/>
          <w:sz w:val="32"/>
          <w:szCs w:val="40"/>
          <w:u w:val="none"/>
        </w:rPr>
        <w:t>1</w:t>
      </w:r>
      <w:r>
        <w:rPr>
          <w:rFonts w:hint="eastAsia" w:ascii="仿宋_GB2312" w:hAnsi="仿宋_GB2312" w:eastAsia="仿宋_GB2312" w:cs="仿宋_GB2312"/>
          <w:sz w:val="32"/>
          <w:szCs w:val="40"/>
          <w:u w:val="none"/>
          <w:lang w:val="en-US" w:eastAsia="zh-CN"/>
        </w:rPr>
        <w:t>8</w:t>
      </w:r>
      <w:r>
        <w:rPr>
          <w:rFonts w:hint="eastAsia" w:ascii="仿宋_GB2312" w:hAnsi="仿宋_GB2312" w:eastAsia="仿宋_GB2312" w:cs="仿宋_GB2312"/>
          <w:sz w:val="32"/>
          <w:szCs w:val="40"/>
          <w:u w:val="none"/>
        </w:rPr>
        <w:t>:00</w:t>
      </w:r>
      <w:r>
        <w:rPr>
          <w:rFonts w:hint="eastAsia" w:ascii="仿宋_GB2312" w:hAnsi="仿宋_GB2312" w:eastAsia="仿宋_GB2312" w:cs="仿宋_GB2312"/>
          <w:sz w:val="32"/>
          <w:szCs w:val="40"/>
          <w:u w:val="none"/>
          <w:lang w:val="en-US" w:eastAsia="zh-CN"/>
        </w:rPr>
        <w:t>前将密封纸质版报价文件一份以现场或邮寄的方式递交</w:t>
      </w:r>
      <w:r>
        <w:rPr>
          <w:rFonts w:hint="eastAsia" w:ascii="仿宋_GB2312" w:hAnsi="仿宋_GB2312" w:eastAsia="仿宋_GB2312" w:cs="仿宋_GB2312"/>
          <w:sz w:val="32"/>
          <w:szCs w:val="40"/>
        </w:rPr>
        <w:t>（邮寄地址</w:t>
      </w:r>
      <w:r>
        <w:rPr>
          <w:rFonts w:hint="eastAsia" w:ascii="仿宋_GB2312" w:hAnsi="仿宋_GB2312" w:eastAsia="仿宋_GB2312" w:cs="仿宋_GB2312"/>
          <w:sz w:val="32"/>
          <w:szCs w:val="40"/>
          <w:lang w:val="en-US" w:eastAsia="zh-CN"/>
        </w:rPr>
        <w:t>详</w:t>
      </w:r>
      <w:r>
        <w:rPr>
          <w:rFonts w:hint="eastAsia" w:ascii="仿宋_GB2312" w:hAnsi="仿宋_GB2312" w:eastAsia="仿宋_GB2312" w:cs="仿宋_GB2312"/>
          <w:sz w:val="32"/>
          <w:szCs w:val="40"/>
        </w:rPr>
        <w:t>见“六、联系方式”）</w:t>
      </w:r>
      <w:r>
        <w:rPr>
          <w:rFonts w:hint="eastAsia" w:ascii="仿宋_GB2312" w:hAnsi="仿宋_GB2312" w:eastAsia="仿宋_GB2312" w:cs="仿宋_GB2312"/>
          <w:kern w:val="2"/>
          <w:sz w:val="32"/>
          <w:szCs w:val="40"/>
          <w:u w:val="none"/>
          <w:lang w:val="en-US" w:eastAsia="zh-CN" w:bidi="ar-SA"/>
        </w:rPr>
        <w:t>。并同步将</w:t>
      </w:r>
      <w:r>
        <w:rPr>
          <w:rFonts w:hint="eastAsia" w:ascii="仿宋_GB2312" w:hAnsi="仿宋_GB2312" w:eastAsia="仿宋_GB2312" w:cs="仿宋_GB2312"/>
          <w:sz w:val="32"/>
          <w:szCs w:val="40"/>
          <w:u w:val="none"/>
          <w:lang w:val="en-US" w:eastAsia="zh-CN"/>
        </w:rPr>
        <w:t>盖章版扫描件</w:t>
      </w:r>
      <w:r>
        <w:rPr>
          <w:rFonts w:hint="eastAsia" w:ascii="仿宋_GB2312" w:hAnsi="仿宋_GB2312" w:eastAsia="仿宋_GB2312" w:cs="仿宋_GB2312"/>
          <w:sz w:val="32"/>
          <w:szCs w:val="40"/>
          <w:u w:val="none"/>
        </w:rPr>
        <w:t>发送至邮箱:</w:t>
      </w:r>
      <w:r>
        <w:rPr>
          <w:rFonts w:hint="eastAsia" w:ascii="仿宋_GB2312" w:hAnsi="仿宋_GB2312" w:eastAsia="仿宋_GB2312" w:cs="仿宋_GB2312"/>
          <w:sz w:val="32"/>
          <w:szCs w:val="40"/>
          <w:u w:val="single"/>
          <w:lang w:val="en-US" w:eastAsia="zh-CN"/>
        </w:rPr>
        <w:t>lhctgs@szlh.gov.cn</w:t>
      </w:r>
      <w:r>
        <w:rPr>
          <w:rFonts w:hint="eastAsia" w:ascii="仿宋_GB2312" w:hAnsi="仿宋_GB2312" w:eastAsia="仿宋_GB2312" w:cs="仿宋_GB2312"/>
          <w:sz w:val="32"/>
          <w:szCs w:val="40"/>
          <w:u w:val="none"/>
          <w:lang w:val="en-US" w:eastAsia="zh-CN"/>
        </w:rPr>
        <w:t>；抄送至邮箱：</w:t>
      </w:r>
      <w:r>
        <w:rPr>
          <w:rFonts w:hint="eastAsia" w:ascii="仿宋_GB2312" w:hAnsi="仿宋_GB2312" w:eastAsia="仿宋_GB2312" w:cs="仿宋_GB2312"/>
          <w:sz w:val="32"/>
          <w:szCs w:val="40"/>
          <w:highlight w:val="none"/>
          <w:u w:val="single"/>
          <w:lang w:val="en-US" w:eastAsia="zh-CN"/>
        </w:rPr>
        <w:t>709485187</w:t>
      </w:r>
      <w:bookmarkStart w:id="1" w:name="_GoBack"/>
      <w:bookmarkEnd w:id="1"/>
      <w:r>
        <w:rPr>
          <w:rFonts w:hint="eastAsia" w:ascii="仿宋_GB2312" w:hAnsi="仿宋_GB2312" w:eastAsia="仿宋_GB2312" w:cs="仿宋_GB2312"/>
          <w:sz w:val="32"/>
          <w:szCs w:val="40"/>
          <w:highlight w:val="none"/>
          <w:u w:val="single"/>
          <w:lang w:val="en-US" w:eastAsia="zh-CN"/>
        </w:rPr>
        <w:t>@</w:t>
      </w:r>
      <w:r>
        <w:rPr>
          <w:rFonts w:hint="eastAsia" w:ascii="仿宋_GB2312" w:hAnsi="仿宋_GB2312" w:eastAsia="仿宋_GB2312" w:cs="仿宋_GB2312"/>
          <w:sz w:val="32"/>
          <w:szCs w:val="40"/>
          <w:u w:val="single"/>
          <w:lang w:val="en-US" w:eastAsia="zh-CN"/>
        </w:rPr>
        <w:t>qq.com</w:t>
      </w:r>
      <w:r>
        <w:rPr>
          <w:rFonts w:hint="eastAsia" w:ascii="仿宋_GB2312" w:hAnsi="仿宋_GB2312" w:eastAsia="仿宋_GB2312" w:cs="仿宋_GB2312"/>
          <w:sz w:val="32"/>
          <w:szCs w:val="40"/>
          <w:u w:val="none"/>
          <w:lang w:val="en-US" w:eastAsia="zh-CN"/>
        </w:rPr>
        <w:t>，邮件标题注明“项目名称+报价单位名称”</w:t>
      </w:r>
      <w:r>
        <w:rPr>
          <w:rFonts w:hint="eastAsia" w:ascii="仿宋_GB2312" w:hAnsi="仿宋_GB2312" w:eastAsia="仿宋_GB2312" w:cs="仿宋_GB2312"/>
          <w:sz w:val="32"/>
          <w:szCs w:val="40"/>
        </w:rPr>
        <w:t>，逾期视为</w:t>
      </w:r>
      <w:r>
        <w:rPr>
          <w:rFonts w:hint="eastAsia" w:ascii="仿宋_GB2312" w:hAnsi="仿宋_GB2312" w:eastAsia="仿宋_GB2312" w:cs="仿宋_GB2312"/>
          <w:sz w:val="32"/>
          <w:szCs w:val="40"/>
          <w:lang w:eastAsia="zh-CN"/>
        </w:rPr>
        <w:t>废标</w:t>
      </w:r>
      <w:r>
        <w:rPr>
          <w:rFonts w:hint="eastAsia" w:ascii="仿宋_GB2312" w:hAnsi="仿宋_GB2312" w:eastAsia="仿宋_GB2312" w:cs="仿宋_GB2312"/>
          <w:sz w:val="32"/>
          <w:szCs w:val="40"/>
        </w:rPr>
        <w:t>。</w:t>
      </w:r>
      <w:r>
        <w:rPr>
          <w:rFonts w:hint="eastAsia" w:ascii="仿宋_GB2312" w:hAnsi="仿宋_GB2312" w:eastAsia="仿宋_GB2312" w:cs="仿宋_GB2312"/>
          <w:sz w:val="32"/>
          <w:szCs w:val="40"/>
          <w:u w:val="none"/>
          <w:lang w:val="en-US" w:eastAsia="zh-CN"/>
        </w:rPr>
        <w:t>纸质盖章版报价文件与电子扫描版报价文件不一致的以纸质盖章版为准</w:t>
      </w:r>
      <w:r>
        <w:rPr>
          <w:rFonts w:hint="eastAsia" w:ascii="仿宋_GB2312" w:hAnsi="仿宋_GB2312" w:eastAsia="仿宋_GB2312" w:cs="仿宋_GB2312"/>
          <w:sz w:val="32"/>
          <w:szCs w:val="40"/>
          <w:lang w:eastAsia="zh-CN"/>
        </w:rPr>
        <w:t>。</w:t>
      </w:r>
    </w:p>
    <w:p>
      <w:pPr>
        <w:keepNext w:val="0"/>
        <w:keepLines w:val="0"/>
        <w:pageBreakBefore w:val="0"/>
        <w:kinsoku/>
        <w:wordWrap/>
        <w:overflowPunct/>
        <w:topLinePunct w:val="0"/>
        <w:autoSpaceDE/>
        <w:autoSpaceDN/>
        <w:bidi w:val="0"/>
        <w:adjustRightInd/>
        <w:snapToGrid/>
        <w:spacing w:line="560" w:lineRule="exact"/>
        <w:ind w:firstLine="643" w:firstLineChars="200"/>
        <w:jc w:val="left"/>
        <w:rPr>
          <w:rFonts w:hint="eastAsia" w:ascii="仿宋_GB2312" w:hAnsi="仿宋_GB2312" w:eastAsia="仿宋_GB2312" w:cs="仿宋_GB2312"/>
          <w:sz w:val="32"/>
          <w:szCs w:val="40"/>
          <w:lang w:eastAsia="zh-CN"/>
        </w:rPr>
      </w:pPr>
      <w:r>
        <w:rPr>
          <w:rFonts w:hint="eastAsia" w:ascii="仿宋_GB2312" w:hAnsi="仿宋_GB2312" w:eastAsia="仿宋_GB2312" w:cs="仿宋_GB2312"/>
          <w:b/>
          <w:bCs/>
          <w:sz w:val="32"/>
          <w:szCs w:val="40"/>
          <w:lang w:eastAsia="zh-CN"/>
        </w:rPr>
        <w:t>注</w:t>
      </w:r>
      <w:r>
        <w:rPr>
          <w:rFonts w:hint="eastAsia" w:ascii="仿宋_GB2312" w:hAnsi="仿宋_GB2312" w:eastAsia="仿宋_GB2312" w:cs="仿宋_GB2312"/>
          <w:sz w:val="32"/>
          <w:szCs w:val="40"/>
          <w:lang w:eastAsia="zh-CN"/>
        </w:rPr>
        <w:t>：本项目基本</w:t>
      </w:r>
      <w:r>
        <w:rPr>
          <w:rFonts w:hint="eastAsia" w:ascii="仿宋_GB2312" w:hAnsi="仿宋_GB2312" w:eastAsia="仿宋_GB2312" w:cs="仿宋_GB2312"/>
          <w:sz w:val="32"/>
          <w:szCs w:val="40"/>
          <w:lang w:val="en-US" w:eastAsia="zh-CN"/>
        </w:rPr>
        <w:t>情况可联系“业务联系人”了解，联系方式详见“六、联系方式”。</w:t>
      </w:r>
    </w:p>
    <w:p>
      <w:pPr>
        <w:keepNext w:val="0"/>
        <w:keepLines w:val="0"/>
        <w:pageBreakBefore w:val="0"/>
        <w:kinsoku/>
        <w:wordWrap/>
        <w:overflowPunct/>
        <w:topLinePunct w:val="0"/>
        <w:autoSpaceDE/>
        <w:autoSpaceDN/>
        <w:bidi w:val="0"/>
        <w:adjustRightInd/>
        <w:snapToGrid/>
        <w:spacing w:line="560" w:lineRule="exact"/>
        <w:ind w:firstLine="640" w:firstLineChars="200"/>
        <w:jc w:val="left"/>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二）</w:t>
      </w:r>
      <w:r>
        <w:rPr>
          <w:rFonts w:hint="eastAsia" w:ascii="楷体_GB2312" w:hAnsi="楷体_GB2312" w:eastAsia="楷体_GB2312" w:cs="楷体_GB2312"/>
          <w:sz w:val="32"/>
          <w:szCs w:val="32"/>
        </w:rPr>
        <w:t>报价条件</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u w:val="none"/>
          <w:lang w:val="en-US" w:eastAsia="zh-CN" w:bidi="ar"/>
        </w:rPr>
      </w:pPr>
      <w:r>
        <w:rPr>
          <w:rFonts w:hint="eastAsia" w:ascii="仿宋_GB2312" w:hAnsi="仿宋_GB2312" w:eastAsia="仿宋_GB2312" w:cs="仿宋_GB2312"/>
          <w:sz w:val="32"/>
          <w:szCs w:val="32"/>
          <w:u w:val="none"/>
          <w:lang w:val="en-US" w:eastAsia="zh-CN" w:bidi="ar"/>
        </w:rPr>
        <w:t>1.在中华人民共和国境内注册并有效存续的法人或其他组织；</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u w:val="none"/>
          <w:lang w:val="en-US" w:eastAsia="zh-CN" w:bidi="ar"/>
        </w:rPr>
      </w:pPr>
      <w:r>
        <w:rPr>
          <w:rFonts w:hint="eastAsia" w:ascii="仿宋_GB2312" w:hAnsi="仿宋_GB2312" w:eastAsia="仿宋_GB2312" w:cs="仿宋_GB2312"/>
          <w:sz w:val="32"/>
          <w:szCs w:val="32"/>
          <w:u w:val="none"/>
          <w:lang w:val="en-US" w:eastAsia="zh-CN" w:bidi="ar"/>
        </w:rPr>
        <w:t>2.在信用中国网站（www.creditchina.gov.cn）未被列入失信被执行人、深圳市政府采购监督管理网（http://zfcg.sz.gov.cn/）未被列入政府采购严重违法失信行为记录名单；</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40"/>
          <w:u w:val="none"/>
        </w:rPr>
      </w:pPr>
      <w:r>
        <w:rPr>
          <w:rFonts w:hint="eastAsia" w:ascii="仿宋_GB2312" w:hAnsi="仿宋_GB2312" w:eastAsia="仿宋_GB2312" w:cs="仿宋_GB2312"/>
          <w:sz w:val="32"/>
          <w:szCs w:val="32"/>
          <w:u w:val="none"/>
          <w:lang w:val="en-US" w:eastAsia="zh-CN" w:bidi="ar"/>
        </w:rPr>
        <w:t>3.</w:t>
      </w:r>
      <w:r>
        <w:rPr>
          <w:rFonts w:hint="eastAsia" w:ascii="仿宋_GB2312" w:hAnsi="仿宋_GB2312" w:eastAsia="仿宋_GB2312" w:cs="仿宋_GB2312"/>
          <w:sz w:val="32"/>
          <w:szCs w:val="32"/>
        </w:rPr>
        <w:t>本项目不接受联合体投标，不允许分包、转包</w:t>
      </w:r>
      <w:r>
        <w:rPr>
          <w:rFonts w:hint="eastAsia" w:ascii="仿宋_GB2312" w:hAnsi="仿宋_GB2312" w:eastAsia="仿宋_GB2312" w:cs="仿宋_GB2312"/>
          <w:sz w:val="32"/>
          <w:szCs w:val="32"/>
          <w:u w:val="none"/>
          <w:lang w:val="en-US" w:eastAsia="zh-CN" w:bidi="ar"/>
        </w:rPr>
        <w:t>。</w:t>
      </w:r>
    </w:p>
    <w:p>
      <w:pPr>
        <w:keepNext w:val="0"/>
        <w:keepLines w:val="0"/>
        <w:pageBreakBefore w:val="0"/>
        <w:kinsoku/>
        <w:wordWrap/>
        <w:overflowPunct/>
        <w:topLinePunct w:val="0"/>
        <w:autoSpaceDE/>
        <w:autoSpaceDN/>
        <w:bidi w:val="0"/>
        <w:adjustRightInd/>
        <w:snapToGrid/>
        <w:spacing w:line="560" w:lineRule="exact"/>
        <w:ind w:firstLine="640" w:firstLineChars="200"/>
        <w:jc w:val="left"/>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三）</w:t>
      </w:r>
      <w:r>
        <w:rPr>
          <w:rFonts w:hint="eastAsia" w:ascii="楷体_GB2312" w:hAnsi="楷体_GB2312" w:eastAsia="楷体_GB2312" w:cs="楷体_GB2312"/>
          <w:sz w:val="32"/>
          <w:szCs w:val="32"/>
          <w:lang w:eastAsia="zh-CN"/>
        </w:rPr>
        <w:t>报价</w:t>
      </w:r>
      <w:r>
        <w:rPr>
          <w:rFonts w:hint="eastAsia" w:ascii="楷体_GB2312" w:hAnsi="楷体_GB2312" w:eastAsia="楷体_GB2312" w:cs="楷体_GB2312"/>
          <w:sz w:val="32"/>
          <w:szCs w:val="32"/>
          <w:lang w:val="en-US" w:eastAsia="zh-CN"/>
        </w:rPr>
        <w:t>文件组成</w:t>
      </w:r>
    </w:p>
    <w:p>
      <w:pPr>
        <w:keepNext w:val="0"/>
        <w:keepLines w:val="0"/>
        <w:pageBreakBefore w:val="0"/>
        <w:kinsoku/>
        <w:wordWrap/>
        <w:overflowPunct/>
        <w:topLinePunct w:val="0"/>
        <w:autoSpaceDE/>
        <w:autoSpaceDN/>
        <w:bidi w:val="0"/>
        <w:adjustRightInd/>
        <w:snapToGrid/>
        <w:spacing w:line="560" w:lineRule="exact"/>
        <w:ind w:firstLine="643" w:firstLineChars="200"/>
        <w:jc w:val="left"/>
        <w:rPr>
          <w:rFonts w:hint="eastAsia" w:ascii="仿宋_GB2312" w:hAnsi="仿宋_GB2312" w:eastAsia="仿宋_GB2312" w:cs="仿宋_GB2312"/>
          <w:b/>
          <w:bCs/>
          <w:sz w:val="32"/>
          <w:szCs w:val="40"/>
        </w:rPr>
      </w:pPr>
      <w:r>
        <w:rPr>
          <w:rFonts w:hint="eastAsia" w:ascii="仿宋_GB2312" w:hAnsi="仿宋_GB2312" w:eastAsia="仿宋_GB2312" w:cs="仿宋_GB2312"/>
          <w:b/>
          <w:bCs/>
          <w:sz w:val="32"/>
          <w:szCs w:val="40"/>
        </w:rPr>
        <w:t>报价单位应</w:t>
      </w:r>
      <w:r>
        <w:rPr>
          <w:rFonts w:hint="eastAsia" w:ascii="仿宋_GB2312" w:hAnsi="仿宋_GB2312" w:eastAsia="仿宋_GB2312" w:cs="仿宋_GB2312"/>
          <w:b/>
          <w:bCs/>
          <w:sz w:val="32"/>
          <w:szCs w:val="40"/>
          <w:lang w:val="en-US" w:eastAsia="zh-CN"/>
        </w:rPr>
        <w:t>按</w:t>
      </w:r>
      <w:r>
        <w:rPr>
          <w:rFonts w:hint="eastAsia" w:ascii="仿宋_GB2312" w:hAnsi="仿宋_GB2312" w:eastAsia="仿宋_GB2312" w:cs="仿宋_GB2312"/>
          <w:b/>
          <w:bCs/>
          <w:sz w:val="32"/>
          <w:szCs w:val="40"/>
        </w:rPr>
        <w:t>以下材料</w:t>
      </w:r>
      <w:r>
        <w:rPr>
          <w:rFonts w:hint="eastAsia" w:ascii="仿宋_GB2312" w:hAnsi="仿宋_GB2312" w:eastAsia="仿宋_GB2312" w:cs="仿宋_GB2312"/>
          <w:b/>
          <w:bCs/>
          <w:sz w:val="32"/>
          <w:szCs w:val="40"/>
          <w:lang w:val="en-US" w:eastAsia="zh-CN"/>
        </w:rPr>
        <w:t>进行编制和递交</w:t>
      </w:r>
      <w:r>
        <w:rPr>
          <w:rFonts w:hint="eastAsia" w:ascii="仿宋_GB2312" w:hAnsi="仿宋_GB2312" w:eastAsia="仿宋_GB2312" w:cs="仿宋_GB2312"/>
          <w:b/>
          <w:bCs/>
          <w:sz w:val="32"/>
          <w:szCs w:val="40"/>
        </w:rPr>
        <w:t>，包括但不限于：</w:t>
      </w:r>
    </w:p>
    <w:p>
      <w:pPr>
        <w:keepNext w:val="0"/>
        <w:keepLines w:val="0"/>
        <w:pageBreakBefore w:val="0"/>
        <w:kinsoku/>
        <w:wordWrap/>
        <w:overflowPunct/>
        <w:topLinePunct w:val="0"/>
        <w:autoSpaceDE/>
        <w:autoSpaceDN/>
        <w:bidi w:val="0"/>
        <w:adjustRightInd/>
        <w:snapToGrid/>
        <w:spacing w:line="560" w:lineRule="exact"/>
        <w:ind w:firstLine="640" w:firstLineChars="200"/>
        <w:jc w:val="left"/>
        <w:rPr>
          <w:rFonts w:hint="eastAsia" w:ascii="仿宋_GB2312" w:hAnsi="仿宋_GB2312" w:eastAsia="仿宋_GB2312" w:cs="仿宋_GB2312"/>
          <w:sz w:val="32"/>
          <w:szCs w:val="40"/>
          <w:highlight w:val="none"/>
          <w:u w:val="single"/>
          <w:lang w:val="en-US" w:eastAsia="zh-CN"/>
        </w:rPr>
      </w:pPr>
      <w:r>
        <w:rPr>
          <w:rFonts w:hint="eastAsia" w:ascii="仿宋_GB2312" w:hAnsi="仿宋_GB2312" w:eastAsia="仿宋_GB2312" w:cs="仿宋_GB2312"/>
          <w:sz w:val="32"/>
          <w:szCs w:val="40"/>
          <w:highlight w:val="none"/>
          <w:u w:val="single"/>
        </w:rPr>
        <w:t>1.</w:t>
      </w:r>
      <w:r>
        <w:rPr>
          <w:rFonts w:hint="eastAsia" w:ascii="仿宋_GB2312" w:hAnsi="仿宋_GB2312" w:eastAsia="仿宋_GB2312" w:cs="仿宋_GB2312"/>
          <w:sz w:val="32"/>
          <w:szCs w:val="40"/>
          <w:highlight w:val="none"/>
          <w:u w:val="single"/>
          <w:lang w:val="en-US" w:eastAsia="zh-CN"/>
        </w:rPr>
        <w:t>报价函；</w:t>
      </w:r>
    </w:p>
    <w:p>
      <w:pPr>
        <w:keepNext w:val="0"/>
        <w:keepLines w:val="0"/>
        <w:pageBreakBefore w:val="0"/>
        <w:kinsoku/>
        <w:wordWrap/>
        <w:overflowPunct/>
        <w:topLinePunct w:val="0"/>
        <w:autoSpaceDE/>
        <w:autoSpaceDN/>
        <w:bidi w:val="0"/>
        <w:adjustRightInd/>
        <w:snapToGrid/>
        <w:spacing w:line="560" w:lineRule="exact"/>
        <w:ind w:firstLine="640" w:firstLineChars="200"/>
        <w:jc w:val="left"/>
        <w:rPr>
          <w:rFonts w:hint="eastAsia" w:ascii="仿宋_GB2312" w:hAnsi="仿宋_GB2312" w:eastAsia="仿宋_GB2312" w:cs="仿宋_GB2312"/>
          <w:sz w:val="32"/>
          <w:szCs w:val="40"/>
          <w:highlight w:val="none"/>
          <w:u w:val="single"/>
          <w:lang w:eastAsia="zh-CN"/>
        </w:rPr>
      </w:pPr>
      <w:r>
        <w:rPr>
          <w:rFonts w:hint="eastAsia" w:ascii="仿宋_GB2312" w:hAnsi="仿宋_GB2312" w:eastAsia="仿宋_GB2312" w:cs="仿宋_GB2312"/>
          <w:sz w:val="32"/>
          <w:szCs w:val="40"/>
          <w:highlight w:val="none"/>
          <w:u w:val="single"/>
          <w:lang w:val="en-US" w:eastAsia="zh-CN"/>
        </w:rPr>
        <w:t>2.</w:t>
      </w:r>
      <w:r>
        <w:rPr>
          <w:rFonts w:hint="eastAsia" w:ascii="仿宋_GB2312" w:hAnsi="仿宋_GB2312" w:eastAsia="仿宋_GB2312" w:cs="仿宋_GB2312"/>
          <w:color w:val="auto"/>
          <w:sz w:val="32"/>
          <w:szCs w:val="32"/>
          <w:u w:val="single"/>
        </w:rPr>
        <w:t>公司营业执照副本复印件</w:t>
      </w:r>
      <w:r>
        <w:rPr>
          <w:rFonts w:hint="eastAsia" w:ascii="仿宋_GB2312" w:hAnsi="仿宋_GB2312" w:eastAsia="仿宋_GB2312" w:cs="仿宋_GB2312"/>
          <w:sz w:val="32"/>
          <w:szCs w:val="40"/>
          <w:highlight w:val="none"/>
          <w:u w:val="single"/>
          <w:lang w:eastAsia="zh-CN"/>
        </w:rPr>
        <w:t>；</w:t>
      </w:r>
    </w:p>
    <w:p>
      <w:pPr>
        <w:keepNext w:val="0"/>
        <w:keepLines w:val="0"/>
        <w:pageBreakBefore w:val="0"/>
        <w:kinsoku/>
        <w:wordWrap/>
        <w:overflowPunct/>
        <w:topLinePunct w:val="0"/>
        <w:autoSpaceDE/>
        <w:autoSpaceDN/>
        <w:bidi w:val="0"/>
        <w:adjustRightInd/>
        <w:snapToGrid/>
        <w:spacing w:line="560" w:lineRule="exact"/>
        <w:ind w:firstLine="640" w:firstLineChars="200"/>
        <w:jc w:val="left"/>
        <w:rPr>
          <w:rFonts w:hint="eastAsia" w:ascii="仿宋_GB2312" w:hAnsi="仿宋_GB2312" w:eastAsia="仿宋_GB2312" w:cs="仿宋_GB2312"/>
          <w:sz w:val="32"/>
          <w:szCs w:val="40"/>
          <w:highlight w:val="none"/>
          <w:u w:val="single"/>
        </w:rPr>
      </w:pPr>
      <w:r>
        <w:rPr>
          <w:rFonts w:hint="eastAsia" w:ascii="仿宋_GB2312" w:hAnsi="仿宋_GB2312" w:eastAsia="仿宋_GB2312" w:cs="仿宋_GB2312"/>
          <w:sz w:val="32"/>
          <w:szCs w:val="40"/>
          <w:highlight w:val="none"/>
          <w:u w:val="single"/>
          <w:lang w:val="en-US" w:eastAsia="zh-CN"/>
        </w:rPr>
        <w:t>3.</w:t>
      </w:r>
      <w:r>
        <w:rPr>
          <w:rFonts w:hint="eastAsia" w:ascii="仿宋_GB2312" w:hAnsi="仿宋_GB2312" w:eastAsia="仿宋_GB2312" w:cs="仿宋_GB2312"/>
          <w:sz w:val="32"/>
          <w:szCs w:val="40"/>
          <w:highlight w:val="none"/>
          <w:u w:val="single"/>
          <w:lang w:eastAsia="zh-CN"/>
        </w:rPr>
        <w:t>法定代表人证明书及法定代表人身份证复印件（加盖投标人公章）；</w:t>
      </w:r>
    </w:p>
    <w:p>
      <w:pPr>
        <w:keepNext w:val="0"/>
        <w:keepLines w:val="0"/>
        <w:pageBreakBefore w:val="0"/>
        <w:kinsoku/>
        <w:wordWrap/>
        <w:overflowPunct/>
        <w:topLinePunct w:val="0"/>
        <w:autoSpaceDE/>
        <w:autoSpaceDN/>
        <w:bidi w:val="0"/>
        <w:adjustRightInd/>
        <w:snapToGrid/>
        <w:spacing w:line="560" w:lineRule="exact"/>
        <w:ind w:firstLine="640" w:firstLineChars="200"/>
        <w:jc w:val="left"/>
        <w:rPr>
          <w:rFonts w:hint="eastAsia" w:ascii="仿宋_GB2312" w:hAnsi="仿宋_GB2312" w:eastAsia="仿宋_GB2312" w:cs="仿宋_GB2312"/>
          <w:sz w:val="32"/>
          <w:szCs w:val="40"/>
          <w:highlight w:val="none"/>
          <w:u w:val="single"/>
          <w:lang w:eastAsia="zh-CN"/>
        </w:rPr>
      </w:pPr>
      <w:r>
        <w:rPr>
          <w:rFonts w:hint="eastAsia" w:ascii="仿宋_GB2312" w:hAnsi="仿宋_GB2312" w:eastAsia="仿宋_GB2312" w:cs="仿宋_GB2312"/>
          <w:sz w:val="32"/>
          <w:szCs w:val="40"/>
          <w:highlight w:val="none"/>
          <w:u w:val="single"/>
          <w:lang w:val="en-US" w:eastAsia="zh-CN"/>
        </w:rPr>
        <w:t>4</w:t>
      </w:r>
      <w:r>
        <w:rPr>
          <w:rFonts w:hint="eastAsia" w:ascii="仿宋_GB2312" w:hAnsi="仿宋_GB2312" w:eastAsia="仿宋_GB2312" w:cs="仿宋_GB2312"/>
          <w:sz w:val="32"/>
          <w:szCs w:val="40"/>
          <w:highlight w:val="none"/>
          <w:u w:val="single"/>
        </w:rPr>
        <w:t>.公司简介</w:t>
      </w:r>
      <w:r>
        <w:rPr>
          <w:rFonts w:hint="eastAsia" w:ascii="仿宋_GB2312" w:hAnsi="仿宋_GB2312" w:eastAsia="仿宋_GB2312" w:cs="仿宋_GB2312"/>
          <w:sz w:val="32"/>
          <w:szCs w:val="40"/>
          <w:highlight w:val="none"/>
          <w:u w:val="single"/>
          <w:lang w:eastAsia="zh-CN"/>
        </w:rPr>
        <w:t>；（</w:t>
      </w:r>
      <w:r>
        <w:rPr>
          <w:rFonts w:hint="eastAsia" w:ascii="仿宋_GB2312" w:hAnsi="仿宋_GB2312" w:eastAsia="仿宋_GB2312" w:cs="仿宋_GB2312"/>
          <w:sz w:val="32"/>
          <w:szCs w:val="40"/>
          <w:highlight w:val="none"/>
          <w:u w:val="single"/>
        </w:rPr>
        <w:t>包括设立时间、注册和实际运营地址、主营业务</w:t>
      </w:r>
      <w:r>
        <w:rPr>
          <w:rFonts w:hint="eastAsia" w:ascii="仿宋_GB2312" w:hAnsi="仿宋_GB2312" w:eastAsia="仿宋_GB2312" w:cs="仿宋_GB2312"/>
          <w:sz w:val="32"/>
          <w:szCs w:val="40"/>
          <w:highlight w:val="none"/>
          <w:u w:val="single"/>
          <w:lang w:eastAsia="zh-CN"/>
        </w:rPr>
        <w:t>）；</w:t>
      </w:r>
    </w:p>
    <w:p>
      <w:pPr>
        <w:keepNext w:val="0"/>
        <w:keepLines w:val="0"/>
        <w:pageBreakBefore w:val="0"/>
        <w:kinsoku/>
        <w:wordWrap/>
        <w:overflowPunct/>
        <w:topLinePunct w:val="0"/>
        <w:autoSpaceDE/>
        <w:autoSpaceDN/>
        <w:bidi w:val="0"/>
        <w:adjustRightInd/>
        <w:snapToGrid/>
        <w:spacing w:line="560" w:lineRule="exact"/>
        <w:ind w:firstLine="640" w:firstLineChars="200"/>
        <w:jc w:val="left"/>
        <w:rPr>
          <w:rFonts w:hint="eastAsia" w:ascii="仿宋_GB2312" w:hAnsi="仿宋_GB2312" w:eastAsia="仿宋_GB2312" w:cs="仿宋_GB2312"/>
          <w:sz w:val="32"/>
          <w:szCs w:val="40"/>
          <w:highlight w:val="none"/>
          <w:u w:val="single"/>
          <w:lang w:val="en-US" w:eastAsia="zh-CN"/>
        </w:rPr>
      </w:pPr>
      <w:r>
        <w:rPr>
          <w:rFonts w:hint="eastAsia" w:ascii="仿宋_GB2312" w:hAnsi="仿宋_GB2312" w:eastAsia="仿宋_GB2312" w:cs="仿宋_GB2312"/>
          <w:sz w:val="32"/>
          <w:szCs w:val="40"/>
          <w:highlight w:val="none"/>
          <w:u w:val="single"/>
          <w:lang w:val="en-US" w:eastAsia="zh-CN"/>
        </w:rPr>
        <w:t>5.</w:t>
      </w:r>
      <w:r>
        <w:rPr>
          <w:rFonts w:hint="eastAsia" w:ascii="仿宋_GB2312" w:hAnsi="仿宋_GB2312" w:eastAsia="仿宋_GB2312" w:cs="仿宋_GB2312"/>
          <w:color w:val="auto"/>
          <w:sz w:val="32"/>
          <w:szCs w:val="32"/>
          <w:u w:val="single"/>
        </w:rPr>
        <w:t>近5年</w:t>
      </w:r>
      <w:r>
        <w:rPr>
          <w:rFonts w:hint="eastAsia" w:ascii="仿宋_GB2312" w:hAnsi="仿宋_GB2312" w:eastAsia="仿宋_GB2312" w:cs="仿宋_GB2312"/>
          <w:sz w:val="32"/>
          <w:szCs w:val="40"/>
          <w:highlight w:val="none"/>
          <w:u w:val="single"/>
          <w:lang w:val="en-US" w:eastAsia="zh-CN"/>
        </w:rPr>
        <w:t>同类项目业绩佐证（含合同范围、服务内容、合同金额、合同签订时间、双方盖章页）；</w:t>
      </w:r>
    </w:p>
    <w:p>
      <w:pPr>
        <w:keepNext w:val="0"/>
        <w:keepLines w:val="0"/>
        <w:pageBreakBefore w:val="0"/>
        <w:kinsoku/>
        <w:wordWrap/>
        <w:overflowPunct/>
        <w:topLinePunct w:val="0"/>
        <w:autoSpaceDE/>
        <w:autoSpaceDN/>
        <w:bidi w:val="0"/>
        <w:adjustRightInd/>
        <w:snapToGrid/>
        <w:spacing w:line="560" w:lineRule="exact"/>
        <w:ind w:firstLine="640" w:firstLineChars="200"/>
        <w:jc w:val="left"/>
        <w:rPr>
          <w:rFonts w:hint="eastAsia" w:ascii="仿宋_GB2312" w:hAnsi="仿宋_GB2312" w:eastAsia="仿宋_GB2312" w:cs="仿宋_GB2312"/>
          <w:color w:val="000000"/>
          <w:sz w:val="32"/>
          <w:szCs w:val="40"/>
          <w:highlight w:val="none"/>
          <w:u w:val="single"/>
          <w:lang w:val="en-US" w:eastAsia="zh-CN"/>
        </w:rPr>
      </w:pPr>
      <w:r>
        <w:rPr>
          <w:rFonts w:hint="eastAsia" w:ascii="仿宋_GB2312" w:hAnsi="仿宋_GB2312" w:eastAsia="仿宋_GB2312" w:cs="仿宋_GB2312"/>
          <w:color w:val="000000"/>
          <w:sz w:val="32"/>
          <w:szCs w:val="40"/>
          <w:highlight w:val="none"/>
          <w:u w:val="single"/>
          <w:lang w:val="en-US" w:eastAsia="zh-CN"/>
        </w:rPr>
        <w:t>6.履约质效情况说明；</w:t>
      </w:r>
    </w:p>
    <w:p>
      <w:pPr>
        <w:keepNext w:val="0"/>
        <w:keepLines w:val="0"/>
        <w:pageBreakBefore w:val="0"/>
        <w:kinsoku/>
        <w:wordWrap/>
        <w:overflowPunct/>
        <w:topLinePunct w:val="0"/>
        <w:autoSpaceDE/>
        <w:autoSpaceDN/>
        <w:bidi w:val="0"/>
        <w:adjustRightInd/>
        <w:snapToGrid/>
        <w:spacing w:line="560" w:lineRule="exact"/>
        <w:ind w:firstLine="640" w:firstLineChars="200"/>
        <w:jc w:val="left"/>
        <w:rPr>
          <w:rFonts w:hint="eastAsia" w:ascii="仿宋_GB2312" w:hAnsi="仿宋_GB2312" w:eastAsia="仿宋_GB2312" w:cs="仿宋_GB2312"/>
          <w:color w:val="000000"/>
          <w:sz w:val="32"/>
          <w:szCs w:val="40"/>
          <w:highlight w:val="none"/>
          <w:u w:val="single"/>
          <w:lang w:val="en-US" w:eastAsia="zh-CN"/>
        </w:rPr>
      </w:pPr>
      <w:r>
        <w:rPr>
          <w:rFonts w:hint="eastAsia" w:ascii="仿宋_GB2312" w:hAnsi="仿宋_GB2312" w:eastAsia="仿宋_GB2312" w:cs="仿宋_GB2312"/>
          <w:color w:val="000000"/>
          <w:sz w:val="32"/>
          <w:szCs w:val="40"/>
          <w:highlight w:val="none"/>
          <w:u w:val="single"/>
          <w:lang w:val="en-US" w:eastAsia="zh-CN"/>
        </w:rPr>
        <w:t>7.项目实施方案。</w:t>
      </w:r>
    </w:p>
    <w:p>
      <w:pPr>
        <w:keepNext w:val="0"/>
        <w:keepLines w:val="0"/>
        <w:pageBreakBefore w:val="0"/>
        <w:kinsoku/>
        <w:wordWrap/>
        <w:overflowPunct/>
        <w:topLinePunct w:val="0"/>
        <w:autoSpaceDE/>
        <w:autoSpaceDN/>
        <w:bidi w:val="0"/>
        <w:adjustRightInd/>
        <w:snapToGrid/>
        <w:spacing w:line="560" w:lineRule="exact"/>
        <w:ind w:firstLine="640" w:firstLineChars="200"/>
        <w:jc w:val="left"/>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（四）报价须知</w:t>
      </w:r>
    </w:p>
    <w:p>
      <w:pPr>
        <w:pStyle w:val="8"/>
        <w:keepNext w:val="0"/>
        <w:keepLines w:val="0"/>
        <w:pageBreakBefore w:val="0"/>
        <w:widowControl/>
        <w:shd w:val="clear" w:color="auto" w:fill="FFFFFF"/>
        <w:kinsoku/>
        <w:overflowPunct/>
        <w:topLinePunct w:val="0"/>
        <w:autoSpaceDE/>
        <w:autoSpaceDN/>
        <w:bidi w:val="0"/>
        <w:adjustRightInd/>
        <w:snapToGrid/>
        <w:spacing w:beforeAutospacing="0" w:afterAutospacing="0" w:line="560" w:lineRule="exact"/>
        <w:ind w:firstLine="640" w:firstLineChars="200"/>
        <w:textAlignment w:val="baseline"/>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（1）</w:t>
      </w:r>
      <w:r>
        <w:rPr>
          <w:rFonts w:hint="eastAsia" w:ascii="仿宋_GB2312" w:hAnsi="仿宋_GB2312" w:eastAsia="仿宋_GB2312" w:cs="仿宋_GB2312"/>
          <w:kern w:val="2"/>
          <w:sz w:val="32"/>
          <w:szCs w:val="40"/>
        </w:rPr>
        <w:t>本次报价为一次性报价，报价人如对本询价函报价，即表示认可我司提出的要求，且不可撤回。否则，该报价人将被记入不诚信报价人名单，在今后规定的时间内不得参与我司组织的任何招标、询价等采购活动。</w:t>
      </w:r>
    </w:p>
    <w:p>
      <w:pPr>
        <w:pStyle w:val="8"/>
        <w:keepNext w:val="0"/>
        <w:keepLines w:val="0"/>
        <w:pageBreakBefore w:val="0"/>
        <w:widowControl/>
        <w:shd w:val="clear" w:color="auto" w:fill="FFFFFF"/>
        <w:kinsoku/>
        <w:overflowPunct/>
        <w:topLinePunct w:val="0"/>
        <w:autoSpaceDE/>
        <w:autoSpaceDN/>
        <w:bidi w:val="0"/>
        <w:adjustRightInd/>
        <w:snapToGrid/>
        <w:spacing w:beforeAutospacing="0" w:afterAutospacing="0" w:line="560" w:lineRule="exact"/>
        <w:ind w:firstLine="640" w:firstLineChars="200"/>
        <w:textAlignment w:val="baseline"/>
        <w:rPr>
          <w:rFonts w:hint="eastAsia" w:ascii="仿宋_GB2312" w:hAnsi="仿宋_GB2312" w:eastAsia="仿宋_GB2312" w:cs="仿宋_GB2312"/>
          <w:kern w:val="2"/>
          <w:sz w:val="32"/>
          <w:szCs w:val="40"/>
        </w:rPr>
      </w:pPr>
      <w:r>
        <w:rPr>
          <w:rFonts w:hint="eastAsia" w:ascii="仿宋_GB2312" w:hAnsi="仿宋_GB2312" w:eastAsia="仿宋_GB2312" w:cs="仿宋_GB2312"/>
          <w:kern w:val="2"/>
          <w:sz w:val="32"/>
          <w:szCs w:val="40"/>
        </w:rPr>
        <w:t>（2）询价函、报价函均为采购合同的组成部分。</w:t>
      </w:r>
    </w:p>
    <w:p>
      <w:pPr>
        <w:pStyle w:val="8"/>
        <w:keepNext w:val="0"/>
        <w:keepLines w:val="0"/>
        <w:pageBreakBefore w:val="0"/>
        <w:widowControl/>
        <w:shd w:val="clear" w:color="auto" w:fill="FFFFFF"/>
        <w:kinsoku/>
        <w:overflowPunct/>
        <w:topLinePunct w:val="0"/>
        <w:autoSpaceDE/>
        <w:autoSpaceDN/>
        <w:bidi w:val="0"/>
        <w:adjustRightInd/>
        <w:snapToGrid/>
        <w:spacing w:beforeAutospacing="0" w:afterAutospacing="0" w:line="560" w:lineRule="exact"/>
        <w:ind w:firstLine="640" w:firstLineChars="200"/>
        <w:textAlignment w:val="baseline"/>
        <w:rPr>
          <w:rFonts w:hint="eastAsia" w:ascii="仿宋_GB2312" w:hAnsi="仿宋_GB2312" w:eastAsia="仿宋_GB2312" w:cs="仿宋_GB2312"/>
          <w:kern w:val="2"/>
          <w:sz w:val="32"/>
          <w:szCs w:val="40"/>
        </w:rPr>
      </w:pPr>
      <w:r>
        <w:rPr>
          <w:rFonts w:hint="eastAsia" w:ascii="仿宋_GB2312" w:hAnsi="仿宋_GB2312" w:eastAsia="仿宋_GB2312" w:cs="仿宋_GB2312"/>
          <w:kern w:val="2"/>
          <w:sz w:val="32"/>
          <w:szCs w:val="40"/>
        </w:rPr>
        <w:t>（3）报价人在采购过程中应遵守诚实信用的原则，在采购及合同履行过程中，应无条件配合我司查验有关报价文件及有关合同业绩原件、合同履行中的有关文件、事项等，如发现报价人有欺诈等不诚实行为、违法行为及违反合同约定等行为，我司将依法依规采取将报价人列入黑名单、网上通报、取消中标等处理。希望各竞投报价人在认真阅读询价函内容后再进行报价。</w:t>
      </w:r>
    </w:p>
    <w:p>
      <w:pPr>
        <w:pStyle w:val="8"/>
        <w:keepNext w:val="0"/>
        <w:keepLines w:val="0"/>
        <w:pageBreakBefore w:val="0"/>
        <w:widowControl/>
        <w:shd w:val="clear" w:color="auto" w:fill="FFFFFF"/>
        <w:kinsoku/>
        <w:overflowPunct/>
        <w:topLinePunct w:val="0"/>
        <w:autoSpaceDE/>
        <w:autoSpaceDN/>
        <w:bidi w:val="0"/>
        <w:adjustRightInd/>
        <w:snapToGrid/>
        <w:spacing w:beforeAutospacing="0" w:afterAutospacing="0" w:line="560" w:lineRule="exact"/>
        <w:ind w:firstLine="640" w:firstLineChars="200"/>
        <w:textAlignment w:val="baseline"/>
        <w:rPr>
          <w:rFonts w:hint="default" w:ascii="仿宋_GB2312" w:hAnsi="仿宋_GB2312" w:eastAsia="仿宋_GB2312" w:cs="仿宋_GB2312"/>
          <w:kern w:val="2"/>
          <w:sz w:val="32"/>
          <w:szCs w:val="40"/>
          <w:lang w:val="en-US"/>
        </w:rPr>
      </w:pP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lang w:val="en-US" w:eastAsia="zh-CN"/>
        </w:rPr>
        <w:t>4</w:t>
      </w: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rPr>
        <w:t>为确保履约，优选服务单位，本项目从报价、同类项目业绩、履约质效情况、项目实施方案等角度进行评审，评分细则详见附件</w:t>
      </w:r>
      <w:r>
        <w:rPr>
          <w:rFonts w:hint="eastAsia" w:ascii="仿宋_GB2312" w:hAnsi="仿宋_GB2312" w:eastAsia="仿宋_GB2312" w:cs="仿宋_GB2312"/>
          <w:kern w:val="2"/>
          <w:sz w:val="32"/>
          <w:szCs w:val="32"/>
          <w:lang w:val="en-US" w:eastAsia="zh-CN"/>
        </w:rPr>
        <w:t>2。</w:t>
      </w:r>
    </w:p>
    <w:p>
      <w:pPr>
        <w:keepNext w:val="0"/>
        <w:keepLines w:val="0"/>
        <w:pageBreakBefore w:val="0"/>
        <w:kinsoku/>
        <w:wordWrap/>
        <w:overflowPunct/>
        <w:topLinePunct w:val="0"/>
        <w:autoSpaceDE/>
        <w:autoSpaceDN/>
        <w:bidi w:val="0"/>
        <w:adjustRightInd/>
        <w:snapToGrid/>
        <w:spacing w:line="560" w:lineRule="exact"/>
        <w:ind w:firstLine="640" w:firstLineChars="200"/>
        <w:jc w:val="left"/>
        <w:rPr>
          <w:rFonts w:hint="eastAsia" w:ascii="黑体" w:hAnsi="黑体" w:eastAsia="黑体" w:cs="黑体"/>
          <w:sz w:val="32"/>
          <w:szCs w:val="40"/>
        </w:rPr>
      </w:pPr>
      <w:r>
        <w:rPr>
          <w:rFonts w:hint="eastAsia" w:ascii="黑体" w:hAnsi="黑体" w:eastAsia="黑体" w:cs="黑体"/>
          <w:sz w:val="32"/>
          <w:szCs w:val="40"/>
          <w:lang w:val="en-US" w:eastAsia="zh-CN"/>
        </w:rPr>
        <w:t>六</w:t>
      </w:r>
      <w:r>
        <w:rPr>
          <w:rFonts w:hint="eastAsia" w:ascii="黑体" w:hAnsi="黑体" w:eastAsia="黑体" w:cs="黑体"/>
          <w:sz w:val="32"/>
          <w:szCs w:val="40"/>
        </w:rPr>
        <w:t>、联系方式</w:t>
      </w:r>
    </w:p>
    <w:p>
      <w:pPr>
        <w:pStyle w:val="8"/>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left"/>
        <w:textAlignment w:val="baseline"/>
        <w:rPr>
          <w:rFonts w:hint="eastAsia" w:ascii="仿宋_GB2312" w:hAnsi="仿宋_GB2312" w:eastAsia="仿宋_GB2312" w:cs="仿宋_GB2312"/>
          <w:kern w:val="2"/>
          <w:sz w:val="32"/>
          <w:szCs w:val="40"/>
          <w:lang w:eastAsia="zh-CN"/>
        </w:rPr>
      </w:pPr>
      <w:r>
        <w:rPr>
          <w:rFonts w:hint="eastAsia" w:ascii="仿宋_GB2312" w:hAnsi="仿宋_GB2312" w:eastAsia="仿宋_GB2312" w:cs="仿宋_GB2312"/>
          <w:kern w:val="2"/>
          <w:sz w:val="32"/>
          <w:szCs w:val="40"/>
        </w:rPr>
        <w:t>招采联系人：</w:t>
      </w:r>
      <w:r>
        <w:rPr>
          <w:rFonts w:hint="eastAsia" w:ascii="仿宋_GB2312" w:hAnsi="仿宋_GB2312" w:eastAsia="仿宋_GB2312" w:cs="仿宋_GB2312"/>
          <w:kern w:val="2"/>
          <w:sz w:val="32"/>
          <w:szCs w:val="40"/>
          <w:lang w:eastAsia="zh-CN"/>
        </w:rPr>
        <w:t>聂工</w:t>
      </w:r>
    </w:p>
    <w:p>
      <w:pPr>
        <w:pStyle w:val="8"/>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left"/>
        <w:textAlignment w:val="baseline"/>
        <w:rPr>
          <w:rFonts w:hint="eastAsia" w:ascii="仿宋_GB2312" w:hAnsi="仿宋_GB2312" w:eastAsia="仿宋_GB2312" w:cs="仿宋_GB2312"/>
          <w:kern w:val="2"/>
          <w:sz w:val="32"/>
          <w:szCs w:val="40"/>
          <w:lang w:val="en-US" w:eastAsia="zh-CN"/>
        </w:rPr>
      </w:pPr>
      <w:r>
        <w:rPr>
          <w:rFonts w:hint="eastAsia" w:ascii="仿宋_GB2312" w:hAnsi="仿宋_GB2312" w:eastAsia="仿宋_GB2312" w:cs="仿宋_GB2312"/>
          <w:kern w:val="2"/>
          <w:sz w:val="32"/>
          <w:szCs w:val="40"/>
        </w:rPr>
        <w:t>联系电话：0755-822</w:t>
      </w:r>
      <w:r>
        <w:rPr>
          <w:rFonts w:hint="eastAsia" w:ascii="仿宋_GB2312" w:hAnsi="仿宋_GB2312" w:eastAsia="仿宋_GB2312" w:cs="仿宋_GB2312"/>
          <w:kern w:val="2"/>
          <w:sz w:val="32"/>
          <w:szCs w:val="40"/>
          <w:lang w:val="en-US" w:eastAsia="zh-CN"/>
        </w:rPr>
        <w:t>68052</w:t>
      </w:r>
    </w:p>
    <w:p>
      <w:pPr>
        <w:pStyle w:val="8"/>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left"/>
        <w:textAlignment w:val="baseline"/>
        <w:rPr>
          <w:rFonts w:hint="eastAsia" w:ascii="仿宋_GB2312" w:hAnsi="仿宋_GB2312" w:eastAsia="仿宋_GB2312" w:cs="仿宋_GB2312"/>
          <w:kern w:val="2"/>
          <w:sz w:val="32"/>
          <w:szCs w:val="40"/>
          <w:lang w:val="en-US" w:eastAsia="zh-CN"/>
        </w:rPr>
      </w:pPr>
      <w:r>
        <w:rPr>
          <w:rFonts w:hint="eastAsia" w:ascii="仿宋_GB2312" w:hAnsi="仿宋_GB2312" w:eastAsia="仿宋_GB2312" w:cs="仿宋_GB2312"/>
          <w:kern w:val="2"/>
          <w:sz w:val="32"/>
          <w:szCs w:val="40"/>
        </w:rPr>
        <w:t>联系地址：</w:t>
      </w:r>
      <w:r>
        <w:rPr>
          <w:rFonts w:hint="eastAsia" w:ascii="仿宋_GB2312" w:hAnsi="仿宋_GB2312" w:eastAsia="仿宋_GB2312" w:cs="仿宋_GB2312"/>
          <w:kern w:val="2"/>
          <w:sz w:val="32"/>
          <w:szCs w:val="40"/>
          <w:lang w:eastAsia="zh-CN"/>
        </w:rPr>
        <w:t>罗湖区深南东路</w:t>
      </w:r>
      <w:r>
        <w:rPr>
          <w:rFonts w:hint="eastAsia" w:ascii="仿宋_GB2312" w:hAnsi="仿宋_GB2312" w:eastAsia="仿宋_GB2312" w:cs="仿宋_GB2312"/>
          <w:kern w:val="2"/>
          <w:sz w:val="32"/>
          <w:szCs w:val="40"/>
          <w:lang w:val="en-US" w:eastAsia="zh-CN"/>
        </w:rPr>
        <w:t>2028号</w:t>
      </w:r>
      <w:r>
        <w:rPr>
          <w:rFonts w:hint="eastAsia" w:ascii="仿宋_GB2312" w:hAnsi="仿宋_GB2312" w:eastAsia="仿宋_GB2312" w:cs="仿宋_GB2312"/>
          <w:kern w:val="2"/>
          <w:sz w:val="32"/>
          <w:szCs w:val="40"/>
          <w:lang w:eastAsia="zh-CN"/>
        </w:rPr>
        <w:t>罗湖商务中心</w:t>
      </w:r>
      <w:r>
        <w:rPr>
          <w:rFonts w:hint="eastAsia" w:ascii="仿宋_GB2312" w:hAnsi="仿宋_GB2312" w:eastAsia="仿宋_GB2312" w:cs="仿宋_GB2312"/>
          <w:kern w:val="2"/>
          <w:sz w:val="32"/>
          <w:szCs w:val="40"/>
          <w:lang w:val="en-US" w:eastAsia="zh-CN"/>
        </w:rPr>
        <w:t>12楼</w:t>
      </w:r>
    </w:p>
    <w:p>
      <w:pPr>
        <w:pStyle w:val="8"/>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left"/>
        <w:textAlignment w:val="baseline"/>
        <w:rPr>
          <w:rFonts w:hint="eastAsia" w:ascii="仿宋_GB2312" w:hAnsi="仿宋_GB2312" w:eastAsia="仿宋_GB2312" w:cs="仿宋_GB2312"/>
          <w:kern w:val="2"/>
          <w:sz w:val="32"/>
          <w:szCs w:val="40"/>
          <w:lang w:val="en-US" w:eastAsia="zh-CN"/>
        </w:rPr>
      </w:pPr>
      <w:r>
        <w:rPr>
          <w:rFonts w:hint="eastAsia" w:ascii="仿宋_GB2312" w:hAnsi="仿宋_GB2312" w:eastAsia="仿宋_GB2312" w:cs="仿宋_GB2312"/>
          <w:kern w:val="2"/>
          <w:sz w:val="32"/>
          <w:szCs w:val="40"/>
        </w:rPr>
        <w:t>业务联系人：</w:t>
      </w:r>
      <w:r>
        <w:rPr>
          <w:rFonts w:hint="eastAsia" w:ascii="仿宋_GB2312" w:hAnsi="仿宋_GB2312" w:eastAsia="仿宋_GB2312" w:cs="仿宋_GB2312"/>
          <w:kern w:val="2"/>
          <w:sz w:val="32"/>
          <w:szCs w:val="40"/>
          <w:lang w:val="en-US" w:eastAsia="zh-CN"/>
        </w:rPr>
        <w:t>向工</w:t>
      </w:r>
    </w:p>
    <w:p>
      <w:pPr>
        <w:pStyle w:val="8"/>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left"/>
        <w:textAlignment w:val="baseline"/>
        <w:rPr>
          <w:rFonts w:hint="default" w:ascii="仿宋_GB2312" w:hAnsi="仿宋_GB2312" w:eastAsia="仿宋_GB2312" w:cs="仿宋_GB2312"/>
          <w:kern w:val="2"/>
          <w:sz w:val="32"/>
          <w:szCs w:val="40"/>
          <w:lang w:val="en-US" w:eastAsia="zh-CN"/>
        </w:rPr>
      </w:pPr>
      <w:r>
        <w:rPr>
          <w:rFonts w:hint="eastAsia" w:ascii="仿宋_GB2312" w:hAnsi="仿宋_GB2312" w:eastAsia="仿宋_GB2312" w:cs="仿宋_GB2312"/>
          <w:kern w:val="2"/>
          <w:sz w:val="32"/>
          <w:szCs w:val="40"/>
          <w:lang w:val="en-US" w:eastAsia="zh-CN"/>
        </w:rPr>
        <w:t>联系电话：19925210970</w:t>
      </w:r>
    </w:p>
    <w:p>
      <w:pPr>
        <w:keepNext w:val="0"/>
        <w:keepLines w:val="0"/>
        <w:pageBreakBefore w:val="0"/>
        <w:kinsoku/>
        <w:wordWrap/>
        <w:overflowPunct/>
        <w:topLinePunct w:val="0"/>
        <w:autoSpaceDE/>
        <w:autoSpaceDN/>
        <w:bidi w:val="0"/>
        <w:adjustRightInd/>
        <w:snapToGrid/>
        <w:spacing w:line="560" w:lineRule="exact"/>
        <w:ind w:firstLine="640" w:firstLineChars="200"/>
        <w:jc w:val="left"/>
        <w:rPr>
          <w:rFonts w:hint="eastAsia" w:ascii="仿宋_GB2312" w:hAnsi="仿宋_GB2312" w:eastAsia="仿宋_GB2312" w:cs="仿宋_GB2312"/>
          <w:sz w:val="32"/>
          <w:szCs w:val="40"/>
        </w:rPr>
      </w:pPr>
    </w:p>
    <w:p>
      <w:pPr>
        <w:keepNext w:val="0"/>
        <w:keepLines w:val="0"/>
        <w:pageBreakBefore w:val="0"/>
        <w:kinsoku/>
        <w:overflowPunct/>
        <w:topLinePunct w:val="0"/>
        <w:autoSpaceDE/>
        <w:autoSpaceDN/>
        <w:bidi w:val="0"/>
        <w:adjustRightInd/>
        <w:snapToGrid/>
        <w:spacing w:line="560" w:lineRule="exact"/>
        <w:ind w:firstLine="640" w:firstLineChars="200"/>
        <w:jc w:val="left"/>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附件：</w:t>
      </w:r>
      <w:r>
        <w:rPr>
          <w:rFonts w:hint="eastAsia" w:ascii="仿宋_GB2312" w:hAnsi="仿宋_GB2312" w:eastAsia="仿宋_GB2312" w:cs="仿宋_GB2312"/>
          <w:sz w:val="32"/>
          <w:szCs w:val="40"/>
          <w:lang w:val="en-US" w:eastAsia="zh-CN"/>
        </w:rPr>
        <w:t>1.</w:t>
      </w:r>
      <w:r>
        <w:rPr>
          <w:rFonts w:hint="eastAsia" w:ascii="仿宋_GB2312" w:hAnsi="仿宋_GB2312" w:eastAsia="仿宋_GB2312" w:cs="仿宋_GB2312"/>
          <w:sz w:val="32"/>
          <w:szCs w:val="40"/>
        </w:rPr>
        <w:t>报价函模板</w:t>
      </w:r>
    </w:p>
    <w:p>
      <w:pPr>
        <w:keepNext w:val="0"/>
        <w:keepLines w:val="0"/>
        <w:pageBreakBefore w:val="0"/>
        <w:kinsoku/>
        <w:overflowPunct/>
        <w:topLinePunct w:val="0"/>
        <w:autoSpaceDE/>
        <w:autoSpaceDN/>
        <w:bidi w:val="0"/>
        <w:adjustRightInd/>
        <w:snapToGrid/>
        <w:spacing w:line="560" w:lineRule="exact"/>
        <w:ind w:firstLine="1600" w:firstLineChars="500"/>
        <w:jc w:val="left"/>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2.评分细则</w:t>
      </w:r>
    </w:p>
    <w:p>
      <w:pPr>
        <w:keepNext w:val="0"/>
        <w:keepLines w:val="0"/>
        <w:pageBreakBefore w:val="0"/>
        <w:kinsoku/>
        <w:overflowPunct/>
        <w:topLinePunct w:val="0"/>
        <w:autoSpaceDE/>
        <w:autoSpaceDN/>
        <w:bidi w:val="0"/>
        <w:adjustRightInd/>
        <w:snapToGrid/>
        <w:spacing w:line="560" w:lineRule="exact"/>
        <w:ind w:firstLine="1600" w:firstLineChars="500"/>
        <w:jc w:val="left"/>
        <w:rPr>
          <w:rFonts w:hint="eastAsia" w:ascii="仿宋_GB2312" w:hAnsi="仿宋_GB2312" w:eastAsia="仿宋_GB2312" w:cs="仿宋_GB2312"/>
          <w:sz w:val="32"/>
          <w:szCs w:val="40"/>
          <w:lang w:val="en-US" w:eastAsia="zh-CN"/>
        </w:rPr>
      </w:pPr>
    </w:p>
    <w:p>
      <w:pPr>
        <w:keepNext w:val="0"/>
        <w:keepLines w:val="0"/>
        <w:pageBreakBefore w:val="0"/>
        <w:kinsoku/>
        <w:overflowPunct/>
        <w:topLinePunct w:val="0"/>
        <w:autoSpaceDE/>
        <w:autoSpaceDN/>
        <w:bidi w:val="0"/>
        <w:adjustRightInd/>
        <w:snapToGrid/>
        <w:spacing w:line="560" w:lineRule="exact"/>
        <w:rPr>
          <w:rFonts w:hint="eastAsia" w:ascii="仿宋_GB2312" w:hAnsi="仿宋_GB2312" w:eastAsia="仿宋_GB2312" w:cs="仿宋_GB2312"/>
        </w:rPr>
      </w:pPr>
    </w:p>
    <w:p>
      <w:pPr>
        <w:keepNext w:val="0"/>
        <w:keepLines w:val="0"/>
        <w:pageBreakBefore w:val="0"/>
        <w:kinsoku/>
        <w:wordWrap w:val="0"/>
        <w:overflowPunct/>
        <w:topLinePunct w:val="0"/>
        <w:autoSpaceDE/>
        <w:autoSpaceDN/>
        <w:bidi w:val="0"/>
        <w:adjustRightInd/>
        <w:snapToGrid/>
        <w:spacing w:line="560" w:lineRule="exact"/>
        <w:ind w:firstLine="2560" w:firstLineChars="800"/>
        <w:jc w:val="right"/>
        <w:rPr>
          <w:rFonts w:hint="default"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 xml:space="preserve">深圳市罗湖智能产业运营有限公司    </w:t>
      </w:r>
    </w:p>
    <w:p>
      <w:pPr>
        <w:keepNext w:val="0"/>
        <w:keepLines w:val="0"/>
        <w:pageBreakBefore w:val="0"/>
        <w:kinsoku/>
        <w:wordWrap w:val="0"/>
        <w:overflowPunct/>
        <w:topLinePunct w:val="0"/>
        <w:autoSpaceDE/>
        <w:autoSpaceDN/>
        <w:bidi w:val="0"/>
        <w:adjustRightInd/>
        <w:snapToGrid/>
        <w:spacing w:line="560" w:lineRule="exact"/>
        <w:ind w:firstLine="2560" w:firstLineChars="800"/>
        <w:jc w:val="right"/>
        <w:rPr>
          <w:rFonts w:hint="default" w:ascii="仿宋_GB2312" w:hAnsi="仿宋_GB2312" w:eastAsia="仿宋_GB2312" w:cs="仿宋_GB2312"/>
          <w:sz w:val="32"/>
          <w:szCs w:val="40"/>
          <w:lang w:val="en-US"/>
        </w:rPr>
      </w:pPr>
      <w:r>
        <w:rPr>
          <w:rFonts w:hint="eastAsia" w:ascii="仿宋_GB2312" w:hAnsi="仿宋_GB2312" w:eastAsia="仿宋_GB2312" w:cs="仿宋_GB2312"/>
          <w:sz w:val="32"/>
          <w:szCs w:val="32"/>
          <w:highlight w:val="none"/>
          <w:u w:val="none"/>
          <w:lang w:val="en-US" w:eastAsia="zh-CN"/>
        </w:rPr>
        <w:t xml:space="preserve">             2026年10月10日              </w:t>
      </w:r>
    </w:p>
    <w:p>
      <w:pPr>
        <w:pageBreakBefore w:val="0"/>
        <w:kinsoku/>
        <w:wordWrap/>
        <w:overflowPunct/>
        <w:topLinePunct w:val="0"/>
        <w:autoSpaceDE/>
        <w:autoSpaceDN/>
        <w:bidi w:val="0"/>
        <w:snapToGrid/>
        <w:spacing w:line="360" w:lineRule="auto"/>
        <w:jc w:val="left"/>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br w:type="page"/>
      </w:r>
      <w:r>
        <w:rPr>
          <w:rFonts w:hint="eastAsia" w:ascii="仿宋_GB2312" w:hAnsi="仿宋_GB2312" w:eastAsia="仿宋_GB2312" w:cs="仿宋_GB2312"/>
          <w:sz w:val="32"/>
          <w:szCs w:val="40"/>
        </w:rPr>
        <w:t>附件</w:t>
      </w:r>
      <w:r>
        <w:rPr>
          <w:rFonts w:hint="eastAsia" w:ascii="仿宋_GB2312" w:hAnsi="仿宋_GB2312" w:eastAsia="仿宋_GB2312" w:cs="仿宋_GB2312"/>
          <w:sz w:val="32"/>
          <w:szCs w:val="40"/>
          <w:lang w:val="en-US" w:eastAsia="zh-CN"/>
        </w:rPr>
        <w:t>1</w:t>
      </w:r>
      <w:r>
        <w:rPr>
          <w:rFonts w:hint="eastAsia" w:ascii="仿宋_GB2312" w:hAnsi="仿宋_GB2312" w:eastAsia="仿宋_GB2312" w:cs="仿宋_GB2312"/>
          <w:sz w:val="32"/>
          <w:szCs w:val="40"/>
          <w:lang w:eastAsia="zh-CN"/>
        </w:rPr>
        <w:t>：</w:t>
      </w:r>
    </w:p>
    <w:p>
      <w:pPr>
        <w:pageBreakBefore w:val="0"/>
        <w:kinsoku/>
        <w:wordWrap/>
        <w:overflowPunct/>
        <w:topLinePunct w:val="0"/>
        <w:autoSpaceDE/>
        <w:autoSpaceDN/>
        <w:bidi w:val="0"/>
        <w:snapToGrid/>
        <w:spacing w:line="360" w:lineRule="auto"/>
        <w:jc w:val="center"/>
        <w:rPr>
          <w:rFonts w:hint="eastAsia" w:ascii="仿宋_GB2312" w:hAnsi="仿宋_GB2312" w:eastAsia="仿宋_GB2312" w:cs="仿宋_GB2312"/>
          <w:sz w:val="44"/>
          <w:szCs w:val="44"/>
        </w:rPr>
      </w:pPr>
      <w:r>
        <w:rPr>
          <w:rFonts w:hint="eastAsia" w:ascii="仿宋_GB2312" w:hAnsi="仿宋_GB2312" w:eastAsia="仿宋_GB2312" w:cs="仿宋_GB2312"/>
          <w:sz w:val="44"/>
          <w:szCs w:val="44"/>
          <w:lang w:val="en-US" w:eastAsia="zh-CN"/>
        </w:rPr>
        <w:t>一、</w:t>
      </w:r>
      <w:r>
        <w:rPr>
          <w:rFonts w:hint="eastAsia" w:ascii="仿宋_GB2312" w:hAnsi="仿宋_GB2312" w:eastAsia="仿宋_GB2312" w:cs="仿宋_GB2312"/>
          <w:sz w:val="44"/>
          <w:szCs w:val="44"/>
        </w:rPr>
        <w:t>报价函</w:t>
      </w:r>
    </w:p>
    <w:p>
      <w:pPr>
        <w:pageBreakBefore w:val="0"/>
        <w:kinsoku/>
        <w:wordWrap/>
        <w:overflowPunct/>
        <w:topLinePunct w:val="0"/>
        <w:autoSpaceDE/>
        <w:autoSpaceDN/>
        <w:bidi w:val="0"/>
        <w:snapToGrid/>
        <w:spacing w:line="360" w:lineRule="auto"/>
        <w:jc w:val="left"/>
        <w:rPr>
          <w:rFonts w:hint="eastAsia" w:ascii="仿宋_GB2312" w:hAnsi="仿宋_GB2312" w:eastAsia="仿宋_GB2312" w:cs="仿宋_GB2312"/>
          <w:sz w:val="44"/>
          <w:szCs w:val="52"/>
        </w:rPr>
      </w:pPr>
    </w:p>
    <w:p>
      <w:pPr>
        <w:keepNext w:val="0"/>
        <w:keepLines w:val="0"/>
        <w:pageBreakBefore w:val="0"/>
        <w:widowControl w:val="0"/>
        <w:kinsoku/>
        <w:wordWrap/>
        <w:overflowPunct/>
        <w:topLinePunct w:val="0"/>
        <w:autoSpaceDE/>
        <w:autoSpaceDN/>
        <w:bidi w:val="0"/>
        <w:adjustRightInd w:val="0"/>
        <w:snapToGrid/>
        <w:spacing w:line="360" w:lineRule="auto"/>
        <w:jc w:val="left"/>
        <w:textAlignment w:val="auto"/>
        <w:rPr>
          <w:rFonts w:hint="eastAsia" w:ascii="仿宋_GB2312" w:hAnsi="仿宋_GB2312" w:eastAsia="仿宋_GB2312" w:cs="仿宋_GB2312"/>
          <w:sz w:val="32"/>
          <w:szCs w:val="40"/>
        </w:rPr>
      </w:pPr>
      <w:r>
        <w:rPr>
          <w:rFonts w:hint="eastAsia" w:ascii="仿宋_GB2312" w:hAnsi="仿宋_GB2312" w:eastAsia="仿宋_GB2312" w:cs="仿宋_GB2312"/>
          <w:color w:val="000000"/>
          <w:sz w:val="32"/>
          <w:szCs w:val="32"/>
          <w:highlight w:val="none"/>
          <w:u w:val="none"/>
          <w:lang w:val="en-US" w:eastAsia="zh-CN"/>
        </w:rPr>
        <w:t>深圳市罗湖智能产业运营有限公司</w:t>
      </w:r>
      <w:r>
        <w:rPr>
          <w:rFonts w:hint="eastAsia" w:ascii="仿宋_GB2312" w:hAnsi="仿宋_GB2312" w:eastAsia="仿宋_GB2312" w:cs="仿宋_GB2312"/>
          <w:sz w:val="32"/>
          <w:szCs w:val="40"/>
        </w:rPr>
        <w:t>：</w:t>
      </w:r>
    </w:p>
    <w:p>
      <w:pPr>
        <w:pageBreakBefore w:val="0"/>
        <w:kinsoku/>
        <w:wordWrap/>
        <w:overflowPunct/>
        <w:topLinePunct w:val="0"/>
        <w:autoSpaceDE/>
        <w:autoSpaceDN/>
        <w:bidi w:val="0"/>
        <w:snapToGrid/>
        <w:spacing w:line="360" w:lineRule="auto"/>
        <w:ind w:firstLine="640" w:firstLineChars="200"/>
        <w:jc w:val="left"/>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贵司询价函我司已收悉，决定参与报价，现就</w:t>
      </w:r>
      <w:r>
        <w:rPr>
          <w:rFonts w:hint="eastAsia" w:ascii="仿宋_GB2312" w:hAnsi="仿宋_GB2312" w:eastAsia="仿宋_GB2312" w:cs="仿宋_GB2312"/>
          <w:sz w:val="32"/>
          <w:szCs w:val="40"/>
          <w:u w:val="none"/>
        </w:rPr>
        <w:t>“</w:t>
      </w:r>
      <w:r>
        <w:rPr>
          <w:rFonts w:hint="eastAsia" w:ascii="仿宋_GB2312" w:hAnsi="仿宋_GB2312" w:eastAsia="仿宋_GB2312" w:cs="仿宋_GB2312"/>
          <w:sz w:val="32"/>
          <w:szCs w:val="40"/>
          <w:u w:val="single"/>
        </w:rPr>
        <w:t>清水河数智新城服务中心启用仪式活动服务</w:t>
      </w:r>
      <w:r>
        <w:rPr>
          <w:rFonts w:hint="eastAsia" w:ascii="仿宋_GB2312" w:hAnsi="仿宋_GB2312" w:eastAsia="仿宋_GB2312" w:cs="仿宋_GB2312"/>
          <w:sz w:val="32"/>
          <w:szCs w:val="40"/>
        </w:rPr>
        <w:t>”报价如下：</w:t>
      </w:r>
    </w:p>
    <w:p>
      <w:pPr>
        <w:pageBreakBefore w:val="0"/>
        <w:kinsoku/>
        <w:wordWrap/>
        <w:overflowPunct/>
        <w:topLinePunct w:val="0"/>
        <w:autoSpaceDE/>
        <w:autoSpaceDN/>
        <w:bidi w:val="0"/>
        <w:snapToGrid/>
        <w:spacing w:line="360" w:lineRule="auto"/>
        <w:ind w:firstLine="640" w:firstLineChars="200"/>
        <w:jc w:val="left"/>
        <w:rPr>
          <w:rFonts w:hint="eastAsia" w:ascii="仿宋_GB2312" w:hAnsi="仿宋_GB2312" w:eastAsia="仿宋_GB2312" w:cs="仿宋_GB2312"/>
          <w:sz w:val="32"/>
          <w:szCs w:val="40"/>
        </w:rPr>
      </w:pPr>
      <w:r>
        <w:rPr>
          <w:rFonts w:hint="eastAsia" w:ascii="仿宋_GB2312" w:hAnsi="仿宋_GB2312" w:eastAsia="仿宋_GB2312" w:cs="仿宋_GB2312"/>
          <w:sz w:val="32"/>
          <w:szCs w:val="40"/>
          <w:lang w:val="en-US" w:eastAsia="zh-CN"/>
        </w:rPr>
        <w:t>一</w:t>
      </w:r>
      <w:r>
        <w:rPr>
          <w:rFonts w:hint="eastAsia" w:ascii="仿宋_GB2312" w:hAnsi="仿宋_GB2312" w:eastAsia="仿宋_GB2312" w:cs="仿宋_GB2312"/>
          <w:sz w:val="32"/>
          <w:szCs w:val="40"/>
        </w:rPr>
        <w:t>、我方愿意按照询价函规定的各项要求，向</w:t>
      </w:r>
      <w:r>
        <w:rPr>
          <w:rFonts w:hint="eastAsia" w:ascii="仿宋_GB2312" w:hAnsi="仿宋_GB2312" w:eastAsia="仿宋_GB2312" w:cs="仿宋_GB2312"/>
          <w:sz w:val="32"/>
          <w:szCs w:val="40"/>
          <w:lang w:eastAsia="zh-CN"/>
        </w:rPr>
        <w:t>贵</w:t>
      </w:r>
      <w:r>
        <w:rPr>
          <w:rFonts w:hint="eastAsia" w:ascii="仿宋_GB2312" w:hAnsi="仿宋_GB2312" w:eastAsia="仿宋_GB2312" w:cs="仿宋_GB2312"/>
          <w:sz w:val="32"/>
          <w:szCs w:val="40"/>
        </w:rPr>
        <w:t>司提供相应服务，总报价为人民币</w:t>
      </w:r>
      <w:r>
        <w:rPr>
          <w:rFonts w:hint="eastAsia" w:ascii="仿宋_GB2312" w:hAnsi="仿宋_GB2312" w:eastAsia="仿宋_GB2312" w:cs="仿宋_GB2312"/>
          <w:sz w:val="32"/>
          <w:szCs w:val="40"/>
          <w:u w:val="none"/>
          <w:lang w:eastAsia="zh-CN"/>
        </w:rPr>
        <w:t>（</w:t>
      </w:r>
      <w:r>
        <w:rPr>
          <w:rFonts w:hint="eastAsia" w:ascii="仿宋_GB2312" w:hAnsi="仿宋_GB2312" w:eastAsia="仿宋_GB2312" w:cs="仿宋_GB2312"/>
          <w:sz w:val="32"/>
          <w:szCs w:val="40"/>
          <w:u w:val="none"/>
          <w:lang w:val="en-US" w:eastAsia="zh-CN"/>
        </w:rPr>
        <w:t>小写</w:t>
      </w:r>
      <w:r>
        <w:rPr>
          <w:rFonts w:hint="eastAsia" w:ascii="仿宋_GB2312" w:hAnsi="仿宋_GB2312" w:eastAsia="仿宋_GB2312" w:cs="仿宋_GB2312"/>
          <w:sz w:val="32"/>
          <w:szCs w:val="40"/>
          <w:u w:val="none"/>
          <w:lang w:eastAsia="zh-CN"/>
        </w:rPr>
        <w:t>）</w:t>
      </w:r>
      <w:r>
        <w:rPr>
          <w:rFonts w:hint="eastAsia" w:ascii="仿宋_GB2312" w:hAnsi="仿宋_GB2312" w:eastAsia="仿宋_GB2312" w:cs="仿宋_GB2312"/>
          <w:sz w:val="32"/>
          <w:szCs w:val="40"/>
          <w:u w:val="single"/>
        </w:rPr>
        <w:t>XX元</w:t>
      </w:r>
      <w:r>
        <w:rPr>
          <w:rFonts w:hint="eastAsia" w:ascii="仿宋_GB2312" w:hAnsi="仿宋_GB2312" w:eastAsia="仿宋_GB2312" w:cs="仿宋_GB2312"/>
          <w:sz w:val="32"/>
          <w:szCs w:val="40"/>
          <w:u w:val="single"/>
          <w:lang w:eastAsia="zh-CN"/>
        </w:rPr>
        <w:t>，</w:t>
      </w:r>
      <w:r>
        <w:rPr>
          <w:rFonts w:hint="eastAsia" w:ascii="仿宋_GB2312" w:hAnsi="仿宋_GB2312" w:eastAsia="仿宋_GB2312" w:cs="仿宋_GB2312"/>
          <w:sz w:val="32"/>
          <w:szCs w:val="40"/>
          <w:u w:val="none"/>
          <w:lang w:eastAsia="zh-CN"/>
        </w:rPr>
        <w:t>（</w:t>
      </w:r>
      <w:r>
        <w:rPr>
          <w:rFonts w:hint="eastAsia" w:ascii="仿宋_GB2312" w:hAnsi="仿宋_GB2312" w:eastAsia="仿宋_GB2312" w:cs="仿宋_GB2312"/>
          <w:sz w:val="32"/>
          <w:szCs w:val="40"/>
          <w:u w:val="none"/>
          <w:lang w:val="en-US" w:eastAsia="zh-CN"/>
        </w:rPr>
        <w:t>大写</w:t>
      </w:r>
      <w:r>
        <w:rPr>
          <w:rFonts w:hint="eastAsia" w:ascii="仿宋_GB2312" w:hAnsi="仿宋_GB2312" w:eastAsia="仿宋_GB2312" w:cs="仿宋_GB2312"/>
          <w:sz w:val="32"/>
          <w:szCs w:val="40"/>
          <w:u w:val="none"/>
          <w:lang w:eastAsia="zh-CN"/>
        </w:rPr>
        <w:t>）</w:t>
      </w:r>
      <w:r>
        <w:rPr>
          <w:rFonts w:hint="eastAsia" w:ascii="仿宋_GB2312" w:hAnsi="仿宋_GB2312" w:eastAsia="仿宋_GB2312" w:cs="仿宋_GB2312"/>
          <w:sz w:val="32"/>
          <w:szCs w:val="40"/>
          <w:u w:val="single"/>
        </w:rPr>
        <w:t>XX元</w:t>
      </w:r>
      <w:r>
        <w:rPr>
          <w:rFonts w:hint="eastAsia" w:ascii="仿宋_GB2312" w:hAnsi="仿宋_GB2312" w:eastAsia="仿宋_GB2312" w:cs="仿宋_GB2312"/>
          <w:sz w:val="32"/>
          <w:szCs w:val="40"/>
          <w:u w:val="none"/>
          <w:lang w:eastAsia="zh-CN"/>
        </w:rPr>
        <w:t>（</w:t>
      </w:r>
      <w:r>
        <w:rPr>
          <w:rFonts w:hint="eastAsia" w:ascii="仿宋_GB2312" w:hAnsi="仿宋_GB2312" w:eastAsia="仿宋_GB2312" w:cs="仿宋_GB2312"/>
          <w:sz w:val="32"/>
          <w:szCs w:val="40"/>
          <w:u w:val="none"/>
          <w:lang w:val="en-US" w:eastAsia="zh-CN"/>
        </w:rPr>
        <w:t>含税</w:t>
      </w:r>
      <w:r>
        <w:rPr>
          <w:rFonts w:hint="eastAsia" w:ascii="仿宋_GB2312" w:hAnsi="仿宋_GB2312" w:eastAsia="仿宋_GB2312" w:cs="仿宋_GB2312"/>
          <w:sz w:val="32"/>
          <w:szCs w:val="40"/>
          <w:u w:val="none"/>
          <w:lang w:eastAsia="zh-CN"/>
        </w:rPr>
        <w:t>）</w:t>
      </w:r>
      <w:r>
        <w:rPr>
          <w:rFonts w:hint="eastAsia" w:ascii="仿宋_GB2312" w:hAnsi="仿宋_GB2312" w:eastAsia="仿宋_GB2312" w:cs="仿宋_GB2312"/>
          <w:sz w:val="32"/>
          <w:szCs w:val="40"/>
        </w:rPr>
        <w:t>；</w:t>
      </w:r>
    </w:p>
    <w:p>
      <w:pPr>
        <w:pageBreakBefore w:val="0"/>
        <w:kinsoku/>
        <w:wordWrap/>
        <w:overflowPunct/>
        <w:topLinePunct w:val="0"/>
        <w:autoSpaceDE/>
        <w:autoSpaceDN/>
        <w:bidi w:val="0"/>
        <w:snapToGrid/>
        <w:spacing w:line="360" w:lineRule="auto"/>
        <w:ind w:firstLine="640" w:firstLineChars="200"/>
        <w:jc w:val="left"/>
        <w:rPr>
          <w:rFonts w:hint="eastAsia" w:ascii="仿宋_GB2312" w:hAnsi="仿宋_GB2312" w:eastAsia="仿宋_GB2312" w:cs="仿宋_GB2312"/>
          <w:sz w:val="32"/>
          <w:szCs w:val="40"/>
        </w:rPr>
      </w:pPr>
      <w:r>
        <w:rPr>
          <w:rFonts w:hint="eastAsia" w:ascii="仿宋_GB2312" w:hAnsi="仿宋_GB2312" w:eastAsia="仿宋_GB2312" w:cs="仿宋_GB2312"/>
          <w:sz w:val="32"/>
          <w:szCs w:val="40"/>
          <w:lang w:val="en-US" w:eastAsia="zh-CN"/>
        </w:rPr>
        <w:t>二</w:t>
      </w:r>
      <w:r>
        <w:rPr>
          <w:rFonts w:hint="eastAsia" w:ascii="仿宋_GB2312" w:hAnsi="仿宋_GB2312" w:eastAsia="仿宋_GB2312" w:cs="仿宋_GB2312"/>
          <w:sz w:val="32"/>
          <w:szCs w:val="40"/>
        </w:rPr>
        <w:t>、一旦我方中标，双方合同签字生效后，我方将严格履行合同规定的职责和义务，保证按照合同要</w:t>
      </w:r>
      <w:r>
        <w:rPr>
          <w:rFonts w:hint="eastAsia" w:ascii="仿宋_GB2312" w:hAnsi="仿宋_GB2312" w:eastAsia="仿宋_GB2312" w:cs="仿宋_GB2312"/>
          <w:sz w:val="32"/>
          <w:szCs w:val="40"/>
          <w:lang w:eastAsia="zh-CN"/>
        </w:rPr>
        <w:t>求和</w:t>
      </w:r>
      <w:r>
        <w:rPr>
          <w:rFonts w:hint="eastAsia" w:ascii="仿宋_GB2312" w:hAnsi="仿宋_GB2312" w:eastAsia="仿宋_GB2312" w:cs="仿宋_GB2312"/>
          <w:sz w:val="32"/>
          <w:szCs w:val="40"/>
        </w:rPr>
        <w:t>贵司要求提供服务。</w:t>
      </w:r>
    </w:p>
    <w:p>
      <w:pPr>
        <w:pageBreakBefore w:val="0"/>
        <w:kinsoku/>
        <w:wordWrap/>
        <w:overflowPunct/>
        <w:topLinePunct w:val="0"/>
        <w:autoSpaceDE/>
        <w:autoSpaceDN/>
        <w:bidi w:val="0"/>
        <w:snapToGrid/>
        <w:spacing w:line="360" w:lineRule="auto"/>
        <w:ind w:firstLine="640" w:firstLineChars="200"/>
        <w:jc w:val="left"/>
        <w:rPr>
          <w:rFonts w:hint="eastAsia" w:ascii="仿宋_GB2312" w:hAnsi="仿宋_GB2312" w:eastAsia="仿宋_GB2312" w:cs="仿宋_GB2312"/>
          <w:sz w:val="32"/>
          <w:szCs w:val="40"/>
        </w:rPr>
      </w:pPr>
      <w:r>
        <w:rPr>
          <w:rFonts w:hint="eastAsia" w:ascii="仿宋_GB2312" w:hAnsi="仿宋_GB2312" w:eastAsia="仿宋_GB2312" w:cs="仿宋_GB2312"/>
          <w:sz w:val="32"/>
          <w:szCs w:val="40"/>
          <w:lang w:val="en-US" w:eastAsia="zh-CN"/>
        </w:rPr>
        <w:t>三</w:t>
      </w:r>
      <w:r>
        <w:rPr>
          <w:rFonts w:hint="eastAsia" w:ascii="仿宋_GB2312" w:hAnsi="仿宋_GB2312" w:eastAsia="仿宋_GB2312" w:cs="仿宋_GB2312"/>
          <w:sz w:val="32"/>
          <w:szCs w:val="40"/>
        </w:rPr>
        <w:t>、我方提供给贵单位的与本项目采购有关的文件资料，保证文件资料的真实性和准确性。</w:t>
      </w:r>
    </w:p>
    <w:p>
      <w:pPr>
        <w:pageBreakBefore w:val="0"/>
        <w:kinsoku/>
        <w:wordWrap/>
        <w:overflowPunct/>
        <w:topLinePunct w:val="0"/>
        <w:autoSpaceDE/>
        <w:autoSpaceDN/>
        <w:bidi w:val="0"/>
        <w:snapToGrid/>
        <w:spacing w:line="360" w:lineRule="auto"/>
        <w:ind w:firstLine="640" w:firstLineChars="200"/>
        <w:jc w:val="left"/>
        <w:rPr>
          <w:rFonts w:hint="eastAsia" w:ascii="仿宋_GB2312" w:hAnsi="仿宋_GB2312" w:eastAsia="仿宋_GB2312" w:cs="仿宋_GB2312"/>
          <w:sz w:val="32"/>
          <w:szCs w:val="40"/>
        </w:rPr>
      </w:pPr>
    </w:p>
    <w:p>
      <w:pPr>
        <w:pageBreakBefore w:val="0"/>
        <w:kinsoku/>
        <w:wordWrap/>
        <w:overflowPunct/>
        <w:topLinePunct w:val="0"/>
        <w:autoSpaceDE/>
        <w:autoSpaceDN/>
        <w:bidi w:val="0"/>
        <w:snapToGrid/>
        <w:spacing w:line="360" w:lineRule="auto"/>
        <w:ind w:firstLine="640" w:firstLineChars="200"/>
        <w:jc w:val="left"/>
        <w:rPr>
          <w:rFonts w:hint="eastAsia" w:ascii="仿宋_GB2312" w:hAnsi="仿宋_GB2312" w:eastAsia="仿宋_GB2312" w:cs="仿宋_GB2312"/>
          <w:sz w:val="32"/>
          <w:szCs w:val="40"/>
        </w:rPr>
      </w:pPr>
    </w:p>
    <w:p>
      <w:pPr>
        <w:pageBreakBefore w:val="0"/>
        <w:kinsoku/>
        <w:wordWrap/>
        <w:overflowPunct/>
        <w:topLinePunct w:val="0"/>
        <w:autoSpaceDE/>
        <w:autoSpaceDN/>
        <w:bidi w:val="0"/>
        <w:snapToGrid/>
        <w:spacing w:line="360" w:lineRule="auto"/>
        <w:ind w:firstLine="640" w:firstLineChars="200"/>
        <w:jc w:val="left"/>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报价人名称（公章）：</w:t>
      </w:r>
    </w:p>
    <w:p>
      <w:pPr>
        <w:pageBreakBefore w:val="0"/>
        <w:kinsoku/>
        <w:wordWrap/>
        <w:overflowPunct/>
        <w:topLinePunct w:val="0"/>
        <w:autoSpaceDE/>
        <w:autoSpaceDN/>
        <w:bidi w:val="0"/>
        <w:snapToGrid/>
        <w:spacing w:line="360" w:lineRule="auto"/>
        <w:ind w:firstLine="640" w:firstLineChars="200"/>
        <w:jc w:val="left"/>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法定代表人或委托代理人签名：</w:t>
      </w:r>
    </w:p>
    <w:p>
      <w:pPr>
        <w:pageBreakBefore w:val="0"/>
        <w:kinsoku/>
        <w:wordWrap/>
        <w:overflowPunct/>
        <w:topLinePunct w:val="0"/>
        <w:autoSpaceDE/>
        <w:autoSpaceDN/>
        <w:bidi w:val="0"/>
        <w:snapToGrid/>
        <w:spacing w:line="360" w:lineRule="auto"/>
        <w:ind w:firstLine="640" w:firstLineChars="200"/>
        <w:jc w:val="left"/>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日期：</w:t>
      </w:r>
    </w:p>
    <w:p>
      <w:pPr>
        <w:pageBreakBefore w:val="0"/>
        <w:kinsoku/>
        <w:wordWrap/>
        <w:overflowPunct/>
        <w:topLinePunct w:val="0"/>
        <w:autoSpaceDE/>
        <w:autoSpaceDN/>
        <w:bidi w:val="0"/>
        <w:snapToGrid/>
        <w:spacing w:line="360" w:lineRule="auto"/>
        <w:ind w:firstLine="640" w:firstLineChars="200"/>
        <w:jc w:val="left"/>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通讯地址：</w:t>
      </w:r>
    </w:p>
    <w:p>
      <w:pPr>
        <w:pageBreakBefore w:val="0"/>
        <w:kinsoku/>
        <w:wordWrap/>
        <w:overflowPunct/>
        <w:topLinePunct w:val="0"/>
        <w:autoSpaceDE/>
        <w:autoSpaceDN/>
        <w:bidi w:val="0"/>
        <w:snapToGrid/>
        <w:spacing w:line="360" w:lineRule="auto"/>
        <w:ind w:firstLine="640" w:firstLineChars="200"/>
        <w:jc w:val="left"/>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联系人及联系方式：</w:t>
      </w:r>
    </w:p>
    <w:p>
      <w:pPr>
        <w:spacing w:line="360" w:lineRule="auto"/>
        <w:rPr>
          <w:rFonts w:hint="eastAsia" w:ascii="仿宋_GB2312" w:hAnsi="仿宋_GB2312" w:eastAsia="仿宋_GB2312" w:cs="仿宋_GB2312"/>
          <w:sz w:val="32"/>
          <w:szCs w:val="40"/>
        </w:rPr>
      </w:pPr>
    </w:p>
    <w:p>
      <w:pPr>
        <w:numPr>
          <w:ilvl w:val="0"/>
          <w:numId w:val="1"/>
        </w:numPr>
        <w:spacing w:line="360" w:lineRule="auto"/>
        <w:jc w:val="center"/>
        <w:rPr>
          <w:rFonts w:hint="eastAsia" w:ascii="仿宋_GB2312" w:hAnsi="仿宋_GB2312" w:eastAsia="仿宋_GB2312" w:cs="仿宋_GB2312"/>
          <w:sz w:val="44"/>
          <w:szCs w:val="44"/>
          <w:lang w:val="en-US" w:eastAsia="zh-CN"/>
        </w:rPr>
      </w:pPr>
      <w:r>
        <w:rPr>
          <w:rFonts w:hint="eastAsia" w:ascii="仿宋_GB2312" w:hAnsi="仿宋_GB2312" w:eastAsia="仿宋_GB2312" w:cs="仿宋_GB2312"/>
          <w:color w:val="auto"/>
          <w:sz w:val="32"/>
          <w:szCs w:val="40"/>
          <w:lang w:val="en-US" w:eastAsia="zh-CN"/>
        </w:rPr>
        <w:br w:type="page"/>
      </w:r>
    </w:p>
    <w:p>
      <w:pPr>
        <w:numPr>
          <w:ilvl w:val="0"/>
          <w:numId w:val="0"/>
        </w:numPr>
        <w:spacing w:line="360" w:lineRule="auto"/>
        <w:jc w:val="center"/>
        <w:rPr>
          <w:rFonts w:hint="eastAsia" w:ascii="仿宋_GB2312" w:hAnsi="仿宋_GB2312" w:eastAsia="仿宋_GB2312" w:cs="仿宋_GB2312"/>
          <w:sz w:val="44"/>
          <w:szCs w:val="44"/>
          <w:lang w:val="en-US" w:eastAsia="zh-CN"/>
        </w:rPr>
      </w:pPr>
    </w:p>
    <w:p>
      <w:pPr>
        <w:spacing w:line="560" w:lineRule="exact"/>
        <w:jc w:val="left"/>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附表：报价明细表</w:t>
      </w:r>
    </w:p>
    <w:tbl>
      <w:tblPr>
        <w:tblStyle w:val="9"/>
        <w:tblW w:w="9209" w:type="dxa"/>
        <w:jc w:val="center"/>
        <w:shd w:val="clear" w:color="auto" w:fill="FFFFFF"/>
        <w:tblLayout w:type="fixed"/>
        <w:tblCellMar>
          <w:top w:w="0" w:type="dxa"/>
          <w:left w:w="0" w:type="dxa"/>
          <w:bottom w:w="0" w:type="dxa"/>
          <w:right w:w="0" w:type="dxa"/>
        </w:tblCellMar>
      </w:tblPr>
      <w:tblGrid>
        <w:gridCol w:w="2030"/>
        <w:gridCol w:w="1472"/>
        <w:gridCol w:w="1350"/>
        <w:gridCol w:w="1380"/>
        <w:gridCol w:w="1380"/>
        <w:gridCol w:w="1597"/>
      </w:tblGrid>
      <w:tr>
        <w:tblPrEx>
          <w:shd w:val="clear" w:color="auto" w:fill="FFFFFF"/>
          <w:tblCellMar>
            <w:top w:w="0" w:type="dxa"/>
            <w:left w:w="0" w:type="dxa"/>
            <w:bottom w:w="0" w:type="dxa"/>
            <w:right w:w="0" w:type="dxa"/>
          </w:tblCellMar>
        </w:tblPrEx>
        <w:trPr>
          <w:trHeight w:val="774" w:hRule="atLeast"/>
          <w:jc w:val="center"/>
        </w:trPr>
        <w:tc>
          <w:tcPr>
            <w:tcW w:w="2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仿宋_GB2312" w:hAnsi="仿宋_GB2312" w:eastAsia="仿宋_GB2312" w:cs="仿宋_GB2312"/>
                <w:b/>
                <w:color w:val="000000"/>
                <w:sz w:val="21"/>
                <w:szCs w:val="21"/>
                <w:lang w:eastAsia="zh-CN"/>
              </w:rPr>
            </w:pPr>
            <w:r>
              <w:rPr>
                <w:rFonts w:hint="eastAsia" w:ascii="仿宋_GB2312" w:hAnsi="仿宋_GB2312" w:eastAsia="仿宋_GB2312" w:cs="仿宋_GB2312"/>
                <w:b/>
                <w:color w:val="000000"/>
                <w:sz w:val="21"/>
                <w:szCs w:val="21"/>
                <w:lang w:eastAsia="zh-CN"/>
              </w:rPr>
              <w:t>报价内容</w:t>
            </w:r>
          </w:p>
        </w:tc>
        <w:tc>
          <w:tcPr>
            <w:tcW w:w="147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仿宋_GB2312" w:hAnsi="仿宋_GB2312" w:eastAsia="仿宋_GB2312" w:cs="仿宋_GB2312"/>
                <w:b/>
                <w:color w:val="000000"/>
                <w:sz w:val="21"/>
                <w:szCs w:val="21"/>
                <w:lang w:eastAsia="zh-CN"/>
              </w:rPr>
            </w:pPr>
            <w:r>
              <w:rPr>
                <w:rFonts w:hint="eastAsia" w:ascii="仿宋_GB2312" w:hAnsi="仿宋_GB2312" w:eastAsia="仿宋_GB2312" w:cs="仿宋_GB2312"/>
                <w:b/>
                <w:bCs/>
                <w:kern w:val="0"/>
                <w:sz w:val="21"/>
                <w:szCs w:val="21"/>
                <w:highlight w:val="none"/>
                <w:lang w:val="en-US" w:eastAsia="zh-CN" w:bidi="ar"/>
              </w:rPr>
              <w:t>招标控制价</w:t>
            </w:r>
          </w:p>
        </w:tc>
        <w:tc>
          <w:tcPr>
            <w:tcW w:w="13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仿宋_GB2312" w:hAnsi="仿宋_GB2312" w:eastAsia="仿宋_GB2312" w:cs="仿宋_GB2312"/>
                <w:b/>
                <w:color w:val="000000"/>
                <w:sz w:val="21"/>
                <w:szCs w:val="21"/>
                <w:lang w:eastAsia="zh-CN"/>
              </w:rPr>
            </w:pPr>
            <w:r>
              <w:rPr>
                <w:rFonts w:hint="eastAsia" w:ascii="仿宋_GB2312" w:hAnsi="仿宋_GB2312" w:eastAsia="仿宋_GB2312" w:cs="仿宋_GB2312"/>
                <w:b/>
                <w:color w:val="000000"/>
                <w:sz w:val="21"/>
                <w:szCs w:val="21"/>
                <w:lang w:eastAsia="zh-CN"/>
              </w:rPr>
              <w:t>投标报价上限</w:t>
            </w:r>
            <w:r>
              <w:rPr>
                <w:rFonts w:hint="eastAsia" w:ascii="仿宋_GB2312" w:hAnsi="仿宋_GB2312" w:eastAsia="仿宋_GB2312" w:cs="仿宋_GB2312"/>
                <w:b/>
                <w:bCs/>
                <w:kern w:val="0"/>
                <w:sz w:val="21"/>
                <w:szCs w:val="21"/>
                <w:highlight w:val="none"/>
                <w:lang w:val="en-US" w:eastAsia="zh-CN" w:bidi="ar"/>
              </w:rPr>
              <w:t>下浮率</w:t>
            </w:r>
          </w:p>
        </w:tc>
        <w:tc>
          <w:tcPr>
            <w:tcW w:w="1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仿宋_GB2312" w:hAnsi="仿宋_GB2312" w:eastAsia="仿宋_GB2312" w:cs="仿宋_GB2312"/>
                <w:b/>
                <w:color w:val="000000"/>
                <w:sz w:val="21"/>
                <w:szCs w:val="21"/>
                <w:lang w:val="en-US" w:eastAsia="zh-CN" w:bidi="ar-SA"/>
              </w:rPr>
            </w:pPr>
            <w:r>
              <w:rPr>
                <w:rFonts w:hint="eastAsia" w:ascii="仿宋_GB2312" w:hAnsi="仿宋_GB2312" w:eastAsia="仿宋_GB2312" w:cs="仿宋_GB2312"/>
                <w:b/>
                <w:color w:val="000000"/>
                <w:sz w:val="21"/>
                <w:szCs w:val="21"/>
                <w:lang w:eastAsia="zh-CN"/>
              </w:rPr>
              <w:t>投标报价上限</w:t>
            </w:r>
          </w:p>
        </w:tc>
        <w:tc>
          <w:tcPr>
            <w:tcW w:w="13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仿宋_GB2312" w:hAnsi="仿宋_GB2312" w:eastAsia="仿宋_GB2312" w:cs="仿宋_GB2312"/>
                <w:b/>
                <w:bCs/>
                <w:sz w:val="21"/>
                <w:szCs w:val="21"/>
                <w:lang w:eastAsia="zh-CN"/>
              </w:rPr>
            </w:pPr>
            <w:r>
              <w:rPr>
                <w:rFonts w:hint="eastAsia" w:ascii="仿宋_GB2312" w:hAnsi="仿宋_GB2312" w:eastAsia="仿宋_GB2312" w:cs="仿宋_GB2312"/>
                <w:b/>
                <w:color w:val="000000"/>
                <w:sz w:val="21"/>
                <w:szCs w:val="21"/>
                <w:lang w:eastAsia="zh-CN"/>
              </w:rPr>
              <w:t>投标下浮率</w:t>
            </w:r>
          </w:p>
        </w:tc>
        <w:tc>
          <w:tcPr>
            <w:tcW w:w="159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仿宋_GB2312" w:hAnsi="仿宋_GB2312" w:eastAsia="仿宋_GB2312" w:cs="仿宋_GB2312"/>
                <w:b/>
                <w:color w:val="000000"/>
                <w:sz w:val="21"/>
                <w:szCs w:val="21"/>
                <w:lang w:eastAsia="zh-CN"/>
              </w:rPr>
            </w:pPr>
            <w:r>
              <w:rPr>
                <w:rFonts w:hint="eastAsia" w:ascii="仿宋_GB2312" w:hAnsi="仿宋_GB2312" w:eastAsia="仿宋_GB2312" w:cs="仿宋_GB2312"/>
                <w:b/>
                <w:color w:val="000000"/>
                <w:sz w:val="21"/>
                <w:szCs w:val="21"/>
                <w:lang w:eastAsia="zh-CN"/>
              </w:rPr>
              <w:t>投标报价</w:t>
            </w:r>
          </w:p>
          <w:p>
            <w:pPr>
              <w:widowControl/>
              <w:jc w:val="center"/>
              <w:textAlignment w:val="center"/>
              <w:rPr>
                <w:rFonts w:hint="eastAsia" w:ascii="仿宋_GB2312" w:hAnsi="仿宋_GB2312" w:eastAsia="仿宋_GB2312" w:cs="仿宋_GB2312"/>
                <w:b/>
                <w:color w:val="000000"/>
                <w:sz w:val="21"/>
                <w:szCs w:val="21"/>
                <w:lang w:eastAsia="zh-CN"/>
              </w:rPr>
            </w:pPr>
            <w:r>
              <w:rPr>
                <w:rFonts w:hint="eastAsia" w:ascii="仿宋_GB2312" w:hAnsi="仿宋_GB2312" w:eastAsia="仿宋_GB2312" w:cs="仿宋_GB2312"/>
                <w:b/>
                <w:color w:val="000000"/>
                <w:sz w:val="21"/>
                <w:szCs w:val="21"/>
                <w:lang w:eastAsia="zh-CN"/>
              </w:rPr>
              <w:t>（元）</w:t>
            </w:r>
          </w:p>
        </w:tc>
      </w:tr>
      <w:tr>
        <w:tblPrEx>
          <w:tblCellMar>
            <w:top w:w="0" w:type="dxa"/>
            <w:left w:w="0" w:type="dxa"/>
            <w:bottom w:w="0" w:type="dxa"/>
            <w:right w:w="0" w:type="dxa"/>
          </w:tblCellMar>
        </w:tblPrEx>
        <w:trPr>
          <w:trHeight w:val="665" w:hRule="atLeast"/>
          <w:jc w:val="center"/>
        </w:trPr>
        <w:tc>
          <w:tcPr>
            <w:tcW w:w="2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清水河数智新城服务中心启用仪式活动服务</w:t>
            </w:r>
          </w:p>
        </w:tc>
        <w:tc>
          <w:tcPr>
            <w:tcW w:w="147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u w:val="single"/>
                <w:lang w:val="en-US" w:eastAsia="zh-CN"/>
              </w:rPr>
              <w:t>52500.00</w:t>
            </w:r>
            <w:r>
              <w:rPr>
                <w:rFonts w:hint="eastAsia" w:ascii="仿宋_GB2312" w:hAnsi="仿宋_GB2312" w:eastAsia="仿宋_GB2312" w:cs="仿宋_GB2312"/>
                <w:lang w:val="en-US" w:eastAsia="zh-CN"/>
              </w:rPr>
              <w:t>元</w:t>
            </w:r>
          </w:p>
        </w:tc>
        <w:tc>
          <w:tcPr>
            <w:tcW w:w="13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仿宋_GB2312" w:hAnsi="仿宋_GB2312" w:eastAsia="仿宋_GB2312" w:cs="仿宋_GB2312"/>
                <w:b/>
                <w:bCs/>
                <w:color w:val="000000"/>
                <w:sz w:val="21"/>
                <w:szCs w:val="21"/>
                <w:u w:val="single"/>
                <w:lang w:val="en-US" w:eastAsia="zh-CN"/>
              </w:rPr>
            </w:pPr>
            <w:r>
              <w:rPr>
                <w:rFonts w:hint="eastAsia" w:ascii="仿宋_GB2312" w:hAnsi="仿宋_GB2312" w:eastAsia="仿宋_GB2312" w:cs="仿宋_GB2312"/>
                <w:u w:val="single"/>
                <w:lang w:val="en-US" w:eastAsia="zh-CN"/>
              </w:rPr>
              <w:t>0</w:t>
            </w:r>
            <w:r>
              <w:rPr>
                <w:rFonts w:hint="eastAsia" w:ascii="仿宋_GB2312" w:hAnsi="仿宋_GB2312" w:eastAsia="仿宋_GB2312" w:cs="仿宋_GB2312"/>
                <w:lang w:val="en-US" w:eastAsia="zh-CN"/>
              </w:rPr>
              <w:t>%</w:t>
            </w:r>
          </w:p>
        </w:tc>
        <w:tc>
          <w:tcPr>
            <w:tcW w:w="1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仿宋_GB2312" w:hAnsi="仿宋_GB2312" w:eastAsia="仿宋_GB2312" w:cs="仿宋_GB2312"/>
                <w:color w:val="000000"/>
                <w:sz w:val="21"/>
                <w:szCs w:val="21"/>
                <w:lang w:val="en-US" w:eastAsia="zh-CN" w:bidi="ar-SA"/>
              </w:rPr>
            </w:pPr>
            <w:r>
              <w:rPr>
                <w:rFonts w:hint="eastAsia" w:ascii="仿宋_GB2312" w:hAnsi="仿宋_GB2312" w:eastAsia="仿宋_GB2312" w:cs="仿宋_GB2312"/>
                <w:u w:val="single"/>
                <w:lang w:val="en-US" w:eastAsia="zh-CN"/>
              </w:rPr>
              <w:t>52500.00</w:t>
            </w:r>
            <w:r>
              <w:rPr>
                <w:rFonts w:hint="eastAsia" w:ascii="仿宋_GB2312" w:hAnsi="仿宋_GB2312" w:eastAsia="仿宋_GB2312" w:cs="仿宋_GB2312"/>
                <w:b w:val="0"/>
                <w:bCs w:val="0"/>
                <w:color w:val="000000"/>
                <w:sz w:val="21"/>
                <w:szCs w:val="21"/>
                <w:u w:val="single"/>
                <w:lang w:eastAsia="zh-CN"/>
              </w:rPr>
              <w:t>元</w:t>
            </w:r>
          </w:p>
        </w:tc>
        <w:tc>
          <w:tcPr>
            <w:tcW w:w="13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both"/>
              <w:textAlignment w:val="center"/>
              <w:rPr>
                <w:rFonts w:hint="eastAsia" w:ascii="仿宋_GB2312" w:hAnsi="仿宋_GB2312" w:eastAsia="仿宋_GB2312" w:cs="仿宋_GB2312"/>
                <w:color w:val="000000"/>
                <w:sz w:val="21"/>
                <w:szCs w:val="21"/>
                <w:u w:val="single"/>
                <w:lang w:eastAsia="zh-CN"/>
              </w:rPr>
            </w:pPr>
            <w:r>
              <w:rPr>
                <w:rFonts w:hint="eastAsia" w:ascii="仿宋_GB2312" w:hAnsi="仿宋_GB2312" w:eastAsia="仿宋_GB2312" w:cs="仿宋_GB2312"/>
                <w:b/>
                <w:bCs/>
                <w:color w:val="000000"/>
                <w:sz w:val="21"/>
                <w:szCs w:val="21"/>
                <w:lang w:eastAsia="zh-CN"/>
              </w:rPr>
              <w:t xml:space="preserve">   </w:t>
            </w:r>
            <w:r>
              <w:rPr>
                <w:rFonts w:hint="eastAsia" w:ascii="仿宋_GB2312" w:hAnsi="仿宋_GB2312" w:eastAsia="仿宋_GB2312" w:cs="仿宋_GB2312"/>
                <w:b/>
                <w:bCs/>
                <w:color w:val="000000"/>
                <w:sz w:val="21"/>
                <w:szCs w:val="21"/>
                <w:u w:val="single"/>
              </w:rPr>
              <w:t xml:space="preserve">     </w:t>
            </w:r>
            <w:r>
              <w:rPr>
                <w:rFonts w:hint="eastAsia" w:ascii="仿宋_GB2312" w:hAnsi="仿宋_GB2312" w:eastAsia="仿宋_GB2312" w:cs="仿宋_GB2312"/>
                <w:color w:val="000000"/>
                <w:sz w:val="21"/>
                <w:szCs w:val="21"/>
                <w:lang w:bidi="ar"/>
              </w:rPr>
              <w:t>%</w:t>
            </w:r>
          </w:p>
        </w:tc>
        <w:tc>
          <w:tcPr>
            <w:tcW w:w="159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both"/>
              <w:textAlignment w:val="center"/>
              <w:rPr>
                <w:rFonts w:hint="eastAsia" w:ascii="仿宋_GB2312" w:hAnsi="仿宋_GB2312" w:eastAsia="仿宋_GB2312" w:cs="仿宋_GB2312"/>
                <w:b/>
                <w:bCs/>
                <w:color w:val="000000"/>
                <w:sz w:val="21"/>
                <w:szCs w:val="21"/>
                <w:u w:val="single"/>
              </w:rPr>
            </w:pPr>
            <w:r>
              <w:rPr>
                <w:rFonts w:hint="eastAsia" w:ascii="仿宋_GB2312" w:hAnsi="仿宋_GB2312" w:eastAsia="仿宋_GB2312" w:cs="仿宋_GB2312"/>
                <w:b/>
                <w:bCs/>
                <w:color w:val="000000"/>
                <w:sz w:val="21"/>
                <w:szCs w:val="21"/>
                <w:lang w:eastAsia="zh-CN"/>
              </w:rPr>
              <w:t xml:space="preserve">  </w:t>
            </w:r>
            <w:r>
              <w:rPr>
                <w:rFonts w:hint="eastAsia" w:ascii="仿宋_GB2312" w:hAnsi="仿宋_GB2312" w:eastAsia="仿宋_GB2312" w:cs="仿宋_GB2312"/>
                <w:b/>
                <w:bCs/>
                <w:color w:val="000000"/>
                <w:sz w:val="21"/>
                <w:szCs w:val="21"/>
                <w:u w:val="single"/>
                <w:lang w:eastAsia="zh-CN"/>
              </w:rPr>
              <w:t xml:space="preserve">    </w:t>
            </w:r>
            <w:r>
              <w:rPr>
                <w:rFonts w:hint="eastAsia" w:ascii="仿宋_GB2312" w:hAnsi="仿宋_GB2312" w:eastAsia="仿宋_GB2312" w:cs="仿宋_GB2312"/>
                <w:b/>
                <w:bCs/>
                <w:color w:val="000000"/>
                <w:sz w:val="21"/>
                <w:szCs w:val="21"/>
                <w:u w:val="single"/>
              </w:rPr>
              <w:t xml:space="preserve"> </w:t>
            </w:r>
            <w:r>
              <w:rPr>
                <w:rFonts w:hint="eastAsia" w:ascii="仿宋_GB2312" w:hAnsi="仿宋_GB2312" w:eastAsia="仿宋_GB2312" w:cs="仿宋_GB2312"/>
                <w:b/>
                <w:bCs/>
                <w:color w:val="000000"/>
                <w:sz w:val="21"/>
                <w:szCs w:val="21"/>
                <w:u w:val="single"/>
                <w:lang w:eastAsia="zh-CN"/>
              </w:rPr>
              <w:t xml:space="preserve">  </w:t>
            </w:r>
            <w:r>
              <w:rPr>
                <w:rFonts w:hint="eastAsia" w:ascii="仿宋_GB2312" w:hAnsi="仿宋_GB2312" w:eastAsia="仿宋_GB2312" w:cs="仿宋_GB2312"/>
                <w:b/>
                <w:bCs/>
                <w:color w:val="000000"/>
                <w:sz w:val="21"/>
                <w:szCs w:val="21"/>
                <w:u w:val="single"/>
              </w:rPr>
              <w:t xml:space="preserve">    </w:t>
            </w:r>
          </w:p>
        </w:tc>
      </w:tr>
      <w:tr>
        <w:tblPrEx>
          <w:tblCellMar>
            <w:top w:w="0" w:type="dxa"/>
            <w:left w:w="0" w:type="dxa"/>
            <w:bottom w:w="0" w:type="dxa"/>
            <w:right w:w="0" w:type="dxa"/>
          </w:tblCellMar>
        </w:tblPrEx>
        <w:trPr>
          <w:trHeight w:val="770" w:hRule="atLeast"/>
          <w:jc w:val="center"/>
        </w:trPr>
        <w:tc>
          <w:tcPr>
            <w:tcW w:w="7612" w:type="dxa"/>
            <w:gridSpan w:val="5"/>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仿宋_GB2312" w:hAnsi="仿宋_GB2312" w:eastAsia="仿宋_GB2312" w:cs="仿宋_GB2312"/>
                <w:b/>
                <w:bCs/>
                <w:color w:val="000000"/>
                <w:sz w:val="21"/>
                <w:szCs w:val="21"/>
                <w:lang w:eastAsia="zh-CN"/>
              </w:rPr>
            </w:pPr>
            <w:r>
              <w:rPr>
                <w:rFonts w:hint="eastAsia" w:ascii="仿宋_GB2312" w:hAnsi="仿宋_GB2312" w:eastAsia="仿宋_GB2312" w:cs="仿宋_GB2312"/>
                <w:color w:val="000000"/>
                <w:sz w:val="21"/>
                <w:szCs w:val="21"/>
                <w:lang w:eastAsia="zh-CN" w:bidi="ar"/>
              </w:rPr>
              <w:t>投标报价总价（元）</w:t>
            </w:r>
          </w:p>
        </w:tc>
        <w:tc>
          <w:tcPr>
            <w:tcW w:w="159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rPr>
                <w:rFonts w:hint="eastAsia" w:ascii="仿宋_GB2312" w:hAnsi="仿宋_GB2312" w:eastAsia="仿宋_GB2312" w:cs="仿宋_GB2312"/>
                <w:b/>
                <w:bCs/>
                <w:color w:val="000000"/>
                <w:sz w:val="21"/>
                <w:szCs w:val="21"/>
                <w:lang w:eastAsia="zh-CN"/>
              </w:rPr>
            </w:pPr>
            <w:r>
              <w:rPr>
                <w:rFonts w:hint="eastAsia" w:ascii="仿宋_GB2312" w:hAnsi="仿宋_GB2312" w:eastAsia="仿宋_GB2312" w:cs="仿宋_GB2312"/>
                <w:b/>
                <w:bCs/>
                <w:color w:val="000000"/>
                <w:sz w:val="21"/>
                <w:szCs w:val="21"/>
              </w:rPr>
              <w:t xml:space="preserve">   </w:t>
            </w:r>
            <w:r>
              <w:rPr>
                <w:rFonts w:hint="eastAsia" w:ascii="仿宋_GB2312" w:hAnsi="仿宋_GB2312" w:eastAsia="仿宋_GB2312" w:cs="仿宋_GB2312"/>
                <w:b/>
                <w:bCs/>
                <w:color w:val="000000"/>
                <w:sz w:val="21"/>
                <w:szCs w:val="21"/>
                <w:u w:val="single"/>
              </w:rPr>
              <w:t xml:space="preserve">         </w:t>
            </w:r>
            <w:r>
              <w:rPr>
                <w:rFonts w:hint="eastAsia" w:ascii="仿宋_GB2312" w:hAnsi="仿宋_GB2312" w:eastAsia="仿宋_GB2312" w:cs="仿宋_GB2312"/>
                <w:b/>
                <w:bCs/>
                <w:color w:val="000000"/>
                <w:sz w:val="21"/>
                <w:szCs w:val="21"/>
                <w:u w:val="single"/>
                <w:lang w:eastAsia="zh-CN"/>
              </w:rPr>
              <w:t xml:space="preserve"> </w:t>
            </w:r>
            <w:r>
              <w:rPr>
                <w:rFonts w:hint="eastAsia" w:ascii="仿宋_GB2312" w:hAnsi="仿宋_GB2312" w:eastAsia="仿宋_GB2312" w:cs="仿宋_GB2312"/>
                <w:b/>
                <w:bCs/>
                <w:color w:val="000000"/>
                <w:sz w:val="21"/>
                <w:szCs w:val="21"/>
                <w:u w:val="single"/>
              </w:rPr>
              <w:t xml:space="preserve">  </w:t>
            </w:r>
          </w:p>
        </w:tc>
      </w:tr>
      <w:tr>
        <w:tblPrEx>
          <w:shd w:val="clear" w:color="auto" w:fill="FFFFFF"/>
          <w:tblCellMar>
            <w:top w:w="0" w:type="dxa"/>
            <w:left w:w="0" w:type="dxa"/>
            <w:bottom w:w="0" w:type="dxa"/>
            <w:right w:w="0" w:type="dxa"/>
          </w:tblCellMar>
        </w:tblPrEx>
        <w:trPr>
          <w:trHeight w:val="770" w:hRule="atLeast"/>
          <w:jc w:val="center"/>
        </w:trPr>
        <w:tc>
          <w:tcPr>
            <w:tcW w:w="7612" w:type="dxa"/>
            <w:gridSpan w:val="5"/>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仿宋_GB2312" w:hAnsi="仿宋_GB2312" w:eastAsia="仿宋_GB2312" w:cs="仿宋_GB2312"/>
                <w:color w:val="000000"/>
                <w:sz w:val="21"/>
                <w:szCs w:val="21"/>
                <w:lang w:eastAsia="zh-CN" w:bidi="ar"/>
              </w:rPr>
            </w:pPr>
            <w:r>
              <w:rPr>
                <w:rFonts w:hint="eastAsia" w:ascii="仿宋_GB2312" w:hAnsi="仿宋_GB2312" w:eastAsia="仿宋_GB2312" w:cs="仿宋_GB2312"/>
                <w:color w:val="000000"/>
                <w:sz w:val="21"/>
                <w:szCs w:val="21"/>
                <w:lang w:eastAsia="zh-CN" w:bidi="ar"/>
              </w:rPr>
              <w:t>增值税税率（%）</w:t>
            </w:r>
          </w:p>
        </w:tc>
        <w:tc>
          <w:tcPr>
            <w:tcW w:w="159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rPr>
                <w:rFonts w:hint="eastAsia" w:ascii="仿宋_GB2312" w:hAnsi="仿宋_GB2312" w:eastAsia="仿宋_GB2312" w:cs="仿宋_GB2312"/>
                <w:b/>
                <w:bCs/>
                <w:color w:val="000000"/>
                <w:sz w:val="21"/>
                <w:szCs w:val="21"/>
              </w:rPr>
            </w:pPr>
            <w:r>
              <w:rPr>
                <w:rFonts w:hint="eastAsia" w:ascii="仿宋_GB2312" w:hAnsi="仿宋_GB2312" w:eastAsia="仿宋_GB2312" w:cs="仿宋_GB2312"/>
                <w:b/>
                <w:bCs/>
                <w:color w:val="000000"/>
                <w:sz w:val="21"/>
                <w:szCs w:val="21"/>
                <w:lang w:eastAsia="zh-CN"/>
              </w:rPr>
              <w:t xml:space="preserve">  </w:t>
            </w:r>
            <w:r>
              <w:rPr>
                <w:rFonts w:hint="eastAsia" w:ascii="仿宋_GB2312" w:hAnsi="仿宋_GB2312" w:eastAsia="仿宋_GB2312" w:cs="仿宋_GB2312"/>
                <w:b/>
                <w:bCs/>
                <w:color w:val="000000"/>
                <w:sz w:val="21"/>
                <w:szCs w:val="21"/>
                <w:u w:val="single"/>
                <w:lang w:eastAsia="zh-CN"/>
              </w:rPr>
              <w:t xml:space="preserve">      </w:t>
            </w:r>
            <w:r>
              <w:rPr>
                <w:rFonts w:hint="eastAsia" w:ascii="仿宋_GB2312" w:hAnsi="仿宋_GB2312" w:eastAsia="仿宋_GB2312" w:cs="仿宋_GB2312"/>
                <w:b/>
                <w:bCs/>
                <w:color w:val="000000"/>
                <w:sz w:val="21"/>
                <w:szCs w:val="21"/>
                <w:u w:val="single"/>
              </w:rPr>
              <w:t xml:space="preserve">  </w:t>
            </w:r>
            <w:r>
              <w:rPr>
                <w:rFonts w:hint="eastAsia" w:ascii="仿宋_GB2312" w:hAnsi="仿宋_GB2312" w:eastAsia="仿宋_GB2312" w:cs="仿宋_GB2312"/>
                <w:b/>
                <w:bCs/>
                <w:color w:val="000000"/>
                <w:sz w:val="21"/>
                <w:szCs w:val="21"/>
                <w:u w:val="single"/>
                <w:lang w:eastAsia="zh-CN"/>
              </w:rPr>
              <w:t xml:space="preserve">   </w:t>
            </w:r>
            <w:r>
              <w:rPr>
                <w:rFonts w:hint="eastAsia" w:ascii="仿宋_GB2312" w:hAnsi="仿宋_GB2312" w:eastAsia="仿宋_GB2312" w:cs="仿宋_GB2312"/>
                <w:b/>
                <w:bCs/>
                <w:color w:val="000000"/>
                <w:sz w:val="21"/>
                <w:szCs w:val="21"/>
                <w:u w:val="single"/>
              </w:rPr>
              <w:t xml:space="preserve">   </w:t>
            </w:r>
          </w:p>
        </w:tc>
      </w:tr>
      <w:tr>
        <w:tblPrEx>
          <w:shd w:val="clear" w:color="auto" w:fill="FFFFFF"/>
          <w:tblCellMar>
            <w:top w:w="0" w:type="dxa"/>
            <w:left w:w="0" w:type="dxa"/>
            <w:bottom w:w="0" w:type="dxa"/>
            <w:right w:w="0" w:type="dxa"/>
          </w:tblCellMar>
        </w:tblPrEx>
        <w:trPr>
          <w:trHeight w:val="1791" w:hRule="atLeast"/>
          <w:jc w:val="center"/>
        </w:trPr>
        <w:tc>
          <w:tcPr>
            <w:tcW w:w="9209" w:type="dxa"/>
            <w:gridSpan w:val="6"/>
            <w:tcBorders>
              <w:top w:val="single" w:color="000000" w:sz="4" w:space="0"/>
              <w:left w:val="single" w:color="000000" w:sz="4" w:space="0"/>
              <w:bottom w:val="single" w:color="auto" w:sz="4" w:space="0"/>
              <w:right w:val="single" w:color="000000" w:sz="4" w:space="0"/>
            </w:tcBorders>
            <w:shd w:val="clear" w:color="auto" w:fill="FFFFFF"/>
            <w:tcMar>
              <w:top w:w="15" w:type="dxa"/>
              <w:left w:w="15" w:type="dxa"/>
              <w:right w:w="15" w:type="dxa"/>
            </w:tcMar>
            <w:vAlign w:val="center"/>
          </w:tcPr>
          <w:p>
            <w:pPr>
              <w:rPr>
                <w:rFonts w:hint="eastAsia" w:ascii="仿宋_GB2312" w:hAnsi="仿宋_GB2312" w:eastAsia="仿宋_GB2312" w:cs="仿宋_GB2312"/>
                <w:snapToGrid w:val="0"/>
                <w:sz w:val="21"/>
                <w:szCs w:val="21"/>
                <w:lang w:eastAsia="zh-CN"/>
              </w:rPr>
            </w:pPr>
            <w:r>
              <w:rPr>
                <w:rFonts w:hint="eastAsia" w:ascii="仿宋_GB2312" w:hAnsi="仿宋_GB2312" w:eastAsia="仿宋_GB2312" w:cs="仿宋_GB2312"/>
                <w:snapToGrid w:val="0"/>
                <w:sz w:val="21"/>
                <w:szCs w:val="21"/>
                <w:lang w:eastAsia="zh-CN"/>
              </w:rPr>
              <w:t>备注：1、</w:t>
            </w:r>
            <w:r>
              <w:rPr>
                <w:rFonts w:hint="eastAsia" w:ascii="仿宋_GB2312" w:hAnsi="仿宋_GB2312" w:eastAsia="仿宋_GB2312" w:cs="仿宋_GB2312"/>
                <w:b/>
                <w:bCs/>
                <w:snapToGrid w:val="0"/>
                <w:sz w:val="21"/>
                <w:szCs w:val="21"/>
                <w:lang w:eastAsia="zh-CN"/>
              </w:rPr>
              <w:t>投标报价和投标下浮率说明</w:t>
            </w:r>
            <w:r>
              <w:rPr>
                <w:rFonts w:hint="eastAsia" w:ascii="仿宋_GB2312" w:hAnsi="仿宋_GB2312" w:eastAsia="仿宋_GB2312" w:cs="仿宋_GB2312"/>
                <w:snapToGrid w:val="0"/>
                <w:sz w:val="21"/>
                <w:szCs w:val="21"/>
                <w:lang w:eastAsia="zh-CN"/>
              </w:rPr>
              <w:t>:投标报价=[投标报价上限价/（1-投标报价上限</w:t>
            </w:r>
            <w:r>
              <w:rPr>
                <w:rFonts w:hint="eastAsia" w:ascii="仿宋_GB2312" w:hAnsi="仿宋_GB2312" w:eastAsia="仿宋_GB2312" w:cs="仿宋_GB2312"/>
                <w:snapToGrid w:val="0"/>
                <w:sz w:val="21"/>
                <w:szCs w:val="21"/>
                <w:lang w:val="en-US" w:eastAsia="zh-CN"/>
              </w:rPr>
              <w:t>下浮率</w:t>
            </w:r>
            <w:r>
              <w:rPr>
                <w:rFonts w:hint="eastAsia" w:ascii="仿宋_GB2312" w:hAnsi="仿宋_GB2312" w:eastAsia="仿宋_GB2312" w:cs="仿宋_GB2312"/>
                <w:snapToGrid w:val="0"/>
                <w:sz w:val="21"/>
                <w:szCs w:val="21"/>
                <w:lang w:eastAsia="zh-CN"/>
              </w:rPr>
              <w:t>）]*（1-投标下浮率），投标下浮率需大于或等于</w:t>
            </w:r>
            <w:r>
              <w:rPr>
                <w:rFonts w:hint="eastAsia" w:ascii="仿宋_GB2312" w:hAnsi="仿宋_GB2312" w:eastAsia="仿宋_GB2312" w:cs="仿宋_GB2312"/>
                <w:b/>
                <w:color w:val="000000"/>
                <w:sz w:val="21"/>
                <w:szCs w:val="21"/>
                <w:lang w:eastAsia="zh-CN"/>
              </w:rPr>
              <w:t>投标报价上限</w:t>
            </w:r>
            <w:r>
              <w:rPr>
                <w:rFonts w:hint="eastAsia" w:ascii="仿宋_GB2312" w:hAnsi="仿宋_GB2312" w:eastAsia="仿宋_GB2312" w:cs="仿宋_GB2312"/>
                <w:b/>
                <w:bCs/>
                <w:kern w:val="0"/>
                <w:sz w:val="21"/>
                <w:szCs w:val="21"/>
                <w:highlight w:val="none"/>
                <w:lang w:val="en-US" w:eastAsia="zh-CN" w:bidi="ar"/>
              </w:rPr>
              <w:t>下浮率</w:t>
            </w:r>
            <w:r>
              <w:rPr>
                <w:rFonts w:hint="eastAsia" w:ascii="仿宋_GB2312" w:hAnsi="仿宋_GB2312" w:eastAsia="仿宋_GB2312" w:cs="仿宋_GB2312"/>
                <w:snapToGrid w:val="0"/>
                <w:sz w:val="21"/>
                <w:szCs w:val="21"/>
                <w:lang w:eastAsia="zh-CN"/>
              </w:rPr>
              <w:t>。</w:t>
            </w:r>
          </w:p>
          <w:p>
            <w:pPr>
              <w:ind w:firstLine="630" w:firstLineChars="300"/>
              <w:rPr>
                <w:rFonts w:hint="eastAsia" w:ascii="仿宋_GB2312" w:hAnsi="仿宋_GB2312" w:eastAsia="仿宋_GB2312" w:cs="仿宋_GB2312"/>
                <w:snapToGrid w:val="0"/>
                <w:sz w:val="21"/>
                <w:szCs w:val="21"/>
                <w:lang w:eastAsia="zh-CN"/>
              </w:rPr>
            </w:pPr>
            <w:r>
              <w:rPr>
                <w:rFonts w:hint="eastAsia" w:ascii="仿宋_GB2312" w:hAnsi="仿宋_GB2312" w:eastAsia="仿宋_GB2312" w:cs="仿宋_GB2312"/>
                <w:snapToGrid w:val="0"/>
                <w:sz w:val="21"/>
                <w:szCs w:val="21"/>
                <w:lang w:eastAsia="zh-CN"/>
              </w:rPr>
              <w:t>2、投标报价为暂定，最终以合同签订及实际委托为准。</w:t>
            </w:r>
          </w:p>
          <w:p>
            <w:pPr>
              <w:ind w:firstLine="630" w:firstLineChars="300"/>
              <w:rPr>
                <w:rFonts w:hint="eastAsia" w:ascii="仿宋_GB2312" w:hAnsi="仿宋_GB2312" w:eastAsia="仿宋_GB2312" w:cs="仿宋_GB2312"/>
              </w:rPr>
            </w:pPr>
            <w:r>
              <w:rPr>
                <w:rFonts w:hint="eastAsia" w:ascii="仿宋_GB2312" w:hAnsi="仿宋_GB2312" w:eastAsia="仿宋_GB2312" w:cs="仿宋_GB2312"/>
                <w:snapToGrid w:val="0"/>
                <w:sz w:val="21"/>
                <w:szCs w:val="21"/>
                <w:lang w:eastAsia="zh-CN"/>
              </w:rPr>
              <w:t>3、</w:t>
            </w:r>
            <w:r>
              <w:rPr>
                <w:rFonts w:hint="eastAsia" w:ascii="仿宋_GB2312" w:hAnsi="仿宋_GB2312" w:eastAsia="仿宋_GB2312" w:cs="仿宋_GB2312"/>
                <w:snapToGrid w:val="0"/>
                <w:sz w:val="21"/>
                <w:szCs w:val="21"/>
                <w:lang w:val="en-US" w:eastAsia="zh-CN"/>
              </w:rPr>
              <w:t>投标报价与按投标下浮率计算的价格不一致的，以投标下浮率为准修正投标报价，总价与单项报价不一致的，以单项报价为准，调整投标总价。</w:t>
            </w:r>
          </w:p>
          <w:p>
            <w:pPr>
              <w:ind w:firstLine="630" w:firstLineChars="300"/>
              <w:rPr>
                <w:rFonts w:hint="eastAsia" w:ascii="仿宋_GB2312" w:hAnsi="仿宋_GB2312" w:eastAsia="仿宋_GB2312" w:cs="仿宋_GB2312"/>
                <w:snapToGrid w:val="0"/>
                <w:sz w:val="21"/>
                <w:szCs w:val="21"/>
                <w:lang w:eastAsia="zh-CN"/>
              </w:rPr>
            </w:pPr>
            <w:r>
              <w:rPr>
                <w:rFonts w:hint="eastAsia" w:ascii="仿宋_GB2312" w:hAnsi="仿宋_GB2312" w:eastAsia="仿宋_GB2312" w:cs="仿宋_GB2312"/>
                <w:snapToGrid w:val="0"/>
                <w:sz w:val="21"/>
                <w:szCs w:val="21"/>
                <w:lang w:eastAsia="zh-CN"/>
              </w:rPr>
              <w:t>4、投标报价保留两位小数，投标下浮率保留两位小数。</w:t>
            </w:r>
          </w:p>
          <w:p>
            <w:pPr>
              <w:ind w:firstLine="630" w:firstLineChars="300"/>
              <w:rPr>
                <w:rFonts w:hint="eastAsia" w:ascii="仿宋_GB2312" w:hAnsi="仿宋_GB2312" w:eastAsia="仿宋_GB2312" w:cs="仿宋_GB2312"/>
                <w:snapToGrid w:val="0"/>
                <w:sz w:val="21"/>
                <w:szCs w:val="21"/>
                <w:lang w:eastAsia="zh-CN"/>
              </w:rPr>
            </w:pPr>
            <w:r>
              <w:rPr>
                <w:rFonts w:hint="eastAsia" w:ascii="仿宋_GB2312" w:hAnsi="仿宋_GB2312" w:eastAsia="仿宋_GB2312" w:cs="仿宋_GB2312"/>
                <w:szCs w:val="21"/>
                <w:lang w:eastAsia="zh-CN"/>
              </w:rPr>
              <w:t>5、招标人不承诺最低价中标，</w:t>
            </w:r>
            <w:r>
              <w:rPr>
                <w:rFonts w:hint="eastAsia" w:ascii="仿宋_GB2312" w:hAnsi="仿宋_GB2312" w:eastAsia="仿宋_GB2312" w:cs="仿宋_GB2312"/>
                <w:snapToGrid w:val="0"/>
                <w:sz w:val="21"/>
                <w:szCs w:val="21"/>
                <w:lang w:eastAsia="zh-CN"/>
              </w:rPr>
              <w:t>超过投标报价上限的报价将做废标处理。</w:t>
            </w:r>
          </w:p>
          <w:p>
            <w:pPr>
              <w:pStyle w:val="4"/>
              <w:ind w:firstLine="630" w:firstLineChars="300"/>
              <w:rPr>
                <w:rFonts w:hint="eastAsia" w:ascii="仿宋_GB2312" w:hAnsi="仿宋_GB2312" w:eastAsia="仿宋_GB2312" w:cs="仿宋_GB2312"/>
              </w:rPr>
            </w:pPr>
            <w:r>
              <w:rPr>
                <w:rFonts w:hint="eastAsia" w:ascii="仿宋_GB2312" w:hAnsi="仿宋_GB2312" w:eastAsia="仿宋_GB2312" w:cs="仿宋_GB2312"/>
                <w:szCs w:val="21"/>
              </w:rPr>
              <w:t>6、投标人须自行填报增值税税率，上述报价均已含税。</w:t>
            </w:r>
          </w:p>
        </w:tc>
      </w:tr>
    </w:tbl>
    <w:p>
      <w:pPr>
        <w:rPr>
          <w:rFonts w:hint="eastAsia"/>
          <w:lang w:val="en-US" w:eastAsia="zh-CN"/>
        </w:rPr>
      </w:pPr>
      <w:r>
        <w:rPr>
          <w:rFonts w:hint="eastAsia" w:ascii="仿宋_GB2312" w:hAnsi="仿宋_GB2312" w:eastAsia="仿宋_GB2312" w:cs="仿宋_GB2312"/>
          <w:sz w:val="32"/>
          <w:szCs w:val="40"/>
          <w:lang w:val="en-US" w:eastAsia="zh-CN"/>
        </w:rPr>
        <w:br w:type="page"/>
      </w:r>
    </w:p>
    <w:p>
      <w:pPr>
        <w:pStyle w:val="3"/>
        <w:rPr>
          <w:rFonts w:hint="eastAsia"/>
          <w:lang w:val="en-US" w:eastAsia="zh-CN"/>
        </w:rPr>
        <w:sectPr>
          <w:pgSz w:w="11906" w:h="16838"/>
          <w:pgMar w:top="1440" w:right="1486" w:bottom="1440" w:left="1600" w:header="851" w:footer="992" w:gutter="0"/>
          <w:cols w:space="720" w:num="1"/>
          <w:docGrid w:type="lines" w:linePitch="312" w:charSpace="0"/>
        </w:sectPr>
      </w:pPr>
    </w:p>
    <w:p>
      <w:pPr>
        <w:spacing w:line="360" w:lineRule="auto"/>
        <w:jc w:val="center"/>
        <w:rPr>
          <w:rFonts w:hint="eastAsia" w:ascii="仿宋_GB2312" w:hAnsi="仿宋_GB2312" w:eastAsia="仿宋_GB2312" w:cs="仿宋_GB2312"/>
          <w:sz w:val="44"/>
          <w:szCs w:val="44"/>
          <w:lang w:val="en-US" w:eastAsia="zh-CN"/>
        </w:rPr>
      </w:pPr>
      <w:r>
        <w:rPr>
          <w:rFonts w:hint="eastAsia" w:ascii="仿宋_GB2312" w:hAnsi="仿宋_GB2312" w:eastAsia="仿宋_GB2312" w:cs="仿宋_GB2312"/>
          <w:sz w:val="44"/>
          <w:szCs w:val="44"/>
          <w:lang w:val="en-US" w:eastAsia="zh-CN"/>
        </w:rPr>
        <w:t>二、</w:t>
      </w:r>
      <w:r>
        <w:rPr>
          <w:rFonts w:hint="eastAsia" w:ascii="仿宋_GB2312" w:hAnsi="仿宋_GB2312" w:eastAsia="仿宋_GB2312" w:cs="仿宋_GB2312"/>
          <w:color w:val="auto"/>
          <w:sz w:val="44"/>
          <w:szCs w:val="44"/>
          <w:lang w:val="en-US" w:eastAsia="zh-CN"/>
        </w:rPr>
        <w:t>公司营业执照</w:t>
      </w:r>
    </w:p>
    <w:p>
      <w:pPr>
        <w:spacing w:line="360" w:lineRule="auto"/>
        <w:jc w:val="center"/>
        <w:rPr>
          <w:rFonts w:hint="eastAsia" w:ascii="仿宋_GB2312" w:hAnsi="仿宋_GB2312" w:eastAsia="仿宋_GB2312" w:cs="仿宋_GB2312"/>
          <w:sz w:val="44"/>
          <w:szCs w:val="44"/>
          <w:lang w:val="en-US" w:eastAsia="zh-CN"/>
        </w:rPr>
      </w:pPr>
    </w:p>
    <w:p>
      <w:pPr>
        <w:spacing w:line="360" w:lineRule="auto"/>
        <w:jc w:val="center"/>
        <w:rPr>
          <w:rFonts w:hint="eastAsia" w:ascii="仿宋_GB2312" w:hAnsi="仿宋_GB2312" w:eastAsia="仿宋_GB2312" w:cs="仿宋_GB2312"/>
          <w:sz w:val="44"/>
          <w:szCs w:val="44"/>
          <w:lang w:val="en-US" w:eastAsia="zh-CN"/>
        </w:rPr>
      </w:pPr>
      <w:r>
        <w:rPr>
          <w:rFonts w:hint="eastAsia" w:ascii="仿宋_GB2312" w:hAnsi="仿宋_GB2312" w:eastAsia="仿宋_GB2312" w:cs="仿宋_GB2312"/>
          <w:sz w:val="44"/>
          <w:szCs w:val="44"/>
          <w:lang w:val="en-US" w:eastAsia="zh-CN"/>
        </w:rPr>
        <w:t>三、法定代表人证明书及法定代表人身份证复印件（加盖投标人公章）</w:t>
      </w:r>
    </w:p>
    <w:p>
      <w:pPr>
        <w:spacing w:line="360" w:lineRule="auto"/>
        <w:jc w:val="center"/>
        <w:rPr>
          <w:rFonts w:hint="eastAsia" w:ascii="仿宋_GB2312" w:hAnsi="仿宋_GB2312" w:eastAsia="仿宋_GB2312" w:cs="仿宋_GB2312"/>
          <w:sz w:val="44"/>
          <w:szCs w:val="44"/>
          <w:lang w:val="en-US" w:eastAsia="zh-CN"/>
        </w:rPr>
      </w:pPr>
    </w:p>
    <w:p>
      <w:pPr>
        <w:spacing w:line="360" w:lineRule="auto"/>
        <w:jc w:val="center"/>
        <w:rPr>
          <w:rFonts w:hint="eastAsia" w:ascii="仿宋_GB2312" w:hAnsi="仿宋_GB2312" w:eastAsia="仿宋_GB2312" w:cs="仿宋_GB2312"/>
          <w:color w:val="auto"/>
          <w:sz w:val="44"/>
          <w:szCs w:val="44"/>
          <w:lang w:val="en-US" w:eastAsia="zh-CN"/>
        </w:rPr>
      </w:pPr>
      <w:r>
        <w:rPr>
          <w:rFonts w:hint="eastAsia" w:ascii="仿宋_GB2312" w:hAnsi="仿宋_GB2312" w:eastAsia="仿宋_GB2312" w:cs="仿宋_GB2312"/>
          <w:sz w:val="44"/>
          <w:szCs w:val="44"/>
          <w:lang w:val="en-US" w:eastAsia="zh-CN"/>
        </w:rPr>
        <w:t>四、</w:t>
      </w:r>
      <w:r>
        <w:rPr>
          <w:rFonts w:hint="eastAsia" w:ascii="仿宋_GB2312" w:hAnsi="仿宋_GB2312" w:eastAsia="仿宋_GB2312" w:cs="仿宋_GB2312"/>
          <w:color w:val="auto"/>
          <w:sz w:val="44"/>
          <w:szCs w:val="44"/>
          <w:lang w:val="en-US" w:eastAsia="zh-CN"/>
        </w:rPr>
        <w:t>公司简介</w:t>
      </w:r>
    </w:p>
    <w:p>
      <w:pPr>
        <w:spacing w:line="360" w:lineRule="auto"/>
        <w:jc w:val="left"/>
        <w:rPr>
          <w:rFonts w:hint="eastAsia" w:ascii="仿宋_GB2312" w:hAnsi="仿宋_GB2312" w:eastAsia="仿宋_GB2312" w:cs="仿宋_GB2312"/>
          <w:color w:val="auto"/>
          <w:sz w:val="32"/>
          <w:szCs w:val="40"/>
          <w:lang w:val="en-US" w:eastAsia="zh-CN"/>
        </w:rPr>
      </w:pPr>
      <w:r>
        <w:rPr>
          <w:rFonts w:hint="eastAsia" w:ascii="仿宋_GB2312" w:hAnsi="仿宋_GB2312" w:eastAsia="仿宋_GB2312" w:cs="仿宋_GB2312"/>
          <w:color w:val="auto"/>
          <w:sz w:val="32"/>
          <w:szCs w:val="40"/>
          <w:lang w:val="en-US" w:eastAsia="zh-CN"/>
        </w:rPr>
        <w:t>（包括设立时间、注册和实际运营地址、主营业务）。</w:t>
      </w:r>
    </w:p>
    <w:p>
      <w:pPr>
        <w:spacing w:line="360" w:lineRule="auto"/>
        <w:jc w:val="left"/>
        <w:rPr>
          <w:rFonts w:hint="eastAsia" w:ascii="仿宋_GB2312" w:hAnsi="仿宋_GB2312" w:eastAsia="仿宋_GB2312" w:cs="仿宋_GB2312"/>
          <w:color w:val="auto"/>
          <w:sz w:val="32"/>
          <w:szCs w:val="40"/>
          <w:lang w:val="en-US" w:eastAsia="zh-CN"/>
        </w:rPr>
      </w:pPr>
    </w:p>
    <w:p>
      <w:pPr>
        <w:spacing w:line="360" w:lineRule="auto"/>
        <w:jc w:val="left"/>
        <w:rPr>
          <w:rFonts w:hint="eastAsia" w:ascii="仿宋_GB2312" w:hAnsi="仿宋_GB2312" w:eastAsia="仿宋_GB2312" w:cs="仿宋_GB2312"/>
          <w:color w:val="auto"/>
          <w:sz w:val="32"/>
          <w:szCs w:val="40"/>
          <w:lang w:val="en-US" w:eastAsia="zh-CN"/>
        </w:rPr>
      </w:pPr>
    </w:p>
    <w:p>
      <w:pPr>
        <w:spacing w:line="360" w:lineRule="auto"/>
        <w:jc w:val="center"/>
        <w:rPr>
          <w:rFonts w:hint="eastAsia" w:ascii="仿宋_GB2312" w:hAnsi="仿宋_GB2312" w:eastAsia="仿宋_GB2312" w:cs="仿宋_GB2312"/>
          <w:color w:val="auto"/>
          <w:sz w:val="44"/>
          <w:szCs w:val="44"/>
          <w:lang w:val="en-US" w:eastAsia="zh-CN"/>
        </w:rPr>
      </w:pPr>
      <w:r>
        <w:rPr>
          <w:rFonts w:hint="eastAsia" w:ascii="仿宋_GB2312" w:hAnsi="仿宋_GB2312" w:eastAsia="仿宋_GB2312" w:cs="仿宋_GB2312"/>
          <w:sz w:val="44"/>
          <w:szCs w:val="44"/>
          <w:lang w:val="en-US" w:eastAsia="zh-CN"/>
        </w:rPr>
        <w:t>五、</w:t>
      </w:r>
      <w:r>
        <w:rPr>
          <w:rFonts w:hint="eastAsia" w:ascii="仿宋_GB2312" w:hAnsi="仿宋_GB2312" w:eastAsia="仿宋_GB2312" w:cs="仿宋_GB2312"/>
          <w:color w:val="auto"/>
          <w:sz w:val="44"/>
          <w:szCs w:val="44"/>
          <w:lang w:val="en-US" w:eastAsia="zh-CN"/>
        </w:rPr>
        <w:t>同类项目业绩佐证</w:t>
      </w:r>
    </w:p>
    <w:p>
      <w:pPr>
        <w:spacing w:line="360" w:lineRule="auto"/>
        <w:jc w:val="center"/>
        <w:rPr>
          <w:rFonts w:hint="eastAsia" w:ascii="仿宋_GB2312" w:hAnsi="仿宋_GB2312" w:eastAsia="仿宋_GB2312" w:cs="仿宋_GB2312"/>
          <w:color w:val="auto"/>
          <w:sz w:val="32"/>
          <w:szCs w:val="40"/>
          <w:lang w:val="en-US" w:eastAsia="zh-CN"/>
        </w:rPr>
      </w:pPr>
    </w:p>
    <w:p>
      <w:pPr>
        <w:spacing w:line="360" w:lineRule="auto"/>
        <w:jc w:val="center"/>
        <w:rPr>
          <w:rFonts w:hint="eastAsia" w:ascii="仿宋_GB2312" w:hAnsi="仿宋_GB2312" w:eastAsia="仿宋_GB2312" w:cs="仿宋_GB2312"/>
          <w:color w:val="auto"/>
          <w:sz w:val="32"/>
          <w:szCs w:val="40"/>
          <w:lang w:val="en-US" w:eastAsia="zh-CN"/>
        </w:rPr>
      </w:pPr>
      <w:r>
        <w:rPr>
          <w:rFonts w:hint="eastAsia" w:ascii="仿宋_GB2312" w:hAnsi="仿宋_GB2312" w:eastAsia="仿宋_GB2312" w:cs="仿宋_GB2312"/>
          <w:color w:val="auto"/>
          <w:sz w:val="32"/>
          <w:szCs w:val="40"/>
          <w:lang w:val="en-US" w:eastAsia="zh-CN"/>
        </w:rPr>
        <w:t>业绩清单一览表</w:t>
      </w:r>
    </w:p>
    <w:tbl>
      <w:tblPr>
        <w:tblStyle w:val="9"/>
        <w:tblW w:w="93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2"/>
        <w:gridCol w:w="2629"/>
        <w:gridCol w:w="1750"/>
        <w:gridCol w:w="1800"/>
        <w:gridCol w:w="1350"/>
        <w:gridCol w:w="10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7" w:hRule="atLeast"/>
          <w:jc w:val="center"/>
        </w:trPr>
        <w:tc>
          <w:tcPr>
            <w:tcW w:w="772"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序号</w:t>
            </w:r>
          </w:p>
        </w:tc>
        <w:tc>
          <w:tcPr>
            <w:tcW w:w="2629"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项目名称</w:t>
            </w:r>
          </w:p>
        </w:tc>
        <w:tc>
          <w:tcPr>
            <w:tcW w:w="175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项目委托方</w:t>
            </w:r>
          </w:p>
        </w:tc>
        <w:tc>
          <w:tcPr>
            <w:tcW w:w="180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合同签订时间</w:t>
            </w:r>
          </w:p>
        </w:tc>
        <w:tc>
          <w:tcPr>
            <w:tcW w:w="135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合同金额</w:t>
            </w:r>
          </w:p>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（万元）</w:t>
            </w:r>
          </w:p>
        </w:tc>
        <w:tc>
          <w:tcPr>
            <w:tcW w:w="105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772"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w:t>
            </w:r>
          </w:p>
        </w:tc>
        <w:tc>
          <w:tcPr>
            <w:tcW w:w="2629"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175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180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135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105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772"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2</w:t>
            </w:r>
          </w:p>
        </w:tc>
        <w:tc>
          <w:tcPr>
            <w:tcW w:w="2629"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175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180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135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105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772"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3</w:t>
            </w:r>
          </w:p>
        </w:tc>
        <w:tc>
          <w:tcPr>
            <w:tcW w:w="2629"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175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180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135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105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72" w:type="dxa"/>
            <w:noWrap w:val="0"/>
            <w:vAlign w:val="center"/>
          </w:tcPr>
          <w:p>
            <w:pPr>
              <w:keepNext w:val="0"/>
              <w:keepLines w:val="0"/>
              <w:pageBreakBefore w:val="0"/>
              <w:tabs>
                <w:tab w:val="left" w:pos="426"/>
              </w:tabs>
              <w:kinsoku/>
              <w:wordWrap/>
              <w:overflowPunct/>
              <w:topLinePunct w:val="0"/>
              <w:autoSpaceDE/>
              <w:autoSpaceDN/>
              <w:bidi w:val="0"/>
              <w:adjustRightInd/>
              <w:snapToGrid/>
              <w:spacing w:line="360" w:lineRule="auto"/>
              <w:jc w:val="center"/>
              <w:rPr>
                <w:rFonts w:hint="eastAsia" w:ascii="仿宋_GB2312" w:hAnsi="仿宋_GB2312" w:eastAsia="仿宋_GB2312" w:cs="仿宋_GB2312"/>
                <w:b/>
                <w:color w:val="auto"/>
                <w:sz w:val="24"/>
                <w:lang w:eastAsia="zh-CN"/>
              </w:rPr>
            </w:pPr>
            <w:r>
              <w:rPr>
                <w:rFonts w:hint="eastAsia" w:ascii="仿宋_GB2312" w:hAnsi="仿宋_GB2312" w:eastAsia="仿宋_GB2312" w:cs="仿宋_GB2312"/>
                <w:b/>
                <w:color w:val="auto"/>
                <w:sz w:val="24"/>
                <w:lang w:eastAsia="zh-CN"/>
              </w:rPr>
              <w:t>…</w:t>
            </w:r>
          </w:p>
        </w:tc>
        <w:tc>
          <w:tcPr>
            <w:tcW w:w="2629" w:type="dxa"/>
            <w:noWrap w:val="0"/>
            <w:vAlign w:val="center"/>
          </w:tcPr>
          <w:p>
            <w:pPr>
              <w:keepNext w:val="0"/>
              <w:keepLines w:val="0"/>
              <w:pageBreakBefore w:val="0"/>
              <w:tabs>
                <w:tab w:val="left" w:pos="426"/>
              </w:tabs>
              <w:kinsoku/>
              <w:wordWrap/>
              <w:overflowPunct/>
              <w:topLinePunct w:val="0"/>
              <w:autoSpaceDE/>
              <w:autoSpaceDN/>
              <w:bidi w:val="0"/>
              <w:adjustRightInd/>
              <w:snapToGrid/>
              <w:spacing w:line="360" w:lineRule="auto"/>
              <w:jc w:val="center"/>
              <w:rPr>
                <w:rFonts w:hint="eastAsia" w:ascii="仿宋_GB2312" w:hAnsi="仿宋_GB2312" w:eastAsia="仿宋_GB2312" w:cs="仿宋_GB2312"/>
                <w:color w:val="auto"/>
              </w:rPr>
            </w:pPr>
          </w:p>
        </w:tc>
        <w:tc>
          <w:tcPr>
            <w:tcW w:w="1750" w:type="dxa"/>
            <w:noWrap w:val="0"/>
            <w:vAlign w:val="center"/>
          </w:tcPr>
          <w:p>
            <w:pPr>
              <w:keepNext w:val="0"/>
              <w:keepLines w:val="0"/>
              <w:pageBreakBefore w:val="0"/>
              <w:tabs>
                <w:tab w:val="left" w:pos="426"/>
              </w:tabs>
              <w:kinsoku/>
              <w:wordWrap/>
              <w:overflowPunct/>
              <w:topLinePunct w:val="0"/>
              <w:autoSpaceDE/>
              <w:autoSpaceDN/>
              <w:bidi w:val="0"/>
              <w:adjustRightInd/>
              <w:snapToGrid/>
              <w:spacing w:line="360" w:lineRule="auto"/>
              <w:jc w:val="center"/>
              <w:rPr>
                <w:rFonts w:hint="eastAsia" w:ascii="仿宋_GB2312" w:hAnsi="仿宋_GB2312" w:eastAsia="仿宋_GB2312" w:cs="仿宋_GB2312"/>
                <w:color w:val="auto"/>
              </w:rPr>
            </w:pPr>
          </w:p>
        </w:tc>
        <w:tc>
          <w:tcPr>
            <w:tcW w:w="1800" w:type="dxa"/>
            <w:noWrap w:val="0"/>
            <w:vAlign w:val="center"/>
          </w:tcPr>
          <w:p>
            <w:pPr>
              <w:keepNext w:val="0"/>
              <w:keepLines w:val="0"/>
              <w:pageBreakBefore w:val="0"/>
              <w:tabs>
                <w:tab w:val="left" w:pos="426"/>
              </w:tabs>
              <w:kinsoku/>
              <w:wordWrap/>
              <w:overflowPunct/>
              <w:topLinePunct w:val="0"/>
              <w:autoSpaceDE/>
              <w:autoSpaceDN/>
              <w:bidi w:val="0"/>
              <w:adjustRightInd/>
              <w:snapToGrid/>
              <w:spacing w:line="360" w:lineRule="auto"/>
              <w:jc w:val="center"/>
              <w:rPr>
                <w:rFonts w:hint="eastAsia" w:ascii="仿宋_GB2312" w:hAnsi="仿宋_GB2312" w:eastAsia="仿宋_GB2312" w:cs="仿宋_GB2312"/>
                <w:color w:val="auto"/>
              </w:rPr>
            </w:pPr>
          </w:p>
        </w:tc>
        <w:tc>
          <w:tcPr>
            <w:tcW w:w="1350" w:type="dxa"/>
            <w:noWrap w:val="0"/>
            <w:vAlign w:val="center"/>
          </w:tcPr>
          <w:p>
            <w:pPr>
              <w:keepNext w:val="0"/>
              <w:keepLines w:val="0"/>
              <w:pageBreakBefore w:val="0"/>
              <w:tabs>
                <w:tab w:val="left" w:pos="426"/>
              </w:tabs>
              <w:kinsoku/>
              <w:wordWrap/>
              <w:overflowPunct/>
              <w:topLinePunct w:val="0"/>
              <w:autoSpaceDE/>
              <w:autoSpaceDN/>
              <w:bidi w:val="0"/>
              <w:adjustRightInd/>
              <w:snapToGrid/>
              <w:spacing w:line="360" w:lineRule="auto"/>
              <w:jc w:val="center"/>
              <w:rPr>
                <w:rFonts w:hint="eastAsia" w:ascii="仿宋_GB2312" w:hAnsi="仿宋_GB2312" w:eastAsia="仿宋_GB2312" w:cs="仿宋_GB2312"/>
                <w:color w:val="auto"/>
              </w:rPr>
            </w:pPr>
          </w:p>
        </w:tc>
        <w:tc>
          <w:tcPr>
            <w:tcW w:w="1057" w:type="dxa"/>
            <w:noWrap w:val="0"/>
            <w:vAlign w:val="center"/>
          </w:tcPr>
          <w:p>
            <w:pPr>
              <w:keepNext w:val="0"/>
              <w:keepLines w:val="0"/>
              <w:pageBreakBefore w:val="0"/>
              <w:tabs>
                <w:tab w:val="left" w:pos="426"/>
              </w:tabs>
              <w:kinsoku/>
              <w:wordWrap/>
              <w:overflowPunct/>
              <w:topLinePunct w:val="0"/>
              <w:autoSpaceDE/>
              <w:autoSpaceDN/>
              <w:bidi w:val="0"/>
              <w:adjustRightInd/>
              <w:snapToGrid/>
              <w:spacing w:line="360" w:lineRule="auto"/>
              <w:jc w:val="center"/>
              <w:rPr>
                <w:rFonts w:hint="eastAsia" w:ascii="仿宋_GB2312" w:hAnsi="仿宋_GB2312" w:eastAsia="仿宋_GB2312" w:cs="仿宋_GB2312"/>
                <w:color w:val="auto"/>
              </w:rPr>
            </w:pPr>
          </w:p>
        </w:tc>
      </w:tr>
    </w:tbl>
    <w:p>
      <w:pPr>
        <w:spacing w:line="360" w:lineRule="auto"/>
        <w:jc w:val="left"/>
        <w:rPr>
          <w:rFonts w:hint="eastAsia" w:ascii="仿宋_GB2312" w:hAnsi="仿宋_GB2312" w:eastAsia="仿宋_GB2312" w:cs="仿宋_GB2312"/>
          <w:color w:val="auto"/>
          <w:sz w:val="32"/>
          <w:szCs w:val="40"/>
          <w:lang w:val="en-US" w:eastAsia="zh-CN"/>
        </w:rPr>
      </w:pPr>
      <w:r>
        <w:rPr>
          <w:rFonts w:hint="eastAsia" w:ascii="仿宋_GB2312" w:hAnsi="仿宋_GB2312" w:eastAsia="仿宋_GB2312" w:cs="仿宋_GB2312"/>
          <w:color w:val="auto"/>
          <w:sz w:val="32"/>
          <w:szCs w:val="40"/>
          <w:lang w:val="en-US" w:eastAsia="zh-CN"/>
        </w:rPr>
        <w:t>注：1.附相关证明文件，具体要求详见评分细则；</w:t>
      </w:r>
    </w:p>
    <w:p>
      <w:pPr>
        <w:spacing w:line="360" w:lineRule="auto"/>
        <w:ind w:firstLine="640" w:firstLineChars="200"/>
        <w:jc w:val="left"/>
        <w:rPr>
          <w:rFonts w:hint="eastAsia" w:ascii="仿宋_GB2312" w:hAnsi="仿宋_GB2312" w:eastAsia="仿宋_GB2312" w:cs="仿宋_GB2312"/>
          <w:color w:val="auto"/>
          <w:sz w:val="32"/>
          <w:szCs w:val="40"/>
          <w:lang w:val="en-US" w:eastAsia="zh-CN"/>
        </w:rPr>
      </w:pPr>
      <w:r>
        <w:rPr>
          <w:rFonts w:hint="eastAsia" w:ascii="仿宋_GB2312" w:hAnsi="仿宋_GB2312" w:eastAsia="仿宋_GB2312" w:cs="仿宋_GB2312"/>
          <w:color w:val="auto"/>
          <w:sz w:val="32"/>
          <w:szCs w:val="40"/>
          <w:lang w:val="en-US" w:eastAsia="zh-CN"/>
        </w:rPr>
        <w:t>2.同类项目业绩指承担过同类活动策划服务的业绩。</w:t>
      </w:r>
    </w:p>
    <w:p>
      <w:pPr>
        <w:spacing w:line="360" w:lineRule="auto"/>
        <w:jc w:val="left"/>
        <w:rPr>
          <w:rFonts w:hint="eastAsia" w:ascii="仿宋_GB2312" w:hAnsi="仿宋_GB2312" w:eastAsia="仿宋_GB2312" w:cs="仿宋_GB2312"/>
          <w:color w:val="auto"/>
          <w:lang w:val="en-US" w:eastAsia="zh-CN"/>
        </w:rPr>
      </w:pPr>
    </w:p>
    <w:p>
      <w:pPr>
        <w:pStyle w:val="6"/>
        <w:rPr>
          <w:rFonts w:hint="eastAsia" w:ascii="仿宋_GB2312" w:hAnsi="仿宋_GB2312" w:eastAsia="仿宋_GB2312" w:cs="仿宋_GB2312"/>
          <w:color w:val="auto"/>
          <w:sz w:val="32"/>
          <w:szCs w:val="40"/>
        </w:rPr>
      </w:pPr>
    </w:p>
    <w:p>
      <w:pPr>
        <w:numPr>
          <w:ilvl w:val="0"/>
          <w:numId w:val="0"/>
        </w:numPr>
        <w:spacing w:line="360" w:lineRule="auto"/>
        <w:jc w:val="center"/>
        <w:rPr>
          <w:rFonts w:hint="eastAsia" w:ascii="仿宋_GB2312" w:hAnsi="仿宋_GB2312" w:eastAsia="仿宋_GB2312" w:cs="仿宋_GB2312"/>
          <w:sz w:val="44"/>
          <w:szCs w:val="44"/>
          <w:lang w:val="en-US" w:eastAsia="zh-CN"/>
        </w:rPr>
      </w:pPr>
      <w:r>
        <w:rPr>
          <w:rFonts w:hint="eastAsia" w:ascii="仿宋_GB2312" w:hAnsi="仿宋_GB2312" w:eastAsia="仿宋_GB2312" w:cs="仿宋_GB2312"/>
          <w:color w:val="auto"/>
          <w:sz w:val="44"/>
          <w:szCs w:val="44"/>
          <w:lang w:val="en-US" w:eastAsia="zh-CN"/>
        </w:rPr>
        <w:t>六、履约质效情况说明</w:t>
      </w:r>
    </w:p>
    <w:p>
      <w:pPr>
        <w:numPr>
          <w:ilvl w:val="0"/>
          <w:numId w:val="0"/>
        </w:numPr>
        <w:spacing w:line="360" w:lineRule="auto"/>
        <w:jc w:val="center"/>
        <w:rPr>
          <w:rFonts w:hint="eastAsia" w:ascii="仿宋_GB2312" w:hAnsi="仿宋_GB2312" w:eastAsia="仿宋_GB2312" w:cs="仿宋_GB2312"/>
          <w:sz w:val="44"/>
          <w:szCs w:val="44"/>
          <w:lang w:val="en-US" w:eastAsia="zh-CN"/>
        </w:rPr>
      </w:pPr>
      <w:r>
        <w:rPr>
          <w:rFonts w:hint="eastAsia" w:ascii="仿宋_GB2312" w:hAnsi="仿宋_GB2312" w:eastAsia="仿宋_GB2312" w:cs="仿宋_GB2312"/>
          <w:color w:val="auto"/>
          <w:sz w:val="32"/>
          <w:szCs w:val="40"/>
          <w:lang w:val="en-US" w:eastAsia="zh-CN"/>
        </w:rPr>
        <w:t>（格式自拟）</w:t>
      </w:r>
    </w:p>
    <w:p>
      <w:pPr>
        <w:numPr>
          <w:ilvl w:val="0"/>
          <w:numId w:val="0"/>
        </w:numPr>
        <w:spacing w:line="360" w:lineRule="auto"/>
        <w:jc w:val="center"/>
        <w:rPr>
          <w:rFonts w:hint="eastAsia" w:ascii="仿宋_GB2312" w:hAnsi="仿宋_GB2312" w:eastAsia="仿宋_GB2312" w:cs="仿宋_GB2312"/>
          <w:sz w:val="44"/>
          <w:szCs w:val="44"/>
          <w:lang w:val="en-US" w:eastAsia="zh-CN"/>
        </w:rPr>
      </w:pPr>
    </w:p>
    <w:p>
      <w:pPr>
        <w:numPr>
          <w:ilvl w:val="0"/>
          <w:numId w:val="0"/>
        </w:numPr>
        <w:spacing w:line="360" w:lineRule="auto"/>
        <w:jc w:val="center"/>
        <w:rPr>
          <w:rFonts w:hint="eastAsia" w:ascii="仿宋_GB2312" w:hAnsi="仿宋_GB2312" w:eastAsia="仿宋_GB2312" w:cs="仿宋_GB2312"/>
          <w:sz w:val="44"/>
          <w:szCs w:val="44"/>
          <w:lang w:val="en-US" w:eastAsia="zh-CN"/>
        </w:rPr>
      </w:pPr>
    </w:p>
    <w:p>
      <w:pPr>
        <w:numPr>
          <w:ilvl w:val="0"/>
          <w:numId w:val="0"/>
        </w:numPr>
        <w:spacing w:line="360" w:lineRule="auto"/>
        <w:jc w:val="center"/>
        <w:rPr>
          <w:rFonts w:hint="eastAsia" w:ascii="仿宋_GB2312" w:hAnsi="仿宋_GB2312" w:eastAsia="仿宋_GB2312" w:cs="仿宋_GB2312"/>
          <w:color w:val="auto"/>
          <w:sz w:val="44"/>
          <w:szCs w:val="44"/>
          <w:lang w:val="en-US" w:eastAsia="zh-CN"/>
        </w:rPr>
      </w:pPr>
    </w:p>
    <w:p>
      <w:pPr>
        <w:spacing w:line="360" w:lineRule="auto"/>
        <w:jc w:val="center"/>
        <w:rPr>
          <w:rFonts w:hint="eastAsia" w:ascii="仿宋_GB2312" w:hAnsi="仿宋_GB2312" w:eastAsia="仿宋_GB2312" w:cs="仿宋_GB2312"/>
          <w:color w:val="auto"/>
          <w:sz w:val="44"/>
          <w:szCs w:val="44"/>
          <w:lang w:val="en-US" w:eastAsia="zh-CN"/>
        </w:rPr>
      </w:pPr>
      <w:r>
        <w:rPr>
          <w:rFonts w:hint="eastAsia" w:ascii="仿宋_GB2312" w:hAnsi="仿宋_GB2312" w:eastAsia="仿宋_GB2312" w:cs="仿宋_GB2312"/>
          <w:sz w:val="44"/>
          <w:szCs w:val="44"/>
          <w:lang w:val="en-US" w:eastAsia="zh-CN"/>
        </w:rPr>
        <w:t>七、</w:t>
      </w:r>
      <w:r>
        <w:rPr>
          <w:rFonts w:hint="eastAsia" w:ascii="仿宋_GB2312" w:hAnsi="仿宋_GB2312" w:eastAsia="仿宋_GB2312" w:cs="仿宋_GB2312"/>
          <w:color w:val="auto"/>
          <w:sz w:val="44"/>
          <w:szCs w:val="44"/>
          <w:lang w:val="en-US" w:eastAsia="zh-CN"/>
        </w:rPr>
        <w:t>项目实施方案</w:t>
      </w:r>
    </w:p>
    <w:p>
      <w:pPr>
        <w:numPr>
          <w:ilvl w:val="0"/>
          <w:numId w:val="0"/>
        </w:numPr>
        <w:spacing w:line="360" w:lineRule="auto"/>
        <w:jc w:val="center"/>
        <w:rPr>
          <w:rFonts w:hint="eastAsia" w:ascii="仿宋_GB2312" w:hAnsi="仿宋_GB2312" w:eastAsia="仿宋_GB2312" w:cs="仿宋_GB2312"/>
          <w:sz w:val="44"/>
          <w:szCs w:val="44"/>
          <w:lang w:val="en-US" w:eastAsia="zh-CN"/>
        </w:rPr>
      </w:pPr>
      <w:r>
        <w:rPr>
          <w:rFonts w:hint="eastAsia" w:ascii="仿宋_GB2312" w:hAnsi="仿宋_GB2312" w:eastAsia="仿宋_GB2312" w:cs="仿宋_GB2312"/>
          <w:color w:val="auto"/>
          <w:sz w:val="32"/>
          <w:szCs w:val="40"/>
          <w:lang w:val="en-US" w:eastAsia="zh-CN"/>
        </w:rPr>
        <w:t>（格式自拟）</w:t>
      </w:r>
    </w:p>
    <w:p>
      <w:pPr>
        <w:pStyle w:val="6"/>
        <w:rPr>
          <w:rFonts w:hint="eastAsia" w:ascii="仿宋_GB2312" w:hAnsi="仿宋_GB2312" w:eastAsia="仿宋_GB2312" w:cs="仿宋_GB2312"/>
          <w:b/>
          <w:bCs/>
          <w:color w:val="auto"/>
          <w:kern w:val="2"/>
          <w:sz w:val="32"/>
          <w:szCs w:val="40"/>
          <w:u w:val="single"/>
          <w:lang w:val="en-US" w:eastAsia="zh-CN" w:bidi="ar-SA"/>
        </w:rPr>
      </w:pPr>
    </w:p>
    <w:p>
      <w:pPr>
        <w:pageBreakBefore w:val="0"/>
        <w:kinsoku/>
        <w:wordWrap/>
        <w:overflowPunct/>
        <w:topLinePunct w:val="0"/>
        <w:autoSpaceDE/>
        <w:autoSpaceDN/>
        <w:bidi w:val="0"/>
        <w:snapToGrid/>
        <w:spacing w:line="360" w:lineRule="auto"/>
        <w:jc w:val="left"/>
        <w:rPr>
          <w:rFonts w:hint="eastAsia" w:ascii="仿宋_GB2312" w:hAnsi="仿宋_GB2312" w:eastAsia="仿宋_GB2312" w:cs="仿宋_GB2312"/>
          <w:sz w:val="40"/>
          <w:szCs w:val="40"/>
          <w:lang w:eastAsia="zh-CN"/>
        </w:rPr>
      </w:pPr>
      <w:r>
        <w:rPr>
          <w:rFonts w:hint="eastAsia" w:ascii="仿宋_GB2312" w:hAnsi="仿宋_GB2312" w:eastAsia="仿宋_GB2312" w:cs="仿宋_GB2312"/>
          <w:sz w:val="32"/>
          <w:szCs w:val="40"/>
        </w:rPr>
        <w:br w:type="page"/>
      </w:r>
      <w:r>
        <w:rPr>
          <w:rFonts w:hint="eastAsia" w:ascii="仿宋_GB2312" w:hAnsi="仿宋_GB2312" w:eastAsia="仿宋_GB2312" w:cs="仿宋_GB2312"/>
          <w:sz w:val="32"/>
          <w:szCs w:val="40"/>
        </w:rPr>
        <w:t>附件</w:t>
      </w:r>
      <w:r>
        <w:rPr>
          <w:rFonts w:hint="eastAsia" w:ascii="仿宋_GB2312" w:hAnsi="仿宋_GB2312" w:eastAsia="仿宋_GB2312" w:cs="仿宋_GB2312"/>
          <w:sz w:val="32"/>
          <w:szCs w:val="40"/>
          <w:lang w:val="en-US" w:eastAsia="zh-CN"/>
        </w:rPr>
        <w:t>2</w:t>
      </w:r>
      <w:r>
        <w:rPr>
          <w:rFonts w:hint="eastAsia" w:ascii="仿宋_GB2312" w:hAnsi="仿宋_GB2312" w:eastAsia="仿宋_GB2312" w:cs="仿宋_GB2312"/>
          <w:sz w:val="32"/>
          <w:szCs w:val="40"/>
        </w:rPr>
        <w:t>：</w:t>
      </w:r>
    </w:p>
    <w:p>
      <w:pPr>
        <w:pStyle w:val="8"/>
        <w:shd w:val="clear" w:color="auto" w:fill="auto"/>
        <w:spacing w:beforeAutospacing="0" w:afterAutospacing="0" w:line="360" w:lineRule="auto"/>
        <w:jc w:val="center"/>
        <w:outlineLvl w:val="1"/>
        <w:rPr>
          <w:rFonts w:hint="eastAsia" w:ascii="仿宋_GB2312" w:hAnsi="仿宋_GB2312" w:eastAsia="仿宋_GB2312" w:cs="仿宋_GB2312"/>
          <w:sz w:val="40"/>
          <w:szCs w:val="40"/>
          <w:lang w:eastAsia="zh-CN"/>
        </w:rPr>
      </w:pPr>
      <w:r>
        <w:rPr>
          <w:rFonts w:hint="eastAsia" w:ascii="仿宋_GB2312" w:hAnsi="仿宋_GB2312" w:eastAsia="仿宋_GB2312" w:cs="仿宋_GB2312"/>
          <w:sz w:val="40"/>
          <w:szCs w:val="40"/>
          <w:lang w:eastAsia="zh-CN"/>
        </w:rPr>
        <w:t>评分细则</w:t>
      </w:r>
    </w:p>
    <w:p>
      <w:pPr>
        <w:bidi w:val="0"/>
        <w:spacing w:line="360" w:lineRule="auto"/>
        <w:rPr>
          <w:rFonts w:hint="eastAsia" w:ascii="仿宋_GB2312" w:hAnsi="仿宋_GB2312" w:eastAsia="仿宋_GB2312" w:cs="仿宋_GB2312"/>
        </w:rPr>
      </w:pPr>
      <w:r>
        <w:rPr>
          <w:rFonts w:hint="eastAsia" w:ascii="仿宋_GB2312" w:hAnsi="仿宋_GB2312" w:eastAsia="仿宋_GB2312" w:cs="仿宋_GB2312"/>
        </w:rPr>
        <w:t>本次评标采用综合评分法，分值为满分100分，评分细则内容及分值情况如下：</w:t>
      </w:r>
    </w:p>
    <w:tbl>
      <w:tblPr>
        <w:tblStyle w:val="9"/>
        <w:tblpPr w:leftFromText="180" w:rightFromText="180" w:vertAnchor="text" w:horzAnchor="margin" w:tblpXSpec="center" w:tblpY="346"/>
        <w:tblW w:w="9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0" w:type="dxa"/>
          <w:left w:w="108" w:type="dxa"/>
          <w:bottom w:w="20" w:type="dxa"/>
          <w:right w:w="108" w:type="dxa"/>
        </w:tblCellMar>
      </w:tblPr>
      <w:tblGrid>
        <w:gridCol w:w="680"/>
        <w:gridCol w:w="680"/>
        <w:gridCol w:w="2343"/>
        <w:gridCol w:w="870"/>
        <w:gridCol w:w="47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jc w:val="center"/>
        </w:trPr>
        <w:tc>
          <w:tcPr>
            <w:tcW w:w="680" w:type="dxa"/>
            <w:vAlign w:val="center"/>
          </w:tcPr>
          <w:p>
            <w:pPr>
              <w:wordWrap w:val="0"/>
              <w:jc w:val="center"/>
              <w:rPr>
                <w:rFonts w:hint="eastAsia" w:ascii="仿宋_GB2312" w:hAnsi="仿宋_GB2312" w:eastAsia="仿宋_GB2312" w:cs="仿宋_GB2312"/>
              </w:rPr>
            </w:pPr>
            <w:r>
              <w:rPr>
                <w:rFonts w:hint="eastAsia" w:ascii="仿宋_GB2312" w:hAnsi="仿宋_GB2312" w:eastAsia="仿宋_GB2312" w:cs="仿宋_GB2312"/>
              </w:rPr>
              <w:t>序号</w:t>
            </w:r>
          </w:p>
        </w:tc>
        <w:tc>
          <w:tcPr>
            <w:tcW w:w="3893" w:type="dxa"/>
            <w:gridSpan w:val="3"/>
            <w:vAlign w:val="center"/>
          </w:tcPr>
          <w:p>
            <w:pPr>
              <w:wordWrap w:val="0"/>
              <w:jc w:val="center"/>
              <w:rPr>
                <w:rFonts w:hint="eastAsia" w:ascii="仿宋_GB2312" w:hAnsi="仿宋_GB2312" w:eastAsia="仿宋_GB2312" w:cs="仿宋_GB2312"/>
              </w:rPr>
            </w:pPr>
            <w:r>
              <w:rPr>
                <w:rFonts w:hint="eastAsia" w:ascii="仿宋_GB2312" w:hAnsi="仿宋_GB2312" w:eastAsia="仿宋_GB2312" w:cs="仿宋_GB2312"/>
              </w:rPr>
              <w:t>评分项</w:t>
            </w:r>
          </w:p>
        </w:tc>
        <w:tc>
          <w:tcPr>
            <w:tcW w:w="4783" w:type="dxa"/>
            <w:vAlign w:val="center"/>
          </w:tcPr>
          <w:p>
            <w:pPr>
              <w:wordWrap w:val="0"/>
              <w:jc w:val="center"/>
              <w:rPr>
                <w:rFonts w:hint="eastAsia" w:ascii="仿宋_GB2312" w:hAnsi="仿宋_GB2312" w:eastAsia="仿宋_GB2312" w:cs="仿宋_GB2312"/>
              </w:rPr>
            </w:pPr>
            <w:r>
              <w:rPr>
                <w:rFonts w:hint="eastAsia" w:ascii="仿宋_GB2312" w:hAnsi="仿宋_GB2312" w:eastAsia="仿宋_GB2312" w:cs="仿宋_GB2312"/>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trHeight w:val="90" w:hRule="atLeast"/>
          <w:jc w:val="center"/>
        </w:trPr>
        <w:tc>
          <w:tcPr>
            <w:tcW w:w="680" w:type="dxa"/>
            <w:vMerge w:val="restart"/>
            <w:vAlign w:val="center"/>
          </w:tcPr>
          <w:p>
            <w:pPr>
              <w:wordWrap w:val="0"/>
              <w:jc w:val="center"/>
              <w:rPr>
                <w:rFonts w:hint="eastAsia" w:ascii="仿宋_GB2312" w:hAnsi="仿宋_GB2312" w:eastAsia="仿宋_GB2312" w:cs="仿宋_GB2312"/>
              </w:rPr>
            </w:pPr>
            <w:r>
              <w:rPr>
                <w:rFonts w:hint="eastAsia" w:ascii="仿宋_GB2312" w:hAnsi="仿宋_GB2312" w:eastAsia="仿宋_GB2312" w:cs="仿宋_GB2312"/>
              </w:rPr>
              <w:t>1</w:t>
            </w:r>
          </w:p>
        </w:tc>
        <w:tc>
          <w:tcPr>
            <w:tcW w:w="3893" w:type="dxa"/>
            <w:gridSpan w:val="3"/>
          </w:tcPr>
          <w:p>
            <w:pPr>
              <w:wordWrap w:val="0"/>
              <w:jc w:val="center"/>
              <w:rPr>
                <w:rFonts w:hint="eastAsia" w:ascii="仿宋_GB2312" w:hAnsi="仿宋_GB2312" w:eastAsia="仿宋_GB2312" w:cs="仿宋_GB2312"/>
              </w:rPr>
            </w:pPr>
            <w:r>
              <w:rPr>
                <w:rFonts w:hint="eastAsia" w:ascii="仿宋_GB2312" w:hAnsi="仿宋_GB2312" w:eastAsia="仿宋_GB2312" w:cs="仿宋_GB2312"/>
              </w:rPr>
              <w:t>价格</w:t>
            </w:r>
          </w:p>
        </w:tc>
        <w:tc>
          <w:tcPr>
            <w:tcW w:w="4783" w:type="dxa"/>
          </w:tcPr>
          <w:p>
            <w:pPr>
              <w:wordWrap w:val="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jc w:val="center"/>
        </w:trPr>
        <w:tc>
          <w:tcPr>
            <w:tcW w:w="680" w:type="dxa"/>
            <w:vMerge w:val="continue"/>
          </w:tcPr>
          <w:p>
            <w:pPr>
              <w:wordWrap w:val="0"/>
              <w:jc w:val="center"/>
              <w:rPr>
                <w:rFonts w:hint="eastAsia" w:ascii="仿宋_GB2312" w:hAnsi="仿宋_GB2312" w:eastAsia="仿宋_GB2312" w:cs="仿宋_GB2312"/>
              </w:rPr>
            </w:pPr>
          </w:p>
        </w:tc>
        <w:tc>
          <w:tcPr>
            <w:tcW w:w="680" w:type="dxa"/>
            <w:vAlign w:val="center"/>
          </w:tcPr>
          <w:p>
            <w:pPr>
              <w:wordWrap w:val="0"/>
              <w:jc w:val="center"/>
              <w:rPr>
                <w:rFonts w:hint="eastAsia" w:ascii="仿宋_GB2312" w:hAnsi="仿宋_GB2312" w:eastAsia="仿宋_GB2312" w:cs="仿宋_GB2312"/>
              </w:rPr>
            </w:pPr>
            <w:r>
              <w:rPr>
                <w:rFonts w:hint="eastAsia" w:ascii="仿宋_GB2312" w:hAnsi="仿宋_GB2312" w:eastAsia="仿宋_GB2312" w:cs="仿宋_GB2312"/>
                <w:szCs w:val="21"/>
              </w:rPr>
              <w:t>序号</w:t>
            </w:r>
          </w:p>
        </w:tc>
        <w:tc>
          <w:tcPr>
            <w:tcW w:w="2343" w:type="dxa"/>
            <w:vAlign w:val="center"/>
          </w:tcPr>
          <w:p>
            <w:pPr>
              <w:wordWrap w:val="0"/>
              <w:jc w:val="center"/>
              <w:rPr>
                <w:rFonts w:hint="eastAsia" w:ascii="仿宋_GB2312" w:hAnsi="仿宋_GB2312" w:eastAsia="仿宋_GB2312" w:cs="仿宋_GB2312"/>
              </w:rPr>
            </w:pPr>
            <w:r>
              <w:rPr>
                <w:rFonts w:hint="eastAsia" w:ascii="仿宋_GB2312" w:hAnsi="仿宋_GB2312" w:eastAsia="仿宋_GB2312" w:cs="仿宋_GB2312"/>
                <w:szCs w:val="21"/>
              </w:rPr>
              <w:t>评分因素</w:t>
            </w:r>
          </w:p>
        </w:tc>
        <w:tc>
          <w:tcPr>
            <w:tcW w:w="870" w:type="dxa"/>
            <w:vAlign w:val="center"/>
          </w:tcPr>
          <w:p>
            <w:pPr>
              <w:wordWrap w:val="0"/>
              <w:jc w:val="center"/>
              <w:rPr>
                <w:rFonts w:hint="eastAsia" w:ascii="仿宋_GB2312" w:hAnsi="仿宋_GB2312" w:eastAsia="仿宋_GB2312" w:cs="仿宋_GB2312"/>
              </w:rPr>
            </w:pPr>
            <w:r>
              <w:rPr>
                <w:rFonts w:hint="eastAsia" w:ascii="仿宋_GB2312" w:hAnsi="仿宋_GB2312" w:eastAsia="仿宋_GB2312" w:cs="仿宋_GB2312"/>
                <w:szCs w:val="21"/>
              </w:rPr>
              <w:t>权重</w:t>
            </w:r>
          </w:p>
        </w:tc>
        <w:tc>
          <w:tcPr>
            <w:tcW w:w="4783" w:type="dxa"/>
            <w:vAlign w:val="center"/>
          </w:tcPr>
          <w:p>
            <w:pPr>
              <w:wordWrap w:val="0"/>
              <w:jc w:val="center"/>
              <w:rPr>
                <w:rFonts w:hint="eastAsia" w:ascii="仿宋_GB2312" w:hAnsi="仿宋_GB2312" w:eastAsia="仿宋_GB2312" w:cs="仿宋_GB2312"/>
              </w:rPr>
            </w:pPr>
            <w:r>
              <w:rPr>
                <w:rFonts w:hint="eastAsia" w:ascii="仿宋_GB2312" w:hAnsi="仿宋_GB2312" w:eastAsia="仿宋_GB2312" w:cs="仿宋_GB2312"/>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jc w:val="center"/>
        </w:trPr>
        <w:tc>
          <w:tcPr>
            <w:tcW w:w="680" w:type="dxa"/>
            <w:vMerge w:val="continue"/>
          </w:tcPr>
          <w:p>
            <w:pPr>
              <w:wordWrap w:val="0"/>
              <w:jc w:val="center"/>
              <w:rPr>
                <w:rFonts w:hint="eastAsia" w:ascii="仿宋_GB2312" w:hAnsi="仿宋_GB2312" w:eastAsia="仿宋_GB2312" w:cs="仿宋_GB2312"/>
              </w:rPr>
            </w:pPr>
          </w:p>
        </w:tc>
        <w:tc>
          <w:tcPr>
            <w:tcW w:w="680" w:type="dxa"/>
            <w:vAlign w:val="center"/>
          </w:tcPr>
          <w:p>
            <w:pPr>
              <w:wordWrap w:val="0"/>
              <w:jc w:val="center"/>
              <w:rPr>
                <w:rFonts w:hint="eastAsia" w:ascii="仿宋_GB2312" w:hAnsi="仿宋_GB2312" w:eastAsia="仿宋_GB2312" w:cs="仿宋_GB2312"/>
                <w:szCs w:val="21"/>
              </w:rPr>
            </w:pPr>
            <w:r>
              <w:rPr>
                <w:rFonts w:hint="eastAsia" w:ascii="仿宋_GB2312" w:hAnsi="仿宋_GB2312" w:eastAsia="仿宋_GB2312" w:cs="仿宋_GB2312"/>
                <w:szCs w:val="21"/>
              </w:rPr>
              <w:t>1</w:t>
            </w:r>
          </w:p>
        </w:tc>
        <w:tc>
          <w:tcPr>
            <w:tcW w:w="2343" w:type="dxa"/>
            <w:vAlign w:val="center"/>
          </w:tcPr>
          <w:p>
            <w:pPr>
              <w:wordWrap w:val="0"/>
              <w:jc w:val="center"/>
              <w:rPr>
                <w:rFonts w:hint="eastAsia" w:ascii="仿宋_GB2312" w:hAnsi="仿宋_GB2312" w:eastAsia="仿宋_GB2312" w:cs="仿宋_GB2312"/>
                <w:szCs w:val="21"/>
              </w:rPr>
            </w:pPr>
            <w:r>
              <w:rPr>
                <w:rFonts w:hint="eastAsia" w:ascii="仿宋_GB2312" w:hAnsi="仿宋_GB2312" w:eastAsia="仿宋_GB2312" w:cs="仿宋_GB2312"/>
                <w:szCs w:val="21"/>
                <w:lang w:eastAsia="zh-CN"/>
              </w:rPr>
              <w:t>投标</w:t>
            </w:r>
            <w:r>
              <w:rPr>
                <w:rFonts w:hint="eastAsia" w:ascii="仿宋_GB2312" w:hAnsi="仿宋_GB2312" w:eastAsia="仿宋_GB2312" w:cs="仿宋_GB2312"/>
                <w:szCs w:val="21"/>
              </w:rPr>
              <w:t>报价</w:t>
            </w:r>
          </w:p>
        </w:tc>
        <w:tc>
          <w:tcPr>
            <w:tcW w:w="870" w:type="dxa"/>
            <w:vAlign w:val="center"/>
          </w:tcPr>
          <w:p>
            <w:pPr>
              <w:wordWrap w:val="0"/>
              <w:jc w:val="center"/>
              <w:rPr>
                <w:rFonts w:hint="eastAsia" w:ascii="仿宋_GB2312" w:hAnsi="仿宋_GB2312" w:eastAsia="仿宋_GB2312" w:cs="仿宋_GB2312"/>
                <w:szCs w:val="21"/>
              </w:rPr>
            </w:pPr>
            <w:r>
              <w:rPr>
                <w:rFonts w:hint="eastAsia" w:ascii="仿宋_GB2312" w:hAnsi="仿宋_GB2312" w:eastAsia="仿宋_GB2312" w:cs="仿宋_GB2312"/>
                <w:szCs w:val="21"/>
                <w:lang w:val="en-US" w:eastAsia="zh-CN"/>
              </w:rPr>
              <w:t>4</w:t>
            </w:r>
            <w:r>
              <w:rPr>
                <w:rFonts w:hint="eastAsia" w:ascii="仿宋_GB2312" w:hAnsi="仿宋_GB2312" w:eastAsia="仿宋_GB2312" w:cs="仿宋_GB2312"/>
                <w:szCs w:val="21"/>
              </w:rPr>
              <w:t>0</w:t>
            </w:r>
          </w:p>
        </w:tc>
        <w:tc>
          <w:tcPr>
            <w:tcW w:w="4783" w:type="dxa"/>
            <w:vAlign w:val="center"/>
          </w:tcPr>
          <w:p>
            <w:pPr>
              <w:wordWrap w:val="0"/>
              <w:jc w:val="left"/>
              <w:rPr>
                <w:rFonts w:hint="eastAsia" w:ascii="仿宋_GB2312" w:hAnsi="仿宋_GB2312" w:eastAsia="仿宋_GB2312" w:cs="仿宋_GB2312"/>
                <w:color w:val="000000" w:themeColor="text1"/>
                <w:lang w:val="en-US" w:eastAsia="zh-CN"/>
                <w14:textFill>
                  <w14:solidFill>
                    <w14:schemeClr w14:val="tx1"/>
                  </w14:solidFill>
                </w14:textFill>
              </w:rPr>
            </w:pPr>
            <w:r>
              <w:rPr>
                <w:rFonts w:hint="eastAsia" w:ascii="仿宋_GB2312" w:hAnsi="仿宋_GB2312" w:eastAsia="仿宋_GB2312" w:cs="仿宋_GB2312"/>
                <w:color w:val="000000" w:themeColor="text1"/>
                <w:lang w:val="en-US" w:eastAsia="zh-CN"/>
                <w14:textFill>
                  <w14:solidFill>
                    <w14:schemeClr w14:val="tx1"/>
                  </w14:solidFill>
                </w14:textFill>
              </w:rPr>
              <w:t xml:space="preserve">（1）基准价：为所有投标报价算术平均值。 </w:t>
            </w:r>
          </w:p>
          <w:p>
            <w:pPr>
              <w:wordWrap w:val="0"/>
              <w:jc w:val="left"/>
              <w:rPr>
                <w:rFonts w:hint="eastAsia" w:ascii="仿宋_GB2312" w:hAnsi="仿宋_GB2312" w:eastAsia="仿宋_GB2312" w:cs="仿宋_GB2312"/>
                <w:color w:val="000000" w:themeColor="text1"/>
                <w:lang w:val="en-US" w:eastAsia="zh-CN"/>
                <w14:textFill>
                  <w14:solidFill>
                    <w14:schemeClr w14:val="tx1"/>
                  </w14:solidFill>
                </w14:textFill>
              </w:rPr>
            </w:pPr>
            <w:r>
              <w:rPr>
                <w:rFonts w:hint="eastAsia" w:ascii="仿宋_GB2312" w:hAnsi="仿宋_GB2312" w:eastAsia="仿宋_GB2312" w:cs="仿宋_GB2312"/>
                <w:color w:val="000000" w:themeColor="text1"/>
                <w:lang w:val="en-US" w:eastAsia="zh-CN"/>
                <w14:textFill>
                  <w14:solidFill>
                    <w14:schemeClr w14:val="tx1"/>
                  </w14:solidFill>
                </w14:textFill>
              </w:rPr>
              <w:t>（2）算法类型按固定乘积法：</w:t>
            </w:r>
          </w:p>
          <w:p>
            <w:pPr>
              <w:wordWrap w:val="0"/>
              <w:jc w:val="left"/>
              <w:rPr>
                <w:rFonts w:hint="eastAsia" w:ascii="仿宋_GB2312" w:hAnsi="仿宋_GB2312" w:eastAsia="仿宋_GB2312" w:cs="仿宋_GB2312"/>
                <w:color w:val="000000" w:themeColor="text1"/>
                <w:lang w:val="en-US" w:eastAsia="zh-CN"/>
                <w14:textFill>
                  <w14:solidFill>
                    <w14:schemeClr w14:val="tx1"/>
                  </w14:solidFill>
                </w14:textFill>
              </w:rPr>
            </w:pPr>
            <w:r>
              <w:rPr>
                <w:rFonts w:hint="eastAsia" w:ascii="仿宋_GB2312" w:hAnsi="仿宋_GB2312" w:eastAsia="仿宋_GB2312" w:cs="仿宋_GB2312"/>
                <w:color w:val="000000" w:themeColor="text1"/>
                <w:lang w:val="en-US" w:eastAsia="zh-CN"/>
                <w14:textFill>
                  <w14:solidFill>
                    <w14:schemeClr w14:val="tx1"/>
                  </w14:solidFill>
                </w14:textFill>
              </w:rPr>
              <w:t>投标报价得分=（1-A×｜1-投标报价/基准价｜）×40</w:t>
            </w:r>
          </w:p>
          <w:p>
            <w:pPr>
              <w:wordWrap w:val="0"/>
              <w:jc w:val="left"/>
              <w:rPr>
                <w:rFonts w:hint="eastAsia" w:ascii="仿宋_GB2312" w:hAnsi="仿宋_GB2312" w:eastAsia="仿宋_GB2312" w:cs="仿宋_GB2312"/>
                <w:color w:val="000000" w:themeColor="text1"/>
                <w:lang w:val="en-US" w:eastAsia="zh-CN"/>
                <w14:textFill>
                  <w14:solidFill>
                    <w14:schemeClr w14:val="tx1"/>
                  </w14:solidFill>
                </w14:textFill>
              </w:rPr>
            </w:pPr>
            <w:r>
              <w:rPr>
                <w:rFonts w:hint="eastAsia" w:ascii="仿宋_GB2312" w:hAnsi="仿宋_GB2312" w:eastAsia="仿宋_GB2312" w:cs="仿宋_GB2312"/>
                <w:color w:val="000000" w:themeColor="text1"/>
                <w:lang w:val="en-US" w:eastAsia="zh-CN"/>
                <w14:textFill>
                  <w14:solidFill>
                    <w14:schemeClr w14:val="tx1"/>
                  </w14:solidFill>
                </w14:textFill>
              </w:rPr>
              <w:t xml:space="preserve">A为价格调整系数，当投标报价低于本次招标最佳报价（即基准价）时，A=0.8；当投标报价高于本次招标最佳报价时，取A=1； </w:t>
            </w:r>
          </w:p>
          <w:p>
            <w:pPr>
              <w:wordWrap w:val="0"/>
              <w:jc w:val="left"/>
              <w:rPr>
                <w:rFonts w:hint="eastAsia" w:ascii="仿宋_GB2312" w:hAnsi="仿宋_GB2312" w:eastAsia="仿宋_GB2312" w:cs="仿宋_GB2312"/>
                <w:color w:val="000000" w:themeColor="text1"/>
                <w:lang w:val="en-US" w:eastAsia="zh-CN"/>
                <w14:textFill>
                  <w14:solidFill>
                    <w14:schemeClr w14:val="tx1"/>
                  </w14:solidFill>
                </w14:textFill>
              </w:rPr>
            </w:pPr>
            <w:r>
              <w:rPr>
                <w:rFonts w:hint="eastAsia" w:ascii="仿宋_GB2312" w:hAnsi="仿宋_GB2312" w:eastAsia="仿宋_GB2312" w:cs="仿宋_GB2312"/>
                <w:color w:val="000000" w:themeColor="text1"/>
                <w:lang w:val="en-US" w:eastAsia="zh-CN"/>
                <w14:textFill>
                  <w14:solidFill>
                    <w14:schemeClr w14:val="tx1"/>
                  </w14:solidFill>
                </w14:textFill>
              </w:rPr>
              <w:t>计算分数时四舍五入取小数点后两位，当价格分＜0时，取0。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jc w:val="center"/>
        </w:trPr>
        <w:tc>
          <w:tcPr>
            <w:tcW w:w="680" w:type="dxa"/>
            <w:vMerge w:val="restart"/>
            <w:vAlign w:val="center"/>
          </w:tcPr>
          <w:p>
            <w:pPr>
              <w:wordWrap w:val="0"/>
              <w:jc w:val="center"/>
              <w:rPr>
                <w:rFonts w:hint="eastAsia" w:ascii="仿宋_GB2312" w:hAnsi="仿宋_GB2312" w:eastAsia="仿宋_GB2312" w:cs="仿宋_GB2312"/>
              </w:rPr>
            </w:pPr>
            <w:r>
              <w:rPr>
                <w:rFonts w:hint="eastAsia" w:ascii="仿宋_GB2312" w:hAnsi="仿宋_GB2312" w:eastAsia="仿宋_GB2312" w:cs="仿宋_GB2312"/>
              </w:rPr>
              <w:t>2</w:t>
            </w:r>
          </w:p>
        </w:tc>
        <w:tc>
          <w:tcPr>
            <w:tcW w:w="3893" w:type="dxa"/>
            <w:gridSpan w:val="3"/>
          </w:tcPr>
          <w:p>
            <w:pPr>
              <w:wordWrap w:val="0"/>
              <w:jc w:val="center"/>
              <w:rPr>
                <w:rFonts w:hint="eastAsia" w:ascii="仿宋_GB2312" w:hAnsi="仿宋_GB2312" w:eastAsia="仿宋_GB2312" w:cs="仿宋_GB2312"/>
              </w:rPr>
            </w:pPr>
            <w:r>
              <w:rPr>
                <w:rFonts w:hint="eastAsia" w:ascii="仿宋_GB2312" w:hAnsi="仿宋_GB2312" w:eastAsia="仿宋_GB2312" w:cs="仿宋_GB2312"/>
              </w:rPr>
              <w:t>技术部分</w:t>
            </w:r>
          </w:p>
        </w:tc>
        <w:tc>
          <w:tcPr>
            <w:tcW w:w="4783" w:type="dxa"/>
          </w:tcPr>
          <w:p>
            <w:pPr>
              <w:wordWrap w:val="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jc w:val="center"/>
        </w:trPr>
        <w:tc>
          <w:tcPr>
            <w:tcW w:w="680" w:type="dxa"/>
            <w:vMerge w:val="continue"/>
            <w:vAlign w:val="center"/>
          </w:tcPr>
          <w:p>
            <w:pPr>
              <w:rPr>
                <w:rFonts w:hint="eastAsia" w:ascii="仿宋_GB2312" w:hAnsi="仿宋_GB2312" w:eastAsia="仿宋_GB2312" w:cs="仿宋_GB2312"/>
              </w:rPr>
            </w:pPr>
          </w:p>
        </w:tc>
        <w:tc>
          <w:tcPr>
            <w:tcW w:w="680" w:type="dxa"/>
            <w:vAlign w:val="center"/>
          </w:tcPr>
          <w:p>
            <w:pPr>
              <w:wordWrap w:val="0"/>
              <w:jc w:val="center"/>
              <w:rPr>
                <w:rFonts w:hint="eastAsia" w:ascii="仿宋_GB2312" w:hAnsi="仿宋_GB2312" w:eastAsia="仿宋_GB2312" w:cs="仿宋_GB2312"/>
                <w:szCs w:val="21"/>
              </w:rPr>
            </w:pPr>
            <w:r>
              <w:rPr>
                <w:rFonts w:hint="eastAsia" w:ascii="仿宋_GB2312" w:hAnsi="仿宋_GB2312" w:eastAsia="仿宋_GB2312" w:cs="仿宋_GB2312"/>
                <w:szCs w:val="21"/>
              </w:rPr>
              <w:t>序号</w:t>
            </w:r>
          </w:p>
        </w:tc>
        <w:tc>
          <w:tcPr>
            <w:tcW w:w="2343" w:type="dxa"/>
            <w:vAlign w:val="center"/>
          </w:tcPr>
          <w:p>
            <w:pPr>
              <w:wordWrap w:val="0"/>
              <w:jc w:val="center"/>
              <w:rPr>
                <w:rFonts w:hint="eastAsia" w:ascii="仿宋_GB2312" w:hAnsi="仿宋_GB2312" w:eastAsia="仿宋_GB2312" w:cs="仿宋_GB2312"/>
                <w:szCs w:val="21"/>
              </w:rPr>
            </w:pPr>
            <w:r>
              <w:rPr>
                <w:rFonts w:hint="eastAsia" w:ascii="仿宋_GB2312" w:hAnsi="仿宋_GB2312" w:eastAsia="仿宋_GB2312" w:cs="仿宋_GB2312"/>
                <w:szCs w:val="21"/>
              </w:rPr>
              <w:t>评分因素</w:t>
            </w:r>
          </w:p>
        </w:tc>
        <w:tc>
          <w:tcPr>
            <w:tcW w:w="870" w:type="dxa"/>
            <w:vAlign w:val="center"/>
          </w:tcPr>
          <w:p>
            <w:pPr>
              <w:wordWrap w:val="0"/>
              <w:jc w:val="center"/>
              <w:rPr>
                <w:rFonts w:hint="eastAsia" w:ascii="仿宋_GB2312" w:hAnsi="仿宋_GB2312" w:eastAsia="仿宋_GB2312" w:cs="仿宋_GB2312"/>
                <w:szCs w:val="21"/>
              </w:rPr>
            </w:pPr>
            <w:r>
              <w:rPr>
                <w:rFonts w:hint="eastAsia" w:ascii="仿宋_GB2312" w:hAnsi="仿宋_GB2312" w:eastAsia="仿宋_GB2312" w:cs="仿宋_GB2312"/>
                <w:szCs w:val="21"/>
              </w:rPr>
              <w:t>权重</w:t>
            </w:r>
          </w:p>
        </w:tc>
        <w:tc>
          <w:tcPr>
            <w:tcW w:w="4783" w:type="dxa"/>
            <w:vAlign w:val="center"/>
          </w:tcPr>
          <w:p>
            <w:pPr>
              <w:wordWrap w:val="0"/>
              <w:jc w:val="center"/>
              <w:rPr>
                <w:rFonts w:hint="eastAsia" w:ascii="仿宋_GB2312" w:hAnsi="仿宋_GB2312" w:eastAsia="仿宋_GB2312" w:cs="仿宋_GB2312"/>
                <w:szCs w:val="21"/>
              </w:rPr>
            </w:pPr>
            <w:r>
              <w:rPr>
                <w:rFonts w:hint="eastAsia" w:ascii="仿宋_GB2312" w:hAnsi="仿宋_GB2312" w:eastAsia="仿宋_GB2312" w:cs="仿宋_GB2312"/>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jc w:val="center"/>
        </w:trPr>
        <w:tc>
          <w:tcPr>
            <w:tcW w:w="680" w:type="dxa"/>
            <w:vMerge w:val="continue"/>
            <w:vAlign w:val="center"/>
          </w:tcPr>
          <w:p>
            <w:pPr>
              <w:rPr>
                <w:rFonts w:hint="eastAsia" w:ascii="仿宋_GB2312" w:hAnsi="仿宋_GB2312" w:eastAsia="仿宋_GB2312" w:cs="仿宋_GB2312"/>
              </w:rPr>
            </w:pPr>
          </w:p>
        </w:tc>
        <w:tc>
          <w:tcPr>
            <w:tcW w:w="680" w:type="dxa"/>
            <w:vAlign w:val="center"/>
          </w:tcPr>
          <w:p>
            <w:pPr>
              <w:wordWrap w:val="0"/>
              <w:jc w:val="center"/>
              <w:rPr>
                <w:rFonts w:hint="eastAsia" w:ascii="仿宋_GB2312" w:hAnsi="仿宋_GB2312" w:eastAsia="仿宋_GB2312" w:cs="仿宋_GB2312"/>
                <w:szCs w:val="21"/>
              </w:rPr>
            </w:pPr>
            <w:r>
              <w:rPr>
                <w:rFonts w:hint="eastAsia" w:ascii="仿宋_GB2312" w:hAnsi="仿宋_GB2312" w:eastAsia="仿宋_GB2312" w:cs="仿宋_GB2312"/>
                <w:szCs w:val="21"/>
              </w:rPr>
              <w:t>1</w:t>
            </w:r>
          </w:p>
        </w:tc>
        <w:tc>
          <w:tcPr>
            <w:tcW w:w="2343" w:type="dxa"/>
            <w:vAlign w:val="center"/>
          </w:tcPr>
          <w:p>
            <w:pPr>
              <w:wordWrap w:val="0"/>
              <w:jc w:val="center"/>
              <w:rPr>
                <w:rFonts w:hint="eastAsia" w:ascii="仿宋_GB2312" w:hAnsi="仿宋_GB2312" w:eastAsia="仿宋_GB2312" w:cs="仿宋_GB2312"/>
                <w:szCs w:val="21"/>
              </w:rPr>
            </w:pPr>
            <w:r>
              <w:rPr>
                <w:rFonts w:hint="eastAsia" w:ascii="仿宋_GB2312" w:hAnsi="仿宋_GB2312" w:eastAsia="仿宋_GB2312" w:cs="仿宋_GB2312"/>
                <w:szCs w:val="21"/>
                <w:lang w:val="en-US" w:eastAsia="zh-CN"/>
              </w:rPr>
              <w:t>活动总体策划</w:t>
            </w:r>
            <w:r>
              <w:rPr>
                <w:rFonts w:hint="eastAsia" w:ascii="仿宋_GB2312" w:hAnsi="仿宋_GB2312" w:eastAsia="仿宋_GB2312" w:cs="仿宋_GB2312"/>
                <w:szCs w:val="21"/>
                <w:lang w:val="zh-CN"/>
              </w:rPr>
              <w:t>方案</w:t>
            </w:r>
          </w:p>
        </w:tc>
        <w:tc>
          <w:tcPr>
            <w:tcW w:w="870" w:type="dxa"/>
            <w:vAlign w:val="center"/>
          </w:tcPr>
          <w:p>
            <w:pPr>
              <w:wordWrap w:val="0"/>
              <w:jc w:val="center"/>
              <w:rPr>
                <w:rFonts w:hint="default" w:ascii="仿宋_GB2312" w:hAnsi="仿宋_GB2312" w:eastAsia="仿宋_GB2312" w:cs="仿宋_GB2312"/>
                <w:szCs w:val="21"/>
                <w:lang w:val="en-US"/>
              </w:rPr>
            </w:pPr>
            <w:r>
              <w:rPr>
                <w:rFonts w:hint="eastAsia" w:ascii="仿宋_GB2312" w:hAnsi="仿宋_GB2312" w:eastAsia="仿宋_GB2312" w:cs="仿宋_GB2312"/>
                <w:szCs w:val="21"/>
                <w:lang w:val="en-US" w:eastAsia="zh-CN"/>
              </w:rPr>
              <w:t>35</w:t>
            </w:r>
          </w:p>
        </w:tc>
        <w:tc>
          <w:tcPr>
            <w:tcW w:w="4783" w:type="dxa"/>
          </w:tcPr>
          <w:p>
            <w:pPr>
              <w:keepNext w:val="0"/>
              <w:keepLines w:val="0"/>
              <w:pageBreakBefore w:val="0"/>
              <w:widowControl/>
              <w:numPr>
                <w:ilvl w:val="0"/>
                <w:numId w:val="0"/>
              </w:numPr>
              <w:kinsoku/>
              <w:wordWrap/>
              <w:overflowPunct/>
              <w:topLinePunct w:val="0"/>
              <w:autoSpaceDE/>
              <w:autoSpaceDN/>
              <w:bidi w:val="0"/>
              <w:adjustRightInd/>
              <w:snapToGrid/>
              <w:jc w:val="left"/>
              <w:textAlignment w:val="auto"/>
              <w:rPr>
                <w:rFonts w:hint="eastAsia" w:ascii="仿宋_GB2312" w:hAnsi="仿宋_GB2312" w:eastAsia="仿宋_GB2312" w:cs="仿宋_GB2312"/>
                <w:b/>
                <w:bCs/>
                <w:color w:val="000000" w:themeColor="text1"/>
                <w:kern w:val="0"/>
                <w:sz w:val="21"/>
                <w:szCs w:val="21"/>
                <w:lang w:val="en-US" w:eastAsia="zh-CN"/>
                <w14:textFill>
                  <w14:solidFill>
                    <w14:schemeClr w14:val="tx1"/>
                  </w14:solidFill>
                </w14:textFill>
              </w:rPr>
            </w:pPr>
            <w:r>
              <w:rPr>
                <w:rFonts w:hint="eastAsia" w:ascii="仿宋_GB2312" w:hAnsi="仿宋_GB2312" w:eastAsia="仿宋_GB2312" w:cs="仿宋_GB2312"/>
                <w:b/>
                <w:bCs/>
                <w:color w:val="000000" w:themeColor="text1"/>
                <w:kern w:val="0"/>
                <w:sz w:val="21"/>
                <w:szCs w:val="21"/>
                <w:lang w:val="en-US" w:eastAsia="zh-CN"/>
                <w14:textFill>
                  <w14:solidFill>
                    <w14:schemeClr w14:val="tx1"/>
                  </w14:solidFill>
                </w14:textFill>
              </w:rPr>
              <w:t xml:space="preserve">（一）评审内容：  </w:t>
            </w:r>
          </w:p>
          <w:p>
            <w:pPr>
              <w:keepNext w:val="0"/>
              <w:keepLines w:val="0"/>
              <w:pageBreakBefore w:val="0"/>
              <w:widowControl/>
              <w:numPr>
                <w:ilvl w:val="0"/>
                <w:numId w:val="0"/>
              </w:numPr>
              <w:kinsoku/>
              <w:wordWrap/>
              <w:overflowPunct/>
              <w:topLinePunct w:val="0"/>
              <w:autoSpaceDE/>
              <w:autoSpaceDN/>
              <w:bidi w:val="0"/>
              <w:adjustRightInd/>
              <w:snapToGrid/>
              <w:jc w:val="left"/>
              <w:textAlignment w:val="auto"/>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评委根据供应商总体策划方案响应情况进行评分：</w:t>
            </w:r>
          </w:p>
          <w:p>
            <w:pPr>
              <w:keepNext w:val="0"/>
              <w:keepLines w:val="0"/>
              <w:pageBreakBefore w:val="0"/>
              <w:widowControl/>
              <w:numPr>
                <w:ilvl w:val="0"/>
                <w:numId w:val="0"/>
              </w:numPr>
              <w:kinsoku/>
              <w:wordWrap/>
              <w:overflowPunct/>
              <w:topLinePunct w:val="0"/>
              <w:autoSpaceDE/>
              <w:autoSpaceDN/>
              <w:bidi w:val="0"/>
              <w:adjustRightInd/>
              <w:snapToGrid/>
              <w:jc w:val="left"/>
              <w:textAlignment w:val="auto"/>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供应商需针对服务中心宣传推广、清水河数智新城招商推介与片区产业发展需求，统筹方案编制与内容深化，开展活动主题设计、内容策划、创新揭牌仪式、议程设计、</w:t>
            </w:r>
            <w:r>
              <w:rPr>
                <w:rFonts w:hint="eastAsia" w:ascii="仿宋_GB2312" w:hAnsi="仿宋_GB2312" w:eastAsia="仿宋_GB2312" w:cs="仿宋_GB2312"/>
                <w:szCs w:val="21"/>
                <w:lang w:val="en-US" w:eastAsia="zh-CN"/>
              </w:rPr>
              <w:t>视觉设计与会场布置</w:t>
            </w: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等核心模块。</w:t>
            </w:r>
          </w:p>
          <w:p>
            <w:pPr>
              <w:keepNext w:val="0"/>
              <w:keepLines w:val="0"/>
              <w:pageBreakBefore w:val="0"/>
              <w:widowControl/>
              <w:numPr>
                <w:ilvl w:val="0"/>
                <w:numId w:val="0"/>
              </w:numPr>
              <w:kinsoku/>
              <w:wordWrap/>
              <w:overflowPunct/>
              <w:topLinePunct w:val="0"/>
              <w:autoSpaceDE/>
              <w:autoSpaceDN/>
              <w:bidi w:val="0"/>
              <w:adjustRightInd/>
              <w:snapToGrid/>
              <w:jc w:val="left"/>
              <w:textAlignment w:val="auto"/>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pPr>
            <w:r>
              <w:rPr>
                <w:rFonts w:hint="eastAsia" w:ascii="仿宋_GB2312" w:hAnsi="仿宋_GB2312" w:eastAsia="仿宋_GB2312" w:cs="仿宋_GB2312"/>
                <w:b/>
                <w:bCs/>
                <w:color w:val="000000" w:themeColor="text1"/>
                <w:kern w:val="0"/>
                <w:sz w:val="21"/>
                <w:szCs w:val="21"/>
                <w:lang w:val="en-US" w:eastAsia="zh-CN"/>
                <w14:textFill>
                  <w14:solidFill>
                    <w14:schemeClr w14:val="tx1"/>
                  </w14:solidFill>
                </w14:textFill>
              </w:rPr>
              <w:t>（二）评分标准：</w:t>
            </w:r>
          </w:p>
          <w:p>
            <w:pPr>
              <w:keepNext w:val="0"/>
              <w:keepLines w:val="0"/>
              <w:pageBreakBefore w:val="0"/>
              <w:widowControl/>
              <w:numPr>
                <w:ilvl w:val="0"/>
                <w:numId w:val="0"/>
              </w:numPr>
              <w:kinsoku/>
              <w:wordWrap/>
              <w:overflowPunct/>
              <w:topLinePunct w:val="0"/>
              <w:autoSpaceDE/>
              <w:autoSpaceDN/>
              <w:bidi w:val="0"/>
              <w:adjustRightInd/>
              <w:snapToGrid/>
              <w:jc w:val="left"/>
              <w:textAlignment w:val="auto"/>
              <w:rPr>
                <w:rFonts w:hint="eastAsia" w:ascii="仿宋_GB2312" w:hAnsi="仿宋_GB2312" w:eastAsia="仿宋_GB2312" w:cs="仿宋_GB2312"/>
                <w:b/>
                <w:bCs/>
                <w:color w:val="000000" w:themeColor="text1"/>
                <w:kern w:val="0"/>
                <w:sz w:val="21"/>
                <w:szCs w:val="21"/>
                <w:lang w:val="en-US" w:eastAsia="zh-CN"/>
                <w14:textFill>
                  <w14:solidFill>
                    <w14:schemeClr w14:val="tx1"/>
                  </w14:solidFill>
                </w14:textFill>
              </w:rPr>
            </w:pPr>
            <w:r>
              <w:rPr>
                <w:rFonts w:hint="eastAsia" w:ascii="仿宋_GB2312" w:hAnsi="仿宋_GB2312" w:eastAsia="仿宋_GB2312" w:cs="仿宋_GB2312"/>
                <w:b/>
                <w:bCs/>
                <w:color w:val="000000" w:themeColor="text1"/>
                <w:kern w:val="0"/>
                <w:sz w:val="21"/>
                <w:szCs w:val="21"/>
                <w:lang w:val="en-US" w:eastAsia="zh-CN"/>
                <w14:textFill>
                  <w14:solidFill>
                    <w14:schemeClr w14:val="tx1"/>
                  </w14:solidFill>
                </w14:textFill>
              </w:rPr>
              <w:t>1.活动主题设计契合度（最高5分）</w:t>
            </w:r>
          </w:p>
          <w:p>
            <w:pPr>
              <w:keepNext w:val="0"/>
              <w:keepLines w:val="0"/>
              <w:pageBreakBefore w:val="0"/>
              <w:widowControl/>
              <w:numPr>
                <w:ilvl w:val="0"/>
                <w:numId w:val="0"/>
              </w:numPr>
              <w:kinsoku/>
              <w:wordWrap/>
              <w:overflowPunct/>
              <w:topLinePunct w:val="0"/>
              <w:autoSpaceDE/>
              <w:autoSpaceDN/>
              <w:bidi w:val="0"/>
              <w:adjustRightInd/>
              <w:snapToGrid/>
              <w:jc w:val="left"/>
              <w:textAlignment w:val="auto"/>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①活动主题表述精准凝练，紧扣服务中心功能定位与清水河数智新城招商推介、片区产业发展需求，得5分；</w:t>
            </w:r>
          </w:p>
          <w:p>
            <w:pPr>
              <w:keepNext w:val="0"/>
              <w:keepLines w:val="0"/>
              <w:pageBreakBefore w:val="0"/>
              <w:widowControl/>
              <w:numPr>
                <w:ilvl w:val="0"/>
                <w:numId w:val="0"/>
              </w:numPr>
              <w:kinsoku/>
              <w:wordWrap/>
              <w:overflowPunct/>
              <w:topLinePunct w:val="0"/>
              <w:autoSpaceDE/>
              <w:autoSpaceDN/>
              <w:bidi w:val="0"/>
              <w:adjustRightInd/>
              <w:snapToGrid/>
              <w:jc w:val="left"/>
              <w:textAlignment w:val="auto"/>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②主题与活动基本相关，但表述平淡、辨识度低，与招商推介及产业需求关联较弱，得2-4分；</w:t>
            </w:r>
          </w:p>
          <w:p>
            <w:pPr>
              <w:keepNext w:val="0"/>
              <w:keepLines w:val="0"/>
              <w:pageBreakBefore w:val="0"/>
              <w:widowControl/>
              <w:numPr>
                <w:ilvl w:val="0"/>
                <w:numId w:val="0"/>
              </w:numPr>
              <w:kinsoku/>
              <w:wordWrap/>
              <w:overflowPunct/>
              <w:topLinePunct w:val="0"/>
              <w:autoSpaceDE/>
              <w:autoSpaceDN/>
              <w:bidi w:val="0"/>
              <w:adjustRightInd/>
              <w:snapToGrid/>
              <w:jc w:val="left"/>
              <w:textAlignment w:val="auto"/>
              <w:rPr>
                <w:rFonts w:hint="default"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③未提供主题设计方案，或主题与活动定位明显不符，得0分。</w:t>
            </w:r>
          </w:p>
          <w:p>
            <w:pPr>
              <w:keepNext w:val="0"/>
              <w:keepLines w:val="0"/>
              <w:pageBreakBefore w:val="0"/>
              <w:widowControl/>
              <w:numPr>
                <w:ilvl w:val="0"/>
                <w:numId w:val="0"/>
              </w:numPr>
              <w:kinsoku/>
              <w:wordWrap/>
              <w:overflowPunct/>
              <w:topLinePunct w:val="0"/>
              <w:autoSpaceDE/>
              <w:autoSpaceDN/>
              <w:bidi w:val="0"/>
              <w:adjustRightInd/>
              <w:snapToGrid/>
              <w:jc w:val="left"/>
              <w:textAlignment w:val="auto"/>
              <w:rPr>
                <w:rFonts w:hint="eastAsia" w:ascii="仿宋_GB2312" w:hAnsi="仿宋_GB2312" w:eastAsia="仿宋_GB2312" w:cs="仿宋_GB2312"/>
                <w:b/>
                <w:bCs/>
                <w:color w:val="000000" w:themeColor="text1"/>
                <w:kern w:val="0"/>
                <w:sz w:val="21"/>
                <w:szCs w:val="21"/>
                <w:lang w:val="en-US" w:eastAsia="zh-CN"/>
                <w14:textFill>
                  <w14:solidFill>
                    <w14:schemeClr w14:val="tx1"/>
                  </w14:solidFill>
                </w14:textFill>
              </w:rPr>
            </w:pPr>
            <w:r>
              <w:rPr>
                <w:rFonts w:hint="eastAsia" w:ascii="仿宋_GB2312" w:hAnsi="仿宋_GB2312" w:eastAsia="仿宋_GB2312" w:cs="仿宋_GB2312"/>
                <w:b/>
                <w:bCs/>
                <w:color w:val="000000" w:themeColor="text1"/>
                <w:kern w:val="0"/>
                <w:sz w:val="21"/>
                <w:szCs w:val="21"/>
                <w:lang w:val="en-US" w:eastAsia="zh-CN"/>
                <w14:textFill>
                  <w14:solidFill>
                    <w14:schemeClr w14:val="tx1"/>
                  </w14:solidFill>
                </w14:textFill>
              </w:rPr>
              <w:t>2.活动内容与议程设计合理（最高15分）</w:t>
            </w:r>
          </w:p>
          <w:p>
            <w:pPr>
              <w:keepNext w:val="0"/>
              <w:keepLines w:val="0"/>
              <w:pageBreakBefore w:val="0"/>
              <w:widowControl/>
              <w:numPr>
                <w:ilvl w:val="0"/>
                <w:numId w:val="0"/>
              </w:numPr>
              <w:kinsoku/>
              <w:wordWrap/>
              <w:overflowPunct/>
              <w:topLinePunct w:val="0"/>
              <w:autoSpaceDE/>
              <w:autoSpaceDN/>
              <w:bidi w:val="0"/>
              <w:adjustRightInd/>
              <w:snapToGrid/>
              <w:jc w:val="left"/>
              <w:textAlignment w:val="auto"/>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①活动内容丰富，议程安排合理，且满足清水河数智新城招商推介、片区产业发展需求，得10-15分；</w:t>
            </w:r>
          </w:p>
          <w:p>
            <w:pPr>
              <w:keepNext w:val="0"/>
              <w:keepLines w:val="0"/>
              <w:pageBreakBefore w:val="0"/>
              <w:widowControl/>
              <w:numPr>
                <w:ilvl w:val="0"/>
                <w:numId w:val="0"/>
              </w:numPr>
              <w:kinsoku/>
              <w:wordWrap/>
              <w:overflowPunct/>
              <w:topLinePunct w:val="0"/>
              <w:autoSpaceDE/>
              <w:autoSpaceDN/>
              <w:bidi w:val="0"/>
              <w:adjustRightInd/>
              <w:snapToGrid/>
              <w:jc w:val="left"/>
              <w:textAlignment w:val="auto"/>
              <w:rPr>
                <w:rFonts w:hint="default"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②内容模块齐全，议程安排基本合理，但个别模块深度不足，与片区发展需求基本符合，得5-9分；</w:t>
            </w:r>
          </w:p>
          <w:p>
            <w:pPr>
              <w:keepNext w:val="0"/>
              <w:keepLines w:val="0"/>
              <w:pageBreakBefore w:val="0"/>
              <w:widowControl/>
              <w:numPr>
                <w:ilvl w:val="0"/>
                <w:numId w:val="0"/>
              </w:numPr>
              <w:kinsoku/>
              <w:wordWrap/>
              <w:overflowPunct/>
              <w:topLinePunct w:val="0"/>
              <w:autoSpaceDE/>
              <w:autoSpaceDN/>
              <w:bidi w:val="0"/>
              <w:adjustRightInd/>
              <w:snapToGrid/>
              <w:jc w:val="left"/>
              <w:textAlignment w:val="auto"/>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③活动内容基本完整，但活动内容与片区发展需求明显不符，得2-4分；</w:t>
            </w:r>
          </w:p>
          <w:p>
            <w:pPr>
              <w:keepNext w:val="0"/>
              <w:keepLines w:val="0"/>
              <w:pageBreakBefore w:val="0"/>
              <w:widowControl/>
              <w:numPr>
                <w:ilvl w:val="0"/>
                <w:numId w:val="0"/>
              </w:numPr>
              <w:kinsoku/>
              <w:wordWrap/>
              <w:overflowPunct/>
              <w:topLinePunct w:val="0"/>
              <w:autoSpaceDE/>
              <w:autoSpaceDN/>
              <w:bidi w:val="0"/>
              <w:adjustRightInd/>
              <w:snapToGrid/>
              <w:jc w:val="left"/>
              <w:textAlignment w:val="auto"/>
              <w:rPr>
                <w:rFonts w:hint="default"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④活动内容完全不符合采购需求，或未提供议程安排，得0分。</w:t>
            </w:r>
          </w:p>
          <w:p>
            <w:pPr>
              <w:keepNext w:val="0"/>
              <w:keepLines w:val="0"/>
              <w:pageBreakBefore w:val="0"/>
              <w:widowControl/>
              <w:numPr>
                <w:ilvl w:val="0"/>
                <w:numId w:val="0"/>
              </w:numPr>
              <w:kinsoku/>
              <w:wordWrap/>
              <w:overflowPunct/>
              <w:topLinePunct w:val="0"/>
              <w:autoSpaceDE/>
              <w:autoSpaceDN/>
              <w:bidi w:val="0"/>
              <w:adjustRightInd/>
              <w:snapToGrid/>
              <w:jc w:val="left"/>
              <w:textAlignment w:val="auto"/>
              <w:rPr>
                <w:rFonts w:hint="eastAsia" w:ascii="仿宋_GB2312" w:hAnsi="仿宋_GB2312" w:eastAsia="仿宋_GB2312" w:cs="仿宋_GB2312"/>
                <w:b/>
                <w:bCs/>
                <w:color w:val="000000" w:themeColor="text1"/>
                <w:kern w:val="0"/>
                <w:sz w:val="21"/>
                <w:szCs w:val="21"/>
                <w:lang w:val="en-US" w:eastAsia="zh-CN"/>
                <w14:textFill>
                  <w14:solidFill>
                    <w14:schemeClr w14:val="tx1"/>
                  </w14:solidFill>
                </w14:textFill>
              </w:rPr>
            </w:pPr>
            <w:r>
              <w:rPr>
                <w:rFonts w:hint="eastAsia" w:ascii="仿宋_GB2312" w:hAnsi="仿宋_GB2312" w:eastAsia="仿宋_GB2312" w:cs="仿宋_GB2312"/>
                <w:b/>
                <w:bCs/>
                <w:color w:val="000000" w:themeColor="text1"/>
                <w:kern w:val="0"/>
                <w:sz w:val="21"/>
                <w:szCs w:val="21"/>
                <w:lang w:val="en-US" w:eastAsia="zh-CN"/>
                <w14:textFill>
                  <w14:solidFill>
                    <w14:schemeClr w14:val="tx1"/>
                  </w14:solidFill>
                </w14:textFill>
              </w:rPr>
              <w:t>3.揭牌仪式创意与呈现效果（最高10分）</w:t>
            </w:r>
          </w:p>
          <w:p>
            <w:pPr>
              <w:keepNext w:val="0"/>
              <w:keepLines w:val="0"/>
              <w:pageBreakBefore w:val="0"/>
              <w:widowControl/>
              <w:numPr>
                <w:ilvl w:val="0"/>
                <w:numId w:val="0"/>
              </w:numPr>
              <w:kinsoku/>
              <w:wordWrap/>
              <w:overflowPunct/>
              <w:topLinePunct w:val="0"/>
              <w:autoSpaceDE/>
              <w:autoSpaceDN/>
              <w:bidi w:val="0"/>
              <w:adjustRightInd/>
              <w:snapToGrid/>
              <w:jc w:val="left"/>
              <w:textAlignment w:val="auto"/>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①揭牌仪式创意新颖、科技感突出且风险可控，且可助力服务中心未来运营，得7-10分；</w:t>
            </w:r>
          </w:p>
          <w:p>
            <w:pPr>
              <w:keepNext w:val="0"/>
              <w:keepLines w:val="0"/>
              <w:pageBreakBefore w:val="0"/>
              <w:widowControl/>
              <w:numPr>
                <w:ilvl w:val="0"/>
                <w:numId w:val="0"/>
              </w:numPr>
              <w:kinsoku/>
              <w:wordWrap/>
              <w:overflowPunct/>
              <w:topLinePunct w:val="0"/>
              <w:autoSpaceDE/>
              <w:autoSpaceDN/>
              <w:bidi w:val="0"/>
              <w:adjustRightInd/>
              <w:snapToGrid/>
              <w:jc w:val="left"/>
              <w:textAlignment w:val="auto"/>
              <w:rPr>
                <w:rFonts w:hint="default"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②创意基本契合活动主题，但基本与服务中心未来运营无关，得3-6分；</w:t>
            </w:r>
          </w:p>
          <w:p>
            <w:pPr>
              <w:keepNext w:val="0"/>
              <w:keepLines w:val="0"/>
              <w:pageBreakBefore w:val="0"/>
              <w:widowControl/>
              <w:numPr>
                <w:ilvl w:val="0"/>
                <w:numId w:val="0"/>
              </w:numPr>
              <w:kinsoku/>
              <w:wordWrap/>
              <w:overflowPunct/>
              <w:topLinePunct w:val="0"/>
              <w:autoSpaceDE/>
              <w:autoSpaceDN/>
              <w:bidi w:val="0"/>
              <w:adjustRightInd/>
              <w:snapToGrid/>
              <w:jc w:val="left"/>
              <w:textAlignment w:val="auto"/>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③创意一般，属推杆、剪彩等传统形式的简单改良，或技术路径不明确、落地存疑，得1-2分；</w:t>
            </w:r>
          </w:p>
          <w:p>
            <w:pPr>
              <w:keepNext w:val="0"/>
              <w:keepLines w:val="0"/>
              <w:pageBreakBefore w:val="0"/>
              <w:widowControl/>
              <w:numPr>
                <w:ilvl w:val="0"/>
                <w:numId w:val="0"/>
              </w:numPr>
              <w:kinsoku/>
              <w:wordWrap/>
              <w:overflowPunct/>
              <w:topLinePunct w:val="0"/>
              <w:autoSpaceDE/>
              <w:autoSpaceDN/>
              <w:bidi w:val="0"/>
              <w:adjustRightInd/>
              <w:snapToGrid/>
              <w:jc w:val="left"/>
              <w:textAlignment w:val="auto"/>
              <w:rPr>
                <w:rFonts w:hint="default"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④未提供揭牌仪式方案，或创意明显无法落地，得0分；</w:t>
            </w:r>
          </w:p>
          <w:p>
            <w:pPr>
              <w:keepNext w:val="0"/>
              <w:keepLines w:val="0"/>
              <w:pageBreakBefore w:val="0"/>
              <w:widowControl/>
              <w:numPr>
                <w:ilvl w:val="0"/>
                <w:numId w:val="0"/>
              </w:numPr>
              <w:kinsoku/>
              <w:wordWrap/>
              <w:overflowPunct/>
              <w:topLinePunct w:val="0"/>
              <w:autoSpaceDE/>
              <w:autoSpaceDN/>
              <w:bidi w:val="0"/>
              <w:adjustRightInd/>
              <w:snapToGrid/>
              <w:jc w:val="left"/>
              <w:textAlignment w:val="auto"/>
              <w:rPr>
                <w:rFonts w:hint="eastAsia" w:ascii="仿宋_GB2312" w:hAnsi="仿宋_GB2312" w:eastAsia="仿宋_GB2312" w:cs="仿宋_GB2312"/>
                <w:b/>
                <w:bCs/>
                <w:color w:val="000000" w:themeColor="text1"/>
                <w:kern w:val="0"/>
                <w:sz w:val="21"/>
                <w:szCs w:val="21"/>
                <w:lang w:val="en-US" w:eastAsia="zh-CN"/>
                <w14:textFill>
                  <w14:solidFill>
                    <w14:schemeClr w14:val="tx1"/>
                  </w14:solidFill>
                </w14:textFill>
              </w:rPr>
            </w:pPr>
            <w:r>
              <w:rPr>
                <w:rFonts w:hint="eastAsia" w:ascii="仿宋_GB2312" w:hAnsi="仿宋_GB2312" w:eastAsia="仿宋_GB2312" w:cs="仿宋_GB2312"/>
                <w:b/>
                <w:bCs/>
                <w:color w:val="000000" w:themeColor="text1"/>
                <w:kern w:val="0"/>
                <w:sz w:val="21"/>
                <w:szCs w:val="21"/>
                <w:lang w:val="en-US" w:eastAsia="zh-CN"/>
                <w14:textFill>
                  <w14:solidFill>
                    <w14:schemeClr w14:val="tx1"/>
                  </w14:solidFill>
                </w14:textFill>
              </w:rPr>
              <w:t>4.视觉设计与会场布置效果（最高5分）</w:t>
            </w:r>
          </w:p>
          <w:p>
            <w:pPr>
              <w:keepNext w:val="0"/>
              <w:keepLines w:val="0"/>
              <w:pageBreakBefore w:val="0"/>
              <w:widowControl/>
              <w:numPr>
                <w:ilvl w:val="0"/>
                <w:numId w:val="0"/>
              </w:numPr>
              <w:kinsoku/>
              <w:wordWrap/>
              <w:overflowPunct/>
              <w:topLinePunct w:val="0"/>
              <w:autoSpaceDE/>
              <w:autoSpaceDN/>
              <w:bidi w:val="0"/>
              <w:adjustRightInd/>
              <w:snapToGrid/>
              <w:jc w:val="left"/>
              <w:textAlignment w:val="auto"/>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①视觉设计提供主KV设计方向及延展应用清单（签到区、舞台背景、指引系统、物料体系），整体风格统一并体现数智科技感。会场布置方案完整且参观动线合理，得5分；</w:t>
            </w:r>
          </w:p>
          <w:p>
            <w:pPr>
              <w:keepNext w:val="0"/>
              <w:keepLines w:val="0"/>
              <w:pageBreakBefore w:val="0"/>
              <w:widowControl/>
              <w:numPr>
                <w:ilvl w:val="0"/>
                <w:numId w:val="0"/>
              </w:numPr>
              <w:kinsoku/>
              <w:wordWrap/>
              <w:overflowPunct/>
              <w:topLinePunct w:val="0"/>
              <w:autoSpaceDE/>
              <w:autoSpaceDN/>
              <w:bidi w:val="0"/>
              <w:adjustRightInd/>
              <w:snapToGrid/>
              <w:jc w:val="left"/>
              <w:textAlignment w:val="auto"/>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②视觉设计基本符合清水河数智新城品牌，但会场布置方案不完整，得3-4分；</w:t>
            </w:r>
          </w:p>
          <w:p>
            <w:pPr>
              <w:keepNext w:val="0"/>
              <w:keepLines w:val="0"/>
              <w:pageBreakBefore w:val="0"/>
              <w:widowControl/>
              <w:numPr>
                <w:ilvl w:val="0"/>
                <w:numId w:val="0"/>
              </w:numPr>
              <w:kinsoku/>
              <w:wordWrap/>
              <w:overflowPunct/>
              <w:topLinePunct w:val="0"/>
              <w:autoSpaceDE/>
              <w:autoSpaceDN/>
              <w:bidi w:val="0"/>
              <w:adjustRightInd/>
              <w:snapToGrid/>
              <w:jc w:val="left"/>
              <w:textAlignment w:val="auto"/>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③仅原则性描述，未提出设计方向，或缺失会场布置方案（含方案不合理），得1-2分；</w:t>
            </w:r>
          </w:p>
          <w:p>
            <w:pPr>
              <w:keepNext w:val="0"/>
              <w:keepLines w:val="0"/>
              <w:pageBreakBefore w:val="0"/>
              <w:widowControl/>
              <w:numPr>
                <w:ilvl w:val="0"/>
                <w:numId w:val="0"/>
              </w:numPr>
              <w:kinsoku/>
              <w:wordWrap/>
              <w:overflowPunct/>
              <w:topLinePunct w:val="0"/>
              <w:autoSpaceDE/>
              <w:autoSpaceDN/>
              <w:bidi w:val="0"/>
              <w:adjustRightInd/>
              <w:snapToGrid/>
              <w:jc w:val="left"/>
              <w:textAlignment w:val="auto"/>
              <w:rPr>
                <w:rFonts w:hint="default"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④未提供相关方案，或视觉设计不符合要求且活动场地布置明显不合理，得0分。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jc w:val="center"/>
        </w:trPr>
        <w:tc>
          <w:tcPr>
            <w:tcW w:w="680" w:type="dxa"/>
            <w:vAlign w:val="center"/>
          </w:tcPr>
          <w:p>
            <w:pPr>
              <w:rPr>
                <w:rFonts w:hint="eastAsia" w:ascii="仿宋_GB2312" w:hAnsi="仿宋_GB2312" w:eastAsia="仿宋_GB2312" w:cs="仿宋_GB2312"/>
              </w:rPr>
            </w:pPr>
          </w:p>
        </w:tc>
        <w:tc>
          <w:tcPr>
            <w:tcW w:w="680" w:type="dxa"/>
            <w:vAlign w:val="center"/>
          </w:tcPr>
          <w:p>
            <w:pPr>
              <w:wordWrap w:val="0"/>
              <w:jc w:val="center"/>
              <w:rPr>
                <w:rFonts w:hint="eastAsia" w:ascii="仿宋_GB2312" w:hAnsi="仿宋_GB2312" w:eastAsia="仿宋_GB2312" w:cs="仿宋_GB2312"/>
                <w:szCs w:val="21"/>
                <w:lang w:val="en-US" w:eastAsia="zh-CN"/>
              </w:rPr>
            </w:pPr>
            <w:r>
              <w:rPr>
                <w:rFonts w:hint="eastAsia" w:ascii="仿宋_GB2312" w:hAnsi="仿宋_GB2312" w:eastAsia="仿宋_GB2312" w:cs="仿宋_GB2312"/>
                <w:szCs w:val="21"/>
                <w:lang w:val="en-US" w:eastAsia="zh-CN"/>
              </w:rPr>
              <w:t>2</w:t>
            </w:r>
          </w:p>
        </w:tc>
        <w:tc>
          <w:tcPr>
            <w:tcW w:w="2343" w:type="dxa"/>
            <w:vAlign w:val="center"/>
          </w:tcPr>
          <w:p>
            <w:pPr>
              <w:wordWrap w:val="0"/>
              <w:jc w:val="center"/>
              <w:rPr>
                <w:rFonts w:hint="default" w:ascii="仿宋_GB2312" w:hAnsi="仿宋_GB2312" w:eastAsia="仿宋_GB2312" w:cs="仿宋_GB2312"/>
                <w:szCs w:val="21"/>
                <w:lang w:val="en-US" w:eastAsia="zh-CN"/>
              </w:rPr>
            </w:pPr>
            <w:r>
              <w:rPr>
                <w:rFonts w:hint="eastAsia" w:ascii="仿宋_GB2312" w:hAnsi="仿宋_GB2312" w:eastAsia="仿宋_GB2312" w:cs="仿宋_GB2312"/>
                <w:szCs w:val="21"/>
                <w:lang w:val="en-US" w:eastAsia="zh-CN"/>
              </w:rPr>
              <w:t>配套服务</w:t>
            </w:r>
          </w:p>
        </w:tc>
        <w:tc>
          <w:tcPr>
            <w:tcW w:w="870" w:type="dxa"/>
            <w:vAlign w:val="center"/>
          </w:tcPr>
          <w:p>
            <w:pPr>
              <w:wordWrap w:val="0"/>
              <w:jc w:val="center"/>
              <w:rPr>
                <w:rFonts w:hint="default" w:ascii="仿宋_GB2312" w:hAnsi="仿宋_GB2312" w:eastAsia="仿宋_GB2312" w:cs="仿宋_GB2312"/>
                <w:szCs w:val="21"/>
                <w:lang w:val="en-US" w:eastAsia="zh-CN"/>
              </w:rPr>
            </w:pPr>
            <w:r>
              <w:rPr>
                <w:rFonts w:hint="eastAsia" w:ascii="仿宋_GB2312" w:hAnsi="仿宋_GB2312" w:eastAsia="仿宋_GB2312" w:cs="仿宋_GB2312"/>
                <w:szCs w:val="21"/>
                <w:lang w:val="en-US" w:eastAsia="zh-CN"/>
              </w:rPr>
              <w:t>15</w:t>
            </w:r>
          </w:p>
        </w:tc>
        <w:tc>
          <w:tcPr>
            <w:tcW w:w="4783" w:type="dxa"/>
          </w:tcPr>
          <w:p>
            <w:pPr>
              <w:keepNext w:val="0"/>
              <w:keepLines w:val="0"/>
              <w:pageBreakBefore w:val="0"/>
              <w:widowControl/>
              <w:numPr>
                <w:ilvl w:val="0"/>
                <w:numId w:val="0"/>
              </w:numPr>
              <w:kinsoku/>
              <w:wordWrap/>
              <w:overflowPunct/>
              <w:topLinePunct w:val="0"/>
              <w:autoSpaceDE/>
              <w:autoSpaceDN/>
              <w:bidi w:val="0"/>
              <w:adjustRightInd/>
              <w:snapToGrid/>
              <w:jc w:val="left"/>
              <w:textAlignment w:val="auto"/>
              <w:rPr>
                <w:rFonts w:hint="eastAsia" w:ascii="仿宋_GB2312" w:hAnsi="仿宋_GB2312" w:eastAsia="仿宋_GB2312" w:cs="仿宋_GB2312"/>
                <w:b/>
                <w:bCs/>
                <w:color w:val="000000" w:themeColor="text1"/>
                <w:kern w:val="0"/>
                <w:sz w:val="21"/>
                <w:szCs w:val="21"/>
                <w:lang w:val="en-US" w:eastAsia="zh-CN"/>
                <w14:textFill>
                  <w14:solidFill>
                    <w14:schemeClr w14:val="tx1"/>
                  </w14:solidFill>
                </w14:textFill>
              </w:rPr>
            </w:pPr>
            <w:r>
              <w:rPr>
                <w:rFonts w:hint="eastAsia" w:ascii="仿宋_GB2312" w:hAnsi="仿宋_GB2312" w:eastAsia="仿宋_GB2312" w:cs="仿宋_GB2312"/>
                <w:b/>
                <w:bCs/>
                <w:color w:val="000000" w:themeColor="text1"/>
                <w:kern w:val="0"/>
                <w:sz w:val="21"/>
                <w:szCs w:val="21"/>
                <w:lang w:val="en-US" w:eastAsia="zh-CN"/>
                <w14:textFill>
                  <w14:solidFill>
                    <w14:schemeClr w14:val="tx1"/>
                  </w14:solidFill>
                </w14:textFill>
              </w:rPr>
              <w:t xml:space="preserve">（一）评审内容：  </w:t>
            </w:r>
          </w:p>
          <w:p>
            <w:pPr>
              <w:keepNext w:val="0"/>
              <w:keepLines w:val="0"/>
              <w:pageBreakBefore w:val="0"/>
              <w:widowControl/>
              <w:numPr>
                <w:ilvl w:val="0"/>
                <w:numId w:val="0"/>
              </w:numPr>
              <w:kinsoku/>
              <w:wordWrap/>
              <w:overflowPunct/>
              <w:topLinePunct w:val="0"/>
              <w:autoSpaceDE/>
              <w:autoSpaceDN/>
              <w:bidi w:val="0"/>
              <w:adjustRightInd/>
              <w:snapToGrid/>
              <w:jc w:val="left"/>
              <w:textAlignment w:val="auto"/>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评委根据供应商嘉宾邀约、宣传服务等活动配套服务响应情况进行评分，供应商须具备产业发展领域的自有宣传渠道及宣传能力，并对片区拟招引的产业链企业或有助于片区企业发展的企业具备一定资源链接能力。</w:t>
            </w:r>
          </w:p>
          <w:p>
            <w:pPr>
              <w:keepNext w:val="0"/>
              <w:keepLines w:val="0"/>
              <w:pageBreakBefore w:val="0"/>
              <w:widowControl/>
              <w:numPr>
                <w:ilvl w:val="0"/>
                <w:numId w:val="0"/>
              </w:numPr>
              <w:kinsoku/>
              <w:wordWrap/>
              <w:overflowPunct/>
              <w:topLinePunct w:val="0"/>
              <w:autoSpaceDE/>
              <w:autoSpaceDN/>
              <w:bidi w:val="0"/>
              <w:adjustRightInd/>
              <w:snapToGrid/>
              <w:jc w:val="left"/>
              <w:textAlignment w:val="auto"/>
              <w:rPr>
                <w:rFonts w:hint="eastAsia" w:ascii="仿宋_GB2312" w:hAnsi="仿宋_GB2312" w:eastAsia="仿宋_GB2312" w:cs="仿宋_GB2312"/>
                <w:b/>
                <w:bCs/>
                <w:color w:val="000000" w:themeColor="text1"/>
                <w:kern w:val="0"/>
                <w:sz w:val="21"/>
                <w:szCs w:val="21"/>
                <w:lang w:val="en-US" w:eastAsia="zh-CN"/>
                <w14:textFill>
                  <w14:solidFill>
                    <w14:schemeClr w14:val="tx1"/>
                  </w14:solidFill>
                </w14:textFill>
              </w:rPr>
            </w:pPr>
            <w:r>
              <w:rPr>
                <w:rFonts w:hint="eastAsia" w:ascii="仿宋_GB2312" w:hAnsi="仿宋_GB2312" w:eastAsia="仿宋_GB2312" w:cs="仿宋_GB2312"/>
                <w:b/>
                <w:bCs/>
                <w:color w:val="000000" w:themeColor="text1"/>
                <w:kern w:val="0"/>
                <w:sz w:val="21"/>
                <w:szCs w:val="21"/>
                <w:lang w:val="en-US" w:eastAsia="zh-CN"/>
                <w14:textFill>
                  <w14:solidFill>
                    <w14:schemeClr w14:val="tx1"/>
                  </w14:solidFill>
                </w14:textFill>
              </w:rPr>
              <w:t>（二）评分标准：</w:t>
            </w:r>
          </w:p>
          <w:p>
            <w:pPr>
              <w:keepNext w:val="0"/>
              <w:keepLines w:val="0"/>
              <w:pageBreakBefore w:val="0"/>
              <w:widowControl/>
              <w:numPr>
                <w:ilvl w:val="0"/>
                <w:numId w:val="0"/>
              </w:numPr>
              <w:kinsoku/>
              <w:wordWrap/>
              <w:overflowPunct/>
              <w:topLinePunct w:val="0"/>
              <w:autoSpaceDE/>
              <w:autoSpaceDN/>
              <w:bidi w:val="0"/>
              <w:adjustRightInd/>
              <w:snapToGrid/>
              <w:jc w:val="left"/>
              <w:textAlignment w:val="auto"/>
              <w:rPr>
                <w:rFonts w:hint="eastAsia" w:ascii="仿宋_GB2312" w:hAnsi="仿宋_GB2312" w:eastAsia="仿宋_GB2312" w:cs="仿宋_GB2312"/>
                <w:b/>
                <w:bCs/>
                <w:color w:val="000000" w:themeColor="text1"/>
                <w:kern w:val="0"/>
                <w:sz w:val="21"/>
                <w:szCs w:val="21"/>
                <w:lang w:val="en-US" w:eastAsia="zh-CN"/>
                <w14:textFill>
                  <w14:solidFill>
                    <w14:schemeClr w14:val="tx1"/>
                  </w14:solidFill>
                </w14:textFill>
              </w:rPr>
            </w:pPr>
            <w:r>
              <w:rPr>
                <w:rFonts w:hint="eastAsia" w:ascii="仿宋_GB2312" w:hAnsi="仿宋_GB2312" w:eastAsia="仿宋_GB2312" w:cs="仿宋_GB2312"/>
                <w:b/>
                <w:bCs/>
                <w:color w:val="000000" w:themeColor="text1"/>
                <w:kern w:val="0"/>
                <w:sz w:val="21"/>
                <w:szCs w:val="21"/>
                <w:lang w:val="en-US" w:eastAsia="zh-CN"/>
                <w14:textFill>
                  <w14:solidFill>
                    <w14:schemeClr w14:val="tx1"/>
                  </w14:solidFill>
                </w14:textFill>
              </w:rPr>
              <w:t>1.拟邀约嘉宾阵容及与片区发展契合度（最高10分）</w:t>
            </w:r>
          </w:p>
          <w:p>
            <w:pPr>
              <w:keepNext w:val="0"/>
              <w:keepLines w:val="0"/>
              <w:pageBreakBefore w:val="0"/>
              <w:widowControl/>
              <w:numPr>
                <w:ilvl w:val="0"/>
                <w:numId w:val="0"/>
              </w:numPr>
              <w:kinsoku/>
              <w:wordWrap/>
              <w:overflowPunct/>
              <w:topLinePunct w:val="0"/>
              <w:autoSpaceDE/>
              <w:autoSpaceDN/>
              <w:bidi w:val="0"/>
              <w:adjustRightInd/>
              <w:snapToGrid/>
              <w:jc w:val="left"/>
              <w:textAlignment w:val="auto"/>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①拟邀名单中含上市公司、国家级“小巨人”、国家高新技术企业或国家级创新平台等的董事长/总裁级（或同等层级）代表5人及以上的，且名单覆盖片区3个以上主导产业链企业的，并提供具体、可执行的邀约计划及邀约渠道或方式，得10分；</w:t>
            </w:r>
          </w:p>
          <w:p>
            <w:pPr>
              <w:keepNext w:val="0"/>
              <w:keepLines w:val="0"/>
              <w:pageBreakBefore w:val="0"/>
              <w:widowControl/>
              <w:numPr>
                <w:ilvl w:val="0"/>
                <w:numId w:val="0"/>
              </w:numPr>
              <w:kinsoku/>
              <w:wordWrap/>
              <w:overflowPunct/>
              <w:topLinePunct w:val="0"/>
              <w:autoSpaceDE/>
              <w:autoSpaceDN/>
              <w:bidi w:val="0"/>
              <w:adjustRightInd/>
              <w:snapToGrid/>
              <w:jc w:val="left"/>
              <w:textAlignment w:val="auto"/>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②上述代表不足5人，或名单仅能覆盖片区3个以下主导产业链，但提供具体、可执行的邀约计划及邀约渠道或方式，得5-9分；</w:t>
            </w:r>
          </w:p>
          <w:p>
            <w:pPr>
              <w:keepNext w:val="0"/>
              <w:keepLines w:val="0"/>
              <w:pageBreakBefore w:val="0"/>
              <w:widowControl/>
              <w:numPr>
                <w:ilvl w:val="0"/>
                <w:numId w:val="0"/>
              </w:numPr>
              <w:kinsoku/>
              <w:wordWrap/>
              <w:overflowPunct/>
              <w:topLinePunct w:val="0"/>
              <w:autoSpaceDE/>
              <w:autoSpaceDN/>
              <w:bidi w:val="0"/>
              <w:adjustRightInd/>
              <w:snapToGrid/>
              <w:jc w:val="left"/>
              <w:textAlignment w:val="auto"/>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③上述代表不足5人，或名单仅能覆盖片区3个以下主导产业链，但邀约计划、渠道或方式不够具体，得1-4分；</w:t>
            </w:r>
          </w:p>
          <w:p>
            <w:pPr>
              <w:keepNext w:val="0"/>
              <w:keepLines w:val="0"/>
              <w:pageBreakBefore w:val="0"/>
              <w:widowControl/>
              <w:numPr>
                <w:ilvl w:val="0"/>
                <w:numId w:val="0"/>
              </w:numPr>
              <w:kinsoku/>
              <w:wordWrap/>
              <w:overflowPunct/>
              <w:topLinePunct w:val="0"/>
              <w:autoSpaceDE/>
              <w:autoSpaceDN/>
              <w:bidi w:val="0"/>
              <w:adjustRightInd/>
              <w:snapToGrid/>
              <w:jc w:val="left"/>
              <w:textAlignment w:val="auto"/>
              <w:rPr>
                <w:rFonts w:hint="default"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④未提供拟邀名单，或名单总人数不足30人且无法满足活动基本规模要求，或名单缺少具体单位、职务等关键信息，或经评审明显无法落实，或名单与片区主导产业、活动主题明显不符的，得0分。</w:t>
            </w:r>
          </w:p>
          <w:p>
            <w:pPr>
              <w:keepNext w:val="0"/>
              <w:keepLines w:val="0"/>
              <w:pageBreakBefore w:val="0"/>
              <w:widowControl/>
              <w:numPr>
                <w:ilvl w:val="0"/>
                <w:numId w:val="0"/>
              </w:numPr>
              <w:kinsoku/>
              <w:wordWrap/>
              <w:overflowPunct/>
              <w:topLinePunct w:val="0"/>
              <w:autoSpaceDE/>
              <w:autoSpaceDN/>
              <w:bidi w:val="0"/>
              <w:adjustRightInd/>
              <w:snapToGrid/>
              <w:jc w:val="left"/>
              <w:textAlignment w:val="auto"/>
              <w:rPr>
                <w:rFonts w:hint="eastAsia" w:ascii="仿宋_GB2312" w:hAnsi="仿宋_GB2312" w:eastAsia="仿宋_GB2312" w:cs="仿宋_GB2312"/>
                <w:b/>
                <w:bCs/>
                <w:color w:val="000000" w:themeColor="text1"/>
                <w:kern w:val="0"/>
                <w:sz w:val="21"/>
                <w:szCs w:val="21"/>
                <w:lang w:val="en-US" w:eastAsia="zh-CN"/>
                <w14:textFill>
                  <w14:solidFill>
                    <w14:schemeClr w14:val="tx1"/>
                  </w14:solidFill>
                </w14:textFill>
              </w:rPr>
            </w:pPr>
            <w:r>
              <w:rPr>
                <w:rFonts w:hint="eastAsia" w:ascii="仿宋_GB2312" w:hAnsi="仿宋_GB2312" w:eastAsia="仿宋_GB2312" w:cs="仿宋_GB2312"/>
                <w:b/>
                <w:bCs/>
                <w:szCs w:val="21"/>
                <w:lang w:val="en-US" w:eastAsia="zh-CN"/>
              </w:rPr>
              <w:t>2.宣传服务到位程度</w:t>
            </w:r>
            <w:r>
              <w:rPr>
                <w:rFonts w:hint="eastAsia" w:ascii="仿宋_GB2312" w:hAnsi="仿宋_GB2312" w:eastAsia="仿宋_GB2312" w:cs="仿宋_GB2312"/>
                <w:b/>
                <w:bCs/>
                <w:color w:val="000000" w:themeColor="text1"/>
                <w:kern w:val="0"/>
                <w:sz w:val="21"/>
                <w:szCs w:val="21"/>
                <w:lang w:val="en-US" w:eastAsia="zh-CN"/>
                <w14:textFill>
                  <w14:solidFill>
                    <w14:schemeClr w14:val="tx1"/>
                  </w14:solidFill>
                </w14:textFill>
              </w:rPr>
              <w:t>（最高5分）</w:t>
            </w:r>
          </w:p>
          <w:p>
            <w:pPr>
              <w:keepNext w:val="0"/>
              <w:keepLines w:val="0"/>
              <w:pageBreakBefore w:val="0"/>
              <w:widowControl/>
              <w:numPr>
                <w:ilvl w:val="0"/>
                <w:numId w:val="0"/>
              </w:numPr>
              <w:kinsoku/>
              <w:wordWrap/>
              <w:overflowPunct/>
              <w:topLinePunct w:val="0"/>
              <w:autoSpaceDE/>
              <w:autoSpaceDN/>
              <w:bidi w:val="0"/>
              <w:adjustRightInd/>
              <w:snapToGrid/>
              <w:jc w:val="left"/>
              <w:textAlignment w:val="auto"/>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①制定完整的宣传推广方案，方案完整覆盖预热期、活动当天、二次传播全周期，交付物完整，发布渠道明确，并在产业领域兼具专业性与高关注度，得5分；</w:t>
            </w:r>
          </w:p>
          <w:p>
            <w:pPr>
              <w:keepNext w:val="0"/>
              <w:keepLines w:val="0"/>
              <w:pageBreakBefore w:val="0"/>
              <w:widowControl/>
              <w:numPr>
                <w:ilvl w:val="0"/>
                <w:numId w:val="0"/>
              </w:numPr>
              <w:kinsoku/>
              <w:wordWrap/>
              <w:overflowPunct/>
              <w:topLinePunct w:val="0"/>
              <w:autoSpaceDE/>
              <w:autoSpaceDN/>
              <w:bidi w:val="0"/>
              <w:adjustRightInd/>
              <w:snapToGrid/>
              <w:jc w:val="left"/>
              <w:textAlignment w:val="auto"/>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②宣传推广方案基本完整，但发布渠道与产业领域匹配度低、关注度不足，得3-4分；</w:t>
            </w:r>
          </w:p>
          <w:p>
            <w:pPr>
              <w:keepNext w:val="0"/>
              <w:keepLines w:val="0"/>
              <w:pageBreakBefore w:val="0"/>
              <w:widowControl/>
              <w:numPr>
                <w:ilvl w:val="0"/>
                <w:numId w:val="0"/>
              </w:numPr>
              <w:kinsoku/>
              <w:wordWrap/>
              <w:overflowPunct/>
              <w:topLinePunct w:val="0"/>
              <w:autoSpaceDE/>
              <w:autoSpaceDN/>
              <w:bidi w:val="0"/>
              <w:adjustRightInd/>
              <w:snapToGrid/>
              <w:jc w:val="left"/>
              <w:textAlignment w:val="auto"/>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③宣传推广方案基本完整，但发布渠道与产业领域无关，难以支撑宣传目标，得1-2分；</w:t>
            </w:r>
          </w:p>
          <w:p>
            <w:pPr>
              <w:keepNext w:val="0"/>
              <w:keepLines w:val="0"/>
              <w:pageBreakBefore w:val="0"/>
              <w:widowControl/>
              <w:numPr>
                <w:ilvl w:val="0"/>
                <w:numId w:val="0"/>
              </w:numPr>
              <w:kinsoku/>
              <w:wordWrap/>
              <w:overflowPunct/>
              <w:topLinePunct w:val="0"/>
              <w:autoSpaceDE/>
              <w:autoSpaceDN/>
              <w:bidi w:val="0"/>
              <w:adjustRightInd/>
              <w:snapToGrid/>
              <w:jc w:val="left"/>
              <w:textAlignment w:val="auto"/>
              <w:rPr>
                <w:rFonts w:hint="default"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④宣传推广方案不完整，或未提供方案和发布渠道，得0分。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jc w:val="center"/>
        </w:trPr>
        <w:tc>
          <w:tcPr>
            <w:tcW w:w="680" w:type="dxa"/>
            <w:vMerge w:val="restart"/>
            <w:vAlign w:val="center"/>
          </w:tcPr>
          <w:p>
            <w:pPr>
              <w:wordWrap w:val="0"/>
              <w:jc w:val="center"/>
              <w:rPr>
                <w:rFonts w:hint="eastAsia" w:ascii="仿宋_GB2312" w:hAnsi="仿宋_GB2312" w:eastAsia="仿宋_GB2312" w:cs="仿宋_GB2312"/>
              </w:rPr>
            </w:pPr>
            <w:r>
              <w:rPr>
                <w:rFonts w:hint="eastAsia" w:ascii="仿宋_GB2312" w:hAnsi="仿宋_GB2312" w:eastAsia="仿宋_GB2312" w:cs="仿宋_GB2312"/>
              </w:rPr>
              <w:t>3</w:t>
            </w:r>
          </w:p>
        </w:tc>
        <w:tc>
          <w:tcPr>
            <w:tcW w:w="3893" w:type="dxa"/>
            <w:gridSpan w:val="3"/>
          </w:tcPr>
          <w:p>
            <w:pPr>
              <w:wordWrap w:val="0"/>
              <w:jc w:val="center"/>
              <w:rPr>
                <w:rFonts w:hint="eastAsia" w:ascii="仿宋_GB2312" w:hAnsi="仿宋_GB2312" w:eastAsia="仿宋_GB2312" w:cs="仿宋_GB2312"/>
              </w:rPr>
            </w:pPr>
            <w:r>
              <w:rPr>
                <w:rFonts w:hint="eastAsia" w:ascii="仿宋_GB2312" w:hAnsi="仿宋_GB2312" w:eastAsia="仿宋_GB2312" w:cs="仿宋_GB2312"/>
              </w:rPr>
              <w:t>综合实力部分</w:t>
            </w:r>
          </w:p>
        </w:tc>
        <w:tc>
          <w:tcPr>
            <w:tcW w:w="4783" w:type="dxa"/>
          </w:tcPr>
          <w:p>
            <w:pPr>
              <w:wordWrap w:val="0"/>
              <w:jc w:val="center"/>
              <w:rPr>
                <w:rFonts w:hint="default" w:ascii="仿宋_GB2312" w:hAnsi="仿宋_GB2312" w:eastAsia="仿宋_GB2312" w:cs="仿宋_GB2312"/>
                <w:lang w:val="en-US"/>
              </w:rPr>
            </w:pPr>
            <w:r>
              <w:rPr>
                <w:rFonts w:hint="eastAsia" w:ascii="仿宋_GB2312" w:hAnsi="仿宋_GB2312" w:eastAsia="仿宋_GB2312" w:cs="仿宋_GB2312"/>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jc w:val="center"/>
        </w:trPr>
        <w:tc>
          <w:tcPr>
            <w:tcW w:w="680" w:type="dxa"/>
            <w:vMerge w:val="continue"/>
            <w:vAlign w:val="center"/>
          </w:tcPr>
          <w:p>
            <w:pPr>
              <w:rPr>
                <w:rFonts w:hint="eastAsia" w:ascii="仿宋_GB2312" w:hAnsi="仿宋_GB2312" w:eastAsia="仿宋_GB2312" w:cs="仿宋_GB2312"/>
              </w:rPr>
            </w:pPr>
          </w:p>
        </w:tc>
        <w:tc>
          <w:tcPr>
            <w:tcW w:w="680" w:type="dxa"/>
            <w:vAlign w:val="center"/>
          </w:tcPr>
          <w:p>
            <w:pPr>
              <w:wordWrap w:val="0"/>
              <w:jc w:val="center"/>
              <w:rPr>
                <w:rFonts w:hint="eastAsia" w:ascii="仿宋_GB2312" w:hAnsi="仿宋_GB2312" w:eastAsia="仿宋_GB2312" w:cs="仿宋_GB2312"/>
                <w:szCs w:val="21"/>
              </w:rPr>
            </w:pPr>
            <w:r>
              <w:rPr>
                <w:rFonts w:hint="eastAsia" w:ascii="仿宋_GB2312" w:hAnsi="仿宋_GB2312" w:eastAsia="仿宋_GB2312" w:cs="仿宋_GB2312"/>
                <w:szCs w:val="21"/>
              </w:rPr>
              <w:t>序号</w:t>
            </w:r>
          </w:p>
        </w:tc>
        <w:tc>
          <w:tcPr>
            <w:tcW w:w="2343" w:type="dxa"/>
            <w:vAlign w:val="center"/>
          </w:tcPr>
          <w:p>
            <w:pPr>
              <w:wordWrap w:val="0"/>
              <w:jc w:val="center"/>
              <w:rPr>
                <w:rFonts w:hint="eastAsia" w:ascii="仿宋_GB2312" w:hAnsi="仿宋_GB2312" w:eastAsia="仿宋_GB2312" w:cs="仿宋_GB2312"/>
                <w:szCs w:val="21"/>
              </w:rPr>
            </w:pPr>
            <w:r>
              <w:rPr>
                <w:rFonts w:hint="eastAsia" w:ascii="仿宋_GB2312" w:hAnsi="仿宋_GB2312" w:eastAsia="仿宋_GB2312" w:cs="仿宋_GB2312"/>
                <w:szCs w:val="21"/>
              </w:rPr>
              <w:t>评分因素</w:t>
            </w:r>
          </w:p>
        </w:tc>
        <w:tc>
          <w:tcPr>
            <w:tcW w:w="870" w:type="dxa"/>
            <w:vAlign w:val="center"/>
          </w:tcPr>
          <w:p>
            <w:pPr>
              <w:wordWrap w:val="0"/>
              <w:jc w:val="center"/>
              <w:rPr>
                <w:rFonts w:hint="eastAsia" w:ascii="仿宋_GB2312" w:hAnsi="仿宋_GB2312" w:eastAsia="仿宋_GB2312" w:cs="仿宋_GB2312"/>
                <w:szCs w:val="21"/>
              </w:rPr>
            </w:pPr>
            <w:r>
              <w:rPr>
                <w:rFonts w:hint="eastAsia" w:ascii="仿宋_GB2312" w:hAnsi="仿宋_GB2312" w:eastAsia="仿宋_GB2312" w:cs="仿宋_GB2312"/>
                <w:szCs w:val="21"/>
              </w:rPr>
              <w:t>权重</w:t>
            </w:r>
          </w:p>
        </w:tc>
        <w:tc>
          <w:tcPr>
            <w:tcW w:w="4783" w:type="dxa"/>
            <w:vAlign w:val="center"/>
          </w:tcPr>
          <w:p>
            <w:pPr>
              <w:wordWrap w:val="0"/>
              <w:jc w:val="center"/>
              <w:rPr>
                <w:rFonts w:hint="eastAsia" w:ascii="仿宋_GB2312" w:hAnsi="仿宋_GB2312" w:eastAsia="仿宋_GB2312" w:cs="仿宋_GB2312"/>
                <w:szCs w:val="21"/>
              </w:rPr>
            </w:pPr>
            <w:r>
              <w:rPr>
                <w:rFonts w:hint="eastAsia" w:ascii="仿宋_GB2312" w:hAnsi="仿宋_GB2312" w:eastAsia="仿宋_GB2312" w:cs="仿宋_GB2312"/>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jc w:val="center"/>
        </w:trPr>
        <w:tc>
          <w:tcPr>
            <w:tcW w:w="680" w:type="dxa"/>
            <w:vMerge w:val="continue"/>
            <w:vAlign w:val="center"/>
          </w:tcPr>
          <w:p>
            <w:pPr>
              <w:wordWrap w:val="0"/>
              <w:jc w:val="center"/>
              <w:rPr>
                <w:rFonts w:hint="eastAsia" w:ascii="仿宋_GB2312" w:hAnsi="仿宋_GB2312" w:eastAsia="仿宋_GB2312" w:cs="仿宋_GB2312"/>
                <w:szCs w:val="21"/>
              </w:rPr>
            </w:pPr>
          </w:p>
        </w:tc>
        <w:tc>
          <w:tcPr>
            <w:tcW w:w="680" w:type="dxa"/>
            <w:vAlign w:val="center"/>
          </w:tcPr>
          <w:p>
            <w:pPr>
              <w:wordWrap w:val="0"/>
              <w:jc w:val="center"/>
              <w:rPr>
                <w:rFonts w:hint="eastAsia" w:ascii="仿宋_GB2312" w:hAnsi="仿宋_GB2312" w:eastAsia="仿宋_GB2312" w:cs="仿宋_GB2312"/>
                <w:szCs w:val="21"/>
              </w:rPr>
            </w:pPr>
            <w:r>
              <w:rPr>
                <w:rFonts w:hint="eastAsia" w:ascii="仿宋_GB2312" w:hAnsi="仿宋_GB2312" w:eastAsia="仿宋_GB2312" w:cs="仿宋_GB2312"/>
                <w:szCs w:val="21"/>
              </w:rPr>
              <w:t>1</w:t>
            </w:r>
          </w:p>
        </w:tc>
        <w:tc>
          <w:tcPr>
            <w:tcW w:w="2343" w:type="dxa"/>
            <w:vAlign w:val="center"/>
          </w:tcPr>
          <w:p>
            <w:pPr>
              <w:wordWrap w:val="0"/>
              <w:jc w:val="center"/>
              <w:rPr>
                <w:rFonts w:hint="eastAsia" w:ascii="仿宋_GB2312" w:hAnsi="仿宋_GB2312" w:eastAsia="仿宋_GB2312" w:cs="仿宋_GB2312"/>
                <w:szCs w:val="21"/>
              </w:rPr>
            </w:pPr>
            <w:r>
              <w:rPr>
                <w:rFonts w:hint="eastAsia" w:ascii="仿宋_GB2312" w:hAnsi="仿宋_GB2312" w:eastAsia="仿宋_GB2312" w:cs="仿宋_GB2312"/>
                <w:szCs w:val="21"/>
              </w:rPr>
              <w:t>过往同类业绩</w:t>
            </w:r>
          </w:p>
        </w:tc>
        <w:tc>
          <w:tcPr>
            <w:tcW w:w="870" w:type="dxa"/>
            <w:vAlign w:val="center"/>
          </w:tcPr>
          <w:p>
            <w:pPr>
              <w:wordWrap w:val="0"/>
              <w:jc w:val="center"/>
              <w:rPr>
                <w:rFonts w:hint="default" w:ascii="仿宋_GB2312" w:hAnsi="仿宋_GB2312" w:eastAsia="仿宋_GB2312" w:cs="仿宋_GB2312"/>
                <w:szCs w:val="21"/>
                <w:lang w:val="en-US"/>
              </w:rPr>
            </w:pPr>
            <w:r>
              <w:rPr>
                <w:rFonts w:hint="eastAsia" w:ascii="仿宋_GB2312" w:hAnsi="仿宋_GB2312" w:eastAsia="仿宋_GB2312" w:cs="仿宋_GB2312"/>
                <w:szCs w:val="21"/>
                <w:lang w:val="en-US" w:eastAsia="zh-CN"/>
              </w:rPr>
              <w:t>10</w:t>
            </w:r>
          </w:p>
        </w:tc>
        <w:tc>
          <w:tcPr>
            <w:tcW w:w="4783" w:type="dxa"/>
          </w:tcPr>
          <w:p>
            <w:pPr>
              <w:numPr>
                <w:ilvl w:val="0"/>
                <w:numId w:val="0"/>
              </w:numPr>
              <w:wordWrap w:val="0"/>
              <w:jc w:val="left"/>
              <w:rPr>
                <w:rFonts w:hint="eastAsia" w:ascii="仿宋_GB2312" w:hAnsi="仿宋_GB2312" w:eastAsia="仿宋_GB2312" w:cs="仿宋_GB2312"/>
                <w:b/>
                <w:bCs/>
                <w:color w:val="000000" w:themeColor="text1"/>
                <w:kern w:val="0"/>
                <w:sz w:val="21"/>
                <w:szCs w:val="21"/>
                <w:lang w:val="en-US" w:eastAsia="zh-CN"/>
                <w14:textFill>
                  <w14:solidFill>
                    <w14:schemeClr w14:val="tx1"/>
                  </w14:solidFill>
                </w14:textFill>
              </w:rPr>
            </w:pPr>
            <w:r>
              <w:rPr>
                <w:rFonts w:hint="eastAsia" w:ascii="仿宋_GB2312" w:hAnsi="仿宋_GB2312" w:eastAsia="仿宋_GB2312" w:cs="仿宋_GB2312"/>
                <w:b/>
                <w:bCs/>
                <w:color w:val="000000" w:themeColor="text1"/>
                <w:kern w:val="0"/>
                <w:sz w:val="21"/>
                <w:szCs w:val="21"/>
                <w:lang w:val="en-US" w:eastAsia="zh-CN" w:bidi="ar-SA"/>
                <w14:textFill>
                  <w14:solidFill>
                    <w14:schemeClr w14:val="tx1"/>
                  </w14:solidFill>
                </w14:textFill>
              </w:rPr>
              <w:t>（一）</w:t>
            </w:r>
            <w:r>
              <w:rPr>
                <w:rFonts w:hint="eastAsia" w:ascii="仿宋_GB2312" w:hAnsi="仿宋_GB2312" w:eastAsia="仿宋_GB2312" w:cs="仿宋_GB2312"/>
                <w:b/>
                <w:bCs/>
                <w:color w:val="000000" w:themeColor="text1"/>
                <w:kern w:val="0"/>
                <w:sz w:val="21"/>
                <w:szCs w:val="21"/>
                <w:lang w:val="en-US" w:eastAsia="zh-CN"/>
                <w14:textFill>
                  <w14:solidFill>
                    <w14:schemeClr w14:val="tx1"/>
                  </w14:solidFill>
                </w14:textFill>
              </w:rPr>
              <w:t>评审内容：</w:t>
            </w:r>
          </w:p>
          <w:p>
            <w:pPr>
              <w:wordWrap w:val="0"/>
              <w:jc w:val="left"/>
              <w:rPr>
                <w:rFonts w:hint="eastAsia" w:ascii="仿宋_GB2312" w:hAnsi="仿宋_GB2312" w:eastAsia="仿宋_GB2312" w:cs="仿宋_GB2312"/>
                <w:szCs w:val="21"/>
              </w:rPr>
            </w:pPr>
            <w:r>
              <w:rPr>
                <w:rFonts w:hint="eastAsia" w:ascii="仿宋_GB2312" w:hAnsi="仿宋_GB2312" w:eastAsia="仿宋_GB2312" w:cs="仿宋_GB2312"/>
                <w:szCs w:val="21"/>
              </w:rPr>
              <w:t>评审报价人具有同类项目业绩，每项得5分，未提供不得分。</w:t>
            </w:r>
          </w:p>
          <w:p>
            <w:pPr>
              <w:wordWrap w:val="0"/>
              <w:jc w:val="left"/>
              <w:rPr>
                <w:rFonts w:hint="eastAsia" w:ascii="仿宋_GB2312" w:hAnsi="仿宋_GB2312" w:eastAsia="仿宋_GB2312" w:cs="仿宋_GB2312"/>
                <w:b/>
                <w:bCs/>
                <w:color w:val="000000" w:themeColor="text1"/>
                <w:kern w:val="0"/>
                <w:sz w:val="21"/>
                <w:szCs w:val="21"/>
                <w:lang w:val="en-US" w:eastAsia="zh-CN"/>
                <w14:textFill>
                  <w14:solidFill>
                    <w14:schemeClr w14:val="tx1"/>
                  </w14:solidFill>
                </w14:textFill>
              </w:rPr>
            </w:pPr>
            <w:r>
              <w:rPr>
                <w:rFonts w:hint="eastAsia" w:ascii="仿宋_GB2312" w:hAnsi="仿宋_GB2312" w:eastAsia="仿宋_GB2312" w:cs="仿宋_GB2312"/>
                <w:b/>
                <w:bCs/>
                <w:color w:val="000000" w:themeColor="text1"/>
                <w:kern w:val="0"/>
                <w:sz w:val="21"/>
                <w:szCs w:val="21"/>
                <w:lang w:val="en-US" w:eastAsia="zh-CN" w:bidi="ar-SA"/>
                <w14:textFill>
                  <w14:solidFill>
                    <w14:schemeClr w14:val="tx1"/>
                  </w14:solidFill>
                </w14:textFill>
              </w:rPr>
              <w:t>（二）</w:t>
            </w:r>
            <w:r>
              <w:rPr>
                <w:rFonts w:hint="eastAsia" w:ascii="仿宋_GB2312" w:hAnsi="仿宋_GB2312" w:eastAsia="仿宋_GB2312" w:cs="仿宋_GB2312"/>
                <w:b/>
                <w:bCs/>
                <w:color w:val="000000" w:themeColor="text1"/>
                <w:kern w:val="0"/>
                <w:sz w:val="21"/>
                <w:szCs w:val="21"/>
                <w:lang w:val="en-US" w:eastAsia="zh-CN"/>
                <w14:textFill>
                  <w14:solidFill>
                    <w14:schemeClr w14:val="tx1"/>
                  </w14:solidFill>
                </w14:textFill>
              </w:rPr>
              <w:t>证明文件：</w:t>
            </w:r>
          </w:p>
          <w:p>
            <w:pPr>
              <w:wordWrap w:val="0"/>
              <w:jc w:val="left"/>
              <w:rPr>
                <w:rFonts w:hint="eastAsia" w:ascii="仿宋_GB2312" w:hAnsi="仿宋_GB2312" w:eastAsia="仿宋_GB2312" w:cs="仿宋_GB2312"/>
                <w:szCs w:val="21"/>
              </w:rPr>
            </w:pPr>
            <w:r>
              <w:rPr>
                <w:rFonts w:hint="eastAsia" w:ascii="仿宋_GB2312" w:hAnsi="仿宋_GB2312" w:eastAsia="仿宋_GB2312" w:cs="仿宋_GB2312"/>
                <w:szCs w:val="21"/>
              </w:rPr>
              <w:t>①投标人提供近5年</w:t>
            </w:r>
            <w:r>
              <w:rPr>
                <w:rFonts w:hint="eastAsia" w:ascii="仿宋_GB2312" w:hAnsi="仿宋_GB2312" w:eastAsia="仿宋_GB2312" w:cs="仿宋_GB2312"/>
                <w:szCs w:val="21"/>
                <w:lang w:val="en-US" w:eastAsia="zh-CN"/>
              </w:rPr>
              <w:t>活动策划</w:t>
            </w:r>
            <w:r>
              <w:rPr>
                <w:rFonts w:hint="eastAsia" w:ascii="仿宋_GB2312" w:hAnsi="仿宋_GB2312" w:eastAsia="仿宋_GB2312" w:cs="仿宋_GB2312"/>
                <w:szCs w:val="21"/>
              </w:rPr>
              <w:t>服务合同关键信息（包括但不限于合同首页、项目服务内容、服务期限、签字盖章页）；</w:t>
            </w:r>
          </w:p>
          <w:p>
            <w:pPr>
              <w:wordWrap w:val="0"/>
              <w:jc w:val="left"/>
              <w:rPr>
                <w:rFonts w:hint="eastAsia" w:ascii="仿宋_GB2312" w:hAnsi="仿宋_GB2312" w:eastAsia="仿宋_GB2312" w:cs="仿宋_GB2312"/>
                <w:szCs w:val="21"/>
              </w:rPr>
            </w:pPr>
            <w:r>
              <w:rPr>
                <w:rFonts w:hint="eastAsia" w:ascii="仿宋_GB2312" w:hAnsi="仿宋_GB2312" w:eastAsia="仿宋_GB2312" w:cs="仿宋_GB2312"/>
                <w:szCs w:val="21"/>
              </w:rPr>
              <w:t>②通过合同关键信息无法判断是否得分的，提供能证明得分的</w:t>
            </w:r>
            <w:r>
              <w:rPr>
                <w:rFonts w:hint="eastAsia" w:ascii="仿宋_GB2312" w:hAnsi="仿宋_GB2312" w:eastAsia="仿宋_GB2312" w:cs="仿宋_GB2312"/>
                <w:szCs w:val="21"/>
                <w:lang w:eastAsia="zh-CN"/>
              </w:rPr>
              <w:t>其他证明</w:t>
            </w:r>
            <w:r>
              <w:rPr>
                <w:rFonts w:hint="eastAsia" w:ascii="仿宋_GB2312" w:hAnsi="仿宋_GB2312" w:eastAsia="仿宋_GB2312" w:cs="仿宋_GB2312"/>
                <w:szCs w:val="21"/>
              </w:rPr>
              <w:t>资料，如项目报告或合同甲方出具的证明文件等。</w:t>
            </w:r>
          </w:p>
          <w:p>
            <w:pPr>
              <w:wordWrap w:val="0"/>
              <w:jc w:val="left"/>
              <w:rPr>
                <w:rFonts w:hint="eastAsia"/>
              </w:rPr>
            </w:pPr>
            <w:r>
              <w:rPr>
                <w:rFonts w:hint="eastAsia" w:ascii="仿宋_GB2312" w:hAnsi="仿宋_GB2312" w:eastAsia="仿宋_GB2312" w:cs="仿宋_GB2312"/>
                <w:szCs w:val="21"/>
              </w:rPr>
              <w:t>备注：本项最高得</w:t>
            </w:r>
            <w:r>
              <w:rPr>
                <w:rFonts w:hint="eastAsia" w:ascii="仿宋_GB2312" w:hAnsi="仿宋_GB2312" w:eastAsia="仿宋_GB2312" w:cs="仿宋_GB2312"/>
                <w:szCs w:val="21"/>
                <w:lang w:val="en-US" w:eastAsia="zh-CN"/>
              </w:rPr>
              <w:t>1</w:t>
            </w:r>
            <w:r>
              <w:rPr>
                <w:rFonts w:hint="eastAsia" w:ascii="仿宋_GB2312" w:hAnsi="仿宋_GB2312" w:eastAsia="仿宋_GB2312" w:cs="仿宋_GB2312"/>
                <w:szCs w:val="21"/>
              </w:rPr>
              <w:t>0分，报价人须确保所提供的证明材料清晰、可以判断，评分中若出现无证明资料或证书过期或专家无法凭所提供资料判断是否得分的情况，一律作不得分处理。</w:t>
            </w:r>
          </w:p>
        </w:tc>
      </w:tr>
    </w:tbl>
    <w:p>
      <w:pPr>
        <w:rPr>
          <w:rFonts w:hint="eastAsia" w:ascii="仿宋_GB2312" w:hAnsi="仿宋_GB2312" w:eastAsia="仿宋_GB2312" w:cs="仿宋_GB2312"/>
        </w:rPr>
      </w:pPr>
    </w:p>
    <w:sectPr>
      <w:pgSz w:w="11906" w:h="16838"/>
      <w:pgMar w:top="1440" w:right="1486" w:bottom="1440" w:left="16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0A7F50D"/>
    <w:multiLevelType w:val="singleLevel"/>
    <w:tmpl w:val="50A7F50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AyMmQ4NmM5MGQ1MTg5NTIwNTY2ZWZlMzJjMmViZTkifQ=="/>
  </w:docVars>
  <w:rsids>
    <w:rsidRoot w:val="14F87D44"/>
    <w:rsid w:val="00662D4F"/>
    <w:rsid w:val="00996E87"/>
    <w:rsid w:val="00B50417"/>
    <w:rsid w:val="02637FB2"/>
    <w:rsid w:val="02EE3F8C"/>
    <w:rsid w:val="02F07E01"/>
    <w:rsid w:val="034F7943"/>
    <w:rsid w:val="043F0BEF"/>
    <w:rsid w:val="04E522D8"/>
    <w:rsid w:val="062C712D"/>
    <w:rsid w:val="066F0F20"/>
    <w:rsid w:val="06B64DD8"/>
    <w:rsid w:val="06D91F66"/>
    <w:rsid w:val="06F6759D"/>
    <w:rsid w:val="07AD5A9C"/>
    <w:rsid w:val="07D30065"/>
    <w:rsid w:val="081B19DC"/>
    <w:rsid w:val="088F1211"/>
    <w:rsid w:val="091E2819"/>
    <w:rsid w:val="09DD2855"/>
    <w:rsid w:val="0A0D52EB"/>
    <w:rsid w:val="0B534F80"/>
    <w:rsid w:val="0C0F70F9"/>
    <w:rsid w:val="0C5E1D29"/>
    <w:rsid w:val="0CF71431"/>
    <w:rsid w:val="0DDC125D"/>
    <w:rsid w:val="0DE7375C"/>
    <w:rsid w:val="0E4E1622"/>
    <w:rsid w:val="0F6A7CCE"/>
    <w:rsid w:val="103B7FFA"/>
    <w:rsid w:val="11280DAA"/>
    <w:rsid w:val="11722E7C"/>
    <w:rsid w:val="12542436"/>
    <w:rsid w:val="12F31522"/>
    <w:rsid w:val="1307285E"/>
    <w:rsid w:val="13484195"/>
    <w:rsid w:val="13D92EB3"/>
    <w:rsid w:val="142E2566"/>
    <w:rsid w:val="14422006"/>
    <w:rsid w:val="14F87D44"/>
    <w:rsid w:val="15376E86"/>
    <w:rsid w:val="155A0C25"/>
    <w:rsid w:val="158316C2"/>
    <w:rsid w:val="163E312C"/>
    <w:rsid w:val="167138F7"/>
    <w:rsid w:val="178C0BEB"/>
    <w:rsid w:val="17B40D82"/>
    <w:rsid w:val="17C06A28"/>
    <w:rsid w:val="18290170"/>
    <w:rsid w:val="1858745C"/>
    <w:rsid w:val="18B25493"/>
    <w:rsid w:val="18C354F3"/>
    <w:rsid w:val="18DBB072"/>
    <w:rsid w:val="1A335B66"/>
    <w:rsid w:val="1A451EC6"/>
    <w:rsid w:val="1A5339C1"/>
    <w:rsid w:val="1AC15DB2"/>
    <w:rsid w:val="1B3816A8"/>
    <w:rsid w:val="1B762CF0"/>
    <w:rsid w:val="1C523B68"/>
    <w:rsid w:val="1DCA7B3B"/>
    <w:rsid w:val="1DD3267D"/>
    <w:rsid w:val="1E703800"/>
    <w:rsid w:val="1EE537BF"/>
    <w:rsid w:val="1F1060F7"/>
    <w:rsid w:val="1F172876"/>
    <w:rsid w:val="20D91D04"/>
    <w:rsid w:val="21C80F79"/>
    <w:rsid w:val="21D40771"/>
    <w:rsid w:val="22603DB2"/>
    <w:rsid w:val="22C63819"/>
    <w:rsid w:val="23451001"/>
    <w:rsid w:val="24535936"/>
    <w:rsid w:val="26BC7A25"/>
    <w:rsid w:val="27743E5C"/>
    <w:rsid w:val="27A9485A"/>
    <w:rsid w:val="292E3D76"/>
    <w:rsid w:val="29423FBC"/>
    <w:rsid w:val="29987ADF"/>
    <w:rsid w:val="29F8067F"/>
    <w:rsid w:val="2A8F3D25"/>
    <w:rsid w:val="2AD0640E"/>
    <w:rsid w:val="2B8D794D"/>
    <w:rsid w:val="2FF41A13"/>
    <w:rsid w:val="300B0DFD"/>
    <w:rsid w:val="3019374D"/>
    <w:rsid w:val="305A0378"/>
    <w:rsid w:val="30C62991"/>
    <w:rsid w:val="30C74D94"/>
    <w:rsid w:val="3147146F"/>
    <w:rsid w:val="31C122DE"/>
    <w:rsid w:val="31CA5C1E"/>
    <w:rsid w:val="32052280"/>
    <w:rsid w:val="322E69CF"/>
    <w:rsid w:val="323B596D"/>
    <w:rsid w:val="32CD1FA6"/>
    <w:rsid w:val="33BF58CC"/>
    <w:rsid w:val="33FF9BBE"/>
    <w:rsid w:val="343B3F42"/>
    <w:rsid w:val="34E45D5E"/>
    <w:rsid w:val="356917A4"/>
    <w:rsid w:val="357B043D"/>
    <w:rsid w:val="37826121"/>
    <w:rsid w:val="37FDD590"/>
    <w:rsid w:val="38AC2588"/>
    <w:rsid w:val="394538AA"/>
    <w:rsid w:val="39893452"/>
    <w:rsid w:val="39C96289"/>
    <w:rsid w:val="3BCB373E"/>
    <w:rsid w:val="3BFC14B6"/>
    <w:rsid w:val="3C497CAC"/>
    <w:rsid w:val="3C7921E9"/>
    <w:rsid w:val="3CFE7443"/>
    <w:rsid w:val="3E32264F"/>
    <w:rsid w:val="3E524A9F"/>
    <w:rsid w:val="3F171845"/>
    <w:rsid w:val="3F174F10"/>
    <w:rsid w:val="3F1B5420"/>
    <w:rsid w:val="3F841B37"/>
    <w:rsid w:val="40C92722"/>
    <w:rsid w:val="41870FCB"/>
    <w:rsid w:val="42085A5F"/>
    <w:rsid w:val="43706A20"/>
    <w:rsid w:val="441C0B07"/>
    <w:rsid w:val="44B33DBE"/>
    <w:rsid w:val="44E4041B"/>
    <w:rsid w:val="45F97EF6"/>
    <w:rsid w:val="46CA5BDD"/>
    <w:rsid w:val="46D52E59"/>
    <w:rsid w:val="472E3DA6"/>
    <w:rsid w:val="47C048BA"/>
    <w:rsid w:val="47CB122D"/>
    <w:rsid w:val="47CE2EC8"/>
    <w:rsid w:val="48C52AC1"/>
    <w:rsid w:val="49763E6A"/>
    <w:rsid w:val="4A0E278E"/>
    <w:rsid w:val="4A7927D5"/>
    <w:rsid w:val="4AD06454"/>
    <w:rsid w:val="4B81448E"/>
    <w:rsid w:val="4C8B625C"/>
    <w:rsid w:val="4DDF5C24"/>
    <w:rsid w:val="4E776908"/>
    <w:rsid w:val="4FDF48D9"/>
    <w:rsid w:val="4FDF63AF"/>
    <w:rsid w:val="50000D3F"/>
    <w:rsid w:val="516C490F"/>
    <w:rsid w:val="5206251F"/>
    <w:rsid w:val="527F701F"/>
    <w:rsid w:val="54C1532E"/>
    <w:rsid w:val="558F2602"/>
    <w:rsid w:val="559D089E"/>
    <w:rsid w:val="55FB65B5"/>
    <w:rsid w:val="565F5B54"/>
    <w:rsid w:val="56B279BB"/>
    <w:rsid w:val="5796590C"/>
    <w:rsid w:val="585C0985"/>
    <w:rsid w:val="590F5B0B"/>
    <w:rsid w:val="590F7154"/>
    <w:rsid w:val="591F0784"/>
    <w:rsid w:val="5AEB3A23"/>
    <w:rsid w:val="5B215ACE"/>
    <w:rsid w:val="5B264BC4"/>
    <w:rsid w:val="5BBE9A79"/>
    <w:rsid w:val="5C7E32A1"/>
    <w:rsid w:val="5D612CC1"/>
    <w:rsid w:val="5D951530"/>
    <w:rsid w:val="5F845F11"/>
    <w:rsid w:val="5FBC8F17"/>
    <w:rsid w:val="5FFC4AF2"/>
    <w:rsid w:val="602309F7"/>
    <w:rsid w:val="60A1191C"/>
    <w:rsid w:val="613C71BD"/>
    <w:rsid w:val="61542144"/>
    <w:rsid w:val="61695AD8"/>
    <w:rsid w:val="6291178B"/>
    <w:rsid w:val="639B7286"/>
    <w:rsid w:val="662B5D9B"/>
    <w:rsid w:val="66342210"/>
    <w:rsid w:val="67784CC7"/>
    <w:rsid w:val="67C95523"/>
    <w:rsid w:val="687A3180"/>
    <w:rsid w:val="69004F74"/>
    <w:rsid w:val="69125DD5"/>
    <w:rsid w:val="69B456C5"/>
    <w:rsid w:val="69BD57DA"/>
    <w:rsid w:val="6A2C4508"/>
    <w:rsid w:val="6ABA3303"/>
    <w:rsid w:val="6B034790"/>
    <w:rsid w:val="6BBE4A64"/>
    <w:rsid w:val="6BD25B2D"/>
    <w:rsid w:val="6C1B4EC6"/>
    <w:rsid w:val="6C440B2D"/>
    <w:rsid w:val="6CA91516"/>
    <w:rsid w:val="6D454590"/>
    <w:rsid w:val="6D9B526C"/>
    <w:rsid w:val="6DCD5EEB"/>
    <w:rsid w:val="6E3A2BFE"/>
    <w:rsid w:val="6F616E46"/>
    <w:rsid w:val="70451C9F"/>
    <w:rsid w:val="707E70A7"/>
    <w:rsid w:val="70920848"/>
    <w:rsid w:val="72816CD9"/>
    <w:rsid w:val="728D38D3"/>
    <w:rsid w:val="729C2D68"/>
    <w:rsid w:val="729F2A7F"/>
    <w:rsid w:val="72E9257B"/>
    <w:rsid w:val="73561597"/>
    <w:rsid w:val="73613893"/>
    <w:rsid w:val="73E52352"/>
    <w:rsid w:val="744E7777"/>
    <w:rsid w:val="74E136AB"/>
    <w:rsid w:val="757F3D22"/>
    <w:rsid w:val="75C971C4"/>
    <w:rsid w:val="76F8372F"/>
    <w:rsid w:val="77CB4E87"/>
    <w:rsid w:val="77FB3D7E"/>
    <w:rsid w:val="78986F77"/>
    <w:rsid w:val="791365FE"/>
    <w:rsid w:val="798C015E"/>
    <w:rsid w:val="7A41593D"/>
    <w:rsid w:val="7A823551"/>
    <w:rsid w:val="7B295FE2"/>
    <w:rsid w:val="7B752F0F"/>
    <w:rsid w:val="7D65458C"/>
    <w:rsid w:val="7D7E3A5E"/>
    <w:rsid w:val="7DFF7F01"/>
    <w:rsid w:val="7E3323B4"/>
    <w:rsid w:val="7E345DFD"/>
    <w:rsid w:val="7F4364BE"/>
    <w:rsid w:val="7F9164CE"/>
    <w:rsid w:val="7FF2664E"/>
    <w:rsid w:val="7FFC5277"/>
    <w:rsid w:val="8EFF9FE7"/>
    <w:rsid w:val="9EDC0A33"/>
    <w:rsid w:val="9FAE61E7"/>
    <w:rsid w:val="AF838F0C"/>
    <w:rsid w:val="AFF578B4"/>
    <w:rsid w:val="BB7F8371"/>
    <w:rsid w:val="BC59B561"/>
    <w:rsid w:val="C51DD7A4"/>
    <w:rsid w:val="CBFD63EE"/>
    <w:rsid w:val="D9BF9480"/>
    <w:rsid w:val="DEBF66EA"/>
    <w:rsid w:val="DFBA39AF"/>
    <w:rsid w:val="DFCC2DF3"/>
    <w:rsid w:val="E0BE3A10"/>
    <w:rsid w:val="E3FC8503"/>
    <w:rsid w:val="EBFE2969"/>
    <w:rsid w:val="ECF5DB3C"/>
    <w:rsid w:val="EDFF49D3"/>
    <w:rsid w:val="EEB70D3C"/>
    <w:rsid w:val="EF7F285E"/>
    <w:rsid w:val="FA376FBF"/>
    <w:rsid w:val="FB6F7516"/>
    <w:rsid w:val="FDABC5B9"/>
    <w:rsid w:val="FE5EF2EB"/>
    <w:rsid w:val="FFCB6244"/>
    <w:rsid w:val="FFE78FA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unhideWhenUsed/>
    <w:qFormat/>
    <w:uiPriority w:val="9"/>
    <w:pPr>
      <w:keepNext/>
      <w:keepLines/>
      <w:spacing w:before="260" w:after="260" w:line="416" w:lineRule="auto"/>
      <w:outlineLvl w:val="1"/>
    </w:pPr>
    <w:rPr>
      <w:rFonts w:ascii="Calibri Light" w:hAnsi="Calibri Light" w:eastAsia="宋体" w:cs="Times New Roman"/>
      <w:b/>
      <w:bCs/>
      <w:sz w:val="32"/>
      <w:szCs w:val="32"/>
    </w:rPr>
  </w:style>
  <w:style w:type="character" w:default="1" w:styleId="11">
    <w:name w:val="Default Paragraph Font"/>
    <w:unhideWhenUsed/>
    <w:qFormat/>
    <w:uiPriority w:val="1"/>
  </w:style>
  <w:style w:type="table" w:default="1" w:styleId="9">
    <w:name w:val="Normal Table"/>
    <w:unhideWhenUsed/>
    <w:qFormat/>
    <w:uiPriority w:val="99"/>
    <w:tblPr>
      <w:tblCellMar>
        <w:top w:w="0" w:type="dxa"/>
        <w:left w:w="108" w:type="dxa"/>
        <w:bottom w:w="0" w:type="dxa"/>
        <w:right w:w="108" w:type="dxa"/>
      </w:tblCellMar>
    </w:tblPr>
  </w:style>
  <w:style w:type="paragraph" w:styleId="3">
    <w:name w:val="index 8"/>
    <w:basedOn w:val="1"/>
    <w:next w:val="1"/>
    <w:semiHidden/>
    <w:qFormat/>
    <w:uiPriority w:val="0"/>
    <w:pPr>
      <w:ind w:left="1680" w:hanging="210"/>
      <w:jc w:val="left"/>
    </w:pPr>
    <w:rPr>
      <w:rFonts w:ascii="Times New Roman" w:hAnsi="Times New Roman" w:eastAsia="宋体" w:cs="Times New Roman"/>
      <w:sz w:val="20"/>
      <w:szCs w:val="20"/>
    </w:rPr>
  </w:style>
  <w:style w:type="paragraph" w:styleId="4">
    <w:name w:val="Normal Indent"/>
    <w:basedOn w:val="1"/>
    <w:next w:val="1"/>
    <w:qFormat/>
    <w:uiPriority w:val="99"/>
    <w:pPr>
      <w:ind w:firstLine="420"/>
    </w:pPr>
  </w:style>
  <w:style w:type="paragraph" w:styleId="5">
    <w:name w:val="annotation text"/>
    <w:basedOn w:val="1"/>
    <w:qFormat/>
    <w:uiPriority w:val="0"/>
    <w:pPr>
      <w:jc w:val="left"/>
    </w:pPr>
  </w:style>
  <w:style w:type="paragraph" w:styleId="6">
    <w:name w:val="Body Text"/>
    <w:basedOn w:val="1"/>
    <w:qFormat/>
    <w:uiPriority w:val="0"/>
    <w:pPr>
      <w:spacing w:line="360" w:lineRule="auto"/>
    </w:pPr>
    <w:rPr>
      <w:rFonts w:ascii="Times New Roman" w:hAnsi="Times New Roman"/>
      <w:b/>
      <w:bCs/>
      <w:sz w:val="24"/>
      <w:szCs w:val="24"/>
    </w:rPr>
  </w:style>
  <w:style w:type="paragraph" w:styleId="7">
    <w:name w:val="Plain Text"/>
    <w:basedOn w:val="1"/>
    <w:next w:val="3"/>
    <w:unhideWhenUsed/>
    <w:qFormat/>
    <w:uiPriority w:val="0"/>
    <w:rPr>
      <w:rFonts w:ascii="宋体" w:hAnsi="Courier New"/>
      <w:szCs w:val="21"/>
    </w:rPr>
  </w:style>
  <w:style w:type="paragraph" w:styleId="8">
    <w:name w:val="Normal (Web)"/>
    <w:basedOn w:val="1"/>
    <w:qFormat/>
    <w:uiPriority w:val="0"/>
    <w:pPr>
      <w:spacing w:beforeAutospacing="1" w:afterAutospacing="1"/>
      <w:jc w:val="left"/>
    </w:pPr>
    <w:rPr>
      <w:rFonts w:cs="Times New Roman"/>
      <w:kern w:val="0"/>
      <w:sz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font7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2e1d3304-e0c2-448e-a951-a1ff0b867f70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5A3CE5CE</paraID>
      <start>10</start>
      <end>11</end>
      <status>unmodified</status>
      <modifiedWord/>
      <trackRevisions>false</trackRevisions>
    </reviewItem>
    <reviewItem>
      <errorID>e6442bbd-0fb5-4e54-af2b-70cba1e4a342</errorID>
      <errorWord>:</errorWord>
      <group>L1_Format</group>
      <groupName>格式问题</groupName>
      <ability>L2_HalfPunc_CN</ability>
      <abilityName>全半角问题</abilityName>
      <candidateList>
        <item>：</item>
      </candidateList>
      <explain>文本全半角错误。</explain>
      <paraID>29D4C0A9</paraID>
      <start>120</start>
      <end>121</end>
      <status>unmodified</status>
      <modifiedWord/>
      <trackRevisions>false</trackRevisions>
    </reviewItem>
    <reviewItem>
      <errorID>9d9df1e2-e7a7-4012-811d-a16531e499f8</errorID>
      <errorWord>:</errorWord>
      <group>L1_Format</group>
      <groupName>格式问题</groupName>
      <ability>L2_HalfPunc_CN</ability>
      <abilityName>全半角问题</abilityName>
      <candidateList>
        <item>：</item>
      </candidateList>
      <explain>文本全半角错误。</explain>
      <paraID> ABBE06B</paraID>
      <start>17</start>
      <end>18</end>
      <status>unmodified</status>
      <modifiedWord/>
      <trackRevisions>false</trackRevisions>
    </reviewItem>
    <reviewItem>
      <errorID>b3720333-39d8-48e4-af1d-be635a767b80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7D6FCC05</paraID>
      <start>0</start>
      <end>2</end>
      <status>unmodified</status>
      <modifiedWord/>
      <trackRevisions>false</trackRevisions>
    </reviewItem>
    <reviewItem>
      <errorID>5531f000-3fe4-45c1-8918-3a3079201d21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1B5978F1</paraID>
      <start>0</start>
      <end>2</end>
      <status>unmodified</status>
      <modifiedWord/>
      <trackRevisions>false</trackRevisions>
    </reviewItem>
    <reviewItem>
      <errorID>1dcdc79d-e8d8-4635-a007-a380cd8ec99c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684EB07E</paraID>
      <start>0</start>
      <end>2</end>
      <status>unmodified</status>
      <modifiedWord/>
      <trackRevisions>false</trackRevisions>
    </reviewItem>
    <reviewItem>
      <errorID>d19e6cf1-ca0e-462b-95d2-29f16c3a9437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206878CA</paraID>
      <start>0</start>
      <end>2</end>
      <status>unmodified</status>
      <modifiedWord/>
      <trackRevisions>false</trackRevisions>
    </reviewItem>
    <reviewItem>
      <errorID>cd0ced4a-9486-49fb-9597-6f33b9d20f34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4F3CCDFB</paraID>
      <start>0</start>
      <end>2</end>
      <status>unmodified</status>
      <modifiedWord/>
      <trackRevisions>false</trackRevisions>
    </reviewItem>
    <reviewItem>
      <errorID>d5e1f5eb-65d5-470c-9fd8-45cca8bf9124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5D5811D1</paraID>
      <start>39</start>
      <end>40</end>
      <status>unmodified</status>
      <modifiedWord/>
      <trackRevisions>false</trackRevisions>
    </reviewItem>
    <reviewItem>
      <errorID>23814a0a-be36-45b1-ad69-33c840df2cbd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5316B0F2</paraID>
      <start>41</start>
      <end>42</end>
      <status>unmodified</status>
      <modifiedWord/>
      <trackRevisions>false</trackRevisions>
    </reviewItem>
    <reviewItem>
      <errorID>b6c14a54-f07c-43ba-840f-9ebcb276e09f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28E6AFD8</paraID>
      <start>29</start>
      <end>30</end>
      <status>unmodified</status>
      <modifiedWord/>
      <trackRevisions>false</trackRevisions>
    </reviewItem>
    <reviewItem>
      <errorID>45dde117-1ad7-4666-8172-e93d0bbc0e90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2F7D77DC</paraID>
      <start>29</start>
      <end>30</end>
      <status>unmodified</status>
      <modifiedWord/>
      <trackRevisions>false</trackRevisions>
    </reviewItem>
    <reviewItem>
      <errorID>b46725f2-b2c9-430d-b1b0-964dd20028c9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31A04F7</paraID>
      <start>39</start>
      <end>40</end>
      <status>unmodified</status>
      <modifiedWord/>
      <trackRevisions>false</trackRevisions>
    </reviewItem>
    <reviewItem>
      <errorID>05222074-9700-4b52-a9b8-9c3a7e1fec87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2F5D5700</paraID>
      <start>32</start>
      <end>33</end>
      <status>unmodified</status>
      <modifiedWord/>
      <trackRevisions>false</trackRevisions>
    </reviewItem>
    <reviewItem>
      <errorID>7dae61ca-a66c-4fff-afd3-dc7f05a6c613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735591F9</paraID>
      <start>36</start>
      <end>37</end>
      <status>unmodified</status>
      <modifiedWord/>
      <trackRevisions>false</trackRevisions>
    </reviewItem>
    <reviewItem>
      <errorID>710c5a59-101a-47ea-a885-c7ad2cbd7bbc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770EE7EB</paraID>
      <start>54</start>
      <end>55</end>
      <status>unmodified</status>
      <modifiedWord/>
      <trackRevisions>false</trackRevisions>
    </reviewItem>
    <reviewItem>
      <errorID>4422073a-6d81-47ac-b128-32976188f25f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460A885</paraID>
      <start>47</start>
      <end>48</end>
      <status>unmodified</status>
      <modifiedWord/>
      <trackRevisions>false</trackRevisions>
    </reviewItem>
  </reviewItems>
  <config/>
</contractReview>
</file>

<file path=customXml/itemProps1.xml><?xml version="1.0" encoding="utf-8"?>
<ds:datastoreItem xmlns:ds="http://schemas.openxmlformats.org/officeDocument/2006/customXml" ds:itemID="{fb458f31-dc7f-44bc-a89e-b2c544bf4afc}">
  <ds:schemaRefs/>
</ds:datastoreItem>
</file>

<file path=docProps/app.xml><?xml version="1.0" encoding="utf-8"?>
<Properties xmlns="http://schemas.openxmlformats.org/officeDocument/2006/extended-properties" xmlns:vt="http://schemas.openxmlformats.org/officeDocument/2006/docPropsVTypes">
  <Template>Normal.dotm</Template>
  <Pages>11</Pages>
  <Words>4352</Words>
  <Characters>4578</Characters>
  <Lines>9</Lines>
  <Paragraphs>2</Paragraphs>
  <TotalTime>60</TotalTime>
  <ScaleCrop>false</ScaleCrop>
  <LinksUpToDate>false</LinksUpToDate>
  <CharactersWithSpaces>4667</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2022-09-26T02:57:00Z</dcterms:created>
  <dc:creator>Administrator</dc:creator>
  <cp:lastModifiedBy>Qqqqqq</cp:lastModifiedBy>
  <dcterms:modified xsi:type="dcterms:W3CDTF">2026-10-10T09:56:02Z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1F209C1AA1B74FD1BC1A1F5D7E9A2325_13</vt:lpwstr>
  </property>
  <property fmtid="{D5CDD505-2E9C-101B-9397-08002B2CF9AE}" pid="4" name="KSOTemplateDocerSaveRecord">
    <vt:lpwstr>eyJoZGlkIjoiNDg1Y2E5NTY2NjAzYTIyOThhNmEyMzJmYWFmOWQyYTIiLCJ1c2VySWQiOiI4NjAxNzY1MTEifQ==</vt:lpwstr>
  </property>
</Properties>
</file>