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ECE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r>
        <w:rPr>
          <w:rFonts w:hint="eastAsia" w:asciiTheme="majorEastAsia" w:hAnsiTheme="majorEastAsia" w:eastAsiaTheme="majorEastAsia" w:cstheme="majorEastAsia"/>
          <w:b/>
          <w:bCs/>
          <w:sz w:val="44"/>
          <w:szCs w:val="52"/>
          <w:lang w:val="en-US" w:eastAsia="zh-CN"/>
        </w:rPr>
        <w:t>询 价 函</w:t>
      </w:r>
    </w:p>
    <w:p w14:paraId="423296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lang w:val="en-US" w:eastAsia="zh-CN"/>
        </w:rPr>
      </w:pPr>
    </w:p>
    <w:p w14:paraId="4951CB3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各单位：</w:t>
      </w:r>
    </w:p>
    <w:p w14:paraId="44253DA7">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我司现就</w:t>
      </w:r>
      <w:r>
        <w:rPr>
          <w:rFonts w:hint="eastAsia" w:ascii="仿宋" w:hAnsi="仿宋" w:eastAsia="仿宋" w:cs="仿宋"/>
          <w:b/>
          <w:bCs/>
          <w:sz w:val="32"/>
          <w:szCs w:val="40"/>
          <w:u w:val="single"/>
          <w:lang w:val="en-US" w:eastAsia="zh-CN"/>
        </w:rPr>
        <w:t>红岭创客营项目招标代理服务</w:t>
      </w:r>
      <w:r>
        <w:rPr>
          <w:rFonts w:hint="eastAsia" w:ascii="仿宋" w:hAnsi="仿宋" w:eastAsia="仿宋" w:cs="仿宋"/>
          <w:sz w:val="32"/>
          <w:szCs w:val="40"/>
          <w:lang w:val="en-US" w:eastAsia="zh-CN"/>
        </w:rPr>
        <w:t>进行公开询价，欢迎各单位就本次采购内容进行报价。具体事项说明如下：</w:t>
      </w:r>
    </w:p>
    <w:p w14:paraId="564BBA0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baseline"/>
        <w:outlineLvl w:val="9"/>
        <w:rPr>
          <w:rFonts w:hint="eastAsia" w:ascii="仿宋" w:hAnsi="仿宋" w:eastAsia="仿宋" w:cs="仿宋"/>
          <w:b w:val="0"/>
          <w:bCs w:val="0"/>
          <w:sz w:val="32"/>
          <w:szCs w:val="40"/>
          <w:u w:val="single"/>
          <w:lang w:val="en-US" w:eastAsia="zh-CN"/>
        </w:rPr>
      </w:pPr>
      <w:r>
        <w:rPr>
          <w:rFonts w:hint="eastAsia" w:ascii="仿宋" w:hAnsi="仿宋" w:eastAsia="仿宋" w:cs="仿宋"/>
          <w:b/>
          <w:bCs/>
          <w:sz w:val="32"/>
          <w:szCs w:val="40"/>
          <w:u w:val="none"/>
          <w:lang w:val="en-US" w:eastAsia="zh-CN"/>
        </w:rPr>
        <w:t>一、采购项目名称：</w:t>
      </w:r>
      <w:r>
        <w:rPr>
          <w:rFonts w:hint="eastAsia" w:ascii="仿宋" w:hAnsi="仿宋" w:eastAsia="仿宋" w:cs="仿宋"/>
          <w:b/>
          <w:bCs/>
          <w:kern w:val="2"/>
          <w:sz w:val="32"/>
          <w:szCs w:val="40"/>
          <w:u w:val="single"/>
          <w:lang w:val="en-US" w:eastAsia="zh-CN" w:bidi="ar-SA"/>
        </w:rPr>
        <w:t>红岭创客营项目招标代理服务</w:t>
      </w:r>
    </w:p>
    <w:p w14:paraId="0147C1A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baseline"/>
        <w:outlineLvl w:val="9"/>
        <w:rPr>
          <w:rFonts w:hint="eastAsia" w:ascii="仿宋" w:hAnsi="仿宋" w:eastAsia="仿宋" w:cs="仿宋"/>
          <w:b/>
          <w:bCs/>
          <w:sz w:val="32"/>
          <w:szCs w:val="40"/>
          <w:u w:val="none"/>
          <w:lang w:val="en-US" w:eastAsia="zh-CN"/>
        </w:rPr>
      </w:pPr>
      <w:r>
        <w:rPr>
          <w:rFonts w:hint="eastAsia" w:ascii="仿宋" w:hAnsi="仿宋" w:eastAsia="仿宋" w:cs="仿宋"/>
          <w:b/>
          <w:bCs/>
          <w:sz w:val="32"/>
          <w:szCs w:val="40"/>
          <w:u w:val="none"/>
          <w:lang w:val="en-US" w:eastAsia="zh-CN"/>
        </w:rPr>
        <w:t>二、项目概况：</w:t>
      </w:r>
    </w:p>
    <w:p w14:paraId="0036C323">
      <w:p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红岭创客营项目地块位于罗湖区红岭中路核心区位，为政府投资项目，土地用途现为GIC用地，用地面积11639.9㎡，现状容积率1.9，总建筑面积21418.59㎡。现有建筑共12栋，包括法院旧办公楼、检察院旧办公楼、司法局旧办公楼，以及食堂、宿舍、机房等附属用房。项目产业建议导入AI+领域领军企业、金融科技机构、权威科研机构，打造AI+金融科技中心。</w:t>
      </w:r>
    </w:p>
    <w:p w14:paraId="34A7D89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3" w:firstLineChars="200"/>
        <w:jc w:val="left"/>
        <w:textAlignment w:val="baseline"/>
        <w:outlineLvl w:val="9"/>
        <w:rPr>
          <w:rFonts w:hint="eastAsia" w:ascii="仿宋" w:hAnsi="仿宋" w:eastAsia="仿宋" w:cs="仿宋"/>
          <w:b w:val="0"/>
          <w:bCs w:val="0"/>
          <w:sz w:val="32"/>
          <w:szCs w:val="40"/>
          <w:u w:val="single"/>
          <w:lang w:val="en-US" w:eastAsia="zh-CN"/>
        </w:rPr>
      </w:pPr>
      <w:r>
        <w:rPr>
          <w:rFonts w:hint="eastAsia" w:ascii="仿宋" w:hAnsi="仿宋" w:eastAsia="仿宋" w:cs="仿宋"/>
          <w:b/>
          <w:bCs/>
          <w:sz w:val="32"/>
          <w:szCs w:val="40"/>
          <w:u w:val="none"/>
          <w:lang w:val="en-US" w:eastAsia="zh-CN"/>
        </w:rPr>
        <w:t>三、采购单位：</w:t>
      </w:r>
      <w:r>
        <w:rPr>
          <w:rFonts w:hint="eastAsia" w:ascii="仿宋" w:hAnsi="仿宋" w:eastAsia="仿宋" w:cs="仿宋"/>
          <w:b/>
          <w:bCs/>
          <w:sz w:val="32"/>
          <w:szCs w:val="40"/>
          <w:u w:val="single"/>
          <w:lang w:val="en-US" w:eastAsia="zh-CN"/>
        </w:rPr>
        <w:t>深圳市罗湖投资控股有限公司</w:t>
      </w:r>
    </w:p>
    <w:p w14:paraId="52C8F7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 w:hAnsi="仿宋" w:eastAsia="仿宋" w:cs="仿宋"/>
          <w:b/>
          <w:bCs/>
          <w:kern w:val="0"/>
          <w:sz w:val="32"/>
          <w:szCs w:val="40"/>
          <w:u w:val="none"/>
          <w:lang w:val="en-US" w:eastAsia="zh-CN" w:bidi="ar"/>
        </w:rPr>
      </w:pPr>
      <w:r>
        <w:rPr>
          <w:rFonts w:hint="eastAsia" w:ascii="仿宋" w:hAnsi="仿宋" w:eastAsia="仿宋" w:cs="仿宋"/>
          <w:b/>
          <w:bCs/>
          <w:kern w:val="0"/>
          <w:sz w:val="32"/>
          <w:szCs w:val="40"/>
          <w:u w:val="none"/>
          <w:lang w:val="en-US" w:eastAsia="zh-CN" w:bidi="ar"/>
        </w:rPr>
        <w:t>四、采购范围及内容：</w:t>
      </w:r>
    </w:p>
    <w:p w14:paraId="06E172FB">
      <w:p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本次采购范围为红岭创客营项目在深圳公共资源交易中心建设工程交易平台招标的项目，包括工程施工类及工程服务类。具体包括施工总承包、设计、监理、全过程造价咨询等招标项目，以上范围为暂定，具体以委托方实际委托为准。</w:t>
      </w:r>
    </w:p>
    <w:p w14:paraId="11BBB073">
      <w:pPr>
        <w:spacing w:line="560" w:lineRule="exact"/>
        <w:ind w:firstLine="620" w:firstLineChars="200"/>
        <w:rPr>
          <w:rFonts w:hint="default"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采购内容包括办理招标申请、招标备案、邀请函，负责本项目在深圳公共资源交易中心招标需办理的一切手续及相关业务；拟定招标方案、编制招标文件；协助审查投标人资格，并安排工作人员签字确认；招标文件及相关招标资料备案；组织投标人踏勘现场和答疑、整理答疑纪要，发出招标补遗，处理投诉；组织开标会、评标入围会和评标会、述标会、定标会及会议室协调，并进行清标工作；编制招标情况报告，办理招标结果公示；发出中标通知书和协助招标人签订合同；办理政府行政部门的相关招标备案工作；协助办理招标上会等相关业务；相关招标、投标归档资料移交甲方；协助开展项目考察质询、现场考察工作；与招投标有关的其他事项。</w:t>
      </w:r>
    </w:p>
    <w:p w14:paraId="0C0FE15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eastAsia" w:ascii="仿宋" w:hAnsi="仿宋" w:eastAsia="仿宋" w:cs="仿宋"/>
          <w:color w:val="auto"/>
          <w:sz w:val="32"/>
          <w:szCs w:val="40"/>
          <w:u w:val="none"/>
          <w:lang w:val="en-US" w:eastAsia="zh-CN"/>
        </w:rPr>
      </w:pPr>
      <w:r>
        <w:rPr>
          <w:rFonts w:hint="eastAsia" w:ascii="仿宋" w:hAnsi="仿宋" w:eastAsia="仿宋" w:cs="仿宋"/>
          <w:b/>
          <w:bCs/>
          <w:color w:val="auto"/>
          <w:sz w:val="32"/>
          <w:szCs w:val="40"/>
          <w:u w:val="none"/>
          <w:lang w:val="en-US" w:eastAsia="zh-CN"/>
        </w:rPr>
        <w:t>五、报价单位资质资格要求：</w:t>
      </w:r>
      <w:r>
        <w:rPr>
          <w:rFonts w:hint="eastAsia" w:ascii="仿宋" w:hAnsi="仿宋" w:eastAsia="仿宋" w:cs="仿宋"/>
          <w:color w:val="auto"/>
          <w:sz w:val="32"/>
          <w:szCs w:val="40"/>
          <w:u w:val="none"/>
          <w:lang w:val="en-US" w:eastAsia="zh-CN"/>
        </w:rPr>
        <w:t xml:space="preserve">                 </w:t>
      </w:r>
    </w:p>
    <w:p w14:paraId="7E0E8A9F">
      <w:pPr>
        <w:spacing w:line="560" w:lineRule="exact"/>
        <w:ind w:firstLine="620" w:firstLineChars="200"/>
        <w:rPr>
          <w:rFonts w:hint="default"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1.在中华人民共和国境内的具有合法经营资格的独立法人或其他组织；2.在信用中国网站未被列入失信被执行人名单；3.不接受联合体。</w:t>
      </w:r>
    </w:p>
    <w:p w14:paraId="1A4F1D3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default" w:ascii="仿宋_GB2312" w:hAnsi="宋体" w:eastAsia="仿宋_GB2312" w:cs="仿宋_GB2312"/>
          <w:color w:val="000000"/>
          <w:kern w:val="0"/>
          <w:sz w:val="31"/>
          <w:szCs w:val="31"/>
          <w:highlight w:val="none"/>
          <w:lang w:val="en-US" w:eastAsia="zh-CN" w:bidi="ar"/>
        </w:rPr>
      </w:pPr>
      <w:r>
        <w:rPr>
          <w:rFonts w:hint="eastAsia" w:ascii="仿宋" w:hAnsi="仿宋" w:eastAsia="仿宋" w:cs="仿宋"/>
          <w:b/>
          <w:bCs/>
          <w:sz w:val="32"/>
          <w:szCs w:val="40"/>
          <w:highlight w:val="none"/>
          <w:u w:val="none"/>
          <w:lang w:val="en-US" w:eastAsia="zh-CN"/>
        </w:rPr>
        <w:t>六、报价上限：</w:t>
      </w:r>
      <w:r>
        <w:rPr>
          <w:rFonts w:hint="eastAsia" w:ascii="仿宋" w:hAnsi="仿宋" w:eastAsia="仿宋" w:cs="仿宋"/>
          <w:sz w:val="32"/>
          <w:szCs w:val="40"/>
          <w:highlight w:val="none"/>
          <w:u w:val="none"/>
          <w:lang w:val="en-US" w:eastAsia="zh-CN"/>
        </w:rPr>
        <w:t>人民币</w:t>
      </w:r>
      <w:r>
        <w:rPr>
          <w:rFonts w:hint="eastAsia" w:ascii="仿宋" w:hAnsi="仿宋" w:eastAsia="仿宋" w:cs="仿宋"/>
          <w:b/>
          <w:bCs/>
          <w:sz w:val="32"/>
          <w:szCs w:val="40"/>
          <w:highlight w:val="none"/>
          <w:u w:val="single"/>
          <w:lang w:val="en-US" w:eastAsia="zh-CN"/>
        </w:rPr>
        <w:t>贰拾玖万壹仟贰佰元整</w:t>
      </w:r>
      <w:r>
        <w:rPr>
          <w:rFonts w:hint="eastAsia" w:ascii="仿宋" w:hAnsi="仿宋" w:eastAsia="仿宋" w:cs="仿宋"/>
          <w:b w:val="0"/>
          <w:bCs w:val="0"/>
          <w:sz w:val="32"/>
          <w:szCs w:val="40"/>
          <w:highlight w:val="none"/>
          <w:u w:val="none"/>
          <w:lang w:val="en-US" w:eastAsia="zh-CN"/>
        </w:rPr>
        <w:t>（</w:t>
      </w:r>
      <w:r>
        <w:rPr>
          <w:rFonts w:hint="eastAsia" w:ascii="宋体" w:hAnsi="宋体" w:eastAsia="宋体" w:cs="宋体"/>
          <w:b w:val="0"/>
          <w:bCs w:val="0"/>
          <w:sz w:val="32"/>
          <w:szCs w:val="40"/>
          <w:highlight w:val="none"/>
          <w:u w:val="none"/>
          <w:lang w:val="en-US" w:eastAsia="zh-CN"/>
        </w:rPr>
        <w:t>￥</w:t>
      </w:r>
      <w:r>
        <w:rPr>
          <w:rFonts w:hint="eastAsia" w:ascii="仿宋" w:hAnsi="仿宋" w:eastAsia="仿宋" w:cs="仿宋"/>
          <w:b w:val="0"/>
          <w:bCs w:val="0"/>
          <w:sz w:val="32"/>
          <w:szCs w:val="40"/>
          <w:highlight w:val="none"/>
          <w:u w:val="none"/>
          <w:lang w:val="en-US" w:eastAsia="zh-CN"/>
        </w:rPr>
        <w:t>：</w:t>
      </w:r>
      <w:r>
        <w:rPr>
          <w:rFonts w:hint="eastAsia" w:ascii="仿宋" w:hAnsi="仿宋" w:eastAsia="仿宋" w:cs="仿宋"/>
          <w:b w:val="0"/>
          <w:bCs w:val="0"/>
          <w:sz w:val="32"/>
          <w:szCs w:val="40"/>
          <w:highlight w:val="none"/>
          <w:u w:val="single"/>
          <w:lang w:val="en-US" w:eastAsia="zh-CN"/>
        </w:rPr>
        <w:t>291200.00</w:t>
      </w:r>
      <w:r>
        <w:rPr>
          <w:rFonts w:hint="eastAsia" w:ascii="仿宋" w:hAnsi="仿宋" w:eastAsia="仿宋" w:cs="仿宋"/>
          <w:b w:val="0"/>
          <w:bCs w:val="0"/>
          <w:sz w:val="32"/>
          <w:szCs w:val="40"/>
          <w:highlight w:val="none"/>
          <w:u w:val="none"/>
          <w:lang w:val="en-US" w:eastAsia="zh-CN"/>
        </w:rPr>
        <w:t>元）</w:t>
      </w:r>
      <w:r>
        <w:rPr>
          <w:rFonts w:hint="eastAsia" w:ascii="仿宋" w:hAnsi="仿宋" w:eastAsia="仿宋" w:cs="仿宋"/>
          <w:b w:val="0"/>
          <w:bCs w:val="0"/>
          <w:kern w:val="0"/>
          <w:sz w:val="32"/>
          <w:szCs w:val="40"/>
          <w:highlight w:val="none"/>
          <w:u w:val="none"/>
          <w:lang w:val="en-US" w:eastAsia="zh-CN" w:bidi="ar"/>
        </w:rPr>
        <w:t>。</w:t>
      </w:r>
      <w:r>
        <w:rPr>
          <w:rFonts w:hint="default" w:ascii="仿宋_GB2312" w:hAnsi="宋体" w:eastAsia="仿宋_GB2312" w:cs="仿宋_GB2312"/>
          <w:color w:val="000000"/>
          <w:kern w:val="0"/>
          <w:sz w:val="31"/>
          <w:szCs w:val="31"/>
          <w:highlight w:val="none"/>
          <w:lang w:val="en-US" w:eastAsia="zh-CN" w:bidi="ar"/>
        </w:rPr>
        <w:t>报价形式为</w:t>
      </w:r>
      <w:r>
        <w:rPr>
          <w:rFonts w:hint="eastAsia" w:ascii="仿宋_GB2312" w:hAnsi="宋体" w:eastAsia="仿宋_GB2312" w:cs="仿宋_GB2312"/>
          <w:color w:val="000000"/>
          <w:kern w:val="0"/>
          <w:sz w:val="31"/>
          <w:szCs w:val="31"/>
          <w:highlight w:val="none"/>
          <w:lang w:val="en-US" w:eastAsia="zh-CN" w:bidi="ar"/>
        </w:rPr>
        <w:t>暂估价及下浮率。</w:t>
      </w:r>
    </w:p>
    <w:p w14:paraId="332681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default" w:ascii="仿宋" w:hAnsi="仿宋" w:eastAsia="仿宋" w:cs="仿宋"/>
          <w:b/>
          <w:bCs/>
          <w:sz w:val="32"/>
          <w:szCs w:val="40"/>
          <w:u w:val="none"/>
          <w:lang w:val="en-US" w:eastAsia="zh-CN"/>
        </w:rPr>
      </w:pPr>
      <w:r>
        <w:rPr>
          <w:rFonts w:hint="eastAsia" w:ascii="仿宋" w:hAnsi="仿宋" w:eastAsia="仿宋" w:cs="仿宋"/>
          <w:b/>
          <w:bCs/>
          <w:sz w:val="32"/>
          <w:szCs w:val="40"/>
          <w:u w:val="none"/>
          <w:lang w:val="en-US" w:eastAsia="zh-CN"/>
        </w:rPr>
        <w:t>七、报价及响应材料：</w:t>
      </w:r>
    </w:p>
    <w:p w14:paraId="48A4AA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1.报价要求</w:t>
      </w:r>
    </w:p>
    <w:p w14:paraId="086997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报价等响应文件一经发出，即为签订合同的依据。请各</w:t>
      </w:r>
      <w:r>
        <w:rPr>
          <w:rFonts w:hint="eastAsia" w:ascii="仿宋" w:hAnsi="仿宋" w:eastAsia="仿宋" w:cs="仿宋"/>
          <w:sz w:val="32"/>
          <w:szCs w:val="40"/>
          <w:lang w:val="en-US" w:eastAsia="zh-CN"/>
        </w:rPr>
        <w:t>报价单位</w:t>
      </w:r>
      <w:r>
        <w:rPr>
          <w:rFonts w:hint="eastAsia" w:ascii="仿宋" w:hAnsi="仿宋" w:eastAsia="仿宋" w:cs="仿宋"/>
          <w:sz w:val="32"/>
          <w:szCs w:val="40"/>
          <w:u w:val="none"/>
          <w:lang w:val="en-US" w:eastAsia="zh-CN"/>
        </w:rPr>
        <w:t>严格按附件响应文件格式进行填写并加盖公章，于</w:t>
      </w:r>
      <w:r>
        <w:rPr>
          <w:rFonts w:hint="eastAsia" w:ascii="仿宋" w:hAnsi="仿宋" w:eastAsia="仿宋" w:cs="仿宋"/>
          <w:color w:val="auto"/>
          <w:sz w:val="32"/>
          <w:szCs w:val="40"/>
          <w:highlight w:val="none"/>
          <w:u w:val="single"/>
          <w:lang w:val="en-US" w:eastAsia="zh-CN"/>
        </w:rPr>
        <w:t>2026</w:t>
      </w:r>
      <w:r>
        <w:rPr>
          <w:rFonts w:hint="eastAsia" w:ascii="仿宋" w:hAnsi="仿宋" w:eastAsia="仿宋" w:cs="仿宋"/>
          <w:color w:val="auto"/>
          <w:sz w:val="32"/>
          <w:szCs w:val="40"/>
          <w:highlight w:val="none"/>
          <w:u w:val="none"/>
          <w:lang w:val="en-US" w:eastAsia="zh-CN"/>
        </w:rPr>
        <w:t>年</w:t>
      </w:r>
      <w:r>
        <w:rPr>
          <w:rFonts w:hint="eastAsia" w:ascii="仿宋" w:hAnsi="仿宋" w:eastAsia="仿宋" w:cs="仿宋"/>
          <w:color w:val="auto"/>
          <w:sz w:val="32"/>
          <w:szCs w:val="40"/>
          <w:highlight w:val="none"/>
          <w:u w:val="single"/>
          <w:lang w:val="en-US" w:eastAsia="zh-CN"/>
        </w:rPr>
        <w:t>7</w:t>
      </w:r>
      <w:r>
        <w:rPr>
          <w:rFonts w:hint="eastAsia" w:ascii="仿宋" w:hAnsi="仿宋" w:eastAsia="仿宋" w:cs="仿宋"/>
          <w:color w:val="auto"/>
          <w:sz w:val="32"/>
          <w:szCs w:val="40"/>
          <w:highlight w:val="none"/>
          <w:u w:val="none"/>
          <w:lang w:val="en-US" w:eastAsia="zh-CN"/>
        </w:rPr>
        <w:t>月</w:t>
      </w:r>
      <w:r>
        <w:rPr>
          <w:rFonts w:hint="eastAsia" w:ascii="仿宋" w:hAnsi="仿宋" w:eastAsia="仿宋" w:cs="仿宋"/>
          <w:color w:val="auto"/>
          <w:sz w:val="32"/>
          <w:szCs w:val="40"/>
          <w:highlight w:val="none"/>
          <w:u w:val="single"/>
          <w:lang w:val="en-US" w:eastAsia="zh-CN"/>
        </w:rPr>
        <w:t>30</w:t>
      </w:r>
      <w:r>
        <w:rPr>
          <w:rFonts w:hint="eastAsia" w:ascii="仿宋" w:hAnsi="仿宋" w:eastAsia="仿宋" w:cs="仿宋"/>
          <w:color w:val="auto"/>
          <w:sz w:val="32"/>
          <w:szCs w:val="40"/>
          <w:highlight w:val="none"/>
          <w:u w:val="none"/>
          <w:lang w:val="en-US" w:eastAsia="zh-CN"/>
        </w:rPr>
        <w:t>日</w:t>
      </w:r>
      <w:r>
        <w:rPr>
          <w:rFonts w:hint="eastAsia" w:ascii="仿宋" w:hAnsi="仿宋" w:eastAsia="仿宋" w:cs="仿宋"/>
          <w:color w:val="auto"/>
          <w:sz w:val="32"/>
          <w:szCs w:val="40"/>
          <w:highlight w:val="none"/>
          <w:u w:val="single"/>
          <w:lang w:val="en-US" w:eastAsia="zh-CN"/>
        </w:rPr>
        <w:t>17:00时</w:t>
      </w:r>
      <w:r>
        <w:rPr>
          <w:rFonts w:hint="eastAsia" w:ascii="仿宋" w:hAnsi="仿宋" w:eastAsia="仿宋" w:cs="仿宋"/>
          <w:color w:val="auto"/>
          <w:sz w:val="32"/>
          <w:szCs w:val="40"/>
          <w:highlight w:val="none"/>
          <w:u w:val="none"/>
          <w:lang w:val="en-US" w:eastAsia="zh-CN"/>
        </w:rPr>
        <w:t>前</w:t>
      </w:r>
      <w:r>
        <w:rPr>
          <w:rFonts w:hint="eastAsia" w:ascii="仿宋" w:hAnsi="仿宋" w:eastAsia="仿宋" w:cs="仿宋"/>
          <w:sz w:val="32"/>
          <w:szCs w:val="40"/>
          <w:u w:val="none"/>
          <w:lang w:val="en-US" w:eastAsia="zh-CN"/>
        </w:rPr>
        <w:t>（逾期视为不参与本项目报价）将盖章版扫描件发送至邮箱:</w:t>
      </w:r>
      <w:r>
        <w:rPr>
          <w:rFonts w:hint="eastAsia" w:ascii="仿宋" w:hAnsi="仿宋" w:eastAsia="仿宋" w:cs="仿宋"/>
          <w:b/>
          <w:bCs/>
          <w:sz w:val="32"/>
          <w:szCs w:val="40"/>
          <w:u w:val="none"/>
          <w:lang w:val="en-US" w:eastAsia="zh-CN"/>
        </w:rPr>
        <w:t>lhtz_cbhy@szlh.gov.cn及364284109@qq.com</w:t>
      </w:r>
      <w:r>
        <w:rPr>
          <w:rFonts w:hint="eastAsia" w:ascii="仿宋" w:hAnsi="仿宋" w:eastAsia="仿宋" w:cs="仿宋"/>
          <w:sz w:val="32"/>
          <w:szCs w:val="40"/>
          <w:u w:val="none"/>
          <w:lang w:val="en-US" w:eastAsia="zh-CN"/>
        </w:rPr>
        <w:t>，并同步将密封纸质版响应材料递交或邮寄至</w:t>
      </w:r>
      <w:r>
        <w:rPr>
          <w:rFonts w:hint="eastAsia" w:ascii="仿宋" w:hAnsi="仿宋" w:eastAsia="仿宋" w:cs="仿宋"/>
          <w:kern w:val="2"/>
          <w:sz w:val="32"/>
          <w:szCs w:val="40"/>
          <w:u w:val="single"/>
          <w:lang w:val="en-US" w:eastAsia="zh-CN" w:bidi="ar-SA"/>
        </w:rPr>
        <w:t>罗湖区清水河街道清水河一路116号罗湖投控大厦B座2001</w:t>
      </w:r>
      <w:r>
        <w:rPr>
          <w:rFonts w:hint="eastAsia" w:ascii="仿宋" w:hAnsi="仿宋" w:eastAsia="仿宋" w:cs="仿宋"/>
          <w:sz w:val="32"/>
          <w:szCs w:val="40"/>
          <w:u w:val="none"/>
          <w:lang w:val="en-US" w:eastAsia="zh-CN"/>
        </w:rPr>
        <w:t>，纸质盖章版响应材料与电子扫描响应材料不一致的以纸质盖章版为准。</w:t>
      </w:r>
    </w:p>
    <w:p w14:paraId="66C196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2.报价须知</w:t>
      </w:r>
    </w:p>
    <w:p w14:paraId="1359784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default" w:ascii="楷体" w:hAnsi="楷体" w:eastAsia="楷体" w:cs="楷体"/>
          <w:b w:val="0"/>
          <w:bCs w:val="0"/>
          <w:sz w:val="32"/>
          <w:szCs w:val="40"/>
          <w:u w:val="none"/>
          <w:lang w:val="en-US" w:eastAsia="zh-CN"/>
        </w:rPr>
      </w:pPr>
      <w:r>
        <w:rPr>
          <w:rFonts w:hint="eastAsia" w:ascii="仿宋" w:hAnsi="仿宋" w:eastAsia="仿宋" w:cs="仿宋"/>
          <w:sz w:val="32"/>
          <w:szCs w:val="40"/>
          <w:u w:val="none"/>
          <w:lang w:val="en-US" w:eastAsia="zh-CN"/>
        </w:rPr>
        <w:t>（1）</w:t>
      </w:r>
      <w:r>
        <w:rPr>
          <w:rFonts w:hint="eastAsia" w:ascii="仿宋" w:hAnsi="仿宋" w:eastAsia="仿宋" w:cs="仿宋"/>
          <w:kern w:val="2"/>
          <w:sz w:val="32"/>
          <w:szCs w:val="40"/>
          <w:u w:val="none"/>
          <w:lang w:val="en-US" w:eastAsia="zh-CN" w:bidi="ar-SA"/>
        </w:rPr>
        <w:t>本次报价为一次性报价，</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如对本项目报价，即表示认可我方提出的要求，且不可撤回。否则该</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将被记入不诚信</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名单，在今后规定的时间内不得参与我方组织的任何招标采购活动。</w:t>
      </w:r>
    </w:p>
    <w:p w14:paraId="5EAEAAF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（2）报价函为采购合同的组成部分。</w:t>
      </w:r>
    </w:p>
    <w:p w14:paraId="468421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（3）</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在采购过程中应遵守诚实信用的原则，在采购及合同履行过程中，如发现</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有欺诈等不诚实行为及违反合同约定等行为，将会被列入黑名单等处理。希望各</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在认真阅读询价函内容后再进行报价。</w:t>
      </w:r>
    </w:p>
    <w:p w14:paraId="497A8D2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3.报价单位需按要求提交响应材料，具体见</w:t>
      </w:r>
      <w:r>
        <w:rPr>
          <w:rFonts w:hint="eastAsia" w:ascii="仿宋" w:hAnsi="仿宋" w:eastAsia="仿宋" w:cs="仿宋"/>
          <w:b/>
          <w:bCs/>
          <w:kern w:val="2"/>
          <w:sz w:val="32"/>
          <w:szCs w:val="40"/>
          <w:u w:val="none"/>
          <w:lang w:val="en-US" w:eastAsia="zh-CN" w:bidi="ar-SA"/>
        </w:rPr>
        <w:t>附件一至附件三</w:t>
      </w:r>
      <w:r>
        <w:rPr>
          <w:rFonts w:hint="eastAsia" w:ascii="仿宋" w:hAnsi="仿宋" w:eastAsia="仿宋" w:cs="仿宋"/>
          <w:kern w:val="2"/>
          <w:sz w:val="32"/>
          <w:szCs w:val="40"/>
          <w:u w:val="none"/>
          <w:lang w:val="en-US" w:eastAsia="zh-CN" w:bidi="ar-SA"/>
        </w:rPr>
        <w:t>，所有材料需盖报价单位公章。</w:t>
      </w:r>
    </w:p>
    <w:p w14:paraId="5810BF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b w:val="0"/>
          <w:bCs w:val="0"/>
          <w:sz w:val="32"/>
          <w:szCs w:val="40"/>
          <w:u w:val="none"/>
          <w:lang w:val="en-US" w:eastAsia="zh-CN"/>
        </w:rPr>
      </w:pPr>
      <w:r>
        <w:rPr>
          <w:rFonts w:hint="eastAsia" w:ascii="仿宋" w:hAnsi="仿宋" w:eastAsia="仿宋" w:cs="仿宋"/>
          <w:b/>
          <w:bCs/>
          <w:kern w:val="0"/>
          <w:sz w:val="32"/>
          <w:szCs w:val="40"/>
          <w:u w:val="none"/>
          <w:lang w:val="en-US" w:eastAsia="zh-CN" w:bidi="ar"/>
        </w:rPr>
        <w:t>九、联系方式</w:t>
      </w:r>
    </w:p>
    <w:p w14:paraId="13E5192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1.联系人：</w:t>
      </w:r>
      <w:r>
        <w:rPr>
          <w:rFonts w:hint="eastAsia" w:ascii="仿宋" w:hAnsi="仿宋" w:eastAsia="仿宋" w:cs="仿宋"/>
          <w:kern w:val="2"/>
          <w:sz w:val="32"/>
          <w:szCs w:val="40"/>
          <w:u w:val="single"/>
          <w:lang w:val="en-US" w:eastAsia="zh-CN" w:bidi="ar-SA"/>
        </w:rPr>
        <w:t>马工</w:t>
      </w:r>
      <w:r>
        <w:rPr>
          <w:rFonts w:hint="eastAsia" w:ascii="仿宋" w:hAnsi="仿宋" w:eastAsia="仿宋" w:cs="仿宋"/>
          <w:kern w:val="2"/>
          <w:sz w:val="32"/>
          <w:szCs w:val="40"/>
          <w:u w:val="none"/>
          <w:lang w:val="en-US" w:eastAsia="zh-CN" w:bidi="ar-SA"/>
        </w:rPr>
        <w:t>。</w:t>
      </w:r>
    </w:p>
    <w:p w14:paraId="481426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2.联系地址：</w:t>
      </w:r>
      <w:r>
        <w:rPr>
          <w:rFonts w:hint="eastAsia" w:ascii="仿宋" w:hAnsi="仿宋" w:eastAsia="仿宋" w:cs="仿宋"/>
          <w:kern w:val="2"/>
          <w:sz w:val="32"/>
          <w:szCs w:val="40"/>
          <w:u w:val="single"/>
          <w:lang w:val="en-US" w:eastAsia="zh-CN" w:bidi="ar-SA"/>
        </w:rPr>
        <w:t>深圳市罗湖区清水河街道清水河一路112号罗湖投控大厦B座2001</w:t>
      </w:r>
      <w:r>
        <w:rPr>
          <w:rFonts w:hint="eastAsia" w:ascii="仿宋" w:hAnsi="仿宋" w:eastAsia="仿宋" w:cs="仿宋"/>
          <w:kern w:val="2"/>
          <w:sz w:val="32"/>
          <w:szCs w:val="40"/>
          <w:u w:val="none"/>
          <w:lang w:val="en-US" w:eastAsia="zh-CN" w:bidi="ar-SA"/>
        </w:rPr>
        <w:t>。</w:t>
      </w:r>
    </w:p>
    <w:p w14:paraId="57307D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3.联系电话：</w:t>
      </w:r>
      <w:r>
        <w:rPr>
          <w:rFonts w:hint="eastAsia" w:ascii="仿宋" w:hAnsi="仿宋" w:eastAsia="仿宋" w:cs="仿宋"/>
          <w:kern w:val="2"/>
          <w:sz w:val="32"/>
          <w:szCs w:val="40"/>
          <w:u w:val="single"/>
          <w:lang w:val="en-US" w:eastAsia="zh-CN" w:bidi="ar-SA"/>
        </w:rPr>
        <w:t>0755-82668</w:t>
      </w:r>
      <w:bookmarkStart w:id="0" w:name="_GoBack"/>
      <w:bookmarkEnd w:id="0"/>
      <w:r>
        <w:rPr>
          <w:rFonts w:hint="eastAsia" w:ascii="仿宋" w:hAnsi="仿宋" w:eastAsia="仿宋" w:cs="仿宋"/>
          <w:kern w:val="2"/>
          <w:sz w:val="32"/>
          <w:szCs w:val="40"/>
          <w:u w:val="single"/>
          <w:lang w:val="en-US" w:eastAsia="zh-CN" w:bidi="ar-SA"/>
        </w:rPr>
        <w:t>392（工作日：上午9:00-12:00，下午14:00-18:00）</w:t>
      </w:r>
      <w:r>
        <w:rPr>
          <w:rFonts w:hint="eastAsia" w:ascii="仿宋" w:hAnsi="仿宋" w:eastAsia="仿宋" w:cs="仿宋"/>
          <w:kern w:val="2"/>
          <w:sz w:val="32"/>
          <w:szCs w:val="40"/>
          <w:u w:val="none"/>
          <w:lang w:val="en-US" w:eastAsia="zh-CN" w:bidi="ar-SA"/>
        </w:rPr>
        <w:t>。</w:t>
      </w:r>
    </w:p>
    <w:p w14:paraId="277F58D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kern w:val="0"/>
          <w:sz w:val="28"/>
          <w:szCs w:val="32"/>
          <w:lang w:val="en-US" w:eastAsia="zh-CN" w:bidi="ar-SA"/>
        </w:rPr>
      </w:pPr>
    </w:p>
    <w:p w14:paraId="24BF6D35">
      <w:pPr>
        <w:pStyle w:val="3"/>
        <w:rPr>
          <w:rFonts w:hint="eastAsia" w:ascii="Times New Roman" w:hAnsi="Times New Roman" w:eastAsia="宋体" w:cs="Times New Roman"/>
          <w:b/>
          <w:kern w:val="0"/>
          <w:sz w:val="28"/>
          <w:szCs w:val="32"/>
          <w:lang w:val="en-US" w:eastAsia="zh-CN" w:bidi="ar-SA"/>
        </w:rPr>
      </w:pPr>
    </w:p>
    <w:p w14:paraId="7B5073B4">
      <w:pPr>
        <w:pStyle w:val="3"/>
        <w:rPr>
          <w:rFonts w:hint="eastAsia" w:ascii="Times New Roman" w:hAnsi="Times New Roman" w:eastAsia="宋体" w:cs="Times New Roman"/>
          <w:b/>
          <w:kern w:val="0"/>
          <w:sz w:val="28"/>
          <w:szCs w:val="32"/>
          <w:lang w:val="en-US" w:eastAsia="zh-CN" w:bidi="ar-SA"/>
        </w:rPr>
      </w:pPr>
    </w:p>
    <w:p w14:paraId="7D25532D">
      <w:pPr>
        <w:pStyle w:val="3"/>
        <w:rPr>
          <w:rFonts w:hint="eastAsia" w:ascii="Times New Roman" w:hAnsi="Times New Roman" w:eastAsia="宋体" w:cs="Times New Roman"/>
          <w:b/>
          <w:kern w:val="0"/>
          <w:sz w:val="28"/>
          <w:szCs w:val="32"/>
          <w:lang w:val="en-US" w:eastAsia="zh-CN" w:bidi="ar-SA"/>
        </w:rPr>
      </w:pPr>
    </w:p>
    <w:p w14:paraId="3C9BD194">
      <w:pPr>
        <w:pStyle w:val="3"/>
        <w:rPr>
          <w:rFonts w:hint="eastAsia" w:ascii="Times New Roman" w:hAnsi="Times New Roman" w:eastAsia="宋体" w:cs="Times New Roman"/>
          <w:b/>
          <w:kern w:val="0"/>
          <w:sz w:val="28"/>
          <w:szCs w:val="32"/>
          <w:lang w:val="en-US" w:eastAsia="zh-CN" w:bidi="ar-SA"/>
        </w:rPr>
      </w:pPr>
    </w:p>
    <w:p w14:paraId="5169958F">
      <w:pPr>
        <w:pStyle w:val="3"/>
        <w:rPr>
          <w:rFonts w:hint="eastAsia" w:ascii="Times New Roman" w:hAnsi="Times New Roman" w:eastAsia="宋体" w:cs="Times New Roman"/>
          <w:b/>
          <w:kern w:val="0"/>
          <w:sz w:val="28"/>
          <w:szCs w:val="32"/>
          <w:lang w:val="en-US" w:eastAsia="zh-CN" w:bidi="ar-SA"/>
        </w:rPr>
      </w:pPr>
    </w:p>
    <w:p w14:paraId="692948E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ajorEastAsia" w:hAnsiTheme="majorEastAsia" w:eastAsiaTheme="majorEastAsia" w:cstheme="majorEastAsia"/>
          <w:sz w:val="44"/>
          <w:szCs w:val="44"/>
          <w:u w:val="none"/>
          <w:lang w:val="en-US" w:eastAsia="zh-CN"/>
        </w:rPr>
      </w:pPr>
      <w:r>
        <w:rPr>
          <w:rFonts w:hint="eastAsia" w:ascii="Times New Roman" w:hAnsi="Times New Roman" w:eastAsia="宋体" w:cs="Times New Roman"/>
          <w:b/>
          <w:kern w:val="0"/>
          <w:sz w:val="28"/>
          <w:szCs w:val="32"/>
          <w:lang w:val="en-US" w:eastAsia="zh-CN" w:bidi="ar-SA"/>
        </w:rPr>
        <w:t>附件一：</w:t>
      </w:r>
    </w:p>
    <w:p w14:paraId="2F1429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heme="majorEastAsia" w:hAnsiTheme="majorEastAsia" w:eastAsiaTheme="majorEastAsia" w:cstheme="majorEastAsia"/>
          <w:sz w:val="44"/>
          <w:szCs w:val="44"/>
          <w:u w:val="none"/>
          <w:lang w:val="en-US" w:eastAsia="zh-CN"/>
        </w:rPr>
      </w:pPr>
      <w:r>
        <w:rPr>
          <w:rFonts w:hint="eastAsia" w:asciiTheme="majorEastAsia" w:hAnsiTheme="majorEastAsia" w:eastAsiaTheme="majorEastAsia" w:cstheme="majorEastAsia"/>
          <w:sz w:val="44"/>
          <w:szCs w:val="44"/>
          <w:u w:val="none"/>
          <w:lang w:val="en-US" w:eastAsia="zh-CN"/>
        </w:rPr>
        <w:t>报价函</w:t>
      </w:r>
    </w:p>
    <w:p w14:paraId="3547CD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p>
    <w:p w14:paraId="21A2342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致：</w:t>
      </w:r>
      <w:r>
        <w:rPr>
          <w:rFonts w:hint="eastAsia" w:ascii="仿宋" w:hAnsi="仿宋" w:eastAsia="仿宋" w:cs="仿宋"/>
          <w:sz w:val="32"/>
          <w:szCs w:val="40"/>
          <w:u w:val="single"/>
          <w:lang w:val="en-US" w:eastAsia="zh-CN"/>
        </w:rPr>
        <w:t>深圳市罗湖投资控股有限公司</w:t>
      </w:r>
      <w:r>
        <w:rPr>
          <w:rFonts w:hint="eastAsia" w:ascii="仿宋" w:hAnsi="仿宋" w:eastAsia="仿宋" w:cs="仿宋"/>
          <w:sz w:val="32"/>
          <w:szCs w:val="40"/>
          <w:u w:val="none"/>
          <w:lang w:val="en-US" w:eastAsia="zh-CN"/>
        </w:rPr>
        <w:t>：</w:t>
      </w:r>
    </w:p>
    <w:p w14:paraId="34437C8A">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贵司询价函我司收悉，决定参与报价，现就</w:t>
      </w:r>
      <w:r>
        <w:rPr>
          <w:rFonts w:hint="eastAsia" w:ascii="仿宋" w:hAnsi="仿宋" w:eastAsia="仿宋" w:cs="仿宋"/>
          <w:b/>
          <w:bCs/>
          <w:sz w:val="32"/>
          <w:szCs w:val="40"/>
          <w:u w:val="single"/>
          <w:lang w:val="en-US" w:eastAsia="zh-CN"/>
        </w:rPr>
        <w:t>红岭创客营项目招标代理服务</w:t>
      </w:r>
      <w:r>
        <w:rPr>
          <w:rFonts w:hint="eastAsia" w:ascii="仿宋" w:hAnsi="仿宋" w:eastAsia="仿宋" w:cs="仿宋"/>
          <w:sz w:val="32"/>
          <w:szCs w:val="40"/>
          <w:u w:val="none"/>
          <w:lang w:val="en-US" w:eastAsia="zh-CN"/>
        </w:rPr>
        <w:t>项目报价如下：</w:t>
      </w:r>
    </w:p>
    <w:p w14:paraId="4F7C9EB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我方愿意按照询价函规定的各项要求，向贵司提供相应服务，总报价（含税）为人民币（大写）</w:t>
      </w:r>
      <w:r>
        <w:rPr>
          <w:rFonts w:hint="eastAsia" w:ascii="仿宋" w:hAnsi="仿宋" w:eastAsia="仿宋" w:cs="仿宋"/>
          <w:sz w:val="32"/>
          <w:szCs w:val="40"/>
          <w:u w:val="single"/>
          <w:lang w:val="en-US" w:eastAsia="zh-CN"/>
        </w:rPr>
        <w:t xml:space="preserve">       </w:t>
      </w:r>
      <w:r>
        <w:rPr>
          <w:rFonts w:hint="eastAsia" w:ascii="仿宋" w:hAnsi="仿宋" w:eastAsia="仿宋" w:cs="仿宋"/>
          <w:sz w:val="32"/>
          <w:szCs w:val="40"/>
          <w:u w:val="none"/>
          <w:lang w:val="en-US" w:eastAsia="zh-CN"/>
        </w:rPr>
        <w:t>元（小写：</w:t>
      </w:r>
      <w:r>
        <w:rPr>
          <w:rFonts w:hint="eastAsia" w:ascii="宋体" w:hAnsi="宋体" w:eastAsia="宋体" w:cs="宋体"/>
          <w:b w:val="0"/>
          <w:bCs w:val="0"/>
          <w:sz w:val="32"/>
          <w:szCs w:val="40"/>
          <w:u w:val="none"/>
          <w:lang w:val="en-US" w:eastAsia="zh-CN"/>
        </w:rPr>
        <w:t>￥</w:t>
      </w:r>
      <w:r>
        <w:rPr>
          <w:rFonts w:hint="eastAsia" w:ascii="仿宋" w:hAnsi="仿宋" w:eastAsia="仿宋" w:cs="仿宋"/>
          <w:b w:val="0"/>
          <w:bCs w:val="0"/>
          <w:sz w:val="32"/>
          <w:szCs w:val="40"/>
          <w:u w:val="none"/>
          <w:lang w:val="en-US" w:eastAsia="zh-CN"/>
        </w:rPr>
        <w:t>：</w:t>
      </w:r>
      <w:r>
        <w:rPr>
          <w:rFonts w:hint="eastAsia" w:ascii="仿宋" w:hAnsi="仿宋" w:eastAsia="仿宋" w:cs="仿宋"/>
          <w:b w:val="0"/>
          <w:bCs w:val="0"/>
          <w:sz w:val="32"/>
          <w:szCs w:val="40"/>
          <w:u w:val="single"/>
          <w:lang w:val="en-US" w:eastAsia="zh-CN"/>
        </w:rPr>
        <w:t xml:space="preserve">       </w:t>
      </w:r>
      <w:r>
        <w:rPr>
          <w:rFonts w:hint="eastAsia" w:ascii="仿宋" w:hAnsi="仿宋" w:eastAsia="仿宋" w:cs="仿宋"/>
          <w:b w:val="0"/>
          <w:bCs w:val="0"/>
          <w:sz w:val="32"/>
          <w:szCs w:val="40"/>
          <w:u w:val="none"/>
          <w:lang w:val="en-US" w:eastAsia="zh-CN"/>
        </w:rPr>
        <w:t>元</w:t>
      </w:r>
      <w:r>
        <w:rPr>
          <w:rFonts w:hint="eastAsia" w:ascii="仿宋" w:hAnsi="仿宋" w:eastAsia="仿宋" w:cs="仿宋"/>
          <w:sz w:val="32"/>
          <w:szCs w:val="40"/>
          <w:u w:val="none"/>
          <w:lang w:val="en-US" w:eastAsia="zh-CN"/>
        </w:rPr>
        <w:t>）。其中：</w:t>
      </w:r>
    </w:p>
    <w:p w14:paraId="2C9F326A">
      <w:pPr>
        <w:spacing w:line="300" w:lineRule="auto"/>
        <w:jc w:val="center"/>
        <w:rPr>
          <w:rFonts w:hint="eastAsia"/>
          <w:lang w:val="en-US" w:eastAsia="zh-CN"/>
        </w:rPr>
      </w:pPr>
      <w:r>
        <w:rPr>
          <w:rFonts w:hint="eastAsia" w:ascii="宋体" w:hAnsi="宋体" w:eastAsia="宋体" w:cs="宋体"/>
          <w:bCs/>
          <w:color w:val="auto"/>
          <w:sz w:val="32"/>
          <w:szCs w:val="32"/>
          <w:highlight w:val="none"/>
          <w:lang w:eastAsia="zh-CN"/>
        </w:rPr>
        <w:t>总报价表</w:t>
      </w:r>
    </w:p>
    <w:tbl>
      <w:tblPr>
        <w:tblStyle w:val="10"/>
        <w:tblW w:w="9209" w:type="dxa"/>
        <w:jc w:val="center"/>
        <w:shd w:val="clear" w:color="auto" w:fill="FFFFFF"/>
        <w:tblLayout w:type="fixed"/>
        <w:tblCellMar>
          <w:top w:w="0" w:type="dxa"/>
          <w:left w:w="0" w:type="dxa"/>
          <w:bottom w:w="0" w:type="dxa"/>
          <w:right w:w="0" w:type="dxa"/>
        </w:tblCellMar>
      </w:tblPr>
      <w:tblGrid>
        <w:gridCol w:w="2116"/>
        <w:gridCol w:w="3072"/>
        <w:gridCol w:w="1762"/>
        <w:gridCol w:w="2259"/>
      </w:tblGrid>
      <w:tr w14:paraId="68FF048D">
        <w:tblPrEx>
          <w:shd w:val="clear" w:color="auto" w:fill="FFFFFF"/>
          <w:tblCellMar>
            <w:top w:w="0" w:type="dxa"/>
            <w:left w:w="0" w:type="dxa"/>
            <w:bottom w:w="0" w:type="dxa"/>
            <w:right w:w="0" w:type="dxa"/>
          </w:tblCellMar>
        </w:tblPrEx>
        <w:trPr>
          <w:trHeight w:val="774" w:hRule="atLeast"/>
          <w:jc w:val="center"/>
        </w:trPr>
        <w:tc>
          <w:tcPr>
            <w:tcW w:w="21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3B423B">
            <w:pPr>
              <w:widowControl/>
              <w:jc w:val="center"/>
              <w:textAlignment w:val="center"/>
              <w:rPr>
                <w:rFonts w:hint="eastAsia" w:eastAsia="宋体"/>
                <w:b/>
                <w:color w:val="000000"/>
                <w:sz w:val="21"/>
                <w:szCs w:val="21"/>
                <w:lang w:eastAsia="zh-CN"/>
              </w:rPr>
            </w:pPr>
            <w:r>
              <w:rPr>
                <w:rFonts w:hint="eastAsia"/>
                <w:b/>
                <w:color w:val="000000"/>
                <w:sz w:val="21"/>
                <w:szCs w:val="21"/>
                <w:lang w:eastAsia="zh-CN"/>
              </w:rPr>
              <w:t>报价内容</w:t>
            </w:r>
          </w:p>
        </w:tc>
        <w:tc>
          <w:tcPr>
            <w:tcW w:w="3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3ABAD">
            <w:pPr>
              <w:widowControl/>
              <w:jc w:val="center"/>
              <w:textAlignment w:val="center"/>
              <w:rPr>
                <w:rFonts w:hint="eastAsia" w:eastAsia="宋体"/>
                <w:b/>
                <w:color w:val="000000"/>
                <w:sz w:val="21"/>
                <w:szCs w:val="21"/>
                <w:lang w:eastAsia="zh-CN"/>
              </w:rPr>
            </w:pPr>
            <w:r>
              <w:rPr>
                <w:rFonts w:hint="eastAsia"/>
                <w:b/>
                <w:color w:val="000000"/>
                <w:sz w:val="21"/>
                <w:szCs w:val="21"/>
                <w:lang w:eastAsia="zh-CN"/>
              </w:rPr>
              <w:t>报价上限</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06311">
            <w:pPr>
              <w:widowControl/>
              <w:jc w:val="center"/>
              <w:textAlignment w:val="center"/>
              <w:rPr>
                <w:rFonts w:hint="eastAsia" w:eastAsia="宋体"/>
                <w:b/>
                <w:bCs/>
                <w:sz w:val="21"/>
                <w:szCs w:val="21"/>
                <w:lang w:eastAsia="zh-CN"/>
              </w:rPr>
            </w:pPr>
            <w:r>
              <w:rPr>
                <w:rFonts w:hint="eastAsia"/>
                <w:b/>
                <w:color w:val="000000"/>
                <w:sz w:val="21"/>
                <w:szCs w:val="21"/>
                <w:lang w:eastAsia="zh-CN"/>
              </w:rPr>
              <w:t>下浮率</w:t>
            </w:r>
          </w:p>
        </w:tc>
        <w:tc>
          <w:tcPr>
            <w:tcW w:w="22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44FBE">
            <w:pPr>
              <w:widowControl/>
              <w:jc w:val="center"/>
              <w:textAlignment w:val="center"/>
              <w:rPr>
                <w:rFonts w:hint="eastAsia"/>
                <w:b/>
                <w:color w:val="000000"/>
                <w:sz w:val="21"/>
                <w:szCs w:val="21"/>
                <w:lang w:eastAsia="zh-CN"/>
              </w:rPr>
            </w:pPr>
            <w:r>
              <w:rPr>
                <w:rFonts w:hint="eastAsia"/>
                <w:b/>
                <w:color w:val="000000"/>
                <w:sz w:val="21"/>
                <w:szCs w:val="21"/>
                <w:lang w:eastAsia="zh-CN"/>
              </w:rPr>
              <w:t>总报价</w:t>
            </w:r>
          </w:p>
          <w:p w14:paraId="49A2F503">
            <w:pPr>
              <w:widowControl/>
              <w:jc w:val="center"/>
              <w:textAlignment w:val="center"/>
              <w:rPr>
                <w:b/>
                <w:color w:val="000000"/>
                <w:sz w:val="21"/>
                <w:szCs w:val="21"/>
                <w:lang w:eastAsia="zh-CN"/>
              </w:rPr>
            </w:pPr>
            <w:r>
              <w:rPr>
                <w:rFonts w:hint="eastAsia"/>
                <w:b/>
                <w:color w:val="000000"/>
                <w:sz w:val="21"/>
                <w:szCs w:val="21"/>
                <w:lang w:eastAsia="zh-CN"/>
              </w:rPr>
              <w:t>（元，暂定）</w:t>
            </w:r>
          </w:p>
        </w:tc>
      </w:tr>
      <w:tr w14:paraId="0E1D7F11">
        <w:tblPrEx>
          <w:shd w:val="clear" w:color="auto" w:fill="FFFFFF"/>
          <w:tblCellMar>
            <w:top w:w="0" w:type="dxa"/>
            <w:left w:w="0" w:type="dxa"/>
            <w:bottom w:w="0" w:type="dxa"/>
            <w:right w:w="0" w:type="dxa"/>
          </w:tblCellMar>
        </w:tblPrEx>
        <w:trPr>
          <w:trHeight w:val="815" w:hRule="atLeast"/>
          <w:jc w:val="center"/>
        </w:trPr>
        <w:tc>
          <w:tcPr>
            <w:tcW w:w="21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88FD3B">
            <w:pPr>
              <w:widowControl/>
              <w:jc w:val="center"/>
              <w:textAlignment w:val="center"/>
              <w:rPr>
                <w:rFonts w:hint="eastAsia"/>
                <w:color w:val="000000"/>
                <w:sz w:val="21"/>
                <w:szCs w:val="21"/>
                <w:lang w:eastAsia="zh-CN"/>
              </w:rPr>
            </w:pPr>
            <w:r>
              <w:rPr>
                <w:rFonts w:hint="eastAsia"/>
                <w:color w:val="000000"/>
                <w:sz w:val="21"/>
                <w:szCs w:val="21"/>
                <w:lang w:eastAsia="zh-CN"/>
              </w:rPr>
              <w:t>红岭创客营项目</w:t>
            </w:r>
          </w:p>
          <w:p w14:paraId="4B12D67D">
            <w:pPr>
              <w:widowControl/>
              <w:jc w:val="center"/>
              <w:textAlignment w:val="center"/>
              <w:rPr>
                <w:color w:val="000000"/>
                <w:sz w:val="21"/>
                <w:szCs w:val="21"/>
                <w:lang w:eastAsia="zh-CN"/>
              </w:rPr>
            </w:pPr>
            <w:r>
              <w:rPr>
                <w:rFonts w:hint="eastAsia"/>
                <w:color w:val="000000"/>
                <w:sz w:val="21"/>
                <w:szCs w:val="21"/>
                <w:lang w:eastAsia="zh-CN"/>
              </w:rPr>
              <w:t>招标代理服务</w:t>
            </w:r>
          </w:p>
        </w:tc>
        <w:tc>
          <w:tcPr>
            <w:tcW w:w="3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51B27">
            <w:pPr>
              <w:widowControl/>
              <w:jc w:val="both"/>
              <w:textAlignment w:val="center"/>
              <w:rPr>
                <w:rFonts w:hint="default"/>
                <w:color w:val="000000"/>
                <w:sz w:val="21"/>
                <w:szCs w:val="21"/>
                <w:lang w:val="en-US" w:eastAsia="zh-CN"/>
              </w:rPr>
            </w:pPr>
            <w:r>
              <w:rPr>
                <w:rFonts w:hint="eastAsia"/>
                <w:b/>
                <w:bCs/>
                <w:color w:val="000000"/>
                <w:sz w:val="21"/>
                <w:szCs w:val="21"/>
                <w:u w:val="none"/>
                <w:lang w:val="en-US" w:eastAsia="zh-CN"/>
              </w:rPr>
              <w:t xml:space="preserve"> </w:t>
            </w:r>
            <w:r>
              <w:rPr>
                <w:rFonts w:hint="eastAsia"/>
                <w:b/>
                <w:bCs/>
                <w:color w:val="000000"/>
                <w:sz w:val="21"/>
                <w:szCs w:val="21"/>
                <w:u w:val="single"/>
                <w:lang w:val="en-US" w:eastAsia="zh-CN"/>
              </w:rPr>
              <w:t>291200元（按下浮率55%）</w:t>
            </w:r>
            <w:r>
              <w:rPr>
                <w:rFonts w:hint="eastAsia"/>
                <w:b/>
                <w:bCs/>
                <w:color w:val="000000"/>
                <w:sz w:val="21"/>
                <w:szCs w:val="21"/>
                <w:u w:val="single"/>
              </w:rPr>
              <w:t xml:space="preserve"> </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409E44">
            <w:pPr>
              <w:widowControl/>
              <w:jc w:val="both"/>
              <w:textAlignment w:val="center"/>
              <w:rPr>
                <w:color w:val="000000"/>
                <w:sz w:val="21"/>
                <w:szCs w:val="21"/>
                <w:u w:val="single"/>
                <w:lang w:eastAsia="zh-CN"/>
              </w:rPr>
            </w:pPr>
            <w:r>
              <w:rPr>
                <w:rFonts w:hint="eastAsia"/>
                <w:b/>
                <w:bCs/>
                <w:color w:val="000000"/>
                <w:sz w:val="21"/>
                <w:szCs w:val="21"/>
                <w:u w:val="none"/>
                <w:lang w:val="en-US" w:eastAsia="zh-CN"/>
              </w:rPr>
              <w:t xml:space="preserve">      </w:t>
            </w:r>
            <w:r>
              <w:rPr>
                <w:rFonts w:hint="eastAsia"/>
                <w:b/>
                <w:bCs/>
                <w:color w:val="000000"/>
                <w:sz w:val="21"/>
                <w:szCs w:val="21"/>
                <w:u w:val="single"/>
                <w:lang w:val="en-US" w:eastAsia="zh-CN"/>
              </w:rPr>
              <w:t xml:space="preserve">    </w:t>
            </w:r>
            <w:r>
              <w:rPr>
                <w:b/>
                <w:bCs/>
                <w:color w:val="000000"/>
                <w:sz w:val="21"/>
                <w:szCs w:val="21"/>
                <w:u w:val="single"/>
              </w:rPr>
              <w:t xml:space="preserve">  </w:t>
            </w:r>
            <w:r>
              <w:rPr>
                <w:rFonts w:hint="eastAsia"/>
                <w:b/>
                <w:bCs/>
                <w:color w:val="000000"/>
                <w:sz w:val="21"/>
                <w:szCs w:val="21"/>
                <w:u w:val="single"/>
              </w:rPr>
              <w:t xml:space="preserve">   </w:t>
            </w:r>
            <w:r>
              <w:rPr>
                <w:rFonts w:hint="eastAsia"/>
                <w:color w:val="000000"/>
                <w:sz w:val="21"/>
                <w:szCs w:val="21"/>
                <w:lang w:bidi="ar"/>
              </w:rPr>
              <w:t>%</w:t>
            </w:r>
          </w:p>
        </w:tc>
        <w:tc>
          <w:tcPr>
            <w:tcW w:w="22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87B16">
            <w:pPr>
              <w:widowControl/>
              <w:jc w:val="both"/>
              <w:textAlignment w:val="center"/>
              <w:rPr>
                <w:b/>
                <w:bCs/>
                <w:color w:val="000000"/>
                <w:sz w:val="21"/>
                <w:szCs w:val="21"/>
                <w:u w:val="single"/>
              </w:rPr>
            </w:pPr>
            <w:r>
              <w:rPr>
                <w:rFonts w:hint="eastAsia"/>
                <w:b/>
                <w:bCs/>
                <w:color w:val="000000"/>
                <w:sz w:val="21"/>
                <w:szCs w:val="21"/>
                <w:u w:val="none"/>
                <w:lang w:val="en-US" w:eastAsia="zh-CN"/>
              </w:rPr>
              <w:t xml:space="preserve">    </w:t>
            </w:r>
            <w:r>
              <w:rPr>
                <w:rFonts w:hint="eastAsia"/>
                <w:b/>
                <w:bCs/>
                <w:color w:val="000000"/>
                <w:sz w:val="21"/>
                <w:szCs w:val="21"/>
                <w:u w:val="single"/>
                <w:lang w:val="en-US" w:eastAsia="zh-CN"/>
              </w:rPr>
              <w:t xml:space="preserve">    </w:t>
            </w:r>
            <w:r>
              <w:rPr>
                <w:b/>
                <w:bCs/>
                <w:color w:val="000000"/>
                <w:sz w:val="21"/>
                <w:szCs w:val="21"/>
                <w:u w:val="single"/>
              </w:rPr>
              <w:t xml:space="preserve"> </w:t>
            </w:r>
            <w:r>
              <w:rPr>
                <w:rFonts w:hint="eastAsia"/>
                <w:b/>
                <w:bCs/>
                <w:color w:val="000000"/>
                <w:sz w:val="21"/>
                <w:szCs w:val="21"/>
                <w:u w:val="single"/>
                <w:lang w:val="en-US" w:eastAsia="zh-CN"/>
              </w:rPr>
              <w:t xml:space="preserve">  </w:t>
            </w:r>
            <w:r>
              <w:rPr>
                <w:b/>
                <w:bCs/>
                <w:color w:val="000000"/>
                <w:sz w:val="21"/>
                <w:szCs w:val="21"/>
                <w:u w:val="single"/>
              </w:rPr>
              <w:t xml:space="preserve"> </w:t>
            </w:r>
            <w:r>
              <w:rPr>
                <w:rFonts w:hint="eastAsia"/>
                <w:b/>
                <w:bCs/>
                <w:color w:val="000000"/>
                <w:sz w:val="21"/>
                <w:szCs w:val="21"/>
                <w:u w:val="single"/>
              </w:rPr>
              <w:t xml:space="preserve">   </w:t>
            </w:r>
          </w:p>
        </w:tc>
      </w:tr>
      <w:tr w14:paraId="096C327D">
        <w:tblPrEx>
          <w:shd w:val="clear" w:color="auto" w:fill="FFFFFF"/>
          <w:tblCellMar>
            <w:top w:w="0" w:type="dxa"/>
            <w:left w:w="0" w:type="dxa"/>
            <w:bottom w:w="0" w:type="dxa"/>
            <w:right w:w="0" w:type="dxa"/>
          </w:tblCellMar>
        </w:tblPrEx>
        <w:trPr>
          <w:trHeight w:val="630" w:hRule="atLeast"/>
          <w:jc w:val="center"/>
        </w:trPr>
        <w:tc>
          <w:tcPr>
            <w:tcW w:w="695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BBCB55">
            <w:pPr>
              <w:widowControl/>
              <w:jc w:val="center"/>
              <w:textAlignment w:val="center"/>
              <w:rPr>
                <w:rFonts w:hint="eastAsia"/>
                <w:b/>
                <w:bCs/>
                <w:color w:val="000000"/>
                <w:sz w:val="21"/>
                <w:szCs w:val="21"/>
                <w:u w:val="none"/>
                <w:lang w:val="en-US" w:eastAsia="zh-CN"/>
              </w:rPr>
            </w:pPr>
            <w:r>
              <w:rPr>
                <w:rFonts w:hint="eastAsia"/>
                <w:b w:val="0"/>
                <w:bCs w:val="0"/>
                <w:color w:val="000000"/>
                <w:sz w:val="21"/>
                <w:szCs w:val="21"/>
                <w:lang w:eastAsia="zh-CN" w:bidi="ar"/>
              </w:rPr>
              <w:t>增值税税率（</w:t>
            </w:r>
            <w:r>
              <w:rPr>
                <w:rFonts w:hint="eastAsia"/>
                <w:b w:val="0"/>
                <w:bCs w:val="0"/>
                <w:color w:val="000000"/>
                <w:sz w:val="21"/>
                <w:szCs w:val="21"/>
                <w:lang w:val="en-US" w:eastAsia="zh-CN" w:bidi="ar"/>
              </w:rPr>
              <w:t>%</w:t>
            </w:r>
            <w:r>
              <w:rPr>
                <w:rFonts w:hint="eastAsia"/>
                <w:b w:val="0"/>
                <w:bCs w:val="0"/>
                <w:color w:val="000000"/>
                <w:sz w:val="21"/>
                <w:szCs w:val="21"/>
                <w:lang w:eastAsia="zh-CN" w:bidi="ar"/>
              </w:rPr>
              <w:t>）</w:t>
            </w:r>
          </w:p>
        </w:tc>
        <w:tc>
          <w:tcPr>
            <w:tcW w:w="22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5A10F1">
            <w:pPr>
              <w:rPr>
                <w:rFonts w:hint="eastAsia"/>
                <w:b/>
                <w:bCs/>
                <w:color w:val="000000"/>
                <w:sz w:val="21"/>
                <w:szCs w:val="21"/>
                <w:u w:val="none"/>
                <w:lang w:val="en-US" w:eastAsia="zh-CN"/>
              </w:rPr>
            </w:pPr>
            <w:r>
              <w:rPr>
                <w:rFonts w:hint="eastAsia"/>
                <w:b/>
                <w:bCs/>
                <w:color w:val="000000"/>
                <w:sz w:val="21"/>
                <w:szCs w:val="21"/>
                <w:u w:val="none"/>
                <w:lang w:val="en-US" w:eastAsia="zh-CN"/>
              </w:rPr>
              <w:t xml:space="preserve">    </w:t>
            </w:r>
            <w:r>
              <w:rPr>
                <w:rFonts w:hint="eastAsia"/>
                <w:b/>
                <w:bCs/>
                <w:color w:val="000000"/>
                <w:sz w:val="21"/>
                <w:szCs w:val="21"/>
                <w:u w:val="single"/>
                <w:lang w:val="en-US" w:eastAsia="zh-CN"/>
              </w:rPr>
              <w:t xml:space="preserve">    </w:t>
            </w:r>
            <w:r>
              <w:rPr>
                <w:b/>
                <w:bCs/>
                <w:color w:val="000000"/>
                <w:sz w:val="21"/>
                <w:szCs w:val="21"/>
                <w:u w:val="single"/>
              </w:rPr>
              <w:t xml:space="preserve">  </w:t>
            </w:r>
            <w:r>
              <w:rPr>
                <w:rFonts w:hint="eastAsia"/>
                <w:b/>
                <w:bCs/>
                <w:color w:val="000000"/>
                <w:sz w:val="21"/>
                <w:szCs w:val="21"/>
                <w:u w:val="single"/>
                <w:lang w:val="en-US" w:eastAsia="zh-CN"/>
              </w:rPr>
              <w:t xml:space="preserve">   </w:t>
            </w:r>
            <w:r>
              <w:rPr>
                <w:rFonts w:hint="eastAsia"/>
                <w:b/>
                <w:bCs/>
                <w:color w:val="000000"/>
                <w:sz w:val="21"/>
                <w:szCs w:val="21"/>
                <w:u w:val="single"/>
              </w:rPr>
              <w:t xml:space="preserve">   </w:t>
            </w:r>
          </w:p>
        </w:tc>
      </w:tr>
      <w:tr w14:paraId="0630C1B9">
        <w:tblPrEx>
          <w:shd w:val="clear" w:color="auto" w:fill="FFFFFF"/>
          <w:tblCellMar>
            <w:top w:w="0" w:type="dxa"/>
            <w:left w:w="0" w:type="dxa"/>
            <w:bottom w:w="0" w:type="dxa"/>
            <w:right w:w="0" w:type="dxa"/>
          </w:tblCellMar>
        </w:tblPrEx>
        <w:trPr>
          <w:trHeight w:val="90" w:hRule="atLeast"/>
          <w:jc w:val="center"/>
        </w:trPr>
        <w:tc>
          <w:tcPr>
            <w:tcW w:w="9209" w:type="dxa"/>
            <w:gridSpan w:val="4"/>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042897B7">
            <w:pP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备注：1、</w:t>
            </w:r>
            <w:r>
              <w:rPr>
                <w:rFonts w:hint="eastAsia" w:ascii="宋体" w:hAnsi="宋体" w:eastAsia="宋体" w:cs="宋体"/>
                <w:b/>
                <w:bCs/>
                <w:snapToGrid w:val="0"/>
                <w:color w:val="auto"/>
                <w:sz w:val="21"/>
                <w:szCs w:val="21"/>
                <w:highlight w:val="none"/>
                <w:lang w:eastAsia="zh-CN"/>
              </w:rPr>
              <w:t>总</w:t>
            </w:r>
            <w:r>
              <w:rPr>
                <w:rFonts w:hint="eastAsia" w:ascii="宋体" w:hAnsi="宋体" w:eastAsia="宋体" w:cs="宋体"/>
                <w:b/>
                <w:bCs/>
                <w:snapToGrid w:val="0"/>
                <w:color w:val="auto"/>
                <w:sz w:val="21"/>
                <w:szCs w:val="21"/>
                <w:highlight w:val="none"/>
              </w:rPr>
              <w:t>报价和下浮率说明</w:t>
            </w:r>
            <w:r>
              <w:rPr>
                <w:rFonts w:hint="eastAsia" w:ascii="宋体" w:hAnsi="宋体" w:eastAsia="宋体" w:cs="宋体"/>
                <w:snapToGrid w:val="0"/>
                <w:color w:val="auto"/>
                <w:sz w:val="21"/>
                <w:szCs w:val="21"/>
                <w:highlight w:val="none"/>
                <w:lang w:eastAsia="zh-CN"/>
              </w:rPr>
              <w:t>：总</w:t>
            </w:r>
            <w:r>
              <w:rPr>
                <w:rFonts w:hint="eastAsia" w:ascii="宋体" w:hAnsi="宋体" w:eastAsia="宋体" w:cs="宋体"/>
                <w:snapToGrid w:val="0"/>
                <w:color w:val="auto"/>
                <w:sz w:val="21"/>
                <w:szCs w:val="21"/>
                <w:highlight w:val="none"/>
              </w:rPr>
              <w:t>报价=[报价上限/（1-</w:t>
            </w:r>
            <w:r>
              <w:rPr>
                <w:rFonts w:hint="eastAsia" w:cs="宋体"/>
                <w:snapToGrid w:val="0"/>
                <w:color w:val="auto"/>
                <w:sz w:val="21"/>
                <w:szCs w:val="21"/>
                <w:highlight w:val="none"/>
                <w:lang w:val="en-US" w:eastAsia="zh-CN"/>
              </w:rPr>
              <w:t>55%</w:t>
            </w:r>
            <w:r>
              <w:rPr>
                <w:rFonts w:hint="eastAsia" w:ascii="宋体" w:hAnsi="宋体" w:eastAsia="宋体" w:cs="宋体"/>
                <w:snapToGrid w:val="0"/>
                <w:color w:val="auto"/>
                <w:sz w:val="21"/>
                <w:szCs w:val="21"/>
                <w:highlight w:val="none"/>
              </w:rPr>
              <w:t>）]*（1-下浮率）</w:t>
            </w:r>
            <w:r>
              <w:rPr>
                <w:rFonts w:hint="eastAsia"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下浮率需大于或等于</w:t>
            </w:r>
            <w:r>
              <w:rPr>
                <w:rFonts w:hint="eastAsia" w:cs="宋体"/>
                <w:snapToGrid w:val="0"/>
                <w:color w:val="auto"/>
                <w:sz w:val="21"/>
                <w:szCs w:val="21"/>
                <w:highlight w:val="none"/>
                <w:lang w:val="en-US" w:eastAsia="zh-CN"/>
              </w:rPr>
              <w:t>55%</w:t>
            </w:r>
            <w:r>
              <w:rPr>
                <w:rFonts w:hint="eastAsia" w:cs="宋体"/>
                <w:snapToGrid w:val="0"/>
                <w:color w:val="auto"/>
                <w:sz w:val="21"/>
                <w:szCs w:val="21"/>
                <w:highlight w:val="none"/>
                <w:lang w:eastAsia="zh-CN"/>
              </w:rPr>
              <w:t>。</w:t>
            </w:r>
          </w:p>
          <w:p w14:paraId="19567812">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2、招标代理服务费由各项目中标人支付给招标代理服务单位，委托人不再另行支付。</w:t>
            </w:r>
          </w:p>
          <w:p w14:paraId="70500FAB">
            <w:pPr>
              <w:ind w:firstLine="630" w:firstLineChars="300"/>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3、总报价上限为291200元，为暂定金额，计算过程如下：</w:t>
            </w:r>
          </w:p>
          <w:p w14:paraId="47F08CA5">
            <w:pPr>
              <w:ind w:firstLine="630" w:firstLineChars="300"/>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依据国家计委《招标代理服务收费管理暂行办法》（〔2002〕1980号）、国家发展改革委《关于降低部分建设项目收费标准规范行为等有关问题的通知》（发改价格〔2011〕534号），下浮55%。暂定施工总承包50000万元、工程设计1200万元、工程监理500万元、全过程造价咨询400万元，其中：</w:t>
            </w:r>
          </w:p>
          <w:p w14:paraId="6B89A6F2">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（1）施工总承包招标代理服务费：100万元*1%+（500-100）万元*0.7%+（1000-500）万元*0.55%+（5000-1000）万元*0.35%+（10000-5000）*0.2%+（50000-10000）*0.05％=50.55万元。</w:t>
            </w:r>
          </w:p>
          <w:p w14:paraId="5AF6AAEF">
            <w:pPr>
              <w:ind w:firstLine="630" w:firstLineChars="300"/>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（2）工程设计招标代理服务费：100万元*1%+（500-100）万元*0.7%+（1000-500）万元*0.55%+（1200-1000）万元*0.35%=7.25万元。  </w:t>
            </w:r>
          </w:p>
          <w:p w14:paraId="6036A449">
            <w:pPr>
              <w:ind w:firstLine="630" w:firstLineChars="300"/>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（3）工程监理代理服务费:100万元*1%+（500-100）万元*0.7%=3.8万元。</w:t>
            </w:r>
          </w:p>
          <w:p w14:paraId="366AE2E3">
            <w:pPr>
              <w:ind w:firstLine="630" w:firstLineChars="300"/>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（4）全过程造价咨询招标代理服务费：100万元*1%+（400-100）万元*0.7%=3.1万元。</w:t>
            </w:r>
          </w:p>
          <w:p w14:paraId="0B7E558A">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下浮55%后：（50.55+7.25+3.8+3.1）*（1-55%）=29.12万元。</w:t>
            </w:r>
          </w:p>
          <w:p w14:paraId="5173E6AA">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4、报价保留两位小数，下浮率保留两位小数。</w:t>
            </w:r>
          </w:p>
          <w:p w14:paraId="737E7E3F">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5、不承诺最低价中选，超过报价上限的报价将做废标处理。</w:t>
            </w:r>
          </w:p>
          <w:p w14:paraId="4E0A60A0">
            <w:pPr>
              <w:ind w:firstLine="630" w:firstLineChars="300"/>
              <w:rPr>
                <w:rFonts w:hint="default"/>
                <w:lang w:val="en-US" w:eastAsia="zh-CN"/>
              </w:rPr>
            </w:pPr>
            <w:r>
              <w:rPr>
                <w:rFonts w:hint="eastAsia" w:ascii="宋体" w:hAnsi="宋体" w:eastAsia="宋体" w:cs="宋体"/>
                <w:snapToGrid w:val="0"/>
                <w:color w:val="auto"/>
                <w:kern w:val="0"/>
                <w:sz w:val="21"/>
                <w:szCs w:val="21"/>
                <w:highlight w:val="none"/>
                <w:lang w:val="en-US" w:eastAsia="zh-CN" w:bidi="ar-SA"/>
              </w:rPr>
              <w:t>6、报价单位须自行填报增值税税率，上述报价均已含税。</w:t>
            </w:r>
          </w:p>
        </w:tc>
      </w:tr>
    </w:tbl>
    <w:p w14:paraId="295F780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二、一旦我方中选，双方合同签字生效后，我方将严格履行合同规定的职责和义务，保证按照合同及贵司要求提供服务。</w:t>
      </w:r>
    </w:p>
    <w:p w14:paraId="739C88F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三、我方提供给贵单位的与本项目采购有关的文件资料，保证文件资料的真实性和准确性。</w:t>
      </w:r>
    </w:p>
    <w:p w14:paraId="5B0FD84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 w:hAnsi="仿宋" w:eastAsia="仿宋" w:cs="仿宋"/>
          <w:sz w:val="32"/>
          <w:szCs w:val="40"/>
          <w:u w:val="none"/>
          <w:lang w:val="en-US" w:eastAsia="zh-CN"/>
        </w:rPr>
      </w:pPr>
    </w:p>
    <w:p w14:paraId="5D7BBA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报价人名称（公章）：</w:t>
      </w:r>
    </w:p>
    <w:p w14:paraId="75978E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法定代表人或委托代理人签名：</w:t>
      </w:r>
    </w:p>
    <w:p w14:paraId="004AAA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日期：</w:t>
      </w:r>
    </w:p>
    <w:p w14:paraId="5A500E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通讯地址：</w:t>
      </w:r>
    </w:p>
    <w:p w14:paraId="28BEE3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联系人及联系方式：</w:t>
      </w:r>
    </w:p>
    <w:p w14:paraId="09154071">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4C31038E">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5C4EDFFD">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4A3FD0C4">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3230050D">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384EA99C">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7FC773BE">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75921CB9">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33922510">
      <w:pPr>
        <w:pStyle w:val="5"/>
        <w:snapToGrid w:val="0"/>
        <w:spacing w:line="360" w:lineRule="auto"/>
        <w:jc w:val="left"/>
        <w:rPr>
          <w:rFonts w:ascii="Times New Roman" w:hAnsi="Times New Roman"/>
          <w:b/>
          <w:sz w:val="28"/>
          <w:szCs w:val="32"/>
        </w:rPr>
      </w:pPr>
      <w:r>
        <w:rPr>
          <w:rFonts w:hint="eastAsia" w:ascii="Times New Roman" w:hAnsi="Times New Roman" w:eastAsia="宋体" w:cs="Times New Roman"/>
          <w:b/>
          <w:kern w:val="0"/>
          <w:sz w:val="28"/>
          <w:szCs w:val="32"/>
          <w:lang w:val="en-US" w:eastAsia="zh-CN" w:bidi="ar-SA"/>
        </w:rPr>
        <w:t>附件二：</w:t>
      </w:r>
      <w:r>
        <w:rPr>
          <w:rFonts w:hint="eastAsia" w:ascii="Times New Roman" w:hAnsi="Times New Roman"/>
          <w:b/>
          <w:sz w:val="28"/>
          <w:szCs w:val="32"/>
        </w:rPr>
        <w:t xml:space="preserve"> </w:t>
      </w:r>
      <w:r>
        <w:rPr>
          <w:rFonts w:ascii="Times New Roman" w:hAnsi="Times New Roman"/>
          <w:b/>
          <w:sz w:val="28"/>
          <w:szCs w:val="32"/>
        </w:rPr>
        <w:t xml:space="preserve">  </w:t>
      </w:r>
    </w:p>
    <w:p w14:paraId="7E30BF4A">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1、法定代表人证明书</w:t>
      </w:r>
    </w:p>
    <w:p w14:paraId="30D26EFE">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2、授权委托书</w:t>
      </w:r>
    </w:p>
    <w:p w14:paraId="0F9AC7AF">
      <w:pPr>
        <w:pStyle w:val="5"/>
        <w:snapToGrid w:val="0"/>
        <w:spacing w:line="240" w:lineRule="auto"/>
        <w:jc w:val="both"/>
        <w:rPr>
          <w:rFonts w:ascii="宋体" w:hAnsi="宋体"/>
          <w:b/>
          <w:sz w:val="44"/>
          <w:szCs w:val="44"/>
        </w:rPr>
      </w:pPr>
      <w:r>
        <w:rPr>
          <w:rFonts w:hint="eastAsia" w:ascii="Times New Roman" w:hAnsi="Times New Roman" w:eastAsia="宋体" w:cs="Times New Roman"/>
          <w:b w:val="0"/>
          <w:bCs/>
          <w:kern w:val="0"/>
          <w:sz w:val="28"/>
          <w:szCs w:val="32"/>
          <w:lang w:val="en-US" w:eastAsia="zh-CN" w:bidi="ar-SA"/>
        </w:rPr>
        <w:t>3、营业执照</w:t>
      </w:r>
      <w:r>
        <w:rPr>
          <w:rFonts w:hint="eastAsia" w:ascii="Times New Roman" w:hAnsi="Times New Roman" w:eastAsia="宋体" w:cs="Times New Roman"/>
          <w:b/>
          <w:kern w:val="0"/>
          <w:sz w:val="28"/>
          <w:szCs w:val="32"/>
          <w:lang w:val="en-US" w:eastAsia="zh-CN" w:bidi="ar-SA"/>
        </w:rPr>
        <w:br w:type="page"/>
      </w:r>
      <w:r>
        <w:rPr>
          <w:rFonts w:hint="eastAsia" w:ascii="Times New Roman" w:hAnsi="Times New Roman" w:cs="Times New Roman"/>
          <w:b/>
          <w:kern w:val="0"/>
          <w:sz w:val="28"/>
          <w:szCs w:val="32"/>
          <w:lang w:val="en-US" w:eastAsia="zh-CN" w:bidi="ar-SA"/>
        </w:rPr>
        <w:t xml:space="preserve">                   </w:t>
      </w:r>
      <w:r>
        <w:rPr>
          <w:rFonts w:hint="eastAsia" w:ascii="宋体" w:hAnsi="宋体"/>
          <w:b/>
          <w:sz w:val="44"/>
          <w:szCs w:val="44"/>
        </w:rPr>
        <w:t>法定代表人证明书</w:t>
      </w:r>
    </w:p>
    <w:p w14:paraId="45068038">
      <w:pPr>
        <w:jc w:val="center"/>
        <w:rPr>
          <w:rFonts w:ascii="宋体" w:hAnsi="宋体"/>
        </w:rPr>
      </w:pPr>
    </w:p>
    <w:p w14:paraId="2A644264">
      <w:pPr>
        <w:jc w:val="center"/>
        <w:rPr>
          <w:rFonts w:ascii="宋体" w:hAnsi="宋体"/>
        </w:rPr>
      </w:pPr>
    </w:p>
    <w:p w14:paraId="212A2EB9">
      <w:pPr>
        <w:spacing w:line="360" w:lineRule="auto"/>
        <w:jc w:val="center"/>
        <w:rPr>
          <w:rFonts w:ascii="宋体" w:hAnsi="宋体" w:cs="宋体"/>
          <w:sz w:val="28"/>
        </w:rPr>
      </w:pPr>
      <w:r>
        <w:rPr>
          <w:rFonts w:hint="eastAsia" w:ascii="宋体" w:hAnsi="宋体" w:cs="宋体"/>
          <w:sz w:val="28"/>
        </w:rPr>
        <w:t>法定代表人证明书</w:t>
      </w:r>
    </w:p>
    <w:p w14:paraId="218EB556">
      <w:pPr>
        <w:spacing w:line="360" w:lineRule="auto"/>
        <w:jc w:val="left"/>
        <w:rPr>
          <w:rFonts w:ascii="宋体" w:hAnsi="宋体" w:cs="宋体"/>
          <w:sz w:val="28"/>
          <w:u w:val="single"/>
        </w:rPr>
      </w:pPr>
      <w:r>
        <w:rPr>
          <w:rFonts w:hint="eastAsia" w:ascii="宋体" w:hAnsi="宋体" w:cs="宋体"/>
          <w:sz w:val="28"/>
        </w:rPr>
        <w:t>姓名：</w:t>
      </w:r>
      <w:r>
        <w:rPr>
          <w:rFonts w:hint="eastAsia" w:ascii="宋体" w:hAnsi="宋体" w:cs="宋体"/>
          <w:sz w:val="28"/>
          <w:u w:val="single"/>
        </w:rPr>
        <w:t xml:space="preserve"> </w:t>
      </w:r>
      <w:r>
        <w:rPr>
          <w:rFonts w:hint="eastAsia" w:ascii="宋体" w:hAnsi="宋体" w:cs="宋体"/>
          <w:sz w:val="28"/>
          <w:u w:val="single"/>
          <w:lang w:val="en-US" w:eastAsia="zh-CN"/>
        </w:rPr>
        <w:t xml:space="preserve">  </w:t>
      </w:r>
      <w:r>
        <w:rPr>
          <w:rFonts w:hint="eastAsia" w:ascii="宋体" w:hAnsi="宋体" w:cs="宋体"/>
          <w:sz w:val="28"/>
          <w:u w:val="single"/>
        </w:rPr>
        <w:t xml:space="preserve">   </w:t>
      </w:r>
      <w:r>
        <w:rPr>
          <w:rFonts w:hint="eastAsia" w:ascii="宋体" w:hAnsi="宋体" w:cs="宋体"/>
          <w:sz w:val="28"/>
        </w:rPr>
        <w:t>身份证号码：</w:t>
      </w:r>
      <w:r>
        <w:rPr>
          <w:rFonts w:hint="eastAsia" w:ascii="宋体" w:hAnsi="宋体" w:cs="宋体"/>
          <w:sz w:val="28"/>
          <w:u w:val="single"/>
        </w:rPr>
        <w:t xml:space="preserve">                 </w:t>
      </w:r>
      <w:r>
        <w:rPr>
          <w:rFonts w:hint="eastAsia" w:ascii="宋体" w:hAnsi="宋体" w:cs="宋体"/>
          <w:sz w:val="28"/>
        </w:rPr>
        <w:t>性别：</w:t>
      </w:r>
      <w:r>
        <w:rPr>
          <w:rFonts w:hint="eastAsia" w:ascii="宋体" w:hAnsi="宋体" w:cs="宋体"/>
          <w:sz w:val="28"/>
          <w:u w:val="single"/>
        </w:rPr>
        <w:t xml:space="preserve">      </w:t>
      </w:r>
      <w:r>
        <w:rPr>
          <w:rFonts w:hint="eastAsia" w:ascii="宋体" w:hAnsi="宋体" w:cs="宋体"/>
          <w:sz w:val="28"/>
        </w:rPr>
        <w:t>年龄：</w:t>
      </w:r>
      <w:r>
        <w:rPr>
          <w:rFonts w:hint="eastAsia" w:ascii="宋体" w:hAnsi="宋体" w:cs="宋体"/>
          <w:sz w:val="28"/>
          <w:u w:val="single"/>
        </w:rPr>
        <w:t xml:space="preserve">      </w:t>
      </w:r>
    </w:p>
    <w:p w14:paraId="6C9A020C">
      <w:pPr>
        <w:spacing w:line="360" w:lineRule="auto"/>
        <w:jc w:val="lef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系 </w:t>
      </w:r>
      <w:r>
        <w:rPr>
          <w:rFonts w:hint="eastAsia" w:ascii="宋体" w:hAnsi="宋体" w:cs="宋体"/>
          <w:sz w:val="28"/>
          <w:u w:val="single"/>
        </w:rPr>
        <w:t xml:space="preserve">                        </w:t>
      </w:r>
      <w:r>
        <w:rPr>
          <w:rFonts w:hint="eastAsia" w:ascii="宋体" w:hAnsi="宋体" w:cs="宋体"/>
          <w:sz w:val="28"/>
        </w:rPr>
        <w:t>的法定代表人。</w:t>
      </w:r>
    </w:p>
    <w:p w14:paraId="3882D529">
      <w:pPr>
        <w:spacing w:line="360" w:lineRule="auto"/>
        <w:rPr>
          <w:rFonts w:ascii="宋体" w:hAnsi="宋体" w:cs="宋体"/>
          <w:sz w:val="28"/>
        </w:rPr>
      </w:pPr>
      <w:r>
        <w:rPr>
          <w:rFonts w:hint="eastAsia" w:ascii="宋体" w:hAnsi="宋体" w:cs="宋体"/>
          <w:sz w:val="28"/>
        </w:rPr>
        <w:t>特此证明。</w:t>
      </w:r>
    </w:p>
    <w:p w14:paraId="24B6870F">
      <w:pPr>
        <w:spacing w:line="360" w:lineRule="auto"/>
        <w:rPr>
          <w:rFonts w:ascii="宋体" w:hAnsi="宋体" w:cs="宋体"/>
          <w:sz w:val="28"/>
        </w:rPr>
      </w:pPr>
    </w:p>
    <w:p w14:paraId="44E69405">
      <w:pPr>
        <w:spacing w:line="360" w:lineRule="auto"/>
        <w:ind w:left="3969" w:leftChars="1890"/>
        <w:rPr>
          <w:rFonts w:ascii="宋体" w:hAnsi="宋体" w:cs="宋体"/>
          <w:sz w:val="28"/>
        </w:rPr>
      </w:pPr>
      <w:r>
        <w:rPr>
          <w:rFonts w:hint="eastAsia" w:ascii="宋体" w:hAnsi="宋体" w:cs="宋体"/>
          <w:sz w:val="28"/>
        </w:rPr>
        <w:t>单位名称（公章）：</w:t>
      </w:r>
    </w:p>
    <w:p w14:paraId="00A48A8D">
      <w:pPr>
        <w:spacing w:line="360" w:lineRule="auto"/>
        <w:ind w:left="3969" w:leftChars="1890"/>
        <w:rPr>
          <w:rFonts w:ascii="宋体" w:hAnsi="宋体" w:cs="宋体"/>
          <w:sz w:val="28"/>
        </w:rPr>
      </w:pPr>
      <w:r>
        <w:rPr>
          <w:rFonts w:hint="eastAsia" w:ascii="宋体" w:hAnsi="宋体" w:cs="宋体"/>
          <w:sz w:val="28"/>
        </w:rPr>
        <w:t>地址：</w:t>
      </w:r>
    </w:p>
    <w:p w14:paraId="6FE5B35B">
      <w:pPr>
        <w:spacing w:line="360" w:lineRule="auto"/>
        <w:ind w:left="3969" w:leftChars="1890"/>
        <w:rPr>
          <w:rFonts w:ascii="宋体" w:hAnsi="宋体" w:cs="宋体"/>
          <w:sz w:val="28"/>
        </w:rPr>
      </w:pPr>
      <w:r>
        <w:rPr>
          <w:rFonts w:hint="eastAsia" w:ascii="宋体" w:hAnsi="宋体" w:cs="宋体"/>
          <w:sz w:val="28"/>
        </w:rPr>
        <w:t xml:space="preserve">日期：                              </w:t>
      </w:r>
    </w:p>
    <w:p w14:paraId="30BBED1F">
      <w:pPr>
        <w:spacing w:line="360" w:lineRule="auto"/>
        <w:rPr>
          <w:rFonts w:ascii="宋体" w:hAnsi="宋体" w:cs="宋体"/>
          <w:sz w:val="28"/>
        </w:rPr>
      </w:pPr>
    </w:p>
    <w:p w14:paraId="1A4CCD53">
      <w:pPr>
        <w:spacing w:line="360" w:lineRule="auto"/>
        <w:rPr>
          <w:rFonts w:ascii="宋体" w:hAnsi="宋体" w:cs="宋体"/>
          <w:sz w:val="28"/>
        </w:rPr>
      </w:pPr>
    </w:p>
    <w:p w14:paraId="6BF9C5E5">
      <w:pPr>
        <w:spacing w:line="360" w:lineRule="auto"/>
        <w:rPr>
          <w:rFonts w:ascii="宋体" w:hAnsi="宋体" w:cs="宋体"/>
          <w:sz w:val="28"/>
        </w:rPr>
      </w:pPr>
    </w:p>
    <w:p w14:paraId="4B722CC5">
      <w:pPr>
        <w:spacing w:line="360" w:lineRule="auto"/>
        <w:rPr>
          <w:rFonts w:ascii="宋体" w:hAnsi="宋体" w:cs="宋体"/>
          <w:sz w:val="28"/>
        </w:rPr>
      </w:pPr>
    </w:p>
    <w:p w14:paraId="219E7368">
      <w:pPr>
        <w:spacing w:line="360" w:lineRule="auto"/>
        <w:rPr>
          <w:rFonts w:ascii="宋体" w:hAnsi="宋体" w:cs="宋体"/>
          <w:sz w:val="28"/>
        </w:rPr>
      </w:pPr>
    </w:p>
    <w:p w14:paraId="1D1A1E8E">
      <w:pPr>
        <w:spacing w:line="360" w:lineRule="auto"/>
        <w:rPr>
          <w:rFonts w:ascii="宋体" w:hAnsi="宋体" w:cs="宋体"/>
          <w:sz w:val="28"/>
        </w:rPr>
      </w:pPr>
    </w:p>
    <w:p w14:paraId="3A3F788F">
      <w:pPr>
        <w:spacing w:line="360" w:lineRule="auto"/>
        <w:rPr>
          <w:rFonts w:ascii="宋体" w:hAnsi="宋体" w:cs="宋体"/>
          <w:sz w:val="28"/>
        </w:rPr>
      </w:pPr>
    </w:p>
    <w:p w14:paraId="5BF1B25E">
      <w:pPr>
        <w:spacing w:line="360" w:lineRule="auto"/>
        <w:rPr>
          <w:rFonts w:ascii="宋体" w:hAnsi="宋体" w:cs="宋体"/>
          <w:sz w:val="28"/>
        </w:rPr>
      </w:pPr>
    </w:p>
    <w:p w14:paraId="2776FC88">
      <w:pPr>
        <w:spacing w:line="360" w:lineRule="auto"/>
        <w:rPr>
          <w:rFonts w:ascii="宋体" w:hAnsi="宋体" w:cs="宋体"/>
          <w:sz w:val="28"/>
        </w:rPr>
      </w:pPr>
    </w:p>
    <w:p w14:paraId="26627068">
      <w:pPr>
        <w:spacing w:line="360" w:lineRule="auto"/>
        <w:rPr>
          <w:rFonts w:ascii="宋体" w:hAnsi="宋体" w:cs="宋体"/>
          <w:sz w:val="28"/>
        </w:rPr>
      </w:pPr>
    </w:p>
    <w:p w14:paraId="63BAC780">
      <w:pPr>
        <w:spacing w:line="360" w:lineRule="auto"/>
        <w:rPr>
          <w:rFonts w:ascii="宋体" w:hAnsi="宋体" w:cs="宋体"/>
          <w:sz w:val="28"/>
        </w:rPr>
      </w:pPr>
    </w:p>
    <w:p w14:paraId="1B2E48A0">
      <w:pPr>
        <w:spacing w:line="360" w:lineRule="auto"/>
        <w:rPr>
          <w:rFonts w:ascii="宋体" w:hAnsi="宋体" w:cs="宋体"/>
          <w:sz w:val="28"/>
        </w:rPr>
      </w:pPr>
    </w:p>
    <w:p w14:paraId="48BDD95D">
      <w:pPr>
        <w:spacing w:line="360" w:lineRule="auto"/>
        <w:ind w:left="425" w:firstLine="2650" w:firstLineChars="600"/>
        <w:jc w:val="both"/>
        <w:rPr>
          <w:b/>
          <w:sz w:val="44"/>
          <w:szCs w:val="44"/>
        </w:rPr>
      </w:pPr>
      <w:r>
        <w:rPr>
          <w:rFonts w:hint="eastAsia" w:ascii="宋体" w:hAnsi="宋体"/>
          <w:b/>
          <w:sz w:val="44"/>
          <w:szCs w:val="44"/>
        </w:rPr>
        <w:t>授权委托书</w:t>
      </w:r>
    </w:p>
    <w:p w14:paraId="6B916EEE">
      <w:pPr>
        <w:spacing w:line="360" w:lineRule="auto"/>
        <w:ind w:left="425"/>
        <w:rPr>
          <w:sz w:val="24"/>
        </w:rPr>
      </w:pPr>
    </w:p>
    <w:p w14:paraId="1D81889C">
      <w:pPr>
        <w:spacing w:line="360" w:lineRule="auto"/>
        <w:ind w:left="425"/>
        <w:rPr>
          <w:sz w:val="24"/>
        </w:rPr>
      </w:pPr>
    </w:p>
    <w:p w14:paraId="47643743">
      <w:pPr>
        <w:spacing w:line="360" w:lineRule="auto"/>
        <w:ind w:firstLine="719" w:firstLineChars="257"/>
        <w:rPr>
          <w:rFonts w:ascii="宋体" w:hAnsi="宋体"/>
          <w:sz w:val="28"/>
          <w:szCs w:val="28"/>
        </w:rPr>
      </w:pPr>
      <w:r>
        <w:rPr>
          <w:rFonts w:hint="eastAsia" w:ascii="宋体" w:hAnsi="宋体"/>
          <w:sz w:val="28"/>
          <w:szCs w:val="28"/>
        </w:rPr>
        <w:t>我</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【姓名】系</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【单位名称】的法定代表人，现授权委托</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【姓名】（身份证号码：</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）为本公司代理人，以本公司的名义参加</w:t>
      </w:r>
      <w:r>
        <w:rPr>
          <w:rFonts w:hint="eastAsia" w:ascii="宋体" w:hAnsi="宋体"/>
          <w:sz w:val="28"/>
          <w:szCs w:val="28"/>
          <w:u w:val="single"/>
          <w:lang w:val="en-US" w:eastAsia="zh-CN"/>
        </w:rPr>
        <w:t>红岭创客营项目招标代理服务</w:t>
      </w:r>
      <w:r>
        <w:rPr>
          <w:rFonts w:hint="eastAsia" w:ascii="宋体" w:hAnsi="宋体"/>
          <w:sz w:val="28"/>
          <w:szCs w:val="28"/>
          <w:u w:val="none"/>
          <w:lang w:val="en-US" w:eastAsia="zh-CN"/>
        </w:rPr>
        <w:t>项目</w:t>
      </w:r>
      <w:r>
        <w:rPr>
          <w:rFonts w:hint="eastAsia" w:ascii="宋体" w:hAnsi="宋体"/>
          <w:sz w:val="28"/>
          <w:szCs w:val="28"/>
          <w:lang w:eastAsia="zh-CN"/>
        </w:rPr>
        <w:t>采购及报价</w:t>
      </w:r>
      <w:r>
        <w:rPr>
          <w:rFonts w:hint="eastAsia" w:ascii="宋体" w:hAnsi="宋体"/>
          <w:sz w:val="28"/>
          <w:szCs w:val="28"/>
        </w:rPr>
        <w:t>的相关活动。代理人在本次</w:t>
      </w:r>
      <w:r>
        <w:rPr>
          <w:rFonts w:hint="eastAsia" w:ascii="宋体" w:hAnsi="宋体"/>
          <w:sz w:val="28"/>
          <w:szCs w:val="28"/>
          <w:lang w:eastAsia="zh-CN"/>
        </w:rPr>
        <w:t>采购</w:t>
      </w:r>
      <w:r>
        <w:rPr>
          <w:rFonts w:hint="eastAsia" w:ascii="宋体" w:hAnsi="宋体"/>
          <w:sz w:val="28"/>
          <w:szCs w:val="28"/>
        </w:rPr>
        <w:t>过程中所签署的一切文件和处理与之有关的一切事务，本公司及我本人均予以承认。</w:t>
      </w:r>
    </w:p>
    <w:p w14:paraId="6D590044">
      <w:pPr>
        <w:spacing w:line="360" w:lineRule="auto"/>
        <w:ind w:firstLine="719" w:firstLineChars="257"/>
        <w:rPr>
          <w:rFonts w:ascii="宋体" w:hAnsi="宋体"/>
          <w:sz w:val="28"/>
          <w:szCs w:val="28"/>
        </w:rPr>
      </w:pPr>
      <w:r>
        <w:rPr>
          <w:rFonts w:hint="eastAsia" w:ascii="宋体" w:hAnsi="宋体"/>
          <w:sz w:val="28"/>
          <w:szCs w:val="28"/>
        </w:rPr>
        <w:t>代理人无转委托权。</w:t>
      </w:r>
    </w:p>
    <w:p w14:paraId="6F8CA801">
      <w:pPr>
        <w:spacing w:line="360" w:lineRule="auto"/>
        <w:rPr>
          <w:rFonts w:ascii="宋体" w:hAnsi="宋体"/>
          <w:sz w:val="28"/>
          <w:szCs w:val="28"/>
        </w:rPr>
      </w:pPr>
      <w:r>
        <w:rPr>
          <w:rFonts w:hint="eastAsia" w:ascii="宋体" w:hAnsi="宋体"/>
          <w:sz w:val="28"/>
          <w:szCs w:val="28"/>
        </w:rPr>
        <w:t>特此委托。</w:t>
      </w:r>
    </w:p>
    <w:p w14:paraId="62A3802D">
      <w:pPr>
        <w:spacing w:line="360" w:lineRule="auto"/>
        <w:rPr>
          <w:rFonts w:ascii="宋体" w:hAnsi="宋体"/>
          <w:sz w:val="28"/>
          <w:szCs w:val="28"/>
        </w:rPr>
      </w:pPr>
    </w:p>
    <w:p w14:paraId="26EA1254">
      <w:pPr>
        <w:spacing w:line="360" w:lineRule="auto"/>
        <w:rPr>
          <w:rFonts w:ascii="宋体" w:hAnsi="宋体"/>
          <w:sz w:val="28"/>
          <w:szCs w:val="28"/>
        </w:rPr>
      </w:pPr>
      <w:r>
        <w:rPr>
          <w:rFonts w:hint="eastAsia" w:ascii="宋体" w:hAnsi="宋体"/>
          <w:sz w:val="28"/>
          <w:szCs w:val="28"/>
        </w:rPr>
        <w:t>代理人：（签字）            性别：          年龄：</w:t>
      </w:r>
    </w:p>
    <w:p w14:paraId="059B2D09">
      <w:pPr>
        <w:spacing w:line="360" w:lineRule="auto"/>
        <w:rPr>
          <w:rFonts w:ascii="宋体" w:hAnsi="宋体"/>
          <w:sz w:val="28"/>
          <w:szCs w:val="28"/>
        </w:rPr>
      </w:pPr>
    </w:p>
    <w:p w14:paraId="16DF4E6A">
      <w:pPr>
        <w:spacing w:line="360" w:lineRule="auto"/>
        <w:ind w:firstLine="140" w:firstLineChars="50"/>
        <w:rPr>
          <w:rFonts w:ascii="宋体" w:hAnsi="宋体"/>
          <w:sz w:val="28"/>
          <w:szCs w:val="28"/>
        </w:rPr>
      </w:pPr>
      <w:r>
        <w:rPr>
          <w:rFonts w:hint="eastAsia" w:ascii="宋体" w:hAnsi="宋体"/>
          <w:sz w:val="28"/>
          <w:szCs w:val="28"/>
        </w:rPr>
        <w:t>单位：（</w:t>
      </w:r>
      <w:r>
        <w:rPr>
          <w:rFonts w:hint="eastAsia" w:ascii="宋体" w:hAnsi="宋体"/>
          <w:sz w:val="28"/>
          <w:szCs w:val="28"/>
          <w:lang w:eastAsia="zh-CN"/>
        </w:rPr>
        <w:t>公章</w:t>
      </w:r>
      <w:r>
        <w:rPr>
          <w:rFonts w:hint="eastAsia" w:ascii="宋体" w:hAnsi="宋体"/>
          <w:sz w:val="28"/>
          <w:szCs w:val="28"/>
        </w:rPr>
        <w:t>）</w:t>
      </w:r>
    </w:p>
    <w:p w14:paraId="5E4C2AE2">
      <w:pPr>
        <w:spacing w:line="360" w:lineRule="auto"/>
        <w:rPr>
          <w:rFonts w:ascii="宋体" w:hAnsi="宋体"/>
          <w:sz w:val="28"/>
          <w:szCs w:val="28"/>
        </w:rPr>
      </w:pPr>
    </w:p>
    <w:p w14:paraId="13649F14">
      <w:pPr>
        <w:spacing w:line="360" w:lineRule="auto"/>
        <w:ind w:firstLine="140" w:firstLineChars="50"/>
        <w:rPr>
          <w:rFonts w:ascii="宋体" w:hAnsi="宋体"/>
          <w:sz w:val="28"/>
          <w:szCs w:val="28"/>
        </w:rPr>
      </w:pPr>
      <w:r>
        <w:rPr>
          <w:rFonts w:hint="eastAsia" w:ascii="宋体" w:hAnsi="宋体"/>
          <w:sz w:val="28"/>
          <w:szCs w:val="28"/>
        </w:rPr>
        <w:t>法定代表人：（签字或盖章）</w:t>
      </w:r>
    </w:p>
    <w:p w14:paraId="6A4183F2">
      <w:pPr>
        <w:spacing w:line="360" w:lineRule="auto"/>
        <w:ind w:left="425"/>
        <w:rPr>
          <w:rFonts w:ascii="宋体" w:hAnsi="宋体"/>
          <w:sz w:val="28"/>
          <w:szCs w:val="28"/>
        </w:rPr>
      </w:pPr>
    </w:p>
    <w:p w14:paraId="1B8F55DA">
      <w:pPr>
        <w:spacing w:line="360" w:lineRule="auto"/>
        <w:ind w:firstLine="140" w:firstLineChars="50"/>
        <w:rPr>
          <w:rFonts w:ascii="宋体" w:hAnsi="宋体"/>
          <w:sz w:val="28"/>
          <w:szCs w:val="28"/>
        </w:rPr>
      </w:pPr>
      <w:r>
        <w:rPr>
          <w:rFonts w:hint="eastAsia" w:ascii="宋体" w:hAnsi="宋体"/>
          <w:sz w:val="28"/>
          <w:szCs w:val="28"/>
        </w:rPr>
        <w:t xml:space="preserve">日期：   </w:t>
      </w:r>
      <w:r>
        <w:rPr>
          <w:rFonts w:hint="eastAsia" w:ascii="宋体" w:hAnsi="宋体"/>
          <w:sz w:val="28"/>
          <w:szCs w:val="28"/>
          <w:lang w:val="en-US" w:eastAsia="zh-CN"/>
        </w:rPr>
        <w:t xml:space="preserve">  </w:t>
      </w:r>
      <w:r>
        <w:rPr>
          <w:rFonts w:hint="eastAsia" w:ascii="宋体" w:hAnsi="宋体"/>
          <w:sz w:val="28"/>
          <w:szCs w:val="28"/>
        </w:rPr>
        <w:t>年    月    日</w:t>
      </w:r>
    </w:p>
    <w:p w14:paraId="190269FE">
      <w:pPr>
        <w:widowControl/>
        <w:jc w:val="both"/>
        <w:rPr>
          <w:rFonts w:hint="eastAsia" w:asciiTheme="minorEastAsia" w:hAnsiTheme="minorEastAsia"/>
          <w:b/>
          <w:sz w:val="44"/>
          <w:szCs w:val="44"/>
        </w:rPr>
      </w:pPr>
    </w:p>
    <w:p w14:paraId="6729C917">
      <w:pPr>
        <w:pStyle w:val="3"/>
        <w:rPr>
          <w:rFonts w:hint="eastAsia" w:asciiTheme="minorEastAsia" w:hAnsiTheme="minorEastAsia"/>
          <w:b/>
          <w:sz w:val="44"/>
          <w:szCs w:val="44"/>
        </w:rPr>
      </w:pPr>
    </w:p>
    <w:p w14:paraId="3899A579">
      <w:pPr>
        <w:widowControl/>
        <w:jc w:val="center"/>
        <w:rPr>
          <w:rFonts w:asciiTheme="minorEastAsia" w:hAnsiTheme="minorEastAsia"/>
          <w:b/>
          <w:sz w:val="44"/>
          <w:szCs w:val="44"/>
        </w:rPr>
      </w:pPr>
      <w:r>
        <w:rPr>
          <w:rFonts w:hint="eastAsia" w:asciiTheme="minorEastAsia" w:hAnsiTheme="minorEastAsia"/>
          <w:b/>
          <w:sz w:val="44"/>
          <w:szCs w:val="44"/>
        </w:rPr>
        <w:t>营业执照</w:t>
      </w:r>
    </w:p>
    <w:p w14:paraId="16134D83">
      <w:pPr>
        <w:widowControl/>
        <w:rPr>
          <w:rFonts w:hint="eastAsia" w:ascii="Times New Roman" w:hAnsi="Times New Roman" w:eastAsia="宋体" w:cs="Times New Roman"/>
          <w:b/>
          <w:kern w:val="0"/>
          <w:sz w:val="28"/>
          <w:szCs w:val="32"/>
          <w:lang w:val="en-US" w:eastAsia="zh-CN" w:bidi="ar-SA"/>
        </w:rPr>
      </w:pPr>
    </w:p>
    <w:p w14:paraId="36E3F45D">
      <w:pPr>
        <w:widowControl/>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kern w:val="0"/>
          <w:sz w:val="28"/>
          <w:szCs w:val="32"/>
          <w:lang w:val="en-US" w:eastAsia="zh-CN" w:bidi="ar-SA"/>
        </w:rPr>
        <w:t>附件三：其他响应材料</w:t>
      </w:r>
    </w:p>
    <w:p w14:paraId="4FD775B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baseline"/>
        <w:outlineLvl w:val="9"/>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1、在中华人民共和国境内的具有合法经营资格的独立法人或其他组织。</w:t>
      </w:r>
    </w:p>
    <w:p w14:paraId="0ADA9F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baseline"/>
        <w:outlineLvl w:val="9"/>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2、在信用中国网站未被列入失信被执行人名单。</w:t>
      </w:r>
    </w:p>
    <w:p w14:paraId="251DC26A">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3、企业同类项目业绩情况</w:t>
      </w:r>
    </w:p>
    <w:p w14:paraId="692E11AB">
      <w:pPr>
        <w:pStyle w:val="5"/>
        <w:snapToGrid w:val="0"/>
        <w:spacing w:line="360" w:lineRule="auto"/>
        <w:ind w:firstLine="280" w:firstLineChars="1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（提供近3年（自2023年7月1日至今）已完成的依法必须招标的房屋建筑工程招标代理服务业绩。须提供合同关键页（含合同范围、服务内容、合同金额、合同签订时间），同时提供已完成招标的相关证明材料）</w:t>
      </w:r>
    </w:p>
    <w:p w14:paraId="5FC4E920">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4、项目负责人情况</w:t>
      </w:r>
    </w:p>
    <w:p w14:paraId="3F9D8851">
      <w:pPr>
        <w:pStyle w:val="5"/>
        <w:snapToGrid w:val="0"/>
        <w:spacing w:line="360" w:lineRule="auto"/>
        <w:ind w:firstLine="560" w:firstLineChars="2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提供拟派项目负责人近3年（自2023年7月1日至今）已依法必须招标的房屋建筑工程招标代理服务业绩。业绩证明材料应能清晰反映工作内容、项目时间、项目负责人姓名（如无法体现项目负责人职务，须提供委托单位开具的证明或者其他相关证明），提供已完成招标的相关证明材料，同时提供项目负责人在本单位缴纳的近3个月社保证明材料）</w:t>
      </w:r>
    </w:p>
    <w:p w14:paraId="3BD0708F">
      <w:pPr>
        <w:pStyle w:val="5"/>
        <w:snapToGrid w:val="0"/>
        <w:spacing w:line="360" w:lineRule="auto"/>
        <w:ind w:firstLine="562" w:firstLineChars="2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5、履约评价情况</w:t>
      </w:r>
    </w:p>
    <w:p w14:paraId="12E3FA1A">
      <w:pPr>
        <w:pStyle w:val="5"/>
        <w:snapToGrid w:val="0"/>
        <w:spacing w:line="360" w:lineRule="auto"/>
        <w:ind w:firstLine="560" w:firstLineChars="2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（上述企业“同类项目业绩”中经评审为有效的项目业绩中，提供一个项目业主或委托单位出具的优秀或满意或其他最高等级的履约评价。须提供加盖项目委托单位公章的履约评价证明文件）</w:t>
      </w:r>
    </w:p>
    <w:p w14:paraId="7A934D3E">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6、履约质效情况（格式自拟）</w:t>
      </w:r>
    </w:p>
    <w:p w14:paraId="7F029876">
      <w:pPr>
        <w:pStyle w:val="5"/>
        <w:snapToGrid w:val="0"/>
        <w:spacing w:line="360" w:lineRule="auto"/>
        <w:ind w:firstLine="280" w:firstLineChars="1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（对在本项目履约质效方面的情况做出说明，包括履约质量、履约效率、企业资源调度、企业优势等）</w:t>
      </w:r>
    </w:p>
    <w:p w14:paraId="65AF8AC9">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7、项目实施方案（格式自拟）</w:t>
      </w:r>
    </w:p>
    <w:p w14:paraId="0529BA8D">
      <w:pPr>
        <w:pStyle w:val="5"/>
        <w:snapToGrid w:val="0"/>
        <w:spacing w:line="360" w:lineRule="auto"/>
        <w:ind w:firstLine="280" w:firstLineChars="100"/>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（对项目情况的了解，项目重难点分析及应对措施和相关的合理化建议，服务质量、服务进度、服务响应保障措施，应急采购实施方案，公司支持情况，后续服务）</w:t>
      </w:r>
    </w:p>
    <w:p w14:paraId="041125E2">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59E87DF1">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498C1FB6">
      <w:pPr>
        <w:pStyle w:val="5"/>
        <w:snapToGrid w:val="0"/>
        <w:spacing w:line="360" w:lineRule="auto"/>
        <w:jc w:val="left"/>
        <w:rPr>
          <w:rFonts w:hint="eastAsia" w:ascii="Times New Roman" w:hAnsi="Times New Roman" w:eastAsia="宋体" w:cs="Times New Roman"/>
          <w:b/>
          <w:kern w:val="0"/>
          <w:sz w:val="28"/>
          <w:szCs w:val="32"/>
          <w:lang w:val="en-US" w:eastAsia="zh-CN" w:bidi="ar-SA"/>
        </w:rPr>
      </w:pPr>
      <w:r>
        <w:rPr>
          <w:rFonts w:hint="eastAsia" w:ascii="Times New Roman" w:hAnsi="Times New Roman" w:eastAsia="宋体" w:cs="Times New Roman"/>
          <w:b/>
          <w:kern w:val="0"/>
          <w:sz w:val="28"/>
          <w:szCs w:val="32"/>
          <w:lang w:val="en-US" w:eastAsia="zh-CN" w:bidi="ar-SA"/>
        </w:rPr>
        <w:t>附件四：评分细则</w:t>
      </w:r>
    </w:p>
    <w:p w14:paraId="35CDBFC7">
      <w:pPr>
        <w:bidi w:val="0"/>
        <w:rPr>
          <w:rFonts w:hint="eastAsia" w:ascii="Times New Roman" w:hAnsi="Times New Roman" w:eastAsia="宋体" w:cs="Times New Roman"/>
          <w:b/>
          <w:kern w:val="0"/>
          <w:sz w:val="28"/>
          <w:szCs w:val="32"/>
          <w:lang w:val="en-US" w:eastAsia="zh-CN" w:bidi="ar-SA"/>
        </w:rPr>
      </w:pPr>
      <w:r>
        <w:rPr>
          <w:rFonts w:hint="eastAsia"/>
        </w:rPr>
        <w:t>本次</w:t>
      </w:r>
      <w:r>
        <w:rPr>
          <w:rFonts w:hint="eastAsia"/>
          <w:lang w:eastAsia="zh-CN"/>
        </w:rPr>
        <w:t>评审</w:t>
      </w:r>
      <w:r>
        <w:rPr>
          <w:rFonts w:hint="eastAsia"/>
        </w:rPr>
        <w:t>采用综合评分法，</w:t>
      </w:r>
      <w:r>
        <w:rPr>
          <w:rFonts w:hint="eastAsia"/>
          <w:lang w:eastAsia="zh-CN"/>
        </w:rPr>
        <w:t>满分分值为</w:t>
      </w:r>
      <w:r>
        <w:rPr>
          <w:rFonts w:hint="eastAsia"/>
          <w:lang w:val="en-US" w:eastAsia="zh-CN"/>
        </w:rPr>
        <w:t>100分，</w:t>
      </w:r>
      <w:r>
        <w:rPr>
          <w:rFonts w:hint="eastAsia"/>
        </w:rPr>
        <w:t>评分</w:t>
      </w:r>
      <w:r>
        <w:rPr>
          <w:rFonts w:hint="eastAsia"/>
          <w:lang w:eastAsia="zh-CN"/>
        </w:rPr>
        <w:t>细则</w:t>
      </w:r>
      <w:r>
        <w:rPr>
          <w:rFonts w:hint="eastAsia"/>
        </w:rPr>
        <w:t>内容及</w:t>
      </w:r>
      <w:r>
        <w:rPr>
          <w:rFonts w:hint="eastAsia"/>
          <w:lang w:eastAsia="zh-CN"/>
        </w:rPr>
        <w:t>各分项</w:t>
      </w:r>
      <w:r>
        <w:rPr>
          <w:rFonts w:hint="eastAsia"/>
        </w:rPr>
        <w:t>分值如下：</w:t>
      </w:r>
    </w:p>
    <w:tbl>
      <w:tblPr>
        <w:tblStyle w:val="10"/>
        <w:tblW w:w="964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57"/>
        <w:gridCol w:w="654"/>
        <w:gridCol w:w="1378"/>
        <w:gridCol w:w="1009"/>
        <w:gridCol w:w="5949"/>
      </w:tblGrid>
      <w:tr w14:paraId="68626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946E6B">
            <w:pPr>
              <w:keepNext w:val="0"/>
              <w:keepLines w:val="0"/>
              <w:pageBreakBefore w:val="0"/>
              <w:kinsoku/>
              <w:wordWrap w:val="0"/>
              <w:overflowPunct/>
              <w:topLinePunct w:val="0"/>
              <w:autoSpaceDE/>
              <w:autoSpaceDN/>
              <w:bidi w:val="0"/>
              <w:adjustRightInd/>
              <w:snapToGrid/>
              <w:spacing w:line="300" w:lineRule="exact"/>
              <w:jc w:val="center"/>
              <w:textAlignment w:val="auto"/>
              <w:rPr>
                <w:rFonts w:asciiTheme="minorEastAsia" w:hAnsiTheme="minorEastAsia" w:cstheme="minorEastAsia"/>
                <w:b/>
                <w:bCs/>
                <w:kern w:val="2"/>
                <w:sz w:val="21"/>
                <w:szCs w:val="21"/>
              </w:rPr>
            </w:pPr>
            <w:r>
              <w:rPr>
                <w:rFonts w:hint="eastAsia" w:asciiTheme="minorEastAsia" w:hAnsiTheme="minorEastAsia" w:cstheme="minorEastAsia"/>
                <w:b/>
                <w:bCs/>
                <w:kern w:val="2"/>
                <w:sz w:val="21"/>
                <w:szCs w:val="21"/>
              </w:rPr>
              <w:t>序号</w:t>
            </w:r>
          </w:p>
        </w:tc>
        <w:tc>
          <w:tcPr>
            <w:tcW w:w="3041"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C16177B">
            <w:pPr>
              <w:keepNext w:val="0"/>
              <w:keepLines w:val="0"/>
              <w:pageBreakBefore w:val="0"/>
              <w:kinsoku/>
              <w:wordWrap w:val="0"/>
              <w:overflowPunct/>
              <w:topLinePunct w:val="0"/>
              <w:autoSpaceDE/>
              <w:autoSpaceDN/>
              <w:bidi w:val="0"/>
              <w:adjustRightInd/>
              <w:snapToGrid/>
              <w:spacing w:line="300" w:lineRule="exact"/>
              <w:jc w:val="center"/>
              <w:textAlignment w:val="auto"/>
              <w:rPr>
                <w:rFonts w:asciiTheme="minorEastAsia" w:hAnsiTheme="minorEastAsia" w:cstheme="minorEastAsia"/>
                <w:b/>
                <w:bCs/>
                <w:kern w:val="2"/>
                <w:sz w:val="21"/>
                <w:szCs w:val="21"/>
              </w:rPr>
            </w:pPr>
            <w:r>
              <w:rPr>
                <w:rFonts w:hint="eastAsia" w:asciiTheme="minorEastAsia" w:hAnsiTheme="minorEastAsia" w:cstheme="minorEastAsia"/>
                <w:b/>
                <w:bCs/>
                <w:kern w:val="2"/>
                <w:sz w:val="21"/>
                <w:szCs w:val="21"/>
              </w:rPr>
              <w:t>评分项</w:t>
            </w:r>
          </w:p>
        </w:tc>
        <w:tc>
          <w:tcPr>
            <w:tcW w:w="594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045ADD">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kern w:val="2"/>
                <w:sz w:val="21"/>
                <w:szCs w:val="21"/>
                <w:lang w:eastAsia="zh-CN"/>
              </w:rPr>
            </w:pPr>
            <w:r>
              <w:rPr>
                <w:rFonts w:hint="eastAsia" w:asciiTheme="minorEastAsia" w:hAnsiTheme="minorEastAsia" w:cstheme="minorEastAsia"/>
                <w:b/>
                <w:bCs/>
                <w:kern w:val="2"/>
                <w:sz w:val="21"/>
                <w:szCs w:val="21"/>
                <w:lang w:eastAsia="zh-CN"/>
              </w:rPr>
              <w:t>分值</w:t>
            </w:r>
          </w:p>
        </w:tc>
      </w:tr>
      <w:tr w14:paraId="34B25D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57" w:type="dxa"/>
            <w:vMerge w:val="restart"/>
            <w:tcBorders>
              <w:top w:val="single" w:color="000000" w:sz="8" w:space="0"/>
              <w:left w:val="single" w:color="000000" w:sz="8" w:space="0"/>
              <w:right w:val="single" w:color="000000" w:sz="8" w:space="0"/>
            </w:tcBorders>
            <w:shd w:val="clear" w:color="auto" w:fill="auto"/>
          </w:tcPr>
          <w:p w14:paraId="52546301">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kern w:val="2"/>
                <w:sz w:val="21"/>
                <w:szCs w:val="21"/>
                <w:lang w:eastAsia="zh-CN"/>
              </w:rPr>
            </w:pPr>
            <w:r>
              <w:rPr>
                <w:rFonts w:hint="eastAsia" w:asciiTheme="minorEastAsia" w:hAnsiTheme="minorEastAsia" w:cstheme="minorEastAsia"/>
                <w:b/>
                <w:bCs/>
                <w:color w:val="auto"/>
                <w:kern w:val="2"/>
                <w:sz w:val="21"/>
                <w:szCs w:val="21"/>
                <w:lang w:eastAsia="zh-CN"/>
              </w:rPr>
              <w:t>一</w:t>
            </w:r>
          </w:p>
        </w:tc>
        <w:tc>
          <w:tcPr>
            <w:tcW w:w="3041" w:type="dxa"/>
            <w:gridSpan w:val="3"/>
            <w:tcBorders>
              <w:top w:val="single" w:color="000000" w:sz="8" w:space="0"/>
              <w:left w:val="single" w:color="000000" w:sz="8" w:space="0"/>
              <w:bottom w:val="single" w:color="000000" w:sz="8" w:space="0"/>
              <w:right w:val="single" w:color="000000" w:sz="8" w:space="0"/>
            </w:tcBorders>
            <w:shd w:val="clear" w:color="auto" w:fill="auto"/>
          </w:tcPr>
          <w:p w14:paraId="30EE632B">
            <w:pPr>
              <w:keepNext w:val="0"/>
              <w:keepLines w:val="0"/>
              <w:pageBreakBefore w:val="0"/>
              <w:kinsoku/>
              <w:wordWrap w:val="0"/>
              <w:overflowPunct/>
              <w:topLinePunct w:val="0"/>
              <w:autoSpaceDE/>
              <w:autoSpaceDN/>
              <w:bidi w:val="0"/>
              <w:adjustRightInd/>
              <w:snapToGrid/>
              <w:spacing w:line="300" w:lineRule="exact"/>
              <w:jc w:val="center"/>
              <w:textAlignment w:val="auto"/>
              <w:rPr>
                <w:rFonts w:asciiTheme="minorEastAsia" w:hAnsiTheme="minorEastAsia" w:cstheme="minorEastAsia"/>
                <w:b/>
                <w:bCs/>
                <w:color w:val="auto"/>
                <w:kern w:val="2"/>
                <w:sz w:val="21"/>
                <w:szCs w:val="21"/>
              </w:rPr>
            </w:pPr>
            <w:r>
              <w:rPr>
                <w:rFonts w:hint="eastAsia" w:asciiTheme="minorEastAsia" w:hAnsiTheme="minorEastAsia" w:cstheme="minorEastAsia"/>
                <w:b/>
                <w:bCs/>
                <w:color w:val="auto"/>
                <w:kern w:val="2"/>
                <w:sz w:val="21"/>
                <w:szCs w:val="21"/>
              </w:rPr>
              <w:t>价格</w:t>
            </w:r>
          </w:p>
        </w:tc>
        <w:tc>
          <w:tcPr>
            <w:tcW w:w="5949" w:type="dxa"/>
            <w:tcBorders>
              <w:top w:val="single" w:color="000000" w:sz="8" w:space="0"/>
              <w:left w:val="single" w:color="000000" w:sz="8" w:space="0"/>
              <w:bottom w:val="single" w:color="000000" w:sz="8" w:space="0"/>
              <w:right w:val="single" w:color="000000" w:sz="8" w:space="0"/>
            </w:tcBorders>
            <w:shd w:val="clear" w:color="auto" w:fill="auto"/>
          </w:tcPr>
          <w:p w14:paraId="61DB750F">
            <w:pPr>
              <w:keepNext w:val="0"/>
              <w:keepLines w:val="0"/>
              <w:pageBreakBefore w:val="0"/>
              <w:kinsoku/>
              <w:wordWrap w:val="0"/>
              <w:overflowPunct/>
              <w:topLinePunct w:val="0"/>
              <w:autoSpaceDE/>
              <w:autoSpaceDN/>
              <w:bidi w:val="0"/>
              <w:adjustRightInd/>
              <w:snapToGrid/>
              <w:spacing w:line="300" w:lineRule="exact"/>
              <w:jc w:val="center"/>
              <w:textAlignment w:val="auto"/>
              <w:rPr>
                <w:rFonts w:hint="default" w:asciiTheme="minorEastAsia" w:hAnsiTheme="minorEastAsia" w:eastAsiaTheme="minorEastAsia" w:cstheme="minorEastAsia"/>
                <w:b/>
                <w:bCs/>
                <w:color w:val="auto"/>
                <w:kern w:val="2"/>
                <w:sz w:val="21"/>
                <w:szCs w:val="21"/>
                <w:lang w:val="en-US" w:eastAsia="zh-CN"/>
              </w:rPr>
            </w:pPr>
            <w:r>
              <w:rPr>
                <w:rFonts w:hint="eastAsia" w:asciiTheme="minorEastAsia" w:hAnsiTheme="minorEastAsia" w:cstheme="minorEastAsia"/>
                <w:b/>
                <w:bCs/>
                <w:color w:val="auto"/>
                <w:kern w:val="2"/>
                <w:sz w:val="21"/>
                <w:szCs w:val="21"/>
                <w:lang w:val="en-US" w:eastAsia="zh-CN"/>
              </w:rPr>
              <w:t>40分</w:t>
            </w:r>
          </w:p>
        </w:tc>
      </w:tr>
      <w:tr w14:paraId="6835AA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809" w:hRule="atLeast"/>
          <w:jc w:val="center"/>
        </w:trPr>
        <w:tc>
          <w:tcPr>
            <w:tcW w:w="657" w:type="dxa"/>
            <w:vMerge w:val="continue"/>
            <w:tcBorders>
              <w:left w:val="single" w:color="000000" w:sz="8" w:space="0"/>
              <w:bottom w:val="single" w:color="000000" w:sz="8" w:space="0"/>
              <w:right w:val="single" w:color="000000" w:sz="8" w:space="0"/>
            </w:tcBorders>
            <w:shd w:val="clear" w:color="auto" w:fill="auto"/>
          </w:tcPr>
          <w:p w14:paraId="7284BB0C">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cstheme="minorEastAsia"/>
                <w:b/>
                <w:bCs/>
                <w:color w:val="auto"/>
                <w:kern w:val="2"/>
                <w:sz w:val="21"/>
                <w:szCs w:val="21"/>
              </w:rPr>
            </w:pPr>
          </w:p>
        </w:tc>
        <w:tc>
          <w:tcPr>
            <w:tcW w:w="8990" w:type="dxa"/>
            <w:gridSpan w:val="4"/>
            <w:tcBorders>
              <w:top w:val="single" w:color="000000" w:sz="8" w:space="0"/>
              <w:left w:val="single" w:color="000000" w:sz="8" w:space="0"/>
              <w:bottom w:val="single" w:color="000000" w:sz="8" w:space="0"/>
              <w:right w:val="single" w:color="000000" w:sz="8" w:space="0"/>
            </w:tcBorders>
            <w:shd w:val="clear" w:color="auto" w:fill="auto"/>
          </w:tcPr>
          <w:p w14:paraId="30AF1692">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default" w:ascii="宋体" w:hAnsi="宋体" w:cs="Times New Roman"/>
                <w:color w:val="auto"/>
                <w:sz w:val="21"/>
                <w:szCs w:val="21"/>
                <w:lang w:val="zh-CN" w:eastAsia="zh-CN"/>
              </w:rPr>
            </w:pPr>
            <w:r>
              <w:rPr>
                <w:rFonts w:hint="eastAsia" w:ascii="宋体" w:hAnsi="宋体" w:cs="Times New Roman"/>
                <w:color w:val="auto"/>
                <w:sz w:val="21"/>
                <w:szCs w:val="21"/>
                <w:lang w:val="en-US" w:eastAsia="zh-CN"/>
              </w:rPr>
              <w:t>1</w:t>
            </w:r>
            <w:r>
              <w:rPr>
                <w:rFonts w:hint="default" w:ascii="宋体" w:hAnsi="宋体" w:cs="Times New Roman"/>
                <w:color w:val="auto"/>
                <w:sz w:val="21"/>
                <w:szCs w:val="21"/>
                <w:lang w:val="zh-CN" w:eastAsia="zh-CN"/>
              </w:rPr>
              <w:t>、基准价：为所有</w:t>
            </w:r>
            <w:r>
              <w:rPr>
                <w:rFonts w:hint="eastAsia" w:ascii="宋体" w:hAnsi="宋体" w:cs="Times New Roman"/>
                <w:color w:val="auto"/>
                <w:sz w:val="21"/>
                <w:szCs w:val="21"/>
                <w:lang w:val="zh-CN" w:eastAsia="zh-CN"/>
              </w:rPr>
              <w:t>符合资格审查单位</w:t>
            </w:r>
            <w:r>
              <w:rPr>
                <w:rFonts w:hint="default" w:ascii="宋体" w:hAnsi="宋体" w:cs="Times New Roman"/>
                <w:color w:val="auto"/>
                <w:sz w:val="21"/>
                <w:szCs w:val="21"/>
                <w:lang w:val="zh-CN" w:eastAsia="zh-CN"/>
              </w:rPr>
              <w:t>报价</w:t>
            </w:r>
            <w:r>
              <w:rPr>
                <w:rFonts w:hint="eastAsia" w:ascii="宋体" w:hAnsi="宋体" w:cs="Times New Roman"/>
                <w:color w:val="auto"/>
                <w:sz w:val="21"/>
                <w:szCs w:val="21"/>
                <w:lang w:val="zh-CN" w:eastAsia="zh-CN"/>
              </w:rPr>
              <w:t>的</w:t>
            </w:r>
            <w:r>
              <w:rPr>
                <w:rFonts w:hint="default" w:ascii="宋体" w:hAnsi="宋体" w:cs="Times New Roman"/>
                <w:color w:val="auto"/>
                <w:sz w:val="21"/>
                <w:szCs w:val="21"/>
                <w:lang w:val="zh-CN" w:eastAsia="zh-CN"/>
              </w:rPr>
              <w:t xml:space="preserve">算术平均值。 </w:t>
            </w:r>
          </w:p>
          <w:p w14:paraId="4B6685A2">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default" w:ascii="宋体" w:hAnsi="宋体" w:cs="Times New Roman"/>
                <w:color w:val="auto"/>
                <w:sz w:val="21"/>
                <w:szCs w:val="21"/>
                <w:lang w:val="zh-CN" w:eastAsia="zh-CN"/>
              </w:rPr>
            </w:pPr>
            <w:r>
              <w:rPr>
                <w:rFonts w:hint="default" w:ascii="宋体" w:hAnsi="宋体" w:cs="Times New Roman"/>
                <w:color w:val="auto"/>
                <w:sz w:val="21"/>
                <w:szCs w:val="21"/>
                <w:lang w:val="zh-CN" w:eastAsia="zh-CN"/>
              </w:rPr>
              <w:t xml:space="preserve">2、算法类型按固定乘积法：投标报价得分=（1-A×｜1-投标报价/基准价｜）×40 </w:t>
            </w:r>
          </w:p>
          <w:p w14:paraId="0DA632BD">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default" w:ascii="宋体" w:hAnsi="宋体" w:cs="Times New Roman"/>
                <w:color w:val="auto"/>
                <w:sz w:val="21"/>
                <w:szCs w:val="21"/>
                <w:lang w:val="zh-CN" w:eastAsia="zh-CN"/>
              </w:rPr>
            </w:pPr>
            <w:r>
              <w:rPr>
                <w:rFonts w:hint="default" w:ascii="宋体" w:hAnsi="宋体" w:cs="Times New Roman"/>
                <w:color w:val="auto"/>
                <w:sz w:val="21"/>
                <w:szCs w:val="21"/>
                <w:lang w:val="zh-CN" w:eastAsia="zh-CN"/>
              </w:rPr>
              <w:t>A为价格调整系数，当投标报价低于本次招标最佳报价（即基准价）时，A=0.8；当投标报价高于本次招标最佳报价时，取A=1； 计算分数时四舍五入取小数点后两位，当价格分＜0时，取0。</w:t>
            </w:r>
          </w:p>
          <w:p w14:paraId="5DA624D5">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Theme="minorEastAsia" w:hAnsiTheme="minorEastAsia" w:cstheme="minorEastAsia"/>
                <w:b/>
                <w:bCs/>
                <w:color w:val="auto"/>
                <w:kern w:val="2"/>
                <w:sz w:val="21"/>
                <w:szCs w:val="21"/>
                <w:lang w:val="en-US" w:eastAsia="zh-CN"/>
              </w:rPr>
            </w:pPr>
            <w:r>
              <w:rPr>
                <w:rFonts w:hint="eastAsia" w:ascii="宋体" w:hAnsi="宋体" w:cs="Times New Roman"/>
                <w:color w:val="auto"/>
                <w:sz w:val="21"/>
                <w:szCs w:val="21"/>
                <w:lang w:val="en-US" w:eastAsia="zh-CN"/>
              </w:rPr>
              <w:t>3、</w:t>
            </w:r>
            <w:r>
              <w:rPr>
                <w:rFonts w:hint="eastAsia" w:ascii="宋体" w:hAnsi="宋体" w:cs="Times New Roman"/>
                <w:color w:val="auto"/>
                <w:sz w:val="21"/>
                <w:szCs w:val="21"/>
                <w:lang w:val="zh-CN"/>
              </w:rPr>
              <w:t>各单位的</w:t>
            </w:r>
            <w:r>
              <w:rPr>
                <w:rFonts w:hint="default" w:ascii="宋体" w:hAnsi="宋体" w:cs="Times New Roman"/>
                <w:color w:val="auto"/>
                <w:sz w:val="21"/>
                <w:szCs w:val="21"/>
                <w:lang w:val="zh-CN"/>
              </w:rPr>
              <w:t>报价不得低于成本价。若报价</w:t>
            </w:r>
            <w:r>
              <w:rPr>
                <w:rFonts w:hint="eastAsia" w:ascii="宋体" w:hAnsi="宋体" w:cs="Times New Roman"/>
                <w:color w:val="auto"/>
                <w:sz w:val="21"/>
                <w:szCs w:val="21"/>
                <w:lang w:val="zh-CN"/>
              </w:rPr>
              <w:t>异常</w:t>
            </w:r>
            <w:r>
              <w:rPr>
                <w:rFonts w:hint="default" w:ascii="宋体" w:hAnsi="宋体" w:cs="Times New Roman"/>
                <w:color w:val="auto"/>
                <w:sz w:val="21"/>
                <w:szCs w:val="21"/>
                <w:lang w:val="zh-CN"/>
              </w:rPr>
              <w:t>偏低，</w:t>
            </w:r>
            <w:r>
              <w:rPr>
                <w:rFonts w:hint="eastAsia" w:ascii="宋体" w:hAnsi="宋体" w:cs="Times New Roman"/>
                <w:color w:val="auto"/>
                <w:sz w:val="21"/>
                <w:szCs w:val="21"/>
                <w:lang w:val="zh-CN"/>
              </w:rPr>
              <w:t>投标单位</w:t>
            </w:r>
            <w:r>
              <w:rPr>
                <w:rFonts w:hint="default" w:ascii="宋体" w:hAnsi="宋体" w:cs="Times New Roman"/>
                <w:color w:val="auto"/>
                <w:sz w:val="21"/>
                <w:szCs w:val="21"/>
                <w:lang w:val="zh-CN"/>
              </w:rPr>
              <w:t>须对报价情况作出</w:t>
            </w:r>
            <w:r>
              <w:rPr>
                <w:rFonts w:hint="eastAsia" w:ascii="宋体" w:hAnsi="宋体" w:cs="Times New Roman"/>
                <w:color w:val="auto"/>
                <w:sz w:val="21"/>
                <w:szCs w:val="21"/>
                <w:lang w:val="zh-CN"/>
              </w:rPr>
              <w:t>合理性</w:t>
            </w:r>
            <w:r>
              <w:rPr>
                <w:rFonts w:hint="default" w:ascii="宋体" w:hAnsi="宋体" w:cs="Times New Roman"/>
                <w:color w:val="auto"/>
                <w:sz w:val="21"/>
                <w:szCs w:val="21"/>
                <w:lang w:val="zh-CN"/>
              </w:rPr>
              <w:t>解释并得到</w:t>
            </w:r>
            <w:r>
              <w:rPr>
                <w:rFonts w:hint="eastAsia" w:ascii="宋体" w:hAnsi="宋体" w:cs="Times New Roman"/>
                <w:color w:val="auto"/>
                <w:sz w:val="21"/>
                <w:szCs w:val="21"/>
                <w:lang w:val="zh-CN"/>
              </w:rPr>
              <w:t>评审</w:t>
            </w:r>
            <w:r>
              <w:rPr>
                <w:rFonts w:hint="default" w:ascii="宋体" w:hAnsi="宋体" w:cs="Times New Roman"/>
                <w:color w:val="auto"/>
                <w:sz w:val="21"/>
                <w:szCs w:val="21"/>
                <w:lang w:val="zh-CN"/>
              </w:rPr>
              <w:t>委员会认可。</w:t>
            </w:r>
            <w:r>
              <w:rPr>
                <w:rFonts w:hint="default" w:ascii="宋体" w:hAnsi="宋体" w:cs="Times New Roman"/>
                <w:color w:val="auto"/>
                <w:sz w:val="21"/>
                <w:szCs w:val="21"/>
                <w:lang w:val="zh-CN" w:eastAsia="zh-CN"/>
              </w:rPr>
              <w:t xml:space="preserve"> </w:t>
            </w:r>
          </w:p>
        </w:tc>
      </w:tr>
      <w:tr w14:paraId="5E791A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65" w:hRule="atLeast"/>
          <w:jc w:val="center"/>
        </w:trPr>
        <w:tc>
          <w:tcPr>
            <w:tcW w:w="657" w:type="dxa"/>
            <w:vMerge w:val="restart"/>
            <w:tcBorders>
              <w:top w:val="single" w:color="000000" w:sz="8" w:space="0"/>
              <w:left w:val="single" w:color="000000" w:sz="8" w:space="0"/>
              <w:right w:val="single" w:color="000000" w:sz="8" w:space="0"/>
            </w:tcBorders>
            <w:shd w:val="clear" w:color="auto" w:fill="auto"/>
          </w:tcPr>
          <w:p w14:paraId="5351C1F5">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kern w:val="2"/>
                <w:sz w:val="21"/>
                <w:szCs w:val="21"/>
                <w:lang w:eastAsia="zh-CN"/>
              </w:rPr>
            </w:pPr>
            <w:r>
              <w:rPr>
                <w:rFonts w:hint="eastAsia" w:asciiTheme="minorEastAsia" w:hAnsiTheme="minorEastAsia" w:cstheme="minorEastAsia"/>
                <w:b/>
                <w:bCs/>
                <w:color w:val="auto"/>
                <w:kern w:val="2"/>
                <w:sz w:val="21"/>
                <w:szCs w:val="21"/>
                <w:lang w:eastAsia="zh-CN"/>
              </w:rPr>
              <w:t>二</w:t>
            </w:r>
          </w:p>
        </w:tc>
        <w:tc>
          <w:tcPr>
            <w:tcW w:w="3041" w:type="dxa"/>
            <w:gridSpan w:val="3"/>
            <w:tcBorders>
              <w:top w:val="single" w:color="000000" w:sz="8" w:space="0"/>
              <w:left w:val="single" w:color="000000" w:sz="8" w:space="0"/>
              <w:bottom w:val="single" w:color="000000" w:sz="8" w:space="0"/>
              <w:right w:val="single" w:color="000000" w:sz="8" w:space="0"/>
            </w:tcBorders>
            <w:shd w:val="clear" w:color="auto" w:fill="auto"/>
          </w:tcPr>
          <w:p w14:paraId="6DB935DF">
            <w:pPr>
              <w:keepNext w:val="0"/>
              <w:keepLines w:val="0"/>
              <w:pageBreakBefore w:val="0"/>
              <w:kinsoku/>
              <w:wordWrap w:val="0"/>
              <w:overflowPunct/>
              <w:topLinePunct w:val="0"/>
              <w:autoSpaceDE/>
              <w:autoSpaceDN/>
              <w:bidi w:val="0"/>
              <w:adjustRightInd/>
              <w:snapToGrid/>
              <w:spacing w:line="300" w:lineRule="exact"/>
              <w:jc w:val="center"/>
              <w:textAlignment w:val="auto"/>
              <w:rPr>
                <w:rFonts w:asciiTheme="minorEastAsia" w:hAnsiTheme="minorEastAsia" w:cstheme="minorEastAsia"/>
                <w:b/>
                <w:bCs/>
                <w:color w:val="auto"/>
                <w:kern w:val="2"/>
                <w:sz w:val="21"/>
                <w:szCs w:val="21"/>
              </w:rPr>
            </w:pPr>
            <w:r>
              <w:rPr>
                <w:rFonts w:hint="eastAsia" w:asciiTheme="minorEastAsia" w:hAnsiTheme="minorEastAsia" w:cstheme="minorEastAsia"/>
                <w:b/>
                <w:bCs/>
                <w:color w:val="auto"/>
                <w:kern w:val="2"/>
                <w:sz w:val="21"/>
                <w:szCs w:val="21"/>
                <w:lang w:val="en-US" w:eastAsia="zh-CN"/>
              </w:rPr>
              <w:t>资信</w:t>
            </w:r>
            <w:r>
              <w:rPr>
                <w:rFonts w:hint="eastAsia" w:asciiTheme="minorEastAsia" w:hAnsiTheme="minorEastAsia" w:cstheme="minorEastAsia"/>
                <w:b/>
                <w:bCs/>
                <w:color w:val="auto"/>
                <w:kern w:val="2"/>
                <w:sz w:val="21"/>
                <w:szCs w:val="21"/>
              </w:rPr>
              <w:t>部分</w:t>
            </w:r>
          </w:p>
        </w:tc>
        <w:tc>
          <w:tcPr>
            <w:tcW w:w="5949" w:type="dxa"/>
            <w:tcBorders>
              <w:top w:val="single" w:color="000000" w:sz="8" w:space="0"/>
              <w:left w:val="single" w:color="000000" w:sz="8" w:space="0"/>
              <w:bottom w:val="single" w:color="000000" w:sz="8" w:space="0"/>
              <w:right w:val="single" w:color="000000" w:sz="8" w:space="0"/>
            </w:tcBorders>
            <w:shd w:val="clear" w:color="auto" w:fill="auto"/>
          </w:tcPr>
          <w:p w14:paraId="2B2D172D">
            <w:pPr>
              <w:keepNext w:val="0"/>
              <w:keepLines w:val="0"/>
              <w:pageBreakBefore w:val="0"/>
              <w:kinsoku/>
              <w:wordWrap w:val="0"/>
              <w:overflowPunct/>
              <w:topLinePunct w:val="0"/>
              <w:autoSpaceDE/>
              <w:autoSpaceDN/>
              <w:bidi w:val="0"/>
              <w:adjustRightInd/>
              <w:snapToGrid/>
              <w:spacing w:line="300" w:lineRule="exact"/>
              <w:jc w:val="center"/>
              <w:textAlignment w:val="auto"/>
              <w:rPr>
                <w:rFonts w:hint="default" w:asciiTheme="minorEastAsia" w:hAnsiTheme="minorEastAsia" w:eastAsiaTheme="minorEastAsia" w:cstheme="minorEastAsia"/>
                <w:b/>
                <w:bCs/>
                <w:color w:val="auto"/>
                <w:kern w:val="2"/>
                <w:sz w:val="21"/>
                <w:szCs w:val="21"/>
                <w:lang w:val="en-US" w:eastAsia="zh-CN"/>
              </w:rPr>
            </w:pPr>
            <w:r>
              <w:rPr>
                <w:rFonts w:hint="eastAsia" w:asciiTheme="minorEastAsia" w:hAnsiTheme="minorEastAsia" w:cstheme="minorEastAsia"/>
                <w:b/>
                <w:bCs/>
                <w:color w:val="auto"/>
                <w:kern w:val="2"/>
                <w:sz w:val="21"/>
                <w:szCs w:val="21"/>
                <w:lang w:val="en-US" w:eastAsia="zh-CN"/>
              </w:rPr>
              <w:t>40分</w:t>
            </w:r>
          </w:p>
        </w:tc>
      </w:tr>
      <w:tr w14:paraId="46C7E6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669" w:hRule="atLeast"/>
          <w:jc w:val="center"/>
        </w:trPr>
        <w:tc>
          <w:tcPr>
            <w:tcW w:w="657" w:type="dxa"/>
            <w:vMerge w:val="continue"/>
            <w:tcBorders>
              <w:left w:val="single" w:color="000000" w:sz="8" w:space="0"/>
              <w:right w:val="single" w:color="000000" w:sz="8" w:space="0"/>
            </w:tcBorders>
            <w:shd w:val="clear" w:color="auto" w:fill="auto"/>
            <w:vAlign w:val="center"/>
          </w:tcPr>
          <w:p w14:paraId="5F666B11">
            <w:pPr>
              <w:keepNext w:val="0"/>
              <w:keepLines w:val="0"/>
              <w:pageBreakBefore w:val="0"/>
              <w:kinsoku/>
              <w:wordWrap w:val="0"/>
              <w:overflowPunct/>
              <w:topLinePunct w:val="0"/>
              <w:autoSpaceDE/>
              <w:autoSpaceDN/>
              <w:bidi w:val="0"/>
              <w:adjustRightInd/>
              <w:snapToGrid/>
              <w:spacing w:line="300" w:lineRule="exact"/>
              <w:textAlignment w:val="auto"/>
              <w:rPr>
                <w:rFonts w:asciiTheme="minorEastAsia" w:hAnsiTheme="minorEastAsia" w:cstheme="minorEastAsia"/>
                <w:b/>
                <w:bCs/>
                <w:color w:val="auto"/>
                <w:kern w:val="2"/>
                <w:sz w:val="21"/>
                <w:szCs w:val="21"/>
              </w:rPr>
            </w:pPr>
          </w:p>
        </w:tc>
        <w:tc>
          <w:tcPr>
            <w:tcW w:w="654" w:type="dxa"/>
            <w:tcBorders>
              <w:top w:val="outset" w:color="000000" w:sz="6" w:space="0"/>
              <w:left w:val="outset" w:color="000000" w:sz="6" w:space="0"/>
              <w:bottom w:val="outset" w:color="000000" w:sz="6" w:space="0"/>
              <w:right w:val="outset" w:color="000000" w:sz="6" w:space="0"/>
            </w:tcBorders>
            <w:shd w:val="clear" w:color="auto" w:fill="auto"/>
            <w:vAlign w:val="center"/>
          </w:tcPr>
          <w:p w14:paraId="4637C1FB">
            <w:pPr>
              <w:keepNext w:val="0"/>
              <w:keepLines w:val="0"/>
              <w:pageBreakBefore w:val="0"/>
              <w:kinsoku/>
              <w:wordWrap w:val="0"/>
              <w:overflowPunct/>
              <w:topLinePunct w:val="0"/>
              <w:autoSpaceDE/>
              <w:autoSpaceDN/>
              <w:bidi w:val="0"/>
              <w:adjustRightInd/>
              <w:snapToGrid/>
              <w:spacing w:line="300" w:lineRule="exact"/>
              <w:jc w:val="center"/>
              <w:textAlignment w:val="auto"/>
              <w:rPr>
                <w:rFonts w:asciiTheme="minorEastAsia" w:hAnsiTheme="minorEastAsia" w:cstheme="minorEastAsia"/>
                <w:color w:val="auto"/>
                <w:kern w:val="2"/>
                <w:sz w:val="21"/>
                <w:szCs w:val="21"/>
              </w:rPr>
            </w:pPr>
            <w:r>
              <w:rPr>
                <w:rFonts w:hint="eastAsia" w:asciiTheme="minorEastAsia" w:hAnsiTheme="minorEastAsia" w:cstheme="minorEastAsia"/>
                <w:color w:val="auto"/>
                <w:kern w:val="2"/>
                <w:sz w:val="21"/>
                <w:szCs w:val="21"/>
              </w:rPr>
              <w:t>序号</w:t>
            </w:r>
          </w:p>
        </w:tc>
        <w:tc>
          <w:tcPr>
            <w:tcW w:w="1378" w:type="dxa"/>
            <w:tcBorders>
              <w:top w:val="outset" w:color="000000" w:sz="6" w:space="0"/>
              <w:left w:val="outset" w:color="000000" w:sz="6" w:space="0"/>
              <w:bottom w:val="outset" w:color="000000" w:sz="6" w:space="0"/>
              <w:right w:val="outset" w:color="000000" w:sz="6" w:space="0"/>
            </w:tcBorders>
            <w:shd w:val="clear" w:color="auto" w:fill="auto"/>
            <w:vAlign w:val="center"/>
          </w:tcPr>
          <w:p w14:paraId="38A8B100">
            <w:pPr>
              <w:keepNext w:val="0"/>
              <w:keepLines w:val="0"/>
              <w:pageBreakBefore w:val="0"/>
              <w:kinsoku/>
              <w:wordWrap w:val="0"/>
              <w:overflowPunct/>
              <w:topLinePunct w:val="0"/>
              <w:autoSpaceDE/>
              <w:autoSpaceDN/>
              <w:bidi w:val="0"/>
              <w:adjustRightInd/>
              <w:snapToGrid/>
              <w:spacing w:line="300" w:lineRule="exact"/>
              <w:jc w:val="center"/>
              <w:textAlignment w:val="auto"/>
              <w:rPr>
                <w:rFonts w:asciiTheme="minorEastAsia" w:hAnsiTheme="minorEastAsia" w:cstheme="minorEastAsia"/>
                <w:color w:val="auto"/>
                <w:kern w:val="2"/>
                <w:sz w:val="21"/>
                <w:szCs w:val="21"/>
              </w:rPr>
            </w:pPr>
            <w:r>
              <w:rPr>
                <w:rFonts w:hint="eastAsia" w:asciiTheme="minorEastAsia" w:hAnsiTheme="minorEastAsia" w:cstheme="minorEastAsia"/>
                <w:color w:val="auto"/>
                <w:kern w:val="2"/>
                <w:sz w:val="21"/>
                <w:szCs w:val="21"/>
              </w:rPr>
              <w:t>评分因素</w:t>
            </w:r>
          </w:p>
        </w:tc>
        <w:tc>
          <w:tcPr>
            <w:tcW w:w="1009" w:type="dxa"/>
            <w:tcBorders>
              <w:top w:val="outset" w:color="000000" w:sz="6" w:space="0"/>
              <w:left w:val="outset" w:color="000000" w:sz="6" w:space="0"/>
              <w:bottom w:val="outset" w:color="000000" w:sz="6" w:space="0"/>
              <w:right w:val="outset" w:color="000000" w:sz="6" w:space="0"/>
            </w:tcBorders>
            <w:shd w:val="clear" w:color="auto" w:fill="auto"/>
            <w:vAlign w:val="center"/>
          </w:tcPr>
          <w:p w14:paraId="3C2549AC">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kern w:val="2"/>
                <w:sz w:val="21"/>
                <w:szCs w:val="21"/>
                <w:lang w:eastAsia="zh-CN"/>
              </w:rPr>
            </w:pPr>
            <w:r>
              <w:rPr>
                <w:rFonts w:hint="eastAsia" w:asciiTheme="minorEastAsia" w:hAnsiTheme="minorEastAsia" w:cstheme="minorEastAsia"/>
                <w:color w:val="auto"/>
                <w:kern w:val="2"/>
                <w:sz w:val="21"/>
                <w:szCs w:val="21"/>
                <w:lang w:eastAsia="zh-CN"/>
              </w:rPr>
              <w:t>分值</w:t>
            </w:r>
          </w:p>
        </w:tc>
        <w:tc>
          <w:tcPr>
            <w:tcW w:w="5949" w:type="dxa"/>
            <w:tcBorders>
              <w:top w:val="outset" w:color="000000" w:sz="6" w:space="0"/>
              <w:left w:val="outset" w:color="000000" w:sz="6" w:space="0"/>
              <w:bottom w:val="outset" w:color="000000" w:sz="6" w:space="0"/>
              <w:right w:val="outset" w:color="000000" w:sz="6" w:space="0"/>
            </w:tcBorders>
            <w:shd w:val="clear" w:color="auto" w:fill="auto"/>
            <w:vAlign w:val="center"/>
          </w:tcPr>
          <w:p w14:paraId="1C8308BE">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kern w:val="2"/>
                <w:sz w:val="21"/>
                <w:szCs w:val="21"/>
                <w:lang w:eastAsia="zh-CN"/>
              </w:rPr>
            </w:pPr>
            <w:r>
              <w:rPr>
                <w:rFonts w:hint="eastAsia" w:asciiTheme="minorEastAsia" w:hAnsiTheme="minorEastAsia" w:cstheme="minorEastAsia"/>
                <w:color w:val="auto"/>
                <w:kern w:val="2"/>
                <w:sz w:val="21"/>
                <w:szCs w:val="21"/>
              </w:rPr>
              <w:t>评分</w:t>
            </w:r>
            <w:r>
              <w:rPr>
                <w:rFonts w:hint="eastAsia" w:asciiTheme="minorEastAsia" w:hAnsiTheme="minorEastAsia" w:cstheme="minorEastAsia"/>
                <w:color w:val="auto"/>
                <w:kern w:val="2"/>
                <w:sz w:val="21"/>
                <w:szCs w:val="21"/>
                <w:lang w:eastAsia="zh-CN"/>
              </w:rPr>
              <w:t>标准</w:t>
            </w:r>
          </w:p>
        </w:tc>
      </w:tr>
      <w:tr w14:paraId="0FA996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061" w:hRule="atLeast"/>
          <w:jc w:val="center"/>
        </w:trPr>
        <w:tc>
          <w:tcPr>
            <w:tcW w:w="657" w:type="dxa"/>
            <w:vMerge w:val="continue"/>
            <w:tcBorders>
              <w:left w:val="single" w:color="000000" w:sz="8" w:space="0"/>
              <w:right w:val="single" w:color="000000" w:sz="8" w:space="0"/>
            </w:tcBorders>
            <w:vAlign w:val="center"/>
          </w:tcPr>
          <w:p w14:paraId="523B81AE">
            <w:pPr>
              <w:keepNext w:val="0"/>
              <w:keepLines w:val="0"/>
              <w:pageBreakBefore w:val="0"/>
              <w:kinsoku/>
              <w:wordWrap w:val="0"/>
              <w:overflowPunct/>
              <w:topLinePunct w:val="0"/>
              <w:autoSpaceDE/>
              <w:autoSpaceDN/>
              <w:bidi w:val="0"/>
              <w:adjustRightInd/>
              <w:snapToGrid/>
              <w:spacing w:line="300" w:lineRule="exact"/>
              <w:textAlignment w:val="auto"/>
              <w:rPr>
                <w:rFonts w:asciiTheme="minorEastAsia" w:hAnsiTheme="minorEastAsia" w:cstheme="minorEastAsia"/>
                <w:b/>
                <w:bCs/>
                <w:color w:val="auto"/>
                <w:kern w:val="2"/>
                <w:sz w:val="21"/>
                <w:szCs w:val="21"/>
              </w:rPr>
            </w:pPr>
          </w:p>
        </w:tc>
        <w:tc>
          <w:tcPr>
            <w:tcW w:w="654" w:type="dxa"/>
            <w:tcBorders>
              <w:top w:val="single" w:color="000000" w:sz="8" w:space="0"/>
              <w:left w:val="single" w:color="000000" w:sz="8" w:space="0"/>
              <w:bottom w:val="single" w:color="000000" w:sz="8" w:space="0"/>
              <w:right w:val="single" w:color="000000" w:sz="8" w:space="0"/>
            </w:tcBorders>
            <w:vAlign w:val="center"/>
          </w:tcPr>
          <w:p w14:paraId="3852EA6D">
            <w:pPr>
              <w:keepNext w:val="0"/>
              <w:keepLines w:val="0"/>
              <w:pageBreakBefore w:val="0"/>
              <w:kinsoku/>
              <w:wordWrap w:val="0"/>
              <w:overflowPunct/>
              <w:topLinePunct w:val="0"/>
              <w:autoSpaceDE/>
              <w:autoSpaceDN/>
              <w:bidi w:val="0"/>
              <w:adjustRightInd/>
              <w:snapToGrid/>
              <w:spacing w:line="300" w:lineRule="exact"/>
              <w:jc w:val="center"/>
              <w:textAlignment w:val="auto"/>
              <w:rPr>
                <w:rFonts w:asciiTheme="minorEastAsia" w:hAnsiTheme="minorEastAsia" w:cstheme="minorEastAsia"/>
                <w:color w:val="auto"/>
                <w:kern w:val="2"/>
                <w:sz w:val="21"/>
                <w:szCs w:val="21"/>
              </w:rPr>
            </w:pPr>
            <w:r>
              <w:rPr>
                <w:rFonts w:hint="eastAsia" w:asciiTheme="minorEastAsia" w:hAnsiTheme="minorEastAsia" w:cstheme="minorEastAsia"/>
                <w:color w:val="auto"/>
                <w:kern w:val="2"/>
                <w:sz w:val="21"/>
                <w:szCs w:val="21"/>
              </w:rPr>
              <w:t>1</w:t>
            </w:r>
          </w:p>
        </w:tc>
        <w:tc>
          <w:tcPr>
            <w:tcW w:w="1378" w:type="dxa"/>
            <w:tcBorders>
              <w:top w:val="single" w:color="000000" w:sz="8" w:space="0"/>
              <w:left w:val="single" w:color="000000" w:sz="8" w:space="0"/>
              <w:bottom w:val="single" w:color="000000" w:sz="8" w:space="0"/>
              <w:right w:val="single" w:color="000000" w:sz="8" w:space="0"/>
            </w:tcBorders>
            <w:vAlign w:val="center"/>
          </w:tcPr>
          <w:p w14:paraId="6EAF98FE">
            <w:pPr>
              <w:keepNext w:val="0"/>
              <w:keepLines w:val="0"/>
              <w:pageBreakBefore w:val="0"/>
              <w:kinsoku/>
              <w:overflowPunct/>
              <w:topLinePunct w:val="0"/>
              <w:autoSpaceDE/>
              <w:autoSpaceDN/>
              <w:bidi w:val="0"/>
              <w:adjustRightInd/>
              <w:snapToGrid/>
              <w:spacing w:line="300" w:lineRule="exact"/>
              <w:jc w:val="center"/>
              <w:textAlignment w:val="auto"/>
              <w:rPr>
                <w:rFonts w:hint="eastAsia" w:ascii="宋体" w:hAnsi="宋体" w:cs="Times New Roman"/>
                <w:color w:val="auto"/>
                <w:sz w:val="21"/>
                <w:szCs w:val="21"/>
              </w:rPr>
            </w:pPr>
            <w:r>
              <w:rPr>
                <w:rFonts w:hint="eastAsia" w:ascii="宋体" w:hAnsi="宋体" w:cs="Times New Roman"/>
                <w:color w:val="auto"/>
                <w:sz w:val="21"/>
                <w:szCs w:val="21"/>
                <w:lang w:eastAsia="zh-CN"/>
              </w:rPr>
              <w:t>企业</w:t>
            </w:r>
            <w:r>
              <w:rPr>
                <w:rFonts w:hint="eastAsia" w:ascii="宋体" w:hAnsi="宋体" w:cs="Times New Roman"/>
                <w:color w:val="auto"/>
                <w:sz w:val="21"/>
                <w:szCs w:val="21"/>
              </w:rPr>
              <w:t>同类项目业绩</w:t>
            </w:r>
          </w:p>
        </w:tc>
        <w:tc>
          <w:tcPr>
            <w:tcW w:w="1009" w:type="dxa"/>
            <w:tcBorders>
              <w:top w:val="single" w:color="000000" w:sz="8" w:space="0"/>
              <w:left w:val="single" w:color="000000" w:sz="8" w:space="0"/>
              <w:bottom w:val="single" w:color="000000" w:sz="8" w:space="0"/>
              <w:right w:val="single" w:color="000000" w:sz="8" w:space="0"/>
            </w:tcBorders>
            <w:vAlign w:val="center"/>
          </w:tcPr>
          <w:p w14:paraId="502D2659">
            <w:pPr>
              <w:keepNext w:val="0"/>
              <w:keepLines w:val="0"/>
              <w:pageBreakBefore w:val="0"/>
              <w:kinsoku/>
              <w:overflowPunct/>
              <w:topLinePunct w:val="0"/>
              <w:autoSpaceDE/>
              <w:autoSpaceDN/>
              <w:bidi w:val="0"/>
              <w:adjustRightInd/>
              <w:snapToGrid/>
              <w:spacing w:line="300" w:lineRule="exact"/>
              <w:jc w:val="center"/>
              <w:textAlignment w:val="auto"/>
              <w:rPr>
                <w:rFonts w:hint="default" w:ascii="宋体" w:hAnsi="宋体" w:cs="Times New Roman" w:eastAsiaTheme="minorEastAsia"/>
                <w:color w:val="auto"/>
                <w:sz w:val="21"/>
                <w:szCs w:val="21"/>
                <w:lang w:val="en-US" w:eastAsia="zh-CN"/>
              </w:rPr>
            </w:pPr>
            <w:r>
              <w:rPr>
                <w:rFonts w:hint="eastAsia" w:ascii="宋体" w:hAnsi="宋体" w:cs="Times New Roman"/>
                <w:color w:val="auto"/>
                <w:sz w:val="21"/>
                <w:szCs w:val="21"/>
                <w:lang w:val="en-US" w:eastAsia="zh-CN"/>
              </w:rPr>
              <w:t>20</w:t>
            </w:r>
          </w:p>
        </w:tc>
        <w:tc>
          <w:tcPr>
            <w:tcW w:w="5949" w:type="dxa"/>
            <w:tcBorders>
              <w:top w:val="single" w:color="000000" w:sz="8" w:space="0"/>
              <w:left w:val="single" w:color="000000" w:sz="8" w:space="0"/>
              <w:bottom w:val="single" w:color="000000" w:sz="8" w:space="0"/>
              <w:right w:val="single" w:color="000000" w:sz="8" w:space="0"/>
            </w:tcBorders>
            <w:vAlign w:val="center"/>
          </w:tcPr>
          <w:p w14:paraId="57ECC4DF">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default" w:ascii="宋体" w:hAnsi="宋体" w:cs="Times New Roman"/>
                <w:color w:val="auto"/>
                <w:sz w:val="21"/>
                <w:szCs w:val="21"/>
                <w:lang w:val="en-US" w:eastAsia="zh-CN"/>
              </w:rPr>
            </w:pPr>
            <w:r>
              <w:rPr>
                <w:rFonts w:hint="eastAsia" w:ascii="宋体" w:hAnsi="宋体" w:cs="Times New Roman"/>
                <w:color w:val="auto"/>
                <w:sz w:val="21"/>
                <w:szCs w:val="21"/>
                <w:lang w:val="en-US" w:eastAsia="zh-CN"/>
              </w:rPr>
              <w:t>1、提供</w:t>
            </w:r>
            <w:r>
              <w:rPr>
                <w:rFonts w:hint="eastAsia" w:ascii="宋体" w:hAnsi="宋体" w:cs="Times New Roman"/>
                <w:color w:val="auto"/>
                <w:sz w:val="21"/>
                <w:szCs w:val="21"/>
              </w:rPr>
              <w:t>近</w:t>
            </w:r>
            <w:r>
              <w:rPr>
                <w:rFonts w:hint="eastAsia" w:ascii="宋体" w:hAnsi="宋体" w:cs="Times New Roman"/>
                <w:color w:val="auto"/>
                <w:sz w:val="21"/>
                <w:szCs w:val="21"/>
                <w:lang w:val="en-US" w:eastAsia="zh-CN"/>
              </w:rPr>
              <w:t>3</w:t>
            </w:r>
            <w:r>
              <w:rPr>
                <w:rFonts w:hint="eastAsia" w:ascii="宋体" w:hAnsi="宋体" w:cs="Times New Roman"/>
                <w:color w:val="auto"/>
                <w:sz w:val="21"/>
                <w:szCs w:val="21"/>
              </w:rPr>
              <w:t>年（自20</w:t>
            </w:r>
            <w:r>
              <w:rPr>
                <w:rFonts w:hint="eastAsia" w:ascii="宋体" w:hAnsi="宋体" w:cs="Times New Roman"/>
                <w:color w:val="auto"/>
                <w:sz w:val="21"/>
                <w:szCs w:val="21"/>
                <w:lang w:val="en-US" w:eastAsia="zh-CN"/>
              </w:rPr>
              <w:t>23</w:t>
            </w:r>
            <w:r>
              <w:rPr>
                <w:rFonts w:hint="eastAsia" w:ascii="宋体" w:hAnsi="宋体" w:cs="Times New Roman"/>
                <w:color w:val="auto"/>
                <w:sz w:val="21"/>
                <w:szCs w:val="21"/>
              </w:rPr>
              <w:t>年</w:t>
            </w:r>
            <w:r>
              <w:rPr>
                <w:rFonts w:hint="eastAsia" w:ascii="宋体" w:hAnsi="宋体" w:cs="Times New Roman"/>
                <w:color w:val="auto"/>
                <w:sz w:val="21"/>
                <w:szCs w:val="21"/>
                <w:lang w:val="en-US" w:eastAsia="zh-CN"/>
              </w:rPr>
              <w:t>7月1日</w:t>
            </w:r>
            <w:r>
              <w:rPr>
                <w:rFonts w:hint="eastAsia" w:ascii="宋体" w:hAnsi="宋体" w:cs="Times New Roman"/>
                <w:color w:val="auto"/>
                <w:sz w:val="21"/>
                <w:szCs w:val="21"/>
              </w:rPr>
              <w:t>至</w:t>
            </w:r>
            <w:r>
              <w:rPr>
                <w:rFonts w:hint="eastAsia" w:ascii="宋体" w:hAnsi="宋体" w:cs="Times New Roman"/>
                <w:color w:val="auto"/>
                <w:sz w:val="21"/>
                <w:szCs w:val="21"/>
                <w:lang w:eastAsia="zh-CN"/>
              </w:rPr>
              <w:t>今</w:t>
            </w:r>
            <w:r>
              <w:rPr>
                <w:rFonts w:hint="eastAsia" w:ascii="宋体" w:hAnsi="宋体" w:cs="Times New Roman"/>
                <w:color w:val="auto"/>
                <w:sz w:val="21"/>
                <w:szCs w:val="21"/>
              </w:rPr>
              <w:t>）</w:t>
            </w:r>
            <w:r>
              <w:rPr>
                <w:rFonts w:hint="eastAsia" w:ascii="宋体" w:hAnsi="宋体" w:cs="Times New Roman"/>
                <w:color w:val="auto"/>
                <w:sz w:val="21"/>
                <w:szCs w:val="21"/>
                <w:lang w:eastAsia="zh-CN"/>
              </w:rPr>
              <w:t>已完成的依法必须招标的房屋建筑工程招标代理服务业绩。</w:t>
            </w:r>
            <w:r>
              <w:rPr>
                <w:rFonts w:hint="eastAsia" w:ascii="宋体" w:hAnsi="宋体" w:cs="Times New Roman"/>
                <w:color w:val="auto"/>
                <w:sz w:val="21"/>
                <w:szCs w:val="21"/>
                <w:lang w:val="en-US" w:eastAsia="zh-CN"/>
              </w:rPr>
              <w:t>每提供一项全过程招标代理服务业绩得5分，最高得10分，全过程招标代理服务业绩必须包含设计、监理、施工三项内容；每提供一项工程施工类招标代理服务业绩得2分，最高得4分；每提供一项工程服务类招标代理服务业绩得1分，最高得6分。</w:t>
            </w:r>
          </w:p>
          <w:p w14:paraId="7C40DF3D">
            <w:pPr>
              <w:pStyle w:val="4"/>
              <w:rPr>
                <w:rFonts w:hint="eastAsia"/>
                <w:color w:val="auto"/>
              </w:rPr>
            </w:pPr>
            <w:r>
              <w:rPr>
                <w:rFonts w:hint="eastAsia" w:ascii="宋体" w:hAnsi="宋体" w:cs="Times New Roman"/>
                <w:color w:val="auto"/>
                <w:sz w:val="21"/>
                <w:szCs w:val="21"/>
                <w:lang w:val="en-US" w:eastAsia="zh-CN"/>
              </w:rPr>
              <w:t>2、</w:t>
            </w:r>
            <w:r>
              <w:rPr>
                <w:rFonts w:hint="eastAsia" w:ascii="宋体" w:hAnsi="宋体" w:cs="Times New Roman"/>
                <w:color w:val="auto"/>
                <w:sz w:val="21"/>
                <w:szCs w:val="21"/>
              </w:rPr>
              <w:t>须提供合同关键页</w:t>
            </w:r>
            <w:r>
              <w:rPr>
                <w:rFonts w:hint="eastAsia" w:ascii="宋体" w:hAnsi="宋体" w:cs="Times New Roman"/>
                <w:color w:val="auto"/>
                <w:sz w:val="21"/>
                <w:szCs w:val="21"/>
                <w:lang w:eastAsia="zh-CN"/>
              </w:rPr>
              <w:t>（含合同范围、服务内容、合同金额、合同签订时间）</w:t>
            </w:r>
            <w:r>
              <w:rPr>
                <w:rFonts w:hint="eastAsia" w:ascii="宋体" w:hAnsi="宋体" w:cs="Times New Roman"/>
                <w:color w:val="auto"/>
                <w:sz w:val="21"/>
                <w:szCs w:val="21"/>
              </w:rPr>
              <w:t>，</w:t>
            </w:r>
            <w:r>
              <w:rPr>
                <w:rFonts w:hint="eastAsia" w:ascii="宋体" w:hAnsi="宋体" w:cs="Times New Roman"/>
                <w:color w:val="auto"/>
                <w:sz w:val="21"/>
                <w:szCs w:val="21"/>
                <w:lang w:eastAsia="zh-CN"/>
              </w:rPr>
              <w:t>同时提供已完成招标的相关证明材料。</w:t>
            </w:r>
            <w:r>
              <w:rPr>
                <w:rFonts w:hint="eastAsia" w:ascii="宋体" w:hAnsi="宋体" w:cs="Times New Roman"/>
                <w:color w:val="auto"/>
                <w:sz w:val="21"/>
                <w:szCs w:val="21"/>
              </w:rPr>
              <w:t>未按要求提供或提供的证明材料</w:t>
            </w:r>
            <w:r>
              <w:rPr>
                <w:rFonts w:hint="eastAsia" w:ascii="宋体" w:hAnsi="宋体" w:cs="Times New Roman"/>
                <w:color w:val="auto"/>
                <w:sz w:val="21"/>
                <w:szCs w:val="21"/>
                <w:lang w:eastAsia="zh-CN"/>
              </w:rPr>
              <w:t>专家</w:t>
            </w:r>
            <w:r>
              <w:rPr>
                <w:rFonts w:hint="eastAsia" w:ascii="宋体" w:hAnsi="宋体" w:cs="Times New Roman"/>
                <w:color w:val="auto"/>
                <w:sz w:val="21"/>
                <w:szCs w:val="21"/>
              </w:rPr>
              <w:t>无法判断的不得分。</w:t>
            </w:r>
          </w:p>
        </w:tc>
      </w:tr>
      <w:tr w14:paraId="0C2081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061" w:hRule="atLeast"/>
          <w:jc w:val="center"/>
        </w:trPr>
        <w:tc>
          <w:tcPr>
            <w:tcW w:w="657" w:type="dxa"/>
            <w:vMerge w:val="continue"/>
            <w:tcBorders>
              <w:left w:val="single" w:color="000000" w:sz="8" w:space="0"/>
              <w:right w:val="single" w:color="000000" w:sz="8" w:space="0"/>
            </w:tcBorders>
            <w:vAlign w:val="center"/>
          </w:tcPr>
          <w:p w14:paraId="048BE615">
            <w:pPr>
              <w:keepNext w:val="0"/>
              <w:keepLines w:val="0"/>
              <w:pageBreakBefore w:val="0"/>
              <w:kinsoku/>
              <w:wordWrap w:val="0"/>
              <w:overflowPunct/>
              <w:topLinePunct w:val="0"/>
              <w:autoSpaceDE/>
              <w:autoSpaceDN/>
              <w:bidi w:val="0"/>
              <w:adjustRightInd/>
              <w:snapToGrid/>
              <w:spacing w:line="300" w:lineRule="exact"/>
              <w:textAlignment w:val="auto"/>
              <w:rPr>
                <w:rFonts w:asciiTheme="minorEastAsia" w:hAnsiTheme="minorEastAsia" w:cstheme="minorEastAsia"/>
                <w:b/>
                <w:bCs/>
                <w:color w:val="auto"/>
                <w:kern w:val="2"/>
                <w:sz w:val="21"/>
                <w:szCs w:val="21"/>
              </w:rPr>
            </w:pPr>
          </w:p>
        </w:tc>
        <w:tc>
          <w:tcPr>
            <w:tcW w:w="654" w:type="dxa"/>
            <w:tcBorders>
              <w:top w:val="single" w:color="000000" w:sz="8" w:space="0"/>
              <w:left w:val="single" w:color="000000" w:sz="8" w:space="0"/>
              <w:bottom w:val="single" w:color="000000" w:sz="8" w:space="0"/>
              <w:right w:val="single" w:color="000000" w:sz="8" w:space="0"/>
            </w:tcBorders>
            <w:vAlign w:val="center"/>
          </w:tcPr>
          <w:p w14:paraId="7BF86FDA">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cstheme="minorEastAsia"/>
                <w:color w:val="auto"/>
                <w:kern w:val="2"/>
                <w:sz w:val="21"/>
                <w:szCs w:val="21"/>
                <w:lang w:val="en-US" w:eastAsia="zh-CN"/>
              </w:rPr>
              <w:t>2</w:t>
            </w:r>
          </w:p>
        </w:tc>
        <w:tc>
          <w:tcPr>
            <w:tcW w:w="1378" w:type="dxa"/>
            <w:tcBorders>
              <w:top w:val="single" w:color="000000" w:sz="8" w:space="0"/>
              <w:left w:val="single" w:color="000000" w:sz="8" w:space="0"/>
              <w:bottom w:val="single" w:color="000000" w:sz="8" w:space="0"/>
              <w:right w:val="single" w:color="000000" w:sz="8" w:space="0"/>
            </w:tcBorders>
            <w:vAlign w:val="center"/>
          </w:tcPr>
          <w:p w14:paraId="674AF6D0">
            <w:pPr>
              <w:keepNext w:val="0"/>
              <w:keepLines w:val="0"/>
              <w:pageBreakBefore w:val="0"/>
              <w:kinsoku/>
              <w:overflowPunct/>
              <w:topLinePunct w:val="0"/>
              <w:autoSpaceDE/>
              <w:autoSpaceDN/>
              <w:bidi w:val="0"/>
              <w:adjustRightInd/>
              <w:snapToGrid/>
              <w:spacing w:line="300" w:lineRule="exact"/>
              <w:jc w:val="center"/>
              <w:textAlignment w:val="auto"/>
              <w:rPr>
                <w:rFonts w:hint="eastAsia" w:ascii="宋体" w:hAnsi="宋体" w:cs="Times New Roman" w:eastAsiaTheme="minorEastAsia"/>
                <w:color w:val="auto"/>
                <w:sz w:val="21"/>
                <w:szCs w:val="21"/>
                <w:lang w:eastAsia="zh-CN"/>
              </w:rPr>
            </w:pPr>
            <w:r>
              <w:rPr>
                <w:rFonts w:hint="eastAsia" w:ascii="宋体" w:hAnsi="宋体" w:cs="Times New Roman"/>
                <w:color w:val="auto"/>
                <w:sz w:val="21"/>
                <w:szCs w:val="21"/>
                <w:lang w:eastAsia="zh-CN"/>
              </w:rPr>
              <w:t>项目负责人业绩</w:t>
            </w:r>
          </w:p>
        </w:tc>
        <w:tc>
          <w:tcPr>
            <w:tcW w:w="1009" w:type="dxa"/>
            <w:tcBorders>
              <w:top w:val="single" w:color="000000" w:sz="8" w:space="0"/>
              <w:left w:val="single" w:color="000000" w:sz="8" w:space="0"/>
              <w:bottom w:val="single" w:color="000000" w:sz="8" w:space="0"/>
              <w:right w:val="single" w:color="000000" w:sz="8" w:space="0"/>
            </w:tcBorders>
            <w:vAlign w:val="center"/>
          </w:tcPr>
          <w:p w14:paraId="04BB0323">
            <w:pPr>
              <w:keepNext w:val="0"/>
              <w:keepLines w:val="0"/>
              <w:pageBreakBefore w:val="0"/>
              <w:kinsoku/>
              <w:overflowPunct/>
              <w:topLinePunct w:val="0"/>
              <w:autoSpaceDE/>
              <w:autoSpaceDN/>
              <w:bidi w:val="0"/>
              <w:adjustRightInd/>
              <w:snapToGrid/>
              <w:spacing w:line="300" w:lineRule="exact"/>
              <w:jc w:val="center"/>
              <w:textAlignment w:val="auto"/>
              <w:rPr>
                <w:rFonts w:hint="default" w:ascii="宋体" w:hAnsi="宋体" w:cs="Times New Roman"/>
                <w:color w:val="auto"/>
                <w:sz w:val="21"/>
                <w:szCs w:val="21"/>
                <w:lang w:val="en-US" w:eastAsia="zh-CN"/>
              </w:rPr>
            </w:pPr>
            <w:r>
              <w:rPr>
                <w:rFonts w:hint="eastAsia" w:ascii="宋体" w:hAnsi="宋体" w:cs="Times New Roman"/>
                <w:color w:val="auto"/>
                <w:sz w:val="21"/>
                <w:szCs w:val="21"/>
                <w:lang w:val="en-US" w:eastAsia="zh-CN"/>
              </w:rPr>
              <w:t>10</w:t>
            </w:r>
          </w:p>
        </w:tc>
        <w:tc>
          <w:tcPr>
            <w:tcW w:w="5949" w:type="dxa"/>
            <w:tcBorders>
              <w:top w:val="single" w:color="000000" w:sz="8" w:space="0"/>
              <w:left w:val="single" w:color="000000" w:sz="8" w:space="0"/>
              <w:bottom w:val="single" w:color="000000" w:sz="8" w:space="0"/>
              <w:right w:val="single" w:color="000000" w:sz="8" w:space="0"/>
            </w:tcBorders>
            <w:vAlign w:val="center"/>
          </w:tcPr>
          <w:p w14:paraId="2DC7D145">
            <w:pPr>
              <w:pStyle w:val="4"/>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1、提供拟派项目负责人</w:t>
            </w:r>
            <w:r>
              <w:rPr>
                <w:rFonts w:hint="eastAsia" w:ascii="宋体" w:hAnsi="宋体" w:cs="Times New Roman"/>
                <w:color w:val="auto"/>
                <w:sz w:val="21"/>
                <w:szCs w:val="21"/>
              </w:rPr>
              <w:t>近</w:t>
            </w:r>
            <w:r>
              <w:rPr>
                <w:rFonts w:hint="eastAsia" w:ascii="宋体" w:hAnsi="宋体" w:cs="Times New Roman"/>
                <w:color w:val="auto"/>
                <w:sz w:val="21"/>
                <w:szCs w:val="21"/>
                <w:lang w:val="en-US" w:eastAsia="zh-CN"/>
              </w:rPr>
              <w:t>3</w:t>
            </w:r>
            <w:r>
              <w:rPr>
                <w:rFonts w:hint="eastAsia" w:ascii="宋体" w:hAnsi="宋体" w:cs="Times New Roman"/>
                <w:color w:val="auto"/>
                <w:sz w:val="21"/>
                <w:szCs w:val="21"/>
              </w:rPr>
              <w:t>年（自20</w:t>
            </w:r>
            <w:r>
              <w:rPr>
                <w:rFonts w:hint="eastAsia" w:ascii="宋体" w:hAnsi="宋体" w:cs="Times New Roman"/>
                <w:color w:val="auto"/>
                <w:sz w:val="21"/>
                <w:szCs w:val="21"/>
                <w:lang w:val="en-US" w:eastAsia="zh-CN"/>
              </w:rPr>
              <w:t>23</w:t>
            </w:r>
            <w:r>
              <w:rPr>
                <w:rFonts w:hint="eastAsia" w:ascii="宋体" w:hAnsi="宋体" w:cs="Times New Roman"/>
                <w:color w:val="auto"/>
                <w:sz w:val="21"/>
                <w:szCs w:val="21"/>
              </w:rPr>
              <w:t>年</w:t>
            </w:r>
            <w:r>
              <w:rPr>
                <w:rFonts w:hint="eastAsia" w:ascii="宋体" w:hAnsi="宋体" w:cs="Times New Roman"/>
                <w:color w:val="auto"/>
                <w:sz w:val="21"/>
                <w:szCs w:val="21"/>
                <w:lang w:val="en-US" w:eastAsia="zh-CN"/>
              </w:rPr>
              <w:t>7月1日</w:t>
            </w:r>
            <w:r>
              <w:rPr>
                <w:rFonts w:hint="eastAsia" w:ascii="宋体" w:hAnsi="宋体" w:cs="Times New Roman"/>
                <w:color w:val="auto"/>
                <w:sz w:val="21"/>
                <w:szCs w:val="21"/>
              </w:rPr>
              <w:t>至</w:t>
            </w:r>
            <w:r>
              <w:rPr>
                <w:rFonts w:hint="eastAsia" w:ascii="宋体" w:hAnsi="宋体" w:cs="Times New Roman"/>
                <w:color w:val="auto"/>
                <w:sz w:val="21"/>
                <w:szCs w:val="21"/>
                <w:lang w:eastAsia="zh-CN"/>
              </w:rPr>
              <w:t>今</w:t>
            </w:r>
            <w:r>
              <w:rPr>
                <w:rFonts w:hint="eastAsia" w:ascii="宋体" w:hAnsi="宋体" w:cs="Times New Roman"/>
                <w:color w:val="auto"/>
                <w:sz w:val="21"/>
                <w:szCs w:val="21"/>
              </w:rPr>
              <w:t>）</w:t>
            </w:r>
            <w:r>
              <w:rPr>
                <w:rFonts w:hint="eastAsia" w:ascii="宋体" w:hAnsi="宋体" w:cs="Times New Roman"/>
                <w:color w:val="auto"/>
                <w:sz w:val="21"/>
                <w:szCs w:val="21"/>
                <w:lang w:eastAsia="zh-CN"/>
              </w:rPr>
              <w:t>已完成的依法必须招标的房屋建筑工程招标代理服务业绩。</w:t>
            </w:r>
            <w:r>
              <w:rPr>
                <w:rFonts w:hint="eastAsia" w:ascii="宋体" w:hAnsi="宋体" w:cs="Times New Roman"/>
                <w:color w:val="auto"/>
                <w:sz w:val="21"/>
                <w:szCs w:val="21"/>
                <w:lang w:val="en-US" w:eastAsia="zh-CN"/>
              </w:rPr>
              <w:t>每提供一项全过程招标代理服务业绩得5分，最高得10分，全过程招标代理服务业绩必须包含设计、监理、施工三项内容。</w:t>
            </w:r>
          </w:p>
          <w:p w14:paraId="08799E19">
            <w:pPr>
              <w:pStyle w:val="4"/>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2、</w:t>
            </w:r>
            <w:r>
              <w:rPr>
                <w:rFonts w:hint="eastAsia" w:ascii="宋体" w:hAnsi="宋体" w:eastAsia="宋体" w:cs="宋体"/>
                <w:color w:val="000000"/>
                <w:kern w:val="2"/>
                <w:sz w:val="21"/>
                <w:szCs w:val="21"/>
                <w:u w:val="none"/>
                <w:lang w:eastAsia="zh-CN"/>
              </w:rPr>
              <w:t>业绩证明材料应能清晰反映工作内容、项目时间、项目负责人姓名（如无法体现项目负责人职务，须提供委托单位开具的证明或者其他相关证明）</w:t>
            </w:r>
            <w:r>
              <w:rPr>
                <w:rFonts w:hint="eastAsia" w:ascii="宋体" w:hAnsi="宋体" w:cs="Times New Roman"/>
                <w:color w:val="auto"/>
                <w:sz w:val="21"/>
                <w:szCs w:val="21"/>
              </w:rPr>
              <w:t>，</w:t>
            </w:r>
            <w:r>
              <w:rPr>
                <w:rFonts w:hint="eastAsia" w:ascii="宋体" w:hAnsi="宋体" w:cs="Times New Roman"/>
                <w:color w:val="auto"/>
                <w:sz w:val="21"/>
                <w:szCs w:val="21"/>
                <w:lang w:eastAsia="zh-CN"/>
              </w:rPr>
              <w:t>同时提供已完成招标的相关证明材料。</w:t>
            </w:r>
            <w:r>
              <w:rPr>
                <w:rFonts w:hint="eastAsia" w:ascii="宋体" w:hAnsi="宋体" w:cs="Times New Roman"/>
                <w:color w:val="auto"/>
                <w:sz w:val="21"/>
                <w:szCs w:val="21"/>
              </w:rPr>
              <w:t>未按要求提供或提供的证明材料</w:t>
            </w:r>
            <w:r>
              <w:rPr>
                <w:rFonts w:hint="eastAsia" w:ascii="宋体" w:hAnsi="宋体" w:cs="Times New Roman"/>
                <w:color w:val="auto"/>
                <w:sz w:val="21"/>
                <w:szCs w:val="21"/>
                <w:lang w:eastAsia="zh-CN"/>
              </w:rPr>
              <w:t>专家</w:t>
            </w:r>
            <w:r>
              <w:rPr>
                <w:rFonts w:hint="eastAsia" w:ascii="宋体" w:hAnsi="宋体" w:cs="Times New Roman"/>
                <w:color w:val="auto"/>
                <w:sz w:val="21"/>
                <w:szCs w:val="21"/>
              </w:rPr>
              <w:t>无法判断的不得分。</w:t>
            </w:r>
          </w:p>
        </w:tc>
      </w:tr>
      <w:tr w14:paraId="4BFFE8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808" w:hRule="atLeast"/>
          <w:jc w:val="center"/>
        </w:trPr>
        <w:tc>
          <w:tcPr>
            <w:tcW w:w="657" w:type="dxa"/>
            <w:vMerge w:val="continue"/>
            <w:tcBorders>
              <w:left w:val="single" w:color="000000" w:sz="8" w:space="0"/>
              <w:right w:val="single" w:color="000000" w:sz="8" w:space="0"/>
            </w:tcBorders>
            <w:vAlign w:val="center"/>
          </w:tcPr>
          <w:p w14:paraId="58F63E53">
            <w:pPr>
              <w:keepNext w:val="0"/>
              <w:keepLines w:val="0"/>
              <w:pageBreakBefore w:val="0"/>
              <w:kinsoku/>
              <w:wordWrap w:val="0"/>
              <w:overflowPunct/>
              <w:topLinePunct w:val="0"/>
              <w:autoSpaceDE/>
              <w:autoSpaceDN/>
              <w:bidi w:val="0"/>
              <w:adjustRightInd/>
              <w:snapToGrid/>
              <w:spacing w:line="300" w:lineRule="exact"/>
              <w:textAlignment w:val="auto"/>
              <w:rPr>
                <w:rFonts w:asciiTheme="minorEastAsia" w:hAnsiTheme="minorEastAsia" w:cstheme="minorEastAsia"/>
                <w:b/>
                <w:bCs/>
                <w:color w:val="auto"/>
                <w:kern w:val="2"/>
                <w:sz w:val="21"/>
                <w:szCs w:val="21"/>
              </w:rPr>
            </w:pPr>
          </w:p>
        </w:tc>
        <w:tc>
          <w:tcPr>
            <w:tcW w:w="654" w:type="dxa"/>
            <w:tcBorders>
              <w:top w:val="single" w:color="000000" w:sz="8" w:space="0"/>
              <w:left w:val="single" w:color="000000" w:sz="8" w:space="0"/>
              <w:bottom w:val="single" w:color="000000" w:sz="8" w:space="0"/>
              <w:right w:val="single" w:color="000000" w:sz="8" w:space="0"/>
            </w:tcBorders>
            <w:vAlign w:val="center"/>
          </w:tcPr>
          <w:p w14:paraId="04EB02CE">
            <w:pPr>
              <w:keepNext w:val="0"/>
              <w:keepLines w:val="0"/>
              <w:pageBreakBefore w:val="0"/>
              <w:kinsoku/>
              <w:wordWrap w:val="0"/>
              <w:overflowPunct/>
              <w:topLinePunct w:val="0"/>
              <w:autoSpaceDE/>
              <w:autoSpaceDN/>
              <w:bidi w:val="0"/>
              <w:adjustRightInd/>
              <w:snapToGrid/>
              <w:spacing w:line="300" w:lineRule="exact"/>
              <w:jc w:val="center"/>
              <w:textAlignment w:val="auto"/>
              <w:rPr>
                <w:rFonts w:hint="default" w:asciiTheme="minorEastAsia" w:hAnsiTheme="minorEastAsia" w:cstheme="minorEastAsia"/>
                <w:color w:val="auto"/>
                <w:kern w:val="2"/>
                <w:sz w:val="21"/>
                <w:szCs w:val="21"/>
                <w:lang w:val="en-US" w:eastAsia="zh-CN"/>
              </w:rPr>
            </w:pPr>
            <w:r>
              <w:rPr>
                <w:rFonts w:hint="eastAsia" w:asciiTheme="minorEastAsia" w:hAnsiTheme="minorEastAsia" w:cstheme="minorEastAsia"/>
                <w:color w:val="auto"/>
                <w:kern w:val="2"/>
                <w:sz w:val="21"/>
                <w:szCs w:val="21"/>
                <w:lang w:val="en-US" w:eastAsia="zh-CN"/>
              </w:rPr>
              <w:t>3</w:t>
            </w:r>
          </w:p>
        </w:tc>
        <w:tc>
          <w:tcPr>
            <w:tcW w:w="1378" w:type="dxa"/>
            <w:tcBorders>
              <w:top w:val="single" w:color="000000" w:sz="8" w:space="0"/>
              <w:left w:val="single" w:color="000000" w:sz="8" w:space="0"/>
              <w:bottom w:val="single" w:color="000000" w:sz="8" w:space="0"/>
              <w:right w:val="single" w:color="000000" w:sz="8" w:space="0"/>
            </w:tcBorders>
            <w:vAlign w:val="center"/>
          </w:tcPr>
          <w:p w14:paraId="5A6CD35D">
            <w:pPr>
              <w:keepNext w:val="0"/>
              <w:keepLines w:val="0"/>
              <w:pageBreakBefore w:val="0"/>
              <w:kinsoku/>
              <w:overflowPunct/>
              <w:topLinePunct w:val="0"/>
              <w:autoSpaceDE/>
              <w:autoSpaceDN/>
              <w:bidi w:val="0"/>
              <w:adjustRightInd/>
              <w:snapToGrid/>
              <w:spacing w:line="300" w:lineRule="exact"/>
              <w:jc w:val="center"/>
              <w:textAlignment w:val="auto"/>
              <w:rPr>
                <w:rFonts w:ascii="宋体" w:hAnsi="宋体" w:eastAsia="宋体" w:cs="宋体"/>
                <w:sz w:val="21"/>
              </w:rPr>
            </w:pPr>
            <w:r>
              <w:rPr>
                <w:rFonts w:hint="eastAsia" w:ascii="宋体" w:hAnsi="宋体" w:cs="Times New Roman"/>
                <w:sz w:val="21"/>
                <w:szCs w:val="21"/>
                <w:lang w:eastAsia="zh-CN"/>
              </w:rPr>
              <w:t>履约评价</w:t>
            </w:r>
          </w:p>
        </w:tc>
        <w:tc>
          <w:tcPr>
            <w:tcW w:w="1009" w:type="dxa"/>
            <w:tcBorders>
              <w:top w:val="single" w:color="000000" w:sz="8" w:space="0"/>
              <w:left w:val="single" w:color="000000" w:sz="8" w:space="0"/>
              <w:bottom w:val="single" w:color="000000" w:sz="8" w:space="0"/>
              <w:right w:val="single" w:color="000000" w:sz="8" w:space="0"/>
            </w:tcBorders>
            <w:vAlign w:val="center"/>
          </w:tcPr>
          <w:p w14:paraId="09B370DA">
            <w:pPr>
              <w:keepNext w:val="0"/>
              <w:keepLines w:val="0"/>
              <w:pageBreakBefore w:val="0"/>
              <w:kinsoku/>
              <w:overflowPunct/>
              <w:topLinePunct w:val="0"/>
              <w:autoSpaceDE/>
              <w:autoSpaceDN/>
              <w:bidi w:val="0"/>
              <w:adjustRightInd/>
              <w:snapToGrid/>
              <w:spacing w:line="300" w:lineRule="exact"/>
              <w:jc w:val="center"/>
              <w:textAlignment w:val="auto"/>
              <w:rPr>
                <w:rFonts w:hint="default" w:ascii="宋体" w:hAnsi="宋体" w:cs="Times New Roman"/>
                <w:color w:val="auto"/>
                <w:sz w:val="21"/>
                <w:szCs w:val="21"/>
                <w:lang w:val="en-US" w:eastAsia="zh-CN"/>
              </w:rPr>
            </w:pPr>
            <w:r>
              <w:rPr>
                <w:rFonts w:hint="eastAsia" w:ascii="宋体" w:hAnsi="宋体" w:cs="Times New Roman"/>
                <w:sz w:val="21"/>
                <w:szCs w:val="21"/>
                <w:lang w:val="en-US" w:eastAsia="zh-CN"/>
              </w:rPr>
              <w:t>5</w:t>
            </w:r>
          </w:p>
        </w:tc>
        <w:tc>
          <w:tcPr>
            <w:tcW w:w="5949" w:type="dxa"/>
            <w:tcBorders>
              <w:top w:val="single" w:color="000000" w:sz="8" w:space="0"/>
              <w:left w:val="single" w:color="000000" w:sz="8" w:space="0"/>
              <w:bottom w:val="single" w:color="000000" w:sz="8" w:space="0"/>
              <w:right w:val="single" w:color="000000" w:sz="8" w:space="0"/>
            </w:tcBorders>
            <w:vAlign w:val="center"/>
          </w:tcPr>
          <w:p w14:paraId="3DE1C627">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cs="Times New Roman"/>
                <w:sz w:val="21"/>
                <w:szCs w:val="21"/>
                <w:lang w:eastAsia="zh-CN"/>
              </w:rPr>
            </w:pPr>
            <w:r>
              <w:rPr>
                <w:rFonts w:hint="eastAsia" w:ascii="宋体" w:hAnsi="宋体" w:cs="Times New Roman"/>
                <w:sz w:val="21"/>
                <w:szCs w:val="21"/>
                <w:lang w:val="en-US" w:eastAsia="zh-CN"/>
              </w:rPr>
              <w:t>1、上述“企业同类项目业绩”中经评审为有效的项目业绩中，每提供一个项目业主或委托单位出具的优秀或满意或其他最高等级的履约评价的得1分，最高得5分。</w:t>
            </w:r>
          </w:p>
          <w:p w14:paraId="361D0B2D">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val="en-US" w:eastAsia="zh-CN"/>
              </w:rPr>
            </w:pPr>
            <w:r>
              <w:rPr>
                <w:rFonts w:hint="eastAsia" w:ascii="宋体" w:hAnsi="宋体" w:eastAsia="宋体" w:cs="宋体"/>
                <w:color w:val="000000"/>
                <w:kern w:val="2"/>
                <w:sz w:val="21"/>
                <w:szCs w:val="21"/>
                <w:u w:val="none"/>
                <w:lang w:val="en-US" w:eastAsia="zh-CN"/>
              </w:rPr>
              <w:t>2、</w:t>
            </w:r>
            <w:r>
              <w:rPr>
                <w:rFonts w:hint="eastAsia" w:ascii="宋体" w:hAnsi="宋体" w:cs="Times New Roman"/>
                <w:sz w:val="21"/>
                <w:szCs w:val="21"/>
              </w:rPr>
              <w:t>须提供</w:t>
            </w:r>
            <w:r>
              <w:rPr>
                <w:rFonts w:hint="eastAsia" w:ascii="宋体" w:hAnsi="宋体" w:cs="Times New Roman"/>
                <w:sz w:val="21"/>
                <w:szCs w:val="21"/>
                <w:lang w:eastAsia="zh-CN"/>
              </w:rPr>
              <w:t>加盖项目委托单位公章的履约评价证明文件，</w:t>
            </w:r>
            <w:r>
              <w:rPr>
                <w:rFonts w:hint="eastAsia" w:ascii="宋体" w:hAnsi="宋体" w:cs="Times New Roman"/>
                <w:sz w:val="21"/>
                <w:szCs w:val="21"/>
              </w:rPr>
              <w:t>未按要求提供或提供的证明材料</w:t>
            </w:r>
            <w:r>
              <w:rPr>
                <w:rFonts w:hint="eastAsia" w:ascii="宋体" w:hAnsi="宋体" w:cs="Times New Roman"/>
                <w:sz w:val="21"/>
                <w:szCs w:val="21"/>
                <w:lang w:eastAsia="zh-CN"/>
              </w:rPr>
              <w:t>专家</w:t>
            </w:r>
            <w:r>
              <w:rPr>
                <w:rFonts w:hint="eastAsia" w:ascii="宋体" w:hAnsi="宋体" w:cs="Times New Roman"/>
                <w:sz w:val="21"/>
                <w:szCs w:val="21"/>
              </w:rPr>
              <w:t>无法判断的不得分。</w:t>
            </w:r>
          </w:p>
        </w:tc>
      </w:tr>
      <w:tr w14:paraId="67F573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686" w:hRule="atLeast"/>
          <w:jc w:val="center"/>
        </w:trPr>
        <w:tc>
          <w:tcPr>
            <w:tcW w:w="657" w:type="dxa"/>
            <w:tcBorders>
              <w:left w:val="single" w:color="000000" w:sz="8" w:space="0"/>
              <w:right w:val="single" w:color="000000" w:sz="8" w:space="0"/>
            </w:tcBorders>
            <w:vAlign w:val="center"/>
          </w:tcPr>
          <w:p w14:paraId="0DEC1848">
            <w:pPr>
              <w:keepNext w:val="0"/>
              <w:keepLines w:val="0"/>
              <w:pageBreakBefore w:val="0"/>
              <w:kinsoku/>
              <w:wordWrap w:val="0"/>
              <w:overflowPunct/>
              <w:topLinePunct w:val="0"/>
              <w:autoSpaceDE/>
              <w:autoSpaceDN/>
              <w:bidi w:val="0"/>
              <w:adjustRightInd/>
              <w:snapToGrid/>
              <w:spacing w:line="300" w:lineRule="exact"/>
              <w:textAlignment w:val="auto"/>
              <w:rPr>
                <w:rFonts w:asciiTheme="minorEastAsia" w:hAnsiTheme="minorEastAsia" w:cstheme="minorEastAsia"/>
                <w:b/>
                <w:bCs/>
                <w:color w:val="auto"/>
                <w:kern w:val="2"/>
                <w:sz w:val="21"/>
                <w:szCs w:val="21"/>
              </w:rPr>
            </w:pPr>
          </w:p>
        </w:tc>
        <w:tc>
          <w:tcPr>
            <w:tcW w:w="654" w:type="dxa"/>
            <w:tcBorders>
              <w:top w:val="single" w:color="000000" w:sz="8" w:space="0"/>
              <w:left w:val="single" w:color="000000" w:sz="8" w:space="0"/>
              <w:bottom w:val="single" w:color="000000" w:sz="8" w:space="0"/>
              <w:right w:val="single" w:color="000000" w:sz="8" w:space="0"/>
            </w:tcBorders>
            <w:vAlign w:val="center"/>
          </w:tcPr>
          <w:p w14:paraId="65606CAB">
            <w:pPr>
              <w:keepNext w:val="0"/>
              <w:keepLines w:val="0"/>
              <w:pageBreakBefore w:val="0"/>
              <w:kinsoku/>
              <w:wordWrap w:val="0"/>
              <w:overflowPunct/>
              <w:topLinePunct w:val="0"/>
              <w:autoSpaceDE/>
              <w:autoSpaceDN/>
              <w:bidi w:val="0"/>
              <w:adjustRightInd/>
              <w:snapToGrid/>
              <w:spacing w:line="300" w:lineRule="exact"/>
              <w:jc w:val="center"/>
              <w:textAlignment w:val="auto"/>
              <w:rPr>
                <w:rFonts w:hint="default" w:asciiTheme="minorEastAsia" w:hAnsiTheme="minorEastAsia" w:cstheme="minorEastAsia"/>
                <w:color w:val="auto"/>
                <w:kern w:val="2"/>
                <w:sz w:val="21"/>
                <w:szCs w:val="21"/>
                <w:lang w:val="en-US" w:eastAsia="zh-CN"/>
              </w:rPr>
            </w:pPr>
            <w:r>
              <w:rPr>
                <w:rFonts w:hint="eastAsia" w:asciiTheme="minorEastAsia" w:hAnsiTheme="minorEastAsia" w:cstheme="minorEastAsia"/>
                <w:color w:val="auto"/>
                <w:kern w:val="2"/>
                <w:sz w:val="21"/>
                <w:szCs w:val="21"/>
                <w:lang w:val="en-US" w:eastAsia="zh-CN"/>
              </w:rPr>
              <w:t>4</w:t>
            </w:r>
          </w:p>
        </w:tc>
        <w:tc>
          <w:tcPr>
            <w:tcW w:w="1378" w:type="dxa"/>
            <w:tcBorders>
              <w:top w:val="single" w:color="000000" w:sz="8" w:space="0"/>
              <w:left w:val="single" w:color="000000" w:sz="8" w:space="0"/>
              <w:bottom w:val="single" w:color="000000" w:sz="8" w:space="0"/>
              <w:right w:val="single" w:color="000000" w:sz="8" w:space="0"/>
            </w:tcBorders>
            <w:vAlign w:val="center"/>
          </w:tcPr>
          <w:p w14:paraId="5F2A7B2F">
            <w:pPr>
              <w:keepNext w:val="0"/>
              <w:keepLines w:val="0"/>
              <w:pageBreakBefore w:val="0"/>
              <w:kinsoku/>
              <w:overflowPunct/>
              <w:topLinePunct w:val="0"/>
              <w:autoSpaceDE/>
              <w:autoSpaceDN/>
              <w:bidi w:val="0"/>
              <w:adjustRightInd/>
              <w:snapToGrid/>
              <w:spacing w:line="300" w:lineRule="exact"/>
              <w:jc w:val="center"/>
              <w:textAlignment w:val="auto"/>
              <w:rPr>
                <w:rFonts w:hint="eastAsia" w:ascii="宋体" w:hAnsi="宋体" w:cs="Times New Roman"/>
                <w:color w:val="auto"/>
                <w:sz w:val="21"/>
                <w:szCs w:val="21"/>
                <w:lang w:eastAsia="zh-CN"/>
              </w:rPr>
            </w:pPr>
            <w:r>
              <w:rPr>
                <w:rFonts w:hint="eastAsia" w:ascii="宋体" w:hAnsi="宋体" w:cs="Times New Roman"/>
                <w:color w:val="auto"/>
                <w:sz w:val="21"/>
                <w:szCs w:val="21"/>
                <w:lang w:eastAsia="zh-CN"/>
              </w:rPr>
              <w:t>履约质效情况</w:t>
            </w:r>
          </w:p>
        </w:tc>
        <w:tc>
          <w:tcPr>
            <w:tcW w:w="1009" w:type="dxa"/>
            <w:tcBorders>
              <w:top w:val="single" w:color="000000" w:sz="8" w:space="0"/>
              <w:left w:val="single" w:color="000000" w:sz="8" w:space="0"/>
              <w:bottom w:val="single" w:color="000000" w:sz="8" w:space="0"/>
              <w:right w:val="single" w:color="000000" w:sz="8" w:space="0"/>
            </w:tcBorders>
            <w:vAlign w:val="center"/>
          </w:tcPr>
          <w:p w14:paraId="009FCEA4">
            <w:pPr>
              <w:keepNext w:val="0"/>
              <w:keepLines w:val="0"/>
              <w:pageBreakBefore w:val="0"/>
              <w:kinsoku/>
              <w:overflowPunct/>
              <w:topLinePunct w:val="0"/>
              <w:autoSpaceDE/>
              <w:autoSpaceDN/>
              <w:bidi w:val="0"/>
              <w:adjustRightInd/>
              <w:snapToGrid/>
              <w:spacing w:line="300" w:lineRule="exact"/>
              <w:jc w:val="center"/>
              <w:textAlignment w:val="auto"/>
              <w:rPr>
                <w:rFonts w:hint="default" w:ascii="宋体" w:hAnsi="宋体" w:cs="Times New Roman"/>
                <w:color w:val="auto"/>
                <w:sz w:val="21"/>
                <w:szCs w:val="21"/>
                <w:lang w:val="en-US" w:eastAsia="zh-CN"/>
              </w:rPr>
            </w:pPr>
            <w:r>
              <w:rPr>
                <w:rFonts w:hint="eastAsia" w:ascii="宋体" w:hAnsi="宋体" w:cs="Times New Roman"/>
                <w:color w:val="auto"/>
                <w:sz w:val="21"/>
                <w:szCs w:val="21"/>
                <w:lang w:val="en-US" w:eastAsia="zh-CN"/>
              </w:rPr>
              <w:t>5</w:t>
            </w:r>
          </w:p>
        </w:tc>
        <w:tc>
          <w:tcPr>
            <w:tcW w:w="5949" w:type="dxa"/>
            <w:tcBorders>
              <w:top w:val="single" w:color="000000" w:sz="8" w:space="0"/>
              <w:left w:val="single" w:color="000000" w:sz="8" w:space="0"/>
              <w:bottom w:val="single" w:color="000000" w:sz="8" w:space="0"/>
              <w:right w:val="single" w:color="000000" w:sz="8" w:space="0"/>
            </w:tcBorders>
            <w:vAlign w:val="center"/>
          </w:tcPr>
          <w:p w14:paraId="003D5A27">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对在本项目履约质效方面的情况说明，包括履约质量、履约效率、企业资源调度、企业优势等。</w:t>
            </w:r>
          </w:p>
          <w:p w14:paraId="0B360994">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优:优势符合实际、对项目履约影响大。</w:t>
            </w:r>
          </w:p>
          <w:p w14:paraId="6E1B0FE9">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 xml:space="preserve">良:优势较符合实际、对项目履约影响较大。 </w:t>
            </w:r>
          </w:p>
          <w:p w14:paraId="24BDAEC8">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中:优势较普通、对项目履约影响一般。</w:t>
            </w:r>
          </w:p>
          <w:p w14:paraId="7EFB4F5E">
            <w:pPr>
              <w:keepNext w:val="0"/>
              <w:keepLines w:val="0"/>
              <w:pageBreakBefore w:val="0"/>
              <w:numPr>
                <w:ilvl w:val="0"/>
                <w:numId w:val="0"/>
              </w:numPr>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差:优势对项目履约影响极小。</w:t>
            </w:r>
          </w:p>
          <w:p w14:paraId="4EBD5048">
            <w:pPr>
              <w:keepNext w:val="0"/>
              <w:keepLines w:val="0"/>
              <w:pageBreakBefore w:val="0"/>
              <w:numPr>
                <w:ilvl w:val="0"/>
                <w:numId w:val="0"/>
              </w:numPr>
              <w:kinsoku/>
              <w:overflowPunct/>
              <w:topLinePunct w:val="0"/>
              <w:autoSpaceDE/>
              <w:autoSpaceDN/>
              <w:bidi w:val="0"/>
              <w:adjustRightInd/>
              <w:snapToGrid/>
              <w:spacing w:line="300" w:lineRule="exact"/>
              <w:ind w:left="0" w:leftChars="0" w:firstLine="0" w:firstLineChars="0"/>
              <w:jc w:val="left"/>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评价为优的得5分，评价为良的得3分，评价为中的得1分，评价为差不得分。</w:t>
            </w:r>
          </w:p>
        </w:tc>
      </w:tr>
      <w:tr w14:paraId="0F32B7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595" w:hRule="atLeast"/>
          <w:jc w:val="center"/>
        </w:trPr>
        <w:tc>
          <w:tcPr>
            <w:tcW w:w="657" w:type="dxa"/>
            <w:vMerge w:val="restart"/>
            <w:tcBorders>
              <w:left w:val="single" w:color="000000" w:sz="8" w:space="0"/>
              <w:right w:val="single" w:color="000000" w:sz="8" w:space="0"/>
            </w:tcBorders>
            <w:vAlign w:val="top"/>
          </w:tcPr>
          <w:p w14:paraId="24885479">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kern w:val="2"/>
                <w:sz w:val="21"/>
                <w:szCs w:val="21"/>
                <w:lang w:eastAsia="zh-CN"/>
              </w:rPr>
            </w:pPr>
            <w:r>
              <w:rPr>
                <w:rFonts w:hint="eastAsia" w:asciiTheme="minorEastAsia" w:hAnsiTheme="minorEastAsia" w:cstheme="minorEastAsia"/>
                <w:b/>
                <w:bCs/>
                <w:color w:val="auto"/>
                <w:kern w:val="2"/>
                <w:sz w:val="21"/>
                <w:szCs w:val="21"/>
                <w:lang w:eastAsia="zh-CN"/>
              </w:rPr>
              <w:t>三</w:t>
            </w:r>
          </w:p>
        </w:tc>
        <w:tc>
          <w:tcPr>
            <w:tcW w:w="3041" w:type="dxa"/>
            <w:gridSpan w:val="3"/>
            <w:tcBorders>
              <w:top w:val="single" w:color="000000" w:sz="8" w:space="0"/>
              <w:left w:val="single" w:color="000000" w:sz="8" w:space="0"/>
              <w:bottom w:val="single" w:color="000000" w:sz="8" w:space="0"/>
              <w:right w:val="single" w:color="000000" w:sz="8" w:space="0"/>
            </w:tcBorders>
            <w:vAlign w:val="center"/>
          </w:tcPr>
          <w:p w14:paraId="52CFD021">
            <w:pPr>
              <w:keepNext w:val="0"/>
              <w:keepLines w:val="0"/>
              <w:pageBreakBefore w:val="0"/>
              <w:kinsoku/>
              <w:overflowPunct/>
              <w:topLinePunct w:val="0"/>
              <w:autoSpaceDE/>
              <w:autoSpaceDN/>
              <w:bidi w:val="0"/>
              <w:adjustRightInd/>
              <w:snapToGrid/>
              <w:spacing w:line="300" w:lineRule="exact"/>
              <w:jc w:val="center"/>
              <w:textAlignment w:val="auto"/>
              <w:rPr>
                <w:rFonts w:hint="eastAsia" w:ascii="宋体" w:hAnsi="宋体" w:cs="Times New Roman"/>
                <w:b/>
                <w:bCs/>
                <w:color w:val="auto"/>
                <w:sz w:val="21"/>
                <w:szCs w:val="21"/>
                <w:lang w:val="en-US" w:eastAsia="zh-CN"/>
              </w:rPr>
            </w:pPr>
            <w:r>
              <w:rPr>
                <w:rFonts w:hint="eastAsia" w:ascii="宋体" w:hAnsi="宋体" w:cs="Times New Roman"/>
                <w:b/>
                <w:bCs/>
                <w:color w:val="auto"/>
                <w:sz w:val="21"/>
                <w:szCs w:val="21"/>
                <w:lang w:val="en-US" w:eastAsia="zh-CN"/>
              </w:rPr>
              <w:t>技术部分</w:t>
            </w:r>
          </w:p>
        </w:tc>
        <w:tc>
          <w:tcPr>
            <w:tcW w:w="5949" w:type="dxa"/>
            <w:tcBorders>
              <w:top w:val="single" w:color="000000" w:sz="8" w:space="0"/>
              <w:left w:val="single" w:color="000000" w:sz="8" w:space="0"/>
              <w:bottom w:val="single" w:color="000000" w:sz="8" w:space="0"/>
              <w:right w:val="single" w:color="000000" w:sz="8" w:space="0"/>
            </w:tcBorders>
            <w:vAlign w:val="center"/>
          </w:tcPr>
          <w:p w14:paraId="12FA1706">
            <w:pPr>
              <w:keepNext w:val="0"/>
              <w:keepLines w:val="0"/>
              <w:pageBreakBefore w:val="0"/>
              <w:numPr>
                <w:ilvl w:val="0"/>
                <w:numId w:val="0"/>
              </w:numPr>
              <w:kinsoku/>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Times New Roman"/>
                <w:b/>
                <w:bCs/>
                <w:color w:val="auto"/>
                <w:sz w:val="21"/>
                <w:szCs w:val="21"/>
                <w:lang w:val="en-US" w:eastAsia="zh-CN"/>
              </w:rPr>
            </w:pPr>
            <w:r>
              <w:rPr>
                <w:rFonts w:hint="eastAsia" w:ascii="宋体" w:hAnsi="宋体" w:cs="Times New Roman"/>
                <w:b/>
                <w:bCs/>
                <w:color w:val="auto"/>
                <w:sz w:val="21"/>
                <w:szCs w:val="21"/>
                <w:lang w:val="en-US" w:eastAsia="zh-CN"/>
              </w:rPr>
              <w:t>20分</w:t>
            </w:r>
          </w:p>
        </w:tc>
      </w:tr>
      <w:tr w14:paraId="423E2D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540" w:hRule="atLeast"/>
          <w:jc w:val="center"/>
        </w:trPr>
        <w:tc>
          <w:tcPr>
            <w:tcW w:w="657" w:type="dxa"/>
            <w:vMerge w:val="continue"/>
            <w:tcBorders>
              <w:left w:val="single" w:color="000000" w:sz="8" w:space="0"/>
              <w:right w:val="single" w:color="000000" w:sz="8" w:space="0"/>
            </w:tcBorders>
            <w:vAlign w:val="center"/>
          </w:tcPr>
          <w:p w14:paraId="661EAEA6">
            <w:pPr>
              <w:keepNext w:val="0"/>
              <w:keepLines w:val="0"/>
              <w:pageBreakBefore w:val="0"/>
              <w:kinsoku/>
              <w:wordWrap w:val="0"/>
              <w:overflowPunct/>
              <w:topLinePunct w:val="0"/>
              <w:autoSpaceDE/>
              <w:autoSpaceDN/>
              <w:bidi w:val="0"/>
              <w:adjustRightInd/>
              <w:snapToGrid/>
              <w:spacing w:line="300" w:lineRule="exact"/>
              <w:textAlignment w:val="auto"/>
              <w:rPr>
                <w:rFonts w:asciiTheme="minorEastAsia" w:hAnsiTheme="minorEastAsia" w:cstheme="minorEastAsia"/>
                <w:b/>
                <w:bCs/>
                <w:color w:val="auto"/>
                <w:kern w:val="2"/>
                <w:sz w:val="21"/>
                <w:szCs w:val="21"/>
              </w:rPr>
            </w:pPr>
          </w:p>
        </w:tc>
        <w:tc>
          <w:tcPr>
            <w:tcW w:w="654" w:type="dxa"/>
            <w:tcBorders>
              <w:top w:val="single" w:color="000000" w:sz="8" w:space="0"/>
              <w:left w:val="single" w:color="000000" w:sz="8" w:space="0"/>
              <w:bottom w:val="single" w:color="000000" w:sz="8" w:space="0"/>
              <w:right w:val="single" w:color="000000" w:sz="8" w:space="0"/>
            </w:tcBorders>
            <w:vAlign w:val="center"/>
          </w:tcPr>
          <w:p w14:paraId="474F1695">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cstheme="minorEastAsia"/>
                <w:color w:val="auto"/>
                <w:kern w:val="2"/>
                <w:sz w:val="21"/>
                <w:szCs w:val="21"/>
                <w:lang w:val="en-US" w:eastAsia="zh-CN"/>
              </w:rPr>
            </w:pPr>
            <w:r>
              <w:rPr>
                <w:rFonts w:hint="eastAsia" w:asciiTheme="minorEastAsia" w:hAnsiTheme="minorEastAsia" w:cstheme="minorEastAsia"/>
                <w:color w:val="auto"/>
                <w:kern w:val="2"/>
                <w:sz w:val="21"/>
                <w:szCs w:val="21"/>
              </w:rPr>
              <w:t>序号</w:t>
            </w:r>
          </w:p>
        </w:tc>
        <w:tc>
          <w:tcPr>
            <w:tcW w:w="1378" w:type="dxa"/>
            <w:tcBorders>
              <w:top w:val="single" w:color="000000" w:sz="8" w:space="0"/>
              <w:left w:val="single" w:color="000000" w:sz="8" w:space="0"/>
              <w:bottom w:val="single" w:color="000000" w:sz="8" w:space="0"/>
              <w:right w:val="single" w:color="000000" w:sz="8" w:space="0"/>
            </w:tcBorders>
            <w:vAlign w:val="center"/>
          </w:tcPr>
          <w:p w14:paraId="193F272D">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宋体" w:hAnsi="宋体" w:cs="Times New Roman"/>
                <w:color w:val="auto"/>
                <w:sz w:val="21"/>
                <w:szCs w:val="21"/>
                <w:lang w:eastAsia="zh-CN"/>
              </w:rPr>
            </w:pPr>
            <w:r>
              <w:rPr>
                <w:rFonts w:hint="eastAsia" w:asciiTheme="minorEastAsia" w:hAnsiTheme="minorEastAsia" w:cstheme="minorEastAsia"/>
                <w:color w:val="auto"/>
                <w:kern w:val="2"/>
                <w:sz w:val="21"/>
                <w:szCs w:val="21"/>
              </w:rPr>
              <w:t>评分因素</w:t>
            </w:r>
          </w:p>
        </w:tc>
        <w:tc>
          <w:tcPr>
            <w:tcW w:w="1009" w:type="dxa"/>
            <w:tcBorders>
              <w:top w:val="single" w:color="000000" w:sz="8" w:space="0"/>
              <w:left w:val="single" w:color="000000" w:sz="8" w:space="0"/>
              <w:bottom w:val="single" w:color="000000" w:sz="8" w:space="0"/>
              <w:right w:val="single" w:color="000000" w:sz="8" w:space="0"/>
            </w:tcBorders>
            <w:vAlign w:val="center"/>
          </w:tcPr>
          <w:p w14:paraId="6A7046A0">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宋体" w:hAnsi="宋体" w:cs="Times New Roman"/>
                <w:color w:val="auto"/>
                <w:sz w:val="21"/>
                <w:szCs w:val="21"/>
                <w:lang w:val="en-US" w:eastAsia="zh-CN"/>
              </w:rPr>
            </w:pPr>
            <w:r>
              <w:rPr>
                <w:rFonts w:hint="eastAsia" w:asciiTheme="minorEastAsia" w:hAnsiTheme="minorEastAsia" w:cstheme="minorEastAsia"/>
                <w:color w:val="auto"/>
                <w:kern w:val="2"/>
                <w:sz w:val="21"/>
                <w:szCs w:val="21"/>
                <w:lang w:eastAsia="zh-CN"/>
              </w:rPr>
              <w:t>分值</w:t>
            </w:r>
          </w:p>
        </w:tc>
        <w:tc>
          <w:tcPr>
            <w:tcW w:w="5949" w:type="dxa"/>
            <w:tcBorders>
              <w:top w:val="single" w:color="000000" w:sz="8" w:space="0"/>
              <w:left w:val="single" w:color="000000" w:sz="8" w:space="0"/>
              <w:bottom w:val="single" w:color="000000" w:sz="8" w:space="0"/>
              <w:right w:val="single" w:color="000000" w:sz="8" w:space="0"/>
            </w:tcBorders>
            <w:vAlign w:val="center"/>
          </w:tcPr>
          <w:p w14:paraId="46E180A0">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宋体" w:hAnsi="宋体" w:cs="Times New Roman"/>
                <w:color w:val="auto"/>
                <w:sz w:val="21"/>
                <w:szCs w:val="21"/>
                <w:lang w:val="en-US" w:eastAsia="zh-CN"/>
              </w:rPr>
            </w:pPr>
            <w:r>
              <w:rPr>
                <w:rFonts w:hint="eastAsia" w:asciiTheme="minorEastAsia" w:hAnsiTheme="minorEastAsia" w:cstheme="minorEastAsia"/>
                <w:color w:val="auto"/>
                <w:kern w:val="2"/>
                <w:sz w:val="21"/>
                <w:szCs w:val="21"/>
              </w:rPr>
              <w:t>评分</w:t>
            </w:r>
            <w:r>
              <w:rPr>
                <w:rFonts w:hint="eastAsia" w:asciiTheme="minorEastAsia" w:hAnsiTheme="minorEastAsia" w:cstheme="minorEastAsia"/>
                <w:color w:val="auto"/>
                <w:kern w:val="2"/>
                <w:sz w:val="21"/>
                <w:szCs w:val="21"/>
                <w:lang w:eastAsia="zh-CN"/>
              </w:rPr>
              <w:t>标准</w:t>
            </w:r>
          </w:p>
        </w:tc>
      </w:tr>
      <w:tr w14:paraId="1FA01F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790" w:hRule="atLeast"/>
          <w:jc w:val="center"/>
        </w:trPr>
        <w:tc>
          <w:tcPr>
            <w:tcW w:w="657" w:type="dxa"/>
            <w:vMerge w:val="continue"/>
            <w:tcBorders>
              <w:left w:val="single" w:color="000000" w:sz="8" w:space="0"/>
              <w:right w:val="single" w:color="000000" w:sz="8" w:space="0"/>
            </w:tcBorders>
            <w:vAlign w:val="center"/>
          </w:tcPr>
          <w:p w14:paraId="7A523118">
            <w:pPr>
              <w:keepNext w:val="0"/>
              <w:keepLines w:val="0"/>
              <w:pageBreakBefore w:val="0"/>
              <w:kinsoku/>
              <w:wordWrap w:val="0"/>
              <w:overflowPunct/>
              <w:topLinePunct w:val="0"/>
              <w:autoSpaceDE/>
              <w:autoSpaceDN/>
              <w:bidi w:val="0"/>
              <w:adjustRightInd/>
              <w:snapToGrid/>
              <w:spacing w:line="300" w:lineRule="exact"/>
              <w:textAlignment w:val="auto"/>
              <w:rPr>
                <w:rFonts w:asciiTheme="minorEastAsia" w:hAnsiTheme="minorEastAsia" w:cstheme="minorEastAsia"/>
                <w:b/>
                <w:bCs/>
                <w:color w:val="auto"/>
                <w:kern w:val="2"/>
                <w:sz w:val="21"/>
                <w:szCs w:val="21"/>
              </w:rPr>
            </w:pPr>
          </w:p>
        </w:tc>
        <w:tc>
          <w:tcPr>
            <w:tcW w:w="654" w:type="dxa"/>
            <w:tcBorders>
              <w:top w:val="single" w:color="000000" w:sz="8" w:space="0"/>
              <w:left w:val="single" w:color="000000" w:sz="8" w:space="0"/>
              <w:bottom w:val="single" w:color="000000" w:sz="8" w:space="0"/>
              <w:right w:val="single" w:color="000000" w:sz="8" w:space="0"/>
            </w:tcBorders>
            <w:vAlign w:val="center"/>
          </w:tcPr>
          <w:p w14:paraId="35F5424C">
            <w:pPr>
              <w:keepNext w:val="0"/>
              <w:keepLines w:val="0"/>
              <w:pageBreakBefore w:val="0"/>
              <w:kinsoku/>
              <w:wordWrap w:val="0"/>
              <w:overflowPunct/>
              <w:topLinePunct w:val="0"/>
              <w:autoSpaceDE/>
              <w:autoSpaceDN/>
              <w:bidi w:val="0"/>
              <w:adjustRightInd/>
              <w:snapToGrid/>
              <w:spacing w:line="300" w:lineRule="exact"/>
              <w:jc w:val="center"/>
              <w:textAlignment w:val="auto"/>
              <w:rPr>
                <w:rFonts w:hint="eastAsia" w:asciiTheme="minorEastAsia" w:hAnsiTheme="minorEastAsia" w:cstheme="minorEastAsia"/>
                <w:color w:val="auto"/>
                <w:kern w:val="2"/>
                <w:sz w:val="21"/>
                <w:szCs w:val="21"/>
                <w:lang w:val="en-US" w:eastAsia="zh-CN"/>
              </w:rPr>
            </w:pPr>
            <w:r>
              <w:rPr>
                <w:rFonts w:hint="eastAsia" w:asciiTheme="minorEastAsia" w:hAnsiTheme="minorEastAsia" w:cstheme="minorEastAsia"/>
                <w:color w:val="auto"/>
                <w:kern w:val="2"/>
                <w:sz w:val="21"/>
                <w:szCs w:val="21"/>
              </w:rPr>
              <w:t>1</w:t>
            </w:r>
          </w:p>
        </w:tc>
        <w:tc>
          <w:tcPr>
            <w:tcW w:w="1378" w:type="dxa"/>
            <w:tcBorders>
              <w:top w:val="single" w:color="000000" w:sz="8" w:space="0"/>
              <w:left w:val="single" w:color="000000" w:sz="8" w:space="0"/>
              <w:bottom w:val="single" w:color="000000" w:sz="8" w:space="0"/>
              <w:right w:val="single" w:color="000000" w:sz="8" w:space="0"/>
            </w:tcBorders>
            <w:vAlign w:val="center"/>
          </w:tcPr>
          <w:p w14:paraId="528392A0">
            <w:pPr>
              <w:keepNext w:val="0"/>
              <w:keepLines w:val="0"/>
              <w:pageBreakBefore w:val="0"/>
              <w:kinsoku/>
              <w:overflowPunct/>
              <w:topLinePunct w:val="0"/>
              <w:autoSpaceDE/>
              <w:autoSpaceDN/>
              <w:bidi w:val="0"/>
              <w:adjustRightInd/>
              <w:snapToGrid/>
              <w:spacing w:line="300" w:lineRule="exact"/>
              <w:jc w:val="center"/>
              <w:textAlignment w:val="auto"/>
              <w:rPr>
                <w:rFonts w:hint="eastAsia" w:ascii="宋体" w:hAnsi="宋体" w:cs="Times New Roman"/>
                <w:color w:val="auto"/>
                <w:sz w:val="21"/>
                <w:szCs w:val="21"/>
                <w:lang w:eastAsia="zh-CN"/>
              </w:rPr>
            </w:pPr>
            <w:r>
              <w:rPr>
                <w:rFonts w:hint="eastAsia" w:ascii="宋体" w:hAnsi="宋体" w:cs="Times New Roman"/>
                <w:color w:val="auto"/>
                <w:sz w:val="21"/>
                <w:szCs w:val="21"/>
                <w:lang w:eastAsia="zh-CN"/>
              </w:rPr>
              <w:t>项目</w:t>
            </w:r>
            <w:r>
              <w:rPr>
                <w:rFonts w:hint="eastAsia" w:ascii="宋体" w:hAnsi="宋体" w:cs="Times New Roman"/>
                <w:color w:val="auto"/>
                <w:sz w:val="21"/>
                <w:szCs w:val="21"/>
              </w:rPr>
              <w:t>实施方案</w:t>
            </w:r>
          </w:p>
        </w:tc>
        <w:tc>
          <w:tcPr>
            <w:tcW w:w="1009" w:type="dxa"/>
            <w:tcBorders>
              <w:top w:val="single" w:color="000000" w:sz="8" w:space="0"/>
              <w:left w:val="single" w:color="000000" w:sz="8" w:space="0"/>
              <w:bottom w:val="single" w:color="000000" w:sz="8" w:space="0"/>
              <w:right w:val="single" w:color="000000" w:sz="8" w:space="0"/>
            </w:tcBorders>
            <w:vAlign w:val="center"/>
          </w:tcPr>
          <w:p w14:paraId="5367FE27">
            <w:pPr>
              <w:keepNext w:val="0"/>
              <w:keepLines w:val="0"/>
              <w:pageBreakBefore w:val="0"/>
              <w:kinsoku/>
              <w:overflowPunct/>
              <w:topLinePunct w:val="0"/>
              <w:autoSpaceDE/>
              <w:autoSpaceDN/>
              <w:bidi w:val="0"/>
              <w:adjustRightInd/>
              <w:snapToGrid/>
              <w:spacing w:line="300" w:lineRule="exact"/>
              <w:jc w:val="center"/>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20</w:t>
            </w:r>
          </w:p>
        </w:tc>
        <w:tc>
          <w:tcPr>
            <w:tcW w:w="5949" w:type="dxa"/>
            <w:tcBorders>
              <w:top w:val="single" w:color="000000" w:sz="8" w:space="0"/>
              <w:left w:val="single" w:color="000000" w:sz="8" w:space="0"/>
              <w:bottom w:val="single" w:color="000000" w:sz="8" w:space="0"/>
              <w:right w:val="single" w:color="000000" w:sz="8" w:space="0"/>
            </w:tcBorders>
            <w:vAlign w:val="center"/>
          </w:tcPr>
          <w:p w14:paraId="6BC7D6BC">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eastAsia="zh-CN"/>
              </w:rPr>
            </w:pPr>
            <w:r>
              <w:rPr>
                <w:rFonts w:hint="eastAsia" w:ascii="宋体" w:hAnsi="宋体" w:cs="Times New Roman"/>
                <w:color w:val="auto"/>
                <w:sz w:val="21"/>
                <w:szCs w:val="21"/>
                <w:lang w:eastAsia="zh-CN"/>
              </w:rPr>
              <w:t>对项目情况的了解</w:t>
            </w:r>
            <w:r>
              <w:rPr>
                <w:rFonts w:hint="eastAsia" w:ascii="宋体" w:hAnsi="宋体" w:cs="Times New Roman"/>
                <w:color w:val="auto"/>
                <w:sz w:val="21"/>
                <w:szCs w:val="21"/>
                <w:lang w:val="en-US" w:eastAsia="zh-CN"/>
              </w:rPr>
              <w:t>，</w:t>
            </w:r>
            <w:r>
              <w:rPr>
                <w:rFonts w:hint="eastAsia" w:ascii="宋体" w:hAnsi="宋体" w:cs="Times New Roman"/>
                <w:color w:val="auto"/>
                <w:sz w:val="21"/>
                <w:szCs w:val="21"/>
                <w:lang w:eastAsia="zh-CN"/>
              </w:rPr>
              <w:t>项目重难点分析及应对措施和相关的合理化建议，服务质量、服务进度、服务响应保障措施，应急采购实施方案，公司支持情况，</w:t>
            </w:r>
            <w:r>
              <w:rPr>
                <w:rFonts w:hint="eastAsia" w:ascii="宋体" w:hAnsi="宋体" w:eastAsia="宋体" w:cs="宋体"/>
                <w:sz w:val="21"/>
                <w:highlight w:val="none"/>
                <w:lang w:eastAsia="zh-CN"/>
              </w:rPr>
              <w:t>后续服务</w:t>
            </w:r>
            <w:r>
              <w:rPr>
                <w:rFonts w:hint="eastAsia" w:ascii="宋体" w:hAnsi="宋体" w:cs="Times New Roman"/>
                <w:color w:val="auto"/>
                <w:sz w:val="21"/>
                <w:szCs w:val="21"/>
                <w:lang w:eastAsia="zh-CN"/>
              </w:rPr>
              <w:t>，对所有投标单位横向比较评审。</w:t>
            </w:r>
          </w:p>
          <w:p w14:paraId="1F063DA2">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eastAsia="zh-CN"/>
              </w:rPr>
            </w:pPr>
            <w:r>
              <w:rPr>
                <w:rFonts w:hint="eastAsia" w:ascii="宋体" w:hAnsi="宋体" w:cs="Times New Roman"/>
                <w:b/>
                <w:bCs/>
                <w:color w:val="auto"/>
                <w:sz w:val="21"/>
                <w:szCs w:val="21"/>
              </w:rPr>
              <w:t>评审标准：</w:t>
            </w:r>
          </w:p>
          <w:p w14:paraId="45456D6E">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eastAsia="zh-CN"/>
              </w:rPr>
            </w:pPr>
            <w:r>
              <w:rPr>
                <w:rFonts w:hint="eastAsia" w:ascii="宋体" w:hAnsi="宋体" w:cs="Times New Roman"/>
                <w:color w:val="auto"/>
                <w:sz w:val="21"/>
                <w:szCs w:val="21"/>
                <w:lang w:val="en-US" w:eastAsia="zh-CN"/>
              </w:rPr>
              <w:t xml:space="preserve">优:方案符合实际，内容完整、规范，思路清晰，合理性强。 </w:t>
            </w:r>
          </w:p>
          <w:p w14:paraId="7B6F5041">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eastAsia="zh-CN"/>
              </w:rPr>
            </w:pPr>
            <w:r>
              <w:rPr>
                <w:rFonts w:hint="eastAsia" w:ascii="宋体" w:hAnsi="宋体" w:cs="Times New Roman"/>
                <w:color w:val="auto"/>
                <w:sz w:val="21"/>
                <w:szCs w:val="21"/>
                <w:lang w:val="en-US" w:eastAsia="zh-CN"/>
              </w:rPr>
              <w:t xml:space="preserve">良:方案较符合实际，内容较完整规范，思路较清晰，合理性较强。 </w:t>
            </w:r>
          </w:p>
          <w:p w14:paraId="298D2354">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eastAsia="zh-CN"/>
              </w:rPr>
            </w:pPr>
            <w:r>
              <w:rPr>
                <w:rFonts w:hint="eastAsia" w:ascii="宋体" w:hAnsi="宋体" w:cs="Times New Roman"/>
                <w:color w:val="auto"/>
                <w:sz w:val="21"/>
                <w:szCs w:val="21"/>
                <w:lang w:val="en-US" w:eastAsia="zh-CN"/>
              </w:rPr>
              <w:t xml:space="preserve">中:方案较普通，内容完整性规范性一般，思路不够清晰，合理性一般。 </w:t>
            </w:r>
          </w:p>
          <w:p w14:paraId="62C018C9">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差:方案不完整、不规范，思路不清晰，内容合理性较差或未提供。</w:t>
            </w:r>
          </w:p>
          <w:p w14:paraId="7901AAFA">
            <w:pPr>
              <w:keepNext w:val="0"/>
              <w:keepLines w:val="0"/>
              <w:pageBreakBefore w:val="0"/>
              <w:kinsoku/>
              <w:overflowPunct/>
              <w:topLinePunct w:val="0"/>
              <w:autoSpaceDE/>
              <w:autoSpaceDN/>
              <w:bidi w:val="0"/>
              <w:adjustRightInd/>
              <w:snapToGrid/>
              <w:spacing w:line="300" w:lineRule="exact"/>
              <w:jc w:val="left"/>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评价为优的得20分，评价为良的得15分，评价为中的得10分，评价为差不得分。</w:t>
            </w:r>
          </w:p>
        </w:tc>
      </w:tr>
    </w:tbl>
    <w:p w14:paraId="5E20D626">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A67206"/>
    <w:multiLevelType w:val="singleLevel"/>
    <w:tmpl w:val="CAA6720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zE1MDRmY2Q5ZjEzZDBjMGM5YTI1ZTQ2MjQ0ZjIifQ=="/>
  </w:docVars>
  <w:rsids>
    <w:rsidRoot w:val="14F87D44"/>
    <w:rsid w:val="01266D44"/>
    <w:rsid w:val="05101BD0"/>
    <w:rsid w:val="06712BB6"/>
    <w:rsid w:val="068B0EF4"/>
    <w:rsid w:val="06B862EB"/>
    <w:rsid w:val="078F2D05"/>
    <w:rsid w:val="07B95104"/>
    <w:rsid w:val="09E17892"/>
    <w:rsid w:val="0ABB70B2"/>
    <w:rsid w:val="0DD05725"/>
    <w:rsid w:val="0E686400"/>
    <w:rsid w:val="0E6B55AA"/>
    <w:rsid w:val="0F76193A"/>
    <w:rsid w:val="103D4FFD"/>
    <w:rsid w:val="10705E84"/>
    <w:rsid w:val="12260CF8"/>
    <w:rsid w:val="1260208E"/>
    <w:rsid w:val="12746AB9"/>
    <w:rsid w:val="14F87D44"/>
    <w:rsid w:val="155821C3"/>
    <w:rsid w:val="16C858AD"/>
    <w:rsid w:val="174119D9"/>
    <w:rsid w:val="17E42D96"/>
    <w:rsid w:val="188961F9"/>
    <w:rsid w:val="18C036AF"/>
    <w:rsid w:val="1B84446C"/>
    <w:rsid w:val="1CDC7CB2"/>
    <w:rsid w:val="1DF53D82"/>
    <w:rsid w:val="20785273"/>
    <w:rsid w:val="22387F60"/>
    <w:rsid w:val="22523877"/>
    <w:rsid w:val="24816262"/>
    <w:rsid w:val="25354763"/>
    <w:rsid w:val="287B5B93"/>
    <w:rsid w:val="29180F9A"/>
    <w:rsid w:val="297D6602"/>
    <w:rsid w:val="29AC27F2"/>
    <w:rsid w:val="29CD65E7"/>
    <w:rsid w:val="2A2C2137"/>
    <w:rsid w:val="2A3830DB"/>
    <w:rsid w:val="2ABA5B52"/>
    <w:rsid w:val="2CAB45BE"/>
    <w:rsid w:val="2F557C1E"/>
    <w:rsid w:val="2F927575"/>
    <w:rsid w:val="2FA92955"/>
    <w:rsid w:val="30B564F9"/>
    <w:rsid w:val="30C15055"/>
    <w:rsid w:val="326D2EF6"/>
    <w:rsid w:val="32A70461"/>
    <w:rsid w:val="33A579C3"/>
    <w:rsid w:val="34C15E85"/>
    <w:rsid w:val="34E45D5E"/>
    <w:rsid w:val="3754296A"/>
    <w:rsid w:val="37FC1E64"/>
    <w:rsid w:val="3A217E73"/>
    <w:rsid w:val="3C671B1F"/>
    <w:rsid w:val="3CB5751C"/>
    <w:rsid w:val="3CD26DF7"/>
    <w:rsid w:val="3D2A3B3A"/>
    <w:rsid w:val="3D492028"/>
    <w:rsid w:val="3D8F2813"/>
    <w:rsid w:val="3DD11BB1"/>
    <w:rsid w:val="3DF13867"/>
    <w:rsid w:val="3E501967"/>
    <w:rsid w:val="3F6017FF"/>
    <w:rsid w:val="3FDB52CF"/>
    <w:rsid w:val="40251D40"/>
    <w:rsid w:val="416052AD"/>
    <w:rsid w:val="42BA3EF3"/>
    <w:rsid w:val="43560B4A"/>
    <w:rsid w:val="441E71AF"/>
    <w:rsid w:val="45233DFE"/>
    <w:rsid w:val="471D2D10"/>
    <w:rsid w:val="47A11B3D"/>
    <w:rsid w:val="4896639C"/>
    <w:rsid w:val="49403E2B"/>
    <w:rsid w:val="496438D9"/>
    <w:rsid w:val="4A0550BC"/>
    <w:rsid w:val="4BC07357"/>
    <w:rsid w:val="4C2A705C"/>
    <w:rsid w:val="4C353375"/>
    <w:rsid w:val="4CBF0990"/>
    <w:rsid w:val="4D9D385D"/>
    <w:rsid w:val="4DCE1C69"/>
    <w:rsid w:val="4EE917DD"/>
    <w:rsid w:val="4F031B9F"/>
    <w:rsid w:val="50C51959"/>
    <w:rsid w:val="517A08EF"/>
    <w:rsid w:val="519D41D2"/>
    <w:rsid w:val="538B18E9"/>
    <w:rsid w:val="572669EE"/>
    <w:rsid w:val="57AA262B"/>
    <w:rsid w:val="58C16652"/>
    <w:rsid w:val="59957394"/>
    <w:rsid w:val="5A3745DC"/>
    <w:rsid w:val="5A706581"/>
    <w:rsid w:val="5A7343D5"/>
    <w:rsid w:val="5B01542B"/>
    <w:rsid w:val="5B5A3832"/>
    <w:rsid w:val="5DD567A0"/>
    <w:rsid w:val="5E38706C"/>
    <w:rsid w:val="5E7128C8"/>
    <w:rsid w:val="5EA26F25"/>
    <w:rsid w:val="5F306749"/>
    <w:rsid w:val="6016618A"/>
    <w:rsid w:val="60ED6BD6"/>
    <w:rsid w:val="60FD4D7D"/>
    <w:rsid w:val="61030526"/>
    <w:rsid w:val="615F7CD2"/>
    <w:rsid w:val="62674F8F"/>
    <w:rsid w:val="62D41677"/>
    <w:rsid w:val="640400A0"/>
    <w:rsid w:val="64B21544"/>
    <w:rsid w:val="66A460B1"/>
    <w:rsid w:val="670742E2"/>
    <w:rsid w:val="693055F0"/>
    <w:rsid w:val="6A8E12F3"/>
    <w:rsid w:val="6B034790"/>
    <w:rsid w:val="6BD90660"/>
    <w:rsid w:val="6C7A2647"/>
    <w:rsid w:val="70001CFE"/>
    <w:rsid w:val="717273D1"/>
    <w:rsid w:val="737B68CA"/>
    <w:rsid w:val="73817F82"/>
    <w:rsid w:val="74D25BD2"/>
    <w:rsid w:val="75456AFF"/>
    <w:rsid w:val="77422BFC"/>
    <w:rsid w:val="777432FF"/>
    <w:rsid w:val="77943A46"/>
    <w:rsid w:val="78E30746"/>
    <w:rsid w:val="78F16E4D"/>
    <w:rsid w:val="7AC72B3C"/>
    <w:rsid w:val="7AEC081D"/>
    <w:rsid w:val="7B315BCA"/>
    <w:rsid w:val="7E0A06F7"/>
    <w:rsid w:val="7E2D5A76"/>
    <w:rsid w:val="7E4911B7"/>
    <w:rsid w:val="7FF37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9"/>
    <w:pPr>
      <w:keepNext/>
      <w:keepLines/>
      <w:widowControl w:val="0"/>
      <w:adjustRightInd w:val="0"/>
      <w:spacing w:before="260" w:after="260"/>
      <w:jc w:val="center"/>
      <w:textAlignment w:val="baseline"/>
      <w:outlineLvl w:val="1"/>
    </w:pPr>
    <w:rPr>
      <w:rFonts w:hint="eastAsia" w:ascii="宋体" w:hAnsi="宋体" w:eastAsia="宋体" w:cs="Times New Roman"/>
      <w:b/>
      <w:bCs/>
      <w:sz w:val="24"/>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semiHidden/>
    <w:unhideWhenUsed/>
    <w:qFormat/>
    <w:uiPriority w:val="0"/>
    <w:pPr>
      <w:spacing w:line="360" w:lineRule="auto"/>
      <w:ind w:firstLine="420" w:firstLineChars="200"/>
    </w:pPr>
    <w:rPr>
      <w:sz w:val="24"/>
      <w:szCs w:val="20"/>
    </w:rPr>
  </w:style>
  <w:style w:type="paragraph" w:styleId="4">
    <w:name w:val="Body Text"/>
    <w:basedOn w:val="1"/>
    <w:unhideWhenUsed/>
    <w:qFormat/>
    <w:uiPriority w:val="0"/>
    <w:pPr>
      <w:spacing w:after="120"/>
    </w:pPr>
  </w:style>
  <w:style w:type="paragraph" w:styleId="5">
    <w:name w:val="Plain Text"/>
    <w:basedOn w:val="1"/>
    <w:qFormat/>
    <w:uiPriority w:val="99"/>
    <w:rPr>
      <w:rFonts w:ascii="宋体" w:hAnsi="Courier New" w:eastAsia="宋体" w:cs="Times New Roman"/>
      <w:kern w:val="0"/>
      <w:sz w:val="20"/>
      <w:szCs w:val="20"/>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333333"/>
      <w:u w:val="none"/>
    </w:rPr>
  </w:style>
  <w:style w:type="character" w:styleId="15">
    <w:name w:val="Hyperlink"/>
    <w:basedOn w:val="12"/>
    <w:qFormat/>
    <w:uiPriority w:val="0"/>
    <w:rPr>
      <w:color w:val="333333"/>
      <w:u w:val="none"/>
    </w:rPr>
  </w:style>
  <w:style w:type="character" w:customStyle="1" w:styleId="16">
    <w:name w:val="font11"/>
    <w:basedOn w:val="12"/>
    <w:qFormat/>
    <w:uiPriority w:val="0"/>
    <w:rPr>
      <w:rFonts w:hint="eastAsia" w:ascii="宋体" w:hAnsi="宋体" w:eastAsia="宋体" w:cs="宋体"/>
      <w:color w:val="000000"/>
      <w:sz w:val="20"/>
      <w:szCs w:val="20"/>
      <w:u w:val="none"/>
    </w:rPr>
  </w:style>
  <w:style w:type="character" w:customStyle="1" w:styleId="17">
    <w:name w:val="first-child"/>
    <w:basedOn w:val="12"/>
    <w:qFormat/>
    <w:uiPriority w:val="0"/>
  </w:style>
  <w:style w:type="character" w:customStyle="1" w:styleId="18">
    <w:name w:val="hover11"/>
    <w:basedOn w:val="12"/>
    <w:qFormat/>
    <w:uiPriority w:val="0"/>
    <w:rPr>
      <w:color w:val="1E9FFF"/>
    </w:rPr>
  </w:style>
  <w:style w:type="character" w:customStyle="1" w:styleId="19">
    <w:name w:val="hover12"/>
    <w:basedOn w:val="12"/>
    <w:qFormat/>
    <w:uiPriority w:val="0"/>
    <w:rPr>
      <w:color w:val="FFFFFF"/>
    </w:rPr>
  </w:style>
  <w:style w:type="character" w:customStyle="1" w:styleId="20">
    <w:name w:val="hover13"/>
    <w:basedOn w:val="12"/>
    <w:qFormat/>
    <w:uiPriority w:val="0"/>
    <w:rPr>
      <w:color w:val="1E9FFF"/>
    </w:rPr>
  </w:style>
  <w:style w:type="character" w:customStyle="1" w:styleId="21">
    <w:name w:val="layui-laypage-curr"/>
    <w:basedOn w:val="12"/>
    <w:qFormat/>
    <w:uiPriority w:val="0"/>
  </w:style>
  <w:style w:type="character" w:customStyle="1" w:styleId="22">
    <w:name w:val="layui-this4"/>
    <w:basedOn w:val="12"/>
    <w:qFormat/>
    <w:uiPriority w:val="0"/>
    <w:rPr>
      <w:bdr w:val="single" w:color="EEEEEE" w:sz="6" w:space="0"/>
      <w:shd w:val="clear" w:fill="FFFFFF"/>
    </w:rPr>
  </w:style>
  <w:style w:type="paragraph" w:customStyle="1" w:styleId="23">
    <w:name w:val="Default"/>
    <w:qFormat/>
    <w:uiPriority w:val="0"/>
    <w:pPr>
      <w:widowControl w:val="0"/>
      <w:autoSpaceDE w:val="0"/>
      <w:autoSpaceDN w:val="0"/>
      <w:adjustRightInd w:val="0"/>
    </w:pPr>
    <w:rPr>
      <w:rFonts w:ascii="仿宋" w:hAnsi="仿宋" w:eastAsia="宋体"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4188</Words>
  <Characters>4582</Characters>
  <Lines>0</Lines>
  <Paragraphs>0</Paragraphs>
  <TotalTime>21</TotalTime>
  <ScaleCrop>false</ScaleCrop>
  <LinksUpToDate>false</LinksUpToDate>
  <CharactersWithSpaces>4890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2022-09-19T02:57:00Z</dcterms:created>
  <dc:creator>Administrator</dc:creator>
  <cp:lastModifiedBy>Mr杨</cp:lastModifiedBy>
  <dcterms:modified xsi:type="dcterms:W3CDTF">2026-07-23T03:36:07Z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7E598296861C408893452E871F8ACA91</vt:lpwstr>
  </property>
  <property fmtid="{D5CDD505-2E9C-101B-9397-08002B2CF9AE}" pid="4" name="KSOTemplateDocerSaveRecord">
    <vt:lpwstr>eyJoZGlkIjoiY2M2NTc0Zjc2NDE3NGFkOTI5NjYyMDgyYjFlMWRmM2UiLCJ1c2VySWQiOiI2NTI1MTA2OTAifQ==</vt:lpwstr>
  </property>
</Properties>
</file>