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6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915"/>
        <w:gridCol w:w="1595"/>
        <w:gridCol w:w="2189"/>
        <w:gridCol w:w="2222"/>
        <w:gridCol w:w="915"/>
      </w:tblGrid>
      <w:tr w14:paraId="6FB66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0" w:type="dxa"/>
            <w:gridSpan w:val="6"/>
            <w:noWrap w:val="0"/>
            <w:vAlign w:val="top"/>
          </w:tcPr>
          <w:p w14:paraId="3E97920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课程方案综合评分表</w:t>
            </w:r>
          </w:p>
        </w:tc>
      </w:tr>
      <w:tr w14:paraId="38D7C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4" w:type="dxa"/>
            <w:vMerge w:val="restart"/>
            <w:noWrap w:val="0"/>
            <w:vAlign w:val="top"/>
          </w:tcPr>
          <w:p w14:paraId="7C0AF562">
            <w:pPr>
              <w:spacing w:line="560" w:lineRule="exact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915" w:type="dxa"/>
            <w:noWrap w:val="0"/>
            <w:vAlign w:val="top"/>
          </w:tcPr>
          <w:p w14:paraId="1524CF61">
            <w:pPr>
              <w:spacing w:line="560" w:lineRule="exact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机构名称</w:t>
            </w:r>
          </w:p>
        </w:tc>
        <w:tc>
          <w:tcPr>
            <w:tcW w:w="1595" w:type="dxa"/>
            <w:noWrap w:val="0"/>
            <w:vAlign w:val="top"/>
          </w:tcPr>
          <w:p w14:paraId="7FF91E7F">
            <w:pPr>
              <w:spacing w:line="560" w:lineRule="exact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价格得分</w:t>
            </w:r>
          </w:p>
        </w:tc>
        <w:tc>
          <w:tcPr>
            <w:tcW w:w="2189" w:type="dxa"/>
            <w:noWrap w:val="0"/>
            <w:vAlign w:val="top"/>
          </w:tcPr>
          <w:p w14:paraId="3C1803E5">
            <w:pPr>
              <w:spacing w:line="560" w:lineRule="exact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讲师质量得分</w:t>
            </w:r>
          </w:p>
        </w:tc>
        <w:tc>
          <w:tcPr>
            <w:tcW w:w="2222" w:type="dxa"/>
            <w:noWrap w:val="0"/>
            <w:vAlign w:val="top"/>
          </w:tcPr>
          <w:p w14:paraId="577F9538">
            <w:pPr>
              <w:spacing w:line="560" w:lineRule="exact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课程内容得分</w:t>
            </w:r>
          </w:p>
        </w:tc>
        <w:tc>
          <w:tcPr>
            <w:tcW w:w="915" w:type="dxa"/>
            <w:noWrap w:val="0"/>
            <w:vAlign w:val="top"/>
          </w:tcPr>
          <w:p w14:paraId="31808B10">
            <w:pPr>
              <w:spacing w:line="560" w:lineRule="exact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总分</w:t>
            </w:r>
          </w:p>
        </w:tc>
      </w:tr>
      <w:tr w14:paraId="2B31B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4" w:type="dxa"/>
            <w:vMerge w:val="continue"/>
            <w:noWrap w:val="0"/>
            <w:vAlign w:val="top"/>
          </w:tcPr>
          <w:p w14:paraId="6E4213E6">
            <w:pPr>
              <w:spacing w:line="560" w:lineRule="exact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top"/>
          </w:tcPr>
          <w:p w14:paraId="230BD68F">
            <w:pPr>
              <w:spacing w:line="560" w:lineRule="exact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得分权重</w:t>
            </w:r>
          </w:p>
        </w:tc>
        <w:tc>
          <w:tcPr>
            <w:tcW w:w="1595" w:type="dxa"/>
            <w:noWrap w:val="0"/>
            <w:vAlign w:val="top"/>
          </w:tcPr>
          <w:p w14:paraId="0DE39547">
            <w:pPr>
              <w:spacing w:line="560" w:lineRule="exact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10%</w:t>
            </w:r>
          </w:p>
        </w:tc>
        <w:tc>
          <w:tcPr>
            <w:tcW w:w="2189" w:type="dxa"/>
            <w:noWrap w:val="0"/>
            <w:vAlign w:val="top"/>
          </w:tcPr>
          <w:p w14:paraId="36CBA886">
            <w:pPr>
              <w:spacing w:line="560" w:lineRule="exact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45%</w:t>
            </w:r>
          </w:p>
        </w:tc>
        <w:tc>
          <w:tcPr>
            <w:tcW w:w="2222" w:type="dxa"/>
            <w:noWrap w:val="0"/>
            <w:vAlign w:val="top"/>
          </w:tcPr>
          <w:p w14:paraId="77E39D04">
            <w:pPr>
              <w:spacing w:line="560" w:lineRule="exact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45%</w:t>
            </w:r>
          </w:p>
        </w:tc>
        <w:tc>
          <w:tcPr>
            <w:tcW w:w="915" w:type="dxa"/>
            <w:noWrap w:val="0"/>
            <w:vAlign w:val="top"/>
          </w:tcPr>
          <w:p w14:paraId="0057E339">
            <w:pPr>
              <w:spacing w:line="560" w:lineRule="exac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68993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9" w:type="dxa"/>
            <w:gridSpan w:val="2"/>
            <w:noWrap w:val="0"/>
            <w:vAlign w:val="top"/>
          </w:tcPr>
          <w:p w14:paraId="6AAA148C">
            <w:pPr>
              <w:spacing w:line="560" w:lineRule="exac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595" w:type="dxa"/>
            <w:noWrap w:val="0"/>
            <w:vAlign w:val="top"/>
          </w:tcPr>
          <w:p w14:paraId="3C8D0ECE">
            <w:pPr>
              <w:spacing w:line="560" w:lineRule="exac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189" w:type="dxa"/>
            <w:noWrap w:val="0"/>
            <w:vAlign w:val="top"/>
          </w:tcPr>
          <w:p w14:paraId="4AB56103">
            <w:pPr>
              <w:spacing w:line="560" w:lineRule="exac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222" w:type="dxa"/>
            <w:noWrap w:val="0"/>
            <w:vAlign w:val="top"/>
          </w:tcPr>
          <w:p w14:paraId="0DC7C460">
            <w:pPr>
              <w:spacing w:line="560" w:lineRule="exac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915" w:type="dxa"/>
            <w:noWrap w:val="0"/>
            <w:vAlign w:val="top"/>
          </w:tcPr>
          <w:p w14:paraId="037769BC">
            <w:pPr>
              <w:spacing w:line="560" w:lineRule="exac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47D2C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9" w:type="dxa"/>
            <w:gridSpan w:val="2"/>
            <w:noWrap w:val="0"/>
            <w:vAlign w:val="top"/>
          </w:tcPr>
          <w:p w14:paraId="380E4E33">
            <w:pPr>
              <w:spacing w:line="560" w:lineRule="exac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595" w:type="dxa"/>
            <w:noWrap w:val="0"/>
            <w:vAlign w:val="top"/>
          </w:tcPr>
          <w:p w14:paraId="40929180">
            <w:pPr>
              <w:spacing w:line="560" w:lineRule="exac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189" w:type="dxa"/>
            <w:noWrap w:val="0"/>
            <w:vAlign w:val="top"/>
          </w:tcPr>
          <w:p w14:paraId="4AB6BDB5">
            <w:pPr>
              <w:spacing w:line="560" w:lineRule="exac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222" w:type="dxa"/>
            <w:noWrap w:val="0"/>
            <w:vAlign w:val="top"/>
          </w:tcPr>
          <w:p w14:paraId="7AF4E8B5">
            <w:pPr>
              <w:spacing w:line="560" w:lineRule="exac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915" w:type="dxa"/>
            <w:noWrap w:val="0"/>
            <w:vAlign w:val="top"/>
          </w:tcPr>
          <w:p w14:paraId="654F4EB1">
            <w:pPr>
              <w:spacing w:line="560" w:lineRule="exac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653C1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0" w:type="dxa"/>
            <w:gridSpan w:val="6"/>
            <w:noWrap w:val="0"/>
            <w:vAlign w:val="top"/>
          </w:tcPr>
          <w:p w14:paraId="33572A02">
            <w:pPr>
              <w:spacing w:line="560" w:lineRule="exact"/>
              <w:ind w:firstLine="474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填写说明：</w:t>
            </w:r>
          </w:p>
          <w:p w14:paraId="4556831A">
            <w:pPr>
              <w:spacing w:line="560" w:lineRule="exact"/>
              <w:ind w:firstLine="474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1、各维度得分为百分制，总分为各维度加权平均分。</w:t>
            </w:r>
          </w:p>
          <w:p w14:paraId="289BFC0B">
            <w:pPr>
              <w:spacing w:line="560" w:lineRule="exact"/>
              <w:ind w:firstLine="474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2、价格维度评分中，价格越低评分越高，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价格得分=有效报价最低分/各家实际报价*30%*100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。</w:t>
            </w:r>
          </w:p>
          <w:p w14:paraId="6E87B16D">
            <w:pPr>
              <w:spacing w:line="560" w:lineRule="exact"/>
              <w:ind w:firstLine="474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、讲师质量维度评分中，讲师专业程度越高，得分越高，该维度得分为机构所提供各个讲师得分的平均分，每位讲师具体评分档次可参考以下标准：讲师需在珠宝、交易平台领域有至少5年以上从业经验（含高校相关专业教师），符合该标准的讲师得60分，以下条件每满足一项加10分，加分封顶40分：（1）曾为企业讲授珠宝、交易平台领域课程或在行业峰会、论坛等进行分享3次或以上。（2）在珠宝行业从业超过10年。（3）曾在或正在珠宝行业企业就职高级顾问或高管。（4）具备三次以上主持大型珠宝、交易平台相关项目的经验。</w:t>
            </w:r>
          </w:p>
          <w:p w14:paraId="1CDD6825">
            <w:pPr>
              <w:spacing w:line="560" w:lineRule="exact"/>
              <w:ind w:firstLine="474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、课程内容维度评分中，课程越贴合公司需求，得分越高，具体评分档次可参考以下标准：机构需按照公司要求提供珠宝、交易平台相关的课程，并根据公司实际情况进行调整课程内容，符合该标准的机构得60分，以下条件每满足一项加10分，加分封顶40分：（1）课程内容符合公司未来业务发展需要，切合业务痛点。（2）课程内容包含较多珠宝行业相关案例。（3）课程内容包含较多与珠宝行业发展趋势、商业逻辑相关内容。（4）课程能够合理设置互动、演练等环节。（5）课程后续可提供回访、答疑服务。</w:t>
            </w:r>
          </w:p>
          <w:p w14:paraId="7E6C098C">
            <w:pPr>
              <w:spacing w:line="560" w:lineRule="exact"/>
              <w:ind w:firstLine="474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5、机构评分由业务部门负责人、人资部进行评分，其中业务部门负责人评分占比50%，其余人员评分权重相等，占比总和为50%。</w:t>
            </w:r>
          </w:p>
        </w:tc>
      </w:tr>
    </w:tbl>
    <w:p w14:paraId="6777A4A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2803A0"/>
    <w:rsid w:val="7D28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2026-09-22T01:10:00Z</dcterms:created>
  <dc:creator>WPS_1785146943</dc:creator>
  <cp:lastModifiedBy>WPS_1785146943</cp:lastModifiedBy>
  <dcterms:modified xsi:type="dcterms:W3CDTF">2026-09-22T01:12:03Z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8F2C5558591C448FB1831591D0912B7B_11</vt:lpwstr>
  </property>
  <property fmtid="{D5CDD505-2E9C-101B-9397-08002B2CF9AE}" pid="4" name="KSOTemplateDocerSaveRecord">
    <vt:lpwstr>eyJoZGlkIjoiNGJhMWQwZDNhZDUyOGMzMzhlNzk5NGNjMDdhZGU3NjQiLCJ1c2VySWQiOiIxODc4NDAwMjkzIn0=</vt:lpwstr>
  </property>
</Properties>
</file>