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739" w:type="dxa"/>
        <w:jc w:val="center"/>
        <w:tblCellSpacing w:w="7" w:type="dxa"/>
        <w:shd w:val="clear" w:color="auto" w:fill="000000"/>
        <w:tblLayout w:type="autofit"/>
        <w:tblCellMar>
          <w:top w:w="0" w:type="dxa"/>
          <w:left w:w="0" w:type="dxa"/>
          <w:bottom w:w="0" w:type="dxa"/>
          <w:right w:w="0" w:type="dxa"/>
        </w:tblCellMar>
      </w:tblPr>
      <w:tblGrid>
        <w:gridCol w:w="9739"/>
      </w:tblGrid>
      <w:tr>
        <w:tblPrEx>
          <w:tblCellMar>
            <w:top w:w="0" w:type="dxa"/>
            <w:left w:w="0" w:type="dxa"/>
            <w:bottom w:w="0" w:type="dxa"/>
            <w:right w:w="0" w:type="dxa"/>
          </w:tblCellMar>
        </w:tblPrEx>
        <w:trPr>
          <w:trHeight w:val="4756" w:hRule="atLeast"/>
          <w:tblCellSpacing w:w="7" w:type="dxa"/>
          <w:jc w:val="center"/>
        </w:trPr>
        <w:tc>
          <w:tcPr>
            <w:tcW w:w="9579" w:type="dxa"/>
            <w:shd w:val="clear" w:color="auto" w:fill="FFFFFF"/>
          </w:tcPr>
          <w:tbl>
            <w:tblPr>
              <w:tblStyle w:val="10"/>
              <w:tblW w:w="4900" w:type="pct"/>
              <w:jc w:val="center"/>
              <w:tblCellSpacing w:w="0" w:type="dxa"/>
              <w:shd w:val="clear" w:color="auto" w:fill="FFFFFF"/>
              <w:tblLayout w:type="autofit"/>
              <w:tblCellMar>
                <w:top w:w="0" w:type="dxa"/>
                <w:left w:w="0" w:type="dxa"/>
                <w:bottom w:w="0" w:type="dxa"/>
                <w:right w:w="0" w:type="dxa"/>
              </w:tblCellMar>
            </w:tblPr>
            <w:tblGrid>
              <w:gridCol w:w="9517"/>
            </w:tblGrid>
            <w:tr>
              <w:tblPrEx>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sz w:val="20"/>
                      <w:szCs w:val="20"/>
                    </w:rPr>
                  </w:pPr>
                  <w:r>
                    <w:rPr>
                      <w:rFonts w:hint="eastAsia" w:ascii="黑体" w:hAnsi="黑体" w:eastAsia="黑体" w:cs="黑体"/>
                      <w:b/>
                      <w:bCs/>
                      <w:color w:val="0000FF"/>
                      <w:kern w:val="0"/>
                      <w:sz w:val="48"/>
                      <w:szCs w:val="48"/>
                      <w:lang w:eastAsia="zh-CN" w:bidi="ar"/>
                    </w:rPr>
                    <w:t>采购</w:t>
                  </w:r>
                  <w:r>
                    <w:rPr>
                      <w:rFonts w:hint="eastAsia" w:ascii="黑体" w:hAnsi="黑体" w:eastAsia="黑体" w:cs="黑体"/>
                      <w:b/>
                      <w:bCs/>
                      <w:color w:val="0000FF"/>
                      <w:kern w:val="0"/>
                      <w:sz w:val="48"/>
                      <w:szCs w:val="48"/>
                      <w:lang w:bidi="ar"/>
                    </w:rPr>
                    <w:t>项目信息公开</w:t>
                  </w: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10"/>
                    <w:tblW w:w="5000" w:type="pct"/>
                    <w:jc w:val="center"/>
                    <w:tblCellSpacing w:w="0" w:type="dxa"/>
                    <w:tblLayout w:type="autofit"/>
                    <w:tblCellMar>
                      <w:top w:w="75" w:type="dxa"/>
                      <w:left w:w="75" w:type="dxa"/>
                      <w:bottom w:w="75" w:type="dxa"/>
                      <w:right w:w="75" w:type="dxa"/>
                    </w:tblCellMar>
                  </w:tblPr>
                  <w:tblGrid>
                    <w:gridCol w:w="9517"/>
                  </w:tblGrid>
                  <w:tr>
                    <w:tblPrEx>
                      <w:tblCellMar>
                        <w:top w:w="75" w:type="dxa"/>
                        <w:left w:w="75" w:type="dxa"/>
                        <w:bottom w:w="75" w:type="dxa"/>
                        <w:right w:w="75" w:type="dxa"/>
                      </w:tblCellMar>
                    </w:tblPrEx>
                    <w:trPr>
                      <w:tblCellSpacing w:w="0" w:type="dxa"/>
                      <w:jc w:val="center"/>
                    </w:trPr>
                    <w:tc>
                      <w:tcPr>
                        <w:tcW w:w="0" w:type="auto"/>
                        <w:shd w:val="clear" w:color="auto" w:fill="auto"/>
                        <w:vAlign w:val="center"/>
                      </w:tcPr>
                      <w:tbl>
                        <w:tblPr>
                          <w:tblStyle w:val="10"/>
                          <w:tblpPr w:leftFromText="180" w:rightFromText="180" w:vertAnchor="text" w:horzAnchor="page" w:tblpX="652" w:tblpY="514"/>
                          <w:tblOverlap w:val="never"/>
                          <w:tblW w:w="851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688"/>
                          <w:gridCol w:w="682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1081" w:hRule="atLeast"/>
                          </w:trPr>
                          <w:tc>
                            <w:tcPr>
                              <w:tcW w:w="0" w:type="auto"/>
                              <w:gridSpan w:val="2"/>
                              <w:shd w:val="clear" w:color="auto" w:fill="auto"/>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firstLine="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val="en-US" w:eastAsia="zh-CN" w:bidi="ar"/>
                                </w:rPr>
                                <w:t>根据深圳市大鹏新区发展和财政局关于做好自行采购信息化管理试点工作的通知要求，现将本项目有关情况向社会公开: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w:t>
                              </w:r>
                              <w:r>
                                <w:rPr>
                                  <w:rFonts w:hint="eastAsia" w:ascii="CESI仿宋-GB2312" w:hAnsi="CESI仿宋-GB2312" w:eastAsia="CESI仿宋-GB2312" w:cs="CESI仿宋-GB2312"/>
                                  <w:b w:val="0"/>
                                  <w:bCs w:val="0"/>
                                  <w:kern w:val="0"/>
                                  <w:sz w:val="24"/>
                                  <w:szCs w:val="24"/>
                                  <w:lang w:val="en-US" w:eastAsia="zh-CN" w:bidi="ar"/>
                                </w:rPr>
                                <w:t>目名称：</w:t>
                              </w:r>
                              <w:r>
                                <w:rPr>
                                  <w:rFonts w:hint="eastAsia" w:ascii="CESI仿宋-GB2312" w:hAnsi="CESI仿宋-GB2312" w:eastAsia="CESI仿宋-GB2312" w:cs="CESI仿宋-GB2312"/>
                                  <w:b w:val="0"/>
                                  <w:bCs w:val="0"/>
                                  <w:sz w:val="24"/>
                                  <w:szCs w:val="24"/>
                                </w:rPr>
                                <w:t>大鹏办事处</w:t>
                              </w:r>
                              <w:r>
                                <w:rPr>
                                  <w:rFonts w:hint="eastAsia" w:ascii="CESI仿宋-GB2312" w:hAnsi="CESI仿宋-GB2312" w:eastAsia="CESI仿宋-GB2312" w:cs="CESI仿宋-GB2312"/>
                                  <w:b w:val="0"/>
                                  <w:bCs w:val="0"/>
                                  <w:sz w:val="24"/>
                                  <w:szCs w:val="24"/>
                                  <w:lang w:val="en-US" w:eastAsia="zh-CN"/>
                                </w:rPr>
                                <w:t>2025年残疾人职康中心配餐服务项目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5" w:hRule="atLeast"/>
                          </w:trPr>
                          <w:tc>
                            <w:tcPr>
                              <w:tcW w:w="1578" w:type="dxa"/>
                              <w:vMerge w:val="restart"/>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 xml:space="preserve">实施购买前公开的信息 </w:t>
                              </w:r>
                            </w:p>
                          </w:tc>
                          <w:tc>
                            <w:tcPr>
                              <w:tcW w:w="6933" w:type="dxa"/>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jc w:val="left"/>
                                <w:textAlignment w:val="baseline"/>
                                <w:outlineLvl w:val="1"/>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eastAsia="zh-CN"/>
                                </w:rPr>
                                <w:t>服务内容：该项目采取“包工包料”的模式，由供应商配送</w:t>
                              </w:r>
                              <w:r>
                                <w:rPr>
                                  <w:rFonts w:hint="eastAsia" w:ascii="CESI仿宋-GB2312" w:hAnsi="CESI仿宋-GB2312" w:eastAsia="CESI仿宋-GB2312" w:cs="CESI仿宋-GB2312"/>
                                  <w:sz w:val="24"/>
                                  <w:szCs w:val="24"/>
                                  <w:lang w:val="en-US" w:eastAsia="zh-CN"/>
                                </w:rPr>
                                <w:t>优质新鲜的食材并</w:t>
                              </w:r>
                              <w:r>
                                <w:rPr>
                                  <w:rFonts w:hint="eastAsia" w:ascii="CESI仿宋-GB2312" w:hAnsi="CESI仿宋-GB2312" w:eastAsia="CESI仿宋-GB2312" w:cs="CESI仿宋-GB2312"/>
                                  <w:sz w:val="24"/>
                                  <w:szCs w:val="24"/>
                                  <w:lang w:eastAsia="zh-CN"/>
                                </w:rPr>
                                <w:t>派驻</w:t>
                              </w: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shd w:val="clear" w:color="auto" w:fill="FFFFFF"/>
                                  <w:lang w:val="en-US" w:eastAsia="zh-CN"/>
                                </w:rPr>
                                <w:t>名</w:t>
                              </w:r>
                              <w:r>
                                <w:rPr>
                                  <w:rFonts w:hint="eastAsia" w:ascii="CESI仿宋-GB2312" w:hAnsi="CESI仿宋-GB2312" w:eastAsia="CESI仿宋-GB2312" w:cs="CESI仿宋-GB2312"/>
                                  <w:sz w:val="24"/>
                                  <w:szCs w:val="24"/>
                                  <w:lang w:val="en-US" w:eastAsia="zh-CN"/>
                                </w:rPr>
                                <w:t>专业配餐员到职康中心食堂，现场制作餐食，负责工作日中餐的供餐服务。（</w:t>
                              </w:r>
                              <w:r>
                                <w:rPr>
                                  <w:rFonts w:hint="eastAsia" w:ascii="CESI仿宋-GB2312" w:hAnsi="CESI仿宋-GB2312" w:eastAsia="CESI仿宋-GB2312" w:cs="CESI仿宋-GB2312"/>
                                  <w:sz w:val="24"/>
                                  <w:szCs w:val="24"/>
                                  <w:lang w:eastAsia="zh-CN"/>
                                </w:rPr>
                                <w:t>根据</w:t>
                              </w:r>
                              <w:r>
                                <w:rPr>
                                  <w:rFonts w:hint="eastAsia" w:ascii="CESI仿宋-GB2312" w:hAnsi="CESI仿宋-GB2312" w:eastAsia="CESI仿宋-GB2312" w:cs="CESI仿宋-GB2312"/>
                                  <w:sz w:val="24"/>
                                  <w:szCs w:val="24"/>
                                  <w:lang w:val="en-US" w:eastAsia="zh-CN"/>
                                </w:rPr>
                                <w:t>2024年用餐情况，每日用餐人数为0－45人不等。）</w:t>
                              </w:r>
                            </w:p>
                            <w:p>
                              <w:pPr>
                                <w:pageBreakBefore w:val="0"/>
                                <w:widowControl w:val="0"/>
                                <w:kinsoku/>
                                <w:wordWrap/>
                                <w:overflowPunct/>
                                <w:topLinePunct w:val="0"/>
                                <w:autoSpaceDE/>
                                <w:autoSpaceDN/>
                                <w:bidi w:val="0"/>
                                <w:snapToGrid w:val="0"/>
                                <w:spacing w:line="240" w:lineRule="auto"/>
                                <w:ind w:firstLine="480" w:firstLineChars="200"/>
                                <w:jc w:val="left"/>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1、采用分餐制，菜品保证为菜品保证不低于三菜一汤（一荤菜一半荤菜）。</w:t>
                              </w:r>
                            </w:p>
                            <w:p>
                              <w:pPr>
                                <w:pageBreakBefore w:val="0"/>
                                <w:widowControl w:val="0"/>
                                <w:kinsoku/>
                                <w:wordWrap/>
                                <w:overflowPunct/>
                                <w:topLinePunct w:val="0"/>
                                <w:autoSpaceDE/>
                                <w:autoSpaceDN/>
                                <w:bidi w:val="0"/>
                                <w:snapToGrid w:val="0"/>
                                <w:spacing w:line="240" w:lineRule="auto"/>
                                <w:ind w:firstLine="480" w:firstLineChars="200"/>
                                <w:jc w:val="left"/>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w:t>
                              </w:r>
                              <w:r>
                                <w:rPr>
                                  <w:rFonts w:hint="eastAsia" w:ascii="CESI仿宋-GB2312" w:hAnsi="CESI仿宋-GB2312" w:eastAsia="CESI仿宋-GB2312" w:cs="CESI仿宋-GB2312"/>
                                  <w:sz w:val="24"/>
                                  <w:szCs w:val="24"/>
                                  <w:lang w:eastAsia="zh-CN"/>
                                </w:rPr>
                                <w:t>严禁供应腐烂变质的食品及非法渠道购买的食用油、地沟油等。</w:t>
                              </w:r>
                            </w:p>
                            <w:p>
                              <w:pPr>
                                <w:pageBreakBefore w:val="0"/>
                                <w:widowControl w:val="0"/>
                                <w:kinsoku/>
                                <w:wordWrap/>
                                <w:overflowPunct/>
                                <w:topLinePunct w:val="0"/>
                                <w:autoSpaceDE/>
                                <w:autoSpaceDN/>
                                <w:bidi w:val="0"/>
                                <w:snapToGrid w:val="0"/>
                                <w:spacing w:line="240" w:lineRule="auto"/>
                                <w:ind w:firstLine="480" w:firstLineChars="200"/>
                                <w:jc w:val="left"/>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w:t>
                              </w:r>
                              <w:r>
                                <w:rPr>
                                  <w:rFonts w:hint="eastAsia" w:ascii="CESI仿宋-GB2312" w:hAnsi="CESI仿宋-GB2312" w:eastAsia="CESI仿宋-GB2312" w:cs="CESI仿宋-GB2312"/>
                                  <w:sz w:val="24"/>
                                  <w:szCs w:val="24"/>
                                  <w:lang w:eastAsia="zh-CN"/>
                                </w:rPr>
                                <w:t>菜肴花色更新及时，一周内不出现</w:t>
                              </w:r>
                              <w:r>
                                <w:rPr>
                                  <w:rFonts w:hint="eastAsia" w:ascii="CESI仿宋-GB2312" w:hAnsi="CESI仿宋-GB2312" w:eastAsia="CESI仿宋-GB2312" w:cs="CESI仿宋-GB2312"/>
                                  <w:sz w:val="24"/>
                                  <w:szCs w:val="24"/>
                                  <w:lang w:val="en-US" w:eastAsia="zh-CN"/>
                                </w:rPr>
                                <w:t>2次以上完全相同品种菜肴，根据季节及工作需要调整就餐菜式，控制油及其他调味品用量，菜肴品种齐全，营养搭配合理；根据就餐情况，及时更新菜肴，杜绝浪费。</w:t>
                              </w:r>
                            </w:p>
                            <w:p>
                              <w:pPr>
                                <w:pageBreakBefore w:val="0"/>
                                <w:widowControl w:val="0"/>
                                <w:kinsoku/>
                                <w:wordWrap/>
                                <w:overflowPunct/>
                                <w:topLinePunct w:val="0"/>
                                <w:autoSpaceDE/>
                                <w:autoSpaceDN/>
                                <w:bidi w:val="0"/>
                                <w:snapToGrid w:val="0"/>
                                <w:spacing w:line="240" w:lineRule="auto"/>
                                <w:ind w:firstLine="480" w:firstLineChars="200"/>
                                <w:jc w:val="left"/>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4、</w:t>
                              </w:r>
                              <w:r>
                                <w:rPr>
                                  <w:rFonts w:hint="eastAsia" w:ascii="CESI仿宋-GB2312" w:hAnsi="CESI仿宋-GB2312" w:eastAsia="CESI仿宋-GB2312" w:cs="CESI仿宋-GB2312"/>
                                  <w:sz w:val="24"/>
                                  <w:szCs w:val="24"/>
                                  <w:lang w:eastAsia="zh-CN"/>
                                </w:rPr>
                                <w:t>供应商派驻的</w:t>
                              </w: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shd w:val="clear" w:color="auto" w:fill="FFFFFF"/>
                                  <w:lang w:val="en-US" w:eastAsia="zh-CN"/>
                                </w:rPr>
                                <w:t>名</w:t>
                              </w:r>
                              <w:r>
                                <w:rPr>
                                  <w:rFonts w:hint="eastAsia" w:ascii="CESI仿宋-GB2312" w:hAnsi="CESI仿宋-GB2312" w:eastAsia="CESI仿宋-GB2312" w:cs="CESI仿宋-GB2312"/>
                                  <w:sz w:val="24"/>
                                  <w:szCs w:val="24"/>
                                  <w:lang w:val="en-US" w:eastAsia="zh-CN"/>
                                </w:rPr>
                                <w:t>配餐人员同时负责食堂环境卫生清洁，保持食堂餐桌椅摆放整齐、桌上物品摆放有序；食堂地面、墙壁无污物；餐具整洁干净，摆放有序，餐具洗净后及时进行消毒，消毒、监测报告和消杀记录齐全。</w:t>
                              </w:r>
                            </w:p>
                            <w:p>
                              <w:pPr>
                                <w:pageBreakBefore w:val="0"/>
                                <w:widowControl w:val="0"/>
                                <w:kinsoku/>
                                <w:wordWrap/>
                                <w:overflowPunct/>
                                <w:topLinePunct w:val="0"/>
                                <w:autoSpaceDE/>
                                <w:autoSpaceDN/>
                                <w:bidi w:val="0"/>
                                <w:snapToGrid w:val="0"/>
                                <w:spacing w:line="240" w:lineRule="auto"/>
                                <w:ind w:firstLine="480" w:firstLineChars="200"/>
                                <w:jc w:val="left"/>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5、员工劳动保障，用人单位必须与员工签订书面劳动合同；用人单位必须按规定比例为员工购买社会保险；用人单位必须保障员工正常休息时间；必须执行《劳动法》有关员工保障的其它规定。</w:t>
                              </w:r>
                            </w:p>
                            <w:p>
                              <w:pPr>
                                <w:pageBreakBefore w:val="0"/>
                                <w:widowControl w:val="0"/>
                                <w:kinsoku/>
                                <w:wordWrap/>
                                <w:overflowPunct/>
                                <w:topLinePunct w:val="0"/>
                                <w:autoSpaceDE/>
                                <w:autoSpaceDN/>
                                <w:bidi w:val="0"/>
                                <w:snapToGrid w:val="0"/>
                                <w:spacing w:line="240" w:lineRule="auto"/>
                                <w:ind w:firstLine="480" w:firstLineChars="200"/>
                                <w:jc w:val="left"/>
                                <w:rPr>
                                  <w:rFonts w:hint="eastAsia"/>
                                  <w:lang w:val="en" w:eastAsia="zh-CN"/>
                                </w:rPr>
                              </w:pPr>
                              <w:r>
                                <w:rPr>
                                  <w:rFonts w:hint="eastAsia" w:ascii="CESI仿宋-GB2312" w:hAnsi="CESI仿宋-GB2312" w:eastAsia="CESI仿宋-GB2312" w:cs="CESI仿宋-GB2312"/>
                                  <w:sz w:val="24"/>
                                  <w:szCs w:val="24"/>
                                  <w:lang w:val="en-US" w:eastAsia="zh-CN"/>
                                </w:rPr>
                                <w:t>6、现场勘察。供应商报名后，预约采购单位到服务地点针对项目管理和服务要求进行现场勘察和答疑，采购单位将现场出具《现场勘察证明》。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trPr>
                          <w:tc>
                            <w:tcPr>
                              <w:tcW w:w="1578" w:type="dxa"/>
                              <w:vMerge w:val="continue"/>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CESI仿宋-GB2312" w:hAnsi="CESI仿宋-GB2312" w:eastAsia="CESI仿宋-GB2312" w:cs="CESI仿宋-GB2312"/>
                                  <w:kern w:val="0"/>
                                  <w:sz w:val="24"/>
                                  <w:szCs w:val="24"/>
                                  <w:lang w:val="en-US" w:eastAsia="zh-CN" w:bidi="ar"/>
                                </w:rPr>
                              </w:pP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项目预算金额：¥297,000.00元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eastAsia="zh-CN" w:bidi="ar"/>
                                </w:rPr>
                                <w:t>采购方式：</w:t>
                              </w:r>
                              <w:r>
                                <w:rPr>
                                  <w:rFonts w:hint="eastAsia" w:ascii="CESI仿宋-GB2312" w:hAnsi="CESI仿宋-GB2312" w:eastAsia="CESI仿宋-GB2312" w:cs="CESI仿宋-GB2312"/>
                                  <w:color w:val="auto"/>
                                  <w:sz w:val="24"/>
                                  <w:szCs w:val="24"/>
                                  <w:highlight w:val="none"/>
                                  <w:u w:val="none"/>
                                </w:rPr>
                                <w:t>询价采购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kern w:val="0"/>
                                  <w:sz w:val="24"/>
                                  <w:szCs w:val="24"/>
                                  <w:lang w:eastAsia="zh-CN" w:bidi="ar"/>
                                </w:rPr>
                              </w:pPr>
                              <w:r>
                                <w:rPr>
                                  <w:rFonts w:hint="eastAsia" w:ascii="CESI仿宋-GB2312" w:hAnsi="CESI仿宋-GB2312" w:eastAsia="CESI仿宋-GB2312" w:cs="CESI仿宋-GB2312"/>
                                  <w:kern w:val="0"/>
                                  <w:sz w:val="24"/>
                                  <w:szCs w:val="24"/>
                                  <w:lang w:eastAsia="zh-CN" w:bidi="ar"/>
                                </w:rPr>
                                <w:t>评审方法：</w:t>
                              </w:r>
                              <w:r>
                                <w:rPr>
                                  <w:rFonts w:hint="eastAsia" w:ascii="CESI仿宋-GB2312" w:hAnsi="CESI仿宋-GB2312" w:eastAsia="CESI仿宋-GB2312" w:cs="CESI仿宋-GB2312"/>
                                  <w:color w:val="auto"/>
                                  <w:sz w:val="24"/>
                                  <w:szCs w:val="24"/>
                                  <w:highlight w:val="none"/>
                                  <w:u w:val="none"/>
                                </w:rPr>
                                <w:t>最低评标价法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trPr>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bidi="ar"/>
                                </w:rPr>
                                <w:t xml:space="preserve">经本单位确认，上述公告信息真实、合规。 </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color w:val="000000"/>
                                  <w:sz w:val="24"/>
                                  <w:szCs w:val="24"/>
                                  <w:lang w:eastAsia="zh-CN"/>
                                </w:rPr>
                              </w:pPr>
                              <w:r>
                                <w:rPr>
                                  <w:rFonts w:hint="eastAsia" w:ascii="CESI仿宋-GB2312" w:hAnsi="CESI仿宋-GB2312" w:eastAsia="CESI仿宋-GB2312" w:cs="CESI仿宋-GB2312"/>
                                  <w:sz w:val="24"/>
                                  <w:szCs w:val="24"/>
                                </w:rPr>
                                <w:t>单位名称：</w:t>
                              </w:r>
                              <w:r>
                                <w:rPr>
                                  <w:rFonts w:hint="eastAsia" w:ascii="CESI仿宋-GB2312" w:hAnsi="CESI仿宋-GB2312" w:eastAsia="CESI仿宋-GB2312" w:cs="CESI仿宋-GB2312"/>
                                  <w:color w:val="000000"/>
                                  <w:sz w:val="24"/>
                                  <w:szCs w:val="24"/>
                                  <w:lang w:val="en-US" w:eastAsia="zh-CN"/>
                                </w:rPr>
                                <w:t>大鹏</w:t>
                              </w:r>
                              <w:r>
                                <w:rPr>
                                  <w:rFonts w:hint="eastAsia" w:ascii="CESI仿宋-GB2312" w:hAnsi="CESI仿宋-GB2312" w:eastAsia="CESI仿宋-GB2312" w:cs="CESI仿宋-GB2312"/>
                                  <w:color w:val="000000"/>
                                  <w:sz w:val="24"/>
                                  <w:szCs w:val="24"/>
                                  <w:lang w:eastAsia="zh-CN"/>
                                </w:rPr>
                                <w:t>新区大鹏</w:t>
                              </w:r>
                              <w:r>
                                <w:rPr>
                                  <w:rFonts w:hint="eastAsia" w:ascii="CESI仿宋-GB2312" w:hAnsi="CESI仿宋-GB2312" w:eastAsia="CESI仿宋-GB2312" w:cs="CESI仿宋-GB2312"/>
                                  <w:color w:val="000000"/>
                                  <w:sz w:val="24"/>
                                  <w:szCs w:val="24"/>
                                </w:rPr>
                                <w:t>办事处</w:t>
                              </w:r>
                              <w:r>
                                <w:rPr>
                                  <w:rFonts w:hint="eastAsia" w:ascii="CESI仿宋-GB2312" w:hAnsi="CESI仿宋-GB2312" w:eastAsia="CESI仿宋-GB2312" w:cs="CESI仿宋-GB2312"/>
                                  <w:color w:val="000000"/>
                                  <w:sz w:val="24"/>
                                  <w:szCs w:val="24"/>
                                  <w:lang w:val="en-US" w:eastAsia="zh-CN"/>
                                </w:rPr>
                                <w:t>公共服务办公室</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xml:space="preserve">地址： </w:t>
                              </w:r>
                              <w:r>
                                <w:rPr>
                                  <w:rFonts w:hint="eastAsia" w:ascii="CESI仿宋-GB2312" w:hAnsi="CESI仿宋-GB2312" w:eastAsia="CESI仿宋-GB2312" w:cs="CESI仿宋-GB2312"/>
                                  <w:b w:val="0"/>
                                  <w:bCs w:val="0"/>
                                  <w:sz w:val="24"/>
                                  <w:szCs w:val="24"/>
                                </w:rPr>
                                <w:t>大鹏办事处中山路5号</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联系人：</w:t>
                              </w:r>
                              <w:r>
                                <w:rPr>
                                  <w:rFonts w:hint="eastAsia" w:ascii="CESI仿宋-GB2312" w:hAnsi="CESI仿宋-GB2312" w:eastAsia="CESI仿宋-GB2312" w:cs="CESI仿宋-GB2312"/>
                                  <w:sz w:val="24"/>
                                  <w:szCs w:val="24"/>
                                  <w:lang w:eastAsia="zh-CN"/>
                                </w:rPr>
                                <w:t>曾工</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联系电话：</w:t>
                              </w:r>
                              <w:r>
                                <w:rPr>
                                  <w:rFonts w:hint="eastAsia" w:ascii="CESI仿宋-GB2312" w:hAnsi="CESI仿宋-GB2312" w:eastAsia="CESI仿宋-GB2312" w:cs="CESI仿宋-GB2312"/>
                                  <w:sz w:val="24"/>
                                  <w:szCs w:val="24"/>
                                  <w:lang w:val="en-US" w:eastAsia="zh-CN"/>
                                </w:rPr>
                                <w:t>0755-84301630</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公告期</w:t>
                              </w:r>
                              <w:r>
                                <w:rPr>
                                  <w:rFonts w:hint="eastAsia" w:ascii="CESI仿宋-GB2312" w:hAnsi="CESI仿宋-GB2312" w:eastAsia="CESI仿宋-GB2312" w:cs="CESI仿宋-GB2312"/>
                                  <w:sz w:val="24"/>
                                  <w:szCs w:val="24"/>
                                  <w:highlight w:val="none"/>
                                  <w:lang w:eastAsia="zh-CN"/>
                                </w:rPr>
                                <w:t>：</w:t>
                              </w:r>
                              <w:r>
                                <w:rPr>
                                  <w:rFonts w:hint="eastAsia" w:ascii="CESI仿宋-GB2312" w:hAnsi="CESI仿宋-GB2312" w:eastAsia="CESI仿宋-GB2312" w:cs="CESI仿宋-GB2312"/>
                                  <w:sz w:val="24"/>
                                  <w:szCs w:val="24"/>
                                  <w:highlight w:val="none"/>
                                  <w:lang w:val="en-US" w:eastAsia="zh-CN"/>
                                </w:rPr>
                                <w:t>2025年3月6日-2025年3月13日</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default" w:ascii="CESI仿宋-GB2312" w:hAnsi="CESI仿宋-GB2312" w:eastAsia="CESI仿宋-GB2312" w:cs="CESI仿宋-GB2312"/>
                                  <w:sz w:val="24"/>
                                  <w:szCs w:val="24"/>
                                  <w:lang w:val="en-US" w:eastAsia="zh-CN"/>
                                </w:rPr>
                              </w:pP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公告日期：202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年</w:t>
                              </w: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6</w:t>
                              </w:r>
                              <w:r>
                                <w:rPr>
                                  <w:rFonts w:hint="eastAsia" w:ascii="CESI仿宋-GB2312" w:hAnsi="CESI仿宋-GB2312" w:eastAsia="CESI仿宋-GB2312" w:cs="CESI仿宋-GB2312"/>
                                  <w:sz w:val="24"/>
                                  <w:szCs w:val="24"/>
                                </w:rPr>
                                <w:t>日</w:t>
                              </w: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sz w:val="20"/>
                            <w:szCs w:val="20"/>
                          </w:rPr>
                        </w:pPr>
                      </w:p>
                    </w:tc>
                  </w:tr>
                </w:tbl>
                <w:p>
                  <w:pPr>
                    <w:keepNext w:val="0"/>
                    <w:keepLines w:val="0"/>
                    <w:pageBreakBefore w:val="0"/>
                    <w:kinsoku/>
                    <w:wordWrap/>
                    <w:overflowPunct/>
                    <w:topLinePunct w:val="0"/>
                    <w:autoSpaceDE/>
                    <w:autoSpaceDN/>
                    <w:bidi w:val="0"/>
                    <w:adjustRightInd/>
                    <w:snapToGrid/>
                    <w:spacing w:beforeAutospacing="0" w:afterAutospacing="0" w:line="460" w:lineRule="exact"/>
                    <w:jc w:val="center"/>
                    <w:textAlignment w:val="auto"/>
                    <w:rPr>
                      <w:sz w:val="20"/>
                      <w:szCs w:val="20"/>
                    </w:rPr>
                  </w:pPr>
                </w:p>
              </w:tc>
            </w:tr>
            <w:tr>
              <w:tblPrEx>
                <w:shd w:val="clear" w:color="auto" w:fill="FFFFFF"/>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p>
                  <w:pPr>
                    <w:keepNext w:val="0"/>
                    <w:keepLines w:val="0"/>
                    <w:pageBreakBefore w:val="0"/>
                    <w:widowControl/>
                    <w:pBdr>
                      <w:bottom w:val="dashed" w:color="000000" w:sz="4" w:space="0"/>
                    </w:pBdr>
                    <w:kinsoku/>
                    <w:wordWrap/>
                    <w:overflowPunct/>
                    <w:topLinePunct w:val="0"/>
                    <w:autoSpaceDE/>
                    <w:autoSpaceDN/>
                    <w:bidi w:val="0"/>
                    <w:adjustRightInd/>
                    <w:snapToGrid/>
                    <w:spacing w:beforeAutospacing="0" w:afterAutospacing="0" w:line="460" w:lineRule="exact"/>
                    <w:jc w:val="center"/>
                    <w:textAlignment w:val="auto"/>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vanish/>
                <w:sz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pP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ascii="宋体" w:hAnsi="宋体" w:eastAsia="宋体" w:cs="宋体"/>
          <w:kern w:val="0"/>
          <w:sz w:val="24"/>
          <w:lang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Cantarell">
    <w:panose1 w:val="00000000000000000000"/>
    <w:charset w:val="00"/>
    <w:family w:val="auto"/>
    <w:pitch w:val="default"/>
    <w:sig w:usb0="A00002FF" w:usb1="4000217B" w:usb2="00000000" w:usb3="00000000" w:csb0="20000197"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f9ee1980-cfd6-4ac4-9f5b-d6088b41065f"/>
  </w:docVars>
  <w:rsids>
    <w:rsidRoot w:val="00A9452D"/>
    <w:rsid w:val="0013012E"/>
    <w:rsid w:val="003E15C5"/>
    <w:rsid w:val="005158F7"/>
    <w:rsid w:val="0066490B"/>
    <w:rsid w:val="007402D1"/>
    <w:rsid w:val="00830768"/>
    <w:rsid w:val="009A2699"/>
    <w:rsid w:val="009F2629"/>
    <w:rsid w:val="00A9452D"/>
    <w:rsid w:val="00B3126F"/>
    <w:rsid w:val="00C51665"/>
    <w:rsid w:val="00D169CE"/>
    <w:rsid w:val="00D2594F"/>
    <w:rsid w:val="00D47802"/>
    <w:rsid w:val="00EA555D"/>
    <w:rsid w:val="00F87622"/>
    <w:rsid w:val="086C3106"/>
    <w:rsid w:val="09145391"/>
    <w:rsid w:val="0E4B38EF"/>
    <w:rsid w:val="15C31E2E"/>
    <w:rsid w:val="17727372"/>
    <w:rsid w:val="17FF5A2C"/>
    <w:rsid w:val="1AC37EFD"/>
    <w:rsid w:val="25A45D43"/>
    <w:rsid w:val="2CDD8665"/>
    <w:rsid w:val="31701474"/>
    <w:rsid w:val="32F72511"/>
    <w:rsid w:val="331B48E2"/>
    <w:rsid w:val="35BE66E1"/>
    <w:rsid w:val="35FFD4AC"/>
    <w:rsid w:val="38251B3D"/>
    <w:rsid w:val="392B5B2F"/>
    <w:rsid w:val="39B567E6"/>
    <w:rsid w:val="3AB6316C"/>
    <w:rsid w:val="3B611C68"/>
    <w:rsid w:val="3BB7B0F6"/>
    <w:rsid w:val="3CAB9539"/>
    <w:rsid w:val="3E1F712A"/>
    <w:rsid w:val="3F690616"/>
    <w:rsid w:val="47BFC6F8"/>
    <w:rsid w:val="4D1D1702"/>
    <w:rsid w:val="4E263888"/>
    <w:rsid w:val="507E7984"/>
    <w:rsid w:val="51EE1D5E"/>
    <w:rsid w:val="53FD28AF"/>
    <w:rsid w:val="56704D31"/>
    <w:rsid w:val="58D30FF4"/>
    <w:rsid w:val="5D3C6F09"/>
    <w:rsid w:val="5EFF9C09"/>
    <w:rsid w:val="5F7B59DF"/>
    <w:rsid w:val="65EEA318"/>
    <w:rsid w:val="6B989569"/>
    <w:rsid w:val="6DF9E995"/>
    <w:rsid w:val="6FA712A1"/>
    <w:rsid w:val="6FAEA748"/>
    <w:rsid w:val="6FFB5CCB"/>
    <w:rsid w:val="702544FC"/>
    <w:rsid w:val="718819E9"/>
    <w:rsid w:val="72BDA4DA"/>
    <w:rsid w:val="759F1986"/>
    <w:rsid w:val="77EF9DD2"/>
    <w:rsid w:val="78161991"/>
    <w:rsid w:val="79F1F3B1"/>
    <w:rsid w:val="7AFFE314"/>
    <w:rsid w:val="7BF9522B"/>
    <w:rsid w:val="7BFBC6C2"/>
    <w:rsid w:val="7DF50230"/>
    <w:rsid w:val="9FFB76E1"/>
    <w:rsid w:val="B3FBDB1C"/>
    <w:rsid w:val="B79B6CFF"/>
    <w:rsid w:val="BF3F07B4"/>
    <w:rsid w:val="BFA7EBC9"/>
    <w:rsid w:val="BFBF1C69"/>
    <w:rsid w:val="D93E6E7B"/>
    <w:rsid w:val="DBD63AB8"/>
    <w:rsid w:val="DDBED683"/>
    <w:rsid w:val="DE0B744A"/>
    <w:rsid w:val="EEFCE964"/>
    <w:rsid w:val="EFFFBFC4"/>
    <w:rsid w:val="F27EA9FC"/>
    <w:rsid w:val="F2DF1AD2"/>
    <w:rsid w:val="F3DB4567"/>
    <w:rsid w:val="F6F71122"/>
    <w:rsid w:val="F765CCE0"/>
    <w:rsid w:val="F7FB98E9"/>
    <w:rsid w:val="FBFDBC5E"/>
    <w:rsid w:val="FE6F7A83"/>
    <w:rsid w:val="FEAE7599"/>
    <w:rsid w:val="FEBFF06F"/>
    <w:rsid w:val="FFA4A7E7"/>
    <w:rsid w:val="FFFE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Body Text"/>
    <w:basedOn w:val="1"/>
    <w:next w:val="1"/>
    <w:qFormat/>
    <w:uiPriority w:val="0"/>
    <w:pPr>
      <w:spacing w:line="360" w:lineRule="auto"/>
    </w:pPr>
    <w:rPr>
      <w:rFonts w:ascii="宋体" w:hAnsi="宋体" w:cs="宋体"/>
      <w:sz w:val="28"/>
      <w:szCs w:val="2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5"/>
    <w:unhideWhenUsed/>
    <w:qFormat/>
    <w:uiPriority w:val="99"/>
    <w:pPr>
      <w:ind w:firstLine="420" w:firstLineChars="100"/>
    </w:pPr>
    <w:rPr>
      <w:rFonts w:ascii="Calibri" w:hAnsi="Calibri"/>
    </w:rPr>
  </w:style>
  <w:style w:type="character" w:styleId="12">
    <w:name w:val="FollowedHyperlink"/>
    <w:basedOn w:val="11"/>
    <w:qFormat/>
    <w:uiPriority w:val="0"/>
    <w:rPr>
      <w:color w:val="800080"/>
      <w:sz w:val="20"/>
      <w:szCs w:val="20"/>
      <w:u w:val="single"/>
    </w:rPr>
  </w:style>
  <w:style w:type="character" w:styleId="13">
    <w:name w:val="Hyperlink"/>
    <w:basedOn w:val="11"/>
    <w:qFormat/>
    <w:uiPriority w:val="0"/>
    <w:rPr>
      <w:color w:val="0000FF"/>
      <w:sz w:val="20"/>
      <w:szCs w:val="20"/>
      <w:u w:val="single"/>
    </w:rPr>
  </w:style>
  <w:style w:type="paragraph" w:styleId="1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15">
    <w:name w:val="页眉 Char"/>
    <w:basedOn w:val="11"/>
    <w:link w:val="7"/>
    <w:qFormat/>
    <w:uiPriority w:val="0"/>
    <w:rPr>
      <w:rFonts w:asciiTheme="minorHAnsi" w:hAnsiTheme="minorHAnsi" w:eastAsiaTheme="minorEastAsia" w:cstheme="minorBidi"/>
      <w:kern w:val="2"/>
      <w:sz w:val="18"/>
      <w:szCs w:val="18"/>
    </w:rPr>
  </w:style>
  <w:style w:type="character" w:customStyle="1" w:styleId="16">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450</Words>
  <Characters>482</Characters>
  <Lines>26</Lines>
  <Paragraphs>34</Paragraphs>
  <TotalTime>6</TotalTime>
  <ScaleCrop>false</ScaleCrop>
  <LinksUpToDate>false</LinksUpToDate>
  <CharactersWithSpaces>530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2022-04-09T09:02:00Z</dcterms:created>
  <dc:creator>1</dc:creator>
  <cp:lastModifiedBy>huawei</cp:lastModifiedBy>
  <dcterms:modified xsi:type="dcterms:W3CDTF">2025-03-06T10:31:29Z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A9002A61ADCA4DE9B23EB2688F0A81AD</vt:lpwstr>
  </property>
</Properties>
</file>