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lang w:bidi="ar"/>
              </w:rPr>
              <w:t>SZZXCG-2025-00473</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lang w:bidi="ar"/>
              </w:rPr>
              <w:t xml:space="preserve">遥感观测图像处理建模与高精度复原算法研究 </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pPr>
        <w:pStyle w:val="37"/>
        <w:jc w:val="center"/>
        <w:outlineLvl w:val="1"/>
        <w:rPr>
          <w:rFonts w:ascii="黑体" w:hAnsi="黑体" w:eastAsia="黑体"/>
          <w:sz w:val="40"/>
          <w:szCs w:val="40"/>
        </w:rPr>
      </w:pPr>
    </w:p>
    <w:p>
      <w:pPr>
        <w:pStyle w:val="18"/>
      </w:pPr>
      <w:r>
        <w:br w:type="page"/>
      </w:r>
    </w:p>
    <w:p>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pPr>
        <w:pStyle w:val="37"/>
        <w:jc w:val="center"/>
        <w:outlineLvl w:val="1"/>
        <w:rPr>
          <w:rFonts w:ascii="黑体" w:hAnsi="黑体" w:eastAsia="黑体"/>
          <w:sz w:val="40"/>
          <w:szCs w:val="40"/>
        </w:rPr>
      </w:pPr>
    </w:p>
    <w:p>
      <w:pPr>
        <w:pStyle w:val="18"/>
      </w:pPr>
      <w:r>
        <w:br w:type="page"/>
      </w:r>
    </w:p>
    <w:p>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9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132"/>
        <w:gridCol w:w="305"/>
        <w:gridCol w:w="436"/>
        <w:gridCol w:w="1801"/>
        <w:gridCol w:w="717"/>
        <w:gridCol w:w="752"/>
        <w:gridCol w:w="431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wBefore w:w="132" w:type="dxa"/>
          <w:tblCellSpacing w:w="0" w:type="dxa"/>
          <w:jc w:val="center"/>
        </w:trPr>
        <w:tc>
          <w:tcPr>
            <w:tcW w:w="9066" w:type="dxa"/>
            <w:gridSpan w:val="7"/>
            <w:vAlign w:val="center"/>
          </w:tcPr>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wBefore w:w="132" w:type="dxa"/>
          <w:tblCellSpacing w:w="0" w:type="dxa"/>
          <w:jc w:val="center"/>
        </w:trPr>
        <w:tc>
          <w:tcPr>
            <w:tcW w:w="9066" w:type="dxa"/>
            <w:gridSpan w:val="7"/>
            <w:vAlign w:val="center"/>
          </w:tcPr>
          <w:p>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p>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pPr>
              <w:pStyle w:val="18"/>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序号</w:t>
            </w:r>
          </w:p>
        </w:tc>
        <w:tc>
          <w:tcPr>
            <w:tcW w:w="3706" w:type="dxa"/>
            <w:gridSpan w:val="4"/>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评分项</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default" w:ascii="宋体" w:hAnsi="宋体"/>
                <w:b/>
                <w:bCs/>
                <w:sz w:val="20"/>
                <w:szCs w:val="20"/>
              </w:rPr>
              <w:t>1</w:t>
            </w:r>
          </w:p>
        </w:tc>
        <w:tc>
          <w:tcPr>
            <w:tcW w:w="3706" w:type="dxa"/>
            <w:gridSpan w:val="4"/>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价格</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default" w:ascii="宋体" w:hAnsi="宋体"/>
                <w:b/>
                <w:bCs/>
                <w:sz w:val="20"/>
                <w:szCs w:val="20"/>
              </w:rPr>
              <w:t>2</w:t>
            </w:r>
          </w:p>
        </w:tc>
        <w:tc>
          <w:tcPr>
            <w:tcW w:w="3706" w:type="dxa"/>
            <w:gridSpan w:val="4"/>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技术部分</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default" w:ascii="宋体" w:hAnsi="宋体"/>
                <w:b/>
                <w:bCs/>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序号</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评审因素</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权重</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评分方式</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continue"/>
            <w:vAlign w:val="center"/>
          </w:tcPr>
          <w:p>
            <w:pPr>
              <w:keepNext/>
              <w:keepLines/>
              <w:suppressLineNumbers w:val="0"/>
              <w:spacing w:before="340" w:beforeAutospacing="0" w:after="330" w:afterAutospacing="0" w:line="240" w:lineRule="exact"/>
              <w:ind w:left="0" w:right="0"/>
              <w:jc w:val="center"/>
              <w:outlineLvl w:val="0"/>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1</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b/>
                <w:color w:val="FF0000"/>
                <w:sz w:val="20"/>
                <w:szCs w:val="20"/>
              </w:rPr>
            </w:pPr>
            <w:r>
              <w:rPr>
                <w:rFonts w:hint="default"/>
                <w:szCs w:val="21"/>
              </w:rPr>
              <w:t>技术方案先进性</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sz w:val="20"/>
                <w:szCs w:val="20"/>
                <w:lang w:val="en-US" w:eastAsia="zh-CN"/>
              </w:rPr>
            </w:pPr>
            <w:r>
              <w:rPr>
                <w:rFonts w:hint="eastAsia" w:ascii="宋体" w:hAnsi="宋体"/>
                <w:sz w:val="20"/>
                <w:szCs w:val="20"/>
                <w:lang w:val="en-US" w:eastAsia="zh-CN"/>
              </w:rPr>
              <w:t>25</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专家打分</w:t>
            </w:r>
          </w:p>
        </w:tc>
        <w:tc>
          <w:tcPr>
            <w:tcW w:w="4313"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（一）评分内容：详细阐述A噪声建模、B大气湍流估计、C亚像素配准的关键技术路径。</w:t>
            </w:r>
          </w:p>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满足三点得80分，满足任意两点得50分，满足任意一点得10分，</w:t>
            </w:r>
            <w:r>
              <w:rPr>
                <w:rFonts w:hint="eastAsia" w:ascii="宋体" w:hAnsi="宋体" w:cs="宋体"/>
                <w:kern w:val="0"/>
                <w:sz w:val="20"/>
                <w:szCs w:val="20"/>
                <w:lang w:val="en-US" w:eastAsia="zh-CN"/>
              </w:rPr>
              <w:t>其他情况</w:t>
            </w:r>
            <w:r>
              <w:rPr>
                <w:rFonts w:hint="eastAsia" w:ascii="宋体" w:hAnsi="宋体" w:cs="宋体"/>
                <w:kern w:val="0"/>
                <w:sz w:val="20"/>
                <w:szCs w:val="20"/>
              </w:rPr>
              <w:t>不得分。</w:t>
            </w:r>
          </w:p>
          <w:p>
            <w:pPr>
              <w:keepNext w:val="0"/>
              <w:keepLines w:val="0"/>
              <w:widowControl/>
              <w:numPr>
                <w:ilvl w:val="0"/>
                <w:numId w:val="7"/>
              </w:numPr>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评审依据：</w:t>
            </w:r>
          </w:p>
          <w:p>
            <w:pPr>
              <w:keepNext w:val="0"/>
              <w:keepLines w:val="0"/>
              <w:widowControl/>
              <w:numPr>
                <w:ilvl w:val="255"/>
                <w:numId w:val="0"/>
              </w:numPr>
              <w:suppressLineNumbers w:val="0"/>
              <w:spacing w:before="0" w:beforeAutospacing="0" w:after="0" w:afterAutospacing="0"/>
              <w:ind w:left="0" w:right="0"/>
              <w:jc w:val="left"/>
              <w:rPr>
                <w:rFonts w:hint="default" w:ascii="宋体" w:hAnsi="宋体" w:cs="宋体"/>
                <w:sz w:val="20"/>
                <w:szCs w:val="20"/>
              </w:rPr>
            </w:pPr>
            <w:r>
              <w:rPr>
                <w:rFonts w:hint="eastAsia" w:ascii="宋体" w:hAnsi="宋体" w:cs="宋体"/>
                <w:kern w:val="0"/>
                <w:sz w:val="20"/>
                <w:szCs w:val="20"/>
              </w:rPr>
              <w:t>在此基础上，专家根据各供应商的具体响应内容按照量化的评审因素指标进一步评审，评审为优（方案创新性强，有独特技术优势）的加20分，评审为良（技术方案完整但创新性一般）的加15分，评审为中（方案基本完整）的加10分，评审为差（方案描述模糊）的得0 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continue"/>
            <w:vAlign w:val="center"/>
          </w:tcPr>
          <w:p>
            <w:pPr>
              <w:keepNext/>
              <w:keepLines/>
              <w:suppressLineNumbers w:val="0"/>
              <w:spacing w:before="260" w:beforeAutospacing="0" w:after="260" w:afterAutospacing="0" w:line="240" w:lineRule="exact"/>
              <w:ind w:left="0" w:right="0"/>
              <w:jc w:val="center"/>
              <w:outlineLvl w:val="2"/>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2</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cs="宋体"/>
                <w:kern w:val="0"/>
                <w:sz w:val="20"/>
                <w:szCs w:val="20"/>
              </w:rPr>
              <w:t>技术要求偏离情况</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cs="宋体"/>
                <w:sz w:val="20"/>
                <w:szCs w:val="20"/>
              </w:rPr>
              <w:t>15</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专家打分</w:t>
            </w:r>
          </w:p>
        </w:tc>
        <w:tc>
          <w:tcPr>
            <w:tcW w:w="4313" w:type="dxa"/>
            <w:vAlign w:val="center"/>
          </w:tcPr>
          <w:p>
            <w:pPr>
              <w:keepNext w:val="0"/>
              <w:keepLines w:val="0"/>
              <w:widowControl/>
              <w:suppressLineNumbers w:val="0"/>
              <w:spacing w:before="0" w:beforeAutospacing="0" w:after="0" w:afterAutospacing="0"/>
              <w:ind w:left="0" w:right="0"/>
              <w:jc w:val="left"/>
              <w:rPr>
                <w:rFonts w:hint="default" w:cs="宋体"/>
                <w:sz w:val="20"/>
                <w:szCs w:val="20"/>
              </w:rPr>
            </w:pPr>
            <w:r>
              <w:rPr>
                <w:rFonts w:hint="eastAsia" w:ascii="宋体" w:hAnsi="宋体" w:cs="宋体"/>
                <w:kern w:val="0"/>
                <w:sz w:val="20"/>
                <w:szCs w:val="20"/>
              </w:rPr>
              <w:t>（一）评分内容：投标人应如实填写《技术要求偏离表》，评审委员会根据技术需求参数响应情况进行打分，各项技术参数指标及要求全部满足的得100分，所有标注“▲”的重要参数每项负偏离一扣25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3</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FF0000"/>
                <w:sz w:val="20"/>
                <w:szCs w:val="20"/>
              </w:rPr>
            </w:pPr>
            <w:r>
              <w:rPr>
                <w:rFonts w:hint="eastAsia" w:ascii="宋体" w:hAnsi="宋体"/>
                <w:sz w:val="20"/>
                <w:szCs w:val="20"/>
              </w:rPr>
              <w:t>技术保障措施</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10</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专家打分</w:t>
            </w:r>
          </w:p>
        </w:tc>
        <w:tc>
          <w:tcPr>
            <w:tcW w:w="4313" w:type="dxa"/>
            <w:vAlign w:val="center"/>
          </w:tcPr>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（一）评分内容：</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考察投标人提供的技术保障措施方案，方案内容包含但不限于：</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1.项目实施组织和流程方案；</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2.项目时间进度表；</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3.实施安全措施；</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4.培训及服务措施。</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每提供上述任意一项内容得10分，本小项累计最高得40分。</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（二）评分依据：</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在此基础上，专家根据各供应商的具体响应内容按照量化的评审因素指标进一步评审：</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 xml:space="preserve">（1）方案整体科学合理、针对性强、可操作性强，评审为优加60分； </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 xml:space="preserve">（2）方案较合理、有一定针对性、一定可操作性，评审为良加40分； </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 xml:space="preserve">（3）方案不尽合理、针对性一般、可操作性一般，评审为中加20分； </w:t>
            </w:r>
          </w:p>
          <w:p>
            <w:pPr>
              <w:keepNext w:val="0"/>
              <w:keepLines w:val="0"/>
              <w:widowControl/>
              <w:suppressLineNumbers w:val="0"/>
              <w:spacing w:before="0" w:beforeAutospacing="0" w:after="0" w:afterAutospacing="0"/>
              <w:ind w:left="0" w:right="0"/>
              <w:textAlignment w:val="center"/>
              <w:rPr>
                <w:rFonts w:hint="default" w:ascii="宋体" w:hAnsi="宋体"/>
                <w:szCs w:val="21"/>
              </w:rPr>
            </w:pPr>
            <w:r>
              <w:rPr>
                <w:rFonts w:hint="eastAsia" w:ascii="宋体" w:hAnsi="宋体"/>
                <w:szCs w:val="21"/>
              </w:rPr>
              <w:t>（4）方案不合理、无针对性、无可操作性，评审为差得0分。如果评审为差，要求专家书面说明理由，并记录在档。</w:t>
            </w:r>
          </w:p>
          <w:p>
            <w:pPr>
              <w:keepNext w:val="0"/>
              <w:keepLines w:val="0"/>
              <w:widowControl/>
              <w:suppressLineNumbers w:val="0"/>
              <w:spacing w:before="0" w:beforeAutospacing="0" w:after="0" w:afterAutospacing="0"/>
              <w:ind w:left="0" w:right="0"/>
              <w:textAlignment w:val="center"/>
              <w:rPr>
                <w:rFonts w:hint="default"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4837" w:hRule="atLeast"/>
          <w:tblCellSpacing w:w="0" w:type="dxa"/>
          <w:jc w:val="center"/>
        </w:trPr>
        <w:tc>
          <w:tcPr>
            <w:tcW w:w="437" w:type="dxa"/>
            <w:gridSpan w:val="2"/>
            <w:vMerge w:val="continue"/>
            <w:vAlign w:val="center"/>
          </w:tcPr>
          <w:p>
            <w:pPr>
              <w:keepNext/>
              <w:keepLines/>
              <w:suppressLineNumbers w:val="0"/>
              <w:spacing w:before="260" w:beforeAutospacing="0" w:after="260" w:afterAutospacing="0" w:line="240" w:lineRule="exact"/>
              <w:ind w:left="0" w:right="0"/>
              <w:jc w:val="center"/>
              <w:outlineLvl w:val="2"/>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4</w:t>
            </w:r>
          </w:p>
        </w:tc>
        <w:tc>
          <w:tcPr>
            <w:tcW w:w="18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olor w:val="FF0000"/>
                <w:sz w:val="20"/>
                <w:szCs w:val="20"/>
                <w:lang w:val="en-US" w:eastAsia="zh-CN"/>
              </w:rPr>
            </w:pPr>
            <w:r>
              <w:rPr>
                <w:rFonts w:hint="eastAsia" w:ascii="宋体" w:hAnsi="宋体" w:cs="宋体"/>
                <w:sz w:val="20"/>
                <w:szCs w:val="20"/>
              </w:rPr>
              <w:t>团队</w:t>
            </w:r>
            <w:r>
              <w:rPr>
                <w:rFonts w:hint="eastAsia" w:ascii="宋体" w:hAnsi="宋体" w:cs="宋体"/>
                <w:sz w:val="20"/>
                <w:szCs w:val="20"/>
                <w:lang w:val="en-US" w:eastAsia="zh-CN"/>
              </w:rPr>
              <w:t>实力</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10</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专家打分</w:t>
            </w:r>
          </w:p>
        </w:tc>
        <w:tc>
          <w:tcPr>
            <w:tcW w:w="4313" w:type="dxa"/>
            <w:vAlign w:val="center"/>
          </w:tcPr>
          <w:p>
            <w:pPr>
              <w:keepNext w:val="0"/>
              <w:keepLines w:val="0"/>
              <w:suppressLineNumbers w:val="0"/>
              <w:spacing w:before="0" w:beforeAutospacing="0" w:after="0" w:afterAutospacing="0" w:line="240" w:lineRule="exact"/>
              <w:ind w:left="0" w:right="0"/>
              <w:rPr>
                <w:rFonts w:hint="default" w:ascii="宋体" w:hAnsi="宋体" w:cs="宋体"/>
                <w:bCs/>
                <w:sz w:val="20"/>
                <w:szCs w:val="20"/>
              </w:rPr>
            </w:pPr>
            <w:r>
              <w:rPr>
                <w:rFonts w:hint="eastAsia" w:ascii="宋体" w:hAnsi="宋体" w:cs="宋体"/>
                <w:bCs/>
                <w:sz w:val="20"/>
                <w:szCs w:val="20"/>
              </w:rPr>
              <w:t>（一）评审内容：</w:t>
            </w:r>
          </w:p>
          <w:p>
            <w:pPr>
              <w:keepNext w:val="0"/>
              <w:keepLines w:val="0"/>
              <w:suppressLineNumbers w:val="0"/>
              <w:spacing w:before="0" w:beforeAutospacing="0" w:after="0" w:afterAutospacing="0" w:line="240" w:lineRule="exact"/>
              <w:ind w:left="0" w:right="0"/>
              <w:rPr>
                <w:rFonts w:hint="default" w:ascii="宋体" w:hAnsi="宋体" w:cs="宋体"/>
                <w:bCs/>
                <w:sz w:val="20"/>
                <w:szCs w:val="20"/>
              </w:rPr>
            </w:pPr>
            <w:r>
              <w:rPr>
                <w:rFonts w:hint="eastAsia" w:ascii="宋体" w:hAnsi="宋体" w:cs="宋体"/>
                <w:bCs/>
                <w:sz w:val="20"/>
                <w:szCs w:val="20"/>
              </w:rPr>
              <w:t>拟安排项目团队</w:t>
            </w:r>
            <w:r>
              <w:rPr>
                <w:rFonts w:hint="eastAsia" w:ascii="宋体" w:hAnsi="宋体" w:cs="宋体"/>
                <w:bCs/>
                <w:sz w:val="20"/>
                <w:szCs w:val="20"/>
                <w:lang w:val="en-US" w:eastAsia="zh-CN"/>
              </w:rPr>
              <w:t>成员</w:t>
            </w:r>
            <w:r>
              <w:rPr>
                <w:rFonts w:hint="eastAsia" w:ascii="宋体" w:hAnsi="宋体" w:cs="宋体"/>
                <w:bCs/>
                <w:sz w:val="20"/>
                <w:szCs w:val="20"/>
              </w:rPr>
              <w:t>为投标单位员工，否则该人员情况不计分。在此基础上，按以下标准评分：</w:t>
            </w:r>
          </w:p>
          <w:p>
            <w:pPr>
              <w:keepNext w:val="0"/>
              <w:keepLines w:val="0"/>
              <w:suppressLineNumbers w:val="0"/>
              <w:spacing w:before="0" w:beforeAutospacing="0" w:after="0" w:afterAutospacing="0" w:line="240" w:lineRule="exact"/>
              <w:ind w:left="0" w:right="0"/>
              <w:rPr>
                <w:rFonts w:hint="default" w:ascii="宋体" w:hAnsi="宋体" w:eastAsia="宋体" w:cs="宋体"/>
                <w:bCs/>
                <w:sz w:val="20"/>
                <w:szCs w:val="20"/>
                <w:lang w:val="en-US" w:eastAsia="zh-CN"/>
              </w:rPr>
            </w:pPr>
            <w:r>
              <w:rPr>
                <w:rFonts w:hint="eastAsia" w:ascii="宋体" w:hAnsi="宋体" w:cs="宋体"/>
                <w:bCs/>
                <w:sz w:val="20"/>
                <w:szCs w:val="20"/>
                <w:lang w:val="en-US" w:eastAsia="zh-CN"/>
              </w:rPr>
              <w:t>团队成员具有作为负责人参与</w:t>
            </w:r>
            <w:r>
              <w:rPr>
                <w:rFonts w:hint="eastAsia" w:ascii="宋体" w:hAnsi="宋体" w:cs="宋体"/>
                <w:bCs/>
                <w:sz w:val="20"/>
                <w:szCs w:val="20"/>
              </w:rPr>
              <w:t>过国家级科技部项目或国家自然科学基金委员会项目或省部级重点项目</w:t>
            </w:r>
            <w:r>
              <w:rPr>
                <w:rFonts w:hint="eastAsia" w:ascii="宋体" w:hAnsi="宋体" w:cs="宋体"/>
                <w:bCs/>
                <w:sz w:val="20"/>
                <w:szCs w:val="20"/>
                <w:lang w:val="en-US" w:eastAsia="zh-CN"/>
              </w:rPr>
              <w:t>经验</w:t>
            </w:r>
            <w:r>
              <w:rPr>
                <w:rFonts w:hint="eastAsia" w:ascii="宋体" w:hAnsi="宋体" w:cs="宋体"/>
                <w:bCs/>
                <w:sz w:val="20"/>
                <w:szCs w:val="20"/>
                <w:lang w:eastAsia="zh-CN"/>
              </w:rPr>
              <w:t>，</w:t>
            </w:r>
            <w:r>
              <w:rPr>
                <w:rFonts w:hint="eastAsia" w:ascii="宋体" w:hAnsi="宋体" w:cs="宋体"/>
                <w:bCs/>
                <w:sz w:val="20"/>
                <w:szCs w:val="20"/>
                <w:lang w:val="en-US" w:eastAsia="zh-CN"/>
              </w:rPr>
              <w:t>每有1人</w:t>
            </w:r>
            <w:r>
              <w:rPr>
                <w:rFonts w:hint="eastAsia" w:ascii="宋体" w:hAnsi="宋体" w:cs="宋体"/>
                <w:bCs/>
                <w:sz w:val="20"/>
                <w:szCs w:val="20"/>
              </w:rPr>
              <w:t>得50分</w:t>
            </w:r>
            <w:r>
              <w:rPr>
                <w:rFonts w:hint="eastAsia" w:ascii="宋体" w:hAnsi="宋体" w:cs="宋体"/>
                <w:bCs/>
                <w:sz w:val="20"/>
                <w:szCs w:val="20"/>
                <w:lang w:eastAsia="zh-CN"/>
              </w:rPr>
              <w:t>，</w:t>
            </w:r>
            <w:r>
              <w:rPr>
                <w:rFonts w:hint="eastAsia" w:ascii="宋体" w:hAnsi="宋体" w:cs="宋体"/>
                <w:bCs/>
                <w:sz w:val="20"/>
                <w:szCs w:val="20"/>
                <w:lang w:val="en-US" w:eastAsia="zh-CN"/>
              </w:rPr>
              <w:t>同1人有多个项目经验可重复得分。</w:t>
            </w:r>
          </w:p>
          <w:p>
            <w:pPr>
              <w:keepNext w:val="0"/>
              <w:keepLines w:val="0"/>
              <w:suppressLineNumbers w:val="0"/>
              <w:spacing w:before="0" w:beforeAutospacing="0" w:after="0" w:afterAutospacing="0" w:line="240" w:lineRule="exact"/>
              <w:ind w:left="0" w:right="0"/>
              <w:rPr>
                <w:rFonts w:hint="default" w:ascii="宋体" w:hAnsi="宋体" w:cs="宋体"/>
                <w:bCs/>
                <w:sz w:val="20"/>
                <w:szCs w:val="20"/>
              </w:rPr>
            </w:pPr>
            <w:r>
              <w:rPr>
                <w:rFonts w:hint="eastAsia" w:ascii="宋体" w:hAnsi="宋体" w:cs="宋体"/>
                <w:bCs/>
                <w:sz w:val="20"/>
                <w:szCs w:val="20"/>
              </w:rPr>
              <w:t>（二）评分依据：</w:t>
            </w:r>
          </w:p>
          <w:p>
            <w:pPr>
              <w:keepNext w:val="0"/>
              <w:keepLines w:val="0"/>
              <w:suppressLineNumbers w:val="0"/>
              <w:spacing w:before="0" w:beforeAutospacing="0" w:after="0" w:afterAutospacing="0" w:line="240" w:lineRule="exact"/>
              <w:ind w:left="0" w:right="0"/>
              <w:rPr>
                <w:rFonts w:hint="default" w:ascii="宋体" w:hAnsi="宋体" w:cs="宋体"/>
                <w:bCs/>
                <w:sz w:val="20"/>
                <w:szCs w:val="20"/>
              </w:rPr>
            </w:pPr>
            <w:r>
              <w:rPr>
                <w:rFonts w:hint="eastAsia" w:ascii="宋体" w:hAnsi="宋体" w:cs="宋体"/>
                <w:bCs/>
                <w:sz w:val="20"/>
                <w:szCs w:val="20"/>
              </w:rPr>
              <w:t>1.国家级科技部项目或国家自然科学基金委员会项目需提供任务书或者立项合同等证明材料；省部级重点项目需提供立项书或者合同等证明材料，并具有重点研发字样。</w:t>
            </w:r>
          </w:p>
          <w:p>
            <w:pPr>
              <w:keepNext w:val="0"/>
              <w:keepLines w:val="0"/>
              <w:suppressLineNumbers w:val="0"/>
              <w:spacing w:before="0" w:beforeAutospacing="0" w:after="0" w:afterAutospacing="0" w:line="240" w:lineRule="exact"/>
              <w:ind w:left="0" w:right="0"/>
              <w:rPr>
                <w:rFonts w:hint="default" w:ascii="宋体" w:hAnsi="宋体" w:cs="宋体"/>
                <w:bCs/>
                <w:sz w:val="20"/>
                <w:szCs w:val="20"/>
              </w:rPr>
            </w:pPr>
            <w:r>
              <w:rPr>
                <w:rFonts w:hint="eastAsia" w:ascii="宋体" w:hAnsi="宋体" w:cs="宋体"/>
                <w:bCs/>
                <w:sz w:val="20"/>
                <w:szCs w:val="20"/>
              </w:rPr>
              <w:t>2.通过投标人缴纳的近三个月（含开标当月）的任意一个月的社保证明作为本单位员工的证明依据，如供应商成立不足一个月，提供情况说明函（格式自拟），无需提供相关人员社保，亦可得分；若为退休返聘人员，需提供说明函（格式自拟），无需提供相关人员社保，亦可得分。</w:t>
            </w:r>
          </w:p>
          <w:p>
            <w:pPr>
              <w:keepNext w:val="0"/>
              <w:keepLines w:val="0"/>
              <w:suppressLineNumbers w:val="0"/>
              <w:spacing w:before="0" w:beforeAutospacing="0" w:after="0" w:afterAutospacing="0" w:line="240" w:lineRule="exact"/>
              <w:ind w:left="0" w:right="0"/>
              <w:rPr>
                <w:rFonts w:hint="default" w:ascii="宋体" w:hAnsi="宋体" w:cs="宋体"/>
                <w:sz w:val="20"/>
                <w:szCs w:val="20"/>
              </w:rPr>
            </w:pPr>
            <w:r>
              <w:rPr>
                <w:rFonts w:hint="eastAsia" w:ascii="宋体" w:hAnsi="宋体" w:cs="宋体"/>
                <w:bCs/>
                <w:sz w:val="20"/>
                <w:szCs w:val="20"/>
              </w:rPr>
              <w:t>3.以上材料提供扫描件，评分中出现无证明资料或专家无法凭所提供资料判断是否得分的情况，一律作不得分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default" w:ascii="宋体" w:hAnsi="宋体"/>
                <w:b/>
                <w:bCs/>
                <w:sz w:val="20"/>
                <w:szCs w:val="20"/>
              </w:rPr>
              <w:t>3</w:t>
            </w:r>
          </w:p>
        </w:tc>
        <w:tc>
          <w:tcPr>
            <w:tcW w:w="3706" w:type="dxa"/>
            <w:gridSpan w:val="4"/>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商务部分</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restart"/>
            <w:vAlign w:val="center"/>
          </w:tcPr>
          <w:p>
            <w:pPr>
              <w:keepNext/>
              <w:keepLines/>
              <w:suppressLineNumbers w:val="0"/>
              <w:spacing w:before="340" w:beforeAutospacing="0" w:after="330" w:afterAutospacing="0" w:line="240" w:lineRule="exact"/>
              <w:ind w:left="0" w:right="0"/>
              <w:jc w:val="center"/>
              <w:outlineLvl w:val="0"/>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序号</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评审因素</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权重</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评分方式</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continue"/>
            <w:vAlign w:val="center"/>
          </w:tcPr>
          <w:p>
            <w:pPr>
              <w:keepNext/>
              <w:keepLines/>
              <w:suppressLineNumbers w:val="0"/>
              <w:spacing w:before="340" w:beforeAutospacing="0" w:after="330" w:afterAutospacing="0" w:line="240" w:lineRule="exact"/>
              <w:ind w:left="0" w:right="0"/>
              <w:jc w:val="center"/>
              <w:outlineLvl w:val="0"/>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1</w:t>
            </w:r>
          </w:p>
        </w:tc>
        <w:tc>
          <w:tcPr>
            <w:tcW w:w="1801" w:type="dxa"/>
            <w:vAlign w:val="center"/>
          </w:tcPr>
          <w:p>
            <w:pPr>
              <w:keepNext w:val="0"/>
              <w:keepLines w:val="0"/>
              <w:suppressLineNumbers w:val="0"/>
              <w:spacing w:before="0" w:beforeAutospacing="0" w:after="0" w:afterAutospacing="0" w:line="240" w:lineRule="exact"/>
              <w:ind w:left="0" w:right="0"/>
              <w:rPr>
                <w:rFonts w:hint="default" w:ascii="宋体" w:hAnsi="宋体"/>
                <w:sz w:val="20"/>
                <w:szCs w:val="20"/>
              </w:rPr>
            </w:pPr>
            <w:r>
              <w:rPr>
                <w:rFonts w:hint="eastAsia" w:ascii="宋体" w:hAnsi="宋体" w:cs="宋体"/>
                <w:kern w:val="0"/>
                <w:sz w:val="20"/>
                <w:szCs w:val="20"/>
              </w:rPr>
              <w:t>商务要求偏离情况</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5</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专家评分</w:t>
            </w:r>
          </w:p>
        </w:tc>
        <w:tc>
          <w:tcPr>
            <w:tcW w:w="4313" w:type="dxa"/>
            <w:vAlign w:val="center"/>
          </w:tcPr>
          <w:p>
            <w:pPr>
              <w:keepNext w:val="0"/>
              <w:keepLines w:val="0"/>
              <w:suppressLineNumbers w:val="0"/>
              <w:spacing w:before="0" w:beforeAutospacing="0" w:after="0" w:afterAutospacing="0"/>
              <w:ind w:left="0" w:right="0"/>
              <w:rPr>
                <w:rFonts w:hint="default" w:cs="宋体"/>
                <w:sz w:val="20"/>
                <w:szCs w:val="20"/>
              </w:rPr>
            </w:pPr>
            <w:r>
              <w:rPr>
                <w:rFonts w:hint="eastAsia" w:cs="宋体"/>
                <w:sz w:val="20"/>
                <w:szCs w:val="20"/>
              </w:rPr>
              <w:t>（一）评分内容：投标人应如实填写《商务要求偏离表</w:t>
            </w:r>
            <w:bookmarkStart w:id="114" w:name="_GoBack"/>
            <w:bookmarkEnd w:id="114"/>
            <w:r>
              <w:rPr>
                <w:rFonts w:hint="eastAsia" w:cs="宋体"/>
                <w:sz w:val="20"/>
                <w:szCs w:val="20"/>
              </w:rPr>
              <w:t>》，评审委员会根据响应情况进行打分，全部满足要求的得</w:t>
            </w:r>
            <w:r>
              <w:rPr>
                <w:rFonts w:hint="default"/>
                <w:sz w:val="20"/>
                <w:szCs w:val="20"/>
              </w:rPr>
              <w:t>100</w:t>
            </w:r>
            <w:r>
              <w:rPr>
                <w:rFonts w:hint="eastAsia" w:cs="宋体"/>
                <w:sz w:val="20"/>
                <w:szCs w:val="20"/>
              </w:rPr>
              <w:t>分，每负偏离一项扣</w:t>
            </w:r>
            <w:r>
              <w:rPr>
                <w:rFonts w:hint="eastAsia"/>
                <w:sz w:val="20"/>
                <w:szCs w:val="20"/>
              </w:rPr>
              <w:t>50</w:t>
            </w:r>
            <w:r>
              <w:rPr>
                <w:rFonts w:hint="eastAsia" w:cs="宋体"/>
                <w:sz w:val="20"/>
                <w:szCs w:val="20"/>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4</w:t>
            </w:r>
          </w:p>
        </w:tc>
        <w:tc>
          <w:tcPr>
            <w:tcW w:w="3706" w:type="dxa"/>
            <w:gridSpan w:val="4"/>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诚信情况</w:t>
            </w:r>
          </w:p>
        </w:tc>
        <w:tc>
          <w:tcPr>
            <w:tcW w:w="4313" w:type="dxa"/>
            <w:vAlign w:val="center"/>
          </w:tcPr>
          <w:p>
            <w:pPr>
              <w:keepNext w:val="0"/>
              <w:keepLines w:val="0"/>
              <w:suppressLineNumbers w:val="0"/>
              <w:snapToGrid w:val="0"/>
              <w:spacing w:before="0" w:beforeAutospacing="0" w:after="0" w:afterAutospacing="0" w:line="300" w:lineRule="auto"/>
              <w:ind w:left="0" w:right="0"/>
              <w:jc w:val="center"/>
              <w:rPr>
                <w:rFonts w:hint="default" w:ascii="宋体" w:hAnsi="宋体"/>
                <w:sz w:val="20"/>
                <w:szCs w:val="20"/>
              </w:rPr>
            </w:pPr>
            <w:r>
              <w:rPr>
                <w:rFonts w:hint="eastAsia"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序号</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评审因素</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权重</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评分方式</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90" w:hRule="atLeast"/>
          <w:tblCellSpacing w:w="0" w:type="dxa"/>
          <w:jc w:val="center"/>
        </w:trPr>
        <w:tc>
          <w:tcPr>
            <w:tcW w:w="437" w:type="dxa"/>
            <w:gridSpan w:val="2"/>
            <w:vMerge w:val="continue"/>
            <w:vAlign w:val="center"/>
          </w:tcPr>
          <w:p>
            <w:pPr>
              <w:keepNext/>
              <w:keepLines/>
              <w:suppressLineNumbers w:val="0"/>
              <w:spacing w:before="340" w:beforeAutospacing="0" w:after="330" w:afterAutospacing="0" w:line="240" w:lineRule="exact"/>
              <w:ind w:left="0" w:right="0"/>
              <w:jc w:val="center"/>
              <w:outlineLvl w:val="0"/>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1</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诚信</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5</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专家评分</w:t>
            </w:r>
          </w:p>
        </w:tc>
        <w:tc>
          <w:tcPr>
            <w:tcW w:w="4313" w:type="dxa"/>
          </w:tcPr>
          <w:p>
            <w:pPr>
              <w:keepNext w:val="0"/>
              <w:keepLines w:val="0"/>
              <w:suppressLineNumbers w:val="0"/>
              <w:spacing w:before="0" w:beforeAutospacing="0" w:after="120" w:afterAutospacing="0"/>
              <w:ind w:left="0" w:right="0"/>
              <w:rPr>
                <w:rFonts w:hint="default"/>
                <w:szCs w:val="21"/>
              </w:rPr>
            </w:pPr>
            <w:r>
              <w:rPr>
                <w:rFonts w:hint="eastAsia"/>
                <w:szCs w:val="21"/>
              </w:rPr>
              <w:t>（一）评分内容：</w:t>
            </w:r>
          </w:p>
          <w:p>
            <w:pPr>
              <w:keepNext w:val="0"/>
              <w:keepLines w:val="0"/>
              <w:suppressLineNumbers w:val="0"/>
              <w:spacing w:before="0" w:beforeAutospacing="0" w:after="0" w:afterAutospacing="0"/>
              <w:ind w:left="0" w:right="0"/>
              <w:rPr>
                <w:rFonts w:hint="default"/>
              </w:rPr>
            </w:pPr>
            <w:r>
              <w:rPr>
                <w:rFonts w:hint="eastAsia"/>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suppressLineNumbers w:val="0"/>
              <w:spacing w:before="0" w:beforeAutospacing="0" w:after="120" w:afterAutospacing="0"/>
              <w:ind w:left="0" w:right="0"/>
              <w:rPr>
                <w:rFonts w:hint="default"/>
                <w:szCs w:val="21"/>
              </w:rPr>
            </w:pPr>
            <w:r>
              <w:rPr>
                <w:rFonts w:hint="eastAsia"/>
                <w:szCs w:val="21"/>
              </w:rPr>
              <w:t>（二）评分依据：</w:t>
            </w:r>
          </w:p>
          <w:p>
            <w:pPr>
              <w:keepNext w:val="0"/>
              <w:keepLines w:val="0"/>
              <w:suppressLineNumbers w:val="0"/>
              <w:spacing w:before="0" w:beforeAutospacing="0" w:after="0" w:afterAutospacing="0"/>
              <w:ind w:left="0" w:right="0"/>
              <w:rPr>
                <w:rFonts w:hint="default" w:ascii="宋体" w:hAnsi="宋体"/>
                <w:sz w:val="20"/>
                <w:szCs w:val="20"/>
              </w:rPr>
            </w:pPr>
            <w:r>
              <w:rPr>
                <w:rFonts w:hint="eastAsia"/>
              </w:rPr>
              <w:t>查询渠道：通过“信用中国”（www.creditchina.gov.cn，</w:t>
            </w:r>
            <w:r>
              <w:rPr>
                <w:rFonts w:hint="eastAsia"/>
                <w:b/>
                <w:bCs/>
              </w:rPr>
              <w:t>下载信用信息报告</w:t>
            </w:r>
            <w:r>
              <w:rPr>
                <w:rFonts w:hint="eastAsia"/>
              </w:rPr>
              <w:t>）、“中国政府采购网”（www.ccgp.gov.cn）、“深圳市政府采购监管网”（http://zfcg.sz.gov.cn）以及“深圳政府采购智慧平台信用库”查询供应商信用信息，信用信息以开标当日的查询结果为准。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5</w:t>
            </w:r>
          </w:p>
        </w:tc>
        <w:tc>
          <w:tcPr>
            <w:tcW w:w="3706" w:type="dxa"/>
            <w:gridSpan w:val="4"/>
            <w:vAlign w:val="center"/>
          </w:tcPr>
          <w:p>
            <w:pPr>
              <w:keepNext w:val="0"/>
              <w:keepLines w:val="0"/>
              <w:suppressLineNumbers w:val="0"/>
              <w:spacing w:before="0" w:beforeAutospacing="0" w:after="0" w:afterAutospacing="0" w:line="240" w:lineRule="exact"/>
              <w:ind w:left="0" w:right="0"/>
              <w:jc w:val="center"/>
              <w:rPr>
                <w:rFonts w:hint="default" w:ascii="宋体" w:hAnsi="宋体"/>
                <w:b/>
                <w:bCs/>
                <w:sz w:val="20"/>
                <w:szCs w:val="20"/>
              </w:rPr>
            </w:pPr>
            <w:r>
              <w:rPr>
                <w:rFonts w:hint="eastAsia" w:ascii="宋体" w:hAnsi="宋体"/>
                <w:b/>
                <w:bCs/>
                <w:sz w:val="20"/>
                <w:szCs w:val="20"/>
              </w:rPr>
              <w:t>综合实力</w:t>
            </w:r>
          </w:p>
        </w:tc>
        <w:tc>
          <w:tcPr>
            <w:tcW w:w="4313" w:type="dxa"/>
            <w:vAlign w:val="center"/>
          </w:tcPr>
          <w:p>
            <w:pPr>
              <w:keepNext w:val="0"/>
              <w:keepLines w:val="0"/>
              <w:suppressLineNumbers w:val="0"/>
              <w:snapToGrid w:val="0"/>
              <w:spacing w:before="0" w:beforeAutospacing="0" w:after="0" w:afterAutospacing="0" w:line="300" w:lineRule="auto"/>
              <w:ind w:left="0" w:right="0"/>
              <w:jc w:val="center"/>
              <w:rPr>
                <w:rFonts w:hint="default" w:ascii="宋体" w:hAnsi="宋体"/>
                <w:b/>
                <w:bCs/>
                <w:sz w:val="20"/>
                <w:szCs w:val="20"/>
              </w:rPr>
            </w:pPr>
            <w:r>
              <w:rPr>
                <w:rFonts w:hint="default" w:ascii="宋体" w:hAnsi="宋体"/>
                <w:b/>
                <w:bCs/>
                <w:sz w:val="16"/>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57" w:hRule="atLeast"/>
          <w:tblCellSpacing w:w="0" w:type="dxa"/>
          <w:jc w:val="center"/>
        </w:trPr>
        <w:tc>
          <w:tcPr>
            <w:tcW w:w="437" w:type="dxa"/>
            <w:gridSpan w:val="2"/>
            <w:vMerge w:val="restart"/>
            <w:vAlign w:val="center"/>
          </w:tcPr>
          <w:p>
            <w:pPr>
              <w:keepNext/>
              <w:keepLines/>
              <w:suppressLineNumbers w:val="0"/>
              <w:spacing w:before="260" w:beforeAutospacing="0" w:after="260" w:afterAutospacing="0" w:line="240" w:lineRule="exact"/>
              <w:ind w:left="0" w:right="0"/>
              <w:jc w:val="center"/>
              <w:outlineLvl w:val="2"/>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序号</w:t>
            </w:r>
          </w:p>
        </w:tc>
        <w:tc>
          <w:tcPr>
            <w:tcW w:w="180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 w:val="20"/>
                <w:szCs w:val="20"/>
              </w:rPr>
              <w:t>评审因素</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sz w:val="20"/>
                <w:szCs w:val="20"/>
              </w:rPr>
            </w:pPr>
            <w:r>
              <w:rPr>
                <w:rFonts w:hint="eastAsia" w:ascii="宋体" w:hAnsi="宋体"/>
                <w:sz w:val="20"/>
                <w:szCs w:val="20"/>
              </w:rPr>
              <w:t>权重</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评分方式</w:t>
            </w:r>
          </w:p>
        </w:tc>
        <w:tc>
          <w:tcPr>
            <w:tcW w:w="431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 w:val="20"/>
                <w:szCs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42" w:type="dxa"/>
          <w:trHeight w:val="1923" w:hRule="atLeast"/>
          <w:tblCellSpacing w:w="0" w:type="dxa"/>
          <w:jc w:val="center"/>
        </w:trPr>
        <w:tc>
          <w:tcPr>
            <w:tcW w:w="437" w:type="dxa"/>
            <w:gridSpan w:val="2"/>
            <w:vMerge w:val="continue"/>
            <w:vAlign w:val="center"/>
          </w:tcPr>
          <w:p>
            <w:pPr>
              <w:keepNext/>
              <w:keepLines/>
              <w:suppressLineNumbers w:val="0"/>
              <w:spacing w:before="260" w:beforeAutospacing="0" w:after="260" w:afterAutospacing="0" w:line="240" w:lineRule="exact"/>
              <w:ind w:left="0" w:right="0"/>
              <w:jc w:val="center"/>
              <w:outlineLvl w:val="2"/>
              <w:rPr>
                <w:rFonts w:hint="default" w:ascii="宋体" w:hAnsi="宋体"/>
                <w:sz w:val="20"/>
                <w:szCs w:val="20"/>
              </w:rPr>
            </w:pPr>
          </w:p>
        </w:tc>
        <w:tc>
          <w:tcPr>
            <w:tcW w:w="436"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1</w:t>
            </w:r>
          </w:p>
        </w:tc>
        <w:tc>
          <w:tcPr>
            <w:tcW w:w="1801" w:type="dxa"/>
            <w:vAlign w:val="center"/>
          </w:tcPr>
          <w:p>
            <w:pPr>
              <w:keepNext w:val="0"/>
              <w:keepLines w:val="0"/>
              <w:suppressLineNumbers w:val="0"/>
              <w:snapToGrid w:val="0"/>
              <w:spacing w:before="0" w:beforeAutospacing="0" w:after="0" w:afterAutospacing="0" w:line="300" w:lineRule="auto"/>
              <w:ind w:left="0" w:right="0"/>
              <w:jc w:val="center"/>
              <w:rPr>
                <w:rFonts w:hint="default" w:ascii="宋体" w:hAnsi="宋体"/>
                <w:sz w:val="18"/>
                <w:szCs w:val="21"/>
              </w:rPr>
            </w:pPr>
            <w:r>
              <w:rPr>
                <w:rFonts w:hint="eastAsia" w:ascii="宋体" w:hAnsi="宋体" w:cs="宋体"/>
                <w:sz w:val="20"/>
                <w:szCs w:val="20"/>
              </w:rPr>
              <w:t>供应商同类业绩</w:t>
            </w:r>
          </w:p>
        </w:tc>
        <w:tc>
          <w:tcPr>
            <w:tcW w:w="71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default" w:ascii="宋体" w:hAnsi="宋体"/>
                <w:sz w:val="20"/>
                <w:szCs w:val="20"/>
              </w:rPr>
              <w:t>10</w:t>
            </w:r>
          </w:p>
        </w:tc>
        <w:tc>
          <w:tcPr>
            <w:tcW w:w="7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sz w:val="20"/>
                <w:szCs w:val="20"/>
              </w:rPr>
            </w:pPr>
            <w:r>
              <w:rPr>
                <w:rFonts w:hint="eastAsia" w:ascii="宋体" w:hAnsi="宋体"/>
                <w:sz w:val="20"/>
                <w:szCs w:val="20"/>
              </w:rPr>
              <w:t>专家打分</w:t>
            </w:r>
          </w:p>
        </w:tc>
        <w:tc>
          <w:tcPr>
            <w:tcW w:w="4313" w:type="dxa"/>
          </w:tcPr>
          <w:p>
            <w:pPr>
              <w:keepNext w:val="0"/>
              <w:keepLines w:val="0"/>
              <w:suppressLineNumbers w:val="0"/>
              <w:spacing w:before="0" w:beforeAutospacing="0" w:after="0" w:afterAutospacing="0" w:line="240" w:lineRule="exact"/>
              <w:ind w:left="0" w:right="0"/>
              <w:jc w:val="left"/>
              <w:rPr>
                <w:rFonts w:hint="default" w:ascii="宋体" w:hAnsi="宋体" w:cs="宋体"/>
                <w:sz w:val="20"/>
                <w:szCs w:val="20"/>
              </w:rPr>
            </w:pPr>
            <w:r>
              <w:rPr>
                <w:rFonts w:hint="eastAsia" w:ascii="宋体" w:hAnsi="宋体" w:cs="宋体"/>
                <w:sz w:val="20"/>
                <w:szCs w:val="20"/>
              </w:rPr>
              <w:t>（一）评分内容：提供自2020年1月1日至本项目</w:t>
            </w:r>
            <w:r>
              <w:rPr>
                <w:rFonts w:hint="eastAsia" w:ascii="宋体" w:hAnsi="宋体" w:cs="宋体"/>
                <w:color w:val="auto"/>
                <w:sz w:val="20"/>
                <w:szCs w:val="20"/>
              </w:rPr>
              <w:t>投标截止日，以合同签订时间为准的图像处理及算法类同类业绩，提供</w:t>
            </w:r>
            <w:r>
              <w:rPr>
                <w:rFonts w:hint="default" w:ascii="宋体" w:hAnsi="宋体" w:cs="宋体"/>
                <w:sz w:val="20"/>
                <w:szCs w:val="20"/>
              </w:rPr>
              <w:t>2</w:t>
            </w:r>
            <w:r>
              <w:rPr>
                <w:rFonts w:hint="eastAsia" w:ascii="宋体" w:hAnsi="宋体" w:cs="宋体"/>
                <w:sz w:val="20"/>
                <w:szCs w:val="20"/>
              </w:rPr>
              <w:t>个即得满分100分，提供</w:t>
            </w:r>
            <w:r>
              <w:rPr>
                <w:rFonts w:hint="default" w:ascii="宋体" w:hAnsi="宋体" w:cs="宋体"/>
                <w:sz w:val="20"/>
                <w:szCs w:val="20"/>
              </w:rPr>
              <w:t>1</w:t>
            </w:r>
            <w:r>
              <w:rPr>
                <w:rFonts w:hint="eastAsia" w:ascii="宋体" w:hAnsi="宋体" w:cs="宋体"/>
                <w:sz w:val="20"/>
                <w:szCs w:val="20"/>
              </w:rPr>
              <w:t>个得</w:t>
            </w:r>
            <w:r>
              <w:rPr>
                <w:rFonts w:hint="default" w:ascii="宋体" w:hAnsi="宋体" w:cs="宋体"/>
                <w:sz w:val="20"/>
                <w:szCs w:val="20"/>
              </w:rPr>
              <w:t>50</w:t>
            </w:r>
            <w:r>
              <w:rPr>
                <w:rFonts w:hint="eastAsia" w:ascii="宋体" w:hAnsi="宋体" w:cs="宋体"/>
                <w:sz w:val="20"/>
                <w:szCs w:val="20"/>
              </w:rPr>
              <w:t>分，未提供的不得分。</w:t>
            </w:r>
          </w:p>
          <w:p>
            <w:pPr>
              <w:keepNext w:val="0"/>
              <w:keepLines w:val="0"/>
              <w:suppressLineNumbers w:val="0"/>
              <w:spacing w:before="0" w:beforeAutospacing="0" w:after="0" w:afterAutospacing="0" w:line="240" w:lineRule="exact"/>
              <w:ind w:left="0" w:right="0"/>
              <w:jc w:val="left"/>
              <w:rPr>
                <w:rFonts w:hint="default" w:ascii="宋体" w:hAnsi="宋体" w:cs="宋体"/>
                <w:sz w:val="20"/>
                <w:szCs w:val="20"/>
              </w:rPr>
            </w:pPr>
            <w:r>
              <w:rPr>
                <w:rFonts w:hint="eastAsia" w:ascii="宋体" w:hAnsi="宋体" w:cs="宋体"/>
                <w:sz w:val="20"/>
                <w:szCs w:val="20"/>
              </w:rPr>
              <w:t>（二）评分依据：投标人需在投标文件中提供每一个项目的合同（均加盖合同甲方公章或业务章）扫描件，否则不得分。</w:t>
            </w:r>
          </w:p>
        </w:tc>
      </w:tr>
    </w:tbl>
    <w:p>
      <w:pPr>
        <w:jc w:val="center"/>
        <w:rPr>
          <w:b/>
          <w:sz w:val="120"/>
          <w:szCs w:val="120"/>
        </w:r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pStyle w:val="19"/>
      </w:pPr>
    </w:p>
    <w:p>
      <w:pPr>
        <w:pStyle w:val="19"/>
      </w:pPr>
    </w:p>
    <w:p>
      <w:pPr>
        <w:pStyle w:val="19"/>
      </w:pPr>
    </w:p>
    <w:p>
      <w:pPr>
        <w:pStyle w:val="19"/>
      </w:pPr>
    </w:p>
    <w:p>
      <w:pPr>
        <w:pStyle w:val="19"/>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pPr>
        <w:pStyle w:val="2"/>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b/>
          <w:sz w:val="24"/>
        </w:rPr>
      </w:pPr>
      <w:r>
        <w:rPr>
          <w:rFonts w:hint="eastAsia" w:ascii="宋体" w:hAnsi="宋体"/>
          <w:szCs w:val="21"/>
        </w:rPr>
        <w:t>第五章  合同条款及格式</w:t>
      </w:r>
    </w:p>
    <w:p>
      <w:pPr>
        <w:outlineLvl w:val="0"/>
        <w:rPr>
          <w:b/>
          <w:sz w:val="24"/>
        </w:rPr>
      </w:pPr>
      <w:r>
        <w:rPr>
          <w:rFonts w:hint="eastAsia"/>
          <w:b/>
          <w:sz w:val="24"/>
        </w:rPr>
        <w:t>第二册  通用条款</w:t>
      </w:r>
    </w:p>
    <w:p>
      <w:pPr>
        <w:ind w:left="630" w:leftChars="300" w:firstLine="630" w:firstLineChars="300"/>
        <w:rPr>
          <w:rFonts w:ascii="宋体" w:hAnsi="宋体"/>
          <w:szCs w:val="21"/>
        </w:rPr>
      </w:pPr>
      <w:r>
        <w:rPr>
          <w:rFonts w:hint="eastAsia" w:ascii="宋体" w:hAnsi="宋体"/>
          <w:szCs w:val="21"/>
        </w:rPr>
        <w:t>第一章  总则</w:t>
      </w:r>
    </w:p>
    <w:p>
      <w:pPr>
        <w:ind w:left="630" w:leftChars="300" w:firstLine="630" w:firstLineChars="300"/>
        <w:rPr>
          <w:rFonts w:ascii="宋体" w:hAnsi="宋体"/>
          <w:szCs w:val="21"/>
        </w:rPr>
      </w:pPr>
      <w:r>
        <w:rPr>
          <w:rFonts w:hint="eastAsia" w:ascii="宋体" w:hAnsi="宋体"/>
          <w:szCs w:val="21"/>
        </w:rPr>
        <w:t>第二章  招标文件</w:t>
      </w:r>
    </w:p>
    <w:p>
      <w:pPr>
        <w:ind w:left="630" w:leftChars="300" w:firstLine="630" w:firstLineChars="300"/>
        <w:rPr>
          <w:rFonts w:ascii="宋体" w:hAnsi="宋体"/>
          <w:szCs w:val="21"/>
        </w:rPr>
      </w:pPr>
      <w:r>
        <w:rPr>
          <w:rFonts w:hint="eastAsia" w:ascii="宋体" w:hAnsi="宋体"/>
          <w:szCs w:val="21"/>
        </w:rPr>
        <w:t>第三章  投标文件的编制</w:t>
      </w:r>
    </w:p>
    <w:p>
      <w:pPr>
        <w:ind w:left="630" w:leftChars="300" w:firstLine="630" w:firstLineChars="300"/>
        <w:rPr>
          <w:rFonts w:ascii="宋体" w:hAnsi="宋体"/>
          <w:szCs w:val="21"/>
        </w:rPr>
      </w:pPr>
      <w:r>
        <w:rPr>
          <w:rFonts w:hint="eastAsia" w:ascii="宋体" w:hAnsi="宋体"/>
          <w:szCs w:val="21"/>
        </w:rPr>
        <w:t>第四章  投标文件的递交</w:t>
      </w:r>
    </w:p>
    <w:p>
      <w:pPr>
        <w:ind w:left="630" w:leftChars="300" w:firstLine="630" w:firstLineChars="300"/>
        <w:rPr>
          <w:rFonts w:ascii="宋体" w:hAnsi="宋体"/>
          <w:szCs w:val="21"/>
        </w:rPr>
      </w:pPr>
      <w:r>
        <w:rPr>
          <w:rFonts w:hint="eastAsia" w:ascii="宋体" w:hAnsi="宋体"/>
          <w:szCs w:val="21"/>
        </w:rPr>
        <w:t>第五章  开标</w:t>
      </w:r>
    </w:p>
    <w:p>
      <w:pPr>
        <w:ind w:left="630" w:leftChars="300" w:firstLine="630" w:firstLineChars="300"/>
        <w:rPr>
          <w:rFonts w:ascii="宋体" w:hAnsi="宋体"/>
          <w:szCs w:val="21"/>
        </w:rPr>
      </w:pPr>
      <w:r>
        <w:rPr>
          <w:rFonts w:hint="eastAsia" w:ascii="宋体" w:hAnsi="宋体"/>
          <w:szCs w:val="21"/>
        </w:rPr>
        <w:t>第六章  评审要求</w:t>
      </w:r>
    </w:p>
    <w:p>
      <w:pPr>
        <w:ind w:left="630" w:leftChars="300" w:firstLine="630" w:firstLineChars="300"/>
        <w:rPr>
          <w:rFonts w:ascii="宋体" w:hAnsi="宋体"/>
          <w:szCs w:val="21"/>
        </w:rPr>
      </w:pPr>
      <w:r>
        <w:rPr>
          <w:rFonts w:hint="eastAsia" w:ascii="宋体" w:hAnsi="宋体"/>
          <w:szCs w:val="21"/>
        </w:rPr>
        <w:t>第七章  评审程序及评审方法</w:t>
      </w:r>
    </w:p>
    <w:p>
      <w:pPr>
        <w:ind w:left="630" w:leftChars="300" w:firstLine="630" w:firstLineChars="300"/>
        <w:rPr>
          <w:rFonts w:ascii="宋体" w:hAnsi="宋体"/>
          <w:szCs w:val="21"/>
        </w:rPr>
      </w:pPr>
      <w:r>
        <w:rPr>
          <w:rFonts w:hint="eastAsia" w:ascii="宋体" w:hAnsi="宋体"/>
          <w:szCs w:val="21"/>
        </w:rPr>
        <w:t>第八章  定标及公示</w:t>
      </w:r>
    </w:p>
    <w:p>
      <w:pPr>
        <w:ind w:left="630" w:leftChars="300" w:firstLine="630" w:firstLineChars="300"/>
        <w:rPr>
          <w:rFonts w:ascii="宋体" w:hAnsi="宋体"/>
          <w:szCs w:val="21"/>
        </w:rPr>
      </w:pPr>
      <w:r>
        <w:rPr>
          <w:rFonts w:hint="eastAsia" w:ascii="宋体" w:hAnsi="宋体"/>
          <w:szCs w:val="21"/>
        </w:rPr>
        <w:t>第九章  公开招标失败的后续处理</w:t>
      </w:r>
    </w:p>
    <w:p>
      <w:pPr>
        <w:ind w:left="630" w:leftChars="300" w:firstLine="630" w:firstLineChars="300"/>
        <w:rPr>
          <w:rFonts w:ascii="宋体" w:hAnsi="宋体"/>
          <w:szCs w:val="21"/>
        </w:rPr>
      </w:pPr>
      <w:r>
        <w:rPr>
          <w:rFonts w:hint="eastAsia" w:ascii="宋体" w:hAnsi="宋体"/>
          <w:szCs w:val="21"/>
        </w:rPr>
        <w:t>第十章  合同的授予与备案</w:t>
      </w:r>
    </w:p>
    <w:p>
      <w:pPr>
        <w:ind w:left="630" w:leftChars="300" w:firstLine="630" w:firstLineChars="300"/>
        <w:rPr>
          <w:rFonts w:ascii="宋体" w:hAnsi="宋体"/>
          <w:szCs w:val="21"/>
        </w:rPr>
      </w:pPr>
      <w:r>
        <w:rPr>
          <w:rFonts w:hint="eastAsia" w:ascii="宋体" w:hAnsi="宋体"/>
          <w:szCs w:val="21"/>
        </w:rPr>
        <w:t>第十一章  质疑处理</w:t>
      </w:r>
    </w:p>
    <w:p>
      <w:pPr>
        <w:rPr>
          <w:b/>
          <w:sz w:val="24"/>
        </w:rPr>
      </w:pPr>
    </w:p>
    <w:p>
      <w:pPr>
        <w:rPr>
          <w:rFonts w:hint="eastAsia"/>
          <w:sz w:val="28"/>
          <w:szCs w:val="28"/>
        </w:rPr>
      </w:pPr>
      <w:r>
        <w:rPr>
          <w:rFonts w:hint="eastAsia"/>
          <w:sz w:val="28"/>
          <w:szCs w:val="28"/>
        </w:rPr>
        <w:br w:type="page"/>
      </w:r>
    </w:p>
    <w:p>
      <w:pPr>
        <w:pStyle w:val="5"/>
        <w:spacing w:before="0" w:after="0"/>
        <w:rPr>
          <w:rFonts w:hint="eastAsia"/>
          <w:sz w:val="28"/>
          <w:szCs w:val="28"/>
        </w:rPr>
      </w:pPr>
      <w:r>
        <w:rPr>
          <w:rFonts w:hint="eastAsia"/>
          <w:sz w:val="28"/>
          <w:szCs w:val="28"/>
        </w:rPr>
        <w:t>第一册专用条款</w:t>
      </w:r>
    </w:p>
    <w:p>
      <w:pPr>
        <w:pStyle w:val="5"/>
        <w:spacing w:before="0" w:after="0"/>
        <w:rPr>
          <w:sz w:val="28"/>
          <w:szCs w:val="28"/>
        </w:rPr>
      </w:pPr>
      <w:r>
        <w:rPr>
          <w:rFonts w:hint="eastAsia"/>
          <w:sz w:val="28"/>
          <w:szCs w:val="28"/>
        </w:rPr>
        <w:t>第一章  招标公告</w:t>
      </w:r>
    </w:p>
    <w:p>
      <w:pPr>
        <w:rPr>
          <w:rFonts w:ascii="宋体" w:hAnsi="宋体" w:cs="宋体"/>
          <w:b/>
          <w:bCs/>
          <w:kern w:val="0"/>
          <w:szCs w:val="21"/>
        </w:rPr>
      </w:pPr>
      <w:r>
        <w:rPr>
          <w:rFonts w:hint="eastAsia" w:ascii="宋体" w:hAnsi="宋体" w:cs="宋体"/>
          <w:b/>
          <w:bCs/>
          <w:kern w:val="0"/>
          <w:szCs w:val="21"/>
        </w:rPr>
        <w:t>投标人的资格要求：</w:t>
      </w:r>
    </w:p>
    <w:p>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pPr>
        <w:rPr>
          <w:rFonts w:hint="eastAsia" w:ascii="宋体" w:hAnsi="宋体" w:cs="宋体"/>
          <w:kern w:val="0"/>
          <w:szCs w:val="21"/>
        </w:rPr>
      </w:pPr>
    </w:p>
    <w:p>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numPr>
          <w:ilvl w:val="0"/>
          <w:numId w:val="0"/>
        </w:numPr>
        <w:rPr>
          <w:ins w:id="0" w:author="大白熊与小花花" w:date="2025-04-03T17:28:57Z"/>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pPr>
        <w:pStyle w:val="18"/>
        <w:numPr>
          <w:ilvl w:val="0"/>
          <w:numId w:val="0"/>
        </w:numPr>
      </w:pPr>
    </w:p>
    <w:p>
      <w:pPr>
        <w:jc w:val="left"/>
        <w:rPr>
          <w:b/>
          <w:sz w:val="22"/>
          <w:szCs w:val="18"/>
        </w:rPr>
      </w:pPr>
      <w:r>
        <w:rPr>
          <w:rFonts w:hint="eastAsia"/>
          <w:b/>
          <w:sz w:val="22"/>
          <w:szCs w:val="18"/>
        </w:rPr>
        <w:t>完整公告内容详见：深圳交易集团（深圳公共资源交易中心）官网https://www.szexgrp.com/jyfw/zfcg-view.html?id=zfcg</w:t>
      </w:r>
    </w:p>
    <w:p>
      <w:pPr>
        <w:rPr>
          <w:rFonts w:hint="eastAsia"/>
          <w:sz w:val="28"/>
          <w:szCs w:val="28"/>
        </w:rPr>
      </w:pPr>
      <w:bookmarkStart w:id="3" w:name="bt合同条款"/>
      <w:bookmarkEnd w:id="3"/>
      <w:bookmarkStart w:id="4" w:name="bt技术标投标文件格式"/>
      <w:bookmarkEnd w:id="4"/>
      <w:bookmarkStart w:id="5" w:name="bt投标文件签署授权委托书"/>
      <w:bookmarkEnd w:id="5"/>
      <w:bookmarkStart w:id="6" w:name="bt其他资料2"/>
      <w:bookmarkEnd w:id="6"/>
      <w:bookmarkStart w:id="7" w:name="bt商务标投标文件格式"/>
      <w:bookmarkEnd w:id="7"/>
      <w:bookmarkStart w:id="8" w:name="bt合同条款及格式"/>
      <w:bookmarkEnd w:id="8"/>
      <w:bookmarkStart w:id="9" w:name="bt合同格式"/>
      <w:bookmarkEnd w:id="9"/>
      <w:bookmarkStart w:id="10" w:name="bt其他资料由投标人自定"/>
      <w:bookmarkEnd w:id="10"/>
      <w:bookmarkStart w:id="11" w:name="bt投标函"/>
      <w:bookmarkEnd w:id="11"/>
      <w:bookmarkStart w:id="12" w:name="bt项目管理班子配备情况"/>
      <w:bookmarkEnd w:id="12"/>
      <w:bookmarkStart w:id="13" w:name="bt投标人情况介绍"/>
      <w:bookmarkEnd w:id="13"/>
      <w:bookmarkStart w:id="14" w:name="bt投标人须知"/>
      <w:bookmarkEnd w:id="14"/>
      <w:bookmarkStart w:id="15" w:name="bt说明"/>
      <w:bookmarkEnd w:id="15"/>
      <w:bookmarkStart w:id="16" w:name="bt本工程承诺书"/>
      <w:bookmarkEnd w:id="16"/>
      <w:bookmarkStart w:id="17" w:name="合同格式"/>
      <w:bookmarkEnd w:id="17"/>
      <w:bookmarkStart w:id="18" w:name="bt投标报价汇总表"/>
      <w:bookmarkEnd w:id="18"/>
      <w:bookmarkStart w:id="19" w:name="bt开标一览表"/>
      <w:bookmarkEnd w:id="19"/>
      <w:r>
        <w:rPr>
          <w:rFonts w:hint="eastAsia"/>
          <w:sz w:val="28"/>
          <w:szCs w:val="28"/>
        </w:rPr>
        <w:br w:type="page"/>
      </w:r>
    </w:p>
    <w:p>
      <w:pPr>
        <w:pStyle w:val="5"/>
        <w:jc w:val="center"/>
        <w:rPr>
          <w:sz w:val="28"/>
          <w:szCs w:val="28"/>
        </w:rPr>
      </w:pPr>
      <w:r>
        <w:rPr>
          <w:rFonts w:hint="eastAsia"/>
          <w:sz w:val="28"/>
          <w:szCs w:val="28"/>
        </w:rPr>
        <w:t>第二章 对通用条款的补充内容及其他关键信息</w:t>
      </w:r>
    </w:p>
    <w:p>
      <w:pPr>
        <w:pStyle w:val="5"/>
        <w:spacing w:before="156" w:beforeLines="50" w:after="156" w:afterLines="50"/>
        <w:rPr>
          <w:sz w:val="28"/>
          <w:szCs w:val="28"/>
        </w:rPr>
      </w:pPr>
      <w:bookmarkStart w:id="20" w:name="_Toc60560625"/>
      <w:bookmarkStart w:id="21" w:name="_Toc101074876"/>
      <w:bookmarkStart w:id="22" w:name="_Toc100052364"/>
      <w:bookmarkStart w:id="23" w:name="_Toc73521547"/>
      <w:bookmarkStart w:id="24" w:name="_Toc60631620"/>
      <w:bookmarkStart w:id="25" w:name="_Toc73521635"/>
      <w:bookmarkStart w:id="26" w:name="_Toc73518117"/>
      <w:bookmarkStart w:id="27" w:name="_Toc73517639"/>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rPr>
              <w:t>哈尔滨工业大学（深圳）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ins w:id="1" w:author="政府采购业务部吴工" w:date="2024-05-29T21:21:00Z"/>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lang w:val="en-US" w:eastAsia="zh-CN"/>
              </w:rPr>
            </w:pPr>
            <w:r>
              <w:rPr>
                <w:rFonts w:hint="eastAsia" w:asciiTheme="minorEastAsia" w:hAnsiTheme="minorEastAsia" w:eastAsiaTheme="minorEastAsia"/>
              </w:rPr>
              <w:t>不需</w:t>
            </w:r>
            <w:r>
              <w:rPr>
                <w:rFonts w:hint="eastAsia" w:asciiTheme="minorEastAsia" w:hAnsiTheme="minorEastAsia" w:eastAsiaTheme="minorEastAsia"/>
                <w:lang w:val="en-US" w:eastAsia="zh-CN"/>
              </w:rPr>
              <w:t>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5"/>
        <w:spacing w:before="156" w:beforeLines="50" w:after="156" w:afterLines="50"/>
        <w:rPr>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6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3235" w:type="dxa"/>
          </w:tcPr>
          <w:p>
            <w:pPr>
              <w:keepNext w:val="0"/>
              <w:keepLines w:val="0"/>
              <w:suppressLineNumbers w:val="0"/>
              <w:spacing w:before="0" w:beforeAutospacing="0" w:after="0" w:afterAutospacing="0"/>
              <w:ind w:left="0" w:right="0"/>
              <w:jc w:val="center"/>
              <w:rPr>
                <w:rFonts w:hint="default"/>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3235" w:type="dxa"/>
          </w:tcPr>
          <w:p>
            <w:pPr>
              <w:keepNext w:val="0"/>
              <w:keepLines w:val="0"/>
              <w:suppressLineNumbers w:val="0"/>
              <w:spacing w:before="0" w:beforeAutospacing="0" w:after="0" w:afterAutospacing="0"/>
              <w:ind w:left="0" w:right="0"/>
              <w:jc w:val="center"/>
              <w:rPr>
                <w:rFonts w:hint="default"/>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3235" w:type="dxa"/>
          </w:tcPr>
          <w:p>
            <w:pPr>
              <w:keepNext w:val="0"/>
              <w:keepLines w:val="0"/>
              <w:suppressLineNumbers w:val="0"/>
              <w:spacing w:before="0" w:beforeAutospacing="0" w:after="0" w:afterAutospacing="0"/>
              <w:ind w:left="0" w:right="0"/>
              <w:jc w:val="center"/>
              <w:rPr>
                <w:rFonts w:hint="default"/>
              </w:rPr>
            </w:pPr>
            <w:r>
              <w:rPr>
                <w:rFonts w:hint="eastAsia"/>
              </w:rPr>
              <w:t>1</w:t>
            </w:r>
          </w:p>
        </w:tc>
      </w:tr>
    </w:tbl>
    <w:p>
      <w:pPr>
        <w:pStyle w:val="19"/>
      </w:pPr>
    </w:p>
    <w:p>
      <w:pPr>
        <w:ind w:firstLine="422" w:firstLineChars="200"/>
        <w:rPr>
          <w:rFonts w:ascii="宋体" w:hAnsi="宋体"/>
          <w:b/>
        </w:rPr>
      </w:pPr>
    </w:p>
    <w:bookmarkEnd w:id="29"/>
    <w:p>
      <w:pPr>
        <w:ind w:firstLine="422" w:firstLineChars="200"/>
        <w:rPr>
          <w:b/>
        </w:rPr>
      </w:pPr>
      <w:r>
        <w:rPr>
          <w:rFonts w:hint="eastAsia"/>
          <w:b/>
        </w:rPr>
        <w:t>（二）其他事项</w:t>
      </w:r>
    </w:p>
    <w:p>
      <w:pPr>
        <w:ind w:firstLine="422" w:firstLineChars="200"/>
        <w:rPr>
          <w:b/>
          <w:bCs/>
        </w:rPr>
      </w:pPr>
      <w:r>
        <w:rPr>
          <w:b/>
          <w:bCs/>
        </w:rPr>
        <w:t>1</w:t>
      </w:r>
      <w:r>
        <w:rPr>
          <w:rFonts w:hint="eastAsia"/>
          <w:b/>
          <w:bCs/>
        </w:rPr>
        <w:t>、关于享受优惠政策的主体及价格扣除比例</w:t>
      </w:r>
    </w:p>
    <w:p>
      <w:pPr>
        <w:ind w:firstLine="420" w:firstLineChars="200"/>
        <w:rPr>
          <w:rFonts w:ascii="宋体" w:hAnsi="宋体" w:cs="宋体"/>
        </w:rPr>
      </w:pPr>
      <w:r>
        <w:rPr>
          <w:rFonts w:hint="eastAsia" w:ascii="宋体" w:hAnsi="宋体" w:cs="宋体"/>
        </w:rPr>
        <w:t>（1）专门面向中小企业采购的项目，不再执行价格扣除比例。</w:t>
      </w:r>
    </w:p>
    <w:p>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的90%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w:t>
      </w:r>
    </w:p>
    <w:p>
      <w:pPr>
        <w:ind w:firstLine="422" w:firstLineChars="200"/>
        <w:rPr>
          <w:rFonts w:ascii="宋体" w:hAnsi="宋体" w:cs="宋体"/>
          <w:bCs/>
          <w:color w:val="FF0000"/>
          <w:szCs w:val="21"/>
        </w:rPr>
      </w:pPr>
      <w:r>
        <w:rPr>
          <w:rFonts w:hint="eastAsia" w:ascii="宋体" w:hAnsi="宋体" w:cs="宋体"/>
          <w:b/>
          <w:bCs/>
          <w:color w:val="FF0000"/>
          <w:szCs w:val="21"/>
        </w:rPr>
        <w:t>基本户信息：</w:t>
      </w:r>
    </w:p>
    <w:p>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pPr>
        <w:ind w:firstLine="420" w:firstLineChars="200"/>
        <w:rPr>
          <w:rFonts w:ascii="宋体" w:hAnsi="宋体" w:cs="宋体"/>
          <w:color w:val="FF0000"/>
          <w:szCs w:val="21"/>
        </w:rPr>
      </w:pPr>
      <w:r>
        <w:rPr>
          <w:rFonts w:hint="eastAsia" w:ascii="宋体" w:hAnsi="宋体" w:cs="宋体"/>
          <w:color w:val="FF0000"/>
          <w:szCs w:val="21"/>
        </w:rPr>
        <w:t>账号：632765883</w:t>
      </w:r>
    </w:p>
    <w:p>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pPr>
        <w:ind w:firstLine="422" w:firstLineChars="200"/>
        <w:rPr>
          <w:rFonts w:ascii="宋体" w:hAnsi="宋体" w:cs="宋体"/>
          <w:bCs/>
          <w:color w:val="FF0000"/>
          <w:szCs w:val="21"/>
        </w:rPr>
      </w:pPr>
      <w:r>
        <w:rPr>
          <w:rFonts w:hint="eastAsia" w:ascii="宋体" w:hAnsi="宋体" w:cs="宋体"/>
          <w:b/>
          <w:bCs/>
          <w:color w:val="FF0000"/>
          <w:szCs w:val="21"/>
        </w:rPr>
        <w:t>转账备注：</w:t>
      </w:r>
    </w:p>
    <w:p>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pPr>
        <w:ind w:firstLine="420" w:firstLineChars="200"/>
        <w:jc w:val="left"/>
      </w:pPr>
    </w:p>
    <w:p>
      <w:pPr>
        <w:rPr>
          <w:rFonts w:hint="eastAsia"/>
          <w:sz w:val="28"/>
          <w:szCs w:val="28"/>
        </w:rPr>
      </w:pPr>
      <w:bookmarkStart w:id="32" w:name="_Toc128884461"/>
      <w:r>
        <w:rPr>
          <w:rFonts w:hint="eastAsia"/>
          <w:sz w:val="28"/>
          <w:szCs w:val="28"/>
        </w:rPr>
        <w:br w:type="page"/>
      </w:r>
    </w:p>
    <w:p>
      <w:pPr>
        <w:pStyle w:val="5"/>
        <w:rPr>
          <w:sz w:val="28"/>
          <w:szCs w:val="28"/>
        </w:rPr>
      </w:pPr>
      <w:r>
        <w:rPr>
          <w:rFonts w:hint="eastAsia"/>
          <w:sz w:val="28"/>
          <w:szCs w:val="28"/>
        </w:rPr>
        <w:t>第三章 用户需求书</w:t>
      </w:r>
    </w:p>
    <w:p>
      <w:pPr>
        <w:pStyle w:val="5"/>
        <w:spacing w:before="156" w:beforeLines="50" w:after="156" w:afterLines="50"/>
        <w:rPr>
          <w:szCs w:val="24"/>
        </w:rPr>
      </w:pPr>
      <w:r>
        <w:rPr>
          <w:rFonts w:hint="eastAsia"/>
          <w:szCs w:val="24"/>
        </w:rPr>
        <w:t>一、项目基本信息</w:t>
      </w:r>
    </w:p>
    <w:tbl>
      <w:tblPr>
        <w:tblStyle w:val="42"/>
        <w:tblW w:w="873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2581" w:type="dxa"/>
            <w:vAlign w:val="center"/>
          </w:tcPr>
          <w:p>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pPr>
              <w:keepNext w:val="0"/>
              <w:keepLines w:val="0"/>
              <w:suppressLineNumbers w:val="0"/>
              <w:spacing w:before="0" w:beforeAutospacing="0" w:after="0" w:afterAutospacing="0"/>
              <w:ind w:left="0" w:right="0"/>
              <w:jc w:val="center"/>
              <w:rPr>
                <w:rFonts w:hint="default"/>
                <w:bCs/>
                <w:szCs w:val="21"/>
              </w:rPr>
            </w:pPr>
            <w:r>
              <w:rPr>
                <w:rFonts w:hint="default"/>
                <w:bCs/>
                <w:szCs w:val="21"/>
              </w:rPr>
              <w:t xml:space="preserve">遥感观测图像处理建模与高精度复原算法研究 </w:t>
            </w:r>
          </w:p>
        </w:tc>
        <w:tc>
          <w:tcPr>
            <w:tcW w:w="2581" w:type="dxa"/>
            <w:vAlign w:val="center"/>
          </w:tcPr>
          <w:p>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480000.00</w:t>
            </w:r>
          </w:p>
        </w:tc>
      </w:tr>
    </w:tbl>
    <w:p>
      <w:pPr>
        <w:pStyle w:val="5"/>
        <w:numPr>
          <w:ilvl w:val="0"/>
          <w:numId w:val="8"/>
        </w:numPr>
        <w:spacing w:before="156" w:beforeLines="50" w:after="156" w:afterLines="50"/>
        <w:rPr>
          <w:szCs w:val="24"/>
        </w:rPr>
      </w:pPr>
      <w:r>
        <w:rPr>
          <w:rFonts w:hint="eastAsia" w:ascii="Times New Roman" w:hAnsi="Times New Roman"/>
          <w:kern w:val="2"/>
          <w:szCs w:val="24"/>
          <w:lang w:bidi="ar"/>
        </w:rPr>
        <w:t>项目概况</w:t>
      </w:r>
    </w:p>
    <w:p>
      <w:pPr>
        <w:ind w:firstLine="420" w:firstLineChars="200"/>
      </w:pPr>
      <w:r>
        <w:rPr>
          <w:bCs/>
          <w:szCs w:val="21"/>
        </w:rPr>
        <w:t>为提升观测图像的质量与科学价值，克服噪声、云层污染、大气湍流及几何变换对观测图像造成的影响，现面向社会公开招标“</w:t>
      </w:r>
      <w:r>
        <w:rPr>
          <w:rFonts w:hint="eastAsia"/>
          <w:bCs/>
          <w:szCs w:val="21"/>
        </w:rPr>
        <w:t>遥感</w:t>
      </w:r>
      <w:r>
        <w:rPr>
          <w:bCs/>
          <w:szCs w:val="21"/>
        </w:rPr>
        <w:t>观测图像处理建模与高精度复原算法研究”项目。项目目标是研发并实现一套完整的图像处理与复原系统，涵盖噪声建模与抑制、云层污染修复、大气湍流抖动消除以及高精度图像配准等模块，保证处理结果具备高精度、可靠性和科学价值。</w:t>
      </w:r>
    </w:p>
    <w:p>
      <w:pPr>
        <w:ind w:firstLine="480" w:firstLineChars="200"/>
        <w:rPr>
          <w:sz w:val="24"/>
        </w:rPr>
      </w:pPr>
      <w:r>
        <w:rPr>
          <w:rFonts w:hint="eastAsia"/>
          <w:sz w:val="24"/>
        </w:rPr>
        <w:t>...</w:t>
      </w:r>
    </w:p>
    <w:p>
      <w:pPr>
        <w:pStyle w:val="5"/>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pPr>
              <w:keepNext w:val="0"/>
              <w:keepLines w:val="0"/>
              <w:suppressLineNumbers w:val="0"/>
              <w:spacing w:before="0" w:beforeAutospacing="0" w:after="0" w:afterAutospacing="0"/>
              <w:ind w:left="0" w:right="0"/>
              <w:jc w:val="center"/>
              <w:rPr>
                <w:rFonts w:hint="default"/>
                <w:bCs/>
                <w:szCs w:val="21"/>
              </w:rPr>
            </w:pPr>
            <w:r>
              <w:rPr>
                <w:rFonts w:hint="default"/>
                <w:bCs/>
                <w:szCs w:val="21"/>
              </w:rPr>
              <w:t xml:space="preserve">遥感观测图像处理建模与高精度复原算法研究 </w:t>
            </w:r>
          </w:p>
        </w:tc>
        <w:tc>
          <w:tcPr>
            <w:tcW w:w="837" w:type="dxa"/>
            <w:vAlign w:val="center"/>
          </w:tcPr>
          <w:p>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pPr>
              <w:keepNext w:val="0"/>
              <w:keepLines w:val="0"/>
              <w:suppressLineNumbers w:val="0"/>
              <w:spacing w:before="0" w:beforeAutospacing="0" w:after="0" w:afterAutospacing="0"/>
              <w:ind w:left="0" w:right="0"/>
              <w:jc w:val="center"/>
              <w:rPr>
                <w:rFonts w:hint="default" w:eastAsia="宋体"/>
                <w:bCs/>
                <w:szCs w:val="21"/>
                <w:lang w:val="en-US" w:eastAsia="zh-CN"/>
              </w:rPr>
            </w:pPr>
            <w:r>
              <w:rPr>
                <w:rFonts w:hint="eastAsia"/>
                <w:bCs/>
                <w:szCs w:val="21"/>
                <w:lang w:val="en-US" w:eastAsia="zh-CN"/>
              </w:rPr>
              <w:t>其他未列明行业</w:t>
            </w:r>
          </w:p>
        </w:tc>
      </w:tr>
    </w:tbl>
    <w:p>
      <w:pPr>
        <w:rPr>
          <w:rFonts w:ascii="宋体" w:hAnsi="宋体"/>
          <w:b/>
          <w:color w:val="FF0000"/>
          <w:szCs w:val="21"/>
        </w:rPr>
      </w:pPr>
    </w:p>
    <w:p>
      <w:pPr>
        <w:pStyle w:val="5"/>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pPr>
        <w:pStyle w:val="5"/>
        <w:widowControl/>
        <w:spacing w:before="156" w:beforeLines="50" w:after="156" w:afterLines="50"/>
        <w:rPr>
          <w:szCs w:val="24"/>
        </w:rPr>
      </w:pPr>
      <w:r>
        <w:rPr>
          <w:szCs w:val="24"/>
        </w:rPr>
        <w:t>五、技术要求</w:t>
      </w:r>
    </w:p>
    <w:p>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pPr>
        <w:ind w:firstLine="422" w:firstLineChars="200"/>
        <w:rPr>
          <w:b/>
          <w:szCs w:val="21"/>
        </w:rPr>
      </w:pPr>
      <w:r>
        <w:rPr>
          <w:b/>
          <w:szCs w:val="21"/>
        </w:rPr>
        <w:t>3</w:t>
      </w:r>
      <w:r>
        <w:rPr>
          <w:rFonts w:hint="eastAsia"/>
          <w:b/>
          <w:szCs w:val="21"/>
        </w:rPr>
        <w:t>、</w:t>
      </w:r>
      <w:bookmarkStart w:id="34"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pPr>
        <w:ind w:firstLine="422" w:firstLineChars="200"/>
        <w:rPr>
          <w:b/>
          <w:szCs w:val="21"/>
        </w:rPr>
      </w:pPr>
      <w:r>
        <w:rPr>
          <w:rFonts w:hint="eastAsia"/>
          <w:b/>
          <w:color w:val="FF0000"/>
          <w:szCs w:val="21"/>
        </w:rPr>
        <w:t>4、涉及区间的参数，除特别注明以外，</w:t>
      </w:r>
      <w:bookmarkStart w:id="35" w:name="_Hlk75447406"/>
      <w:r>
        <w:rPr>
          <w:rFonts w:hint="eastAsia"/>
          <w:b/>
          <w:color w:val="FF0000"/>
          <w:szCs w:val="21"/>
        </w:rPr>
        <w:t>产品参数区间与招标要求不一致的均视为负偏离。</w:t>
      </w:r>
      <w:bookmarkEnd w:id="35"/>
      <w:r>
        <w:rPr>
          <w:rFonts w:hint="eastAsia"/>
          <w:b/>
          <w:color w:val="FF0000"/>
          <w:szCs w:val="21"/>
        </w:rPr>
        <w:t>例：区间要求为0-20ML,只要响应的不是“0-20ML”，如投标文件响应为 0-15ML 、0-21ML 、1-12ML 、 9-20ML 、6-21ML 、9ML等情形均视为负偏离。</w:t>
      </w:r>
    </w:p>
    <w:bookmarkEnd w:id="34"/>
    <w:tbl>
      <w:tblPr>
        <w:tblStyle w:val="4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bookmarkStart w:id="36" w:name="_Hlk70236148"/>
            <w:r>
              <w:rPr>
                <w:rFonts w:hint="default"/>
                <w:color w:val="000000" w:themeColor="text1"/>
                <w:szCs w:val="21"/>
                <w14:textFill>
                  <w14:solidFill>
                    <w14:schemeClr w14:val="tx1"/>
                  </w14:solidFill>
                </w14:textFill>
              </w:rPr>
              <w:t>序号</w:t>
            </w:r>
          </w:p>
        </w:tc>
        <w:tc>
          <w:tcPr>
            <w:tcW w:w="1134" w:type="dxa"/>
            <w:vAlign w:val="center"/>
          </w:tcPr>
          <w:p>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货物名称</w:t>
            </w:r>
          </w:p>
        </w:tc>
        <w:tc>
          <w:tcPr>
            <w:tcW w:w="6485"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w:t>
            </w:r>
            <w:r>
              <w:rPr>
                <w:rFonts w:hint="default"/>
                <w:color w:val="000000" w:themeColor="text1"/>
                <w:szCs w:val="21"/>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Theme="minorEastAsia" w:hAnsiTheme="minorEastAsia" w:eastAsiaTheme="minorEastAsia" w:cstheme="minorEastAsia"/>
                <w:bCs/>
                <w:szCs w:val="21"/>
              </w:rPr>
              <w:t>1</w:t>
            </w:r>
          </w:p>
        </w:tc>
        <w:tc>
          <w:tcPr>
            <w:tcW w:w="1134" w:type="dxa"/>
            <w:vMerge w:val="restart"/>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rPr>
              <w:t>观测图像处理建模与高精度复原算法研究</w:t>
            </w:r>
          </w:p>
        </w:tc>
        <w:tc>
          <w:tcPr>
            <w:tcW w:w="6485" w:type="dxa"/>
          </w:tcPr>
          <w:p>
            <w:pPr>
              <w:keepNext w:val="0"/>
              <w:keepLines w:val="0"/>
              <w:suppressLineNumbers w:val="0"/>
              <w:spacing w:before="0" w:beforeAutospacing="0" w:after="0" w:afterAutospacing="0"/>
              <w:ind w:left="0" w:right="0"/>
              <w:rPr>
                <w:rFonts w:hint="default"/>
              </w:rPr>
            </w:pPr>
            <w:r>
              <w:rPr>
                <w:rFonts w:hint="default"/>
              </w:rPr>
              <w:t>▲1. 噪声建模与抑制：建立高斯噪声、泊松噪声及固定模式噪声模型，研发去噪算法。处理后的图像需满足：</w:t>
            </w:r>
          </w:p>
          <w:p>
            <w:pPr>
              <w:keepNext w:val="0"/>
              <w:keepLines w:val="0"/>
              <w:suppressLineNumbers w:val="0"/>
              <w:spacing w:before="0" w:beforeAutospacing="0" w:after="0" w:afterAutospacing="0"/>
              <w:ind w:left="0" w:right="0"/>
              <w:rPr>
                <w:rFonts w:hint="default"/>
              </w:rPr>
            </w:pPr>
            <w:r>
              <w:rPr>
                <w:rFonts w:hint="default"/>
              </w:rPr>
              <w:t>- 峰值信噪比(PSNR) ≥ 38 dB</w:t>
            </w:r>
          </w:p>
          <w:p>
            <w:pPr>
              <w:keepNext w:val="0"/>
              <w:keepLines w:val="0"/>
              <w:suppressLineNumbers w:val="0"/>
              <w:spacing w:before="0" w:beforeAutospacing="0" w:after="0" w:afterAutospacing="0"/>
              <w:ind w:left="0" w:right="0"/>
              <w:rPr>
                <w:rFonts w:hint="default"/>
              </w:rPr>
            </w:pPr>
            <w:r>
              <w:rPr>
                <w:rFonts w:hint="default"/>
              </w:rPr>
              <w:t>- 结构相似性(SSIM) ≥ 0.92</w:t>
            </w:r>
          </w:p>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rPr>
              <w:t>- 在均匀区域的平均相对偏差(MRD)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134"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6485" w:type="dxa"/>
          </w:tcPr>
          <w:p>
            <w:pPr>
              <w:keepNext w:val="0"/>
              <w:keepLines w:val="0"/>
              <w:suppressLineNumbers w:val="0"/>
              <w:spacing w:before="0" w:beforeAutospacing="0" w:after="0" w:afterAutospacing="0"/>
              <w:ind w:left="0" w:right="0"/>
              <w:rPr>
                <w:rFonts w:hint="default"/>
                <w:highlight w:val="none"/>
              </w:rPr>
            </w:pPr>
            <w:r>
              <w:rPr>
                <w:rFonts w:hint="eastAsia"/>
                <w:highlight w:val="none"/>
              </w:rPr>
              <w:t>▲2.</w:t>
            </w:r>
            <w:r>
              <w:rPr>
                <w:rFonts w:hint="default"/>
                <w:highlight w:val="none"/>
              </w:rPr>
              <w:t xml:space="preserve"> </w:t>
            </w:r>
            <w:r>
              <w:rPr>
                <w:rFonts w:hint="eastAsia"/>
                <w:highlight w:val="none"/>
              </w:rPr>
              <w:t>云层污染修复：研发云层检测与修复算法，对薄云覆盖区域(光学厚度&lt;0.5)的修复效果需满足：</w:t>
            </w:r>
          </w:p>
          <w:p>
            <w:pPr>
              <w:keepNext w:val="0"/>
              <w:keepLines w:val="0"/>
              <w:suppressLineNumbers w:val="0"/>
              <w:spacing w:before="0" w:beforeAutospacing="0" w:after="0" w:afterAutospacing="0"/>
              <w:ind w:left="0" w:right="0"/>
              <w:rPr>
                <w:rFonts w:hint="default"/>
                <w:highlight w:val="none"/>
              </w:rPr>
            </w:pPr>
            <w:r>
              <w:rPr>
                <w:rFonts w:hint="default"/>
                <w:highlight w:val="none"/>
              </w:rPr>
              <w:t xml:space="preserve">- </w:t>
            </w:r>
            <w:r>
              <w:rPr>
                <w:rFonts w:hint="eastAsia"/>
                <w:highlight w:val="none"/>
              </w:rPr>
              <w:t>云层检测准确率</w:t>
            </w:r>
            <w:r>
              <w:rPr>
                <w:rFonts w:hint="default"/>
                <w:highlight w:val="none"/>
              </w:rPr>
              <w:t xml:space="preserve"> </w:t>
            </w:r>
            <w:r>
              <w:rPr>
                <w:rFonts w:hint="eastAsia"/>
                <w:highlight w:val="none"/>
              </w:rPr>
              <w:t>≥</w:t>
            </w:r>
            <w:r>
              <w:rPr>
                <w:rFonts w:hint="default"/>
                <w:highlight w:val="none"/>
              </w:rPr>
              <w:t xml:space="preserve"> 95%</w:t>
            </w:r>
          </w:p>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highlight w:val="none"/>
              </w:rPr>
              <w:t xml:space="preserve">- </w:t>
            </w:r>
            <w:r>
              <w:rPr>
                <w:rFonts w:hint="eastAsia"/>
                <w:highlight w:val="none"/>
              </w:rPr>
              <w:t>修复区域与参考图像的均方根误差(RMSE)降低</w:t>
            </w:r>
            <w:r>
              <w:rPr>
                <w:rFonts w:hint="default"/>
                <w:highlight w:val="none"/>
              </w:rPr>
              <w:t xml:space="preserve"> </w:t>
            </w:r>
            <w:r>
              <w:rPr>
                <w:rFonts w:hint="eastAsia"/>
                <w:highlight w:val="none"/>
              </w:rPr>
              <w:t>≥</w:t>
            </w:r>
            <w:r>
              <w:rPr>
                <w:rFonts w:hint="default"/>
                <w:highlight w:val="none"/>
              </w:rPr>
              <w:t xml:space="preserve">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134"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6485" w:type="dxa"/>
          </w:tcPr>
          <w:p>
            <w:pPr>
              <w:keepNext w:val="0"/>
              <w:keepLines w:val="0"/>
              <w:suppressLineNumbers w:val="0"/>
              <w:spacing w:before="0" w:beforeAutospacing="0" w:after="0" w:afterAutospacing="0"/>
              <w:ind w:left="0" w:right="0"/>
              <w:rPr>
                <w:rFonts w:hint="default"/>
                <w:highlight w:val="none"/>
              </w:rPr>
            </w:pPr>
            <w:r>
              <w:rPr>
                <w:rFonts w:hint="eastAsia"/>
                <w:highlight w:val="none"/>
              </w:rPr>
              <w:t>▲3.</w:t>
            </w:r>
            <w:r>
              <w:rPr>
                <w:rFonts w:hint="default"/>
                <w:highlight w:val="none"/>
              </w:rPr>
              <w:t xml:space="preserve"> </w:t>
            </w:r>
            <w:r>
              <w:rPr>
                <w:rFonts w:hint="eastAsia"/>
                <w:highlight w:val="none"/>
              </w:rPr>
              <w:t>大气湍流校正：建立大气湍流退化模型，实现图像复原算法。处理后的图像需满足：</w:t>
            </w:r>
          </w:p>
          <w:p>
            <w:pPr>
              <w:keepNext w:val="0"/>
              <w:keepLines w:val="0"/>
              <w:suppressLineNumbers w:val="0"/>
              <w:spacing w:before="0" w:beforeAutospacing="0" w:after="0" w:afterAutospacing="0"/>
              <w:ind w:left="0" w:right="0"/>
              <w:rPr>
                <w:rFonts w:hint="default"/>
                <w:highlight w:val="none"/>
              </w:rPr>
            </w:pPr>
            <w:r>
              <w:rPr>
                <w:rFonts w:hint="default"/>
                <w:highlight w:val="none"/>
              </w:rPr>
              <w:t xml:space="preserve">- </w:t>
            </w:r>
            <w:r>
              <w:rPr>
                <w:rFonts w:hint="eastAsia"/>
                <w:highlight w:val="none"/>
              </w:rPr>
              <w:t>主观评价无可见振铃效应和过度平滑</w:t>
            </w:r>
          </w:p>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highlight w:val="none"/>
              </w:rPr>
              <w:t xml:space="preserve">- </w:t>
            </w:r>
            <w:r>
              <w:rPr>
                <w:rFonts w:hint="eastAsia"/>
                <w:highlight w:val="none"/>
              </w:rPr>
              <w:t>提供关键特征的剖面线分析图证明细节恢复效果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134"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6485" w:type="dxa"/>
          </w:tcPr>
          <w:p>
            <w:pPr>
              <w:keepNext w:val="0"/>
              <w:keepLines w:val="0"/>
              <w:suppressLineNumbers w:val="0"/>
              <w:spacing w:before="0" w:beforeAutospacing="0" w:after="0" w:afterAutospacing="0"/>
              <w:ind w:left="0" w:right="0"/>
              <w:rPr>
                <w:rFonts w:hint="default"/>
                <w:highlight w:val="none"/>
              </w:rPr>
            </w:pPr>
            <w:r>
              <w:rPr>
                <w:rFonts w:hint="eastAsia"/>
                <w:highlight w:val="none"/>
              </w:rPr>
              <w:t>▲4.</w:t>
            </w:r>
            <w:r>
              <w:rPr>
                <w:rFonts w:hint="default"/>
                <w:highlight w:val="none"/>
              </w:rPr>
              <w:t xml:space="preserve"> </w:t>
            </w:r>
            <w:r>
              <w:rPr>
                <w:rFonts w:hint="eastAsia"/>
                <w:highlight w:val="none"/>
              </w:rPr>
              <w:t>高精度图像配准：实现序列图像的自动配准，配准精度需满足：</w:t>
            </w:r>
          </w:p>
          <w:p>
            <w:pPr>
              <w:keepNext w:val="0"/>
              <w:keepLines w:val="0"/>
              <w:suppressLineNumbers w:val="0"/>
              <w:spacing w:before="0" w:beforeAutospacing="0" w:after="0" w:afterAutospacing="0"/>
              <w:ind w:left="0" w:right="0"/>
              <w:rPr>
                <w:rFonts w:hint="default"/>
                <w:highlight w:val="none"/>
              </w:rPr>
            </w:pPr>
            <w:r>
              <w:rPr>
                <w:rFonts w:hint="default"/>
                <w:highlight w:val="none"/>
              </w:rPr>
              <w:t xml:space="preserve">- </w:t>
            </w:r>
            <w:r>
              <w:rPr>
                <w:rFonts w:hint="eastAsia"/>
                <w:highlight w:val="none"/>
              </w:rPr>
              <w:t>均方根误差(RMSE)</w:t>
            </w:r>
            <w:r>
              <w:rPr>
                <w:rFonts w:hint="default"/>
                <w:highlight w:val="none"/>
              </w:rPr>
              <w:t xml:space="preserve"> </w:t>
            </w:r>
            <w:r>
              <w:rPr>
                <w:rFonts w:hint="eastAsia"/>
                <w:highlight w:val="none"/>
              </w:rPr>
              <w:t>≤</w:t>
            </w:r>
            <w:r>
              <w:rPr>
                <w:rFonts w:hint="default"/>
                <w:highlight w:val="none"/>
              </w:rPr>
              <w:t xml:space="preserve"> 0.5 </w:t>
            </w:r>
            <w:r>
              <w:rPr>
                <w:rFonts w:hint="eastAsia"/>
                <w:highlight w:val="none"/>
              </w:rPr>
              <w:t>像素（亚像素级）</w:t>
            </w:r>
          </w:p>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default"/>
                <w:highlight w:val="none"/>
              </w:rPr>
              <w:t xml:space="preserve">- </w:t>
            </w:r>
            <w:r>
              <w:rPr>
                <w:rFonts w:hint="eastAsia"/>
                <w:highlight w:val="none"/>
              </w:rPr>
              <w:t>残差图像在特征点区域无可见边缘轮廓</w:t>
            </w:r>
          </w:p>
        </w:tc>
      </w:tr>
      <w:bookmarkEnd w:id="36"/>
    </w:tbl>
    <w:p>
      <w:pPr>
        <w:rPr>
          <w:szCs w:val="21"/>
        </w:rPr>
      </w:pPr>
    </w:p>
    <w:p>
      <w:pPr>
        <w:pStyle w:val="18"/>
      </w:pPr>
    </w:p>
    <w:p>
      <w:pPr>
        <w:pStyle w:val="18"/>
      </w:pPr>
    </w:p>
    <w:p>
      <w:pPr>
        <w:pStyle w:val="19"/>
      </w:pPr>
    </w:p>
    <w:p>
      <w:pPr>
        <w:pStyle w:val="5"/>
        <w:spacing w:before="156" w:beforeLines="50" w:after="156" w:afterLines="50"/>
        <w:rPr>
          <w:szCs w:val="24"/>
        </w:rPr>
      </w:pPr>
      <w:r>
        <w:rPr>
          <w:rFonts w:hint="eastAsia"/>
          <w:szCs w:val="24"/>
        </w:rPr>
        <w:t>六、商务要求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57"/>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0" w:type="dxa"/>
            <w:vAlign w:val="center"/>
          </w:tcPr>
          <w:p>
            <w:pPr>
              <w:keepNext w:val="0"/>
              <w:keepLines w:val="0"/>
              <w:suppressLineNumbers w:val="0"/>
              <w:spacing w:before="0" w:beforeAutospacing="0" w:after="0" w:afterAutospacing="0"/>
              <w:ind w:left="0" w:right="0"/>
              <w:jc w:val="center"/>
              <w:rPr>
                <w:rFonts w:hint="default"/>
                <w:b/>
              </w:rPr>
            </w:pPr>
            <w:r>
              <w:rPr>
                <w:rFonts w:hint="eastAsia"/>
                <w:b/>
              </w:rPr>
              <w:t>序号</w:t>
            </w:r>
          </w:p>
        </w:tc>
        <w:tc>
          <w:tcPr>
            <w:tcW w:w="1457" w:type="dxa"/>
            <w:vAlign w:val="center"/>
          </w:tcPr>
          <w:p>
            <w:pPr>
              <w:keepNext w:val="0"/>
              <w:keepLines w:val="0"/>
              <w:suppressLineNumbers w:val="0"/>
              <w:spacing w:before="0" w:beforeAutospacing="0" w:after="0" w:afterAutospacing="0"/>
              <w:ind w:left="0" w:right="0"/>
              <w:jc w:val="center"/>
              <w:rPr>
                <w:rFonts w:hint="default"/>
                <w:b/>
              </w:rPr>
            </w:pPr>
            <w:r>
              <w:rPr>
                <w:rFonts w:hint="eastAsia"/>
                <w:b/>
              </w:rPr>
              <w:t>商务需求项</w:t>
            </w:r>
          </w:p>
        </w:tc>
        <w:tc>
          <w:tcPr>
            <w:tcW w:w="6523" w:type="dxa"/>
            <w:vAlign w:val="center"/>
          </w:tcPr>
          <w:p>
            <w:pPr>
              <w:keepNext w:val="0"/>
              <w:keepLines w:val="0"/>
              <w:suppressLineNumbers w:val="0"/>
              <w:spacing w:before="0" w:beforeAutospacing="0" w:after="0" w:afterAutospacing="0"/>
              <w:ind w:left="0" w:right="0"/>
              <w:jc w:val="center"/>
              <w:rPr>
                <w:rFonts w:hint="default"/>
                <w:b/>
              </w:rPr>
            </w:pPr>
            <w:r>
              <w:rPr>
                <w:rFonts w:hint="eastAsia"/>
                <w:b/>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40" w:type="dxa"/>
            <w:vMerge w:val="restart"/>
            <w:vAlign w:val="center"/>
          </w:tcPr>
          <w:p>
            <w:pPr>
              <w:keepNext w:val="0"/>
              <w:keepLines w:val="0"/>
              <w:suppressLineNumbers w:val="0"/>
              <w:spacing w:before="0" w:beforeAutospacing="0" w:after="0" w:afterAutospacing="0"/>
              <w:ind w:left="0" w:right="0"/>
              <w:jc w:val="center"/>
              <w:rPr>
                <w:rFonts w:hint="default"/>
                <w:bCs/>
              </w:rPr>
            </w:pPr>
            <w:r>
              <w:rPr>
                <w:rFonts w:hint="eastAsia" w:asciiTheme="minorEastAsia" w:hAnsiTheme="minorEastAsia" w:eastAsiaTheme="minorEastAsia" w:cstheme="minorEastAsia"/>
                <w:b/>
                <w:bCs/>
                <w:szCs w:val="21"/>
              </w:rPr>
              <w:t>1</w:t>
            </w:r>
          </w:p>
        </w:tc>
        <w:tc>
          <w:tcPr>
            <w:tcW w:w="1457"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eastAsia" w:asciiTheme="minorEastAsia" w:hAnsiTheme="minorEastAsia" w:eastAsiaTheme="minorEastAsia" w:cstheme="minorEastAsia"/>
                <w:b/>
                <w:bCs/>
                <w:szCs w:val="21"/>
              </w:rPr>
              <w:t>关于交货</w:t>
            </w:r>
          </w:p>
        </w:tc>
        <w:tc>
          <w:tcPr>
            <w:tcW w:w="6523" w:type="dxa"/>
          </w:tcPr>
          <w:p>
            <w:pPr>
              <w:keepNext w:val="0"/>
              <w:keepLines w:val="0"/>
              <w:suppressLineNumbers w:val="0"/>
              <w:spacing w:before="0" w:beforeAutospacing="0" w:after="0" w:afterAutospacing="0"/>
              <w:ind w:left="0" w:right="0"/>
              <w:rPr>
                <w:rFonts w:hint="default" w:ascii="宋体" w:hAnsi="宋体" w:cs="宋体"/>
                <w:b/>
                <w:sz w:val="20"/>
                <w:szCs w:val="20"/>
              </w:rPr>
            </w:pPr>
            <w:r>
              <w:rPr>
                <w:rFonts w:hint="default" w:ascii="Segoe UI Symbol" w:hAnsi="Segoe UI Symbol" w:cs="Segoe UI Symbol"/>
              </w:rPr>
              <w:t>★</w:t>
            </w:r>
            <w:r>
              <w:rPr>
                <w:rFonts w:hint="default"/>
              </w:rPr>
              <w:t>1.1 交货地点：深圳市南山区深圳大学城哈工大深圳校区</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40"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highlight w:val="none"/>
              </w:rPr>
            </w:pPr>
          </w:p>
        </w:tc>
        <w:tc>
          <w:tcPr>
            <w:tcW w:w="1457"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highlight w:val="none"/>
              </w:rPr>
            </w:pPr>
          </w:p>
        </w:tc>
        <w:tc>
          <w:tcPr>
            <w:tcW w:w="6523" w:type="dxa"/>
          </w:tcPr>
          <w:p>
            <w:pPr>
              <w:keepNext w:val="0"/>
              <w:keepLines w:val="0"/>
              <w:suppressLineNumbers w:val="0"/>
              <w:spacing w:before="0" w:beforeAutospacing="0" w:after="0" w:afterAutospacing="0"/>
              <w:ind w:left="0" w:right="0"/>
              <w:rPr>
                <w:rFonts w:hint="default" w:ascii="Segoe UI Symbol" w:hAnsi="Segoe UI Symbol" w:cs="Segoe UI Symbol"/>
                <w:highlight w:val="none"/>
              </w:rPr>
            </w:pPr>
            <w:r>
              <w:rPr>
                <w:rFonts w:hint="eastAsia" w:ascii="Segoe UI Symbol" w:hAnsi="Segoe UI Symbol" w:cs="Segoe UI Symbol"/>
                <w:highlight w:val="none"/>
              </w:rPr>
              <w:t>★</w:t>
            </w:r>
            <w:r>
              <w:rPr>
                <w:rFonts w:hint="default"/>
                <w:highlight w:val="none"/>
              </w:rPr>
              <w:t xml:space="preserve">1.2 </w:t>
            </w:r>
            <w:r>
              <w:rPr>
                <w:rFonts w:hint="eastAsia"/>
                <w:highlight w:val="none"/>
              </w:rPr>
              <w:t>签订合同后9个月内完成交付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40"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Theme="minorEastAsia" w:hAnsiTheme="minorEastAsia" w:eastAsiaTheme="minorEastAsia" w:cstheme="minorEastAsia"/>
                <w:b/>
                <w:bCs/>
                <w:szCs w:val="21"/>
              </w:rPr>
              <w:t>2</w:t>
            </w:r>
          </w:p>
        </w:tc>
        <w:tc>
          <w:tcPr>
            <w:tcW w:w="145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asciiTheme="minorEastAsia" w:hAnsiTheme="minorEastAsia" w:eastAsiaTheme="minorEastAsia" w:cstheme="minorEastAsia"/>
                <w:b/>
                <w:bCs/>
                <w:szCs w:val="21"/>
              </w:rPr>
              <w:t>验收标准</w:t>
            </w:r>
          </w:p>
        </w:tc>
        <w:tc>
          <w:tcPr>
            <w:tcW w:w="6523" w:type="dxa"/>
          </w:tcPr>
          <w:p>
            <w:pPr>
              <w:keepNext w:val="0"/>
              <w:keepLines w:val="0"/>
              <w:suppressLineNumbers w:val="0"/>
              <w:spacing w:before="0" w:beforeAutospacing="0" w:after="0" w:afterAutospacing="0" w:line="340" w:lineRule="exact"/>
              <w:ind w:left="0" w:right="0"/>
              <w:rPr>
                <w:rFonts w:hint="default" w:ascii="宋体" w:hAnsi="宋体" w:cs="宋体"/>
                <w:b/>
                <w:sz w:val="20"/>
                <w:szCs w:val="20"/>
              </w:rPr>
            </w:pPr>
            <w:r>
              <w:rPr>
                <w:rFonts w:hint="default" w:ascii="Segoe UI Symbol" w:hAnsi="Segoe UI Symbol" w:cs="Segoe UI Symbol"/>
              </w:rPr>
              <w:t>★</w:t>
            </w:r>
            <w:r>
              <w:rPr>
                <w:rFonts w:hint="eastAsia" w:ascii="Segoe UI Symbol" w:hAnsi="Segoe UI Symbol" w:cs="Segoe UI Symbol"/>
              </w:rPr>
              <w:t>2.1</w:t>
            </w:r>
            <w:r>
              <w:rPr>
                <w:rFonts w:hint="default"/>
              </w:rPr>
              <w:t>以本文件"技术要求"中规定的量化指标为唯一验收标准，中标方需提供完整的测试报告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40" w:type="dxa"/>
            <w:vMerge w:val="restart"/>
            <w:vAlign w:val="center"/>
          </w:tcPr>
          <w:p>
            <w:pPr>
              <w:keepNext w:val="0"/>
              <w:keepLines w:val="0"/>
              <w:suppressLineNumbers w:val="0"/>
              <w:spacing w:before="0" w:beforeAutospacing="0" w:after="0" w:afterAutospacing="0"/>
              <w:ind w:left="0" w:right="0"/>
              <w:jc w:val="center"/>
              <w:rPr>
                <w:rFonts w:hint="default"/>
                <w:b/>
              </w:rPr>
            </w:pPr>
            <w:r>
              <w:rPr>
                <w:rFonts w:hint="default" w:asciiTheme="minorEastAsia" w:hAnsiTheme="minorEastAsia" w:eastAsiaTheme="minorEastAsia" w:cstheme="minorEastAsia"/>
                <w:b/>
                <w:bCs/>
                <w:szCs w:val="21"/>
              </w:rPr>
              <w:t>3</w:t>
            </w:r>
          </w:p>
        </w:tc>
        <w:tc>
          <w:tcPr>
            <w:tcW w:w="1457"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eastAsia" w:asciiTheme="minorEastAsia" w:hAnsiTheme="minorEastAsia" w:eastAsiaTheme="minorEastAsia" w:cstheme="minorEastAsia"/>
                <w:b/>
                <w:bCs/>
                <w:szCs w:val="21"/>
              </w:rPr>
              <w:t>关于付款</w:t>
            </w:r>
          </w:p>
        </w:tc>
        <w:tc>
          <w:tcPr>
            <w:tcW w:w="6523" w:type="dxa"/>
          </w:tcPr>
          <w:p>
            <w:pPr>
              <w:keepNext w:val="0"/>
              <w:keepLines w:val="0"/>
              <w:suppressLineNumbers w:val="0"/>
              <w:spacing w:before="0" w:beforeAutospacing="0" w:after="0" w:afterAutospacing="0" w:line="340" w:lineRule="exact"/>
              <w:ind w:left="0" w:right="0"/>
              <w:rPr>
                <w:rFonts w:hint="default" w:ascii="宋体" w:hAnsi="宋体" w:cs="宋体"/>
                <w:bCs/>
                <w:sz w:val="20"/>
                <w:szCs w:val="20"/>
              </w:rPr>
            </w:pPr>
            <w:r>
              <w:rPr>
                <w:rFonts w:hint="default"/>
              </w:rPr>
              <w:t>3.1 付款方式：签订合同后支付90%；最终验收通过后支付10%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40"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highlight w:val="none"/>
              </w:rPr>
            </w:pPr>
          </w:p>
        </w:tc>
        <w:tc>
          <w:tcPr>
            <w:tcW w:w="1457"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szCs w:val="21"/>
                <w:highlight w:val="none"/>
              </w:rPr>
            </w:pPr>
          </w:p>
        </w:tc>
        <w:tc>
          <w:tcPr>
            <w:tcW w:w="6523" w:type="dxa"/>
          </w:tcPr>
          <w:p>
            <w:pPr>
              <w:keepNext w:val="0"/>
              <w:keepLines w:val="0"/>
              <w:suppressLineNumbers w:val="0"/>
              <w:spacing w:before="0" w:beforeAutospacing="0" w:after="0" w:afterAutospacing="0" w:line="340" w:lineRule="exact"/>
              <w:ind w:left="0" w:right="0"/>
              <w:rPr>
                <w:rFonts w:hint="default"/>
                <w:highlight w:val="none"/>
              </w:rPr>
            </w:pPr>
            <w:r>
              <w:rPr>
                <w:rFonts w:hint="default"/>
                <w:highlight w:val="none"/>
              </w:rPr>
              <w:t>3.2</w:t>
            </w:r>
            <w:r>
              <w:rPr>
                <w:rFonts w:hint="eastAsia"/>
                <w:highlight w:val="none"/>
              </w:rPr>
              <w:t>若因乙方原因导致项目失败或未达到核心指标，甲方有权终止合同，乙方需根据实际已完成并通过验收的工作量，按比例返还已支付款项。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40" w:type="dxa"/>
            <w:vAlign w:val="center"/>
          </w:tcPr>
          <w:p>
            <w:pPr>
              <w:keepNext w:val="0"/>
              <w:keepLines w:val="0"/>
              <w:suppressLineNumbers w:val="0"/>
              <w:spacing w:before="0" w:beforeAutospacing="0" w:after="0" w:afterAutospacing="0"/>
              <w:ind w:left="0" w:right="0" w:firstLine="211" w:firstLineChars="100"/>
              <w:rPr>
                <w:rFonts w:hint="default"/>
                <w:b/>
              </w:rPr>
            </w:pPr>
            <w:r>
              <w:rPr>
                <w:rFonts w:hint="eastAsia" w:asciiTheme="minorEastAsia" w:hAnsiTheme="minorEastAsia" w:eastAsiaTheme="minorEastAsia" w:cstheme="minorEastAsia"/>
                <w:b/>
                <w:bCs/>
                <w:szCs w:val="21"/>
              </w:rPr>
              <w:t>4</w:t>
            </w:r>
          </w:p>
        </w:tc>
        <w:tc>
          <w:tcPr>
            <w:tcW w:w="1457" w:type="dxa"/>
            <w:vAlign w:val="center"/>
          </w:tcPr>
          <w:p>
            <w:pPr>
              <w:keepNext w:val="0"/>
              <w:keepLines w:val="0"/>
              <w:suppressLineNumbers w:val="0"/>
              <w:spacing w:before="0" w:beforeAutospacing="0" w:after="0" w:afterAutospacing="0"/>
              <w:ind w:left="0" w:right="0"/>
              <w:jc w:val="center"/>
              <w:rPr>
                <w:rFonts w:hint="default"/>
                <w:b/>
              </w:rPr>
            </w:pPr>
            <w:r>
              <w:rPr>
                <w:rFonts w:hint="eastAsia" w:asciiTheme="minorEastAsia" w:hAnsiTheme="minorEastAsia" w:eastAsiaTheme="minorEastAsia" w:cstheme="minorEastAsia"/>
                <w:b/>
                <w:bCs/>
                <w:szCs w:val="21"/>
              </w:rPr>
              <w:t>知识产权</w:t>
            </w:r>
          </w:p>
        </w:tc>
        <w:tc>
          <w:tcPr>
            <w:tcW w:w="6523" w:type="dxa"/>
            <w:vAlign w:val="center"/>
          </w:tcPr>
          <w:p>
            <w:pPr>
              <w:keepNext w:val="0"/>
              <w:keepLines w:val="0"/>
              <w:suppressLineNumbers w:val="0"/>
              <w:spacing w:before="0" w:beforeAutospacing="0" w:after="0" w:afterAutospacing="0"/>
              <w:ind w:left="0" w:right="0"/>
              <w:rPr>
                <w:rFonts w:hint="default" w:ascii="宋体" w:hAnsi="宋体" w:cs="宋体"/>
                <w:bCs/>
                <w:sz w:val="20"/>
                <w:szCs w:val="20"/>
              </w:rPr>
            </w:pPr>
            <w:r>
              <w:rPr>
                <w:rFonts w:hint="eastAsia"/>
                <w:b/>
                <w:szCs w:val="21"/>
              </w:rPr>
              <w:t>★4.1</w:t>
            </w:r>
            <w:r>
              <w:rPr>
                <w:rFonts w:hint="eastAsia"/>
              </w:rPr>
              <w:t>项目所产生的所有研究成果（包括但不限于算法、模型、软件著作权等）的知识产权归甲方所有，乙方享有署名权。并有权在不泄露甲方敏感数据的前提下，将核心技术方法用于学术发表和成果展示。</w:t>
            </w:r>
          </w:p>
        </w:tc>
      </w:tr>
    </w:tbl>
    <w:p>
      <w:pPr>
        <w:pStyle w:val="19"/>
      </w:pPr>
    </w:p>
    <w:p>
      <w:pPr>
        <w:pStyle w:val="19"/>
      </w:pPr>
    </w:p>
    <w:p>
      <w:pPr>
        <w:pStyle w:val="18"/>
      </w:pPr>
    </w:p>
    <w:p>
      <w:pPr>
        <w:pStyle w:val="5"/>
        <w:spacing w:before="156" w:beforeLines="50" w:after="156" w:afterLines="50"/>
        <w:rPr>
          <w:szCs w:val="24"/>
        </w:rPr>
      </w:pPr>
      <w:r>
        <w:rPr>
          <w:rFonts w:hint="eastAsia"/>
          <w:szCs w:val="24"/>
          <w:lang w:val="en-US" w:eastAsia="zh-CN"/>
        </w:rPr>
        <w:t>六</w:t>
      </w:r>
      <w:r>
        <w:rPr>
          <w:rFonts w:hint="eastAsia"/>
          <w:szCs w:val="24"/>
        </w:rPr>
        <w:t>、其他重要条款</w:t>
      </w:r>
    </w:p>
    <w:p>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
        <w:rPr>
          <w:lang w:bidi="ar"/>
        </w:rPr>
        <w:br w:type="page"/>
      </w:r>
    </w:p>
    <w:p>
      <w:pPr>
        <w:pStyle w:val="5"/>
        <w:rPr>
          <w:sz w:val="28"/>
          <w:szCs w:val="28"/>
        </w:rPr>
      </w:pPr>
      <w:r>
        <w:rPr>
          <w:rFonts w:hint="eastAsia"/>
          <w:sz w:val="28"/>
          <w:szCs w:val="28"/>
        </w:rPr>
        <w:t>第四章 投标文件组成要求及格式</w:t>
      </w:r>
    </w:p>
    <w:p>
      <w:pPr>
        <w:rPr>
          <w:rStyle w:val="64"/>
          <w:sz w:val="24"/>
        </w:rPr>
      </w:pPr>
      <w:r>
        <w:rPr>
          <w:rStyle w:val="64"/>
          <w:rFonts w:hint="eastAsia"/>
          <w:sz w:val="24"/>
        </w:rPr>
        <w:t>特别提醒：</w:t>
      </w:r>
    </w:p>
    <w:p>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pPr>
        <w:tabs>
          <w:tab w:val="left" w:pos="1470"/>
        </w:tabs>
        <w:snapToGrid w:val="0"/>
        <w:spacing w:line="320" w:lineRule="atLeast"/>
        <w:ind w:firstLine="482" w:firstLineChars="200"/>
        <w:rPr>
          <w:rFonts w:hint="eastAsia" w:ascii="宋体" w:hAnsi="宋体" w:cs="宋体"/>
          <w:b/>
          <w:color w:val="FF0000"/>
          <w:sz w:val="24"/>
        </w:rPr>
      </w:pPr>
    </w:p>
    <w:p>
      <w:pPr>
        <w:rPr>
          <w:rFonts w:ascii="宋体" w:hAnsi="宋体"/>
          <w:b/>
          <w:bCs/>
          <w:sz w:val="24"/>
        </w:rPr>
      </w:pPr>
      <w:r>
        <w:rPr>
          <w:rFonts w:hint="eastAsia" w:ascii="宋体" w:hAnsi="宋体"/>
          <w:b/>
          <w:bCs/>
          <w:sz w:val="24"/>
        </w:rPr>
        <w:t>投标文件组成：</w:t>
      </w:r>
    </w:p>
    <w:p>
      <w:pPr>
        <w:ind w:firstLine="480" w:firstLineChars="200"/>
        <w:outlineLvl w:val="0"/>
        <w:rPr>
          <w:rFonts w:ascii="宋体" w:hAnsi="宋体"/>
          <w:sz w:val="24"/>
        </w:rPr>
      </w:pPr>
      <w:r>
        <w:rPr>
          <w:rFonts w:hint="eastAsia" w:ascii="宋体" w:hAnsi="宋体"/>
          <w:sz w:val="24"/>
        </w:rPr>
        <w:t>投标文件主要包括以下内容：</w:t>
      </w:r>
    </w:p>
    <w:p>
      <w:pPr>
        <w:ind w:firstLine="840" w:firstLineChars="400"/>
        <w:rPr>
          <w:szCs w:val="21"/>
        </w:rPr>
      </w:pPr>
      <w:r>
        <w:rPr>
          <w:rFonts w:hint="eastAsia"/>
          <w:szCs w:val="21"/>
        </w:rPr>
        <w:t>（1）</w:t>
      </w:r>
      <w:bookmarkStart w:id="37" w:name="_Hlk72070784"/>
      <w:r>
        <w:rPr>
          <w:rFonts w:hint="eastAsia"/>
          <w:szCs w:val="21"/>
        </w:rPr>
        <w:t>投标函</w:t>
      </w:r>
      <w:bookmarkEnd w:id="37"/>
    </w:p>
    <w:p>
      <w:pPr>
        <w:ind w:firstLine="840" w:firstLineChars="400"/>
        <w:rPr>
          <w:szCs w:val="21"/>
        </w:rPr>
      </w:pPr>
      <w:r>
        <w:rPr>
          <w:rFonts w:hint="eastAsia"/>
          <w:szCs w:val="21"/>
        </w:rPr>
        <w:t>（2）采购投标及履约承诺函</w:t>
      </w:r>
    </w:p>
    <w:p>
      <w:pPr>
        <w:ind w:firstLine="840" w:firstLineChars="400"/>
        <w:rPr>
          <w:szCs w:val="21"/>
        </w:rPr>
      </w:pPr>
      <w:r>
        <w:rPr>
          <w:rFonts w:hint="eastAsia"/>
          <w:szCs w:val="21"/>
        </w:rPr>
        <w:t>（</w:t>
      </w:r>
      <w:r>
        <w:rPr>
          <w:szCs w:val="21"/>
        </w:rPr>
        <w:t>3</w:t>
      </w:r>
      <w:r>
        <w:rPr>
          <w:rFonts w:hint="eastAsia"/>
          <w:szCs w:val="21"/>
        </w:rPr>
        <w:t>）投标人情况及资格证明文件</w:t>
      </w:r>
    </w:p>
    <w:p>
      <w:pPr>
        <w:ind w:firstLine="840" w:firstLineChars="400"/>
        <w:rPr>
          <w:rFonts w:hint="eastAsia"/>
          <w:szCs w:val="21"/>
        </w:rPr>
      </w:pPr>
      <w:bookmarkStart w:id="38" w:name="_Hlk72257201"/>
      <w:r>
        <w:rPr>
          <w:rFonts w:hint="eastAsia"/>
          <w:szCs w:val="21"/>
        </w:rPr>
        <w:t>（</w:t>
      </w:r>
      <w:r>
        <w:rPr>
          <w:szCs w:val="21"/>
        </w:rPr>
        <w:t>4</w:t>
      </w:r>
      <w:r>
        <w:rPr>
          <w:rFonts w:hint="eastAsia"/>
          <w:szCs w:val="21"/>
        </w:rPr>
        <w:t>）项目详细报价</w:t>
      </w:r>
    </w:p>
    <w:bookmarkEnd w:id="38"/>
    <w:p>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r>
        <w:rPr>
          <w:rFonts w:hint="eastAsia"/>
          <w:lang w:eastAsia="zh-CN"/>
        </w:rPr>
        <w:t>（</w:t>
      </w:r>
      <w:r>
        <w:rPr>
          <w:rFonts w:hint="eastAsia"/>
          <w:lang w:val="en-US" w:eastAsia="zh-CN"/>
        </w:rPr>
        <w:t>须加盖投标单位公章</w:t>
      </w:r>
      <w:r>
        <w:rPr>
          <w:rFonts w:hint="eastAsia"/>
          <w:lang w:eastAsia="zh-CN"/>
        </w:rPr>
        <w:t>）</w:t>
      </w:r>
    </w:p>
    <w:p>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pPr>
        <w:ind w:firstLine="840" w:firstLineChars="400"/>
        <w:rPr>
          <w:szCs w:val="21"/>
        </w:rPr>
      </w:pPr>
      <w:r>
        <w:rPr>
          <w:rFonts w:hint="eastAsia"/>
          <w:szCs w:val="21"/>
        </w:rPr>
        <w:t>（</w:t>
      </w:r>
      <w:r>
        <w:rPr>
          <w:rFonts w:hint="eastAsia"/>
          <w:szCs w:val="21"/>
          <w:lang w:val="en-US" w:eastAsia="zh-CN"/>
        </w:rPr>
        <w:t>9</w:t>
      </w:r>
      <w:r>
        <w:rPr>
          <w:rFonts w:hint="eastAsia"/>
          <w:szCs w:val="21"/>
        </w:rPr>
        <w:t>）技术要求偏离表</w:t>
      </w:r>
    </w:p>
    <w:p>
      <w:pPr>
        <w:ind w:firstLine="840" w:firstLineChars="400"/>
        <w:rPr>
          <w:rFonts w:hint="eastAsia"/>
          <w:szCs w:val="21"/>
        </w:rPr>
      </w:pPr>
      <w:r>
        <w:rPr>
          <w:rFonts w:hint="eastAsia"/>
          <w:szCs w:val="21"/>
        </w:rPr>
        <w:t>（</w:t>
      </w:r>
      <w:r>
        <w:rPr>
          <w:rFonts w:hint="eastAsia"/>
          <w:szCs w:val="21"/>
          <w:lang w:val="en-US" w:eastAsia="zh-CN"/>
        </w:rPr>
        <w:t>10</w:t>
      </w:r>
      <w:r>
        <w:rPr>
          <w:rFonts w:hint="eastAsia"/>
          <w:szCs w:val="21"/>
        </w:rPr>
        <w:t>）商务要求偏离表</w:t>
      </w:r>
    </w:p>
    <w:p>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sz w:val="20"/>
          <w:szCs w:val="20"/>
        </w:rPr>
        <w:t>技术保障措施</w:t>
      </w:r>
    </w:p>
    <w:p>
      <w:pPr>
        <w:ind w:firstLine="840" w:firstLineChars="400"/>
        <w:rPr>
          <w:rFonts w:hint="eastAsia"/>
          <w:szCs w:val="21"/>
          <w:lang w:val="en-US" w:eastAsia="zh-CN"/>
        </w:rPr>
      </w:pPr>
      <w:r>
        <w:rPr>
          <w:rFonts w:hint="eastAsia"/>
          <w:szCs w:val="21"/>
        </w:rPr>
        <w:t>（</w:t>
      </w:r>
      <w:r>
        <w:rPr>
          <w:rFonts w:hint="eastAsia"/>
          <w:szCs w:val="21"/>
          <w:lang w:val="en-US" w:eastAsia="zh-CN"/>
        </w:rPr>
        <w:t>12</w:t>
      </w:r>
      <w:r>
        <w:rPr>
          <w:rFonts w:hint="eastAsia"/>
          <w:szCs w:val="21"/>
        </w:rPr>
        <w:t>）</w:t>
      </w:r>
      <w:r>
        <w:rPr>
          <w:rFonts w:hint="eastAsia"/>
          <w:szCs w:val="21"/>
          <w:lang w:val="en-US" w:eastAsia="zh-CN"/>
        </w:rPr>
        <w:t>团队实力</w:t>
      </w:r>
    </w:p>
    <w:p>
      <w:pPr>
        <w:ind w:firstLine="840" w:firstLineChars="400"/>
        <w:rPr>
          <w:rFonts w:hint="eastAsia"/>
          <w:szCs w:val="21"/>
          <w:lang w:val="en-US" w:eastAsia="zh-CN"/>
        </w:rPr>
      </w:pPr>
      <w:r>
        <w:rPr>
          <w:rFonts w:hint="eastAsia"/>
          <w:szCs w:val="21"/>
          <w:lang w:eastAsia="zh-CN"/>
        </w:rPr>
        <w:t>（</w:t>
      </w:r>
      <w:r>
        <w:rPr>
          <w:rFonts w:hint="eastAsia"/>
          <w:szCs w:val="21"/>
          <w:lang w:val="en-US" w:eastAsia="zh-CN"/>
        </w:rPr>
        <w:t>13</w:t>
      </w:r>
      <w:r>
        <w:rPr>
          <w:rFonts w:hint="eastAsia"/>
          <w:szCs w:val="21"/>
          <w:lang w:eastAsia="zh-CN"/>
        </w:rPr>
        <w:t>）</w:t>
      </w:r>
      <w:bookmarkStart w:id="39" w:name="OLE_LINK1"/>
      <w:r>
        <w:rPr>
          <w:rFonts w:hint="eastAsia" w:ascii="宋体" w:hAnsi="宋体" w:cs="宋体"/>
          <w:sz w:val="20"/>
          <w:szCs w:val="20"/>
        </w:rPr>
        <w:t>供应商同类业</w:t>
      </w:r>
      <w:bookmarkEnd w:id="39"/>
      <w:r>
        <w:rPr>
          <w:rFonts w:hint="eastAsia" w:ascii="宋体" w:hAnsi="宋体" w:cs="宋体"/>
          <w:sz w:val="20"/>
          <w:szCs w:val="20"/>
        </w:rPr>
        <w:t>绩</w:t>
      </w:r>
    </w:p>
    <w:p>
      <w:pPr>
        <w:ind w:firstLine="840" w:firstLineChars="400"/>
        <w:rPr>
          <w:rFonts w:ascii="仿宋_GB2312" w:eastAsia="仿宋_GB2312"/>
          <w:sz w:val="24"/>
        </w:rPr>
      </w:pPr>
      <w:r>
        <w:rPr>
          <w:rFonts w:hint="eastAsia"/>
          <w:szCs w:val="21"/>
        </w:rPr>
        <w:t>（</w:t>
      </w:r>
      <w:r>
        <w:rPr>
          <w:rFonts w:hint="eastAsia"/>
          <w:szCs w:val="21"/>
          <w:lang w:val="en-US" w:eastAsia="zh-CN"/>
        </w:rPr>
        <w:t>14</w:t>
      </w:r>
      <w:r>
        <w:rPr>
          <w:rFonts w:hint="eastAsia"/>
          <w:szCs w:val="21"/>
        </w:rPr>
        <w:t>）投标人认为需要加以说明的其他内容</w:t>
      </w:r>
    </w:p>
    <w:p>
      <w:pPr>
        <w:ind w:firstLine="426" w:firstLineChars="202"/>
        <w:rPr>
          <w:rFonts w:ascii="宋体" w:hAnsi="宋体"/>
          <w:b/>
          <w:szCs w:val="21"/>
        </w:rPr>
      </w:pPr>
    </w:p>
    <w:p>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pPr>
        <w:jc w:val="left"/>
        <w:rPr>
          <w:rFonts w:ascii="宋体" w:hAnsi="宋体"/>
          <w:b/>
          <w:color w:val="FF0000"/>
          <w:sz w:val="36"/>
          <w:szCs w:val="36"/>
        </w:rPr>
      </w:pPr>
      <w:r>
        <w:rPr>
          <w:rFonts w:hint="eastAsia" w:ascii="宋体" w:hAnsi="宋体"/>
          <w:b/>
          <w:color w:val="FF0000"/>
          <w:sz w:val="36"/>
          <w:szCs w:val="36"/>
        </w:rPr>
        <w:br w:type="page"/>
      </w:r>
    </w:p>
    <w:p>
      <w:pPr>
        <w:outlineLvl w:val="1"/>
        <w:rPr>
          <w:rFonts w:ascii="宋体" w:hAnsi="宋体"/>
          <w:b/>
          <w:color w:val="FF0000"/>
          <w:sz w:val="28"/>
          <w:szCs w:val="28"/>
        </w:rPr>
      </w:pPr>
      <w:r>
        <w:rPr>
          <w:rFonts w:hint="eastAsia" w:ascii="宋体" w:hAnsi="宋体"/>
          <w:b/>
          <w:color w:val="FF0000"/>
          <w:sz w:val="28"/>
          <w:szCs w:val="28"/>
        </w:rPr>
        <w:t>投标文件</w:t>
      </w:r>
    </w:p>
    <w:p>
      <w:pPr>
        <w:pStyle w:val="3"/>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pPr>
        <w:ind w:firstLine="420" w:firstLineChars="200"/>
        <w:rPr>
          <w:rFonts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ascii="宋体" w:hAnsi="宋体"/>
          <w:szCs w:val="21"/>
        </w:rPr>
      </w:pPr>
      <w:r>
        <w:rPr>
          <w:rFonts w:hint="eastAsia" w:ascii="宋体" w:hAnsi="宋体"/>
          <w:szCs w:val="21"/>
        </w:rPr>
        <w:t>3、如果我单位中标，我单位将按照招标文件的要求提交履约担保。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40"/>
    </w:p>
    <w:p>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pPr>
        <w:pStyle w:val="18"/>
      </w:pPr>
    </w:p>
    <w:p>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pPr>
        <w:rPr>
          <w:rFonts w:ascii="黑体" w:hAnsi="宋体" w:eastAsia="黑体"/>
        </w:rPr>
      </w:pPr>
    </w:p>
    <w:p>
      <w:pPr>
        <w:rPr>
          <w:rFonts w:ascii="黑体" w:hAnsi="宋体" w:eastAsia="黑体"/>
        </w:rPr>
      </w:pPr>
    </w:p>
    <w:p>
      <w:pPr>
        <w:widowControl/>
        <w:jc w:val="left"/>
        <w:rPr>
          <w:rFonts w:ascii="黑体" w:hAnsi="宋体" w:eastAsia="黑体"/>
          <w:bCs/>
          <w:kern w:val="0"/>
          <w:sz w:val="24"/>
          <w:szCs w:val="32"/>
        </w:rPr>
      </w:pPr>
      <w:r>
        <w:rPr>
          <w:rFonts w:ascii="黑体" w:eastAsia="黑体"/>
          <w:b/>
          <w:kern w:val="0"/>
          <w:sz w:val="24"/>
        </w:rPr>
        <w:br w:type="page"/>
      </w:r>
    </w:p>
    <w:p>
      <w:pPr>
        <w:pStyle w:val="3"/>
        <w:jc w:val="center"/>
        <w:rPr>
          <w:rFonts w:ascii="黑体" w:eastAsia="黑体"/>
          <w:b w:val="0"/>
          <w:kern w:val="0"/>
          <w:sz w:val="24"/>
        </w:rPr>
      </w:pPr>
      <w:r>
        <w:rPr>
          <w:rFonts w:hint="eastAsia" w:ascii="黑体" w:eastAsia="黑体"/>
          <w:b w:val="0"/>
          <w:kern w:val="0"/>
          <w:sz w:val="24"/>
        </w:rPr>
        <w:t>二、采购投标及履约承诺函</w:t>
      </w:r>
    </w:p>
    <w:p>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pPr>
        <w:ind w:right="-815" w:firstLine="420" w:firstLineChars="200"/>
        <w:rPr>
          <w:rFonts w:ascii="宋体" w:hAnsi="宋体" w:cs="宋体"/>
          <w:szCs w:val="21"/>
        </w:rPr>
      </w:pPr>
      <w:r>
        <w:rPr>
          <w:rFonts w:hint="eastAsia" w:ascii="宋体" w:hAnsi="宋体" w:cs="宋体"/>
          <w:szCs w:val="21"/>
          <w:lang w:bidi="ar"/>
        </w:rPr>
        <w:t>我单位承诺：</w:t>
      </w:r>
    </w:p>
    <w:p>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p>
      <w:pPr>
        <w:rPr>
          <w:rFonts w:hint="eastAsia" w:ascii="黑体" w:eastAsia="黑体"/>
          <w:b w:val="0"/>
          <w:kern w:val="0"/>
          <w:sz w:val="24"/>
        </w:rPr>
      </w:pPr>
      <w:r>
        <w:rPr>
          <w:rFonts w:hint="eastAsia" w:ascii="黑体" w:eastAsia="黑体"/>
          <w:b w:val="0"/>
          <w:kern w:val="0"/>
          <w:sz w:val="24"/>
        </w:rPr>
        <w:br w:type="page"/>
      </w:r>
    </w:p>
    <w:p>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jc w:val="left"/>
      </w:pPr>
      <w:r>
        <w:br w:type="page"/>
      </w:r>
    </w:p>
    <w:p>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42"/>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18"/>
      </w:pPr>
    </w:p>
    <w:p>
      <w:pPr>
        <w:numPr>
          <w:ilvl w:val="0"/>
          <w:numId w:val="9"/>
        </w:numPr>
        <w:jc w:val="center"/>
        <w:outlineLvl w:val="3"/>
      </w:pPr>
      <w:r>
        <w:rPr>
          <w:rFonts w:hint="eastAsia" w:cs="宋体"/>
          <w:b/>
          <w:sz w:val="24"/>
          <w:lang w:bidi="ar"/>
        </w:rPr>
        <w:t>中小企业声明函（服务）</w:t>
      </w:r>
    </w:p>
    <w:p>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pPr>
        <w:spacing w:line="360" w:lineRule="auto"/>
        <w:ind w:firstLine="420" w:firstLineChars="200"/>
        <w:outlineLvl w:val="3"/>
        <w:rPr>
          <w:rFonts w:ascii="宋体" w:hAnsi="宋体" w:cs="宋体"/>
          <w:szCs w:val="21"/>
        </w:rPr>
      </w:pPr>
      <w:r>
        <w:rPr>
          <w:rFonts w:hint="eastAsia" w:ascii="宋体" w:hAnsi="宋体" w:cs="宋体"/>
          <w:szCs w:val="21"/>
          <w:lang w:bidi="ar"/>
        </w:rPr>
        <w:t>……</w:t>
      </w:r>
    </w:p>
    <w:p>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pPr>
        <w:spacing w:line="360" w:lineRule="auto"/>
        <w:ind w:firstLine="420" w:firstLineChars="200"/>
        <w:outlineLvl w:val="3"/>
        <w:rPr>
          <w:rFonts w:ascii="宋体" w:hAnsi="宋体" w:cs="宋体"/>
          <w:szCs w:val="21"/>
          <w:lang w:bidi="ar"/>
        </w:rPr>
      </w:pPr>
      <w:bookmarkStart w:id="43"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pPr>
        <w:pStyle w:val="18"/>
      </w:pPr>
    </w:p>
    <w:p>
      <w:pPr>
        <w:ind w:firstLine="420" w:firstLineChars="200"/>
      </w:pPr>
    </w:p>
    <w:p>
      <w:pPr>
        <w:jc w:val="center"/>
        <w:outlineLvl w:val="3"/>
        <w:rPr>
          <w:b/>
          <w:sz w:val="24"/>
        </w:rPr>
      </w:pPr>
      <w:r>
        <w:rPr>
          <w:b/>
          <w:sz w:val="24"/>
          <w:lang w:bidi="ar"/>
        </w:rPr>
        <w:t>2</w:t>
      </w:r>
      <w:r>
        <w:rPr>
          <w:rFonts w:hint="eastAsia" w:cs="宋体"/>
          <w:b/>
          <w:sz w:val="24"/>
          <w:lang w:bidi="ar"/>
        </w:rPr>
        <w:t>、残疾人福利性单位声明函（服务类）</w:t>
      </w:r>
    </w:p>
    <w:p>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cs="宋体"/>
          <w:szCs w:val="21"/>
        </w:rPr>
      </w:pPr>
    </w:p>
    <w:p>
      <w:pPr>
        <w:ind w:firstLine="420" w:firstLineChars="200"/>
        <w:rPr>
          <w:rFonts w:ascii="宋体" w:hAnsi="宋体" w:cs="宋体"/>
          <w:szCs w:val="21"/>
        </w:rPr>
      </w:pPr>
    </w:p>
    <w:p>
      <w:pPr>
        <w:ind w:firstLine="420" w:firstLineChars="200"/>
        <w:rPr>
          <w:rFonts w:ascii="宋体" w:hAnsi="宋体" w:cs="宋体"/>
          <w:szCs w:val="21"/>
        </w:rPr>
      </w:pPr>
    </w:p>
    <w:p>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pPr>
        <w:ind w:firstLine="420" w:firstLineChars="200"/>
        <w:outlineLvl w:val="3"/>
        <w:rPr>
          <w:rFonts w:ascii="宋体" w:hAnsi="宋体" w:cs="宋体"/>
          <w:szCs w:val="21"/>
        </w:rPr>
      </w:pPr>
      <w:r>
        <w:rPr>
          <w:rFonts w:hint="eastAsia" w:ascii="宋体" w:hAnsi="宋体" w:cs="宋体"/>
          <w:szCs w:val="21"/>
          <w:lang w:bidi="ar"/>
        </w:rPr>
        <w:t xml:space="preserve">…… </w:t>
      </w:r>
    </w:p>
    <w:p>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pPr>
        <w:rPr>
          <w:rFonts w:ascii="黑体" w:eastAsia="黑体"/>
          <w:sz w:val="24"/>
        </w:rPr>
      </w:pPr>
      <w:r>
        <w:rPr>
          <w:rFonts w:hint="eastAsia" w:ascii="黑体" w:eastAsia="黑体"/>
          <w:sz w:val="24"/>
        </w:rPr>
        <w:br w:type="page"/>
      </w:r>
    </w:p>
    <w:p>
      <w:pPr>
        <w:pStyle w:val="3"/>
        <w:jc w:val="center"/>
        <w:rPr>
          <w:rFonts w:ascii="黑体" w:eastAsia="黑体"/>
          <w:b w:val="0"/>
          <w:sz w:val="24"/>
          <w:szCs w:val="24"/>
        </w:rPr>
      </w:pPr>
      <w:r>
        <w:rPr>
          <w:rFonts w:hint="eastAsia" w:ascii="黑体" w:eastAsia="黑体"/>
          <w:b w:val="0"/>
          <w:sz w:val="24"/>
          <w:szCs w:val="24"/>
        </w:rPr>
        <w:t>四、项目详细报价</w:t>
      </w:r>
    </w:p>
    <w:p>
      <w:pPr>
        <w:pStyle w:val="18"/>
      </w:pPr>
    </w:p>
    <w:p>
      <w:pPr>
        <w:pStyle w:val="19"/>
      </w:pPr>
    </w:p>
    <w:p>
      <w:pPr>
        <w:pStyle w:val="19"/>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1、投标人的投标报价不得超过预算金额，否则将导致投标无效。</w:t>
      </w:r>
    </w:p>
    <w:p>
      <w:pPr>
        <w:widowControl/>
        <w:snapToGrid w:val="0"/>
        <w:ind w:firstLine="420" w:firstLineChars="200"/>
        <w:jc w:val="left"/>
        <w:rPr>
          <w:rFonts w:ascii="宋体" w:hAnsi="宋体"/>
          <w:color w:val="0000FF"/>
          <w:kern w:val="0"/>
          <w:szCs w:val="21"/>
        </w:rPr>
      </w:pPr>
      <w:r>
        <w:rPr>
          <w:rFonts w:hint="eastAsia" w:ascii="宋体" w:hAnsi="宋体"/>
          <w:color w:val="0000FF"/>
          <w:kern w:val="0"/>
          <w:szCs w:val="21"/>
        </w:rPr>
        <w:t>2、服务类项目包含硬件设备、产品等货物采购的，除了要求供应商响应服务方案及报价外，必须按照货物类公开招标文件模板规定的分项报价表格式，要求供应商响应货物标的产品规格型号并逐一分项报价。</w:t>
      </w: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pPr>
        <w:rPr>
          <w:b/>
          <w:bCs/>
        </w:rPr>
      </w:pPr>
      <w:r>
        <w:rPr>
          <w:b/>
          <w:bCs/>
        </w:rPr>
        <w:br w:type="page"/>
      </w:r>
    </w:p>
    <w:p>
      <w:pPr>
        <w:pStyle w:val="3"/>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p>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5" w:name="_Hlk72092499"/>
      <w:r>
        <w:rPr>
          <w:rFonts w:hint="eastAsia" w:ascii="黑体" w:eastAsia="黑体"/>
          <w:b w:val="0"/>
          <w:sz w:val="24"/>
        </w:rPr>
        <w:t>法定代表人（负责人）证明书</w:t>
      </w:r>
      <w:bookmarkEnd w:id="45"/>
    </w:p>
    <w:p>
      <w:pPr>
        <w:rPr>
          <w:sz w:val="24"/>
        </w:rPr>
      </w:pPr>
    </w:p>
    <w:p>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pPr>
        <w:spacing w:line="360" w:lineRule="auto"/>
        <w:ind w:firstLine="422" w:firstLineChars="200"/>
        <w:rPr>
          <w:b/>
          <w:bCs/>
          <w:color w:val="FF0000"/>
          <w:szCs w:val="21"/>
        </w:rPr>
      </w:pPr>
      <w:r>
        <w:rPr>
          <w:rFonts w:hint="eastAsia" w:cs="宋体"/>
          <w:b/>
          <w:bCs/>
          <w:color w:val="FF0000"/>
          <w:szCs w:val="21"/>
          <w:lang w:bidi="ar"/>
        </w:rPr>
        <w:t>特此证明。</w:t>
      </w:r>
    </w:p>
    <w:p>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pPr>
              <w:pStyle w:val="37"/>
              <w:keepNext w:val="0"/>
              <w:keepLines w:val="0"/>
              <w:suppressLineNumbers w:val="0"/>
              <w:spacing w:before="0" w:beforeAutospacing="0" w:after="120" w:afterAutospacing="0"/>
              <w:ind w:left="0" w:right="0"/>
              <w:rPr>
                <w:rFonts w:hint="default"/>
              </w:rPr>
            </w:pPr>
          </w:p>
          <w:p>
            <w:pPr>
              <w:pStyle w:val="37"/>
              <w:keepNext w:val="0"/>
              <w:keepLines w:val="0"/>
              <w:suppressLineNumbers w:val="0"/>
              <w:spacing w:before="0" w:beforeAutospacing="0" w:after="0" w:afterAutospacing="0" w:line="360" w:lineRule="auto"/>
              <w:ind w:left="0" w:right="0"/>
              <w:rPr>
                <w:rFonts w:hint="default"/>
              </w:rPr>
            </w:pPr>
          </w:p>
          <w:p>
            <w:pPr>
              <w:pStyle w:val="37"/>
              <w:keepNext w:val="0"/>
              <w:keepLines w:val="0"/>
              <w:suppressLineNumbers w:val="0"/>
              <w:spacing w:before="0" w:beforeAutospacing="0" w:after="0" w:afterAutospacing="0" w:line="360" w:lineRule="auto"/>
              <w:ind w:left="0" w:right="0"/>
              <w:rPr>
                <w:rFonts w:hint="default"/>
              </w:rPr>
            </w:pPr>
          </w:p>
          <w:p>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pPr>
              <w:pStyle w:val="37"/>
              <w:keepNext w:val="0"/>
              <w:keepLines w:val="0"/>
              <w:suppressLineNumbers w:val="0"/>
              <w:spacing w:before="0" w:beforeAutospacing="0" w:after="120" w:afterAutospacing="0"/>
              <w:ind w:left="0" w:right="0"/>
              <w:jc w:val="center"/>
              <w:rPr>
                <w:rFonts w:hint="default"/>
              </w:rPr>
            </w:pPr>
          </w:p>
          <w:p>
            <w:pPr>
              <w:pStyle w:val="37"/>
              <w:keepNext w:val="0"/>
              <w:keepLines w:val="0"/>
              <w:suppressLineNumbers w:val="0"/>
              <w:spacing w:before="0" w:beforeAutospacing="0" w:after="0" w:afterAutospacing="0" w:line="360" w:lineRule="auto"/>
              <w:ind w:left="0" w:right="0"/>
              <w:jc w:val="center"/>
              <w:rPr>
                <w:rFonts w:hint="default"/>
              </w:rPr>
            </w:pPr>
          </w:p>
        </w:tc>
      </w:tr>
    </w:tbl>
    <w:p>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rPr>
          <w:sz w:val="24"/>
        </w:rPr>
      </w:pPr>
    </w:p>
    <w:p>
      <w:pPr>
        <w:rPr>
          <w:rFonts w:ascii="黑体" w:hAnsi="宋体" w:eastAsia="黑体" w:cs="黑体"/>
          <w:bCs/>
          <w:sz w:val="24"/>
          <w:szCs w:val="32"/>
        </w:rPr>
      </w:pPr>
      <w:r>
        <w:rPr>
          <w:rFonts w:hint="eastAsia" w:ascii="黑体" w:hAnsi="宋体" w:eastAsia="黑体" w:cs="黑体"/>
          <w:bCs/>
          <w:sz w:val="24"/>
          <w:szCs w:val="32"/>
        </w:rPr>
        <w:br w:type="page"/>
      </w:r>
    </w:p>
    <w:p>
      <w:pPr>
        <w:pStyle w:val="3"/>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cs="宋体"/>
          <w:szCs w:val="21"/>
          <w:lang w:bidi="ar"/>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pPr>
              <w:pStyle w:val="37"/>
              <w:keepNext w:val="0"/>
              <w:keepLines w:val="0"/>
              <w:suppressLineNumbers w:val="0"/>
              <w:spacing w:before="0" w:beforeAutospacing="0" w:after="120" w:afterAutospacing="0"/>
              <w:ind w:left="0" w:right="0"/>
              <w:rPr>
                <w:rFonts w:hint="default"/>
              </w:rPr>
            </w:pPr>
          </w:p>
          <w:p>
            <w:pPr>
              <w:pStyle w:val="37"/>
              <w:keepNext w:val="0"/>
              <w:keepLines w:val="0"/>
              <w:suppressLineNumbers w:val="0"/>
              <w:spacing w:before="0" w:beforeAutospacing="0" w:after="0" w:afterAutospacing="0" w:line="360" w:lineRule="auto"/>
              <w:ind w:left="0" w:right="0"/>
              <w:rPr>
                <w:rFonts w:hint="default"/>
              </w:rPr>
            </w:pPr>
          </w:p>
          <w:p>
            <w:pPr>
              <w:pStyle w:val="37"/>
              <w:keepNext w:val="0"/>
              <w:keepLines w:val="0"/>
              <w:suppressLineNumbers w:val="0"/>
              <w:spacing w:before="0" w:beforeAutospacing="0" w:after="0" w:afterAutospacing="0" w:line="360" w:lineRule="auto"/>
              <w:ind w:left="0" w:right="0"/>
              <w:rPr>
                <w:rFonts w:hint="default"/>
              </w:rPr>
            </w:pPr>
          </w:p>
          <w:p>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pPr>
              <w:pStyle w:val="37"/>
              <w:keepNext w:val="0"/>
              <w:keepLines w:val="0"/>
              <w:suppressLineNumbers w:val="0"/>
              <w:spacing w:before="0" w:beforeAutospacing="0" w:after="120" w:afterAutospacing="0"/>
              <w:ind w:left="0" w:right="0"/>
              <w:jc w:val="center"/>
              <w:rPr>
                <w:rFonts w:hint="default"/>
              </w:rPr>
            </w:pPr>
          </w:p>
          <w:p>
            <w:pPr>
              <w:pStyle w:val="37"/>
              <w:keepNext w:val="0"/>
              <w:keepLines w:val="0"/>
              <w:suppressLineNumbers w:val="0"/>
              <w:spacing w:before="0" w:beforeAutospacing="0" w:after="0" w:afterAutospacing="0" w:line="360" w:lineRule="auto"/>
              <w:ind w:left="0" w:right="0"/>
              <w:jc w:val="center"/>
              <w:rPr>
                <w:rFonts w:hint="default"/>
              </w:rPr>
            </w:pPr>
          </w:p>
        </w:tc>
      </w:tr>
    </w:tbl>
    <w:p>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
      <w:pPr>
        <w:pStyle w:val="18"/>
        <w:rPr>
          <w:rFonts w:hAnsi="宋体"/>
        </w:rPr>
      </w:pPr>
      <w:r>
        <w:br w:type="page"/>
      </w: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6" w:name="_Hlk72092634"/>
      <w:r>
        <w:rPr>
          <w:rFonts w:hint="eastAsia" w:ascii="黑体" w:eastAsia="黑体"/>
          <w:b w:val="0"/>
          <w:kern w:val="0"/>
          <w:sz w:val="24"/>
          <w:szCs w:val="24"/>
        </w:rPr>
        <w:t>实质性条款响应情况表</w:t>
      </w:r>
      <w:bookmarkEnd w:id="46"/>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7"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2</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eastAsia" w:hAnsi="宋体" w:cs="宋体"/>
                <w:kern w:val="0"/>
                <w:szCs w:val="21"/>
              </w:rPr>
              <w:t>（填写相关内容）</w:t>
            </w:r>
          </w:p>
        </w:tc>
        <w:tc>
          <w:tcPr>
            <w:tcW w:w="27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3</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w:t>
            </w:r>
          </w:p>
        </w:tc>
        <w:tc>
          <w:tcPr>
            <w:tcW w:w="27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p>
      <w:pPr>
        <w:rPr>
          <w:b/>
          <w:bCs/>
          <w:sz w:val="24"/>
        </w:rPr>
      </w:pPr>
    </w:p>
    <w:p>
      <w:pPr>
        <w:widowControl/>
        <w:jc w:val="left"/>
        <w:rPr>
          <w:rFonts w:ascii="黑体" w:hAnsi="宋体" w:eastAsia="黑体"/>
          <w:sz w:val="24"/>
          <w:szCs w:val="20"/>
          <w:highlight w:val="yellow"/>
        </w:rPr>
      </w:pPr>
      <w:r>
        <w:rPr>
          <w:rFonts w:ascii="黑体" w:hAnsi="宋体" w:eastAsia="黑体"/>
          <w:sz w:val="24"/>
          <w:szCs w:val="20"/>
          <w:highlight w:val="yellow"/>
        </w:rPr>
        <w:br w:type="page"/>
      </w:r>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2"/>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sz w:val="24"/>
              </w:rPr>
              <w:t>序号</w:t>
            </w:r>
          </w:p>
        </w:tc>
        <w:tc>
          <w:tcPr>
            <w:tcW w:w="7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sz w:val="24"/>
              </w:rPr>
              <w:t>货物名称</w:t>
            </w:r>
          </w:p>
        </w:tc>
        <w:tc>
          <w:tcPr>
            <w:tcW w:w="5446"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sz w:val="24"/>
              </w:rPr>
              <w:t>招标技术要求</w:t>
            </w:r>
          </w:p>
        </w:tc>
        <w:tc>
          <w:tcPr>
            <w:tcW w:w="9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sz w:val="24"/>
              </w:rPr>
              <w:t>投标技术响应</w:t>
            </w:r>
          </w:p>
        </w:tc>
        <w:tc>
          <w:tcPr>
            <w:tcW w:w="710"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sz w:val="24"/>
              </w:rPr>
              <w:t>偏离情况</w:t>
            </w:r>
          </w:p>
        </w:tc>
        <w:tc>
          <w:tcPr>
            <w:tcW w:w="390"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w:t>
            </w:r>
          </w:p>
        </w:tc>
        <w:tc>
          <w:tcPr>
            <w:tcW w:w="772" w:type="dxa"/>
            <w:vMerge w:val="restart"/>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rPr>
              <w:t>观测图像处理建模与高精度复原算法研究</w:t>
            </w:r>
          </w:p>
        </w:tc>
        <w:tc>
          <w:tcPr>
            <w:tcW w:w="5446" w:type="dxa"/>
          </w:tcPr>
          <w:p>
            <w:pPr>
              <w:keepNext w:val="0"/>
              <w:keepLines w:val="0"/>
              <w:suppressLineNumbers w:val="0"/>
              <w:spacing w:before="0" w:beforeAutospacing="0" w:after="0" w:afterAutospacing="0"/>
              <w:ind w:left="0" w:right="0"/>
              <w:rPr>
                <w:rFonts w:hint="default"/>
              </w:rPr>
            </w:pPr>
            <w:r>
              <w:rPr>
                <w:rFonts w:hint="default"/>
              </w:rPr>
              <w:t>▲1. 噪声建模与抑制：建立高斯噪声、泊松噪声及固定模式噪声模型，研发去噪算法。处理后的图像需满足：</w:t>
            </w:r>
          </w:p>
          <w:p>
            <w:pPr>
              <w:keepNext w:val="0"/>
              <w:keepLines w:val="0"/>
              <w:suppressLineNumbers w:val="0"/>
              <w:spacing w:before="0" w:beforeAutospacing="0" w:after="0" w:afterAutospacing="0"/>
              <w:ind w:left="0" w:right="0"/>
              <w:rPr>
                <w:rFonts w:hint="default"/>
              </w:rPr>
            </w:pPr>
            <w:r>
              <w:rPr>
                <w:rFonts w:hint="default"/>
              </w:rPr>
              <w:t>- 峰值信噪比(PSNR) ≥ 38 dB</w:t>
            </w:r>
          </w:p>
          <w:p>
            <w:pPr>
              <w:keepNext w:val="0"/>
              <w:keepLines w:val="0"/>
              <w:suppressLineNumbers w:val="0"/>
              <w:spacing w:before="0" w:beforeAutospacing="0" w:after="0" w:afterAutospacing="0"/>
              <w:ind w:left="0" w:right="0"/>
              <w:rPr>
                <w:rFonts w:hint="default"/>
              </w:rPr>
            </w:pPr>
            <w:r>
              <w:rPr>
                <w:rFonts w:hint="default"/>
              </w:rPr>
              <w:t>- 结构相似性(SSIM) ≥ 0.92</w:t>
            </w:r>
          </w:p>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rPr>
              <w:t>- 在均匀区域的平均相对偏差(MRD) ≤ 2.0%</w:t>
            </w:r>
          </w:p>
        </w:tc>
        <w:tc>
          <w:tcPr>
            <w:tcW w:w="972"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71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39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446" w:type="dxa"/>
          </w:tcPr>
          <w:p>
            <w:pPr>
              <w:keepNext w:val="0"/>
              <w:keepLines w:val="0"/>
              <w:suppressLineNumbers w:val="0"/>
              <w:spacing w:before="0" w:beforeAutospacing="0" w:after="0" w:afterAutospacing="0"/>
              <w:ind w:left="0" w:right="0"/>
              <w:rPr>
                <w:rFonts w:hint="default"/>
              </w:rPr>
            </w:pPr>
            <w:r>
              <w:rPr>
                <w:rFonts w:hint="default"/>
              </w:rPr>
              <w:t>▲2. 云层污染修复：研发云层检测与修复算法，对薄云覆盖区域(光学厚度&lt;0.5)的修复效果需满足：</w:t>
            </w:r>
          </w:p>
          <w:p>
            <w:pPr>
              <w:keepNext w:val="0"/>
              <w:keepLines w:val="0"/>
              <w:suppressLineNumbers w:val="0"/>
              <w:spacing w:before="0" w:beforeAutospacing="0" w:after="0" w:afterAutospacing="0"/>
              <w:ind w:left="0" w:right="0"/>
              <w:rPr>
                <w:rFonts w:hint="default"/>
              </w:rPr>
            </w:pPr>
            <w:r>
              <w:rPr>
                <w:rFonts w:hint="default"/>
              </w:rPr>
              <w:t>- 云层检测准确率 ≥ 95%</w:t>
            </w:r>
          </w:p>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rPr>
              <w:t>- 修复区域与参考图像的均方根误差(RMSE)降低 ≥ 50%</w:t>
            </w:r>
          </w:p>
        </w:tc>
        <w:tc>
          <w:tcPr>
            <w:tcW w:w="972"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71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39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446" w:type="dxa"/>
          </w:tcPr>
          <w:p>
            <w:pPr>
              <w:keepNext w:val="0"/>
              <w:keepLines w:val="0"/>
              <w:suppressLineNumbers w:val="0"/>
              <w:spacing w:before="0" w:beforeAutospacing="0" w:after="0" w:afterAutospacing="0"/>
              <w:ind w:left="0" w:right="0"/>
              <w:rPr>
                <w:rFonts w:hint="default"/>
              </w:rPr>
            </w:pPr>
            <w:r>
              <w:rPr>
                <w:rFonts w:hint="default"/>
              </w:rPr>
              <w:t>▲3. 大气湍流校正：建立大气湍流退化模型，实现图像复原算法。处理后的图像需满足：</w:t>
            </w:r>
          </w:p>
          <w:p>
            <w:pPr>
              <w:keepNext w:val="0"/>
              <w:keepLines w:val="0"/>
              <w:suppressLineNumbers w:val="0"/>
              <w:spacing w:before="0" w:beforeAutospacing="0" w:after="0" w:afterAutospacing="0"/>
              <w:ind w:left="0" w:right="0"/>
              <w:rPr>
                <w:rFonts w:hint="default"/>
              </w:rPr>
            </w:pPr>
            <w:r>
              <w:rPr>
                <w:rFonts w:hint="default"/>
              </w:rPr>
              <w:t>- 主观评价无可见振铃效应和过度平滑</w:t>
            </w:r>
          </w:p>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rPr>
              <w:t>- 提供关键特征的剖面线分析图证明细节恢复效果</w:t>
            </w:r>
          </w:p>
        </w:tc>
        <w:tc>
          <w:tcPr>
            <w:tcW w:w="972"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71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39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5446" w:type="dxa"/>
          </w:tcPr>
          <w:p>
            <w:pPr>
              <w:keepNext w:val="0"/>
              <w:keepLines w:val="0"/>
              <w:suppressLineNumbers w:val="0"/>
              <w:spacing w:before="0" w:beforeAutospacing="0" w:after="0" w:afterAutospacing="0"/>
              <w:ind w:left="0" w:right="0"/>
              <w:rPr>
                <w:rFonts w:hint="default"/>
              </w:rPr>
            </w:pPr>
            <w:r>
              <w:rPr>
                <w:rFonts w:hint="default"/>
              </w:rPr>
              <w:t>▲4. 高精度图像配准：实现序列图像的自动配准，配准精度需满足：</w:t>
            </w:r>
          </w:p>
          <w:p>
            <w:pPr>
              <w:keepNext w:val="0"/>
              <w:keepLines w:val="0"/>
              <w:suppressLineNumbers w:val="0"/>
              <w:spacing w:before="0" w:beforeAutospacing="0" w:after="0" w:afterAutospacing="0"/>
              <w:ind w:left="0" w:right="0"/>
              <w:rPr>
                <w:rFonts w:hint="default"/>
              </w:rPr>
            </w:pPr>
            <w:r>
              <w:rPr>
                <w:rFonts w:hint="default"/>
              </w:rPr>
              <w:t>- 均方根误差(RMSE) ≤ 0.5 像素（亚像素级）</w:t>
            </w:r>
          </w:p>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default"/>
              </w:rPr>
              <w:t>- 残差图像在特征点区域无可见边缘轮廓</w:t>
            </w:r>
          </w:p>
        </w:tc>
        <w:tc>
          <w:tcPr>
            <w:tcW w:w="972"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71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c>
          <w:tcPr>
            <w:tcW w:w="390" w:type="dxa"/>
          </w:tcPr>
          <w:p>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p>
        </w:tc>
      </w:tr>
    </w:tbl>
    <w:p>
      <w:pPr>
        <w:ind w:firstLine="420" w:firstLineChars="200"/>
      </w:pPr>
      <w:bookmarkStart w:id="48" w:name="_Hlk72095977"/>
      <w:r>
        <w:rPr>
          <w:rFonts w:hint="eastAsia"/>
        </w:rPr>
        <w:t>证明资料【如有的话，提供的证明资料应统一编号（排序），格式自定】</w:t>
      </w:r>
      <w:bookmarkEnd w:id="48"/>
      <w:r>
        <w:rPr>
          <w:rFonts w:hint="eastAsia"/>
        </w:rPr>
        <w:t>：</w:t>
      </w:r>
    </w:p>
    <w:p>
      <w:pPr>
        <w:ind w:firstLine="420" w:firstLineChars="200"/>
      </w:pPr>
    </w:p>
    <w:p>
      <w:pPr>
        <w:ind w:firstLine="420" w:firstLineChars="200"/>
      </w:pPr>
      <w:r>
        <w:rPr>
          <w:rFonts w:hint="eastAsia"/>
        </w:rPr>
        <w:t>《技术要求偏离表》编制指引：</w:t>
      </w:r>
    </w:p>
    <w:p>
      <w:pPr>
        <w:ind w:firstLine="420" w:firstLineChars="200"/>
      </w:pPr>
      <w:r>
        <w:rPr>
          <w:rFonts w:hint="eastAsia"/>
        </w:rPr>
        <w:t>1、技术要求偏离表的序号、货物名称、招标技术要求等栏目</w:t>
      </w:r>
      <w:bookmarkStart w:id="49" w:name="_Hlk72094407"/>
      <w:r>
        <w:rPr>
          <w:rFonts w:hint="eastAsia"/>
        </w:rPr>
        <w:t>对应“用户需求书”中的“技术要求”章节</w:t>
      </w:r>
      <w:bookmarkEnd w:id="49"/>
      <w:r>
        <w:rPr>
          <w:rFonts w:hint="eastAsia"/>
        </w:rPr>
        <w:t>相关内容。</w:t>
      </w:r>
    </w:p>
    <w:p>
      <w:pPr>
        <w:ind w:firstLine="420" w:firstLineChars="200"/>
        <w:rPr>
          <w:color w:val="FF0000"/>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rPr>
        <w:t>“投标技术响应”必须与所投产品客观实际保持一致，响应不实且情节严重的，经查实，将依法记入供应商诚信档案或受到行政处罚。</w:t>
      </w:r>
    </w:p>
    <w:p>
      <w:pPr>
        <w:ind w:firstLine="420" w:firstLineChars="200"/>
        <w:rPr>
          <w:color w:val="FF0000"/>
        </w:rPr>
      </w:pPr>
      <w:r>
        <w:t>3</w:t>
      </w:r>
      <w:r>
        <w:rPr>
          <w:rFonts w:hint="eastAsia"/>
        </w:rPr>
        <w:t>、</w:t>
      </w:r>
      <w:bookmarkStart w:id="50" w:name="_Hlk72158270"/>
      <w:r>
        <w:rPr>
          <w:rFonts w:hint="eastAsia"/>
        </w:rPr>
        <w:t>“偏离情况”</w:t>
      </w:r>
      <w:bookmarkEnd w:id="50"/>
      <w:r>
        <w:rPr>
          <w:rFonts w:hint="eastAsia"/>
        </w:rPr>
        <w:t>一栏填写如实填写“正偏离”、“负偏离”或“无偏离”，其中：</w:t>
      </w:r>
      <w:bookmarkStart w:id="51" w:name="_Hlk72093866"/>
      <w:r>
        <w:rPr>
          <w:rFonts w:hint="eastAsia"/>
        </w:rPr>
        <w:t>“正偏离”表示“投标响应优于招标技术要求”，“负偏离”表示“投标响应不满足招标技术要求”，“无偏离”表示“投标响应与招标技术要求一致”</w:t>
      </w:r>
      <w:bookmarkEnd w:id="51"/>
      <w:r>
        <w:rPr>
          <w:rFonts w:hint="eastAsia"/>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color w:val="FF0000"/>
        </w:rPr>
        <w:t>“偏离情况”必须与所投产品客观实际保持一致，响应不实且情节严重的，经查实，将依法记入供应商诚信档案或受到行政处罚。</w:t>
      </w:r>
    </w:p>
    <w:p>
      <w:pPr>
        <w:ind w:firstLine="420" w:firstLineChars="200"/>
      </w:pPr>
      <w:r>
        <w:t>4</w:t>
      </w:r>
      <w:r>
        <w:rPr>
          <w:rFonts w:hint="eastAsia"/>
        </w:rPr>
        <w:t>、未要求提供证明资料的招标技术要求，可以不提供证明资料（如实响应即可）。</w:t>
      </w:r>
    </w:p>
    <w:p>
      <w:pPr>
        <w:ind w:firstLine="420" w:firstLineChars="200"/>
      </w:pPr>
      <w:r>
        <w:rPr>
          <w:rFonts w:hint="eastAsia"/>
        </w:rPr>
        <w:t>5、</w:t>
      </w:r>
      <w:bookmarkStart w:id="52" w:name="_Hlk72096106"/>
      <w:r>
        <w:rPr>
          <w:rFonts w:hint="eastAsia"/>
        </w:rPr>
        <w:t>证明资料条款响应要求</w:t>
      </w:r>
      <w:bookmarkEnd w:id="52"/>
      <w:r>
        <w:rPr>
          <w:rFonts w:hint="eastAsia"/>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hint="eastAsia"/>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4" w:name="_Hlk73558164"/>
      <w:r>
        <w:rPr>
          <w:rFonts w:hint="eastAsia"/>
        </w:rPr>
        <w:t>且投标人在“偏离情况”一栏响应为“正偏离”或“无偏离”的，经评审委员会认定，将判定为负偏离。</w:t>
      </w:r>
      <w:bookmarkEnd w:id="53"/>
      <w:bookmarkEnd w:id="54"/>
    </w:p>
    <w:p>
      <w:pPr>
        <w:ind w:firstLine="420" w:firstLineChars="200"/>
      </w:pPr>
      <w:r>
        <w:rPr>
          <w:rFonts w:hint="eastAsia"/>
        </w:rPr>
        <w:t>6、</w:t>
      </w:r>
      <w:bookmarkStart w:id="55" w:name="_Hlk72096137"/>
      <w:r>
        <w:rPr>
          <w:rFonts w:hint="eastAsia"/>
        </w:rPr>
        <w:t>表后“证明资料”部分内容的编制</w:t>
      </w:r>
      <w:bookmarkEnd w:id="55"/>
      <w:r>
        <w:rPr>
          <w:rFonts w:hint="eastAsia"/>
        </w:rPr>
        <w:t>：提供的所有证明资料应当统一编号（排序），且证明资料的编号（顺序）、数量和名称（形式）均应与“说明”一栏所填内容保持一致（一一对应），以便评审委员会查看。</w:t>
      </w:r>
      <w:bookmarkStart w:id="56" w:name="_Hlk73558180"/>
      <w:r>
        <w:rPr>
          <w:rFonts w:hint="eastAsia"/>
        </w:rPr>
        <w:t>未按照招标文件要求在表后放置证明材料的供应商将承担不利后果，经评审委员会认定，相关技术要求将判定为负偏离。</w:t>
      </w:r>
      <w:bookmarkEnd w:id="56"/>
    </w:p>
    <w:p>
      <w:pPr>
        <w:ind w:firstLine="420" w:firstLineChars="200"/>
      </w:pPr>
      <w:r>
        <w:rPr>
          <w:rFonts w:hint="eastAsia"/>
        </w:rPr>
        <w:t>7、</w:t>
      </w:r>
      <w:bookmarkStart w:id="57" w:name="_Hlk72096176"/>
      <w:r>
        <w:rPr>
          <w:rFonts w:hint="eastAsia"/>
        </w:rPr>
        <w:t>证明资料的形式及其它具体要求</w:t>
      </w:r>
      <w:bookmarkEnd w:id="57"/>
      <w:r>
        <w:rPr>
          <w:rFonts w:hint="eastAsia"/>
        </w:rPr>
        <w:t>：</w:t>
      </w:r>
    </w:p>
    <w:p>
      <w:pPr>
        <w:ind w:firstLine="420" w:firstLineChars="200"/>
      </w:pPr>
      <w:r>
        <w:rPr>
          <w:rFonts w:hint="eastAsia"/>
        </w:rPr>
        <w:t>（1）除照片、图片（截图）及不需加盖公章的文字说明（技术说明）外，其它证明资料均要求为原件扫描件；</w:t>
      </w:r>
    </w:p>
    <w:p>
      <w:pPr>
        <w:ind w:firstLine="420" w:firstLineChars="200"/>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pPr>
      <w:r>
        <w:rPr>
          <w:rFonts w:hint="eastAsia"/>
        </w:rPr>
        <w:t>我国政府机构出具的产品检验和核准证件应为证件正面、背面和附件标注的全部具体内容；产品检验和核准证件的尺寸和清晰度应该能够在电脑上被阅读、识别和判断；</w:t>
      </w:r>
    </w:p>
    <w:p>
      <w:pPr>
        <w:ind w:firstLine="420" w:firstLineChars="200"/>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pPr>
      <w:r>
        <w:rPr>
          <w:rFonts w:hint="eastAsia"/>
        </w:rPr>
        <w:t>其它证明资料的形式要求参照以上要求执行；</w:t>
      </w:r>
    </w:p>
    <w:p>
      <w:pPr>
        <w:ind w:firstLine="420" w:firstLineChars="200"/>
      </w:pPr>
      <w:r>
        <w:rPr>
          <w:rFonts w:hint="eastAsia"/>
        </w:rPr>
        <w:t>8、其它注意事项：</w:t>
      </w:r>
    </w:p>
    <w:p>
      <w:pPr>
        <w:ind w:firstLine="420" w:firstLineChars="200"/>
      </w:pPr>
      <w:r>
        <w:rPr>
          <w:rFonts w:hint="eastAsia"/>
        </w:rPr>
        <w:t>（1）评审委员会有权对投标人的响应情况作出判断（评审结论）；</w:t>
      </w:r>
    </w:p>
    <w:p>
      <w:pPr>
        <w:ind w:firstLine="420" w:firstLineChars="200"/>
      </w:pPr>
      <w:r>
        <w:rPr>
          <w:rFonts w:hint="eastAsia"/>
        </w:rPr>
        <w:t>（2）</w:t>
      </w:r>
      <w:bookmarkStart w:id="58" w:name="_Hlk72158213"/>
      <w:r>
        <w:rPr>
          <w:rFonts w:hint="eastAsia"/>
        </w:rPr>
        <w:t>评审委员会有权对以谋取中标为目的的技术规格模糊响应（如有意不合理照搬照抄招标文件的技术要求）或虚假响应予以认定，并视情况经政府集中采购机构报主管部门进行处理。</w:t>
      </w:r>
      <w:bookmarkEnd w:id="58"/>
    </w:p>
    <w:p>
      <w:pPr>
        <w:pStyle w:val="3"/>
        <w:jc w:val="center"/>
        <w:rPr>
          <w:sz w:val="24"/>
        </w:rPr>
      </w:pPr>
      <w:r>
        <w:rPr>
          <w:rFonts w:hint="eastAsia" w:ascii="黑体" w:eastAsia="黑体"/>
          <w:b w:val="0"/>
          <w:bCs w:val="0"/>
          <w:sz w:val="24"/>
          <w:szCs w:val="20"/>
          <w:lang w:val="en-US" w:eastAsia="zh-CN"/>
        </w:rPr>
        <w:t>十</w:t>
      </w:r>
      <w:r>
        <w:rPr>
          <w:rFonts w:hint="eastAsia" w:ascii="黑体" w:eastAsia="黑体"/>
          <w:b w:val="0"/>
          <w:bCs w:val="0"/>
          <w:sz w:val="24"/>
          <w:szCs w:val="20"/>
        </w:rPr>
        <w:t>、商务要求偏离表</w:t>
      </w:r>
    </w:p>
    <w:tbl>
      <w:tblPr>
        <w:tblStyle w:val="42"/>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keepNext w:val="0"/>
              <w:keepLines w:val="0"/>
              <w:suppressLineNumbers w:val="0"/>
              <w:spacing w:before="0" w:beforeAutospacing="0" w:after="0" w:afterAutospacing="0"/>
              <w:ind w:left="0" w:right="0"/>
              <w:jc w:val="center"/>
              <w:rPr>
                <w:rFonts w:hint="default"/>
                <w:b/>
              </w:rPr>
            </w:pPr>
            <w:r>
              <w:rPr>
                <w:rFonts w:hint="eastAsia"/>
                <w:sz w:val="24"/>
              </w:rPr>
              <w:t>序号</w:t>
            </w:r>
          </w:p>
        </w:tc>
        <w:tc>
          <w:tcPr>
            <w:tcW w:w="1408" w:type="dxa"/>
            <w:vAlign w:val="center"/>
          </w:tcPr>
          <w:p>
            <w:pPr>
              <w:keepNext w:val="0"/>
              <w:keepLines w:val="0"/>
              <w:suppressLineNumbers w:val="0"/>
              <w:spacing w:before="0" w:beforeAutospacing="0" w:after="0" w:afterAutospacing="0"/>
              <w:ind w:left="0" w:right="0"/>
              <w:jc w:val="center"/>
              <w:rPr>
                <w:rFonts w:hint="default"/>
                <w:b/>
              </w:rPr>
            </w:pPr>
            <w:r>
              <w:rPr>
                <w:rFonts w:hint="eastAsia"/>
                <w:b/>
              </w:rPr>
              <w:t>商务需求项</w:t>
            </w:r>
          </w:p>
        </w:tc>
        <w:tc>
          <w:tcPr>
            <w:tcW w:w="4918" w:type="dxa"/>
            <w:vAlign w:val="center"/>
          </w:tcPr>
          <w:p>
            <w:pPr>
              <w:keepNext w:val="0"/>
              <w:keepLines w:val="0"/>
              <w:suppressLineNumbers w:val="0"/>
              <w:spacing w:before="0" w:beforeAutospacing="0" w:after="0" w:afterAutospacing="0"/>
              <w:ind w:left="0" w:right="0"/>
              <w:jc w:val="center"/>
              <w:rPr>
                <w:rFonts w:hint="default"/>
                <w:b/>
              </w:rPr>
            </w:pPr>
            <w:r>
              <w:rPr>
                <w:rFonts w:hint="eastAsia"/>
                <w:sz w:val="24"/>
              </w:rPr>
              <w:t>招标商务要求</w:t>
            </w:r>
          </w:p>
        </w:tc>
        <w:tc>
          <w:tcPr>
            <w:tcW w:w="973" w:type="dxa"/>
            <w:vAlign w:val="center"/>
          </w:tcPr>
          <w:p>
            <w:pPr>
              <w:keepNext w:val="0"/>
              <w:keepLines w:val="0"/>
              <w:suppressLineNumbers w:val="0"/>
              <w:spacing w:before="0" w:beforeAutospacing="0" w:after="0" w:afterAutospacing="0"/>
              <w:ind w:left="0" w:right="0"/>
              <w:jc w:val="center"/>
              <w:rPr>
                <w:rFonts w:hint="default"/>
                <w:b/>
              </w:rPr>
            </w:pPr>
            <w:r>
              <w:rPr>
                <w:rFonts w:hint="eastAsia"/>
                <w:sz w:val="24"/>
              </w:rPr>
              <w:t>投标商务响应</w:t>
            </w:r>
          </w:p>
        </w:tc>
        <w:tc>
          <w:tcPr>
            <w:tcW w:w="642" w:type="dxa"/>
            <w:vAlign w:val="center"/>
          </w:tcPr>
          <w:p>
            <w:pPr>
              <w:keepNext w:val="0"/>
              <w:keepLines w:val="0"/>
              <w:suppressLineNumbers w:val="0"/>
              <w:spacing w:before="0" w:beforeAutospacing="0" w:after="0" w:afterAutospacing="0"/>
              <w:ind w:left="0" w:right="0"/>
              <w:jc w:val="center"/>
              <w:rPr>
                <w:rFonts w:hint="default"/>
                <w:b/>
              </w:rPr>
            </w:pPr>
            <w:r>
              <w:rPr>
                <w:rFonts w:hint="eastAsia"/>
              </w:rPr>
              <w:t>偏离情况</w:t>
            </w:r>
          </w:p>
        </w:tc>
        <w:tc>
          <w:tcPr>
            <w:tcW w:w="540" w:type="dxa"/>
            <w:vAlign w:val="center"/>
          </w:tcPr>
          <w:p>
            <w:pPr>
              <w:keepNext w:val="0"/>
              <w:keepLines w:val="0"/>
              <w:suppressLineNumbers w:val="0"/>
              <w:spacing w:before="0" w:beforeAutospacing="0" w:after="0" w:afterAutospacing="0"/>
              <w:ind w:left="0" w:right="0"/>
              <w:jc w:val="center"/>
              <w:rPr>
                <w:rFonts w:hint="default"/>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eastAsia"/>
              </w:rPr>
              <w:t>1</w:t>
            </w:r>
          </w:p>
        </w:tc>
        <w:tc>
          <w:tcPr>
            <w:tcW w:w="1408"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eastAsia" w:asciiTheme="minorEastAsia" w:hAnsiTheme="minorEastAsia" w:eastAsiaTheme="minorEastAsia" w:cstheme="minorEastAsia"/>
                <w:b/>
                <w:bCs/>
                <w:szCs w:val="21"/>
              </w:rPr>
              <w:t>关于交货</w:t>
            </w:r>
          </w:p>
        </w:tc>
        <w:tc>
          <w:tcPr>
            <w:tcW w:w="4918" w:type="dxa"/>
          </w:tcPr>
          <w:p>
            <w:pPr>
              <w:keepNext w:val="0"/>
              <w:keepLines w:val="0"/>
              <w:suppressLineNumbers w:val="0"/>
              <w:spacing w:before="0" w:beforeAutospacing="0" w:after="0" w:afterAutospacing="0"/>
              <w:ind w:left="0" w:right="0"/>
              <w:rPr>
                <w:rFonts w:hint="default"/>
              </w:rPr>
            </w:pPr>
            <w:r>
              <w:rPr>
                <w:rFonts w:hint="default" w:ascii="Segoe UI Symbol" w:hAnsi="Segoe UI Symbol" w:cs="Segoe UI Symbol"/>
              </w:rPr>
              <w:t>★</w:t>
            </w:r>
            <w:r>
              <w:rPr>
                <w:rFonts w:hint="default"/>
              </w:rPr>
              <w:t>1.1 交货地点：深圳市南山区深圳大学城哈工大深圳校区</w:t>
            </w:r>
            <w:r>
              <w:rPr>
                <w:rFonts w:hint="eastAsia"/>
              </w:rPr>
              <w:t>；</w:t>
            </w:r>
          </w:p>
        </w:tc>
        <w:tc>
          <w:tcPr>
            <w:tcW w:w="973" w:type="dxa"/>
          </w:tcPr>
          <w:p>
            <w:pPr>
              <w:keepNext w:val="0"/>
              <w:keepLines w:val="0"/>
              <w:suppressLineNumbers w:val="0"/>
              <w:spacing w:before="0" w:beforeAutospacing="0" w:after="0" w:afterAutospacing="0"/>
              <w:ind w:left="0" w:right="0"/>
              <w:rPr>
                <w:rFonts w:hint="default"/>
                <w:bCs/>
                <w:szCs w:val="21"/>
              </w:rPr>
            </w:pPr>
          </w:p>
        </w:tc>
        <w:tc>
          <w:tcPr>
            <w:tcW w:w="642" w:type="dxa"/>
          </w:tcPr>
          <w:p>
            <w:pPr>
              <w:keepNext w:val="0"/>
              <w:keepLines w:val="0"/>
              <w:suppressLineNumbers w:val="0"/>
              <w:spacing w:before="0" w:beforeAutospacing="0" w:after="0" w:afterAutospacing="0"/>
              <w:ind w:left="0" w:right="0"/>
              <w:rPr>
                <w:rFonts w:hint="default"/>
                <w:bCs/>
                <w:szCs w:val="21"/>
              </w:rPr>
            </w:pPr>
          </w:p>
        </w:tc>
        <w:tc>
          <w:tcPr>
            <w:tcW w:w="540" w:type="dxa"/>
          </w:tcPr>
          <w:p>
            <w:pPr>
              <w:keepNext w:val="0"/>
              <w:keepLines w:val="0"/>
              <w:suppressLineNumbers w:val="0"/>
              <w:spacing w:before="0" w:beforeAutospacing="0" w:after="0" w:afterAutospacing="0"/>
              <w:ind w:left="0" w:right="0"/>
              <w:rPr>
                <w:rFonts w:hint="default"/>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408"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4918" w:type="dxa"/>
          </w:tcPr>
          <w:p>
            <w:pPr>
              <w:keepNext w:val="0"/>
              <w:keepLines w:val="0"/>
              <w:suppressLineNumbers w:val="0"/>
              <w:spacing w:before="0" w:beforeAutospacing="0" w:after="0" w:afterAutospacing="0"/>
              <w:ind w:left="0" w:right="0"/>
              <w:rPr>
                <w:rFonts w:hint="default"/>
              </w:rPr>
            </w:pPr>
            <w:r>
              <w:rPr>
                <w:rFonts w:hint="default" w:ascii="Segoe UI Symbol" w:hAnsi="Segoe UI Symbol" w:cs="Segoe UI Symbol"/>
              </w:rPr>
              <w:t>★</w:t>
            </w:r>
            <w:r>
              <w:rPr>
                <w:rFonts w:hint="default"/>
              </w:rPr>
              <w:t>1.2 签订合同后9个月内完成交付</w:t>
            </w:r>
          </w:p>
        </w:tc>
        <w:tc>
          <w:tcPr>
            <w:tcW w:w="973" w:type="dxa"/>
          </w:tcPr>
          <w:p>
            <w:pPr>
              <w:keepNext w:val="0"/>
              <w:keepLines w:val="0"/>
              <w:suppressLineNumbers w:val="0"/>
              <w:spacing w:before="0" w:beforeAutospacing="0" w:after="0" w:afterAutospacing="0"/>
              <w:ind w:left="0" w:right="0"/>
              <w:rPr>
                <w:rFonts w:hint="default"/>
                <w:bCs/>
                <w:szCs w:val="21"/>
              </w:rPr>
            </w:pPr>
          </w:p>
        </w:tc>
        <w:tc>
          <w:tcPr>
            <w:tcW w:w="642" w:type="dxa"/>
          </w:tcPr>
          <w:p>
            <w:pPr>
              <w:keepNext w:val="0"/>
              <w:keepLines w:val="0"/>
              <w:suppressLineNumbers w:val="0"/>
              <w:spacing w:before="0" w:beforeAutospacing="0" w:after="0" w:afterAutospacing="0"/>
              <w:ind w:left="0" w:right="0"/>
              <w:rPr>
                <w:rFonts w:hint="default"/>
                <w:bCs/>
                <w:szCs w:val="21"/>
              </w:rPr>
            </w:pPr>
          </w:p>
        </w:tc>
        <w:tc>
          <w:tcPr>
            <w:tcW w:w="540" w:type="dxa"/>
          </w:tcPr>
          <w:p>
            <w:pPr>
              <w:keepNext w:val="0"/>
              <w:keepLines w:val="0"/>
              <w:suppressLineNumbers w:val="0"/>
              <w:spacing w:before="0" w:beforeAutospacing="0" w:after="0" w:afterAutospacing="0"/>
              <w:ind w:left="0" w:right="0"/>
              <w:rPr>
                <w:rFonts w:hint="default"/>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keepNext w:val="0"/>
              <w:keepLines w:val="0"/>
              <w:suppressLineNumbers w:val="0"/>
              <w:spacing w:before="0" w:beforeAutospacing="0" w:after="0" w:afterAutospacing="0"/>
              <w:ind w:left="0" w:right="0"/>
              <w:jc w:val="center"/>
              <w:rPr>
                <w:rFonts w:hint="default"/>
              </w:rPr>
            </w:pPr>
            <w:r>
              <w:rPr>
                <w:rFonts w:hint="eastAsia"/>
              </w:rPr>
              <w:t>2</w:t>
            </w:r>
          </w:p>
        </w:tc>
        <w:tc>
          <w:tcPr>
            <w:tcW w:w="1408" w:type="dxa"/>
            <w:vAlign w:val="center"/>
          </w:tcPr>
          <w:p>
            <w:pPr>
              <w:keepNext w:val="0"/>
              <w:keepLines w:val="0"/>
              <w:suppressLineNumbers w:val="0"/>
              <w:spacing w:before="0" w:beforeAutospacing="0" w:after="0" w:afterAutospacing="0"/>
              <w:ind w:left="0" w:right="0"/>
              <w:jc w:val="center"/>
              <w:rPr>
                <w:rFonts w:hint="default"/>
              </w:rPr>
            </w:pPr>
            <w:r>
              <w:rPr>
                <w:rFonts w:hint="eastAsia" w:asciiTheme="minorEastAsia" w:hAnsiTheme="minorEastAsia" w:eastAsiaTheme="minorEastAsia" w:cstheme="minorEastAsia"/>
                <w:b/>
                <w:bCs/>
                <w:szCs w:val="21"/>
              </w:rPr>
              <w:t>验收标准</w:t>
            </w:r>
          </w:p>
        </w:tc>
        <w:tc>
          <w:tcPr>
            <w:tcW w:w="4918" w:type="dxa"/>
          </w:tcPr>
          <w:p>
            <w:pPr>
              <w:keepNext w:val="0"/>
              <w:keepLines w:val="0"/>
              <w:suppressLineNumbers w:val="0"/>
              <w:spacing w:before="0" w:beforeAutospacing="0" w:after="0" w:afterAutospacing="0" w:line="340" w:lineRule="exact"/>
              <w:ind w:left="0" w:right="0"/>
              <w:rPr>
                <w:rFonts w:hint="default"/>
              </w:rPr>
            </w:pPr>
            <w:r>
              <w:rPr>
                <w:rFonts w:hint="default" w:ascii="Segoe UI Symbol" w:hAnsi="Segoe UI Symbol" w:cs="Segoe UI Symbol"/>
              </w:rPr>
              <w:t>★</w:t>
            </w:r>
            <w:r>
              <w:rPr>
                <w:rFonts w:hint="eastAsia" w:ascii="Segoe UI Symbol" w:hAnsi="Segoe UI Symbol" w:cs="Segoe UI Symbol"/>
              </w:rPr>
              <w:t>2.1</w:t>
            </w:r>
            <w:r>
              <w:rPr>
                <w:rFonts w:hint="default"/>
              </w:rPr>
              <w:t>以本文件"技术要求"中规定的量化指标为唯一验收标准，中标方需提供完整的测试报告</w:t>
            </w:r>
            <w:r>
              <w:rPr>
                <w:rFonts w:hint="eastAsia"/>
              </w:rPr>
              <w:t>。</w:t>
            </w:r>
          </w:p>
        </w:tc>
        <w:tc>
          <w:tcPr>
            <w:tcW w:w="973" w:type="dxa"/>
          </w:tcPr>
          <w:p>
            <w:pPr>
              <w:keepNext w:val="0"/>
              <w:keepLines w:val="0"/>
              <w:suppressLineNumbers w:val="0"/>
              <w:spacing w:before="0" w:beforeAutospacing="0" w:after="0" w:afterAutospacing="0"/>
              <w:ind w:left="0" w:right="0"/>
              <w:rPr>
                <w:rFonts w:hint="default"/>
                <w:bCs/>
                <w:szCs w:val="21"/>
              </w:rPr>
            </w:pPr>
          </w:p>
        </w:tc>
        <w:tc>
          <w:tcPr>
            <w:tcW w:w="642" w:type="dxa"/>
          </w:tcPr>
          <w:p>
            <w:pPr>
              <w:keepNext w:val="0"/>
              <w:keepLines w:val="0"/>
              <w:suppressLineNumbers w:val="0"/>
              <w:spacing w:before="0" w:beforeAutospacing="0" w:after="0" w:afterAutospacing="0"/>
              <w:ind w:left="0" w:right="0"/>
              <w:rPr>
                <w:rFonts w:hint="default"/>
                <w:bCs/>
                <w:szCs w:val="21"/>
              </w:rPr>
            </w:pPr>
          </w:p>
        </w:tc>
        <w:tc>
          <w:tcPr>
            <w:tcW w:w="540" w:type="dxa"/>
          </w:tcPr>
          <w:p>
            <w:pPr>
              <w:keepNext w:val="0"/>
              <w:keepLines w:val="0"/>
              <w:suppressLineNumbers w:val="0"/>
              <w:spacing w:before="0" w:beforeAutospacing="0" w:after="0" w:afterAutospacing="0"/>
              <w:ind w:left="0" w:right="0"/>
              <w:rPr>
                <w:rFonts w:hint="default"/>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eastAsia"/>
              </w:rPr>
              <w:t>3</w:t>
            </w:r>
          </w:p>
        </w:tc>
        <w:tc>
          <w:tcPr>
            <w:tcW w:w="1408"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eastAsia" w:asciiTheme="minorEastAsia" w:hAnsiTheme="minorEastAsia" w:eastAsiaTheme="minorEastAsia" w:cstheme="minorEastAsia"/>
                <w:b/>
                <w:bCs/>
                <w:szCs w:val="21"/>
              </w:rPr>
              <w:t>关于付款</w:t>
            </w:r>
          </w:p>
        </w:tc>
        <w:tc>
          <w:tcPr>
            <w:tcW w:w="4918" w:type="dxa"/>
          </w:tcPr>
          <w:p>
            <w:pPr>
              <w:keepNext w:val="0"/>
              <w:keepLines w:val="0"/>
              <w:suppressLineNumbers w:val="0"/>
              <w:spacing w:before="0" w:beforeAutospacing="0" w:after="0" w:afterAutospacing="0" w:line="340" w:lineRule="exact"/>
              <w:ind w:left="0" w:right="0"/>
              <w:rPr>
                <w:rFonts w:hint="default"/>
              </w:rPr>
            </w:pPr>
            <w:r>
              <w:rPr>
                <w:rFonts w:hint="default"/>
              </w:rPr>
              <w:t>3.1 付款方式：签订合同后支付90%；最终验收通过后支付10%</w:t>
            </w:r>
            <w:r>
              <w:rPr>
                <w:rFonts w:hint="eastAsia"/>
              </w:rPr>
              <w:t>；</w:t>
            </w:r>
          </w:p>
        </w:tc>
        <w:tc>
          <w:tcPr>
            <w:tcW w:w="973" w:type="dxa"/>
          </w:tcPr>
          <w:p>
            <w:pPr>
              <w:keepNext w:val="0"/>
              <w:keepLines w:val="0"/>
              <w:suppressLineNumbers w:val="0"/>
              <w:spacing w:before="0" w:beforeAutospacing="0" w:after="0" w:afterAutospacing="0"/>
              <w:ind w:left="0" w:right="0"/>
              <w:rPr>
                <w:rFonts w:hint="default"/>
                <w:bCs/>
                <w:szCs w:val="21"/>
              </w:rPr>
            </w:pPr>
          </w:p>
        </w:tc>
        <w:tc>
          <w:tcPr>
            <w:tcW w:w="642" w:type="dxa"/>
          </w:tcPr>
          <w:p>
            <w:pPr>
              <w:keepNext w:val="0"/>
              <w:keepLines w:val="0"/>
              <w:suppressLineNumbers w:val="0"/>
              <w:spacing w:before="0" w:beforeAutospacing="0" w:after="0" w:afterAutospacing="0"/>
              <w:ind w:left="0" w:right="0"/>
              <w:rPr>
                <w:rFonts w:hint="default"/>
                <w:bCs/>
                <w:szCs w:val="21"/>
              </w:rPr>
            </w:pPr>
          </w:p>
        </w:tc>
        <w:tc>
          <w:tcPr>
            <w:tcW w:w="540" w:type="dxa"/>
          </w:tcPr>
          <w:p>
            <w:pPr>
              <w:keepNext w:val="0"/>
              <w:keepLines w:val="0"/>
              <w:suppressLineNumbers w:val="0"/>
              <w:spacing w:before="0" w:beforeAutospacing="0" w:after="0" w:afterAutospacing="0"/>
              <w:ind w:left="0" w:right="0"/>
              <w:rPr>
                <w:rFonts w:hint="default"/>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408"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4918" w:type="dxa"/>
          </w:tcPr>
          <w:p>
            <w:pPr>
              <w:keepNext w:val="0"/>
              <w:keepLines w:val="0"/>
              <w:suppressLineNumbers w:val="0"/>
              <w:spacing w:before="0" w:beforeAutospacing="0" w:after="0" w:afterAutospacing="0" w:line="340" w:lineRule="exact"/>
              <w:ind w:left="0" w:right="0"/>
              <w:rPr>
                <w:rFonts w:hint="default"/>
              </w:rPr>
            </w:pPr>
            <w:r>
              <w:rPr>
                <w:rFonts w:hint="default"/>
              </w:rPr>
              <w:t>3.2</w:t>
            </w:r>
            <w:r>
              <w:rPr>
                <w:rFonts w:hint="eastAsia"/>
              </w:rPr>
              <w:t>若因乙方原因导致项目失败或未达到核心指标，甲方有权终止合同，乙方需根据实际已完成并通过验收的工作量，按比例返还已支付款项。</w:t>
            </w:r>
          </w:p>
        </w:tc>
        <w:tc>
          <w:tcPr>
            <w:tcW w:w="973" w:type="dxa"/>
          </w:tcPr>
          <w:p>
            <w:pPr>
              <w:keepNext w:val="0"/>
              <w:keepLines w:val="0"/>
              <w:suppressLineNumbers w:val="0"/>
              <w:spacing w:before="0" w:beforeAutospacing="0" w:after="0" w:afterAutospacing="0"/>
              <w:ind w:left="0" w:right="0"/>
              <w:rPr>
                <w:rFonts w:hint="default"/>
                <w:bCs/>
                <w:szCs w:val="21"/>
              </w:rPr>
            </w:pPr>
          </w:p>
        </w:tc>
        <w:tc>
          <w:tcPr>
            <w:tcW w:w="642" w:type="dxa"/>
          </w:tcPr>
          <w:p>
            <w:pPr>
              <w:keepNext w:val="0"/>
              <w:keepLines w:val="0"/>
              <w:suppressLineNumbers w:val="0"/>
              <w:spacing w:before="0" w:beforeAutospacing="0" w:after="0" w:afterAutospacing="0"/>
              <w:ind w:left="0" w:right="0"/>
              <w:rPr>
                <w:rFonts w:hint="default"/>
                <w:bCs/>
                <w:szCs w:val="21"/>
              </w:rPr>
            </w:pPr>
          </w:p>
        </w:tc>
        <w:tc>
          <w:tcPr>
            <w:tcW w:w="540" w:type="dxa"/>
          </w:tcPr>
          <w:p>
            <w:pPr>
              <w:keepNext w:val="0"/>
              <w:keepLines w:val="0"/>
              <w:suppressLineNumbers w:val="0"/>
              <w:spacing w:before="0" w:beforeAutospacing="0" w:after="0" w:afterAutospacing="0"/>
              <w:ind w:left="0" w:right="0"/>
              <w:rPr>
                <w:rFonts w:hint="default"/>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keepNext w:val="0"/>
              <w:keepLines w:val="0"/>
              <w:suppressLineNumbers w:val="0"/>
              <w:spacing w:before="0" w:beforeAutospacing="0" w:after="0" w:afterAutospacing="0"/>
              <w:ind w:left="0" w:right="0"/>
              <w:jc w:val="center"/>
              <w:rPr>
                <w:rFonts w:hint="default"/>
              </w:rPr>
            </w:pPr>
            <w:r>
              <w:rPr>
                <w:rFonts w:hint="eastAsia"/>
              </w:rPr>
              <w:t>4</w:t>
            </w:r>
          </w:p>
        </w:tc>
        <w:tc>
          <w:tcPr>
            <w:tcW w:w="1408" w:type="dxa"/>
            <w:vAlign w:val="center"/>
          </w:tcPr>
          <w:p>
            <w:pPr>
              <w:keepNext w:val="0"/>
              <w:keepLines w:val="0"/>
              <w:suppressLineNumbers w:val="0"/>
              <w:spacing w:before="0" w:beforeAutospacing="0" w:after="0" w:afterAutospacing="0"/>
              <w:ind w:left="0" w:right="0"/>
              <w:jc w:val="center"/>
              <w:rPr>
                <w:rFonts w:hint="default"/>
              </w:rPr>
            </w:pPr>
            <w:r>
              <w:rPr>
                <w:rFonts w:hint="eastAsia" w:asciiTheme="minorEastAsia" w:hAnsiTheme="minorEastAsia" w:eastAsiaTheme="minorEastAsia" w:cstheme="minorEastAsia"/>
                <w:b/>
                <w:bCs/>
                <w:szCs w:val="21"/>
              </w:rPr>
              <w:t>知识产权</w:t>
            </w:r>
          </w:p>
        </w:tc>
        <w:tc>
          <w:tcPr>
            <w:tcW w:w="4918" w:type="dxa"/>
            <w:vAlign w:val="center"/>
          </w:tcPr>
          <w:p>
            <w:pPr>
              <w:keepNext w:val="0"/>
              <w:keepLines w:val="0"/>
              <w:suppressLineNumbers w:val="0"/>
              <w:spacing w:before="0" w:beforeAutospacing="0" w:after="0" w:afterAutospacing="0"/>
              <w:ind w:left="0" w:right="0"/>
              <w:rPr>
                <w:rFonts w:hint="default"/>
              </w:rPr>
            </w:pPr>
            <w:r>
              <w:rPr>
                <w:rFonts w:hint="eastAsia"/>
                <w:b/>
                <w:szCs w:val="21"/>
              </w:rPr>
              <w:t>★4.1</w:t>
            </w:r>
            <w:r>
              <w:rPr>
                <w:rFonts w:hint="eastAsia"/>
              </w:rPr>
              <w:t>项目所产生的所有研究成果（包括但不限于算法、模型、软件著作权等）的知识产权归甲方所有，乙方享有署名权。并有权在不泄露甲方敏感数据的前提下，将核心技术方法用于学术发表和成果展示。</w:t>
            </w:r>
          </w:p>
        </w:tc>
        <w:tc>
          <w:tcPr>
            <w:tcW w:w="973" w:type="dxa"/>
          </w:tcPr>
          <w:p>
            <w:pPr>
              <w:keepNext w:val="0"/>
              <w:keepLines w:val="0"/>
              <w:suppressLineNumbers w:val="0"/>
              <w:spacing w:before="0" w:beforeAutospacing="0" w:after="0" w:afterAutospacing="0"/>
              <w:ind w:left="0" w:right="0"/>
              <w:rPr>
                <w:rFonts w:hint="default"/>
                <w:bCs/>
                <w:szCs w:val="21"/>
              </w:rPr>
            </w:pPr>
          </w:p>
        </w:tc>
        <w:tc>
          <w:tcPr>
            <w:tcW w:w="642" w:type="dxa"/>
          </w:tcPr>
          <w:p>
            <w:pPr>
              <w:keepNext w:val="0"/>
              <w:keepLines w:val="0"/>
              <w:suppressLineNumbers w:val="0"/>
              <w:spacing w:before="0" w:beforeAutospacing="0" w:after="0" w:afterAutospacing="0"/>
              <w:ind w:left="0" w:right="0"/>
              <w:rPr>
                <w:rFonts w:hint="default"/>
                <w:bCs/>
                <w:szCs w:val="21"/>
              </w:rPr>
            </w:pPr>
          </w:p>
        </w:tc>
        <w:tc>
          <w:tcPr>
            <w:tcW w:w="540" w:type="dxa"/>
          </w:tcPr>
          <w:p>
            <w:pPr>
              <w:keepNext w:val="0"/>
              <w:keepLines w:val="0"/>
              <w:suppressLineNumbers w:val="0"/>
              <w:spacing w:before="0" w:beforeAutospacing="0" w:after="0" w:afterAutospacing="0"/>
              <w:ind w:left="0" w:right="0"/>
              <w:rPr>
                <w:rFonts w:hint="default"/>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rPr>
          <w:sz w:val="24"/>
        </w:rPr>
      </w:pPr>
    </w:p>
    <w:p>
      <w:pPr>
        <w:pStyle w:val="7"/>
        <w:ind w:firstLine="0"/>
        <w:rPr>
          <w:rFonts w:asciiTheme="minorEastAsia" w:hAnsiTheme="minorEastAsia" w:eastAsiaTheme="minorEastAsia" w:cstheme="minorEastAsia"/>
          <w:sz w:val="24"/>
          <w:highlight w:val="yellow"/>
        </w:rPr>
      </w:pPr>
    </w:p>
    <w:p>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sz w:val="20"/>
          <w:szCs w:val="20"/>
        </w:rPr>
        <w:t>技术保障措施</w:t>
      </w:r>
    </w:p>
    <w:p>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pPr>
        <w:pStyle w:val="7"/>
        <w:ind w:firstLine="0"/>
        <w:rPr>
          <w:rFonts w:asciiTheme="minorEastAsia" w:hAnsiTheme="minorEastAsia" w:eastAsiaTheme="minorEastAsia" w:cstheme="minorEastAsia"/>
          <w:sz w:val="24"/>
          <w:highlight w:val="yellow"/>
        </w:rPr>
      </w:pPr>
    </w:p>
    <w:p>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szCs w:val="21"/>
          <w:lang w:val="en-US" w:eastAsia="zh-CN"/>
        </w:rPr>
        <w:t>团队实力</w:t>
      </w:r>
    </w:p>
    <w:p>
      <w:pPr>
        <w:pStyle w:val="7"/>
        <w:ind w:firstLine="0"/>
        <w:jc w:val="center"/>
        <w:rPr>
          <w:color w:val="FF0000"/>
          <w:sz w:val="22"/>
          <w:szCs w:val="22"/>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pPr>
        <w:pStyle w:val="3"/>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、供应商同类项目业绩</w:t>
      </w:r>
    </w:p>
    <w:p>
      <w:pPr>
        <w:pStyle w:val="18"/>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pPr>
        <w:pStyle w:val="19"/>
      </w:pPr>
    </w:p>
    <w:p>
      <w:pPr>
        <w:pStyle w:val="3"/>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、投标人认为需要加以说明的其他内容</w:t>
      </w:r>
    </w:p>
    <w:p>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PrEx>
        <w:trPr>
          <w:trHeight w:val="304" w:hRule="atLeast"/>
        </w:trPr>
        <w:tc>
          <w:tcPr>
            <w:tcW w:w="8529" w:type="dxa"/>
            <w:tcBorders>
              <w:top w:val="nil"/>
              <w:left w:val="nil"/>
              <w:bottom w:val="single" w:color="000000"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PrEx>
        <w:tc>
          <w:tcPr>
            <w:tcW w:w="8529" w:type="dxa"/>
            <w:tcBorders>
              <w:top w:val="single" w:color="000000" w:sz="8" w:space="0"/>
              <w:left w:val="nil"/>
              <w:bottom w:val="single" w:color="auto"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pPr>
        <w:widowControl/>
        <w:jc w:val="left"/>
        <w:rPr>
          <w:rFonts w:ascii="宋体" w:hAnsi="宋体"/>
          <w:b/>
          <w:bCs/>
          <w:kern w:val="0"/>
          <w:sz w:val="24"/>
          <w:szCs w:val="20"/>
        </w:rPr>
      </w:pPr>
      <w:r>
        <w:br w:type="page"/>
      </w:r>
    </w:p>
    <w:p>
      <w:pPr>
        <w:pStyle w:val="5"/>
      </w:pPr>
      <w:r>
        <w:rPr>
          <w:rFonts w:hint="eastAsia"/>
        </w:rPr>
        <w:t>第五章  合同条款及格式</w:t>
      </w:r>
    </w:p>
    <w:p>
      <w:pPr>
        <w:ind w:firstLine="411" w:firstLineChars="196"/>
      </w:pPr>
    </w:p>
    <w:p>
      <w:pPr>
        <w:jc w:val="center"/>
        <w:outlineLvl w:val="0"/>
      </w:pPr>
      <w:r>
        <w:rPr>
          <w:rFonts w:hint="eastAsia"/>
          <w:b/>
          <w:sz w:val="24"/>
        </w:rPr>
        <w:t>（仅供参考，具体以项目需求及采购结果为准）</w:t>
      </w:r>
    </w:p>
    <w:p>
      <w:pPr>
        <w:rPr>
          <w:rFonts w:ascii="宋体" w:hAnsi="宋体"/>
          <w:b/>
          <w:bCs/>
          <w:szCs w:val="21"/>
        </w:rPr>
      </w:pPr>
      <w:r>
        <w:rPr>
          <w:rFonts w:hint="eastAsia" w:ascii="宋体" w:hAnsi="宋体"/>
          <w:b/>
          <w:bCs/>
          <w:szCs w:val="21"/>
        </w:rPr>
        <w:t>甲方：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szCs w:val="21"/>
        </w:rPr>
      </w:pPr>
      <w:r>
        <w:rPr>
          <w:rFonts w:ascii="宋体" w:hAnsi="宋体"/>
          <w:b/>
          <w:bCs/>
          <w:szCs w:val="21"/>
        </w:rPr>
        <w:t xml:space="preserve">            </w:t>
      </w:r>
      <w:r>
        <w:rPr>
          <w:rFonts w:hint="eastAsia" w:ascii="宋体" w:hAnsi="宋体"/>
          <w:b/>
          <w:bCs/>
          <w:szCs w:val="21"/>
        </w:rPr>
        <w:t xml:space="preserve">          </w:t>
      </w:r>
    </w:p>
    <w:p>
      <w:pPr>
        <w:rPr>
          <w:rFonts w:ascii="宋体" w:hAnsi="宋体"/>
          <w:szCs w:val="21"/>
        </w:rPr>
      </w:pPr>
    </w:p>
    <w:p>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7"/>
        <w:rPr>
          <w:rFonts w:ascii="宋体" w:hAnsi="宋体"/>
          <w:szCs w:val="21"/>
        </w:rPr>
      </w:pPr>
      <w:r>
        <w:rPr>
          <w:rFonts w:hint="eastAsia" w:ascii="宋体" w:hAnsi="宋体"/>
          <w:szCs w:val="21"/>
        </w:rPr>
        <w:t>支付方式：分期支付。</w:t>
      </w:r>
    </w:p>
    <w:p>
      <w:pPr>
        <w:ind w:firstLine="422"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2"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ascii="宋体" w:hAnsi="宋体"/>
          <w:szCs w:val="21"/>
        </w:rPr>
      </w:pPr>
      <w:r>
        <w:rPr>
          <w:rFonts w:hint="eastAsia" w:ascii="宋体" w:hAnsi="宋体"/>
          <w:szCs w:val="21"/>
        </w:rPr>
        <w:t>2、向乙方提供与本项目服务工作有关的资料。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2" w:firstLineChars="200"/>
        <w:rPr>
          <w:rFonts w:ascii="宋体" w:hAnsi="宋体"/>
          <w:b/>
          <w:bCs/>
          <w:szCs w:val="21"/>
        </w:rPr>
      </w:pPr>
      <w:r>
        <w:rPr>
          <w:rFonts w:hint="eastAsia" w:ascii="宋体" w:hAnsi="宋体"/>
          <w:b/>
          <w:bCs/>
          <w:szCs w:val="21"/>
        </w:rPr>
        <w:t>第六条　乙方的义务</w:t>
      </w:r>
    </w:p>
    <w:p>
      <w:pPr>
        <w:ind w:firstLine="420" w:firstLineChars="200"/>
        <w:rPr>
          <w:rFonts w:ascii="宋体" w:hAnsi="宋体"/>
          <w:szCs w:val="21"/>
        </w:rPr>
      </w:pPr>
      <w:r>
        <w:rPr>
          <w:rFonts w:hint="eastAsia" w:ascii="宋体" w:hAnsi="宋体"/>
          <w:szCs w:val="21"/>
        </w:rPr>
        <w:t>１、应按照招标文件、投标文件要求按期完成本项目服务工作。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ascii="宋体" w:hAnsi="宋体"/>
          <w:b/>
          <w:bCs/>
          <w:szCs w:val="21"/>
        </w:rPr>
      </w:pPr>
      <w:r>
        <w:rPr>
          <w:rFonts w:hint="eastAsia" w:ascii="宋体" w:hAnsi="宋体"/>
          <w:b/>
          <w:bCs/>
          <w:szCs w:val="21"/>
        </w:rPr>
        <w:t>第七条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rPr>
      </w:pPr>
      <w:r>
        <w:rPr>
          <w:rFonts w:hint="eastAsia" w:ascii="宋体" w:hAnsi="宋体"/>
          <w:b/>
          <w:bCs/>
          <w:szCs w:val="21"/>
        </w:rPr>
        <w:t>第八条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2" w:firstLineChars="200"/>
        <w:rPr>
          <w:rFonts w:ascii="宋体" w:hAnsi="宋体"/>
          <w:b/>
          <w:bCs/>
          <w:szCs w:val="21"/>
        </w:rPr>
      </w:pPr>
      <w:r>
        <w:rPr>
          <w:rFonts w:hint="eastAsia" w:ascii="宋体" w:hAnsi="宋体"/>
          <w:b/>
          <w:bCs/>
          <w:szCs w:val="21"/>
        </w:rPr>
        <w:t>第九条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ascii="宋体" w:hAnsi="宋体"/>
          <w:b/>
          <w:bCs/>
          <w:szCs w:val="21"/>
        </w:rPr>
      </w:pPr>
      <w:r>
        <w:rPr>
          <w:rFonts w:hint="eastAsia" w:ascii="宋体" w:hAnsi="宋体"/>
          <w:b/>
          <w:bCs/>
          <w:szCs w:val="21"/>
        </w:rPr>
        <w:t>第十条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ascii="宋体" w:hAnsi="宋体"/>
          <w:b/>
          <w:bCs/>
          <w:szCs w:val="21"/>
        </w:rPr>
      </w:pPr>
      <w:r>
        <w:rPr>
          <w:rFonts w:hint="eastAsia" w:ascii="宋体" w:hAnsi="宋体"/>
          <w:b/>
          <w:bCs/>
          <w:szCs w:val="21"/>
        </w:rPr>
        <w:t>第十一条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2" w:firstLineChars="200"/>
        <w:rPr>
          <w:rFonts w:ascii="宋体" w:hAnsi="宋体"/>
          <w:b/>
          <w:bCs/>
          <w:szCs w:val="21"/>
        </w:rPr>
      </w:pPr>
      <w:r>
        <w:rPr>
          <w:rFonts w:hint="eastAsia" w:ascii="宋体" w:hAnsi="宋体"/>
          <w:b/>
          <w:bCs/>
          <w:szCs w:val="21"/>
        </w:rPr>
        <w:t>第十二条  乙方服务工具要求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2" w:firstLineChars="200"/>
        <w:rPr>
          <w:rFonts w:ascii="宋体" w:hAnsi="宋体"/>
          <w:b/>
          <w:bCs/>
          <w:szCs w:val="21"/>
        </w:rPr>
      </w:pPr>
      <w:r>
        <w:rPr>
          <w:rFonts w:hint="eastAsia" w:ascii="宋体" w:hAnsi="宋体"/>
          <w:b/>
          <w:bCs/>
          <w:szCs w:val="21"/>
        </w:rPr>
        <w:t>第十三条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ascii="宋体" w:hAnsi="宋体"/>
          <w:b/>
          <w:bCs/>
          <w:szCs w:val="21"/>
        </w:rPr>
      </w:pPr>
      <w:r>
        <w:rPr>
          <w:rFonts w:hint="eastAsia" w:ascii="宋体" w:hAnsi="宋体"/>
          <w:b/>
          <w:bCs/>
          <w:szCs w:val="21"/>
        </w:rPr>
        <w:t xml:space="preserve">第十四条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3、验收依据为招标文件、投标文件，国家和行业有关规范、规程和标准。</w:t>
      </w:r>
    </w:p>
    <w:p>
      <w:pPr>
        <w:ind w:firstLine="422" w:firstLineChars="200"/>
        <w:rPr>
          <w:rFonts w:ascii="宋体" w:hAnsi="宋体"/>
          <w:b/>
          <w:bCs/>
          <w:szCs w:val="21"/>
        </w:rPr>
      </w:pPr>
      <w:r>
        <w:rPr>
          <w:rFonts w:hint="eastAsia" w:ascii="宋体" w:hAnsi="宋体"/>
          <w:b/>
          <w:bCs/>
          <w:szCs w:val="21"/>
        </w:rPr>
        <w:t>第十五条  付款方式</w:t>
      </w:r>
    </w:p>
    <w:p>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ascii="宋体" w:hAnsi="宋体"/>
          <w:szCs w:val="21"/>
        </w:rPr>
      </w:pPr>
      <w:r>
        <w:rPr>
          <w:rFonts w:hint="eastAsia" w:ascii="宋体" w:hAnsi="宋体"/>
          <w:szCs w:val="21"/>
        </w:rPr>
        <w:t>3、报告通过专家评审后，甲方向乙方支付合同总价%的款项。</w:t>
      </w:r>
    </w:p>
    <w:p>
      <w:pPr>
        <w:ind w:firstLine="422" w:firstLineChars="200"/>
        <w:rPr>
          <w:rFonts w:ascii="宋体" w:hAnsi="宋体"/>
          <w:b/>
          <w:bCs/>
          <w:szCs w:val="21"/>
        </w:rPr>
      </w:pPr>
      <w:r>
        <w:rPr>
          <w:rFonts w:hint="eastAsia" w:ascii="宋体" w:hAnsi="宋体"/>
          <w:b/>
          <w:bCs/>
          <w:szCs w:val="21"/>
        </w:rPr>
        <w:t>第十六条  争议解决办法</w:t>
      </w:r>
    </w:p>
    <w:p>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2" w:firstLineChars="200"/>
        <w:rPr>
          <w:rFonts w:ascii="宋体" w:hAnsi="宋体"/>
          <w:b/>
          <w:bCs/>
          <w:szCs w:val="21"/>
        </w:rPr>
      </w:pPr>
      <w:r>
        <w:rPr>
          <w:rFonts w:hint="eastAsia" w:ascii="宋体" w:hAnsi="宋体"/>
          <w:b/>
          <w:bCs/>
          <w:szCs w:val="21"/>
        </w:rPr>
        <w:t>第十七条  风险责任</w:t>
      </w:r>
    </w:p>
    <w:p>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2" w:firstLineChars="200"/>
        <w:rPr>
          <w:rFonts w:ascii="宋体" w:hAnsi="宋体"/>
          <w:b/>
          <w:bCs/>
          <w:szCs w:val="21"/>
        </w:rPr>
      </w:pPr>
      <w:r>
        <w:rPr>
          <w:rFonts w:hint="eastAsia" w:ascii="宋体" w:hAnsi="宋体"/>
          <w:b/>
          <w:bCs/>
          <w:szCs w:val="21"/>
        </w:rPr>
        <w:t>第十八条  违约责任</w:t>
      </w:r>
    </w:p>
    <w:p>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rPr>
      </w:pPr>
      <w:r>
        <w:rPr>
          <w:rFonts w:hint="eastAsia" w:ascii="宋体" w:hAnsi="宋体"/>
          <w:b/>
          <w:bCs/>
          <w:szCs w:val="21"/>
        </w:rPr>
        <w:t>第十九条  其他</w:t>
      </w:r>
    </w:p>
    <w:p>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hint="eastAsia" w:ascii="宋体" w:hAnsi="宋体"/>
          <w:szCs w:val="21"/>
        </w:rPr>
      </w:pPr>
      <w:r>
        <w:rPr>
          <w:rFonts w:hint="eastAsia" w:ascii="宋体" w:hAnsi="宋体"/>
          <w:szCs w:val="21"/>
        </w:rPr>
        <w:t>（1）合同协议书及其变更、补充协议</w:t>
      </w:r>
    </w:p>
    <w:p>
      <w:pPr>
        <w:ind w:firstLine="420" w:firstLineChars="200"/>
        <w:rPr>
          <w:rFonts w:hint="eastAsia" w:ascii="宋体" w:hAnsi="宋体"/>
          <w:szCs w:val="21"/>
        </w:rPr>
      </w:pPr>
      <w:r>
        <w:rPr>
          <w:rFonts w:hint="eastAsia" w:ascii="宋体" w:hAnsi="宋体"/>
          <w:szCs w:val="21"/>
        </w:rPr>
        <w:t>（2）合同专用条款</w:t>
      </w:r>
    </w:p>
    <w:p>
      <w:pPr>
        <w:ind w:firstLine="420" w:firstLineChars="200"/>
        <w:rPr>
          <w:rFonts w:hint="eastAsia" w:ascii="宋体" w:hAnsi="宋体"/>
          <w:szCs w:val="21"/>
        </w:rPr>
      </w:pPr>
      <w:r>
        <w:rPr>
          <w:rFonts w:hint="eastAsia" w:ascii="宋体" w:hAnsi="宋体"/>
          <w:szCs w:val="21"/>
        </w:rPr>
        <w:t>（3）合同通用条款</w:t>
      </w:r>
    </w:p>
    <w:p>
      <w:pPr>
        <w:ind w:firstLine="420" w:firstLineChars="200"/>
        <w:rPr>
          <w:rFonts w:hint="eastAsia" w:ascii="宋体" w:hAnsi="宋体"/>
          <w:szCs w:val="21"/>
        </w:rPr>
      </w:pPr>
      <w:r>
        <w:rPr>
          <w:rFonts w:hint="eastAsia" w:ascii="宋体" w:hAnsi="宋体"/>
          <w:szCs w:val="21"/>
        </w:rPr>
        <w:t>（4）中标（成交）通知书</w:t>
      </w:r>
    </w:p>
    <w:p>
      <w:pPr>
        <w:ind w:firstLine="420" w:firstLineChars="200"/>
        <w:rPr>
          <w:rFonts w:hint="eastAsia" w:ascii="宋体" w:hAnsi="宋体"/>
          <w:szCs w:val="21"/>
        </w:rPr>
      </w:pPr>
      <w:r>
        <w:rPr>
          <w:rFonts w:hint="eastAsia" w:ascii="宋体" w:hAnsi="宋体"/>
          <w:szCs w:val="21"/>
        </w:rPr>
        <w:t>（5）投标（响应）文件</w:t>
      </w:r>
    </w:p>
    <w:p>
      <w:pPr>
        <w:ind w:firstLine="420" w:firstLineChars="200"/>
        <w:rPr>
          <w:rFonts w:hint="eastAsia" w:ascii="宋体" w:hAnsi="宋体"/>
          <w:szCs w:val="21"/>
        </w:rPr>
      </w:pPr>
      <w:r>
        <w:rPr>
          <w:rFonts w:hint="eastAsia" w:ascii="宋体" w:hAnsi="宋体"/>
          <w:szCs w:val="21"/>
        </w:rPr>
        <w:t>（6）采购文件</w:t>
      </w:r>
    </w:p>
    <w:p>
      <w:pPr>
        <w:ind w:firstLine="420" w:firstLineChars="200"/>
        <w:rPr>
          <w:rFonts w:hint="eastAsia" w:ascii="宋体" w:hAnsi="宋体"/>
          <w:szCs w:val="21"/>
        </w:rPr>
      </w:pPr>
      <w:r>
        <w:rPr>
          <w:rFonts w:hint="eastAsia" w:ascii="宋体" w:hAnsi="宋体"/>
          <w:szCs w:val="21"/>
        </w:rPr>
        <w:t>（7）有关技术文件，图纸</w:t>
      </w:r>
    </w:p>
    <w:p>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420" w:firstLineChars="200"/>
        <w:rPr>
          <w:rFonts w:ascii="宋体" w:hAnsi="宋体"/>
          <w:szCs w:val="21"/>
        </w:rPr>
      </w:pPr>
      <w:r>
        <w:rPr>
          <w:rFonts w:hint="eastAsia" w:ascii="宋体" w:hAnsi="宋体"/>
          <w:szCs w:val="21"/>
        </w:rPr>
        <w:t>日期：   年     月    日         日期：   年     月    日</w:t>
      </w:r>
    </w:p>
    <w:p>
      <w:pPr>
        <w:widowControl/>
        <w:jc w:val="left"/>
        <w:rPr>
          <w:rFonts w:ascii="宋体" w:hAnsi="宋体"/>
          <w:szCs w:val="21"/>
        </w:rPr>
      </w:pPr>
      <w:r>
        <w:rPr>
          <w:rFonts w:ascii="宋体" w:hAnsi="宋体"/>
          <w:szCs w:val="21"/>
        </w:rPr>
        <w:br w:type="page"/>
      </w:r>
    </w:p>
    <w:p>
      <w:pPr>
        <w:pStyle w:val="5"/>
        <w:spacing w:before="120" w:beforeLines="50" w:after="120" w:afterLines="50"/>
        <w:ind w:left="562"/>
        <w:rPr>
          <w:sz w:val="28"/>
          <w:szCs w:val="28"/>
        </w:rPr>
      </w:pPr>
      <w:r>
        <w:rPr>
          <w:rFonts w:hint="eastAsia"/>
          <w:sz w:val="28"/>
          <w:szCs w:val="28"/>
        </w:rPr>
        <w:t>第二册  通用条款（公开招标）</w:t>
      </w: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59" w:name="_Hlk72399513"/>
      <w:bookmarkStart w:id="60" w:name="_Hlk72439706"/>
      <w:r>
        <w:rPr>
          <w:rFonts w:hint="eastAsia" w:ascii="Cambria" w:hAnsi="Cambria" w:cs="宋体"/>
          <w:b/>
          <w:bCs/>
          <w:sz w:val="28"/>
          <w:szCs w:val="28"/>
        </w:rPr>
        <w:t>总则</w:t>
      </w:r>
    </w:p>
    <w:bookmarkEnd w:id="59"/>
    <w:p>
      <w:pPr>
        <w:ind w:firstLine="420" w:firstLineChars="200"/>
        <w:rPr>
          <w:rFonts w:ascii="黑体" w:hAnsi="宋体" w:eastAsia="黑体"/>
          <w:szCs w:val="21"/>
        </w:rPr>
      </w:pPr>
      <w:r>
        <w:rPr>
          <w:rFonts w:hint="eastAsia" w:ascii="黑体" w:hAnsi="宋体" w:eastAsia="黑体"/>
          <w:szCs w:val="21"/>
        </w:rPr>
        <w:t>1. 通用条款说明</w:t>
      </w:r>
    </w:p>
    <w:p>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61"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61"/>
    </w:p>
    <w:p>
      <w:pPr>
        <w:ind w:firstLine="420" w:firstLineChars="200"/>
        <w:rPr>
          <w:rFonts w:ascii="宋体" w:hAnsi="宋体"/>
          <w:szCs w:val="21"/>
        </w:rPr>
      </w:pPr>
      <w:r>
        <w:rPr>
          <w:rFonts w:hint="eastAsia" w:ascii="宋体" w:hAnsi="宋体"/>
          <w:szCs w:val="21"/>
        </w:rPr>
        <w:t>1.2招标文件分为第一册“专用条款”和第二册“通用条款”。</w:t>
      </w:r>
    </w:p>
    <w:p>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ascii="宋体" w:hAnsi="宋体"/>
          <w:szCs w:val="21"/>
        </w:rPr>
      </w:pPr>
      <w:r>
        <w:rPr>
          <w:rFonts w:hint="eastAsia" w:ascii="宋体" w:hAnsi="宋体"/>
          <w:szCs w:val="21"/>
        </w:rPr>
        <w:t>1.5 “专用条款”和“通用条款”表述不一致或有冲突时，以“专用条款”为准。</w:t>
      </w:r>
    </w:p>
    <w:p>
      <w:pPr>
        <w:ind w:firstLine="420" w:firstLineChars="200"/>
        <w:rPr>
          <w:rFonts w:ascii="黑体" w:hAnsi="宋体" w:eastAsia="黑体"/>
          <w:szCs w:val="21"/>
        </w:rPr>
      </w:pPr>
      <w:r>
        <w:rPr>
          <w:rFonts w:hint="eastAsia" w:ascii="黑体" w:hAnsi="宋体" w:eastAsia="黑体"/>
          <w:szCs w:val="21"/>
        </w:rPr>
        <w:t>2．招标说明</w:t>
      </w:r>
    </w:p>
    <w:p>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ascii="黑体" w:hAnsi="宋体" w:eastAsia="黑体"/>
          <w:szCs w:val="21"/>
        </w:rPr>
      </w:pPr>
      <w:r>
        <w:rPr>
          <w:rFonts w:hint="eastAsia" w:ascii="黑体" w:hAnsi="宋体" w:eastAsia="黑体"/>
          <w:szCs w:val="21"/>
        </w:rPr>
        <w:t>3．定义</w:t>
      </w:r>
    </w:p>
    <w:p>
      <w:pPr>
        <w:ind w:firstLine="420" w:firstLineChars="200"/>
        <w:rPr>
          <w:rFonts w:ascii="宋体" w:hAnsi="宋体"/>
          <w:szCs w:val="21"/>
        </w:rPr>
      </w:pPr>
      <w:r>
        <w:rPr>
          <w:rFonts w:hint="eastAsia" w:ascii="宋体" w:hAnsi="宋体"/>
          <w:szCs w:val="21"/>
        </w:rPr>
        <w:t>招标文件中下列术语应解释为：</w:t>
      </w:r>
    </w:p>
    <w:p>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ascii="宋体" w:hAnsi="宋体"/>
          <w:szCs w:val="21"/>
        </w:rPr>
      </w:pPr>
      <w:r>
        <w:rPr>
          <w:rFonts w:hint="eastAsia" w:ascii="宋体" w:hAnsi="宋体"/>
          <w:szCs w:val="21"/>
        </w:rPr>
        <w:t>3.5“日期”指公历日；</w:t>
      </w:r>
    </w:p>
    <w:p>
      <w:pPr>
        <w:ind w:firstLine="420" w:firstLineChars="200"/>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ascii="黑体" w:hAnsi="宋体" w:eastAsia="黑体"/>
          <w:szCs w:val="21"/>
        </w:rPr>
      </w:pPr>
      <w:r>
        <w:rPr>
          <w:rFonts w:hint="eastAsia" w:ascii="黑体" w:hAnsi="宋体" w:eastAsia="黑体"/>
          <w:szCs w:val="21"/>
        </w:rPr>
        <w:t xml:space="preserve">4. </w:t>
      </w:r>
      <w:bookmarkStart w:id="62" w:name="_Hlk72398643"/>
      <w:r>
        <w:rPr>
          <w:rFonts w:hint="eastAsia" w:ascii="黑体" w:hAnsi="宋体" w:eastAsia="黑体"/>
          <w:szCs w:val="21"/>
        </w:rPr>
        <w:t>自行采购供应商责任</w:t>
      </w:r>
    </w:p>
    <w:p>
      <w:pPr>
        <w:ind w:firstLine="420" w:firstLineChars="200"/>
        <w:rPr>
          <w:rFonts w:ascii="宋体" w:hAnsi="宋体"/>
          <w:szCs w:val="21"/>
        </w:rPr>
      </w:pPr>
      <w:r>
        <w:rPr>
          <w:rFonts w:hint="eastAsia" w:ascii="宋体" w:hAnsi="宋体"/>
          <w:szCs w:val="21"/>
        </w:rPr>
        <w:t>4.1欢迎诚信、有实力和有社会责任心的供应商参与自行采购事业。</w:t>
      </w:r>
    </w:p>
    <w:p>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ascii="黑体" w:hAnsi="宋体" w:eastAsia="黑体"/>
          <w:szCs w:val="21"/>
        </w:rPr>
      </w:pPr>
      <w:r>
        <w:rPr>
          <w:rFonts w:hint="eastAsia" w:ascii="黑体" w:hAnsi="宋体" w:eastAsia="黑体"/>
          <w:szCs w:val="21"/>
        </w:rPr>
        <w:t>5．投标人参加自行采购的条件</w:t>
      </w:r>
    </w:p>
    <w:p>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ascii="宋体" w:hAnsi="宋体"/>
          <w:szCs w:val="21"/>
        </w:rPr>
      </w:pPr>
      <w:r>
        <w:rPr>
          <w:rFonts w:hint="eastAsia" w:ascii="宋体" w:hAnsi="宋体"/>
          <w:szCs w:val="21"/>
        </w:rPr>
        <w:t>5.2投标人资格要求</w:t>
      </w:r>
    </w:p>
    <w:p>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ascii="宋体" w:hAnsi="宋体"/>
          <w:szCs w:val="21"/>
        </w:rPr>
      </w:pPr>
      <w:r>
        <w:rPr>
          <w:rFonts w:hint="eastAsia" w:ascii="宋体" w:hAnsi="宋体"/>
          <w:szCs w:val="21"/>
        </w:rPr>
        <w:t>5.3联合体投标</w:t>
      </w:r>
    </w:p>
    <w:p>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ascii="宋体" w:hAnsi="宋体"/>
          <w:szCs w:val="21"/>
        </w:rPr>
      </w:pPr>
      <w:r>
        <w:rPr>
          <w:rFonts w:hint="eastAsia" w:ascii="宋体" w:hAnsi="宋体"/>
          <w:szCs w:val="21"/>
        </w:rPr>
        <w:t xml:space="preserve">（1）投标联合体各方参加采购活动应当具备下列条件： </w:t>
      </w:r>
    </w:p>
    <w:p>
      <w:pPr>
        <w:ind w:firstLine="420" w:firstLineChars="200"/>
        <w:rPr>
          <w:rFonts w:ascii="宋体" w:hAnsi="宋体"/>
          <w:szCs w:val="21"/>
        </w:rPr>
      </w:pPr>
      <w:r>
        <w:rPr>
          <w:rFonts w:hint="eastAsia" w:ascii="宋体" w:hAnsi="宋体"/>
          <w:szCs w:val="21"/>
        </w:rPr>
        <w:t xml:space="preserve">1、具有独立承担民事责任的能力； </w:t>
      </w:r>
    </w:p>
    <w:p>
      <w:pPr>
        <w:ind w:firstLine="420" w:firstLineChars="200"/>
        <w:rPr>
          <w:rFonts w:ascii="宋体" w:hAnsi="宋体"/>
          <w:szCs w:val="21"/>
        </w:rPr>
      </w:pPr>
      <w:r>
        <w:rPr>
          <w:rFonts w:hint="eastAsia" w:ascii="宋体" w:hAnsi="宋体"/>
          <w:szCs w:val="21"/>
        </w:rPr>
        <w:t xml:space="preserve">2、有良好的商业信誉和健全的财务会计制度； </w:t>
      </w:r>
    </w:p>
    <w:p>
      <w:pPr>
        <w:ind w:firstLine="420" w:firstLineChars="200"/>
        <w:rPr>
          <w:rFonts w:ascii="宋体" w:hAnsi="宋体"/>
          <w:szCs w:val="21"/>
        </w:rPr>
      </w:pPr>
      <w:r>
        <w:rPr>
          <w:rFonts w:hint="eastAsia" w:ascii="宋体" w:hAnsi="宋体"/>
          <w:szCs w:val="21"/>
        </w:rPr>
        <w:t xml:space="preserve">3、具有履行合同所必需的设备和专业技术能力； </w:t>
      </w:r>
    </w:p>
    <w:p>
      <w:pPr>
        <w:ind w:firstLine="420" w:firstLineChars="200"/>
        <w:rPr>
          <w:rFonts w:ascii="宋体" w:hAnsi="宋体"/>
          <w:szCs w:val="21"/>
        </w:rPr>
      </w:pPr>
      <w:r>
        <w:rPr>
          <w:rFonts w:hint="eastAsia" w:ascii="宋体" w:hAnsi="宋体"/>
          <w:szCs w:val="21"/>
        </w:rPr>
        <w:t xml:space="preserve">4、有依法缴纳税收和社会保障资金的良好记录； </w:t>
      </w:r>
    </w:p>
    <w:p>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pPr>
        <w:ind w:firstLine="420" w:firstLineChars="200"/>
        <w:rPr>
          <w:rFonts w:ascii="宋体" w:hAnsi="宋体"/>
          <w:szCs w:val="21"/>
        </w:rPr>
      </w:pPr>
      <w:r>
        <w:rPr>
          <w:rFonts w:hint="eastAsia" w:ascii="宋体" w:hAnsi="宋体"/>
          <w:szCs w:val="21"/>
        </w:rPr>
        <w:t xml:space="preserve">6、法律、行政法规规定的其他条件。 </w:t>
      </w:r>
    </w:p>
    <w:p>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ascii="黑体" w:hAnsi="宋体" w:eastAsia="黑体"/>
          <w:szCs w:val="21"/>
        </w:rPr>
      </w:pPr>
      <w:r>
        <w:rPr>
          <w:rFonts w:hint="eastAsia" w:ascii="黑体" w:hAnsi="宋体" w:eastAsia="黑体"/>
          <w:szCs w:val="21"/>
        </w:rPr>
        <w:t>6．政策导向</w:t>
      </w:r>
    </w:p>
    <w:p>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  本项目落实深圳市政府采购供应商诚信管理政策要求。</w:t>
      </w:r>
    </w:p>
    <w:p>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ascii="宋体" w:hAnsi="宋体"/>
          <w:szCs w:val="21"/>
        </w:rPr>
      </w:pPr>
      <w:r>
        <w:rPr>
          <w:rFonts w:hint="eastAsia" w:ascii="宋体" w:hAnsi="宋体"/>
          <w:szCs w:val="21"/>
        </w:rPr>
        <w:t>7.4  投标人</w:t>
      </w:r>
      <w:bookmarkStart w:id="6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3"/>
    </w:p>
    <w:p>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ascii="黑体" w:hAnsi="宋体" w:eastAsia="黑体"/>
          <w:szCs w:val="21"/>
        </w:rPr>
      </w:pPr>
      <w:r>
        <w:rPr>
          <w:rFonts w:hint="eastAsia" w:ascii="黑体" w:hAnsi="宋体" w:eastAsia="黑体"/>
          <w:szCs w:val="21"/>
        </w:rPr>
        <w:t>8．投标费用</w:t>
      </w:r>
    </w:p>
    <w:p>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ascii="黑体" w:hAnsi="宋体" w:eastAsia="黑体"/>
          <w:szCs w:val="21"/>
        </w:rPr>
      </w:pPr>
      <w:r>
        <w:rPr>
          <w:rFonts w:hint="eastAsia" w:ascii="黑体" w:hAnsi="宋体" w:eastAsia="黑体"/>
          <w:szCs w:val="21"/>
        </w:rPr>
        <w:t>9．踏勘现场</w:t>
      </w:r>
    </w:p>
    <w:p>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pPr>
        <w:ind w:firstLine="420" w:firstLineChars="200"/>
        <w:rPr>
          <w:rFonts w:ascii="宋体" w:hAnsi="宋体"/>
          <w:szCs w:val="21"/>
          <w:highlight w:val="none"/>
        </w:rPr>
      </w:pPr>
      <w:r>
        <w:rPr>
          <w:rFonts w:hint="eastAsia" w:ascii="黑体" w:hAnsi="宋体" w:eastAsia="黑体"/>
          <w:szCs w:val="21"/>
          <w:highlight w:val="none"/>
        </w:rPr>
        <w:t>10．标前会议</w:t>
      </w:r>
    </w:p>
    <w:p>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62"/>
    <w:p>
      <w:pPr>
        <w:ind w:firstLine="411" w:firstLineChars="196"/>
        <w:rPr>
          <w:rFonts w:ascii="宋体" w:hAnsi="宋体"/>
          <w:highlight w:val="none"/>
        </w:rPr>
      </w:pP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pPr>
        <w:ind w:firstLine="420" w:firstLineChars="200"/>
        <w:rPr>
          <w:rFonts w:ascii="黑体" w:hAnsi="宋体" w:eastAsia="黑体"/>
          <w:szCs w:val="21"/>
        </w:rPr>
      </w:pPr>
      <w:r>
        <w:rPr>
          <w:rFonts w:hint="eastAsia" w:ascii="黑体" w:hAnsi="宋体" w:eastAsia="黑体"/>
          <w:szCs w:val="21"/>
        </w:rPr>
        <w:t>11．</w:t>
      </w:r>
      <w:bookmarkStart w:id="64" w:name="_Hlk72399819"/>
      <w:r>
        <w:rPr>
          <w:rFonts w:hint="eastAsia" w:ascii="黑体" w:hAnsi="宋体" w:eastAsia="黑体"/>
          <w:szCs w:val="21"/>
        </w:rPr>
        <w:t>招标文件的编制与组成</w:t>
      </w:r>
    </w:p>
    <w:p>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pPr>
        <w:ind w:firstLine="420" w:firstLineChars="200"/>
        <w:rPr>
          <w:rFonts w:ascii="宋体" w:hAnsi="宋体"/>
          <w:szCs w:val="21"/>
        </w:rPr>
      </w:pPr>
      <w:r>
        <w:rPr>
          <w:rFonts w:hint="eastAsia" w:ascii="宋体" w:hAnsi="宋体"/>
          <w:szCs w:val="21"/>
        </w:rPr>
        <w:t>招标文件包括下列内容：</w:t>
      </w:r>
    </w:p>
    <w:p>
      <w:pPr>
        <w:ind w:firstLine="422" w:firstLineChars="200"/>
        <w:rPr>
          <w:rFonts w:ascii="宋体" w:hAnsi="宋体"/>
          <w:b/>
          <w:szCs w:val="21"/>
        </w:rPr>
      </w:pPr>
      <w:r>
        <w:rPr>
          <w:rFonts w:hint="eastAsia" w:ascii="宋体" w:hAnsi="宋体"/>
          <w:b/>
          <w:szCs w:val="21"/>
        </w:rPr>
        <w:t>第一册  专用条款</w:t>
      </w:r>
    </w:p>
    <w:p>
      <w:pPr>
        <w:ind w:firstLine="422" w:firstLineChars="200"/>
        <w:rPr>
          <w:rFonts w:ascii="宋体" w:hAnsi="宋体"/>
          <w:b/>
          <w:szCs w:val="21"/>
        </w:rPr>
      </w:pPr>
      <w:r>
        <w:rPr>
          <w:rFonts w:hint="eastAsia" w:ascii="宋体" w:hAnsi="宋体"/>
          <w:b/>
          <w:szCs w:val="21"/>
        </w:rPr>
        <w:t>关键信息</w:t>
      </w:r>
    </w:p>
    <w:p>
      <w:pPr>
        <w:ind w:firstLine="420" w:firstLineChars="200"/>
        <w:rPr>
          <w:rFonts w:ascii="宋体" w:hAnsi="宋体"/>
          <w:szCs w:val="21"/>
        </w:rPr>
      </w:pPr>
      <w:r>
        <w:rPr>
          <w:rFonts w:hint="eastAsia" w:ascii="宋体" w:hAnsi="宋体"/>
          <w:szCs w:val="21"/>
        </w:rPr>
        <w:t>第一章  招标公告</w:t>
      </w:r>
    </w:p>
    <w:p>
      <w:pPr>
        <w:ind w:firstLine="420" w:firstLineChars="200"/>
        <w:rPr>
          <w:rFonts w:ascii="宋体" w:hAnsi="宋体"/>
          <w:szCs w:val="21"/>
        </w:rPr>
      </w:pPr>
      <w:r>
        <w:rPr>
          <w:rFonts w:hint="eastAsia" w:ascii="宋体" w:hAnsi="宋体"/>
          <w:szCs w:val="21"/>
        </w:rPr>
        <w:t>第二章  对通用条款的补充内容及其他关键信息</w:t>
      </w:r>
    </w:p>
    <w:p>
      <w:pPr>
        <w:ind w:firstLine="420" w:firstLineChars="200"/>
        <w:rPr>
          <w:rFonts w:ascii="宋体" w:hAnsi="宋体"/>
          <w:szCs w:val="21"/>
        </w:rPr>
      </w:pPr>
      <w:r>
        <w:rPr>
          <w:rFonts w:hint="eastAsia" w:ascii="宋体" w:hAnsi="宋体"/>
          <w:szCs w:val="21"/>
        </w:rPr>
        <w:t>第三章  用户需求书</w:t>
      </w:r>
    </w:p>
    <w:p>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pPr>
        <w:ind w:firstLine="420" w:firstLineChars="200"/>
        <w:rPr>
          <w:rFonts w:ascii="宋体" w:hAnsi="宋体"/>
          <w:szCs w:val="21"/>
        </w:rPr>
      </w:pPr>
      <w:r>
        <w:rPr>
          <w:rFonts w:hint="eastAsia" w:ascii="宋体" w:hAnsi="宋体"/>
          <w:szCs w:val="21"/>
        </w:rPr>
        <w:t>第五章  合同条款及格式</w:t>
      </w:r>
    </w:p>
    <w:p>
      <w:pPr>
        <w:ind w:firstLine="422" w:firstLineChars="200"/>
        <w:rPr>
          <w:rFonts w:ascii="宋体" w:hAnsi="宋体"/>
          <w:b/>
          <w:szCs w:val="21"/>
        </w:rPr>
      </w:pPr>
      <w:r>
        <w:rPr>
          <w:rFonts w:hint="eastAsia" w:ascii="宋体" w:hAnsi="宋体"/>
          <w:b/>
          <w:szCs w:val="21"/>
        </w:rPr>
        <w:t>第二册  通用条款</w:t>
      </w:r>
    </w:p>
    <w:p>
      <w:pPr>
        <w:ind w:firstLine="420" w:firstLineChars="200"/>
        <w:rPr>
          <w:rFonts w:ascii="宋体" w:hAnsi="宋体"/>
          <w:szCs w:val="21"/>
        </w:rPr>
      </w:pPr>
      <w:r>
        <w:rPr>
          <w:rFonts w:hint="eastAsia" w:ascii="宋体" w:hAnsi="宋体"/>
          <w:szCs w:val="21"/>
        </w:rPr>
        <w:t>第一章  总则</w:t>
      </w:r>
    </w:p>
    <w:p>
      <w:pPr>
        <w:ind w:firstLine="420" w:firstLineChars="200"/>
        <w:rPr>
          <w:rFonts w:ascii="宋体" w:hAnsi="宋体"/>
          <w:szCs w:val="21"/>
        </w:rPr>
      </w:pPr>
      <w:r>
        <w:rPr>
          <w:rFonts w:hint="eastAsia" w:ascii="宋体" w:hAnsi="宋体"/>
          <w:szCs w:val="21"/>
        </w:rPr>
        <w:t>第二章  招标文件</w:t>
      </w:r>
    </w:p>
    <w:p>
      <w:pPr>
        <w:ind w:firstLine="420" w:firstLineChars="200"/>
        <w:rPr>
          <w:rFonts w:ascii="宋体" w:hAnsi="宋体"/>
          <w:szCs w:val="21"/>
        </w:rPr>
      </w:pPr>
      <w:r>
        <w:rPr>
          <w:rFonts w:hint="eastAsia" w:ascii="宋体" w:hAnsi="宋体"/>
          <w:szCs w:val="21"/>
        </w:rPr>
        <w:t>第三章  投标文件的编制</w:t>
      </w:r>
    </w:p>
    <w:p>
      <w:pPr>
        <w:ind w:firstLine="420" w:firstLineChars="200"/>
        <w:rPr>
          <w:rFonts w:ascii="宋体" w:hAnsi="宋体"/>
          <w:szCs w:val="21"/>
        </w:rPr>
      </w:pPr>
      <w:r>
        <w:rPr>
          <w:rFonts w:hint="eastAsia" w:ascii="宋体" w:hAnsi="宋体"/>
          <w:szCs w:val="21"/>
        </w:rPr>
        <w:t>第四章  投标文件的递交</w:t>
      </w:r>
    </w:p>
    <w:p>
      <w:pPr>
        <w:ind w:firstLine="420" w:firstLineChars="200"/>
        <w:rPr>
          <w:rFonts w:ascii="宋体" w:hAnsi="宋体"/>
          <w:szCs w:val="21"/>
        </w:rPr>
      </w:pPr>
      <w:r>
        <w:rPr>
          <w:rFonts w:hint="eastAsia" w:ascii="宋体" w:hAnsi="宋体"/>
          <w:szCs w:val="21"/>
        </w:rPr>
        <w:t>第五章  开标</w:t>
      </w:r>
    </w:p>
    <w:p>
      <w:pPr>
        <w:ind w:firstLine="420" w:firstLineChars="200"/>
        <w:rPr>
          <w:rFonts w:ascii="宋体" w:hAnsi="宋体"/>
          <w:szCs w:val="21"/>
        </w:rPr>
      </w:pPr>
      <w:r>
        <w:rPr>
          <w:rFonts w:hint="eastAsia" w:ascii="宋体" w:hAnsi="宋体"/>
          <w:szCs w:val="21"/>
        </w:rPr>
        <w:t>第六章  评审要求</w:t>
      </w:r>
    </w:p>
    <w:p>
      <w:pPr>
        <w:ind w:firstLine="420" w:firstLineChars="200"/>
        <w:rPr>
          <w:rFonts w:ascii="宋体" w:hAnsi="宋体"/>
          <w:szCs w:val="21"/>
        </w:rPr>
      </w:pPr>
      <w:r>
        <w:rPr>
          <w:rFonts w:hint="eastAsia" w:ascii="宋体" w:hAnsi="宋体"/>
          <w:szCs w:val="21"/>
        </w:rPr>
        <w:t>第七章  评审程序及评审方法</w:t>
      </w:r>
    </w:p>
    <w:p>
      <w:pPr>
        <w:ind w:firstLine="420" w:firstLineChars="200"/>
        <w:rPr>
          <w:rFonts w:ascii="宋体" w:hAnsi="宋体"/>
          <w:szCs w:val="21"/>
        </w:rPr>
      </w:pPr>
      <w:r>
        <w:rPr>
          <w:rFonts w:hint="eastAsia" w:ascii="宋体" w:hAnsi="宋体"/>
          <w:szCs w:val="21"/>
        </w:rPr>
        <w:t>第八章  定标及公示</w:t>
      </w:r>
    </w:p>
    <w:p>
      <w:pPr>
        <w:ind w:firstLine="420" w:firstLineChars="200"/>
        <w:rPr>
          <w:rFonts w:ascii="宋体" w:hAnsi="宋体"/>
          <w:szCs w:val="21"/>
        </w:rPr>
      </w:pPr>
      <w:r>
        <w:rPr>
          <w:rFonts w:hint="eastAsia" w:ascii="宋体" w:hAnsi="宋体"/>
          <w:szCs w:val="21"/>
        </w:rPr>
        <w:t>第九章  公开招标失败的后续处理</w:t>
      </w:r>
    </w:p>
    <w:p>
      <w:pPr>
        <w:ind w:firstLine="420" w:firstLineChars="200"/>
        <w:rPr>
          <w:rFonts w:ascii="宋体" w:hAnsi="宋体"/>
          <w:szCs w:val="21"/>
        </w:rPr>
      </w:pPr>
      <w:r>
        <w:rPr>
          <w:rFonts w:hint="eastAsia" w:ascii="宋体" w:hAnsi="宋体"/>
          <w:szCs w:val="21"/>
        </w:rPr>
        <w:t>第十章  合同的授予与备案</w:t>
      </w:r>
    </w:p>
    <w:p>
      <w:pPr>
        <w:ind w:firstLine="420" w:firstLineChars="200"/>
        <w:rPr>
          <w:rFonts w:ascii="宋体" w:hAnsi="宋体"/>
          <w:szCs w:val="21"/>
        </w:rPr>
      </w:pPr>
      <w:r>
        <w:rPr>
          <w:rFonts w:hint="eastAsia" w:ascii="宋体" w:hAnsi="宋体"/>
          <w:szCs w:val="21"/>
        </w:rPr>
        <w:t>第十一章  质疑处理</w:t>
      </w:r>
    </w:p>
    <w:p>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pPr>
        <w:ind w:firstLine="420" w:firstLineChars="200"/>
        <w:rPr>
          <w:rFonts w:ascii="黑体" w:hAnsi="宋体" w:eastAsia="黑体"/>
          <w:szCs w:val="21"/>
        </w:rPr>
      </w:pPr>
      <w:r>
        <w:rPr>
          <w:rFonts w:hint="eastAsia" w:ascii="黑体" w:hAnsi="宋体" w:eastAsia="黑体"/>
          <w:szCs w:val="21"/>
        </w:rPr>
        <w:t>12．招标文件的澄清</w:t>
      </w:r>
    </w:p>
    <w:p>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64"/>
    </w:p>
    <w:p>
      <w:pPr>
        <w:rPr>
          <w:rFonts w:ascii="宋体" w:hAnsi="宋体"/>
          <w:szCs w:val="21"/>
        </w:rPr>
      </w:pP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pPr>
        <w:ind w:firstLine="420" w:firstLineChars="200"/>
        <w:rPr>
          <w:rFonts w:ascii="黑体" w:hAnsi="宋体" w:eastAsia="黑体"/>
          <w:szCs w:val="21"/>
        </w:rPr>
      </w:pPr>
      <w:r>
        <w:rPr>
          <w:rFonts w:hint="eastAsia" w:ascii="黑体" w:hAnsi="宋体" w:eastAsia="黑体"/>
          <w:szCs w:val="21"/>
        </w:rPr>
        <w:t>14．</w:t>
      </w:r>
      <w:bookmarkStart w:id="65" w:name="_Hlk72400236"/>
      <w:r>
        <w:rPr>
          <w:rFonts w:hint="eastAsia" w:ascii="黑体" w:hAnsi="宋体" w:eastAsia="黑体"/>
          <w:szCs w:val="21"/>
        </w:rPr>
        <w:t>投标文件的语言及度量单位</w:t>
      </w:r>
    </w:p>
    <w:p>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65"/>
    <w:p>
      <w:pPr>
        <w:ind w:firstLine="420" w:firstLineChars="200"/>
        <w:rPr>
          <w:rFonts w:ascii="黑体" w:hAnsi="宋体" w:eastAsia="黑体"/>
          <w:szCs w:val="21"/>
        </w:rPr>
      </w:pPr>
      <w:r>
        <w:rPr>
          <w:rFonts w:hint="eastAsia" w:ascii="黑体" w:hAnsi="宋体" w:eastAsia="黑体"/>
          <w:szCs w:val="21"/>
        </w:rPr>
        <w:t>15．</w:t>
      </w:r>
      <w:bookmarkStart w:id="66" w:name="_Hlk72401567"/>
      <w:r>
        <w:rPr>
          <w:rFonts w:hint="eastAsia" w:ascii="黑体" w:hAnsi="宋体" w:eastAsia="黑体"/>
          <w:szCs w:val="21"/>
        </w:rPr>
        <w:t>投标文件的组成</w:t>
      </w:r>
    </w:p>
    <w:p>
      <w:pPr>
        <w:ind w:firstLine="420" w:firstLineChars="200"/>
        <w:rPr>
          <w:rFonts w:ascii="宋体" w:hAnsi="宋体"/>
          <w:szCs w:val="21"/>
        </w:rPr>
      </w:pPr>
      <w:r>
        <w:rPr>
          <w:rFonts w:hint="eastAsia" w:ascii="宋体" w:hAnsi="宋体"/>
          <w:szCs w:val="21"/>
        </w:rPr>
        <w:t>具体内容在招标文件专用条款中进行规定。</w:t>
      </w:r>
    </w:p>
    <w:p>
      <w:pPr>
        <w:ind w:firstLine="420" w:firstLineChars="200"/>
        <w:rPr>
          <w:rFonts w:ascii="黑体" w:hAnsi="宋体" w:eastAsia="黑体"/>
          <w:szCs w:val="21"/>
        </w:rPr>
      </w:pPr>
      <w:r>
        <w:rPr>
          <w:rFonts w:hint="eastAsia" w:ascii="黑体" w:hAnsi="宋体" w:eastAsia="黑体"/>
          <w:szCs w:val="21"/>
        </w:rPr>
        <w:t>16．投标文件格式</w:t>
      </w:r>
    </w:p>
    <w:p>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ascii="黑体" w:hAnsi="宋体" w:eastAsia="黑体"/>
          <w:szCs w:val="21"/>
        </w:rPr>
      </w:pPr>
      <w:r>
        <w:rPr>
          <w:rFonts w:hint="eastAsia" w:ascii="黑体" w:hAnsi="宋体" w:eastAsia="黑体"/>
          <w:szCs w:val="21"/>
        </w:rPr>
        <w:t>17．投标货币</w:t>
      </w:r>
    </w:p>
    <w:p>
      <w:pPr>
        <w:ind w:firstLine="420" w:firstLineChars="200"/>
        <w:rPr>
          <w:rFonts w:ascii="宋体" w:hAnsi="宋体"/>
          <w:szCs w:val="21"/>
        </w:rPr>
      </w:pPr>
      <w:r>
        <w:rPr>
          <w:rFonts w:hint="eastAsia" w:ascii="宋体" w:hAnsi="宋体"/>
          <w:szCs w:val="21"/>
        </w:rPr>
        <w:t>本项目的投标报价应以人民币计。</w:t>
      </w:r>
    </w:p>
    <w:bookmarkEnd w:id="66"/>
    <w:p>
      <w:pPr>
        <w:ind w:firstLine="420" w:firstLineChars="200"/>
        <w:rPr>
          <w:rFonts w:ascii="黑体" w:hAnsi="宋体" w:eastAsia="黑体"/>
          <w:szCs w:val="21"/>
        </w:rPr>
      </w:pPr>
      <w:r>
        <w:rPr>
          <w:rFonts w:hint="eastAsia" w:ascii="黑体" w:hAnsi="宋体" w:eastAsia="黑体"/>
          <w:szCs w:val="21"/>
        </w:rPr>
        <w:t>18．</w:t>
      </w:r>
      <w:bookmarkStart w:id="67" w:name="_Hlk72401735"/>
      <w:r>
        <w:rPr>
          <w:rFonts w:hint="eastAsia" w:ascii="黑体" w:hAnsi="宋体" w:eastAsia="黑体"/>
          <w:szCs w:val="21"/>
        </w:rPr>
        <w:t>证明投标文件投标技术方案的合格性和符合招标文件规定的文件要求</w:t>
      </w:r>
    </w:p>
    <w:p>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ascii="宋体" w:hAnsi="宋体"/>
          <w:szCs w:val="21"/>
        </w:rPr>
      </w:pPr>
      <w:r>
        <w:rPr>
          <w:rFonts w:hint="eastAsia" w:ascii="宋体" w:hAnsi="宋体"/>
          <w:szCs w:val="21"/>
        </w:rPr>
        <w:t>18.2.1主要技术指标和性能的详细说明。</w:t>
      </w:r>
    </w:p>
    <w:p>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7"/>
    <w:p>
      <w:pPr>
        <w:ind w:firstLine="420" w:firstLineChars="200"/>
        <w:rPr>
          <w:rFonts w:ascii="黑体" w:hAnsi="宋体" w:eastAsia="黑体"/>
          <w:szCs w:val="21"/>
        </w:rPr>
      </w:pPr>
      <w:r>
        <w:rPr>
          <w:rFonts w:hint="eastAsia" w:ascii="黑体" w:hAnsi="宋体" w:eastAsia="黑体"/>
          <w:szCs w:val="21"/>
        </w:rPr>
        <w:t>19．</w:t>
      </w:r>
      <w:bookmarkStart w:id="68" w:name="_Hlk72402034"/>
      <w:r>
        <w:rPr>
          <w:rFonts w:hint="eastAsia" w:ascii="黑体" w:hAnsi="宋体" w:eastAsia="黑体"/>
          <w:szCs w:val="21"/>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9" w:name="_Hlk71407299"/>
    </w:p>
    <w:bookmarkEnd w:id="69"/>
    <w:p>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ascii="黑体" w:hAnsi="宋体" w:eastAsia="黑体"/>
          <w:szCs w:val="21"/>
        </w:rPr>
      </w:pPr>
      <w:r>
        <w:rPr>
          <w:rFonts w:hint="eastAsia" w:ascii="黑体" w:hAnsi="宋体" w:eastAsia="黑体"/>
          <w:szCs w:val="21"/>
        </w:rPr>
        <w:t>20．投标有效期</w:t>
      </w:r>
    </w:p>
    <w:bookmarkEnd w:id="68"/>
    <w:p>
      <w:pPr>
        <w:ind w:firstLine="420" w:firstLineChars="200"/>
        <w:rPr>
          <w:rFonts w:ascii="宋体" w:hAnsi="宋体"/>
          <w:szCs w:val="21"/>
        </w:rPr>
      </w:pPr>
      <w:bookmarkStart w:id="7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70"/>
    <w:p>
      <w:pPr>
        <w:ind w:firstLine="420" w:firstLineChars="200"/>
        <w:rPr>
          <w:rFonts w:ascii="黑体" w:hAnsi="宋体" w:eastAsia="黑体"/>
          <w:szCs w:val="21"/>
        </w:rPr>
      </w:pPr>
      <w:r>
        <w:rPr>
          <w:rFonts w:hint="eastAsia" w:ascii="黑体" w:hAnsi="宋体" w:eastAsia="黑体"/>
          <w:szCs w:val="21"/>
        </w:rPr>
        <w:t>21．</w:t>
      </w:r>
      <w:bookmarkStart w:id="71" w:name="_Hlk72402325"/>
      <w:r>
        <w:rPr>
          <w:rFonts w:hint="eastAsia" w:ascii="黑体" w:hAnsi="宋体" w:eastAsia="黑体"/>
          <w:szCs w:val="21"/>
        </w:rPr>
        <w:t xml:space="preserve">关于投标保证金 </w:t>
      </w:r>
    </w:p>
    <w:p>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pPr>
        <w:ind w:firstLine="420" w:firstLineChars="200"/>
        <w:rPr>
          <w:rFonts w:ascii="黑体" w:hAnsi="宋体" w:eastAsia="黑体"/>
          <w:szCs w:val="21"/>
        </w:rPr>
      </w:pPr>
      <w:r>
        <w:rPr>
          <w:rFonts w:hint="eastAsia" w:ascii="黑体" w:hAnsi="宋体" w:eastAsia="黑体"/>
          <w:szCs w:val="21"/>
        </w:rPr>
        <w:t>22．投标人的替代方案</w:t>
      </w:r>
    </w:p>
    <w:p>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1"/>
    <w:p>
      <w:pPr>
        <w:ind w:firstLine="420" w:firstLineChars="200"/>
        <w:rPr>
          <w:rFonts w:ascii="黑体" w:hAnsi="宋体" w:eastAsia="黑体"/>
          <w:szCs w:val="21"/>
        </w:rPr>
      </w:pPr>
      <w:r>
        <w:rPr>
          <w:rFonts w:hint="eastAsia" w:ascii="黑体" w:hAnsi="宋体" w:eastAsia="黑体"/>
          <w:szCs w:val="21"/>
        </w:rPr>
        <w:t>23．</w:t>
      </w:r>
      <w:bookmarkStart w:id="72" w:name="_Hlk72402860"/>
      <w:r>
        <w:rPr>
          <w:rFonts w:hint="eastAsia" w:ascii="黑体" w:hAnsi="宋体" w:eastAsia="黑体"/>
          <w:szCs w:val="21"/>
        </w:rPr>
        <w:t>投标文件的制作要求</w:t>
      </w:r>
    </w:p>
    <w:p>
      <w:pPr>
        <w:ind w:firstLine="420" w:firstLineChars="200"/>
        <w:rPr>
          <w:rFonts w:ascii="宋体" w:hAnsi="宋体"/>
          <w:szCs w:val="21"/>
        </w:rPr>
      </w:pPr>
      <w:r>
        <w:rPr>
          <w:rFonts w:hint="eastAsia" w:ascii="宋体" w:hAnsi="宋体"/>
          <w:szCs w:val="21"/>
        </w:rPr>
        <w:t>23.1投标人应准备所投项目的电子投标文件一份。</w:t>
      </w:r>
    </w:p>
    <w:p>
      <w:pPr>
        <w:ind w:firstLine="420" w:firstLineChars="200"/>
        <w:rPr>
          <w:rFonts w:ascii="宋体" w:hAnsi="宋体"/>
          <w:szCs w:val="21"/>
        </w:rPr>
      </w:pPr>
      <w:r>
        <w:rPr>
          <w:rFonts w:hint="eastAsia" w:ascii="宋体" w:hAnsi="宋体"/>
          <w:szCs w:val="21"/>
        </w:rPr>
        <w:t>23.2投标人在使用《投标书编制软件》编制投标书时须注意：</w:t>
      </w:r>
    </w:p>
    <w:p>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pPr>
        <w:ind w:firstLine="420" w:firstLineChars="200"/>
        <w:rPr>
          <w:rFonts w:ascii="宋体" w:hAnsi="宋体"/>
          <w:szCs w:val="21"/>
        </w:rPr>
      </w:pPr>
      <w:r>
        <w:rPr>
          <w:rFonts w:hint="eastAsia" w:ascii="宋体" w:hAnsi="宋体"/>
          <w:szCs w:val="21"/>
        </w:rPr>
        <w:t>23.3电报、电话、传真形式的投标概不接受。</w:t>
      </w:r>
    </w:p>
    <w:p>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72"/>
    </w:p>
    <w:p>
      <w:pPr>
        <w:ind w:firstLine="411" w:firstLineChars="196"/>
        <w:rPr>
          <w:rFonts w:ascii="宋体" w:hAnsi="宋体"/>
          <w:szCs w:val="21"/>
        </w:rPr>
      </w:pP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pPr>
        <w:ind w:firstLine="420" w:firstLineChars="200"/>
        <w:rPr>
          <w:rFonts w:ascii="黑体" w:hAnsi="宋体" w:eastAsia="黑体"/>
          <w:szCs w:val="21"/>
        </w:rPr>
      </w:pPr>
      <w:bookmarkStart w:id="73" w:name="_Hlk72405459"/>
      <w:r>
        <w:rPr>
          <w:rFonts w:hint="eastAsia" w:ascii="黑体" w:hAnsi="宋体" w:eastAsia="黑体"/>
          <w:szCs w:val="21"/>
        </w:rPr>
        <w:t>24．投标文件的保密</w:t>
      </w:r>
    </w:p>
    <w:p>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pPr>
        <w:ind w:firstLine="422" w:firstLineChars="200"/>
        <w:rPr>
          <w:rFonts w:ascii="宋体" w:hAnsi="宋体"/>
          <w:b/>
          <w:szCs w:val="21"/>
        </w:rPr>
      </w:pPr>
      <w:r>
        <w:rPr>
          <w:rFonts w:hint="eastAsia" w:ascii="宋体" w:hAnsi="宋体"/>
          <w:b/>
          <w:szCs w:val="21"/>
        </w:rPr>
        <w:t>24.2若采购项目出现延期情况：</w:t>
      </w:r>
    </w:p>
    <w:p>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pPr>
        <w:ind w:firstLine="420" w:firstLineChars="200"/>
        <w:rPr>
          <w:rFonts w:ascii="黑体" w:hAnsi="宋体" w:eastAsia="黑体"/>
          <w:szCs w:val="21"/>
        </w:rPr>
      </w:pPr>
      <w:r>
        <w:rPr>
          <w:rFonts w:hint="eastAsia" w:ascii="黑体" w:hAnsi="宋体" w:eastAsia="黑体"/>
          <w:szCs w:val="21"/>
        </w:rPr>
        <w:t>25．上传投标文件及投标截止日期</w:t>
      </w:r>
    </w:p>
    <w:p>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pPr>
        <w:ind w:firstLine="420" w:firstLineChars="200"/>
        <w:rPr>
          <w:rFonts w:ascii="宋体" w:hAnsi="宋体"/>
          <w:szCs w:val="21"/>
        </w:rPr>
      </w:pPr>
      <w:r>
        <w:rPr>
          <w:rFonts w:hint="eastAsia" w:ascii="宋体" w:hAnsi="宋体"/>
          <w:szCs w:val="21"/>
        </w:rPr>
        <w:t>25.3投标截止时间以后不得上传投标文件。</w:t>
      </w:r>
    </w:p>
    <w:bookmarkEnd w:id="73"/>
    <w:p>
      <w:pPr>
        <w:ind w:firstLine="420" w:firstLineChars="200"/>
        <w:rPr>
          <w:rFonts w:ascii="黑体" w:hAnsi="宋体" w:eastAsia="黑体"/>
          <w:szCs w:val="21"/>
        </w:rPr>
      </w:pPr>
      <w:r>
        <w:rPr>
          <w:rFonts w:hint="eastAsia" w:ascii="黑体" w:hAnsi="宋体" w:eastAsia="黑体"/>
          <w:szCs w:val="21"/>
        </w:rPr>
        <w:t>26. 样品、现场演示、方案讲解</w:t>
      </w:r>
    </w:p>
    <w:p>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ascii="黑体" w:hAnsi="宋体" w:eastAsia="黑体"/>
          <w:szCs w:val="21"/>
        </w:rPr>
      </w:pPr>
      <w:bookmarkStart w:id="74" w:name="_Hlk72428346"/>
      <w:r>
        <w:rPr>
          <w:rFonts w:hint="eastAsia" w:ascii="黑体" w:hAnsi="宋体" w:eastAsia="黑体"/>
          <w:szCs w:val="21"/>
        </w:rPr>
        <w:t>27．投标文件的修改和撤销</w:t>
      </w:r>
    </w:p>
    <w:p>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pPr>
        <w:ind w:firstLine="420" w:firstLineChars="200"/>
        <w:rPr>
          <w:rFonts w:ascii="宋体" w:hAnsi="宋体"/>
          <w:szCs w:val="21"/>
        </w:rPr>
      </w:pPr>
      <w:r>
        <w:rPr>
          <w:rFonts w:hint="eastAsia" w:ascii="宋体" w:hAnsi="宋体"/>
          <w:szCs w:val="21"/>
        </w:rPr>
        <w:t>27.2投标截止时间以后不得修改投标文件。</w:t>
      </w:r>
    </w:p>
    <w:p>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74"/>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pPr>
        <w:ind w:firstLine="420" w:firstLineChars="200"/>
        <w:rPr>
          <w:rFonts w:ascii="黑体" w:hAnsi="宋体" w:eastAsia="黑体"/>
          <w:szCs w:val="21"/>
        </w:rPr>
      </w:pPr>
      <w:r>
        <w:rPr>
          <w:rFonts w:hint="eastAsia" w:ascii="黑体" w:hAnsi="宋体" w:eastAsia="黑体"/>
          <w:szCs w:val="21"/>
        </w:rPr>
        <w:t>28．开标</w:t>
      </w:r>
    </w:p>
    <w:p>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pPr>
        <w:ind w:firstLine="420" w:firstLineChars="200"/>
        <w:rPr>
          <w:rFonts w:ascii="黑体" w:hAnsi="宋体" w:eastAsia="黑体"/>
          <w:szCs w:val="21"/>
        </w:rPr>
      </w:pPr>
      <w:r>
        <w:rPr>
          <w:rFonts w:hint="eastAsia" w:ascii="黑体" w:hAnsi="宋体" w:eastAsia="黑体"/>
          <w:szCs w:val="21"/>
        </w:rPr>
        <w:t>29．评审委员会组成</w:t>
      </w:r>
    </w:p>
    <w:p>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pPr>
        <w:ind w:firstLine="420" w:firstLineChars="200"/>
        <w:rPr>
          <w:rFonts w:ascii="宋体" w:hAnsi="宋体"/>
          <w:color w:val="FF0000"/>
          <w:szCs w:val="21"/>
          <w:highlight w:val="none"/>
        </w:rPr>
      </w:pPr>
      <w:bookmarkStart w:id="75"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5"/>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ascii="黑体" w:hAnsi="宋体" w:eastAsia="黑体"/>
          <w:szCs w:val="21"/>
        </w:rPr>
      </w:pPr>
      <w:r>
        <w:rPr>
          <w:rFonts w:hint="eastAsia" w:ascii="黑体" w:hAnsi="宋体" w:eastAsia="黑体"/>
          <w:szCs w:val="21"/>
        </w:rPr>
        <w:t>30．向评审委员会提供的资料</w:t>
      </w:r>
    </w:p>
    <w:p>
      <w:pPr>
        <w:ind w:firstLine="420" w:firstLineChars="200"/>
        <w:rPr>
          <w:rFonts w:ascii="宋体" w:hAnsi="宋体"/>
          <w:szCs w:val="21"/>
        </w:rPr>
      </w:pPr>
      <w:r>
        <w:rPr>
          <w:rFonts w:hint="eastAsia" w:ascii="宋体" w:hAnsi="宋体"/>
          <w:szCs w:val="21"/>
        </w:rPr>
        <w:t>30.1公开发布的招标文件，包括图纸、服务清单、答疑文件等；</w:t>
      </w:r>
    </w:p>
    <w:p>
      <w:pPr>
        <w:ind w:firstLine="420" w:firstLineChars="200"/>
        <w:rPr>
          <w:rFonts w:ascii="宋体" w:hAnsi="宋体"/>
          <w:szCs w:val="21"/>
        </w:rPr>
      </w:pPr>
      <w:r>
        <w:rPr>
          <w:rFonts w:hint="eastAsia" w:ascii="宋体" w:hAnsi="宋体"/>
          <w:szCs w:val="21"/>
        </w:rPr>
        <w:t>30.2其他评标必须的资料。</w:t>
      </w:r>
    </w:p>
    <w:p>
      <w:pPr>
        <w:ind w:firstLine="420" w:firstLineChars="200"/>
        <w:rPr>
          <w:rFonts w:ascii="宋体" w:hAnsi="宋体"/>
          <w:szCs w:val="21"/>
        </w:rPr>
      </w:pPr>
      <w:r>
        <w:rPr>
          <w:rFonts w:hint="eastAsia" w:ascii="宋体" w:hAnsi="宋体"/>
          <w:szCs w:val="21"/>
        </w:rPr>
        <w:t>30.3评审委员会应当认真研究招标文件，至少应了解熟悉以下内容：</w:t>
      </w:r>
    </w:p>
    <w:p>
      <w:pPr>
        <w:ind w:firstLine="420" w:firstLineChars="200"/>
        <w:rPr>
          <w:rFonts w:ascii="宋体" w:hAnsi="宋体"/>
          <w:szCs w:val="21"/>
        </w:rPr>
      </w:pPr>
      <w:r>
        <w:rPr>
          <w:rFonts w:hint="eastAsia" w:ascii="宋体" w:hAnsi="宋体"/>
          <w:szCs w:val="21"/>
        </w:rPr>
        <w:t>（1）招标的目的；</w:t>
      </w:r>
    </w:p>
    <w:p>
      <w:pPr>
        <w:ind w:firstLine="420" w:firstLineChars="200"/>
        <w:rPr>
          <w:rFonts w:ascii="宋体" w:hAnsi="宋体"/>
          <w:szCs w:val="21"/>
        </w:rPr>
      </w:pPr>
      <w:r>
        <w:rPr>
          <w:rFonts w:hint="eastAsia" w:ascii="宋体" w:hAnsi="宋体"/>
          <w:szCs w:val="21"/>
        </w:rPr>
        <w:t>（2）招标项目需求的范围和性质；</w:t>
      </w:r>
    </w:p>
    <w:p>
      <w:pPr>
        <w:ind w:firstLine="420" w:firstLineChars="200"/>
        <w:rPr>
          <w:rFonts w:ascii="宋体" w:hAnsi="宋体"/>
          <w:szCs w:val="21"/>
        </w:rPr>
      </w:pPr>
      <w:r>
        <w:rPr>
          <w:rFonts w:hint="eastAsia" w:ascii="宋体" w:hAnsi="宋体"/>
          <w:szCs w:val="21"/>
        </w:rPr>
        <w:t>（3）招标文件规定的投标人的资格、财政预算限额、商务条款；</w:t>
      </w:r>
    </w:p>
    <w:p>
      <w:pPr>
        <w:ind w:firstLine="420" w:firstLineChars="200"/>
        <w:rPr>
          <w:rFonts w:ascii="宋体" w:hAnsi="宋体"/>
          <w:szCs w:val="21"/>
        </w:rPr>
      </w:pPr>
      <w:r>
        <w:rPr>
          <w:rFonts w:hint="eastAsia" w:ascii="宋体" w:hAnsi="宋体"/>
          <w:szCs w:val="21"/>
        </w:rPr>
        <w:t>（4）招标文件规定的评标程序、评标方法和评标因素；</w:t>
      </w:r>
    </w:p>
    <w:p>
      <w:pPr>
        <w:ind w:firstLine="420" w:firstLineChars="200"/>
        <w:rPr>
          <w:rFonts w:ascii="宋体" w:hAnsi="宋体"/>
          <w:szCs w:val="21"/>
        </w:rPr>
      </w:pPr>
      <w:r>
        <w:rPr>
          <w:rFonts w:hint="eastAsia" w:ascii="宋体" w:hAnsi="宋体"/>
          <w:szCs w:val="21"/>
        </w:rPr>
        <w:t>（5）招标文件所列示的资格性审查表及符合性审查表。</w:t>
      </w:r>
    </w:p>
    <w:p>
      <w:pPr>
        <w:ind w:firstLine="420" w:firstLineChars="200"/>
        <w:rPr>
          <w:rFonts w:ascii="黑体" w:hAnsi="宋体" w:eastAsia="黑体"/>
          <w:szCs w:val="21"/>
        </w:rPr>
      </w:pPr>
      <w:r>
        <w:rPr>
          <w:rFonts w:hint="eastAsia" w:ascii="黑体" w:hAnsi="宋体" w:eastAsia="黑体"/>
          <w:szCs w:val="21"/>
        </w:rPr>
        <w:t>31．独立评审</w:t>
      </w:r>
    </w:p>
    <w:p>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pPr>
        <w:ind w:firstLine="420" w:firstLineChars="200"/>
        <w:rPr>
          <w:rFonts w:ascii="黑体" w:hAnsi="宋体" w:eastAsia="黑体"/>
          <w:szCs w:val="21"/>
        </w:rPr>
      </w:pPr>
      <w:r>
        <w:rPr>
          <w:rFonts w:hint="eastAsia" w:ascii="黑体" w:hAnsi="宋体" w:eastAsia="黑体"/>
          <w:szCs w:val="21"/>
        </w:rPr>
        <w:t>32．投标文件初审</w:t>
      </w:r>
    </w:p>
    <w:p>
      <w:pPr>
        <w:ind w:firstLine="420" w:firstLineChars="200"/>
        <w:rPr>
          <w:rFonts w:ascii="宋体" w:hAnsi="宋体"/>
          <w:szCs w:val="21"/>
        </w:rPr>
      </w:pPr>
      <w:r>
        <w:rPr>
          <w:rFonts w:hint="eastAsia" w:ascii="宋体" w:hAnsi="宋体"/>
          <w:szCs w:val="21"/>
        </w:rPr>
        <w:t>32.1投标文件初审包括资格性审查和符合性审查。</w:t>
      </w:r>
    </w:p>
    <w:p>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ascii="宋体" w:hAnsi="宋体"/>
          <w:bCs/>
          <w:szCs w:val="21"/>
        </w:rPr>
      </w:pPr>
      <w:r>
        <w:rPr>
          <w:rFonts w:hint="eastAsia" w:ascii="宋体" w:hAnsi="宋体"/>
          <w:bCs/>
          <w:szCs w:val="21"/>
        </w:rPr>
        <w:t>32.3 投标文件初审中关于供应商家数的计算:</w:t>
      </w:r>
    </w:p>
    <w:p>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ascii="宋体" w:hAnsi="宋体"/>
          <w:szCs w:val="21"/>
        </w:rPr>
      </w:pPr>
      <w:r>
        <w:rPr>
          <w:rFonts w:hint="eastAsia" w:ascii="宋体" w:hAnsi="宋体"/>
          <w:szCs w:val="21"/>
        </w:rPr>
        <w:t>32.4.4不同投标人的投标文件异常一致或者投标报价呈规律性差异；</w:t>
      </w:r>
    </w:p>
    <w:p>
      <w:pPr>
        <w:ind w:firstLine="420" w:firstLineChars="200"/>
        <w:rPr>
          <w:rFonts w:ascii="宋体" w:hAnsi="宋体"/>
          <w:szCs w:val="21"/>
        </w:rPr>
      </w:pPr>
      <w:r>
        <w:rPr>
          <w:rFonts w:hint="eastAsia" w:ascii="宋体" w:hAnsi="宋体"/>
          <w:szCs w:val="21"/>
        </w:rPr>
        <w:t>32.4.5不同投标供应商的投标文件或部分投标文件相互混装；</w:t>
      </w:r>
    </w:p>
    <w:p>
      <w:pPr>
        <w:ind w:firstLine="420" w:firstLineChars="200"/>
        <w:rPr>
          <w:rFonts w:ascii="宋体" w:hAnsi="宋体"/>
          <w:szCs w:val="21"/>
        </w:rPr>
      </w:pPr>
      <w:r>
        <w:rPr>
          <w:rFonts w:hint="eastAsia" w:ascii="宋体" w:hAnsi="宋体"/>
          <w:szCs w:val="21"/>
        </w:rPr>
        <w:t>32.4.6投标供应商之间相互约定给予未中标的供应商利益补偿；</w:t>
      </w:r>
    </w:p>
    <w:p>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ascii="宋体" w:hAnsi="宋体"/>
          <w:szCs w:val="21"/>
        </w:rPr>
      </w:pPr>
      <w:r>
        <w:rPr>
          <w:rFonts w:hint="eastAsia" w:ascii="宋体" w:hAnsi="宋体"/>
          <w:szCs w:val="21"/>
        </w:rPr>
        <w:t>32.4.8不同投标供应商的投标文件内容存在非正常一致；</w:t>
      </w:r>
    </w:p>
    <w:p>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ascii="宋体" w:hAnsi="宋体"/>
          <w:szCs w:val="21"/>
        </w:rPr>
      </w:pPr>
      <w:r>
        <w:rPr>
          <w:rFonts w:hint="eastAsia" w:ascii="宋体" w:hAnsi="宋体"/>
          <w:szCs w:val="21"/>
        </w:rPr>
        <w:t>32.4.10主管部门依照法律、法规认定的其他情形。</w:t>
      </w:r>
    </w:p>
    <w:p>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ascii="黑体" w:hAnsi="宋体" w:eastAsia="黑体"/>
          <w:szCs w:val="21"/>
        </w:rPr>
      </w:pPr>
      <w:r>
        <w:rPr>
          <w:rFonts w:hint="eastAsia" w:ascii="黑体" w:hAnsi="宋体" w:eastAsia="黑体"/>
          <w:szCs w:val="21"/>
        </w:rPr>
        <w:t>33．澄清有关问题</w:t>
      </w:r>
    </w:p>
    <w:p>
      <w:pPr>
        <w:ind w:firstLine="420" w:firstLineChars="200"/>
        <w:rPr>
          <w:rFonts w:ascii="宋体" w:hAnsi="宋体"/>
          <w:szCs w:val="21"/>
        </w:rPr>
      </w:pPr>
      <w:bookmarkStart w:id="76"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76"/>
    </w:p>
    <w:p>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ascii="黑体" w:hAnsi="宋体" w:eastAsia="黑体"/>
          <w:szCs w:val="21"/>
        </w:rPr>
      </w:pPr>
      <w:bookmarkStart w:id="77" w:name="_Toc73518151"/>
      <w:bookmarkStart w:id="78" w:name="_Toc73521581"/>
      <w:bookmarkStart w:id="79" w:name="_Toc73517673"/>
      <w:bookmarkStart w:id="80" w:name="_Toc100052400"/>
      <w:bookmarkStart w:id="81" w:name="_Toc73521669"/>
      <w:r>
        <w:rPr>
          <w:rFonts w:hint="eastAsia" w:ascii="黑体" w:hAnsi="宋体" w:eastAsia="黑体"/>
          <w:szCs w:val="21"/>
        </w:rPr>
        <w:t>34．错误的修正</w:t>
      </w:r>
      <w:bookmarkEnd w:id="77"/>
      <w:bookmarkEnd w:id="78"/>
      <w:bookmarkEnd w:id="79"/>
      <w:bookmarkEnd w:id="80"/>
      <w:bookmarkEnd w:id="81"/>
    </w:p>
    <w:p>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ascii="宋体" w:hAnsi="宋体"/>
          <w:szCs w:val="21"/>
        </w:rPr>
      </w:pPr>
      <w:r>
        <w:rPr>
          <w:rFonts w:hint="eastAsia" w:ascii="宋体" w:hAnsi="宋体"/>
          <w:szCs w:val="21"/>
        </w:rPr>
        <w:t>34.2大写金额和小写金额不一致的，以大写金额为准；</w:t>
      </w:r>
    </w:p>
    <w:p>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ascii="宋体" w:hAnsi="宋体"/>
          <w:szCs w:val="21"/>
        </w:rPr>
      </w:pPr>
      <w:r>
        <w:rPr>
          <w:rFonts w:hint="eastAsia" w:ascii="宋体" w:hAnsi="宋体"/>
          <w:szCs w:val="21"/>
        </w:rPr>
        <w:t>34.4总价金额与按单价汇总金额不一致的，以单价金额计算结果为准。</w:t>
      </w:r>
    </w:p>
    <w:p>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ascii="黑体" w:hAnsi="宋体" w:eastAsia="黑体"/>
          <w:szCs w:val="21"/>
        </w:rPr>
      </w:pPr>
      <w:r>
        <w:rPr>
          <w:rFonts w:hint="eastAsia" w:ascii="黑体" w:hAnsi="宋体" w:eastAsia="黑体"/>
          <w:szCs w:val="21"/>
        </w:rPr>
        <w:t>35．投标文件的比较与评价</w:t>
      </w:r>
    </w:p>
    <w:p>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ascii="黑体" w:hAnsi="宋体" w:eastAsia="黑体"/>
          <w:szCs w:val="21"/>
        </w:rPr>
      </w:pPr>
      <w:r>
        <w:rPr>
          <w:rFonts w:hint="eastAsia" w:ascii="黑体" w:hAnsi="宋体" w:eastAsia="黑体"/>
          <w:szCs w:val="21"/>
        </w:rPr>
        <w:t>36. 实地考察或资料查验</w:t>
      </w:r>
    </w:p>
    <w:p>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ascii="黑体" w:hAnsi="宋体" w:eastAsia="黑体"/>
          <w:szCs w:val="21"/>
        </w:rPr>
      </w:pPr>
      <w:r>
        <w:rPr>
          <w:rFonts w:hint="eastAsia" w:ascii="黑体" w:hAnsi="宋体" w:eastAsia="黑体"/>
          <w:szCs w:val="21"/>
        </w:rPr>
        <w:t>37．评审方法</w:t>
      </w:r>
    </w:p>
    <w:p>
      <w:pPr>
        <w:ind w:firstLine="422" w:firstLineChars="200"/>
        <w:rPr>
          <w:rFonts w:ascii="宋体" w:hAnsi="宋体"/>
          <w:b/>
          <w:bCs/>
          <w:szCs w:val="21"/>
        </w:rPr>
      </w:pPr>
      <w:r>
        <w:rPr>
          <w:rFonts w:hint="eastAsia" w:ascii="宋体" w:hAnsi="宋体"/>
          <w:b/>
          <w:bCs/>
          <w:szCs w:val="21"/>
        </w:rPr>
        <w:t>37.1.1最低价法</w:t>
      </w:r>
    </w:p>
    <w:p>
      <w:pPr>
        <w:ind w:firstLine="420" w:firstLineChars="200"/>
        <w:rPr>
          <w:rFonts w:ascii="ˎ̥" w:hAnsi="ˎ̥"/>
          <w:szCs w:val="21"/>
        </w:rPr>
      </w:pPr>
      <w:bookmarkStart w:id="82" w:name="_Hlk72438142"/>
      <w:r>
        <w:rPr>
          <w:rFonts w:hint="eastAsia" w:ascii="ˎ̥" w:hAnsi="ˎ̥"/>
          <w:szCs w:val="21"/>
        </w:rPr>
        <w:t>最低价法，是指完全满足招标文件实质性要求，按照报价由低到高的顺序，依据招标文件中规定的数量或者比例推荐候选中标供应商。</w:t>
      </w:r>
    </w:p>
    <w:p>
      <w:pPr>
        <w:ind w:firstLine="422" w:firstLineChars="200"/>
        <w:rPr>
          <w:rFonts w:ascii="宋体" w:hAnsi="宋体"/>
          <w:b/>
          <w:bCs/>
          <w:szCs w:val="21"/>
        </w:rPr>
      </w:pPr>
      <w:r>
        <w:rPr>
          <w:rFonts w:hint="eastAsia" w:ascii="宋体" w:hAnsi="宋体"/>
          <w:b/>
          <w:bCs/>
          <w:szCs w:val="21"/>
        </w:rPr>
        <w:t>37.1.2综合评分法</w:t>
      </w:r>
    </w:p>
    <w:p>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82"/>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22" w:firstLineChars="200"/>
        <w:rPr>
          <w:rFonts w:ascii="宋体" w:hAnsi="宋体"/>
          <w:b/>
          <w:bCs/>
          <w:szCs w:val="21"/>
        </w:rPr>
      </w:pPr>
      <w:r>
        <w:rPr>
          <w:rFonts w:hint="eastAsia" w:ascii="宋体" w:hAnsi="宋体"/>
          <w:b/>
          <w:bCs/>
          <w:szCs w:val="21"/>
        </w:rPr>
        <w:t>37.3重新评审的情形</w:t>
      </w:r>
    </w:p>
    <w:p>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ascii="宋体" w:hAnsi="宋体" w:cs="宋体"/>
          <w:kern w:val="0"/>
          <w:szCs w:val="21"/>
        </w:rPr>
      </w:pPr>
      <w:r>
        <w:rPr>
          <w:rFonts w:hint="eastAsia" w:ascii="宋体" w:hAnsi="宋体" w:cs="宋体"/>
          <w:kern w:val="0"/>
          <w:szCs w:val="21"/>
        </w:rPr>
        <w:t>37.3.1分值汇总计算错误的；</w:t>
      </w:r>
    </w:p>
    <w:p>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ascii="宋体" w:hAnsi="宋体"/>
          <w:b/>
          <w:bCs/>
          <w:szCs w:val="21"/>
        </w:rPr>
      </w:pPr>
      <w:r>
        <w:rPr>
          <w:rFonts w:hint="eastAsia" w:ascii="宋体" w:hAnsi="宋体"/>
          <w:b/>
          <w:bCs/>
          <w:szCs w:val="21"/>
        </w:rPr>
        <w:t xml:space="preserve"> 37.4重新组建评审委员会的情形</w:t>
      </w:r>
    </w:p>
    <w:p>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pPr>
        <w:ind w:firstLine="420" w:firstLineChars="200"/>
        <w:rPr>
          <w:rFonts w:ascii="黑体" w:hAnsi="宋体" w:eastAsia="黑体"/>
          <w:szCs w:val="21"/>
        </w:rPr>
      </w:pPr>
      <w:r>
        <w:rPr>
          <w:rFonts w:hint="eastAsia" w:ascii="黑体" w:hAnsi="宋体" w:eastAsia="黑体"/>
          <w:szCs w:val="21"/>
        </w:rPr>
        <w:t>38．定标方法</w:t>
      </w:r>
    </w:p>
    <w:p>
      <w:pPr>
        <w:ind w:firstLine="420" w:firstLineChars="200"/>
        <w:rPr>
          <w:rFonts w:ascii="宋体" w:hAnsi="宋体"/>
          <w:szCs w:val="21"/>
        </w:rPr>
      </w:pPr>
      <w:bookmarkStart w:id="83" w:name="_Hlk73782795"/>
      <w:r>
        <w:rPr>
          <w:rFonts w:hint="eastAsia" w:ascii="宋体" w:hAnsi="宋体"/>
          <w:szCs w:val="21"/>
        </w:rPr>
        <w:t>38.1非评定分离项目定标方法</w:t>
      </w:r>
    </w:p>
    <w:p>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ind w:firstLine="420" w:firstLineChars="200"/>
        <w:rPr>
          <w:rFonts w:ascii="宋体" w:hAnsi="宋体"/>
          <w:szCs w:val="21"/>
        </w:rPr>
      </w:pPr>
      <w:r>
        <w:rPr>
          <w:rFonts w:hint="eastAsia" w:ascii="宋体" w:hAnsi="宋体"/>
          <w:szCs w:val="21"/>
        </w:rPr>
        <w:t>38.2评定分离项目定标方法</w:t>
      </w:r>
    </w:p>
    <w:p>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hint="eastAsia" w:ascii="宋体" w:hAnsi="宋体"/>
          <w:szCs w:val="21"/>
        </w:rPr>
        <w:t xml:space="preserve">38.2.2 </w:t>
      </w:r>
      <w:bookmarkStart w:id="84"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85"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4"/>
      <w:bookmarkEnd w:id="85"/>
    </w:p>
    <w:p>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pPr>
        <w:ind w:firstLine="420" w:firstLineChars="200"/>
        <w:rPr>
          <w:rFonts w:ascii="宋体" w:hAnsi="宋体"/>
          <w:szCs w:val="21"/>
        </w:rPr>
      </w:pPr>
      <w:r>
        <w:rPr>
          <w:rFonts w:hint="eastAsia" w:ascii="宋体" w:hAnsi="宋体"/>
          <w:szCs w:val="21"/>
        </w:rPr>
        <w:t>38.3专用条款另有规定的，按专用条款相关要求定标。</w:t>
      </w:r>
      <w:bookmarkEnd w:id="83"/>
    </w:p>
    <w:p>
      <w:pPr>
        <w:ind w:firstLine="420" w:firstLineChars="200"/>
        <w:rPr>
          <w:rFonts w:ascii="黑体" w:hAnsi="宋体" w:eastAsia="黑体"/>
          <w:szCs w:val="21"/>
        </w:rPr>
      </w:pPr>
      <w:r>
        <w:rPr>
          <w:rFonts w:hint="eastAsia" w:ascii="黑体" w:hAnsi="宋体" w:eastAsia="黑体"/>
          <w:szCs w:val="21"/>
        </w:rPr>
        <w:t>39．编写评审报告</w:t>
      </w:r>
    </w:p>
    <w:p>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ascii="黑体" w:hAnsi="宋体" w:eastAsia="黑体"/>
          <w:szCs w:val="21"/>
        </w:rPr>
      </w:pPr>
      <w:r>
        <w:rPr>
          <w:rFonts w:hint="eastAsia" w:ascii="黑体" w:hAnsi="宋体" w:eastAsia="黑体"/>
          <w:szCs w:val="21"/>
        </w:rPr>
        <w:t>40．中标公告</w:t>
      </w:r>
    </w:p>
    <w:p>
      <w:pPr>
        <w:ind w:firstLine="420" w:firstLineChars="200"/>
        <w:rPr>
          <w:rFonts w:ascii="宋体" w:hAnsi="宋体"/>
          <w:szCs w:val="21"/>
          <w:highlight w:val="none"/>
        </w:rPr>
      </w:pPr>
      <w:r>
        <w:rPr>
          <w:rFonts w:hint="eastAsia" w:ascii="宋体" w:hAnsi="宋体"/>
          <w:szCs w:val="21"/>
        </w:rPr>
        <w:t>40.1</w:t>
      </w:r>
      <w:bookmarkStart w:id="86"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6"/>
      <w:bookmarkStart w:id="87"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87"/>
    <w:p>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pPr>
        <w:ind w:firstLine="420" w:firstLineChars="200"/>
        <w:rPr>
          <w:rFonts w:ascii="宋体" w:hAnsi="宋体"/>
          <w:szCs w:val="21"/>
          <w:highlight w:val="none"/>
        </w:rPr>
      </w:pPr>
      <w:r>
        <w:rPr>
          <w:rFonts w:hint="eastAsia" w:ascii="宋体" w:hAnsi="宋体"/>
          <w:szCs w:val="21"/>
          <w:highlight w:val="none"/>
        </w:rPr>
        <w:t>41.1</w:t>
      </w:r>
      <w:bookmarkStart w:id="88"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8"/>
    </w:p>
    <w:p>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pPr>
        <w:ind w:firstLine="420" w:firstLineChars="200"/>
        <w:rPr>
          <w:rFonts w:ascii="宋体" w:hAnsi="宋体"/>
          <w:szCs w:val="21"/>
        </w:rPr>
      </w:pPr>
      <w:bookmarkStart w:id="89"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89"/>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pPr>
        <w:ind w:firstLine="420" w:firstLineChars="200"/>
        <w:rPr>
          <w:rFonts w:ascii="黑体" w:hAnsi="宋体" w:eastAsia="黑体"/>
          <w:szCs w:val="21"/>
        </w:rPr>
      </w:pPr>
      <w:r>
        <w:rPr>
          <w:rFonts w:hint="eastAsia" w:ascii="黑体" w:hAnsi="宋体" w:eastAsia="黑体"/>
          <w:szCs w:val="21"/>
        </w:rPr>
        <w:t>42．公开招标失败的处理</w:t>
      </w:r>
    </w:p>
    <w:p>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90" w:name="_Hlk72439043"/>
      <w:r>
        <w:rPr>
          <w:rFonts w:hint="eastAsia" w:ascii="Cambria" w:hAnsi="Cambria" w:cs="宋体"/>
          <w:b/>
          <w:bCs/>
          <w:sz w:val="28"/>
          <w:szCs w:val="28"/>
        </w:rPr>
        <w:t>合同的授予与备案</w:t>
      </w:r>
      <w:bookmarkEnd w:id="90"/>
    </w:p>
    <w:p>
      <w:pPr>
        <w:ind w:firstLine="420" w:firstLineChars="200"/>
        <w:rPr>
          <w:rFonts w:ascii="黑体" w:hAnsi="宋体" w:eastAsia="黑体"/>
          <w:szCs w:val="21"/>
        </w:rPr>
      </w:pPr>
      <w:bookmarkStart w:id="91" w:name="_Toc100052408"/>
      <w:bookmarkStart w:id="92" w:name="_Toc73517679"/>
      <w:bookmarkStart w:id="93" w:name="_Toc73521674"/>
      <w:bookmarkStart w:id="94" w:name="_Toc73518157"/>
      <w:bookmarkStart w:id="95" w:name="_Toc73521586"/>
      <w:bookmarkStart w:id="96" w:name="_Hlk72439088"/>
      <w:r>
        <w:rPr>
          <w:rFonts w:hint="eastAsia" w:ascii="黑体" w:hAnsi="宋体" w:eastAsia="黑体"/>
          <w:szCs w:val="21"/>
        </w:rPr>
        <w:t>43．合同授予标准</w:t>
      </w:r>
      <w:bookmarkEnd w:id="91"/>
      <w:bookmarkEnd w:id="92"/>
      <w:bookmarkEnd w:id="93"/>
      <w:bookmarkEnd w:id="94"/>
      <w:bookmarkEnd w:id="95"/>
    </w:p>
    <w:p>
      <w:pPr>
        <w:ind w:firstLine="420" w:firstLineChars="200"/>
        <w:rPr>
          <w:rFonts w:ascii="宋体" w:hAnsi="宋体"/>
          <w:szCs w:val="21"/>
        </w:rPr>
      </w:pPr>
      <w:r>
        <w:rPr>
          <w:rFonts w:hint="eastAsia" w:ascii="宋体" w:hAnsi="宋体"/>
          <w:szCs w:val="21"/>
        </w:rPr>
        <w:t>本项目的合同将授予经本招标文件规定评审确定的中标供应商。</w:t>
      </w:r>
    </w:p>
    <w:p>
      <w:pPr>
        <w:ind w:firstLine="420" w:firstLineChars="200"/>
        <w:rPr>
          <w:rFonts w:ascii="黑体" w:hAnsi="宋体" w:eastAsia="黑体"/>
          <w:szCs w:val="21"/>
          <w:highlight w:val="none"/>
        </w:rPr>
      </w:pPr>
      <w:bookmarkStart w:id="97" w:name="_Toc73521587"/>
      <w:bookmarkStart w:id="98" w:name="_Toc73521675"/>
      <w:bookmarkStart w:id="99" w:name="_Toc73518158"/>
      <w:bookmarkStart w:id="100" w:name="_Toc100052409"/>
      <w:bookmarkStart w:id="101" w:name="_Toc73517680"/>
      <w:r>
        <w:rPr>
          <w:rFonts w:hint="eastAsia" w:ascii="黑体" w:hAnsi="宋体" w:eastAsia="黑体"/>
          <w:szCs w:val="21"/>
        </w:rPr>
        <w:t>44．</w:t>
      </w:r>
      <w:bookmarkEnd w:id="97"/>
      <w:bookmarkEnd w:id="98"/>
      <w:bookmarkEnd w:id="99"/>
      <w:bookmarkEnd w:id="100"/>
      <w:bookmarkEnd w:id="101"/>
      <w:r>
        <w:rPr>
          <w:rFonts w:hint="eastAsia" w:ascii="黑体" w:hAnsi="宋体" w:eastAsia="黑体"/>
          <w:szCs w:val="21"/>
          <w:highlight w:val="none"/>
        </w:rPr>
        <w:t>接受和拒绝任何或所有投标的权力</w:t>
      </w:r>
    </w:p>
    <w:p>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ascii="黑体" w:hAnsi="宋体" w:eastAsia="黑体"/>
          <w:szCs w:val="21"/>
        </w:rPr>
      </w:pPr>
      <w:bookmarkStart w:id="102" w:name="_Toc73521589"/>
      <w:bookmarkStart w:id="103" w:name="_Toc73518160"/>
      <w:bookmarkStart w:id="104" w:name="_Toc73517682"/>
      <w:bookmarkStart w:id="105" w:name="_Toc73521677"/>
      <w:bookmarkStart w:id="106" w:name="_Toc100052410"/>
      <w:r>
        <w:rPr>
          <w:rFonts w:hint="eastAsia" w:ascii="黑体" w:hAnsi="宋体" w:eastAsia="黑体"/>
          <w:szCs w:val="21"/>
        </w:rPr>
        <w:t>45．合同的签订</w:t>
      </w:r>
      <w:bookmarkEnd w:id="102"/>
      <w:bookmarkEnd w:id="103"/>
      <w:bookmarkEnd w:id="104"/>
      <w:bookmarkEnd w:id="105"/>
      <w:bookmarkEnd w:id="106"/>
    </w:p>
    <w:p>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pPr>
        <w:ind w:firstLine="420" w:firstLineChars="200"/>
        <w:rPr>
          <w:rFonts w:ascii="黑体" w:hAnsi="宋体" w:eastAsia="黑体"/>
          <w:szCs w:val="21"/>
        </w:rPr>
      </w:pPr>
      <w:bookmarkStart w:id="107" w:name="_Toc73517683"/>
      <w:bookmarkStart w:id="108" w:name="_Toc73521678"/>
      <w:bookmarkStart w:id="109" w:name="_Toc73518161"/>
      <w:bookmarkStart w:id="110" w:name="_Toc73521590"/>
      <w:bookmarkStart w:id="111" w:name="_Toc100052411"/>
      <w:r>
        <w:rPr>
          <w:rFonts w:hint="eastAsia" w:ascii="黑体" w:hAnsi="宋体" w:eastAsia="黑体"/>
          <w:szCs w:val="21"/>
        </w:rPr>
        <w:t>46．履约担保</w:t>
      </w:r>
      <w:bookmarkEnd w:id="107"/>
      <w:bookmarkEnd w:id="108"/>
      <w:bookmarkEnd w:id="109"/>
      <w:bookmarkEnd w:id="110"/>
      <w:bookmarkEnd w:id="111"/>
    </w:p>
    <w:p>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pPr>
        <w:ind w:firstLine="420" w:firstLineChars="200"/>
        <w:rPr>
          <w:rFonts w:ascii="黑体" w:hAnsi="宋体" w:eastAsia="黑体"/>
          <w:szCs w:val="21"/>
        </w:rPr>
      </w:pPr>
      <w:r>
        <w:rPr>
          <w:rFonts w:hint="eastAsia" w:ascii="黑体" w:hAnsi="宋体" w:eastAsia="黑体"/>
          <w:szCs w:val="21"/>
        </w:rPr>
        <w:t>47. 合同备案</w:t>
      </w:r>
    </w:p>
    <w:p>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pPr>
        <w:ind w:firstLine="420" w:firstLineChars="200"/>
        <w:rPr>
          <w:rFonts w:ascii="黑体" w:hAnsi="宋体" w:eastAsia="黑体"/>
          <w:szCs w:val="21"/>
        </w:rPr>
      </w:pPr>
      <w:r>
        <w:rPr>
          <w:rFonts w:hint="eastAsia" w:ascii="黑体" w:hAnsi="宋体" w:eastAsia="黑体"/>
          <w:szCs w:val="21"/>
        </w:rPr>
        <w:t>48. 合同变更</w:t>
      </w:r>
    </w:p>
    <w:p>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ascii="黑体" w:hAnsi="宋体" w:eastAsia="黑体"/>
          <w:szCs w:val="21"/>
        </w:rPr>
      </w:pPr>
      <w:r>
        <w:rPr>
          <w:rFonts w:hint="eastAsia" w:ascii="黑体" w:hAnsi="宋体" w:eastAsia="黑体"/>
          <w:szCs w:val="21"/>
        </w:rPr>
        <w:t>49. 项目验收</w:t>
      </w:r>
    </w:p>
    <w:p>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pPr>
        <w:ind w:firstLine="420" w:firstLineChars="200"/>
        <w:rPr>
          <w:rFonts w:ascii="黑体" w:hAnsi="宋体" w:eastAsia="黑体"/>
          <w:szCs w:val="21"/>
        </w:rPr>
      </w:pPr>
      <w:r>
        <w:rPr>
          <w:rFonts w:hint="eastAsia" w:ascii="黑体" w:hAnsi="宋体" w:eastAsia="黑体"/>
          <w:szCs w:val="21"/>
        </w:rPr>
        <w:t>50. 宣传</w:t>
      </w:r>
    </w:p>
    <w:p>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ascii="宋体" w:hAnsi="宋体"/>
          <w:szCs w:val="21"/>
        </w:rPr>
      </w:pPr>
      <w:r>
        <w:rPr>
          <w:rFonts w:hint="eastAsia" w:ascii="宋体" w:hAnsi="宋体"/>
          <w:szCs w:val="21"/>
        </w:rPr>
        <w:t>a.名片、宣传册、广告标语等；</w:t>
      </w:r>
    </w:p>
    <w:p>
      <w:pPr>
        <w:ind w:firstLine="420" w:firstLineChars="200"/>
        <w:rPr>
          <w:rFonts w:ascii="宋体" w:hAnsi="宋体"/>
          <w:szCs w:val="21"/>
        </w:rPr>
      </w:pPr>
      <w:r>
        <w:rPr>
          <w:rFonts w:hint="eastAsia" w:ascii="宋体" w:hAnsi="宋体"/>
          <w:szCs w:val="21"/>
        </w:rPr>
        <w:t>b.案例介绍、推广等；</w:t>
      </w:r>
    </w:p>
    <w:p>
      <w:pPr>
        <w:ind w:firstLine="420" w:firstLineChars="200"/>
        <w:rPr>
          <w:rFonts w:ascii="宋体" w:hAnsi="宋体"/>
          <w:szCs w:val="21"/>
        </w:rPr>
      </w:pPr>
      <w:r>
        <w:rPr>
          <w:rFonts w:hint="eastAsia" w:ascii="宋体" w:hAnsi="宋体"/>
          <w:szCs w:val="21"/>
        </w:rPr>
        <w:t>c.工作人员向其他消费群体宣传。</w:t>
      </w:r>
    </w:p>
    <w:p>
      <w:pPr>
        <w:ind w:firstLine="420" w:firstLineChars="200"/>
        <w:rPr>
          <w:rFonts w:ascii="黑体" w:hAnsi="宋体" w:eastAsia="黑体"/>
          <w:szCs w:val="21"/>
        </w:rPr>
      </w:pPr>
      <w:r>
        <w:rPr>
          <w:rFonts w:hint="eastAsia" w:ascii="黑体" w:hAnsi="宋体" w:eastAsia="黑体"/>
          <w:szCs w:val="21"/>
        </w:rPr>
        <w:t>51. 供应商违法责任</w:t>
      </w:r>
    </w:p>
    <w:p>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ascii="宋体" w:hAnsi="宋体"/>
          <w:szCs w:val="21"/>
        </w:rPr>
      </w:pPr>
      <w:r>
        <w:rPr>
          <w:rFonts w:hint="eastAsia" w:ascii="宋体" w:hAnsi="宋体"/>
          <w:szCs w:val="21"/>
        </w:rPr>
        <w:t>（1）在采购活动中应当回避而未回避的；</w:t>
      </w:r>
    </w:p>
    <w:p>
      <w:pPr>
        <w:ind w:firstLine="420" w:firstLineChars="200"/>
        <w:rPr>
          <w:rFonts w:ascii="宋体" w:hAnsi="宋体"/>
          <w:szCs w:val="21"/>
        </w:rPr>
      </w:pPr>
      <w:r>
        <w:rPr>
          <w:rFonts w:hint="eastAsia" w:ascii="宋体" w:hAnsi="宋体"/>
          <w:szCs w:val="21"/>
        </w:rPr>
        <w:t>（2）未按本条例规定签订、履行采购合同，造成严重后果的；</w:t>
      </w:r>
    </w:p>
    <w:p>
      <w:pPr>
        <w:ind w:firstLine="420" w:firstLineChars="200"/>
        <w:rPr>
          <w:rFonts w:ascii="宋体" w:hAnsi="宋体"/>
          <w:szCs w:val="21"/>
        </w:rPr>
      </w:pPr>
      <w:r>
        <w:rPr>
          <w:rFonts w:hint="eastAsia" w:ascii="宋体" w:hAnsi="宋体"/>
          <w:szCs w:val="21"/>
        </w:rPr>
        <w:t>（3）隐瞒真实情况，提供虚假资料的；</w:t>
      </w:r>
    </w:p>
    <w:p>
      <w:pPr>
        <w:ind w:firstLine="420" w:firstLineChars="200"/>
        <w:rPr>
          <w:rFonts w:ascii="宋体" w:hAnsi="宋体"/>
          <w:szCs w:val="21"/>
        </w:rPr>
      </w:pPr>
      <w:r>
        <w:rPr>
          <w:rFonts w:hint="eastAsia" w:ascii="宋体" w:hAnsi="宋体"/>
          <w:szCs w:val="21"/>
        </w:rPr>
        <w:t>（4）以非法手段排斥其他供应商参与竞争的；</w:t>
      </w:r>
    </w:p>
    <w:p>
      <w:pPr>
        <w:ind w:firstLine="420" w:firstLineChars="200"/>
        <w:rPr>
          <w:rFonts w:ascii="宋体" w:hAnsi="宋体"/>
          <w:szCs w:val="21"/>
        </w:rPr>
      </w:pPr>
      <w:r>
        <w:rPr>
          <w:rFonts w:hint="eastAsia" w:ascii="宋体" w:hAnsi="宋体"/>
          <w:szCs w:val="21"/>
        </w:rPr>
        <w:t>（5）与其他采购参加人串通投标的；</w:t>
      </w:r>
    </w:p>
    <w:p>
      <w:pPr>
        <w:ind w:firstLine="420" w:firstLineChars="200"/>
        <w:rPr>
          <w:rFonts w:ascii="宋体" w:hAnsi="宋体"/>
          <w:szCs w:val="21"/>
        </w:rPr>
      </w:pPr>
      <w:r>
        <w:rPr>
          <w:rFonts w:hint="eastAsia" w:ascii="宋体" w:hAnsi="宋体"/>
          <w:szCs w:val="21"/>
        </w:rPr>
        <w:t>（6）恶意投诉的；</w:t>
      </w:r>
    </w:p>
    <w:p>
      <w:pPr>
        <w:ind w:firstLine="420" w:firstLineChars="200"/>
        <w:rPr>
          <w:rFonts w:ascii="宋体" w:hAnsi="宋体"/>
          <w:szCs w:val="21"/>
        </w:rPr>
      </w:pPr>
      <w:r>
        <w:rPr>
          <w:rFonts w:hint="eastAsia" w:ascii="宋体" w:hAnsi="宋体"/>
          <w:szCs w:val="21"/>
        </w:rPr>
        <w:t>（7）向采购项目相关人行贿或者提供其他不当利益的；</w:t>
      </w:r>
    </w:p>
    <w:p>
      <w:pPr>
        <w:ind w:firstLine="420" w:firstLineChars="200"/>
        <w:rPr>
          <w:rFonts w:ascii="宋体" w:hAnsi="宋体"/>
          <w:szCs w:val="21"/>
        </w:rPr>
      </w:pPr>
      <w:r>
        <w:rPr>
          <w:rFonts w:hint="eastAsia" w:ascii="宋体" w:hAnsi="宋体"/>
          <w:szCs w:val="21"/>
        </w:rPr>
        <w:t>（8）阻碍、抗拒主管部门监督检查的；</w:t>
      </w:r>
    </w:p>
    <w:p>
      <w:pPr>
        <w:ind w:firstLine="420" w:firstLineChars="200"/>
        <w:rPr>
          <w:rFonts w:ascii="宋体" w:hAnsi="宋体"/>
          <w:szCs w:val="21"/>
        </w:rPr>
      </w:pPr>
      <w:r>
        <w:rPr>
          <w:rFonts w:hint="eastAsia" w:ascii="宋体" w:hAnsi="宋体"/>
          <w:szCs w:val="21"/>
        </w:rPr>
        <w:t>（9）其他违反本条例规定的行为。</w:t>
      </w:r>
    </w:p>
    <w:p>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112"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12"/>
      <w:r>
        <w:rPr>
          <w:rFonts w:hint="eastAsia" w:ascii="宋体" w:hAnsi="宋体"/>
          <w:szCs w:val="21"/>
          <w:highlight w:val="none"/>
        </w:rPr>
        <w:t>记入供应商诚信档案，予以通报：</w:t>
      </w:r>
    </w:p>
    <w:p>
      <w:pPr>
        <w:ind w:firstLine="420" w:firstLineChars="200"/>
        <w:rPr>
          <w:rFonts w:ascii="宋体" w:hAnsi="宋体"/>
          <w:szCs w:val="21"/>
          <w:highlight w:val="none"/>
        </w:rPr>
      </w:pPr>
      <w:r>
        <w:rPr>
          <w:rFonts w:hint="eastAsia" w:ascii="宋体" w:hAnsi="宋体"/>
          <w:szCs w:val="21"/>
          <w:highlight w:val="none"/>
        </w:rPr>
        <w:t>（1）投标截止后，撤销投标的；</w:t>
      </w:r>
    </w:p>
    <w:p>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pPr>
        <w:ind w:firstLine="420" w:firstLineChars="200"/>
        <w:rPr>
          <w:highlight w:val="none"/>
        </w:rPr>
      </w:pPr>
      <w:r>
        <w:rPr>
          <w:rFonts w:hint="eastAsia" w:ascii="宋体" w:hAnsi="宋体"/>
          <w:szCs w:val="21"/>
          <w:highlight w:val="none"/>
        </w:rPr>
        <w:t>（4）拒绝履行合同义务的。</w:t>
      </w:r>
    </w:p>
    <w:bookmarkEnd w:id="96"/>
    <w:p>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pPr>
        <w:ind w:firstLine="420" w:firstLineChars="200"/>
        <w:rPr>
          <w:rFonts w:ascii="黑体" w:hAnsi="宋体" w:eastAsia="黑体"/>
          <w:szCs w:val="21"/>
        </w:rPr>
      </w:pPr>
      <w:r>
        <w:rPr>
          <w:rFonts w:hint="eastAsia" w:ascii="黑体" w:hAnsi="宋体" w:eastAsia="黑体"/>
          <w:szCs w:val="21"/>
        </w:rPr>
        <w:t>52.质疑提出与答复</w:t>
      </w:r>
    </w:p>
    <w:p>
      <w:pPr>
        <w:ind w:firstLine="420" w:firstLineChars="200"/>
        <w:rPr>
          <w:rFonts w:ascii="宋体" w:hAnsi="宋体"/>
          <w:szCs w:val="21"/>
        </w:rPr>
      </w:pPr>
      <w:r>
        <w:rPr>
          <w:rFonts w:hint="eastAsia" w:ascii="宋体" w:hAnsi="宋体"/>
          <w:szCs w:val="21"/>
        </w:rPr>
        <w:t>52.1提出质疑</w:t>
      </w:r>
    </w:p>
    <w:p>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pPr>
        <w:ind w:firstLine="420" w:firstLineChars="200"/>
        <w:rPr>
          <w:rFonts w:ascii="宋体" w:hAnsi="宋体"/>
          <w:szCs w:val="21"/>
        </w:rPr>
      </w:pPr>
      <w:r>
        <w:rPr>
          <w:rFonts w:hint="eastAsia" w:ascii="宋体" w:hAnsi="宋体"/>
          <w:szCs w:val="21"/>
        </w:rPr>
        <w:t>52.2法律依据</w:t>
      </w:r>
    </w:p>
    <w:p>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ind w:firstLine="420" w:firstLineChars="200"/>
        <w:rPr>
          <w:rFonts w:ascii="宋体" w:hAnsi="宋体"/>
          <w:szCs w:val="21"/>
        </w:rPr>
      </w:pPr>
      <w:r>
        <w:rPr>
          <w:rFonts w:hint="eastAsia" w:ascii="宋体" w:hAnsi="宋体"/>
          <w:szCs w:val="21"/>
        </w:rPr>
        <w:t>52.3质疑条件</w:t>
      </w:r>
    </w:p>
    <w:p>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13" w:name="_Hlk75374941"/>
      <w:r>
        <w:rPr>
          <w:rFonts w:hint="eastAsia" w:ascii="宋体" w:hAnsi="宋体"/>
          <w:szCs w:val="21"/>
        </w:rPr>
        <w:t>以联合体形式参与的，质疑应当由组成联合体的所有成员共同提出</w:t>
      </w:r>
      <w:bookmarkEnd w:id="113"/>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ind w:firstLine="420" w:firstLineChars="200"/>
        <w:rPr>
          <w:rFonts w:ascii="宋体" w:hAnsi="宋体"/>
          <w:szCs w:val="21"/>
        </w:rPr>
      </w:pPr>
      <w:r>
        <w:rPr>
          <w:rFonts w:hint="eastAsia" w:ascii="宋体" w:hAnsi="宋体"/>
          <w:szCs w:val="21"/>
        </w:rPr>
        <w:t xml:space="preserve">52.3.3应提交书面质疑函，质疑函应当包括以下内容： </w:t>
      </w:r>
    </w:p>
    <w:p>
      <w:pPr>
        <w:ind w:firstLine="420" w:firstLineChars="20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52.6收文办理程序</w:t>
      </w:r>
    </w:p>
    <w:p>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pPr>
        <w:ind w:firstLine="420" w:firstLineChars="200"/>
        <w:rPr>
          <w:rFonts w:ascii="宋体" w:hAnsi="宋体"/>
          <w:szCs w:val="21"/>
        </w:rPr>
      </w:pPr>
      <w:r>
        <w:rPr>
          <w:rFonts w:hint="eastAsia" w:ascii="宋体" w:hAnsi="宋体"/>
          <w:szCs w:val="21"/>
        </w:rPr>
        <w:t>52.7质疑答复时限</w:t>
      </w:r>
    </w:p>
    <w:p>
      <w:pPr>
        <w:ind w:firstLine="420" w:firstLineChars="200"/>
        <w:rPr>
          <w:rFonts w:ascii="宋体" w:hAnsi="宋体"/>
          <w:szCs w:val="21"/>
        </w:rPr>
      </w:pPr>
      <w:r>
        <w:rPr>
          <w:rFonts w:hint="eastAsia" w:ascii="宋体" w:hAnsi="宋体"/>
          <w:szCs w:val="21"/>
        </w:rPr>
        <w:t>自收文之日起七个工作日内。</w:t>
      </w:r>
    </w:p>
    <w:p>
      <w:pPr>
        <w:ind w:firstLine="420" w:firstLineChars="200"/>
        <w:rPr>
          <w:rFonts w:ascii="宋体" w:hAnsi="宋体"/>
          <w:szCs w:val="21"/>
        </w:rPr>
      </w:pPr>
      <w:r>
        <w:rPr>
          <w:rFonts w:hint="eastAsia" w:ascii="宋体" w:hAnsi="宋体"/>
          <w:szCs w:val="21"/>
        </w:rPr>
        <w:t>52.8投诉</w:t>
      </w:r>
    </w:p>
    <w:p>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pPr>
        <w:ind w:firstLine="420" w:firstLineChars="200"/>
        <w:rPr>
          <w:rFonts w:ascii="黑体" w:hAnsi="宋体" w:eastAsia="黑体"/>
          <w:szCs w:val="21"/>
        </w:rPr>
      </w:pPr>
      <w:r>
        <w:rPr>
          <w:rFonts w:hint="eastAsia" w:ascii="黑体" w:hAnsi="宋体" w:eastAsia="黑体"/>
          <w:szCs w:val="21"/>
        </w:rPr>
        <w:t>53.质疑后续处理</w:t>
      </w:r>
    </w:p>
    <w:p>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pPr>
        <w:jc w:val="center"/>
      </w:pPr>
      <w:r>
        <w:t>---- END ----</w:t>
      </w:r>
      <w:bookmarkEnd w:id="60"/>
    </w:p>
    <w:p>
      <w:pPr>
        <w:rPr>
          <w:rFonts w:ascii="宋体" w:hAnsi="宋体"/>
          <w:szCs w:val="21"/>
        </w:rPr>
      </w:pPr>
    </w:p>
    <w:p>
      <w:pPr>
        <w:pStyle w:val="5"/>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90F4F2-227F-4DA7-8B18-E81A47090158}"/>
  </w:font>
  <w:font w:name="黑体">
    <w:panose1 w:val="02010609060101010101"/>
    <w:charset w:val="86"/>
    <w:family w:val="auto"/>
    <w:pitch w:val="default"/>
    <w:sig w:usb0="800002BF" w:usb1="38CF7CFA" w:usb2="00000016" w:usb3="00000000" w:csb0="00040001" w:csb1="00000000"/>
    <w:embedRegular r:id="rId2" w:fontKey="{3C20E315-826C-40B8-B8F3-3F78E3E3A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D1F2CA7-B2DE-4D91-A8DF-80D059F0445E}"/>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4" w:fontKey="{0A1F973F-70BF-49A4-B36D-FF50999B8ADA}"/>
  </w:font>
  <w:font w:name="ˎ̥">
    <w:altName w:val="Times New Roman"/>
    <w:panose1 w:val="00000000000000000000"/>
    <w:charset w:val="00"/>
    <w:family w:val="roman"/>
    <w:pitch w:val="default"/>
    <w:sig w:usb0="00000000" w:usb1="00000000" w:usb2="00000000" w:usb3="00000000" w:csb0="00040001" w:csb1="00000000"/>
    <w:embedRegular r:id="rId5" w:fontKey="{ABFE631B-81AD-4814-83C8-092207974F0B}"/>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embedRegular r:id="rId6" w:fontKey="{EC2654DF-3CFC-4000-BC18-556BF6B990A0}"/>
  </w:font>
  <w:font w:name="仿宋">
    <w:panose1 w:val="02010609060101010101"/>
    <w:charset w:val="86"/>
    <w:family w:val="modern"/>
    <w:pitch w:val="default"/>
    <w:sig w:usb0="800002BF" w:usb1="38CF7CFA" w:usb2="00000016" w:usb3="00000000" w:csb0="00040001" w:csb1="00000000"/>
    <w:embedRegular r:id="rId7" w:fontKey="{1092B76A-E535-4D8B-9B58-93CEAD07E212}"/>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C8FFDF2"/>
    <w:multiLevelType w:val="singleLevel"/>
    <w:tmpl w:val="7C8FFDF2"/>
    <w:lvl w:ilvl="0" w:tentative="0">
      <w:start w:val="2"/>
      <w:numFmt w:val="chineseCounting"/>
      <w:suff w:val="nothing"/>
      <w:lvlText w:val="（%1）"/>
      <w:lvlJc w:val="left"/>
      <w:rPr>
        <w:rFonts w:hint="eastAsia"/>
      </w:r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8"/>
  </w:num>
  <w:num w:numId="6">
    <w:abstractNumId w:val="7"/>
  </w:num>
  <w:num w:numId="7">
    <w:abstractNumId w:val="9"/>
  </w:num>
  <w:num w:numId="8">
    <w:abstractNumId w:val="1"/>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白熊与小花花">
    <w15:presenceInfo w15:providerId="WPS Office" w15:userId="1883339839"/>
  </w15:person>
  <w15:person w15:author="政府采购业务部吴工">
    <w15:presenceInfo w15:providerId="None" w15:userId="政府采购业务部吴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NGZhN2ExYjUxMDkzYzQxZDdkYjEyMWJiYjNmMjI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21967E1"/>
    <w:rsid w:val="021B4775"/>
    <w:rsid w:val="02671768"/>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7FB6BDB"/>
    <w:rsid w:val="080D690E"/>
    <w:rsid w:val="08204893"/>
    <w:rsid w:val="08444A26"/>
    <w:rsid w:val="086F7E62"/>
    <w:rsid w:val="08A059D4"/>
    <w:rsid w:val="08C07E24"/>
    <w:rsid w:val="08C276F9"/>
    <w:rsid w:val="08CB2A51"/>
    <w:rsid w:val="08E27D9B"/>
    <w:rsid w:val="09095DE2"/>
    <w:rsid w:val="09300B06"/>
    <w:rsid w:val="093A1D5C"/>
    <w:rsid w:val="09905A49"/>
    <w:rsid w:val="0992531D"/>
    <w:rsid w:val="099512B1"/>
    <w:rsid w:val="09AB2883"/>
    <w:rsid w:val="09AD65FB"/>
    <w:rsid w:val="09B5725D"/>
    <w:rsid w:val="09E55D95"/>
    <w:rsid w:val="09EA6F07"/>
    <w:rsid w:val="09F07824"/>
    <w:rsid w:val="0A287A2F"/>
    <w:rsid w:val="0A375EC4"/>
    <w:rsid w:val="0A40746F"/>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1B1F9F"/>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949E7"/>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05415"/>
    <w:rsid w:val="19E35721"/>
    <w:rsid w:val="19EA2F53"/>
    <w:rsid w:val="19EA6260"/>
    <w:rsid w:val="1A4474E8"/>
    <w:rsid w:val="1A7F369B"/>
    <w:rsid w:val="1A8E1B30"/>
    <w:rsid w:val="1A96278C"/>
    <w:rsid w:val="1AAB26E2"/>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E612F"/>
    <w:rsid w:val="1F9000F9"/>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172B97"/>
    <w:rsid w:val="242751B3"/>
    <w:rsid w:val="242E1C8E"/>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D72D69"/>
    <w:rsid w:val="27E45486"/>
    <w:rsid w:val="27E6278A"/>
    <w:rsid w:val="284321AC"/>
    <w:rsid w:val="28771E56"/>
    <w:rsid w:val="28A16ED3"/>
    <w:rsid w:val="28C768EF"/>
    <w:rsid w:val="28DD6E23"/>
    <w:rsid w:val="28F90ABD"/>
    <w:rsid w:val="2903193C"/>
    <w:rsid w:val="29422464"/>
    <w:rsid w:val="29564161"/>
    <w:rsid w:val="29785E86"/>
    <w:rsid w:val="29C70BBB"/>
    <w:rsid w:val="2A31206B"/>
    <w:rsid w:val="2A36061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38113B"/>
    <w:rsid w:val="2F603644"/>
    <w:rsid w:val="2F904782"/>
    <w:rsid w:val="2FCD4A51"/>
    <w:rsid w:val="2FE34275"/>
    <w:rsid w:val="2FF43D8C"/>
    <w:rsid w:val="30006A18"/>
    <w:rsid w:val="30045057"/>
    <w:rsid w:val="302C5C1C"/>
    <w:rsid w:val="302D729E"/>
    <w:rsid w:val="303A20E7"/>
    <w:rsid w:val="30667B76"/>
    <w:rsid w:val="307410C2"/>
    <w:rsid w:val="30B26121"/>
    <w:rsid w:val="30D75B88"/>
    <w:rsid w:val="30E327D8"/>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4A5420"/>
    <w:rsid w:val="3667175C"/>
    <w:rsid w:val="366C4FC4"/>
    <w:rsid w:val="366E68DA"/>
    <w:rsid w:val="36806379"/>
    <w:rsid w:val="373D24BC"/>
    <w:rsid w:val="374B4BD9"/>
    <w:rsid w:val="376637C1"/>
    <w:rsid w:val="376712E7"/>
    <w:rsid w:val="377D6D5D"/>
    <w:rsid w:val="37D42E21"/>
    <w:rsid w:val="37F012DD"/>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24BC0"/>
    <w:rsid w:val="3CD613E9"/>
    <w:rsid w:val="3CDB69FF"/>
    <w:rsid w:val="3CE5162C"/>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C40AD3"/>
    <w:rsid w:val="4AF34F14"/>
    <w:rsid w:val="4B110B90"/>
    <w:rsid w:val="4B1F21AD"/>
    <w:rsid w:val="4B2E05DC"/>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C15D6C"/>
    <w:rsid w:val="51C4760A"/>
    <w:rsid w:val="51E952C3"/>
    <w:rsid w:val="5268443A"/>
    <w:rsid w:val="527821A3"/>
    <w:rsid w:val="52C8137C"/>
    <w:rsid w:val="52D23FA9"/>
    <w:rsid w:val="52E066C6"/>
    <w:rsid w:val="52F263F9"/>
    <w:rsid w:val="53083749"/>
    <w:rsid w:val="5334431C"/>
    <w:rsid w:val="53373E0C"/>
    <w:rsid w:val="535B75CD"/>
    <w:rsid w:val="536410A5"/>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9161F"/>
    <w:rsid w:val="54F46459"/>
    <w:rsid w:val="552923C2"/>
    <w:rsid w:val="555869E7"/>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E14FA"/>
    <w:rsid w:val="5B0D2022"/>
    <w:rsid w:val="5B386973"/>
    <w:rsid w:val="5B411CCC"/>
    <w:rsid w:val="5B5315B3"/>
    <w:rsid w:val="5B9242D5"/>
    <w:rsid w:val="5BBC1352"/>
    <w:rsid w:val="5BC30933"/>
    <w:rsid w:val="5BD62414"/>
    <w:rsid w:val="5C1B17B8"/>
    <w:rsid w:val="5C2C64D8"/>
    <w:rsid w:val="5C3A25B5"/>
    <w:rsid w:val="5C423F4D"/>
    <w:rsid w:val="5C6706D6"/>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A03FBA"/>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6C3DE9"/>
    <w:rsid w:val="65842EE1"/>
    <w:rsid w:val="658A426F"/>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E1648C"/>
    <w:rsid w:val="6808604B"/>
    <w:rsid w:val="681D761D"/>
    <w:rsid w:val="682B1D3A"/>
    <w:rsid w:val="68336E40"/>
    <w:rsid w:val="68492AD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CA5B51"/>
    <w:rsid w:val="6DE55656"/>
    <w:rsid w:val="6DFB0400"/>
    <w:rsid w:val="6E261BA7"/>
    <w:rsid w:val="6E5A3E2A"/>
    <w:rsid w:val="6E657628"/>
    <w:rsid w:val="6E8B52E0"/>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2241AD"/>
    <w:rsid w:val="72536115"/>
    <w:rsid w:val="725E2D0C"/>
    <w:rsid w:val="727A7B45"/>
    <w:rsid w:val="72C963D7"/>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3605F"/>
    <w:rsid w:val="740873D3"/>
    <w:rsid w:val="743326A2"/>
    <w:rsid w:val="746565D3"/>
    <w:rsid w:val="74827185"/>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05060"/>
    <w:rsid w:val="781520BE"/>
    <w:rsid w:val="782567A5"/>
    <w:rsid w:val="784576F8"/>
    <w:rsid w:val="78564BB1"/>
    <w:rsid w:val="785901FD"/>
    <w:rsid w:val="78767A5E"/>
    <w:rsid w:val="787B63C5"/>
    <w:rsid w:val="788F3C1F"/>
    <w:rsid w:val="78E0447A"/>
    <w:rsid w:val="78E75809"/>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1A3F8B"/>
    <w:rsid w:val="7E413C0D"/>
    <w:rsid w:val="7E4159BB"/>
    <w:rsid w:val="7E5356EF"/>
    <w:rsid w:val="7E816BC7"/>
    <w:rsid w:val="7E9C0E44"/>
    <w:rsid w:val="7E9E4BBC"/>
    <w:rsid w:val="7E9F26E2"/>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2"/>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7"/>
    <w:autoRedefine/>
    <w:qFormat/>
    <w:uiPriority w:val="0"/>
    <w:pPr>
      <w:adjustRightInd w:val="0"/>
      <w:jc w:val="center"/>
      <w:textAlignment w:val="baseline"/>
      <w:outlineLvl w:val="1"/>
    </w:pPr>
    <w:rPr>
      <w:kern w:val="0"/>
      <w:sz w:val="24"/>
      <w:szCs w:val="20"/>
    </w:rPr>
  </w:style>
  <w:style w:type="paragraph" w:styleId="3">
    <w:name w:val="heading 3"/>
    <w:basedOn w:val="4"/>
    <w:next w:val="1"/>
    <w:link w:val="61"/>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9"/>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autoRedefine/>
    <w:qFormat/>
    <w:uiPriority w:val="0"/>
    <w:pPr>
      <w:keepNext/>
      <w:keepLines/>
      <w:spacing w:before="280" w:after="290" w:line="376" w:lineRule="auto"/>
      <w:outlineLvl w:val="4"/>
    </w:pPr>
    <w:rPr>
      <w:b/>
      <w:sz w:val="28"/>
      <w:szCs w:val="20"/>
    </w:rPr>
  </w:style>
  <w:style w:type="paragraph" w:styleId="8">
    <w:name w:val="heading 6"/>
    <w:basedOn w:val="1"/>
    <w:next w:val="7"/>
    <w:link w:val="89"/>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0"/>
    <w:autoRedefine/>
    <w:qFormat/>
    <w:uiPriority w:val="0"/>
    <w:pPr>
      <w:keepNext/>
      <w:keepLines/>
      <w:spacing w:before="240" w:after="64" w:line="320" w:lineRule="auto"/>
      <w:outlineLvl w:val="6"/>
    </w:pPr>
    <w:rPr>
      <w:b/>
      <w:sz w:val="24"/>
      <w:szCs w:val="20"/>
    </w:rPr>
  </w:style>
  <w:style w:type="paragraph" w:styleId="10">
    <w:name w:val="heading 8"/>
    <w:basedOn w:val="1"/>
    <w:next w:val="7"/>
    <w:link w:val="91"/>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2"/>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63"/>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190"/>
    <w:autoRedefine/>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4"/>
    <w:autoRedefine/>
    <w:qFormat/>
    <w:uiPriority w:val="0"/>
    <w:pPr>
      <w:spacing w:after="120"/>
    </w:pPr>
    <w:rPr>
      <w:sz w:val="16"/>
      <w:szCs w:val="16"/>
    </w:rPr>
  </w:style>
  <w:style w:type="paragraph" w:styleId="18">
    <w:name w:val="Body Text"/>
    <w:basedOn w:val="1"/>
    <w:next w:val="19"/>
    <w:link w:val="98"/>
    <w:autoRedefine/>
    <w:qFormat/>
    <w:uiPriority w:val="0"/>
    <w:pPr>
      <w:spacing w:line="360" w:lineRule="auto"/>
    </w:pPr>
    <w:rPr>
      <w:b/>
      <w:bCs/>
      <w:sz w:val="24"/>
    </w:rPr>
  </w:style>
  <w:style w:type="paragraph" w:styleId="19">
    <w:name w:val="Body Text 2"/>
    <w:basedOn w:val="1"/>
    <w:link w:val="102"/>
    <w:autoRedefine/>
    <w:qFormat/>
    <w:uiPriority w:val="0"/>
    <w:pPr>
      <w:spacing w:line="360" w:lineRule="auto"/>
    </w:pPr>
    <w:rPr>
      <w:sz w:val="24"/>
    </w:rPr>
  </w:style>
  <w:style w:type="paragraph" w:styleId="20">
    <w:name w:val="Body Text Indent"/>
    <w:basedOn w:val="1"/>
    <w:link w:val="85"/>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6"/>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4"/>
    <w:autoRedefine/>
    <w:qFormat/>
    <w:uiPriority w:val="0"/>
    <w:rPr>
      <w:rFonts w:ascii="宋体" w:hAnsi="Courier New"/>
      <w:sz w:val="32"/>
      <w:szCs w:val="20"/>
    </w:rPr>
  </w:style>
  <w:style w:type="paragraph" w:styleId="26">
    <w:name w:val="Body Text Indent 2"/>
    <w:basedOn w:val="1"/>
    <w:link w:val="99"/>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autoRedefine/>
    <w:semiHidden/>
    <w:qFormat/>
    <w:uiPriority w:val="99"/>
    <w:rPr>
      <w:sz w:val="18"/>
      <w:szCs w:val="18"/>
    </w:rPr>
  </w:style>
  <w:style w:type="paragraph" w:styleId="28">
    <w:name w:val="footer"/>
    <w:basedOn w:val="1"/>
    <w:link w:val="103"/>
    <w:autoRedefine/>
    <w:qFormat/>
    <w:uiPriority w:val="0"/>
    <w:pPr>
      <w:tabs>
        <w:tab w:val="center" w:pos="4153"/>
        <w:tab w:val="right" w:pos="8306"/>
      </w:tabs>
      <w:snapToGrid w:val="0"/>
      <w:jc w:val="left"/>
    </w:pPr>
    <w:rPr>
      <w:sz w:val="18"/>
      <w:szCs w:val="18"/>
    </w:rPr>
  </w:style>
  <w:style w:type="paragraph" w:styleId="29">
    <w:name w:val="header"/>
    <w:basedOn w:val="1"/>
    <w:link w:val="100"/>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101"/>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autoRedefine/>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autoRedefine/>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1"/>
    <w:autoRedefine/>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6"/>
    <w:autoRedefine/>
    <w:qFormat/>
    <w:uiPriority w:val="0"/>
    <w:pPr>
      <w:spacing w:after="120" w:line="240" w:lineRule="auto"/>
      <w:ind w:firstLine="420" w:firstLineChars="100"/>
    </w:pPr>
    <w:rPr>
      <w:sz w:val="21"/>
    </w:rPr>
  </w:style>
  <w:style w:type="table" w:styleId="43">
    <w:name w:val="Table Grid"/>
    <w:basedOn w:val="42"/>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basedOn w:val="44"/>
    <w:autoRedefine/>
    <w:qFormat/>
    <w:uiPriority w:val="0"/>
  </w:style>
  <w:style w:type="character" w:styleId="49">
    <w:name w:val="HTML Definition"/>
    <w:basedOn w:val="44"/>
    <w:autoRedefine/>
    <w:semiHidden/>
    <w:unhideWhenUsed/>
    <w:qFormat/>
    <w:uiPriority w:val="0"/>
  </w:style>
  <w:style w:type="character" w:styleId="50">
    <w:name w:val="HTML Typewriter"/>
    <w:basedOn w:val="44"/>
    <w:autoRedefine/>
    <w:semiHidden/>
    <w:unhideWhenUsed/>
    <w:qFormat/>
    <w:uiPriority w:val="0"/>
    <w:rPr>
      <w:rFonts w:hint="default" w:ascii="monospace" w:hAnsi="monospace" w:eastAsia="monospace" w:cs="monospace"/>
      <w:sz w:val="20"/>
    </w:rPr>
  </w:style>
  <w:style w:type="character" w:styleId="51">
    <w:name w:val="HTML Acronym"/>
    <w:basedOn w:val="44"/>
    <w:autoRedefine/>
    <w:semiHidden/>
    <w:unhideWhenUsed/>
    <w:qFormat/>
    <w:uiPriority w:val="0"/>
  </w:style>
  <w:style w:type="character" w:styleId="52">
    <w:name w:val="HTML Variable"/>
    <w:basedOn w:val="44"/>
    <w:autoRedefine/>
    <w:semiHidden/>
    <w:unhideWhenUsed/>
    <w:qFormat/>
    <w:uiPriority w:val="0"/>
  </w:style>
  <w:style w:type="character" w:styleId="53">
    <w:name w:val="Hyperlink"/>
    <w:autoRedefine/>
    <w:qFormat/>
    <w:uiPriority w:val="0"/>
    <w:rPr>
      <w:color w:val="0000FF"/>
      <w:u w:val="single"/>
    </w:rPr>
  </w:style>
  <w:style w:type="character" w:styleId="54">
    <w:name w:val="HTML Code"/>
    <w:basedOn w:val="44"/>
    <w:autoRedefine/>
    <w:semiHidden/>
    <w:unhideWhenUsed/>
    <w:qFormat/>
    <w:uiPriority w:val="0"/>
    <w:rPr>
      <w:rFonts w:hint="default" w:ascii="monospace" w:hAnsi="monospace" w:eastAsia="monospace" w:cs="monospace"/>
      <w:sz w:val="20"/>
    </w:rPr>
  </w:style>
  <w:style w:type="character" w:styleId="55">
    <w:name w:val="annotation reference"/>
    <w:basedOn w:val="44"/>
    <w:autoRedefine/>
    <w:qFormat/>
    <w:uiPriority w:val="99"/>
    <w:rPr>
      <w:sz w:val="21"/>
      <w:szCs w:val="21"/>
    </w:rPr>
  </w:style>
  <w:style w:type="character" w:styleId="56">
    <w:name w:val="HTML Cite"/>
    <w:basedOn w:val="44"/>
    <w:autoRedefine/>
    <w:semiHidden/>
    <w:unhideWhenUsed/>
    <w:qFormat/>
    <w:uiPriority w:val="0"/>
  </w:style>
  <w:style w:type="character" w:styleId="57">
    <w:name w:val="HTML Keyboard"/>
    <w:basedOn w:val="44"/>
    <w:autoRedefine/>
    <w:semiHidden/>
    <w:unhideWhenUsed/>
    <w:qFormat/>
    <w:uiPriority w:val="0"/>
    <w:rPr>
      <w:rFonts w:hint="default" w:ascii="monospace" w:hAnsi="monospace" w:eastAsia="monospace" w:cs="monospace"/>
      <w:sz w:val="20"/>
    </w:rPr>
  </w:style>
  <w:style w:type="character" w:styleId="58">
    <w:name w:val="HTML Sample"/>
    <w:basedOn w:val="44"/>
    <w:autoRedefine/>
    <w:semiHidden/>
    <w:unhideWhenUsed/>
    <w:qFormat/>
    <w:uiPriority w:val="0"/>
    <w:rPr>
      <w:rFonts w:ascii="monospace" w:hAnsi="monospace" w:eastAsia="monospace" w:cs="monospace"/>
    </w:rPr>
  </w:style>
  <w:style w:type="character" w:customStyle="1" w:styleId="59">
    <w:name w:val="标题 4 Char"/>
    <w:link w:val="4"/>
    <w:autoRedefine/>
    <w:qFormat/>
    <w:uiPriority w:val="9"/>
    <w:rPr>
      <w:rFonts w:ascii="Arial" w:hAnsi="Arial" w:eastAsia="黑体"/>
      <w:b/>
      <w:bCs/>
      <w:kern w:val="2"/>
      <w:sz w:val="28"/>
      <w:szCs w:val="28"/>
      <w:lang w:val="en-US" w:eastAsia="zh-CN" w:bidi="ar-SA"/>
    </w:rPr>
  </w:style>
  <w:style w:type="paragraph" w:customStyle="1" w:styleId="60">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3"/>
    <w:autoRedefine/>
    <w:qFormat/>
    <w:uiPriority w:val="9"/>
    <w:rPr>
      <w:rFonts w:ascii="宋体" w:hAnsi="宋体" w:eastAsia="宋体"/>
      <w:b/>
      <w:bCs/>
      <w:kern w:val="2"/>
      <w:sz w:val="28"/>
      <w:szCs w:val="32"/>
      <w:lang w:val="en-US" w:eastAsia="zh-CN" w:bidi="ar-SA"/>
    </w:rPr>
  </w:style>
  <w:style w:type="character" w:customStyle="1" w:styleId="62">
    <w:name w:val="标题 1 Char"/>
    <w:link w:val="2"/>
    <w:qFormat/>
    <w:uiPriority w:val="0"/>
    <w:rPr>
      <w:rFonts w:ascii="宋体" w:hAnsi="宋体" w:eastAsia="黑体"/>
      <w:b/>
      <w:bCs/>
      <w:kern w:val="44"/>
      <w:sz w:val="28"/>
      <w:szCs w:val="44"/>
      <w:lang w:val="en-US" w:eastAsia="zh-CN" w:bidi="ar-SA"/>
    </w:rPr>
  </w:style>
  <w:style w:type="character" w:customStyle="1" w:styleId="63">
    <w:name w:val="正文缩进 Char"/>
    <w:link w:val="7"/>
    <w:autoRedefine/>
    <w:qFormat/>
    <w:uiPriority w:val="0"/>
    <w:rPr>
      <w:rFonts w:eastAsia="宋体"/>
      <w:kern w:val="2"/>
      <w:sz w:val="21"/>
      <w:lang w:val="en-US" w:eastAsia="zh-CN" w:bidi="ar-SA"/>
    </w:rPr>
  </w:style>
  <w:style w:type="character" w:customStyle="1" w:styleId="64">
    <w:name w:val="标题 3 Char"/>
    <w:autoRedefine/>
    <w:qFormat/>
    <w:uiPriority w:val="0"/>
    <w:rPr>
      <w:rFonts w:ascii="黑体" w:eastAsia="黑体"/>
      <w:bCs/>
      <w:sz w:val="30"/>
    </w:rPr>
  </w:style>
  <w:style w:type="paragraph" w:customStyle="1" w:styleId="65">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autoRedefine/>
    <w:qFormat/>
    <w:uiPriority w:val="0"/>
    <w:pPr>
      <w:spacing w:afterLines="50"/>
      <w:ind w:left="600" w:leftChars="600"/>
    </w:pPr>
  </w:style>
  <w:style w:type="paragraph" w:customStyle="1" w:styleId="73">
    <w:name w:val="Char Char Char Char Char"/>
    <w:basedOn w:val="1"/>
    <w:autoRedefine/>
    <w:qFormat/>
    <w:uiPriority w:val="0"/>
    <w:rPr>
      <w:rFonts w:ascii="Tahoma" w:hAnsi="Tahoma"/>
      <w:sz w:val="24"/>
      <w:szCs w:val="20"/>
    </w:rPr>
  </w:style>
  <w:style w:type="paragraph" w:customStyle="1" w:styleId="74">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autoRedefine/>
    <w:qFormat/>
    <w:uiPriority w:val="0"/>
    <w:rPr>
      <w:rFonts w:ascii="Tahoma" w:hAnsi="Tahoma"/>
      <w:sz w:val="24"/>
      <w:szCs w:val="20"/>
    </w:rPr>
  </w:style>
  <w:style w:type="paragraph" w:customStyle="1" w:styleId="76">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5"/>
    <w:autoRedefine/>
    <w:qFormat/>
    <w:uiPriority w:val="0"/>
    <w:rPr>
      <w:rFonts w:ascii="宋体" w:hAnsi="宋体" w:eastAsia="宋体"/>
      <w:b/>
      <w:bCs/>
      <w:sz w:val="24"/>
      <w:lang w:val="en-US" w:eastAsia="zh-CN" w:bidi="ar-SA"/>
    </w:rPr>
  </w:style>
  <w:style w:type="paragraph" w:customStyle="1" w:styleId="7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autoRedefine/>
    <w:qFormat/>
    <w:uiPriority w:val="34"/>
    <w:pPr>
      <w:ind w:firstLine="420" w:firstLineChars="200"/>
    </w:pPr>
    <w:rPr>
      <w:rFonts w:ascii="Calibri" w:hAnsi="Calibri"/>
      <w:szCs w:val="22"/>
    </w:rPr>
  </w:style>
  <w:style w:type="paragraph" w:customStyle="1" w:styleId="80">
    <w:name w:val="USE 1"/>
    <w:basedOn w:val="1"/>
    <w:autoRedefine/>
    <w:qFormat/>
    <w:uiPriority w:val="0"/>
    <w:pPr>
      <w:spacing w:line="200" w:lineRule="atLeast"/>
      <w:jc w:val="left"/>
    </w:pPr>
    <w:rPr>
      <w:rFonts w:ascii="宋体" w:hAnsi="宋体"/>
      <w:b/>
      <w:sz w:val="24"/>
      <w:szCs w:val="28"/>
    </w:rPr>
  </w:style>
  <w:style w:type="paragraph" w:customStyle="1" w:styleId="81">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autoRedefine/>
    <w:qFormat/>
    <w:uiPriority w:val="0"/>
    <w:pPr>
      <w:adjustRightInd/>
      <w:jc w:val="both"/>
      <w:textAlignment w:val="auto"/>
    </w:pPr>
    <w:rPr>
      <w:rFonts w:ascii="Cambria" w:hAnsi="Cambria" w:cs="宋体"/>
      <w:kern w:val="2"/>
      <w:sz w:val="32"/>
    </w:rPr>
  </w:style>
  <w:style w:type="character" w:customStyle="1" w:styleId="84">
    <w:name w:val="H4 Char2"/>
    <w:autoRedefine/>
    <w:qFormat/>
    <w:uiPriority w:val="0"/>
    <w:rPr>
      <w:rFonts w:ascii="Arial" w:hAnsi="Arial" w:eastAsia="黑体"/>
      <w:b/>
      <w:bCs/>
      <w:kern w:val="2"/>
      <w:sz w:val="28"/>
      <w:szCs w:val="28"/>
      <w:lang w:val="en-US" w:eastAsia="zh-CN" w:bidi="ar-SA"/>
    </w:rPr>
  </w:style>
  <w:style w:type="character" w:customStyle="1" w:styleId="85">
    <w:name w:val="正文文本缩进 Char"/>
    <w:link w:val="20"/>
    <w:autoRedefine/>
    <w:qFormat/>
    <w:uiPriority w:val="0"/>
    <w:rPr>
      <w:rFonts w:eastAsia="宋体"/>
      <w:kern w:val="2"/>
      <w:sz w:val="21"/>
      <w:szCs w:val="24"/>
      <w:lang w:val="en-US" w:eastAsia="zh-CN" w:bidi="ar-SA"/>
    </w:rPr>
  </w:style>
  <w:style w:type="character" w:customStyle="1" w:styleId="86">
    <w:name w:val="标题 5 Char"/>
    <w:link w:val="6"/>
    <w:autoRedefine/>
    <w:qFormat/>
    <w:uiPriority w:val="0"/>
    <w:rPr>
      <w:rFonts w:eastAsia="宋体"/>
      <w:b/>
      <w:kern w:val="2"/>
      <w:sz w:val="28"/>
      <w:lang w:val="en-US" w:eastAsia="zh-CN" w:bidi="ar-SA"/>
    </w:rPr>
  </w:style>
  <w:style w:type="character" w:customStyle="1" w:styleId="87">
    <w:name w:val="第*章 Char"/>
    <w:autoRedefine/>
    <w:qFormat/>
    <w:uiPriority w:val="0"/>
    <w:rPr>
      <w:rFonts w:ascii="Arial" w:hAnsi="Arial" w:eastAsia="黑体"/>
      <w:b/>
      <w:bCs/>
      <w:kern w:val="2"/>
      <w:sz w:val="32"/>
      <w:szCs w:val="32"/>
    </w:rPr>
  </w:style>
  <w:style w:type="character" w:customStyle="1" w:styleId="88">
    <w:name w:val="章标题1 Char"/>
    <w:autoRedefine/>
    <w:qFormat/>
    <w:uiPriority w:val="0"/>
    <w:rPr>
      <w:rFonts w:eastAsia="宋体"/>
      <w:b/>
      <w:bCs/>
      <w:kern w:val="2"/>
      <w:sz w:val="32"/>
      <w:szCs w:val="32"/>
      <w:lang w:val="en-US" w:eastAsia="zh-CN" w:bidi="ar-SA"/>
    </w:rPr>
  </w:style>
  <w:style w:type="character" w:customStyle="1" w:styleId="89">
    <w:name w:val="标题 6 Char"/>
    <w:link w:val="8"/>
    <w:autoRedefine/>
    <w:qFormat/>
    <w:uiPriority w:val="0"/>
    <w:rPr>
      <w:rFonts w:ascii="Arial" w:hAnsi="Arial" w:eastAsia="黑体"/>
      <w:b/>
      <w:kern w:val="2"/>
      <w:sz w:val="24"/>
      <w:lang w:val="en-US" w:eastAsia="zh-CN" w:bidi="ar-SA"/>
    </w:rPr>
  </w:style>
  <w:style w:type="character" w:customStyle="1" w:styleId="90">
    <w:name w:val="标题 7 Char"/>
    <w:link w:val="9"/>
    <w:autoRedefine/>
    <w:qFormat/>
    <w:uiPriority w:val="0"/>
    <w:rPr>
      <w:rFonts w:eastAsia="宋体"/>
      <w:b/>
      <w:kern w:val="2"/>
      <w:sz w:val="24"/>
      <w:lang w:val="en-US" w:eastAsia="zh-CN" w:bidi="ar-SA"/>
    </w:rPr>
  </w:style>
  <w:style w:type="character" w:customStyle="1" w:styleId="91">
    <w:name w:val="标题 8 Char"/>
    <w:link w:val="10"/>
    <w:autoRedefine/>
    <w:qFormat/>
    <w:uiPriority w:val="0"/>
    <w:rPr>
      <w:rFonts w:ascii="Arial" w:hAnsi="Arial" w:eastAsia="黑体"/>
      <w:kern w:val="2"/>
      <w:sz w:val="24"/>
      <w:lang w:val="en-US" w:eastAsia="zh-CN" w:bidi="ar-SA"/>
    </w:rPr>
  </w:style>
  <w:style w:type="character" w:customStyle="1" w:styleId="92">
    <w:name w:val="标题 9 Char"/>
    <w:link w:val="11"/>
    <w:autoRedefine/>
    <w:qFormat/>
    <w:uiPriority w:val="0"/>
    <w:rPr>
      <w:rFonts w:ascii="Arial" w:hAnsi="Arial" w:eastAsia="黑体"/>
      <w:kern w:val="2"/>
      <w:sz w:val="21"/>
      <w:lang w:val="en-US" w:eastAsia="zh-CN" w:bidi="ar-SA"/>
    </w:rPr>
  </w:style>
  <w:style w:type="character" w:customStyle="1" w:styleId="93">
    <w:name w:val="标题 Char"/>
    <w:link w:val="39"/>
    <w:autoRedefine/>
    <w:qFormat/>
    <w:uiPriority w:val="0"/>
    <w:rPr>
      <w:rFonts w:ascii="Arial" w:hAnsi="Arial" w:eastAsia="隶书" w:cs="Arial"/>
      <w:b/>
      <w:bCs/>
      <w:kern w:val="2"/>
      <w:sz w:val="32"/>
      <w:szCs w:val="32"/>
      <w:lang w:val="en-US" w:eastAsia="zh-CN" w:bidi="ar-SA"/>
    </w:rPr>
  </w:style>
  <w:style w:type="character" w:customStyle="1" w:styleId="94">
    <w:name w:val="日期 Char"/>
    <w:link w:val="25"/>
    <w:autoRedefine/>
    <w:qFormat/>
    <w:uiPriority w:val="0"/>
    <w:rPr>
      <w:rFonts w:ascii="宋体" w:hAnsi="Courier New" w:eastAsia="宋体"/>
      <w:kern w:val="2"/>
      <w:sz w:val="32"/>
      <w:lang w:val="en-US" w:eastAsia="zh-CN" w:bidi="ar-SA"/>
    </w:rPr>
  </w:style>
  <w:style w:type="character" w:customStyle="1" w:styleId="95">
    <w:name w:val="HTML 预设格式 Char"/>
    <w:link w:val="36"/>
    <w:autoRedefine/>
    <w:qFormat/>
    <w:uiPriority w:val="0"/>
    <w:rPr>
      <w:rFonts w:ascii="Arial Unicode MS" w:hAnsi="Arial Unicode MS" w:eastAsia="Arial Unicode MS"/>
      <w:color w:val="000000"/>
      <w:lang w:val="en-US" w:eastAsia="zh-CN" w:bidi="ar-SA"/>
    </w:rPr>
  </w:style>
  <w:style w:type="character" w:customStyle="1" w:styleId="96">
    <w:name w:val="纯文本 Char"/>
    <w:link w:val="23"/>
    <w:autoRedefine/>
    <w:qFormat/>
    <w:uiPriority w:val="0"/>
    <w:rPr>
      <w:rFonts w:ascii="宋体" w:hAnsi="Courier New" w:eastAsia="宋体"/>
      <w:kern w:val="2"/>
      <w:sz w:val="21"/>
      <w:lang w:val="en-US" w:eastAsia="zh-CN" w:bidi="ar-SA"/>
    </w:rPr>
  </w:style>
  <w:style w:type="character" w:customStyle="1" w:styleId="97">
    <w:name w:val="正文文字首行缩进 Char"/>
    <w:autoRedefine/>
    <w:qFormat/>
    <w:uiPriority w:val="0"/>
    <w:rPr>
      <w:kern w:val="2"/>
      <w:sz w:val="21"/>
      <w:szCs w:val="24"/>
    </w:rPr>
  </w:style>
  <w:style w:type="character" w:customStyle="1" w:styleId="98">
    <w:name w:val="正文文本 Char"/>
    <w:link w:val="18"/>
    <w:autoRedefine/>
    <w:qFormat/>
    <w:uiPriority w:val="0"/>
    <w:rPr>
      <w:rFonts w:eastAsia="宋体"/>
      <w:b/>
      <w:bCs/>
      <w:kern w:val="2"/>
      <w:sz w:val="24"/>
      <w:szCs w:val="24"/>
      <w:lang w:val="en-US" w:eastAsia="zh-CN" w:bidi="ar-SA"/>
    </w:rPr>
  </w:style>
  <w:style w:type="character" w:customStyle="1" w:styleId="99">
    <w:name w:val="正文文本缩进 2 Char"/>
    <w:link w:val="26"/>
    <w:autoRedefine/>
    <w:qFormat/>
    <w:uiPriority w:val="0"/>
    <w:rPr>
      <w:rFonts w:ascii="宋体" w:hAnsi="宋体" w:eastAsia="宋体"/>
      <w:kern w:val="2"/>
      <w:sz w:val="21"/>
      <w:szCs w:val="24"/>
      <w:lang w:val="en-US" w:eastAsia="zh-CN" w:bidi="ar-SA"/>
    </w:rPr>
  </w:style>
  <w:style w:type="character" w:customStyle="1" w:styleId="100">
    <w:name w:val="页眉 Char"/>
    <w:link w:val="29"/>
    <w:autoRedefine/>
    <w:qFormat/>
    <w:uiPriority w:val="99"/>
    <w:rPr>
      <w:rFonts w:eastAsia="宋体"/>
      <w:kern w:val="2"/>
      <w:sz w:val="18"/>
      <w:szCs w:val="18"/>
      <w:lang w:val="en-US" w:eastAsia="zh-CN" w:bidi="ar-SA"/>
    </w:rPr>
  </w:style>
  <w:style w:type="character" w:customStyle="1" w:styleId="101">
    <w:name w:val="正文文本缩进 3 Char"/>
    <w:link w:val="33"/>
    <w:autoRedefine/>
    <w:qFormat/>
    <w:uiPriority w:val="0"/>
    <w:rPr>
      <w:rFonts w:ascii="宋体" w:eastAsia="宋体"/>
      <w:b/>
      <w:bCs/>
      <w:kern w:val="2"/>
      <w:sz w:val="24"/>
      <w:szCs w:val="24"/>
      <w:lang w:val="en-US" w:eastAsia="zh-CN" w:bidi="ar-SA"/>
    </w:rPr>
  </w:style>
  <w:style w:type="character" w:customStyle="1" w:styleId="102">
    <w:name w:val="正文文本 2 Char"/>
    <w:link w:val="19"/>
    <w:autoRedefine/>
    <w:qFormat/>
    <w:uiPriority w:val="0"/>
    <w:rPr>
      <w:rFonts w:eastAsia="宋体"/>
      <w:kern w:val="2"/>
      <w:sz w:val="24"/>
      <w:szCs w:val="24"/>
      <w:lang w:val="en-US" w:eastAsia="zh-CN" w:bidi="ar-SA"/>
    </w:rPr>
  </w:style>
  <w:style w:type="character" w:customStyle="1" w:styleId="103">
    <w:name w:val="页脚 Char"/>
    <w:link w:val="28"/>
    <w:autoRedefine/>
    <w:qFormat/>
    <w:uiPriority w:val="0"/>
    <w:rPr>
      <w:rFonts w:eastAsia="宋体"/>
      <w:kern w:val="2"/>
      <w:sz w:val="18"/>
      <w:szCs w:val="18"/>
      <w:lang w:val="en-US" w:eastAsia="zh-CN" w:bidi="ar-SA"/>
    </w:rPr>
  </w:style>
  <w:style w:type="character" w:customStyle="1" w:styleId="104">
    <w:name w:val="正文文本 3 Char"/>
    <w:link w:val="17"/>
    <w:autoRedefine/>
    <w:qFormat/>
    <w:uiPriority w:val="0"/>
    <w:rPr>
      <w:rFonts w:eastAsia="宋体"/>
      <w:kern w:val="2"/>
      <w:sz w:val="16"/>
      <w:szCs w:val="16"/>
      <w:lang w:val="en-US" w:eastAsia="zh-CN" w:bidi="ar-SA"/>
    </w:rPr>
  </w:style>
  <w:style w:type="character" w:customStyle="1" w:styleId="105">
    <w:name w:val="批注框文本 Char"/>
    <w:link w:val="27"/>
    <w:autoRedefine/>
    <w:semiHidden/>
    <w:qFormat/>
    <w:uiPriority w:val="99"/>
    <w:rPr>
      <w:rFonts w:eastAsia="宋体"/>
      <w:kern w:val="2"/>
      <w:sz w:val="18"/>
      <w:szCs w:val="18"/>
      <w:lang w:val="en-US" w:eastAsia="zh-CN" w:bidi="ar-SA"/>
    </w:rPr>
  </w:style>
  <w:style w:type="paragraph" w:customStyle="1" w:styleId="106">
    <w:name w:val="样式1"/>
    <w:basedOn w:val="39"/>
    <w:autoRedefine/>
    <w:qFormat/>
    <w:uiPriority w:val="0"/>
    <w:pPr>
      <w:spacing w:before="120" w:after="120"/>
    </w:pPr>
    <w:rPr>
      <w:rFonts w:eastAsia="黑体"/>
      <w:b w:val="0"/>
      <w:sz w:val="30"/>
      <w:szCs w:val="21"/>
    </w:rPr>
  </w:style>
  <w:style w:type="paragraph" w:customStyle="1" w:styleId="107">
    <w:name w:val="样式2"/>
    <w:basedOn w:val="39"/>
    <w:next w:val="106"/>
    <w:autoRedefine/>
    <w:qFormat/>
    <w:uiPriority w:val="0"/>
    <w:pPr>
      <w:spacing w:before="120" w:after="120"/>
    </w:pPr>
    <w:rPr>
      <w:rFonts w:eastAsia="黑体"/>
      <w:b w:val="0"/>
      <w:sz w:val="30"/>
      <w:szCs w:val="30"/>
    </w:rPr>
  </w:style>
  <w:style w:type="character" w:customStyle="1" w:styleId="108">
    <w:name w:val="标题 3 Char Char"/>
    <w:autoRedefine/>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autoRedefine/>
    <w:qFormat/>
    <w:uiPriority w:val="0"/>
    <w:pPr>
      <w:spacing w:line="360" w:lineRule="auto"/>
      <w:ind w:firstLine="200" w:firstLineChars="200"/>
    </w:pPr>
    <w:rPr>
      <w:szCs w:val="20"/>
    </w:rPr>
  </w:style>
  <w:style w:type="paragraph" w:customStyle="1" w:styleId="112">
    <w:name w:val="设计依据"/>
    <w:basedOn w:val="1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autoRedefine/>
    <w:qFormat/>
    <w:uiPriority w:val="0"/>
    <w:pPr>
      <w:tabs>
        <w:tab w:val="left" w:pos="842"/>
      </w:tabs>
      <w:spacing w:line="360" w:lineRule="auto"/>
      <w:ind w:left="842" w:hanging="420"/>
    </w:pPr>
    <w:rPr>
      <w:sz w:val="24"/>
    </w:rPr>
  </w:style>
  <w:style w:type="paragraph" w:customStyle="1" w:styleId="115">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autoRedefine/>
    <w:qFormat/>
    <w:uiPriority w:val="0"/>
    <w:pPr>
      <w:spacing w:line="240" w:lineRule="auto"/>
      <w:ind w:firstLine="0" w:firstLineChars="0"/>
    </w:pPr>
    <w:rPr>
      <w:sz w:val="20"/>
    </w:rPr>
  </w:style>
  <w:style w:type="paragraph" w:customStyle="1" w:styleId="117">
    <w:name w:val="--规划-表格-居中"/>
    <w:basedOn w:val="111"/>
    <w:autoRedefine/>
    <w:qFormat/>
    <w:uiPriority w:val="0"/>
    <w:pPr>
      <w:spacing w:line="240" w:lineRule="auto"/>
      <w:ind w:firstLine="0" w:firstLineChars="0"/>
      <w:jc w:val="center"/>
    </w:pPr>
    <w:rPr>
      <w:sz w:val="20"/>
    </w:rPr>
  </w:style>
  <w:style w:type="paragraph" w:customStyle="1" w:styleId="118">
    <w:name w:val="--编号内缩进"/>
    <w:basedOn w:val="1"/>
    <w:autoRedefine/>
    <w:qFormat/>
    <w:uiPriority w:val="0"/>
    <w:pPr>
      <w:spacing w:line="360" w:lineRule="auto"/>
      <w:ind w:left="420" w:firstLine="200" w:firstLineChars="200"/>
    </w:pPr>
    <w:rPr>
      <w:szCs w:val="21"/>
    </w:rPr>
  </w:style>
  <w:style w:type="paragraph" w:customStyle="1" w:styleId="119">
    <w:name w:val="--规划-题注"/>
    <w:basedOn w:val="1"/>
    <w:next w:val="111"/>
    <w:autoRedefine/>
    <w:qFormat/>
    <w:uiPriority w:val="0"/>
    <w:pPr>
      <w:spacing w:line="360" w:lineRule="auto"/>
      <w:jc w:val="center"/>
    </w:pPr>
    <w:rPr>
      <w:rFonts w:eastAsia="黑体"/>
    </w:rPr>
  </w:style>
  <w:style w:type="paragraph" w:customStyle="1" w:styleId="120">
    <w:name w:val="--规划-图和表"/>
    <w:next w:val="111"/>
    <w:autoRedefine/>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autoRedefine/>
    <w:qFormat/>
    <w:uiPriority w:val="0"/>
    <w:pPr>
      <w:keepNext/>
      <w:keepLines/>
      <w:spacing w:line="360" w:lineRule="auto"/>
      <w:outlineLvl w:val="4"/>
    </w:pPr>
    <w:rPr>
      <w:rFonts w:eastAsia="黑体"/>
    </w:rPr>
  </w:style>
  <w:style w:type="paragraph" w:customStyle="1" w:styleId="122">
    <w:name w:val="--规划正文 Char"/>
    <w:basedOn w:val="1"/>
    <w:autoRedefine/>
    <w:qFormat/>
    <w:uiPriority w:val="0"/>
    <w:pPr>
      <w:spacing w:line="360" w:lineRule="auto"/>
      <w:ind w:firstLine="200" w:firstLineChars="200"/>
    </w:pPr>
    <w:rPr>
      <w:sz w:val="24"/>
    </w:rPr>
  </w:style>
  <w:style w:type="paragraph" w:customStyle="1" w:styleId="123">
    <w:name w:val="缺省文本"/>
    <w:basedOn w:val="1"/>
    <w:autoRedefine/>
    <w:qFormat/>
    <w:uiPriority w:val="0"/>
    <w:pPr>
      <w:autoSpaceDE w:val="0"/>
      <w:autoSpaceDN w:val="0"/>
      <w:adjustRightInd w:val="0"/>
      <w:jc w:val="left"/>
    </w:pPr>
    <w:rPr>
      <w:kern w:val="0"/>
    </w:rPr>
  </w:style>
  <w:style w:type="paragraph" w:customStyle="1" w:styleId="124">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autoRedefine/>
    <w:qFormat/>
    <w:uiPriority w:val="0"/>
    <w:rPr>
      <w:rFonts w:eastAsia="宋体"/>
      <w:kern w:val="2"/>
      <w:sz w:val="24"/>
      <w:szCs w:val="24"/>
      <w:lang w:val="en-US" w:eastAsia="zh-CN" w:bidi="ar-SA"/>
    </w:rPr>
  </w:style>
  <w:style w:type="paragraph" w:customStyle="1" w:styleId="126">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autoRedefine/>
    <w:qFormat/>
    <w:uiPriority w:val="0"/>
    <w:rPr>
      <w:rFonts w:eastAsia="宋体"/>
      <w:kern w:val="2"/>
      <w:sz w:val="21"/>
      <w:lang w:val="en-US" w:eastAsia="zh-CN" w:bidi="ar-SA"/>
    </w:rPr>
  </w:style>
  <w:style w:type="paragraph" w:customStyle="1" w:styleId="12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30">
    <w:name w:val="content1"/>
    <w:autoRedefine/>
    <w:qFormat/>
    <w:uiPriority w:val="0"/>
    <w:rPr>
      <w:rFonts w:hint="default" w:ascii="??" w:hAnsi="??"/>
      <w:sz w:val="16"/>
      <w:szCs w:val="16"/>
      <w:u w:val="none"/>
    </w:rPr>
  </w:style>
  <w:style w:type="character" w:customStyle="1" w:styleId="131">
    <w:name w:val="unnamed4"/>
    <w:basedOn w:val="44"/>
    <w:autoRedefine/>
    <w:qFormat/>
    <w:uiPriority w:val="0"/>
  </w:style>
  <w:style w:type="character" w:customStyle="1" w:styleId="132">
    <w:name w:val="font2"/>
    <w:basedOn w:val="44"/>
    <w:autoRedefine/>
    <w:qFormat/>
    <w:uiPriority w:val="0"/>
  </w:style>
  <w:style w:type="character" w:customStyle="1" w:styleId="133">
    <w:name w:val="font41"/>
    <w:autoRedefine/>
    <w:qFormat/>
    <w:uiPriority w:val="0"/>
    <w:rPr>
      <w:color w:val="000000"/>
      <w:spacing w:val="260"/>
      <w:sz w:val="18"/>
      <w:szCs w:val="18"/>
      <w:u w:val="none"/>
    </w:rPr>
  </w:style>
  <w:style w:type="paragraph" w:customStyle="1" w:styleId="134">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autoRedefine/>
    <w:qFormat/>
    <w:uiPriority w:val="0"/>
    <w:rPr>
      <w:rFonts w:eastAsia="宋体"/>
      <w:b/>
      <w:bCs/>
      <w:kern w:val="2"/>
      <w:sz w:val="21"/>
      <w:szCs w:val="24"/>
      <w:lang w:val="en-US" w:eastAsia="zh-CN" w:bidi="ar-SA"/>
    </w:rPr>
  </w:style>
  <w:style w:type="paragraph" w:customStyle="1" w:styleId="137">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autoRedefine/>
    <w:qFormat/>
    <w:uiPriority w:val="0"/>
  </w:style>
  <w:style w:type="paragraph" w:customStyle="1" w:styleId="141">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autoRedefine/>
    <w:qFormat/>
    <w:uiPriority w:val="0"/>
  </w:style>
  <w:style w:type="paragraph" w:customStyle="1" w:styleId="143">
    <w:name w:val="8"/>
    <w:basedOn w:val="1"/>
    <w:next w:val="20"/>
    <w:autoRedefine/>
    <w:qFormat/>
    <w:uiPriority w:val="0"/>
    <w:pPr>
      <w:spacing w:after="120"/>
      <w:ind w:left="420" w:leftChars="200"/>
    </w:pPr>
  </w:style>
  <w:style w:type="paragraph" w:customStyle="1" w:styleId="144">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7">
    <w:name w:val="6"/>
    <w:basedOn w:val="146"/>
    <w:autoRedefine/>
    <w:qFormat/>
    <w:uiPriority w:val="0"/>
    <w:pPr>
      <w:spacing w:line="270" w:lineRule="atLeast"/>
      <w:jc w:val="both"/>
    </w:pPr>
    <w:rPr>
      <w:b w:val="0"/>
      <w:bCs w:val="0"/>
    </w:rPr>
  </w:style>
  <w:style w:type="paragraph" w:customStyle="1" w:styleId="148">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autoRedefine/>
    <w:qFormat/>
    <w:uiPriority w:val="0"/>
    <w:pPr>
      <w:spacing w:line="240" w:lineRule="atLeast"/>
      <w:ind w:firstLine="567"/>
    </w:pPr>
    <w:rPr>
      <w:szCs w:val="20"/>
    </w:rPr>
  </w:style>
  <w:style w:type="paragraph" w:customStyle="1" w:styleId="150">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autoRedefine/>
    <w:qFormat/>
    <w:uiPriority w:val="0"/>
    <w:pPr>
      <w:spacing w:line="200" w:lineRule="atLeast"/>
    </w:pPr>
    <w:rPr>
      <w:rFonts w:ascii="Arial" w:hAnsi="Arial" w:eastAsia="宋体" w:cs="Times New Roman"/>
      <w:color w:val="auto"/>
    </w:rPr>
  </w:style>
  <w:style w:type="paragraph" w:customStyle="1" w:styleId="152">
    <w:name w:val="Normal Paragraph"/>
    <w:basedOn w:val="1"/>
    <w:autoRedefine/>
    <w:qFormat/>
    <w:uiPriority w:val="0"/>
    <w:pPr>
      <w:widowControl/>
      <w:spacing w:before="120" w:line="360" w:lineRule="auto"/>
      <w:ind w:firstLine="425"/>
    </w:pPr>
    <w:rPr>
      <w:kern w:val="0"/>
      <w:sz w:val="24"/>
    </w:rPr>
  </w:style>
  <w:style w:type="character" w:customStyle="1" w:styleId="153">
    <w:name w:val="blue"/>
    <w:basedOn w:val="44"/>
    <w:autoRedefine/>
    <w:qFormat/>
    <w:uiPriority w:val="0"/>
  </w:style>
  <w:style w:type="paragraph" w:customStyle="1" w:styleId="154">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autoRedefine/>
    <w:qFormat/>
    <w:uiPriority w:val="0"/>
  </w:style>
  <w:style w:type="character" w:customStyle="1" w:styleId="156">
    <w:name w:val="font11"/>
    <w:autoRedefine/>
    <w:qFormat/>
    <w:uiPriority w:val="0"/>
    <w:rPr>
      <w:rFonts w:hint="default" w:ascii="ˎ̥" w:hAnsi="ˎ̥"/>
    </w:rPr>
  </w:style>
  <w:style w:type="paragraph" w:customStyle="1" w:styleId="157">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autoRedefine/>
    <w:qFormat/>
    <w:uiPriority w:val="0"/>
  </w:style>
  <w:style w:type="character" w:customStyle="1" w:styleId="159">
    <w:name w:val="prodheadlines"/>
    <w:basedOn w:val="44"/>
    <w:autoRedefine/>
    <w:qFormat/>
    <w:uiPriority w:val="0"/>
  </w:style>
  <w:style w:type="character" w:customStyle="1" w:styleId="160">
    <w:name w:val="text"/>
    <w:basedOn w:val="44"/>
    <w:autoRedefine/>
    <w:qFormat/>
    <w:uiPriority w:val="0"/>
  </w:style>
  <w:style w:type="paragraph" w:customStyle="1" w:styleId="161">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autoRedefine/>
    <w:qFormat/>
    <w:uiPriority w:val="0"/>
    <w:pPr>
      <w:ind w:firstLine="560" w:firstLineChars="200"/>
    </w:pPr>
    <w:rPr>
      <w:sz w:val="28"/>
    </w:rPr>
  </w:style>
  <w:style w:type="character" w:customStyle="1" w:styleId="167">
    <w:name w:val="gray6"/>
    <w:basedOn w:val="44"/>
    <w:autoRedefine/>
    <w:qFormat/>
    <w:uiPriority w:val="0"/>
  </w:style>
  <w:style w:type="character" w:customStyle="1" w:styleId="168">
    <w:name w:val="style9"/>
    <w:basedOn w:val="44"/>
    <w:autoRedefine/>
    <w:qFormat/>
    <w:uiPriority w:val="0"/>
  </w:style>
  <w:style w:type="paragraph" w:customStyle="1" w:styleId="16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autoRedefine/>
    <w:qFormat/>
    <w:uiPriority w:val="0"/>
  </w:style>
  <w:style w:type="paragraph" w:customStyle="1" w:styleId="171">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autoRedefine/>
    <w:qFormat/>
    <w:uiPriority w:val="0"/>
    <w:pPr>
      <w:jc w:val="left"/>
    </w:pPr>
    <w:rPr>
      <w:rFonts w:ascii="Tahoma" w:hAnsi="Tahoma"/>
      <w:sz w:val="24"/>
      <w:szCs w:val="20"/>
    </w:rPr>
  </w:style>
  <w:style w:type="paragraph" w:customStyle="1" w:styleId="173">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autoRedefine/>
    <w:qFormat/>
    <w:uiPriority w:val="0"/>
    <w:pPr>
      <w:widowControl/>
      <w:spacing w:before="100" w:beforeAutospacing="1" w:after="100" w:afterAutospacing="1"/>
      <w:jc w:val="left"/>
    </w:pPr>
    <w:rPr>
      <w:kern w:val="0"/>
      <w:sz w:val="24"/>
    </w:rPr>
  </w:style>
  <w:style w:type="paragraph" w:customStyle="1" w:styleId="1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autoRedefine/>
    <w:qFormat/>
    <w:uiPriority w:val="0"/>
    <w:pPr>
      <w:adjustRightInd w:val="0"/>
      <w:jc w:val="center"/>
    </w:pPr>
    <w:rPr>
      <w:rFonts w:ascii="宋体"/>
      <w:sz w:val="24"/>
      <w:szCs w:val="20"/>
    </w:rPr>
  </w:style>
  <w:style w:type="character" w:customStyle="1" w:styleId="181">
    <w:name w:val="样式 小三 加粗"/>
    <w:autoRedefine/>
    <w:qFormat/>
    <w:uiPriority w:val="0"/>
    <w:rPr>
      <w:rFonts w:eastAsia="宋体"/>
      <w:b/>
      <w:bCs/>
      <w:sz w:val="32"/>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autoRedefine/>
    <w:qFormat/>
    <w:uiPriority w:val="0"/>
    <w:rPr>
      <w:rFonts w:ascii="Tahoma" w:hAnsi="Tahoma"/>
      <w:sz w:val="24"/>
      <w:szCs w:val="20"/>
    </w:rPr>
  </w:style>
  <w:style w:type="paragraph" w:customStyle="1" w:styleId="185">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autoRedefine/>
    <w:qFormat/>
    <w:uiPriority w:val="0"/>
  </w:style>
  <w:style w:type="paragraph" w:customStyle="1" w:styleId="187">
    <w:name w:val="缩进正文"/>
    <w:basedOn w:val="1"/>
    <w:link w:val="188"/>
    <w:autoRedefine/>
    <w:qFormat/>
    <w:uiPriority w:val="0"/>
    <w:pPr>
      <w:ind w:firstLine="560" w:firstLineChars="200"/>
    </w:pPr>
    <w:rPr>
      <w:rFonts w:eastAsia="仿宋_GB2312" w:cs="宋体"/>
      <w:sz w:val="28"/>
      <w:szCs w:val="20"/>
    </w:rPr>
  </w:style>
  <w:style w:type="character" w:customStyle="1" w:styleId="188">
    <w:name w:val="缩进正文 Char"/>
    <w:link w:val="187"/>
    <w:autoRedefine/>
    <w:qFormat/>
    <w:uiPriority w:val="0"/>
    <w:rPr>
      <w:rFonts w:eastAsia="仿宋_GB2312" w:cs="宋体"/>
      <w:kern w:val="2"/>
      <w:sz w:val="28"/>
      <w:lang w:val="en-US" w:eastAsia="zh-CN" w:bidi="ar-SA"/>
    </w:rPr>
  </w:style>
  <w:style w:type="paragraph" w:customStyle="1" w:styleId="189">
    <w:name w:val="列出段落1"/>
    <w:basedOn w:val="1"/>
    <w:autoRedefine/>
    <w:qFormat/>
    <w:uiPriority w:val="0"/>
    <w:pPr>
      <w:ind w:firstLine="420" w:firstLineChars="200"/>
    </w:pPr>
    <w:rPr>
      <w:rFonts w:ascii="Calibri" w:hAnsi="Calibri" w:cs="Calibri"/>
      <w:szCs w:val="21"/>
    </w:rPr>
  </w:style>
  <w:style w:type="character" w:customStyle="1" w:styleId="190">
    <w:name w:val="批注文字 Char"/>
    <w:basedOn w:val="44"/>
    <w:link w:val="16"/>
    <w:autoRedefine/>
    <w:qFormat/>
    <w:uiPriority w:val="99"/>
    <w:rPr>
      <w:rFonts w:ascii="宋体"/>
      <w:sz w:val="34"/>
    </w:rPr>
  </w:style>
  <w:style w:type="character" w:customStyle="1" w:styleId="191">
    <w:name w:val="批注主题 Char"/>
    <w:basedOn w:val="190"/>
    <w:link w:val="40"/>
    <w:autoRedefine/>
    <w:qFormat/>
    <w:uiPriority w:val="99"/>
    <w:rPr>
      <w:rFonts w:ascii="宋体"/>
      <w:sz w:val="34"/>
    </w:rPr>
  </w:style>
  <w:style w:type="paragraph" w:customStyle="1" w:styleId="192">
    <w:name w:val="评价"/>
    <w:basedOn w:val="1"/>
    <w:autoRedefine/>
    <w:qFormat/>
    <w:uiPriority w:val="0"/>
    <w:pPr>
      <w:spacing w:afterLines="20"/>
      <w:ind w:firstLine="1446" w:firstLineChars="200"/>
    </w:pPr>
    <w:rPr>
      <w:rFonts w:ascii="Calibri" w:hAnsi="Calibri"/>
      <w:sz w:val="24"/>
    </w:rPr>
  </w:style>
  <w:style w:type="paragraph" w:customStyle="1" w:styleId="19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autoRedefine/>
    <w:qFormat/>
    <w:uiPriority w:val="0"/>
    <w:rPr>
      <w:color w:val="4D90F0"/>
    </w:rPr>
  </w:style>
  <w:style w:type="character" w:customStyle="1" w:styleId="195">
    <w:name w:val="body text Char1"/>
    <w:autoRedefine/>
    <w:qFormat/>
    <w:uiPriority w:val="0"/>
    <w:rPr>
      <w:rFonts w:eastAsia="宋体"/>
      <w:kern w:val="2"/>
      <w:sz w:val="21"/>
      <w:lang w:val="en-US" w:eastAsia="zh-CN" w:bidi="ar-SA"/>
    </w:rPr>
  </w:style>
  <w:style w:type="character" w:customStyle="1" w:styleId="196">
    <w:name w:val="普通(网站) Char"/>
    <w:link w:val="37"/>
    <w:autoRedefine/>
    <w:qFormat/>
    <w:uiPriority w:val="0"/>
    <w:rPr>
      <w:kern w:val="2"/>
      <w:sz w:val="24"/>
      <w:szCs w:val="24"/>
    </w:rPr>
  </w:style>
  <w:style w:type="character" w:customStyle="1" w:styleId="197">
    <w:name w:val="批注文字 Char1"/>
    <w:autoRedefine/>
    <w:qFormat/>
    <w:uiPriority w:val="99"/>
    <w:rPr>
      <w:rFonts w:ascii="宋体"/>
      <w:sz w:val="34"/>
    </w:rPr>
  </w:style>
  <w:style w:type="character" w:customStyle="1" w:styleId="198">
    <w:name w:val="正文缩进 Char1"/>
    <w:autoRedefine/>
    <w:qFormat/>
    <w:uiPriority w:val="0"/>
    <w:rPr>
      <w:rFonts w:eastAsia="宋体"/>
      <w:kern w:val="2"/>
      <w:sz w:val="21"/>
      <w:lang w:val="en-US" w:eastAsia="zh-CN" w:bidi="ar-SA"/>
    </w:rPr>
  </w:style>
  <w:style w:type="character" w:customStyle="1" w:styleId="199">
    <w:name w:val="layui-this"/>
    <w:basedOn w:val="44"/>
    <w:autoRedefine/>
    <w:qFormat/>
    <w:uiPriority w:val="0"/>
    <w:rPr>
      <w:bdr w:val="single" w:color="EEEEEE" w:sz="4" w:space="0"/>
      <w:shd w:val="clear" w:color="auto" w:fill="FFFFFF"/>
    </w:rPr>
  </w:style>
  <w:style w:type="character" w:customStyle="1" w:styleId="200">
    <w:name w:val="first-child"/>
    <w:basedOn w:val="44"/>
    <w:autoRedefine/>
    <w:qFormat/>
    <w:uiPriority w:val="0"/>
  </w:style>
  <w:style w:type="paragraph" w:customStyle="1" w:styleId="201">
    <w:name w:val="修订2"/>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autoRedefine/>
    <w:qFormat/>
    <w:uiPriority w:val="0"/>
    <w:rPr>
      <w:rFonts w:ascii="Calibri" w:hAnsi="Calibri"/>
      <w:szCs w:val="22"/>
    </w:rPr>
  </w:style>
  <w:style w:type="paragraph" w:styleId="204">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1922</Words>
  <Characters>1922</Characters>
  <Lines>360</Lines>
  <Paragraphs>101</Paragraphs>
  <TotalTime>124</TotalTime>
  <ScaleCrop>false</ScaleCrop>
  <LinksUpToDate>false</LinksUpToDate>
  <CharactersWithSpaces>1926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安然</cp:lastModifiedBy>
  <cp:lastPrinted>2021-05-09T08:02:00Z</cp:lastPrinted>
  <dcterms:modified xsi:type="dcterms:W3CDTF">2025-10-31T02:37:28Z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CE14408C20F04EA085AB96CDA11407A0_13</vt:lpwstr>
  </property>
  <property fmtid="{D5CDD505-2E9C-101B-9397-08002B2CF9AE}" pid="4" name="KSOTemplateDocerSaveRecord">
    <vt:lpwstr>eyJoZGlkIjoiMjk5YTc0NzhhNjg4MmI0MTE1YWVjOTUzM2VlYjMwMTYiLCJ1c2VySWQiOiIyMTc0OTU0NzIifQ==</vt:lpwstr>
  </property>
</Properties>
</file>