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3654" w:firstLineChars="1300"/>
        <w:jc w:val="both"/>
        <w:rPr>
          <w:rFonts w:hint="eastAsia" w:ascii="宋体" w:hAnsi="宋体" w:eastAsia="宋体" w:cs="宋体"/>
          <w:color w:val="FF0000"/>
          <w:szCs w:val="21"/>
          <w:lang w:val="en-US"/>
        </w:rPr>
      </w:pPr>
      <w:r>
        <w:rPr>
          <w:rFonts w:hint="eastAsia" w:ascii="宋体" w:hAnsi="宋体" w:eastAsia="黑体" w:cs="黑体"/>
          <w:b/>
          <w:bCs/>
          <w:color w:val="FF0000"/>
          <w:kern w:val="44"/>
          <w:sz w:val="28"/>
          <w:szCs w:val="44"/>
          <w:lang w:val="en-US" w:eastAsia="zh-CN" w:bidi="ar"/>
        </w:rPr>
        <w:t>特别警示条款</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240" w:afterLines="100" w:afterAutospacing="0" w:line="400" w:lineRule="exact"/>
        <w:ind w:left="0" w:right="0" w:firstLine="422" w:firstLineChars="200"/>
        <w:jc w:val="both"/>
        <w:rPr>
          <w:rFonts w:hint="eastAsia" w:ascii="宋体" w:hAnsi="宋体" w:eastAsia="宋体" w:cs="宋体"/>
          <w:b/>
          <w:bCs/>
          <w:color w:val="FF0000"/>
          <w:sz w:val="21"/>
          <w:szCs w:val="21"/>
          <w:highlight w:val="yellow"/>
          <w:lang w:val="en-US"/>
        </w:rPr>
      </w:pPr>
      <w:r>
        <w:rPr>
          <w:rFonts w:hint="eastAsia" w:ascii="宋体" w:hAnsi="宋体" w:eastAsia="宋体" w:cs="宋体"/>
          <w:b/>
          <w:bCs/>
          <w:color w:val="FF0000"/>
          <w:kern w:val="2"/>
          <w:sz w:val="21"/>
          <w:szCs w:val="21"/>
          <w:highlight w:val="yellow"/>
          <w:lang w:val="en-US"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43"/>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1"/>
        <w:gridCol w:w="8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供应商参与投标禁止情形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与其他投标供应商的法定代表人、主要经营负责人、投标授权代表人、项目负责人、主要技术人员为</w:t>
            </w:r>
            <w:r>
              <w:rPr>
                <w:rFonts w:hint="eastAsia" w:ascii="宋体" w:hAnsi="宋体" w:eastAsia="宋体" w:cs="宋体"/>
                <w:b/>
                <w:bCs/>
                <w:color w:val="FF0000"/>
                <w:kern w:val="2"/>
                <w:sz w:val="21"/>
                <w:szCs w:val="21"/>
                <w:lang w:val="en-US" w:eastAsia="zh-CN" w:bidi="ar"/>
              </w:rPr>
              <w:t>同一人、属同一单位或者在同一单位缴纳社会保险</w:t>
            </w:r>
            <w:r>
              <w:rPr>
                <w:rFonts w:hint="eastAsia" w:ascii="宋体" w:hAnsi="宋体" w:eastAsia="宋体" w:cs="宋体"/>
                <w:color w:val="FF0000"/>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参与本项目采购活动时，与其他投标供应商存在单位负责人为</w:t>
            </w:r>
            <w:r>
              <w:rPr>
                <w:rFonts w:hint="eastAsia" w:ascii="宋体" w:hAnsi="宋体" w:eastAsia="宋体" w:cs="宋体"/>
                <w:b/>
                <w:bCs/>
                <w:color w:val="FF0000"/>
                <w:kern w:val="2"/>
                <w:sz w:val="21"/>
                <w:szCs w:val="21"/>
                <w:lang w:val="en-US" w:eastAsia="zh-CN" w:bidi="ar"/>
              </w:rPr>
              <w:t>同一人或直接控股、管理关系</w:t>
            </w:r>
            <w:r>
              <w:rPr>
                <w:rFonts w:hint="eastAsia" w:ascii="宋体" w:hAnsi="宋体" w:eastAsia="宋体" w:cs="宋体"/>
                <w:color w:val="FF0000"/>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与其他投标供应商的投标文件或部分投标文件</w:t>
            </w:r>
            <w:r>
              <w:rPr>
                <w:rFonts w:hint="eastAsia" w:ascii="宋体" w:hAnsi="宋体" w:eastAsia="宋体" w:cs="宋体"/>
                <w:b/>
                <w:bCs/>
                <w:color w:val="FF0000"/>
                <w:kern w:val="2"/>
                <w:sz w:val="21"/>
                <w:szCs w:val="21"/>
                <w:lang w:val="en-US" w:eastAsia="zh-CN" w:bidi="ar"/>
              </w:rPr>
              <w:t>相互混装或存在非正常一致</w:t>
            </w:r>
            <w:r>
              <w:rPr>
                <w:rFonts w:hint="eastAsia" w:ascii="宋体" w:hAnsi="宋体" w:eastAsia="宋体" w:cs="宋体"/>
                <w:color w:val="FF0000"/>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与其他投标供应商的投标文件由</w:t>
            </w:r>
            <w:r>
              <w:rPr>
                <w:rFonts w:hint="eastAsia" w:ascii="宋体" w:hAnsi="宋体" w:eastAsia="宋体" w:cs="宋体"/>
                <w:b/>
                <w:bCs/>
                <w:color w:val="FF0000"/>
                <w:kern w:val="2"/>
                <w:sz w:val="21"/>
                <w:szCs w:val="21"/>
                <w:lang w:val="en-US" w:eastAsia="zh-CN" w:bidi="ar"/>
              </w:rPr>
              <w:t>同一单位或者同一人编制</w:t>
            </w:r>
            <w:r>
              <w:rPr>
                <w:rFonts w:hint="eastAsia" w:ascii="宋体" w:hAnsi="宋体" w:eastAsia="宋体" w:cs="宋体"/>
                <w:color w:val="FF0000"/>
                <w:kern w:val="2"/>
                <w:sz w:val="21"/>
                <w:szCs w:val="21"/>
                <w:lang w:val="en-US" w:eastAsia="zh-CN" w:bidi="ar"/>
              </w:rPr>
              <w:t>，或者使用</w:t>
            </w:r>
            <w:r>
              <w:rPr>
                <w:rFonts w:hint="eastAsia" w:ascii="宋体" w:hAnsi="宋体" w:eastAsia="宋体" w:cs="宋体"/>
                <w:b/>
                <w:bCs/>
                <w:color w:val="FF0000"/>
                <w:kern w:val="2"/>
                <w:sz w:val="21"/>
                <w:szCs w:val="21"/>
                <w:lang w:val="en-US" w:eastAsia="zh-CN" w:bidi="ar"/>
              </w:rPr>
              <w:t>同一设备编制</w:t>
            </w:r>
            <w:r>
              <w:rPr>
                <w:rFonts w:hint="eastAsia" w:ascii="宋体" w:hAnsi="宋体" w:eastAsia="宋体" w:cs="宋体"/>
                <w:color w:val="FF0000"/>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提供</w:t>
            </w:r>
            <w:r>
              <w:rPr>
                <w:rFonts w:hint="eastAsia" w:ascii="宋体" w:hAnsi="宋体" w:eastAsia="宋体" w:cs="宋体"/>
                <w:b/>
                <w:bCs/>
                <w:color w:val="FF0000"/>
                <w:kern w:val="2"/>
                <w:sz w:val="21"/>
                <w:szCs w:val="21"/>
                <w:lang w:val="en-US" w:eastAsia="zh-CN" w:bidi="ar"/>
              </w:rPr>
              <w:t>未经出具机构核实</w:t>
            </w:r>
            <w:r>
              <w:rPr>
                <w:rFonts w:hint="eastAsia" w:ascii="宋体" w:hAnsi="宋体" w:eastAsia="宋体" w:cs="宋体"/>
                <w:color w:val="FF0000"/>
                <w:kern w:val="2"/>
                <w:sz w:val="21"/>
                <w:szCs w:val="21"/>
                <w:lang w:val="en-US" w:eastAsia="zh-CN" w:bidi="ar"/>
              </w:rPr>
              <w:t>的虚假的检验检测报告、业绩材料、社保缴纳证明、学历学位证书、职称认证证书等材料。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FF0000"/>
                <w:sz w:val="21"/>
                <w:szCs w:val="21"/>
                <w:lang w:val="en-US"/>
              </w:rPr>
            </w:pPr>
            <w:r>
              <w:rPr>
                <w:rFonts w:hint="eastAsia" w:ascii="宋体" w:hAnsi="宋体" w:eastAsia="宋体" w:cs="宋体"/>
                <w:color w:val="FF0000"/>
                <w:sz w:val="21"/>
                <w:szCs w:val="21"/>
                <w:highlight w:val="none"/>
                <w:lang w:val="en-US" w:eastAsia="zh-CN"/>
              </w:rPr>
              <w:t>擅自将投标密钥</w:t>
            </w:r>
            <w:r>
              <w:rPr>
                <w:rFonts w:hint="eastAsia" w:ascii="宋体" w:hAnsi="宋体" w:eastAsia="宋体" w:cs="宋体"/>
                <w:color w:val="FF0000"/>
                <w:sz w:val="21"/>
                <w:szCs w:val="21"/>
                <w:highlight w:val="none"/>
                <w:lang w:eastAsia="zh-CN"/>
              </w:rPr>
              <w:t>或</w:t>
            </w:r>
            <w:r>
              <w:rPr>
                <w:rFonts w:hint="eastAsia" w:ascii="宋体" w:hAnsi="宋体" w:eastAsia="宋体" w:cs="宋体"/>
                <w:color w:val="FF0000"/>
                <w:sz w:val="21"/>
                <w:szCs w:val="21"/>
                <w:highlight w:val="none"/>
                <w:lang w:val="en-US" w:eastAsia="zh-CN"/>
              </w:rPr>
              <w:t>电子营业执照出借他人使用或未妥善保管。</w:t>
            </w:r>
          </w:p>
        </w:tc>
      </w:tr>
    </w:tbl>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一、</w:t>
      </w:r>
      <w:r>
        <w:rPr>
          <w:rFonts w:hint="eastAsia" w:ascii="宋体" w:hAnsi="宋体" w:eastAsia="宋体" w:cs="宋体"/>
          <w:b/>
          <w:bCs/>
          <w:color w:val="FF0000"/>
          <w:kern w:val="2"/>
          <w:sz w:val="21"/>
          <w:szCs w:val="21"/>
          <w:lang w:val="en-US" w:eastAsia="zh-CN" w:bidi="ar"/>
        </w:rPr>
        <w:t>《深圳经济特区政府采购条例》第五十七条</w:t>
      </w:r>
      <w:r>
        <w:rPr>
          <w:rFonts w:hint="eastAsia" w:ascii="宋体" w:hAnsi="宋体" w:eastAsia="宋体" w:cs="宋体"/>
          <w:color w:val="FF0000"/>
          <w:kern w:val="2"/>
          <w:sz w:val="21"/>
          <w:szCs w:val="21"/>
          <w:lang w:val="en-US"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（一）在采购活动中应当回避而未回避的；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（二）未按本条例规定签订、履行采购合同，造成严重后果的；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（三）隐瞒真实情况，提供虚假资料的；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（四）以非法手段排斥其他供应商参与竞争的；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（五）与其他采购参加人串通投标的；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（六）恶意投诉的；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（七）向采购项目相关人行贿或者提供其他不当利益的；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（八）阻碍、抗拒主管部门监督检查的；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（九）其他违反本条例规定的行为。</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 xml:space="preserve">二、《深圳经济特区政府采购条例实施细则》第七十五条 </w:t>
      </w:r>
      <w:r>
        <w:rPr>
          <w:rFonts w:hint="eastAsia" w:ascii="宋体" w:hAnsi="宋体" w:eastAsia="宋体" w:cs="宋体"/>
          <w:color w:val="FF0000"/>
          <w:kern w:val="2"/>
          <w:sz w:val="21"/>
          <w:szCs w:val="21"/>
          <w:lang w:val="en-US"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rFonts w:hint="eastAsia" w:ascii="宋体" w:hAnsi="宋体" w:eastAsia="宋体" w:cs="宋体"/>
          <w:color w:val="FF0000"/>
          <w:sz w:val="21"/>
          <w:szCs w:val="21"/>
          <w:lang w:val="en-US"/>
        </w:rPr>
      </w:pPr>
      <w:r>
        <w:rPr>
          <w:rFonts w:hint="eastAsia" w:ascii="宋体" w:hAnsi="宋体" w:eastAsia="宋体" w:cs="宋体"/>
          <w:b/>
          <w:bCs/>
          <w:color w:val="FF0000"/>
          <w:kern w:val="2"/>
          <w:sz w:val="21"/>
          <w:szCs w:val="21"/>
          <w:lang w:val="en-US" w:eastAsia="zh-CN" w:bidi="ar"/>
        </w:rPr>
        <w:t xml:space="preserve">三、《深圳经济特区政府采购条例实施细则》第七十七条 </w:t>
      </w:r>
      <w:r>
        <w:rPr>
          <w:rFonts w:hint="eastAsia" w:ascii="宋体" w:hAnsi="宋体" w:eastAsia="宋体" w:cs="宋体"/>
          <w:color w:val="FF0000"/>
          <w:kern w:val="2"/>
          <w:sz w:val="21"/>
          <w:szCs w:val="21"/>
          <w:lang w:val="en-US"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firstLineChars="200"/>
        <w:jc w:val="both"/>
        <w:rPr>
          <w:rFonts w:hint="eastAsia" w:ascii="宋体" w:hAnsi="宋体" w:eastAsia="宋体" w:cs="宋体"/>
          <w:color w:val="FF0000"/>
          <w:sz w:val="21"/>
          <w:szCs w:val="21"/>
          <w:lang w:val="en-US"/>
        </w:rPr>
      </w:pPr>
      <w:r>
        <w:rPr>
          <w:rFonts w:hint="eastAsia" w:ascii="宋体" w:hAnsi="宋体" w:eastAsia="宋体" w:cs="宋体"/>
          <w:color w:val="FF0000"/>
          <w:kern w:val="2"/>
          <w:sz w:val="21"/>
          <w:szCs w:val="21"/>
          <w:lang w:val="en-US" w:eastAsia="zh-CN" w:bidi="ar"/>
        </w:rPr>
        <w:t>投标供应商不能提供项目负责人或者主要技术人员的劳动合同、社会保险等劳动关系证明材料的，视为存在前款第（三）项规定的情形。</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bCs/>
          <w:color w:val="FF0000"/>
          <w:sz w:val="21"/>
          <w:szCs w:val="21"/>
          <w:lang w:val="en-US"/>
        </w:rPr>
      </w:pPr>
      <w:r>
        <w:rPr>
          <w:rFonts w:hint="eastAsia" w:ascii="Times New Roman" w:hAnsi="Times New Roman" w:eastAsia="宋体" w:cs="宋体"/>
          <w:b/>
          <w:bCs w:val="0"/>
          <w:color w:val="FF0000"/>
          <w:kern w:val="2"/>
          <w:sz w:val="21"/>
          <w:szCs w:val="21"/>
          <w:lang w:val="en-US" w:eastAsia="zh-CN" w:bidi="ar"/>
        </w:rPr>
        <w:t>四、根据《深圳经济特区政府采购条例实施细则》第七十五条规定</w:t>
      </w:r>
      <w:r>
        <w:rPr>
          <w:rFonts w:hint="eastAsia" w:ascii="Times New Roman" w:hAnsi="Times New Roman" w:eastAsia="宋体" w:cs="宋体"/>
          <w:bCs/>
          <w:color w:val="FF0000"/>
          <w:kern w:val="2"/>
          <w:sz w:val="21"/>
          <w:szCs w:val="21"/>
          <w:lang w:val="en-US"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hint="eastAsia" w:ascii="宋体" w:hAnsi="宋体" w:eastAsia="宋体" w:cs="宋体"/>
          <w:color w:val="FF0000"/>
          <w:kern w:val="2"/>
          <w:sz w:val="21"/>
          <w:szCs w:val="21"/>
          <w:lang w:val="en-US" w:eastAsia="zh-CN" w:bidi="ar"/>
        </w:rPr>
        <w:t>取消参与本市政府采购资格</w:t>
      </w:r>
      <w:r>
        <w:rPr>
          <w:rFonts w:hint="eastAsia" w:ascii="Times New Roman" w:hAnsi="宋体" w:eastAsia="宋体" w:cs="宋体"/>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依法吊销其营业</w:t>
      </w:r>
      <w:r>
        <w:rPr>
          <w:rFonts w:hint="eastAsia" w:ascii="Times New Roman" w:hAnsi="宋体" w:eastAsia="宋体" w:cs="宋体"/>
          <w:color w:val="FF0000"/>
          <w:kern w:val="2"/>
          <w:sz w:val="21"/>
          <w:szCs w:val="21"/>
          <w:lang w:val="en-US" w:eastAsia="zh-CN" w:bidi="ar"/>
        </w:rPr>
        <w:t>执照等行政处罚，</w:t>
      </w:r>
      <w:r>
        <w:rPr>
          <w:rFonts w:hint="eastAsia" w:ascii="宋体" w:hAnsi="宋体" w:eastAsia="宋体" w:cs="宋体"/>
          <w:color w:val="FF0000"/>
          <w:kern w:val="2"/>
          <w:sz w:val="21"/>
          <w:szCs w:val="21"/>
          <w:lang w:val="en-US" w:eastAsia="zh-CN" w:bidi="ar"/>
        </w:rPr>
        <w:t>构成犯罪的，依法追究刑事责任</w:t>
      </w:r>
      <w:r>
        <w:rPr>
          <w:rFonts w:hint="eastAsia" w:ascii="Times New Roman" w:hAnsi="Times New Roman" w:eastAsia="宋体" w:cs="宋体"/>
          <w:bCs/>
          <w:color w:val="FF0000"/>
          <w:kern w:val="2"/>
          <w:sz w:val="21"/>
          <w:szCs w:val="21"/>
          <w:lang w:val="en-US" w:eastAsia="zh-CN" w:bidi="ar"/>
        </w:rPr>
        <w:t>，请各供应商独立编制、上传投标文件，妥善保管和使用电子秘钥。</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2" w:firstLineChars="200"/>
        <w:jc w:val="both"/>
        <w:rPr>
          <w:sz w:val="21"/>
          <w:szCs w:val="21"/>
          <w:lang w:val="en-US"/>
        </w:rPr>
      </w:pPr>
      <w:r>
        <w:rPr>
          <w:rFonts w:hint="eastAsia" w:ascii="Times New Roman" w:hAnsi="Times New Roman" w:eastAsia="宋体" w:cs="宋体"/>
          <w:b/>
          <w:bCs w:val="0"/>
          <w:color w:val="FF0000"/>
          <w:kern w:val="2"/>
          <w:sz w:val="21"/>
          <w:szCs w:val="21"/>
          <w:lang w:val="en-US" w:eastAsia="zh-CN" w:bidi="ar"/>
        </w:rPr>
        <w:t>五、请投标供应商阅读《采购违法行为风险知悉确认书》（内容详见“投标文件”中节点“投标人认为需要加以说明的其他内容”），并经各投标供应商负责人签字并加盖单位公章后，扫描上传至投标文件一并提交。</w:t>
      </w:r>
    </w:p>
    <w:p>
      <w:pPr>
        <w:keepNext w:val="0"/>
        <w:keepLines w:val="0"/>
        <w:widowControl/>
        <w:suppressLineNumbers w:val="0"/>
        <w:spacing w:before="0" w:beforeAutospacing="1" w:after="0" w:afterAutospacing="1"/>
        <w:ind w:left="0" w:right="0"/>
        <w:jc w:val="left"/>
        <w:outlineLvl w:val="1"/>
        <w:rPr>
          <w:rFonts w:hint="eastAsia" w:ascii="黑体" w:hAnsi="宋体" w:eastAsia="黑体" w:cs="黑体"/>
          <w:kern w:val="0"/>
          <w:sz w:val="21"/>
          <w:szCs w:val="21"/>
          <w:lang w:val="en-US"/>
        </w:rPr>
      </w:pPr>
      <w:r>
        <w:rPr>
          <w:rFonts w:hint="eastAsia" w:ascii="Times New Roman" w:hAnsi="Times New Roman" w:eastAsia="宋体" w:cs="宋体"/>
          <w:b/>
          <w:bCs w:val="0"/>
          <w:color w:val="FF0000"/>
          <w:kern w:val="2"/>
          <w:sz w:val="21"/>
          <w:szCs w:val="21"/>
          <w:lang w:val="en-US" w:eastAsia="zh-CN" w:bidi="ar"/>
        </w:rPr>
        <w:t>注：“特别警示条款”和《采购违法行为风险知悉确认书》用于对供应商违法行为的提醒，不作为供应商资格性审查及符合性审查条件。</w:t>
      </w:r>
    </w:p>
    <w:p>
      <w:pPr>
        <w:rPr>
          <w:rFonts w:hint="eastAsia" w:ascii="方正小标宋简体" w:hAnsi="方正小标宋简体" w:eastAsia="方正小标宋简体" w:cs="方正小标宋简体"/>
          <w:bCs/>
          <w:color w:val="000000"/>
          <w:sz w:val="21"/>
          <w:szCs w:val="21"/>
        </w:rPr>
      </w:pPr>
      <w:r>
        <w:rPr>
          <w:rFonts w:hint="eastAsia" w:ascii="方正小标宋简体" w:hAnsi="方正小标宋简体" w:eastAsia="方正小标宋简体" w:cs="方正小标宋简体"/>
          <w:bCs/>
          <w:color w:val="000000"/>
          <w:sz w:val="21"/>
          <w:szCs w:val="21"/>
        </w:rPr>
        <w:br w:type="page"/>
      </w:r>
    </w:p>
    <w:p>
      <w:pPr>
        <w:widowControl/>
        <w:spacing w:before="100" w:beforeAutospacing="1" w:after="100" w:afterAutospacing="1"/>
        <w:jc w:val="center"/>
        <w:outlineLvl w:val="1"/>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招标文件信息</w:t>
      </w:r>
    </w:p>
    <w:tbl>
      <w:tblPr>
        <w:tblStyle w:val="42"/>
        <w:tblW w:w="7943" w:type="dxa"/>
        <w:jc w:val="center"/>
        <w:tblCellSpacing w:w="0" w:type="dxa"/>
        <w:tblLayout w:type="autofit"/>
        <w:tblCellMar>
          <w:top w:w="45" w:type="dxa"/>
          <w:left w:w="45" w:type="dxa"/>
          <w:bottom w:w="45" w:type="dxa"/>
          <w:right w:w="45" w:type="dxa"/>
        </w:tblCellMar>
      </w:tblPr>
      <w:tblGrid>
        <w:gridCol w:w="2723"/>
        <w:gridCol w:w="5220"/>
      </w:tblGrid>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项目编号：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eastAsia" w:ascii="宋体" w:hAnsi="宋体" w:cs="宋体"/>
                <w:kern w:val="0"/>
                <w:sz w:val="30"/>
                <w:szCs w:val="30"/>
                <w:lang w:bidi="ar"/>
              </w:rPr>
              <w:t>SZZXCG-2025-00473</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项目名称：</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eastAsia" w:ascii="宋体" w:hAnsi="宋体" w:cs="宋体"/>
                <w:kern w:val="0"/>
                <w:sz w:val="30"/>
                <w:szCs w:val="30"/>
                <w:lang w:bidi="ar"/>
              </w:rPr>
              <w:t xml:space="preserve">遥感观测图像处理建模与高精度复原算法研究 </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包 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rPr>
              <w:t>A</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项目类型：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eastAsia" w:ascii="宋体" w:hAnsi="宋体" w:cs="宋体"/>
                <w:kern w:val="0"/>
                <w:sz w:val="30"/>
                <w:szCs w:val="30"/>
              </w:rPr>
              <w:t>服务类</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采购方式：</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rPr>
              <w:t>公开</w:t>
            </w:r>
            <w:r>
              <w:rPr>
                <w:rFonts w:hint="eastAsia" w:ascii="宋体" w:hAnsi="宋体" w:cs="宋体"/>
                <w:kern w:val="0"/>
                <w:sz w:val="30"/>
                <w:szCs w:val="30"/>
              </w:rPr>
              <w:t>招标</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货币类型：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rPr>
              <w:t>人民币</w:t>
            </w:r>
          </w:p>
        </w:tc>
      </w:tr>
      <w:tr>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hint="default"/>
                <w:sz w:val="30"/>
                <w:szCs w:val="30"/>
              </w:rPr>
            </w:pPr>
            <w:r>
              <w:rPr>
                <w:rFonts w:hint="default" w:ascii="宋体" w:hAnsi="宋体" w:cs="宋体"/>
                <w:kern w:val="0"/>
                <w:sz w:val="30"/>
                <w:szCs w:val="30"/>
              </w:rPr>
              <w:t>评标方法：</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hint="default"/>
                <w:sz w:val="30"/>
                <w:szCs w:val="30"/>
              </w:rPr>
            </w:pPr>
            <w:r>
              <w:rPr>
                <w:rFonts w:hint="default" w:ascii="宋体" w:hAnsi="宋体" w:cs="宋体"/>
                <w:kern w:val="0"/>
                <w:sz w:val="30"/>
                <w:szCs w:val="30"/>
                <w:lang w:bidi="ar"/>
              </w:rPr>
              <w:t>综合评分法</w:t>
            </w:r>
          </w:p>
        </w:tc>
      </w:tr>
    </w:tbl>
    <w:p>
      <w:pPr>
        <w:pStyle w:val="37"/>
        <w:jc w:val="center"/>
        <w:outlineLvl w:val="1"/>
        <w:rPr>
          <w:rFonts w:ascii="黑体" w:hAnsi="黑体" w:eastAsia="黑体"/>
          <w:sz w:val="40"/>
          <w:szCs w:val="40"/>
        </w:rPr>
      </w:pPr>
    </w:p>
    <w:p>
      <w:pPr>
        <w:pStyle w:val="18"/>
      </w:pPr>
      <w:r>
        <w:br w:type="page"/>
      </w:r>
    </w:p>
    <w:p>
      <w:pPr>
        <w:pStyle w:val="37"/>
        <w:jc w:val="center"/>
        <w:outlineLvl w:val="1"/>
        <w:rPr>
          <w:rFonts w:ascii="黑体" w:hAnsi="黑体" w:eastAsia="黑体"/>
          <w:sz w:val="40"/>
          <w:szCs w:val="40"/>
        </w:rPr>
      </w:pPr>
      <w:r>
        <w:rPr>
          <w:rFonts w:hint="eastAsia" w:ascii="黑体" w:hAnsi="黑体" w:eastAsia="黑体"/>
          <w:sz w:val="40"/>
          <w:szCs w:val="40"/>
        </w:rPr>
        <w:t>资格性审查表</w:t>
      </w:r>
    </w:p>
    <w:tbl>
      <w:tblPr>
        <w:tblStyle w:val="42"/>
        <w:tblW w:w="906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37"/>
        <w:gridCol w:w="84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0" w:type="auto"/>
            <w:tcBorders>
              <w:top w:val="single" w:color="000000" w:sz="8" w:space="0"/>
              <w:left w:val="single" w:color="000000" w:sz="8" w:space="0"/>
              <w:bottom w:val="single" w:color="000000" w:sz="8" w:space="0"/>
              <w:right w:val="single" w:color="000000" w:sz="8" w:space="0"/>
            </w:tcBorders>
            <w:shd w:val="clear" w:color="auto" w:fill="E6EFFA"/>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suppressLineNumbers w:val="0"/>
              <w:spacing w:before="0" w:beforeAutospacing="0" w:after="0" w:afterAutospacing="0"/>
              <w:ind w:left="0" w:right="0"/>
              <w:jc w:val="center"/>
              <w:rPr>
                <w:rFonts w:hint="default" w:cs="宋体" w:asciiTheme="minorEastAsia" w:hAnsiTheme="minorEastAsia" w:eastAsiaTheme="minorEastAsia"/>
                <w:szCs w:val="21"/>
              </w:rPr>
            </w:pPr>
            <w:r>
              <w:rPr>
                <w:rFonts w:hint="default" w:asciiTheme="minorEastAsia" w:hAnsiTheme="minorEastAsia" w:eastAsiaTheme="minorEastAsia"/>
                <w:szCs w:val="21"/>
              </w:rPr>
              <w:t>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0" w:type="auto"/>
            <w:tcBorders>
              <w:top w:val="single" w:color="000000" w:sz="8" w:space="0"/>
              <w:left w:val="single" w:color="000000" w:sz="8" w:space="0"/>
              <w:bottom w:val="single" w:color="000000" w:sz="8" w:space="0"/>
              <w:right w:val="single" w:color="000000" w:sz="8" w:space="0"/>
            </w:tcBorders>
          </w:tcPr>
          <w:p>
            <w:pPr>
              <w:keepNext w:val="0"/>
              <w:keepLines w:val="0"/>
              <w:suppressLineNumbers w:val="0"/>
              <w:spacing w:before="0" w:beforeAutospacing="0" w:after="0" w:afterAutospacing="0"/>
              <w:ind w:left="0" w:right="0"/>
              <w:jc w:val="center"/>
              <w:rPr>
                <w:rFonts w:hint="default"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0" w:type="auto"/>
            <w:tcBorders>
              <w:top w:val="single" w:color="000000" w:sz="8" w:space="0"/>
              <w:left w:val="single" w:color="000000" w:sz="8" w:space="0"/>
              <w:bottom w:val="single" w:color="000000" w:sz="8" w:space="0"/>
              <w:right w:val="single" w:color="000000" w:sz="8" w:space="0"/>
            </w:tcBorders>
          </w:tcPr>
          <w:p>
            <w:pPr>
              <w:keepNext w:val="0"/>
              <w:keepLines w:val="0"/>
              <w:suppressLineNumbers w:val="0"/>
              <w:spacing w:before="0" w:beforeAutospacing="0" w:after="0" w:afterAutospacing="0"/>
              <w:ind w:left="0" w:right="0"/>
              <w:rPr>
                <w:rFonts w:hint="default" w:cs="宋体" w:asciiTheme="minorEastAsia" w:hAnsiTheme="minorEastAsia" w:eastAsiaTheme="minorEastAsia"/>
                <w:szCs w:val="21"/>
              </w:rPr>
            </w:pPr>
            <w:r>
              <w:rPr>
                <w:rFonts w:hint="default" w:cs="宋体" w:asciiTheme="minorEastAsia" w:hAnsiTheme="minorEastAsia" w:eastAsiaTheme="minorEastAsia"/>
                <w:kern w:val="0"/>
                <w:szCs w:val="21"/>
              </w:rPr>
              <w:t>投标人不</w:t>
            </w:r>
            <w:r>
              <w:rPr>
                <w:rFonts w:hint="eastAsia" w:cs="宋体" w:asciiTheme="minorEastAsia" w:hAnsiTheme="minorEastAsia" w:eastAsiaTheme="minorEastAsia"/>
                <w:kern w:val="0"/>
                <w:szCs w:val="21"/>
              </w:rPr>
              <w:t>符合</w:t>
            </w:r>
            <w:r>
              <w:rPr>
                <w:rFonts w:hint="default" w:cs="宋体" w:asciiTheme="minorEastAsia" w:hAnsiTheme="minorEastAsia" w:eastAsiaTheme="minorEastAsia"/>
                <w:kern w:val="0"/>
                <w:szCs w:val="21"/>
              </w:rPr>
              <w:t>资格要求，或未提交相应的资格证明资料（详见</w:t>
            </w:r>
            <w:r>
              <w:rPr>
                <w:rFonts w:hint="eastAsia" w:cs="宋体" w:asciiTheme="minorEastAsia" w:hAnsiTheme="minorEastAsia" w:eastAsiaTheme="minorEastAsia"/>
                <w:kern w:val="0"/>
                <w:szCs w:val="21"/>
              </w:rPr>
              <w:t>招标</w:t>
            </w:r>
            <w:r>
              <w:rPr>
                <w:rFonts w:hint="default" w:cs="宋体" w:asciiTheme="minorEastAsia" w:hAnsiTheme="minorEastAsia" w:eastAsiaTheme="minorEastAsia"/>
                <w:kern w:val="0"/>
                <w:szCs w:val="21"/>
              </w:rPr>
              <w:t>公告</w:t>
            </w:r>
            <w:r>
              <w:rPr>
                <w:rFonts w:hint="eastAsia" w:asciiTheme="minorEastAsia" w:hAnsiTheme="minorEastAsia" w:eastAsiaTheme="minorEastAsia"/>
                <w:szCs w:val="21"/>
              </w:rPr>
              <w:t>投标人资格要求</w:t>
            </w:r>
            <w:r>
              <w:rPr>
                <w:rFonts w:hint="default" w:cs="宋体" w:asciiTheme="minorEastAsia" w:hAnsiTheme="minorEastAsia" w:eastAsiaTheme="minorEastAsia"/>
                <w:kern w:val="0"/>
                <w:szCs w:val="21"/>
              </w:rPr>
              <w:t>）</w:t>
            </w:r>
          </w:p>
        </w:tc>
      </w:tr>
    </w:tbl>
    <w:p>
      <w:pPr>
        <w:pStyle w:val="37"/>
        <w:spacing w:before="280"/>
        <w:jc w:val="center"/>
        <w:outlineLvl w:val="1"/>
        <w:rPr>
          <w:rFonts w:ascii="黑体" w:hAnsi="黑体" w:eastAsia="黑体"/>
          <w:sz w:val="40"/>
          <w:szCs w:val="40"/>
        </w:rPr>
      </w:pPr>
      <w:r>
        <w:rPr>
          <w:rFonts w:hint="eastAsia" w:ascii="黑体" w:hAnsi="黑体" w:eastAsia="黑体"/>
          <w:sz w:val="40"/>
          <w:szCs w:val="40"/>
        </w:rPr>
        <w:t>符合性审查表</w:t>
      </w:r>
    </w:p>
    <w:tbl>
      <w:tblPr>
        <w:tblStyle w:val="42"/>
        <w:tblW w:w="906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675"/>
        <w:gridCol w:w="83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675" w:type="dxa"/>
            <w:tcBorders>
              <w:top w:val="single" w:color="000000" w:sz="8" w:space="0"/>
              <w:left w:val="single" w:color="000000" w:sz="8" w:space="0"/>
              <w:bottom w:val="single" w:color="000000" w:sz="8" w:space="0"/>
              <w:right w:val="single" w:color="000000" w:sz="8" w:space="0"/>
            </w:tcBorders>
            <w:shd w:val="clear" w:color="auto" w:fill="E6EFFA"/>
          </w:tcPr>
          <w:p>
            <w:pPr>
              <w:keepNext w:val="0"/>
              <w:keepLines w:val="0"/>
              <w:widowControl/>
              <w:suppressLineNumbers w:val="0"/>
              <w:spacing w:before="0" w:beforeAutospacing="0" w:after="0" w:afterAutospacing="0"/>
              <w:ind w:left="0" w:right="0"/>
              <w:jc w:val="center"/>
              <w:rPr>
                <w:rFonts w:hint="default" w:cs="宋体" w:asciiTheme="minorEastAsia" w:hAnsiTheme="minorEastAsia" w:eastAsiaTheme="minorEastAsia"/>
                <w:kern w:val="0"/>
                <w:szCs w:val="21"/>
              </w:rPr>
            </w:pPr>
            <w:r>
              <w:rPr>
                <w:rFonts w:hint="default" w:cs="宋体" w:asciiTheme="minorEastAsia" w:hAnsiTheme="minorEastAsia" w:eastAsiaTheme="minorEastAsia"/>
                <w:kern w:val="0"/>
                <w:szCs w:val="21"/>
              </w:rPr>
              <w:t>序号</w:t>
            </w:r>
          </w:p>
        </w:tc>
        <w:tc>
          <w:tcPr>
            <w:tcW w:w="8386" w:type="dxa"/>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spacing w:before="0" w:beforeAutospacing="0" w:after="0" w:afterAutospacing="0"/>
              <w:ind w:left="0" w:right="0"/>
              <w:jc w:val="center"/>
              <w:rPr>
                <w:rFonts w:hint="default" w:asciiTheme="minorEastAsia" w:hAnsiTheme="minorEastAsia" w:eastAsiaTheme="minorEastAsia"/>
                <w:szCs w:val="21"/>
              </w:rPr>
            </w:pPr>
            <w:r>
              <w:rPr>
                <w:rFonts w:hint="default" w:cs="宋体" w:asciiTheme="minorEastAsia" w:hAnsiTheme="minorEastAsia" w:eastAsiaTheme="minorEastAsia"/>
                <w:kern w:val="0"/>
                <w:szCs w:val="21"/>
              </w:rPr>
              <w:t>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1</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不得将一个包内容拆开投标；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2</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对同一项目投标时，不得提供两套以上的投标方案（招标文件另有规定的除外）；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3</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分项报价或投标总价不得高于相应预算金额（或设定的预算金额下的最高限价）；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1436" w:hRule="atLeast"/>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rPr>
            </w:pPr>
            <w:r>
              <w:rPr>
                <w:rFonts w:hint="eastAsia" w:asciiTheme="minorEastAsia" w:hAnsiTheme="minorEastAsia" w:eastAsiaTheme="minorEastAsia"/>
                <w:szCs w:val="21"/>
              </w:rPr>
              <w:t>4</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vAlign w:val="top"/>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szCs w:val="21"/>
                <w:highlight w:val="yellow"/>
              </w:rPr>
            </w:pPr>
            <w:r>
              <w:rPr>
                <w:rFonts w:hint="default"/>
                <w:szCs w:val="21"/>
              </w:rPr>
              <w:t>5</w:t>
            </w:r>
          </w:p>
        </w:tc>
        <w:tc>
          <w:tcPr>
            <w:tcW w:w="8386"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suppressLineNumbers w:val="0"/>
              <w:spacing w:before="0" w:beforeAutospacing="0" w:after="0" w:afterAutospacing="0"/>
              <w:ind w:left="0" w:right="0"/>
              <w:rPr>
                <w:rFonts w:hint="default" w:asciiTheme="minorEastAsia" w:hAnsiTheme="minorEastAsia" w:eastAsiaTheme="minorEastAsia"/>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vAlign w:val="top"/>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szCs w:val="21"/>
              </w:rPr>
            </w:pPr>
            <w:r>
              <w:rPr>
                <w:rFonts w:hint="default"/>
                <w:szCs w:val="21"/>
              </w:rPr>
              <w:t>6</w:t>
            </w:r>
          </w:p>
        </w:tc>
        <w:tc>
          <w:tcPr>
            <w:tcW w:w="8386"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suppressLineNumbers w:val="0"/>
              <w:spacing w:before="0" w:beforeAutospacing="0" w:after="0" w:afterAutospacing="0"/>
              <w:ind w:left="0" w:right="0"/>
              <w:rPr>
                <w:rFonts w:hint="default" w:asciiTheme="minorEastAsia" w:hAnsiTheme="minorEastAsia" w:eastAsiaTheme="minorEastAsia"/>
                <w:szCs w:val="21"/>
              </w:rPr>
            </w:pPr>
            <w:r>
              <w:rPr>
                <w:rFonts w:hint="eastAsia"/>
              </w:rPr>
              <w:t>未按招标文件所提供的样式填写《投标函》；未按招标文件所提供的《采购投标及履约承诺函》进行承诺；未按招标文件对投标文件组成的要求提供投标文件；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vAlign w:val="top"/>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szCs w:val="21"/>
                <w:highlight w:val="yellow"/>
              </w:rPr>
            </w:pPr>
            <w:r>
              <w:rPr>
                <w:rFonts w:hint="default"/>
                <w:szCs w:val="21"/>
              </w:rPr>
              <w:t>7</w:t>
            </w:r>
          </w:p>
        </w:tc>
        <w:tc>
          <w:tcPr>
            <w:tcW w:w="8386"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suppressLineNumbers w:val="0"/>
              <w:spacing w:before="0" w:beforeAutospacing="0" w:after="0" w:afterAutospacing="0"/>
              <w:ind w:left="0" w:right="0"/>
              <w:rPr>
                <w:rFonts w:hint="default" w:asciiTheme="minorEastAsia" w:hAnsiTheme="minorEastAsia" w:eastAsiaTheme="minorEastAsia"/>
                <w:szCs w:val="21"/>
              </w:rPr>
            </w:pPr>
            <w:r>
              <w:rPr>
                <w:rFonts w:hint="eastAsia"/>
                <w:color w:val="auto"/>
                <w:lang w:val="en-US" w:eastAsia="zh-CN"/>
              </w:rPr>
              <w:t>采购标的/服务</w:t>
            </w:r>
            <w:r>
              <w:rPr>
                <w:rFonts w:hint="eastAsia" w:ascii="Times New Roman" w:eastAsia="宋体"/>
                <w:color w:val="auto"/>
                <w:lang w:val="en-US" w:eastAsia="zh-CN"/>
              </w:rPr>
              <w:t>清单</w:t>
            </w:r>
            <w:r>
              <w:rPr>
                <w:rFonts w:hint="eastAsia"/>
                <w:color w:val="auto"/>
                <w:lang w:val="en-US" w:eastAsia="zh-CN"/>
              </w:rPr>
              <w:t>/报价等任意一类</w:t>
            </w:r>
            <w:r>
              <w:rPr>
                <w:rFonts w:hint="eastAsia" w:ascii="Times New Roman" w:eastAsia="宋体"/>
                <w:color w:val="auto"/>
                <w:lang w:val="en-US" w:eastAsia="zh-CN"/>
              </w:rPr>
              <w:t>有缺漏项或响应不全</w:t>
            </w:r>
            <w:r>
              <w:rPr>
                <w:rFonts w:hint="eastAsia"/>
                <w:color w:val="auto"/>
                <w:lang w:val="en-US" w:eastAsia="zh-CN"/>
              </w:rPr>
              <w:t>，</w:t>
            </w:r>
            <w:r>
              <w:rPr>
                <w:rFonts w:hint="eastAsia"/>
              </w:rPr>
              <w:t>或者对招标文件规定的项目需求内容或者需求数量进行修改</w:t>
            </w:r>
            <w:r>
              <w:rPr>
                <w:rFonts w:hint="eastAsia"/>
                <w:szCs w:val="21"/>
              </w:rPr>
              <w:t>，评审委员会判定投标响应不满足采购需求</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eastAsia" w:asciiTheme="minorEastAsia" w:hAnsiTheme="minorEastAsia" w:eastAsiaTheme="minorEastAsia"/>
                <w:szCs w:val="21"/>
                <w:lang w:eastAsia="zh-CN"/>
              </w:rPr>
            </w:pPr>
            <w:r>
              <w:rPr>
                <w:rFonts w:hint="eastAsia" w:asciiTheme="minorEastAsia" w:hAnsiTheme="minorEastAsia" w:eastAsiaTheme="minorEastAsia"/>
                <w:szCs w:val="21"/>
                <w:lang w:val="en-US" w:eastAsia="zh-CN"/>
              </w:rPr>
              <w:t>8</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投标文件电子文档不得带病毒；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eastAsia" w:asciiTheme="minorEastAsia" w:hAnsiTheme="minorEastAsia" w:eastAsiaTheme="minorEastAsia"/>
                <w:szCs w:val="21"/>
                <w:lang w:eastAsia="zh-CN"/>
              </w:rPr>
            </w:pPr>
            <w:r>
              <w:rPr>
                <w:rFonts w:hint="eastAsia" w:asciiTheme="minorEastAsia" w:hAnsiTheme="minorEastAsia" w:eastAsiaTheme="minorEastAsia"/>
                <w:szCs w:val="21"/>
                <w:lang w:val="en-US" w:eastAsia="zh-CN"/>
              </w:rPr>
              <w:t>9</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投标文件用不属于本公司的电子密钥进行加密；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75" w:type="dxa"/>
            <w:tcBorders>
              <w:top w:val="single" w:color="000000" w:sz="8" w:space="0"/>
              <w:left w:val="single" w:color="000000" w:sz="8" w:space="0"/>
              <w:bottom w:val="single" w:color="000000" w:sz="8" w:space="0"/>
              <w:right w:val="single" w:color="000000" w:sz="8" w:space="0"/>
            </w:tcBorders>
          </w:tcPr>
          <w:p>
            <w:pPr>
              <w:keepNext w:val="0"/>
              <w:keepLines w:val="0"/>
              <w:widowControl/>
              <w:suppressLineNumbers w:val="0"/>
              <w:spacing w:before="0" w:beforeAutospacing="0" w:after="0" w:afterAutospacing="0"/>
              <w:ind w:left="0" w:right="0"/>
              <w:jc w:val="center"/>
              <w:textAlignment w:val="top"/>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10</w:t>
            </w:r>
          </w:p>
        </w:tc>
        <w:tc>
          <w:tcPr>
            <w:tcW w:w="8386" w:type="dxa"/>
            <w:tcBorders>
              <w:top w:val="single" w:color="000000" w:sz="8" w:space="0"/>
              <w:left w:val="single" w:color="000000" w:sz="8" w:space="0"/>
              <w:bottom w:val="single" w:color="000000" w:sz="8" w:space="0"/>
              <w:right w:val="single" w:color="000000" w:sz="8" w:space="0"/>
            </w:tcBorders>
            <w:shd w:val="clear" w:color="auto" w:fill="auto"/>
          </w:tcPr>
          <w:p>
            <w:pPr>
              <w:keepNext w:val="0"/>
              <w:keepLines w:val="0"/>
              <w:widowControl/>
              <w:suppressLineNumbers w:val="0"/>
              <w:spacing w:before="0" w:beforeAutospacing="0" w:after="0" w:afterAutospacing="0"/>
              <w:ind w:left="0" w:right="0"/>
              <w:jc w:val="left"/>
              <w:textAlignment w:val="top"/>
              <w:rPr>
                <w:rFonts w:hint="default" w:asciiTheme="minorEastAsia" w:hAnsiTheme="minorEastAsia" w:eastAsiaTheme="minorEastAsia"/>
                <w:szCs w:val="21"/>
              </w:rPr>
            </w:pPr>
            <w:r>
              <w:rPr>
                <w:rFonts w:hint="eastAsia" w:asciiTheme="minorEastAsia" w:hAnsiTheme="minorEastAsia" w:eastAsiaTheme="minorEastAsia"/>
                <w:szCs w:val="21"/>
              </w:rPr>
              <w:t>法律、法规、规章、规范性文件规定的其他情形。</w:t>
            </w:r>
          </w:p>
        </w:tc>
      </w:tr>
    </w:tbl>
    <w:p>
      <w:pPr>
        <w:pStyle w:val="37"/>
        <w:jc w:val="center"/>
        <w:outlineLvl w:val="1"/>
        <w:rPr>
          <w:rFonts w:ascii="黑体" w:hAnsi="黑体" w:eastAsia="黑体"/>
          <w:sz w:val="40"/>
          <w:szCs w:val="40"/>
        </w:rPr>
      </w:pPr>
    </w:p>
    <w:p>
      <w:pPr>
        <w:pStyle w:val="18"/>
      </w:pPr>
      <w:r>
        <w:br w:type="page"/>
      </w:r>
    </w:p>
    <w:p>
      <w:pPr>
        <w:pStyle w:val="37"/>
        <w:jc w:val="center"/>
        <w:outlineLvl w:val="1"/>
        <w:rPr>
          <w:rFonts w:ascii="黑体" w:hAnsi="黑体" w:eastAsia="黑体"/>
          <w:sz w:val="40"/>
          <w:szCs w:val="40"/>
        </w:rPr>
      </w:pPr>
      <w:r>
        <w:rPr>
          <w:rFonts w:hint="eastAsia" w:ascii="黑体" w:hAnsi="黑体" w:eastAsia="黑体"/>
          <w:sz w:val="40"/>
          <w:szCs w:val="40"/>
        </w:rPr>
        <w:t>评标信息</w:t>
      </w:r>
    </w:p>
    <w:tbl>
      <w:tblPr>
        <w:tblStyle w:val="42"/>
        <w:tblW w:w="9198"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5" w:type="dxa"/>
          <w:left w:w="45" w:type="dxa"/>
          <w:bottom w:w="45" w:type="dxa"/>
          <w:right w:w="45" w:type="dxa"/>
        </w:tblCellMar>
      </w:tblPr>
      <w:tblGrid>
        <w:gridCol w:w="132"/>
        <w:gridCol w:w="305"/>
        <w:gridCol w:w="436"/>
        <w:gridCol w:w="1801"/>
        <w:gridCol w:w="717"/>
        <w:gridCol w:w="752"/>
        <w:gridCol w:w="4313"/>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wBefore w:w="126" w:type="dxa"/>
          <w:tblCellSpacing w:w="0" w:type="dxa"/>
          <w:jc w:val="center"/>
        </w:trPr>
        <w:tc>
          <w:tcPr>
            <w:tcW w:w="9072" w:type="dxa"/>
            <w:gridSpan w:val="7"/>
            <w:vAlign w:val="center"/>
          </w:tcPr>
          <w:p>
            <w:pPr>
              <w:keepNext w:val="0"/>
              <w:keepLines w:val="0"/>
              <w:widowControl/>
              <w:suppressLineNumbers w:val="0"/>
              <w:spacing w:before="0" w:beforeAutospacing="0" w:after="0" w:afterAutospacing="0"/>
              <w:ind w:left="0" w:right="0"/>
              <w:jc w:val="left"/>
              <w:rPr>
                <w:rFonts w:hint="default" w:asciiTheme="minorEastAsia" w:hAnsiTheme="minorEastAsia" w:eastAsiaTheme="minorEastAsia"/>
                <w:b/>
                <w:bCs/>
                <w:sz w:val="24"/>
              </w:rPr>
            </w:pPr>
            <w:r>
              <w:rPr>
                <w:rFonts w:hint="default" w:asciiTheme="minorEastAsia" w:hAnsiTheme="minorEastAsia" w:eastAsiaTheme="minorEastAsia"/>
                <w:b/>
                <w:bCs/>
              </w:rPr>
              <w:t>评标方法：综合评分法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wBefore w:w="126" w:type="dxa"/>
          <w:tblCellSpacing w:w="0" w:type="dxa"/>
          <w:jc w:val="center"/>
        </w:trPr>
        <w:tc>
          <w:tcPr>
            <w:tcW w:w="9072" w:type="dxa"/>
            <w:gridSpan w:val="7"/>
            <w:vAlign w:val="center"/>
          </w:tcPr>
          <w:p>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rPr>
            </w:pPr>
            <w:r>
              <w:rPr>
                <w:rFonts w:hint="default" w:asciiTheme="minorEastAsia" w:hAnsiTheme="minorEastAsia" w:eastAsiaTheme="minorEastAsia"/>
                <w:szCs w:val="21"/>
              </w:rPr>
              <w:t>综合评分法，是指</w:t>
            </w:r>
            <w:r>
              <w:rPr>
                <w:rFonts w:hint="eastAsia" w:asciiTheme="minorEastAsia" w:hAnsiTheme="minorEastAsia" w:eastAsiaTheme="minorEastAsia"/>
                <w:kern w:val="0"/>
                <w:szCs w:val="21"/>
              </w:rPr>
              <w:t>投标文件满足招标文件全部实质性要求</w:t>
            </w:r>
            <w:r>
              <w:rPr>
                <w:rFonts w:hint="default" w:asciiTheme="minorEastAsia" w:hAnsiTheme="minorEastAsia" w:eastAsiaTheme="minorEastAsia"/>
                <w:szCs w:val="21"/>
              </w:rPr>
              <w:t>，且按照</w:t>
            </w:r>
            <w:r>
              <w:rPr>
                <w:rFonts w:hint="eastAsia" w:asciiTheme="minorEastAsia" w:hAnsiTheme="minorEastAsia" w:eastAsiaTheme="minorEastAsia"/>
                <w:szCs w:val="21"/>
              </w:rPr>
              <w:t>招标文件规定的各项因素进行综合评审，评标总得分排名前列</w:t>
            </w:r>
            <w:r>
              <w:rPr>
                <w:rFonts w:hint="default" w:asciiTheme="minorEastAsia" w:hAnsiTheme="minorEastAsia" w:eastAsiaTheme="minorEastAsia"/>
                <w:szCs w:val="21"/>
              </w:rPr>
              <w:t>的投标人为中标候选人的评标方法。</w:t>
            </w:r>
            <w:r>
              <w:rPr>
                <w:rFonts w:hint="eastAsia" w:asciiTheme="minorEastAsia" w:hAnsiTheme="minorEastAsia" w:eastAsiaTheme="minorEastAsia"/>
                <w:szCs w:val="21"/>
              </w:rPr>
              <w:t>（适用于中标候选人为2家或以上的情形）</w:t>
            </w:r>
          </w:p>
          <w:p>
            <w:pPr>
              <w:keepNext w:val="0"/>
              <w:keepLines w:val="0"/>
              <w:suppressLineNumbers w:val="0"/>
              <w:spacing w:before="0" w:beforeAutospacing="0" w:after="0" w:afterAutospacing="0"/>
              <w:ind w:left="0" w:right="0"/>
              <w:rPr>
                <w:rFonts w:hint="default" w:asciiTheme="minorEastAsia" w:hAnsiTheme="minorEastAsia" w:eastAsiaTheme="minorEastAsia"/>
                <w:szCs w:val="21"/>
              </w:rPr>
            </w:pPr>
          </w:p>
          <w:p>
            <w:pPr>
              <w:keepNext w:val="0"/>
              <w:keepLines w:val="0"/>
              <w:suppressLineNumbers w:val="0"/>
              <w:spacing w:before="0" w:beforeAutospacing="0" w:after="0" w:afterAutospacing="0"/>
              <w:ind w:left="0" w:right="0" w:firstLine="420"/>
              <w:rPr>
                <w:rFonts w:hint="default" w:asciiTheme="minorEastAsia" w:hAnsiTheme="minorEastAsia" w:eastAsiaTheme="minorEastAsia"/>
                <w:szCs w:val="21"/>
              </w:rPr>
            </w:pPr>
            <w:r>
              <w:rPr>
                <w:rFonts w:hint="default" w:asciiTheme="minorEastAsia" w:hAnsiTheme="minorEastAsia" w:eastAsiaTheme="minorEastAsia"/>
                <w:szCs w:val="21"/>
              </w:rPr>
              <w:t>价格分计算方法：</w:t>
            </w:r>
          </w:p>
          <w:p>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szCs w:val="21"/>
              </w:rPr>
            </w:pPr>
            <w:r>
              <w:rPr>
                <w:rFonts w:hint="default" w:asciiTheme="minorEastAsia" w:hAnsiTheme="minorEastAsia" w:eastAsiaTheme="minorEastAsia"/>
                <w:szCs w:val="21"/>
              </w:rPr>
              <w:t xml:space="preserve">采用低价优先法计算，即满足招标文件要求且投标价格最低的投标报价为评标基准价，其价格分为满分。其他投标人的价格分统一按照下列公式计算： </w:t>
            </w:r>
            <w:r>
              <w:rPr>
                <w:rFonts w:hint="default" w:asciiTheme="minorEastAsia" w:hAnsiTheme="minorEastAsia" w:eastAsiaTheme="minorEastAsia"/>
                <w:szCs w:val="21"/>
              </w:rPr>
              <w:br w:type="textWrapping"/>
            </w:r>
            <w:r>
              <w:rPr>
                <w:rFonts w:hint="default" w:asciiTheme="minorEastAsia" w:hAnsiTheme="minorEastAsia" w:eastAsiaTheme="minorEastAsia"/>
                <w:szCs w:val="21"/>
              </w:rPr>
              <w:t xml:space="preserve">投标报价得分=(评标基准价／投标报价)×100 </w:t>
            </w:r>
            <w:r>
              <w:rPr>
                <w:rFonts w:hint="default" w:asciiTheme="minorEastAsia" w:hAnsiTheme="minorEastAsia" w:eastAsiaTheme="minorEastAsia"/>
                <w:szCs w:val="21"/>
              </w:rPr>
              <w:br w:type="textWrapping"/>
            </w:r>
            <w:r>
              <w:rPr>
                <w:rFonts w:hint="default" w:asciiTheme="minorEastAsia" w:hAnsiTheme="minorEastAsia" w:eastAsiaTheme="minorEastAsia"/>
                <w:szCs w:val="21"/>
              </w:rPr>
              <w:t xml:space="preserve">评标总得分＝F1×A1＋F2×A2＋……＋Fn×An </w:t>
            </w:r>
            <w:r>
              <w:rPr>
                <w:rFonts w:hint="default" w:asciiTheme="minorEastAsia" w:hAnsiTheme="minorEastAsia" w:eastAsiaTheme="minorEastAsia"/>
                <w:szCs w:val="21"/>
              </w:rPr>
              <w:br w:type="textWrapping"/>
            </w:r>
            <w:r>
              <w:rPr>
                <w:rFonts w:hint="default" w:asciiTheme="minorEastAsia" w:hAnsiTheme="minorEastAsia" w:eastAsiaTheme="minorEastAsia"/>
                <w:szCs w:val="21"/>
              </w:rPr>
              <w:t xml:space="preserve">F1、F2……Fn分别为各项评审因素的得分； </w:t>
            </w:r>
            <w:r>
              <w:rPr>
                <w:rFonts w:hint="default" w:asciiTheme="minorEastAsia" w:hAnsiTheme="minorEastAsia" w:eastAsiaTheme="minorEastAsia"/>
                <w:szCs w:val="21"/>
              </w:rPr>
              <w:br w:type="textWrapping"/>
            </w:r>
            <w:r>
              <w:rPr>
                <w:rFonts w:hint="default" w:asciiTheme="minorEastAsia" w:hAnsiTheme="minorEastAsia" w:eastAsiaTheme="minorEastAsia"/>
                <w:szCs w:val="21"/>
              </w:rPr>
              <w:t xml:space="preserve">A1、A2、……An 分别为各项评审因素所占的权重(A1＋A2＋……＋An＝1)。 </w:t>
            </w:r>
            <w:r>
              <w:rPr>
                <w:rFonts w:hint="default" w:asciiTheme="minorEastAsia" w:hAnsiTheme="minorEastAsia" w:eastAsiaTheme="minorEastAsia"/>
                <w:szCs w:val="21"/>
              </w:rPr>
              <w:br w:type="textWrapping"/>
            </w:r>
            <w:r>
              <w:rPr>
                <w:rFonts w:hint="default" w:asciiTheme="minorEastAsia" w:hAnsiTheme="minorEastAsia" w:eastAsiaTheme="minorEastAsia"/>
                <w:szCs w:val="21"/>
              </w:rPr>
              <w:t>评标过程中，不得去掉报价中的最高报价和最低报价。</w:t>
            </w:r>
          </w:p>
          <w:p>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szCs w:val="21"/>
              </w:rPr>
            </w:pPr>
            <w:r>
              <w:rPr>
                <w:rFonts w:hint="eastAsia" w:asciiTheme="minorEastAsia" w:hAnsiTheme="minorEastAsia" w:eastAsiaTheme="minorEastAsia"/>
                <w:szCs w:val="21"/>
              </w:rPr>
              <w:t>因落实政府采购政策进行价格调整的，以调整后的价格计算评标基准价和投标报价。</w:t>
            </w:r>
          </w:p>
          <w:p>
            <w:pPr>
              <w:keepNext w:val="0"/>
              <w:keepLines w:val="0"/>
              <w:widowControl/>
              <w:suppressLineNumbers w:val="0"/>
              <w:spacing w:before="0" w:beforeAutospacing="0" w:after="0" w:afterAutospacing="0"/>
              <w:ind w:left="420" w:right="0"/>
              <w:jc w:val="left"/>
              <w:rPr>
                <w:rFonts w:hint="default" w:asciiTheme="minorEastAsia" w:hAnsiTheme="minorEastAsia" w:eastAsiaTheme="minorEastAsia"/>
                <w:kern w:val="0"/>
                <w:sz w:val="24"/>
              </w:rPr>
            </w:pPr>
          </w:p>
          <w:p>
            <w:pPr>
              <w:pStyle w:val="18"/>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sz w:val="22"/>
              </w:rPr>
              <w:t>注：投标人的“投标技术响应”“技术要求偏离表中偏离情况”等必须与客观实际保持一致，响应不实且情节严重的，经查实，将依法记入供应商诚信档案或受到行政处罚。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序号</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评分项</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default" w:ascii="宋体" w:hAnsi="宋体"/>
                <w:b/>
                <w:bCs/>
                <w:sz w:val="20"/>
                <w:szCs w:val="20"/>
              </w:rPr>
              <w:t>1</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价格</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default" w:ascii="宋体" w:hAnsi="宋体"/>
                <w:b/>
                <w:bCs/>
                <w:sz w:val="20"/>
                <w:szCs w:val="20"/>
              </w:rPr>
              <w:t>2</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技术部分</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default" w:ascii="宋体" w:hAnsi="宋体"/>
                <w:b/>
                <w:bCs/>
                <w:sz w:val="20"/>
                <w:szCs w:val="2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restart"/>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序号</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评审因素</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权重</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评分方式</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continue"/>
            <w:vAlign w:val="center"/>
          </w:tcPr>
          <w:p>
            <w:pPr>
              <w:keepNext/>
              <w:keepLines/>
              <w:suppressLineNumbers w:val="0"/>
              <w:spacing w:before="340" w:beforeAutospacing="0" w:after="330" w:afterAutospacing="0" w:line="240" w:lineRule="exact"/>
              <w:ind w:left="0" w:right="0"/>
              <w:jc w:val="center"/>
              <w:outlineLvl w:val="0"/>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1</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b/>
                <w:color w:val="FF0000"/>
                <w:sz w:val="20"/>
                <w:szCs w:val="20"/>
              </w:rPr>
            </w:pPr>
            <w:r>
              <w:rPr>
                <w:rFonts w:hint="default"/>
                <w:szCs w:val="21"/>
              </w:rPr>
              <w:t>技术方案先进性</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30</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专家打分</w:t>
            </w:r>
          </w:p>
        </w:tc>
        <w:tc>
          <w:tcPr>
            <w:tcW w:w="4328" w:type="dxa"/>
            <w:vAlign w:val="center"/>
          </w:tcPr>
          <w:p>
            <w:pPr>
              <w:keepNext w:val="0"/>
              <w:keepLines w:val="0"/>
              <w:widowControl/>
              <w:suppressLineNumbers w:val="0"/>
              <w:spacing w:before="0" w:beforeAutospacing="0" w:after="0" w:afterAutospacing="0"/>
              <w:ind w:left="0" w:right="0"/>
              <w:jc w:val="left"/>
              <w:rPr>
                <w:rFonts w:hint="default" w:ascii="宋体" w:hAnsi="宋体" w:cs="宋体"/>
                <w:kern w:val="0"/>
                <w:sz w:val="20"/>
                <w:szCs w:val="20"/>
              </w:rPr>
            </w:pPr>
            <w:r>
              <w:rPr>
                <w:rFonts w:hint="eastAsia" w:ascii="宋体" w:hAnsi="宋体" w:cs="宋体"/>
                <w:kern w:val="0"/>
                <w:sz w:val="20"/>
                <w:szCs w:val="20"/>
              </w:rPr>
              <w:t>（一）评分内容：详细阐述A噪声建模、B大气湍流估计、C亚像素配准的关键技术路径。</w:t>
            </w:r>
          </w:p>
          <w:p>
            <w:pPr>
              <w:keepNext w:val="0"/>
              <w:keepLines w:val="0"/>
              <w:widowControl/>
              <w:suppressLineNumbers w:val="0"/>
              <w:spacing w:before="0" w:beforeAutospacing="0" w:after="0" w:afterAutospacing="0"/>
              <w:ind w:left="0" w:right="0"/>
              <w:jc w:val="left"/>
              <w:rPr>
                <w:rFonts w:hint="default" w:ascii="宋体" w:hAnsi="宋体" w:cs="宋体"/>
                <w:kern w:val="0"/>
                <w:sz w:val="20"/>
                <w:szCs w:val="20"/>
              </w:rPr>
            </w:pPr>
            <w:r>
              <w:rPr>
                <w:rFonts w:hint="eastAsia" w:ascii="宋体" w:hAnsi="宋体" w:cs="宋体"/>
                <w:kern w:val="0"/>
                <w:sz w:val="20"/>
                <w:szCs w:val="20"/>
              </w:rPr>
              <w:t>满足三点得80分，满足任意两点得50分，满足任意一点得10分，</w:t>
            </w:r>
            <w:r>
              <w:rPr>
                <w:rFonts w:hint="eastAsia" w:ascii="宋体" w:hAnsi="宋体" w:cs="宋体"/>
                <w:kern w:val="0"/>
                <w:sz w:val="20"/>
                <w:szCs w:val="20"/>
                <w:lang w:val="en-US" w:eastAsia="zh-CN"/>
              </w:rPr>
              <w:t>其他情况</w:t>
            </w:r>
            <w:r>
              <w:rPr>
                <w:rFonts w:hint="eastAsia" w:ascii="宋体" w:hAnsi="宋体" w:cs="宋体"/>
                <w:kern w:val="0"/>
                <w:sz w:val="20"/>
                <w:szCs w:val="20"/>
              </w:rPr>
              <w:t>不得分。</w:t>
            </w:r>
          </w:p>
          <w:p>
            <w:pPr>
              <w:keepNext w:val="0"/>
              <w:keepLines w:val="0"/>
              <w:widowControl/>
              <w:numPr>
                <w:ilvl w:val="0"/>
                <w:numId w:val="7"/>
              </w:numPr>
              <w:suppressLineNumbers w:val="0"/>
              <w:spacing w:before="0" w:beforeAutospacing="0" w:after="0" w:afterAutospacing="0"/>
              <w:ind w:left="0" w:right="0"/>
              <w:jc w:val="left"/>
              <w:rPr>
                <w:rFonts w:hint="default" w:ascii="宋体" w:hAnsi="宋体" w:cs="宋体"/>
                <w:szCs w:val="21"/>
              </w:rPr>
            </w:pPr>
            <w:r>
              <w:rPr>
                <w:rFonts w:hint="eastAsia" w:ascii="宋体" w:hAnsi="宋体" w:cs="宋体"/>
                <w:szCs w:val="21"/>
              </w:rPr>
              <w:t>评审依据：</w:t>
            </w:r>
          </w:p>
          <w:p>
            <w:pPr>
              <w:keepNext w:val="0"/>
              <w:keepLines w:val="0"/>
              <w:widowControl/>
              <w:numPr>
                <w:ilvl w:val="255"/>
                <w:numId w:val="0"/>
              </w:numPr>
              <w:suppressLineNumbers w:val="0"/>
              <w:spacing w:before="0" w:beforeAutospacing="0" w:after="0" w:afterAutospacing="0"/>
              <w:ind w:left="0" w:right="0"/>
              <w:jc w:val="left"/>
              <w:rPr>
                <w:rFonts w:hint="default" w:ascii="宋体" w:hAnsi="宋体" w:cs="宋体"/>
                <w:sz w:val="20"/>
                <w:szCs w:val="20"/>
              </w:rPr>
            </w:pPr>
            <w:r>
              <w:rPr>
                <w:rFonts w:hint="eastAsia" w:ascii="宋体" w:hAnsi="宋体" w:cs="宋体"/>
                <w:kern w:val="0"/>
                <w:sz w:val="20"/>
                <w:szCs w:val="20"/>
              </w:rPr>
              <w:t>在此基础上，专家根据各供应商的具体响应内容按照量化的评审因素指标进一步评审，评审为优（方案创新性强，有独特技术优势）的加20分，评审为良（技术方案完整但创新性一般）的加15分，评审为中（方案基本完整）的加10分，评审为差（方案描述模糊）的得0 分。如果评审为差，要求专家书面说明理由，并记录在档。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continue"/>
            <w:vAlign w:val="center"/>
          </w:tcPr>
          <w:p>
            <w:pPr>
              <w:keepNext/>
              <w:keepLines/>
              <w:suppressLineNumbers w:val="0"/>
              <w:spacing w:before="260" w:beforeAutospacing="0" w:after="260" w:afterAutospacing="0" w:line="240" w:lineRule="exact"/>
              <w:ind w:left="0" w:right="0"/>
              <w:jc w:val="center"/>
              <w:outlineLvl w:val="2"/>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2</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cs="宋体"/>
                <w:kern w:val="0"/>
                <w:sz w:val="20"/>
                <w:szCs w:val="20"/>
              </w:rPr>
              <w:t>技术要求偏离情况</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cs="宋体"/>
                <w:sz w:val="20"/>
                <w:szCs w:val="20"/>
              </w:rPr>
              <w:t>15</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专家打分</w:t>
            </w:r>
          </w:p>
        </w:tc>
        <w:tc>
          <w:tcPr>
            <w:tcW w:w="4328" w:type="dxa"/>
            <w:vAlign w:val="center"/>
          </w:tcPr>
          <w:p>
            <w:pPr>
              <w:keepNext w:val="0"/>
              <w:keepLines w:val="0"/>
              <w:widowControl/>
              <w:suppressLineNumbers w:val="0"/>
              <w:spacing w:before="0" w:beforeAutospacing="0" w:after="0" w:afterAutospacing="0"/>
              <w:ind w:left="0" w:right="0"/>
              <w:jc w:val="left"/>
              <w:rPr>
                <w:rFonts w:hint="default" w:cs="宋体"/>
                <w:sz w:val="20"/>
                <w:szCs w:val="20"/>
              </w:rPr>
            </w:pPr>
            <w:r>
              <w:rPr>
                <w:rFonts w:hint="eastAsia" w:ascii="宋体" w:hAnsi="宋体" w:cs="宋体"/>
                <w:kern w:val="0"/>
                <w:sz w:val="20"/>
                <w:szCs w:val="20"/>
              </w:rPr>
              <w:t>（一）评分内容：投标人应如实填写《技术要求偏离表》，评审委员会根据技术需求参数响应情况进行打分，各项技术参数指标及要求全部满足的得100分，所有标注“▲”的重要参数每项负偏离一扣25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continue"/>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3</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olor w:val="FF0000"/>
                <w:sz w:val="20"/>
                <w:szCs w:val="20"/>
              </w:rPr>
            </w:pPr>
            <w:r>
              <w:rPr>
                <w:rFonts w:hint="eastAsia" w:ascii="宋体" w:hAnsi="宋体"/>
                <w:sz w:val="20"/>
                <w:szCs w:val="20"/>
              </w:rPr>
              <w:t>技术保障措施</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10</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专家打分</w:t>
            </w:r>
          </w:p>
        </w:tc>
        <w:tc>
          <w:tcPr>
            <w:tcW w:w="4328" w:type="dxa"/>
            <w:vAlign w:val="center"/>
          </w:tcPr>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（一）评分内容：</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考察投标人提供的技术保障措施方案，方案内容包含但不限于：</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1.项目实施组织和流程方案；</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2.项目时间进度表；</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3.实施安全措施；</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4.培训及服务措施。</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每提供上述任意一项内容得10分，本小项累计最高得40分。</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（二）评分依据：</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在此基础上，专家根据各供应商的具体响应内容按照量化的评审因素指标进一步评审：</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 xml:space="preserve">（1）方案整体科学合理、针对性强、可操作性强，评审为优加60分； </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 xml:space="preserve">（2）方案较合理、有一定针对性、一定可操作性，评审为良加40分； </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 xml:space="preserve">（3）方案不尽合理、针对性一般、可操作性一般，评审为中加20分； </w:t>
            </w:r>
          </w:p>
          <w:p>
            <w:pPr>
              <w:keepNext w:val="0"/>
              <w:keepLines w:val="0"/>
              <w:widowControl/>
              <w:suppressLineNumbers w:val="0"/>
              <w:spacing w:before="0" w:beforeAutospacing="0" w:after="0" w:afterAutospacing="0"/>
              <w:ind w:left="0" w:right="0"/>
              <w:textAlignment w:val="center"/>
              <w:rPr>
                <w:rFonts w:hint="default" w:ascii="宋体" w:hAnsi="宋体"/>
                <w:szCs w:val="21"/>
              </w:rPr>
            </w:pPr>
            <w:r>
              <w:rPr>
                <w:rFonts w:hint="eastAsia" w:ascii="宋体" w:hAnsi="宋体"/>
                <w:szCs w:val="21"/>
              </w:rPr>
              <w:t>（4）方案不合理、无针对性、无可操作性，评审为差得0分。如果评审为差，要求专家书面说明理由，并记录在档。</w:t>
            </w:r>
          </w:p>
          <w:p>
            <w:pPr>
              <w:keepNext w:val="0"/>
              <w:keepLines w:val="0"/>
              <w:widowControl/>
              <w:suppressLineNumbers w:val="0"/>
              <w:spacing w:before="0" w:beforeAutospacing="0" w:after="0" w:afterAutospacing="0"/>
              <w:ind w:left="0" w:right="0"/>
              <w:textAlignment w:val="center"/>
              <w:rPr>
                <w:rFonts w:hint="default" w:ascii="宋体" w:hAnsi="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4837" w:hRule="atLeast"/>
          <w:tblCellSpacing w:w="0" w:type="dxa"/>
          <w:jc w:val="center"/>
        </w:trPr>
        <w:tc>
          <w:tcPr>
            <w:tcW w:w="417" w:type="dxa"/>
            <w:gridSpan w:val="2"/>
            <w:vMerge w:val="continue"/>
            <w:vAlign w:val="center"/>
          </w:tcPr>
          <w:p>
            <w:pPr>
              <w:keepNext/>
              <w:keepLines/>
              <w:suppressLineNumbers w:val="0"/>
              <w:spacing w:before="260" w:beforeAutospacing="0" w:after="260" w:afterAutospacing="0" w:line="240" w:lineRule="exact"/>
              <w:ind w:left="0" w:right="0"/>
              <w:jc w:val="center"/>
              <w:outlineLvl w:val="2"/>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4</w:t>
            </w:r>
          </w:p>
        </w:tc>
        <w:tc>
          <w:tcPr>
            <w:tcW w:w="1814" w:type="dxa"/>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olor w:val="FF0000"/>
                <w:sz w:val="20"/>
                <w:szCs w:val="20"/>
                <w:lang w:val="en-US" w:eastAsia="zh-CN"/>
              </w:rPr>
            </w:pPr>
            <w:r>
              <w:rPr>
                <w:rFonts w:hint="eastAsia" w:ascii="宋体" w:hAnsi="宋体" w:cs="宋体"/>
                <w:sz w:val="20"/>
                <w:szCs w:val="20"/>
              </w:rPr>
              <w:t>团队</w:t>
            </w:r>
            <w:r>
              <w:rPr>
                <w:rFonts w:hint="eastAsia" w:ascii="宋体" w:hAnsi="宋体" w:cs="宋体"/>
                <w:sz w:val="20"/>
                <w:szCs w:val="20"/>
                <w:lang w:val="en-US" w:eastAsia="zh-CN"/>
              </w:rPr>
              <w:t>实力</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10</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专家打分</w:t>
            </w:r>
          </w:p>
        </w:tc>
        <w:tc>
          <w:tcPr>
            <w:tcW w:w="4328" w:type="dxa"/>
            <w:vAlign w:val="center"/>
          </w:tcPr>
          <w:p>
            <w:pPr>
              <w:keepNext w:val="0"/>
              <w:keepLines w:val="0"/>
              <w:suppressLineNumbers w:val="0"/>
              <w:spacing w:before="0" w:beforeAutospacing="0" w:after="0" w:afterAutospacing="0" w:line="240" w:lineRule="exact"/>
              <w:ind w:left="0" w:right="0"/>
              <w:rPr>
                <w:rFonts w:hint="default" w:ascii="宋体" w:hAnsi="宋体" w:cs="宋体"/>
                <w:bCs/>
                <w:sz w:val="20"/>
                <w:szCs w:val="20"/>
              </w:rPr>
            </w:pPr>
            <w:r>
              <w:rPr>
                <w:rFonts w:hint="eastAsia" w:ascii="宋体" w:hAnsi="宋体" w:cs="宋体"/>
                <w:bCs/>
                <w:sz w:val="20"/>
                <w:szCs w:val="20"/>
              </w:rPr>
              <w:t>（一）评审内容：</w:t>
            </w:r>
          </w:p>
          <w:p>
            <w:pPr>
              <w:keepNext w:val="0"/>
              <w:keepLines w:val="0"/>
              <w:suppressLineNumbers w:val="0"/>
              <w:spacing w:before="0" w:beforeAutospacing="0" w:after="0" w:afterAutospacing="0" w:line="240" w:lineRule="exact"/>
              <w:ind w:left="0" w:right="0"/>
              <w:rPr>
                <w:rFonts w:hint="default" w:ascii="宋体" w:hAnsi="宋体" w:cs="宋体"/>
                <w:bCs/>
                <w:sz w:val="20"/>
                <w:szCs w:val="20"/>
              </w:rPr>
            </w:pPr>
            <w:r>
              <w:rPr>
                <w:rFonts w:hint="eastAsia" w:ascii="宋体" w:hAnsi="宋体" w:cs="宋体"/>
                <w:bCs/>
                <w:sz w:val="20"/>
                <w:szCs w:val="20"/>
              </w:rPr>
              <w:t>拟安排项目团队</w:t>
            </w:r>
            <w:r>
              <w:rPr>
                <w:rFonts w:hint="eastAsia" w:ascii="宋体" w:hAnsi="宋体" w:cs="宋体"/>
                <w:bCs/>
                <w:sz w:val="20"/>
                <w:szCs w:val="20"/>
                <w:lang w:val="en-US" w:eastAsia="zh-CN"/>
              </w:rPr>
              <w:t>成员</w:t>
            </w:r>
            <w:r>
              <w:rPr>
                <w:rFonts w:hint="eastAsia" w:ascii="宋体" w:hAnsi="宋体" w:cs="宋体"/>
                <w:bCs/>
                <w:sz w:val="20"/>
                <w:szCs w:val="20"/>
              </w:rPr>
              <w:t>为投标单位员工，否则该人员情况不计分。在此基础上，按以下标准评分：</w:t>
            </w:r>
          </w:p>
          <w:p>
            <w:pPr>
              <w:keepNext w:val="0"/>
              <w:keepLines w:val="0"/>
              <w:suppressLineNumbers w:val="0"/>
              <w:spacing w:before="0" w:beforeAutospacing="0" w:after="0" w:afterAutospacing="0" w:line="240" w:lineRule="exact"/>
              <w:ind w:left="0" w:right="0"/>
              <w:rPr>
                <w:rFonts w:hint="default" w:ascii="宋体" w:hAnsi="宋体" w:eastAsia="宋体" w:cs="宋体"/>
                <w:bCs/>
                <w:sz w:val="20"/>
                <w:szCs w:val="20"/>
                <w:lang w:val="en-US" w:eastAsia="zh-CN"/>
              </w:rPr>
            </w:pPr>
            <w:r>
              <w:rPr>
                <w:rFonts w:hint="eastAsia" w:ascii="宋体" w:hAnsi="宋体" w:cs="宋体"/>
                <w:bCs/>
                <w:sz w:val="20"/>
                <w:szCs w:val="20"/>
                <w:lang w:val="en-US" w:eastAsia="zh-CN"/>
              </w:rPr>
              <w:t>团队成员具有作为负责人参与</w:t>
            </w:r>
            <w:r>
              <w:rPr>
                <w:rFonts w:hint="eastAsia" w:ascii="宋体" w:hAnsi="宋体" w:cs="宋体"/>
                <w:bCs/>
                <w:sz w:val="20"/>
                <w:szCs w:val="20"/>
              </w:rPr>
              <w:t>过国家级科技部项目或国家自然科学基金委员会项目或省部级重点项目</w:t>
            </w:r>
            <w:r>
              <w:rPr>
                <w:rFonts w:hint="eastAsia" w:ascii="宋体" w:hAnsi="宋体" w:cs="宋体"/>
                <w:bCs/>
                <w:sz w:val="20"/>
                <w:szCs w:val="20"/>
                <w:lang w:val="en-US" w:eastAsia="zh-CN"/>
              </w:rPr>
              <w:t>经验</w:t>
            </w:r>
            <w:r>
              <w:rPr>
                <w:rFonts w:hint="eastAsia" w:ascii="宋体" w:hAnsi="宋体" w:cs="宋体"/>
                <w:bCs/>
                <w:sz w:val="20"/>
                <w:szCs w:val="20"/>
                <w:lang w:eastAsia="zh-CN"/>
              </w:rPr>
              <w:t>，</w:t>
            </w:r>
            <w:r>
              <w:rPr>
                <w:rFonts w:hint="eastAsia" w:ascii="宋体" w:hAnsi="宋体" w:cs="宋体"/>
                <w:bCs/>
                <w:sz w:val="20"/>
                <w:szCs w:val="20"/>
                <w:lang w:val="en-US" w:eastAsia="zh-CN"/>
              </w:rPr>
              <w:t>每有1人</w:t>
            </w:r>
            <w:r>
              <w:rPr>
                <w:rFonts w:hint="eastAsia" w:ascii="宋体" w:hAnsi="宋体" w:cs="宋体"/>
                <w:bCs/>
                <w:sz w:val="20"/>
                <w:szCs w:val="20"/>
              </w:rPr>
              <w:t>得50分</w:t>
            </w:r>
            <w:r>
              <w:rPr>
                <w:rFonts w:hint="eastAsia" w:ascii="宋体" w:hAnsi="宋体" w:cs="宋体"/>
                <w:bCs/>
                <w:sz w:val="20"/>
                <w:szCs w:val="20"/>
                <w:lang w:eastAsia="zh-CN"/>
              </w:rPr>
              <w:t>，</w:t>
            </w:r>
            <w:r>
              <w:rPr>
                <w:rFonts w:hint="eastAsia" w:ascii="宋体" w:hAnsi="宋体" w:cs="宋体"/>
                <w:bCs/>
                <w:sz w:val="20"/>
                <w:szCs w:val="20"/>
                <w:lang w:val="en-US" w:eastAsia="zh-CN"/>
              </w:rPr>
              <w:t>同1人有多个项目经验可重复得分。</w:t>
            </w:r>
          </w:p>
          <w:p>
            <w:pPr>
              <w:keepNext w:val="0"/>
              <w:keepLines w:val="0"/>
              <w:suppressLineNumbers w:val="0"/>
              <w:spacing w:before="0" w:beforeAutospacing="0" w:after="0" w:afterAutospacing="0" w:line="240" w:lineRule="exact"/>
              <w:ind w:left="0" w:right="0"/>
              <w:rPr>
                <w:rFonts w:hint="default" w:ascii="宋体" w:hAnsi="宋体" w:cs="宋体"/>
                <w:bCs/>
                <w:sz w:val="20"/>
                <w:szCs w:val="20"/>
              </w:rPr>
            </w:pPr>
            <w:r>
              <w:rPr>
                <w:rFonts w:hint="eastAsia" w:ascii="宋体" w:hAnsi="宋体" w:cs="宋体"/>
                <w:bCs/>
                <w:sz w:val="20"/>
                <w:szCs w:val="20"/>
              </w:rPr>
              <w:t>（二）评分依据：</w:t>
            </w:r>
          </w:p>
          <w:p>
            <w:pPr>
              <w:keepNext w:val="0"/>
              <w:keepLines w:val="0"/>
              <w:suppressLineNumbers w:val="0"/>
              <w:spacing w:before="0" w:beforeAutospacing="0" w:after="0" w:afterAutospacing="0" w:line="240" w:lineRule="exact"/>
              <w:ind w:left="0" w:right="0"/>
              <w:rPr>
                <w:rFonts w:hint="default" w:ascii="宋体" w:hAnsi="宋体" w:cs="宋体"/>
                <w:bCs/>
                <w:sz w:val="20"/>
                <w:szCs w:val="20"/>
              </w:rPr>
            </w:pPr>
            <w:r>
              <w:rPr>
                <w:rFonts w:hint="eastAsia" w:ascii="宋体" w:hAnsi="宋体" w:cs="宋体"/>
                <w:bCs/>
                <w:sz w:val="20"/>
                <w:szCs w:val="20"/>
              </w:rPr>
              <w:t>1.国家级科技部项目或国家自然科学基金委员会项目需提供任务书或者立项合同等证明材料；省部级重点项目需提供立项书或者合同等证明材料，并具有重点研发字样。</w:t>
            </w:r>
          </w:p>
          <w:p>
            <w:pPr>
              <w:keepNext w:val="0"/>
              <w:keepLines w:val="0"/>
              <w:suppressLineNumbers w:val="0"/>
              <w:spacing w:before="0" w:beforeAutospacing="0" w:after="0" w:afterAutospacing="0" w:line="240" w:lineRule="exact"/>
              <w:ind w:left="0" w:right="0"/>
              <w:rPr>
                <w:rFonts w:hint="default" w:ascii="宋体" w:hAnsi="宋体" w:cs="宋体"/>
                <w:bCs/>
                <w:sz w:val="20"/>
                <w:szCs w:val="20"/>
              </w:rPr>
            </w:pPr>
            <w:r>
              <w:rPr>
                <w:rFonts w:hint="eastAsia" w:ascii="宋体" w:hAnsi="宋体" w:cs="宋体"/>
                <w:bCs/>
                <w:sz w:val="20"/>
                <w:szCs w:val="20"/>
              </w:rPr>
              <w:t>2.通过投标人缴纳的近三个月（含开标当月）的任意一个月的社保证明作为本单位员工的证明依据，如供应商成立不足一个月，提供情况说明函（格式自拟），无需提供相关人员社保，亦可得分；若为退休返聘人员，需提供说明函（格式自拟），无需提供相关人员社保，亦可得分。</w:t>
            </w:r>
          </w:p>
          <w:p>
            <w:pPr>
              <w:keepNext w:val="0"/>
              <w:keepLines w:val="0"/>
              <w:suppressLineNumbers w:val="0"/>
              <w:spacing w:before="0" w:beforeAutospacing="0" w:after="0" w:afterAutospacing="0" w:line="240" w:lineRule="exact"/>
              <w:ind w:left="0" w:right="0"/>
              <w:rPr>
                <w:rFonts w:hint="default" w:ascii="宋体" w:hAnsi="宋体" w:cs="宋体"/>
                <w:sz w:val="20"/>
                <w:szCs w:val="20"/>
              </w:rPr>
            </w:pPr>
            <w:r>
              <w:rPr>
                <w:rFonts w:hint="eastAsia" w:ascii="宋体" w:hAnsi="宋体" w:cs="宋体"/>
                <w:bCs/>
                <w:sz w:val="20"/>
                <w:szCs w:val="20"/>
              </w:rPr>
              <w:t>3.以上材料提供扫描件，评分中出现无证明资料或专家无法凭所提供资料判断是否得分的情况，一律作不得分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default" w:ascii="宋体" w:hAnsi="宋体"/>
                <w:b/>
                <w:bCs/>
                <w:sz w:val="20"/>
                <w:szCs w:val="20"/>
              </w:rPr>
              <w:t>3</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商务部分</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restart"/>
            <w:vAlign w:val="center"/>
          </w:tcPr>
          <w:p>
            <w:pPr>
              <w:keepNext/>
              <w:keepLines/>
              <w:suppressLineNumbers w:val="0"/>
              <w:spacing w:before="340" w:beforeAutospacing="0" w:after="330" w:afterAutospacing="0" w:line="240" w:lineRule="exact"/>
              <w:ind w:left="0" w:right="0"/>
              <w:jc w:val="center"/>
              <w:outlineLvl w:val="0"/>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序号</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评审因素</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权重</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评分方式</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continue"/>
            <w:vAlign w:val="center"/>
          </w:tcPr>
          <w:p>
            <w:pPr>
              <w:keepNext/>
              <w:keepLines/>
              <w:suppressLineNumbers w:val="0"/>
              <w:spacing w:before="340" w:beforeAutospacing="0" w:after="330" w:afterAutospacing="0" w:line="240" w:lineRule="exact"/>
              <w:ind w:left="0" w:right="0"/>
              <w:jc w:val="center"/>
              <w:outlineLvl w:val="0"/>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1</w:t>
            </w:r>
          </w:p>
        </w:tc>
        <w:tc>
          <w:tcPr>
            <w:tcW w:w="1814" w:type="dxa"/>
            <w:vAlign w:val="center"/>
          </w:tcPr>
          <w:p>
            <w:pPr>
              <w:keepNext w:val="0"/>
              <w:keepLines w:val="0"/>
              <w:suppressLineNumbers w:val="0"/>
              <w:spacing w:before="0" w:beforeAutospacing="0" w:after="0" w:afterAutospacing="0" w:line="240" w:lineRule="exact"/>
              <w:ind w:left="0" w:right="0"/>
              <w:rPr>
                <w:rFonts w:hint="default" w:ascii="宋体" w:hAnsi="宋体"/>
                <w:sz w:val="20"/>
                <w:szCs w:val="20"/>
              </w:rPr>
            </w:pPr>
            <w:r>
              <w:rPr>
                <w:rFonts w:hint="eastAsia" w:ascii="宋体" w:hAnsi="宋体" w:cs="宋体"/>
                <w:kern w:val="0"/>
                <w:sz w:val="20"/>
                <w:szCs w:val="20"/>
              </w:rPr>
              <w:t>商务要求偏离情况</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5</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专家评分</w:t>
            </w:r>
          </w:p>
        </w:tc>
        <w:tc>
          <w:tcPr>
            <w:tcW w:w="4328" w:type="dxa"/>
            <w:vAlign w:val="center"/>
          </w:tcPr>
          <w:p>
            <w:pPr>
              <w:keepNext w:val="0"/>
              <w:keepLines w:val="0"/>
              <w:suppressLineNumbers w:val="0"/>
              <w:spacing w:before="0" w:beforeAutospacing="0" w:after="0" w:afterAutospacing="0"/>
              <w:ind w:left="0" w:right="0"/>
              <w:rPr>
                <w:rFonts w:hint="default" w:cs="宋体"/>
                <w:sz w:val="20"/>
                <w:szCs w:val="20"/>
              </w:rPr>
            </w:pPr>
            <w:r>
              <w:rPr>
                <w:rFonts w:hint="eastAsia" w:cs="宋体"/>
                <w:sz w:val="20"/>
                <w:szCs w:val="20"/>
              </w:rPr>
              <w:t>（一）评分内容：投标人应如实填写《商务要求偏离表（免费保修期内售后服务要求）》，评审委员会根据响应情况进行打分，全部满足要求的得</w:t>
            </w:r>
            <w:r>
              <w:rPr>
                <w:rFonts w:hint="default"/>
                <w:sz w:val="20"/>
                <w:szCs w:val="20"/>
              </w:rPr>
              <w:t>100</w:t>
            </w:r>
            <w:r>
              <w:rPr>
                <w:rFonts w:hint="eastAsia" w:cs="宋体"/>
                <w:sz w:val="20"/>
                <w:szCs w:val="20"/>
              </w:rPr>
              <w:t>分，每负偏离一项扣</w:t>
            </w:r>
            <w:r>
              <w:rPr>
                <w:rFonts w:hint="eastAsia"/>
                <w:sz w:val="20"/>
                <w:szCs w:val="20"/>
              </w:rPr>
              <w:t>50</w:t>
            </w:r>
            <w:r>
              <w:rPr>
                <w:rFonts w:hint="eastAsia" w:cs="宋体"/>
                <w:sz w:val="20"/>
                <w:szCs w:val="20"/>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4</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诚信情况</w:t>
            </w:r>
          </w:p>
        </w:tc>
        <w:tc>
          <w:tcPr>
            <w:tcW w:w="4328" w:type="dxa"/>
            <w:vAlign w:val="center"/>
          </w:tcPr>
          <w:p>
            <w:pPr>
              <w:keepNext w:val="0"/>
              <w:keepLines w:val="0"/>
              <w:suppressLineNumbers w:val="0"/>
              <w:snapToGrid w:val="0"/>
              <w:spacing w:before="0" w:beforeAutospacing="0" w:after="0" w:afterAutospacing="0" w:line="300" w:lineRule="auto"/>
              <w:ind w:left="0" w:right="0"/>
              <w:jc w:val="center"/>
              <w:rPr>
                <w:rFonts w:hint="default" w:ascii="宋体" w:hAnsi="宋体"/>
                <w:sz w:val="20"/>
                <w:szCs w:val="20"/>
              </w:rPr>
            </w:pPr>
            <w:r>
              <w:rPr>
                <w:rFonts w:hint="eastAsia" w:ascii="宋体" w:hAnsi="宋体"/>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restart"/>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序号</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评审因素</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权重</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评分方式</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90" w:hRule="atLeast"/>
          <w:tblCellSpacing w:w="0" w:type="dxa"/>
          <w:jc w:val="center"/>
        </w:trPr>
        <w:tc>
          <w:tcPr>
            <w:tcW w:w="417" w:type="dxa"/>
            <w:gridSpan w:val="2"/>
            <w:vMerge w:val="continue"/>
            <w:vAlign w:val="center"/>
          </w:tcPr>
          <w:p>
            <w:pPr>
              <w:keepNext/>
              <w:keepLines/>
              <w:suppressLineNumbers w:val="0"/>
              <w:spacing w:before="340" w:beforeAutospacing="0" w:after="330" w:afterAutospacing="0" w:line="240" w:lineRule="exact"/>
              <w:ind w:left="0" w:right="0"/>
              <w:jc w:val="center"/>
              <w:outlineLvl w:val="0"/>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1</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诚信</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5</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专家评分</w:t>
            </w:r>
          </w:p>
        </w:tc>
        <w:tc>
          <w:tcPr>
            <w:tcW w:w="4328" w:type="dxa"/>
          </w:tcPr>
          <w:p>
            <w:pPr>
              <w:keepNext w:val="0"/>
              <w:keepLines w:val="0"/>
              <w:suppressLineNumbers w:val="0"/>
              <w:spacing w:before="0" w:beforeAutospacing="0" w:after="120" w:afterAutospacing="0"/>
              <w:ind w:left="0" w:right="0"/>
              <w:rPr>
                <w:rFonts w:hint="default"/>
                <w:szCs w:val="21"/>
              </w:rPr>
            </w:pPr>
            <w:r>
              <w:rPr>
                <w:rFonts w:hint="eastAsia"/>
                <w:szCs w:val="21"/>
              </w:rPr>
              <w:t>（一）评分内容：</w:t>
            </w:r>
          </w:p>
          <w:p>
            <w:pPr>
              <w:keepNext w:val="0"/>
              <w:keepLines w:val="0"/>
              <w:suppressLineNumbers w:val="0"/>
              <w:spacing w:before="0" w:beforeAutospacing="0" w:after="0" w:afterAutospacing="0"/>
              <w:ind w:left="0" w:right="0"/>
              <w:rPr>
                <w:rFonts w:hint="default"/>
              </w:rPr>
            </w:pPr>
            <w:r>
              <w:rPr>
                <w:rFonts w:hint="eastAsia"/>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keepNext w:val="0"/>
              <w:keepLines w:val="0"/>
              <w:suppressLineNumbers w:val="0"/>
              <w:spacing w:before="0" w:beforeAutospacing="0" w:after="120" w:afterAutospacing="0"/>
              <w:ind w:left="0" w:right="0"/>
              <w:rPr>
                <w:rFonts w:hint="default"/>
                <w:szCs w:val="21"/>
              </w:rPr>
            </w:pPr>
            <w:r>
              <w:rPr>
                <w:rFonts w:hint="eastAsia"/>
                <w:szCs w:val="21"/>
              </w:rPr>
              <w:t>（二）评分依据：</w:t>
            </w:r>
          </w:p>
          <w:p>
            <w:pPr>
              <w:keepNext w:val="0"/>
              <w:keepLines w:val="0"/>
              <w:suppressLineNumbers w:val="0"/>
              <w:spacing w:before="0" w:beforeAutospacing="0" w:after="0" w:afterAutospacing="0"/>
              <w:ind w:left="0" w:right="0"/>
              <w:rPr>
                <w:rFonts w:hint="default" w:ascii="宋体" w:hAnsi="宋体"/>
                <w:sz w:val="20"/>
                <w:szCs w:val="20"/>
              </w:rPr>
            </w:pPr>
            <w:r>
              <w:rPr>
                <w:rFonts w:hint="eastAsia"/>
              </w:rPr>
              <w:t>查询渠道：通过“信用中国”（www.creditchina.gov.cn，</w:t>
            </w:r>
            <w:r>
              <w:rPr>
                <w:rFonts w:hint="eastAsia"/>
                <w:b/>
                <w:bCs/>
              </w:rPr>
              <w:t>下载信用信息报告</w:t>
            </w:r>
            <w:r>
              <w:rPr>
                <w:rFonts w:hint="eastAsia"/>
              </w:rPr>
              <w:t>）、“中国政府采购网”（www.ccgp.gov.cn）、“深圳市政府采购监管网”（http://zfcg.sz.gov.cn）以及“深圳政府采购智慧平台信用库”查询供应商信用信息，信用信息以开标当日的查询结果为准。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5</w:t>
            </w:r>
          </w:p>
        </w:tc>
        <w:tc>
          <w:tcPr>
            <w:tcW w:w="3705" w:type="dxa"/>
            <w:gridSpan w:val="4"/>
            <w:vAlign w:val="center"/>
          </w:tcPr>
          <w:p>
            <w:pPr>
              <w:keepNext w:val="0"/>
              <w:keepLines w:val="0"/>
              <w:suppressLineNumbers w:val="0"/>
              <w:spacing w:before="0" w:beforeAutospacing="0" w:after="0" w:afterAutospacing="0" w:line="240" w:lineRule="exact"/>
              <w:ind w:left="0" w:right="0"/>
              <w:jc w:val="center"/>
              <w:rPr>
                <w:rFonts w:hint="default" w:ascii="宋体" w:hAnsi="宋体"/>
                <w:b/>
                <w:bCs/>
                <w:sz w:val="20"/>
                <w:szCs w:val="20"/>
              </w:rPr>
            </w:pPr>
            <w:r>
              <w:rPr>
                <w:rFonts w:hint="eastAsia" w:ascii="宋体" w:hAnsi="宋体"/>
                <w:b/>
                <w:bCs/>
                <w:sz w:val="20"/>
                <w:szCs w:val="20"/>
              </w:rPr>
              <w:t>综合实力</w:t>
            </w:r>
          </w:p>
        </w:tc>
        <w:tc>
          <w:tcPr>
            <w:tcW w:w="4328" w:type="dxa"/>
            <w:vAlign w:val="center"/>
          </w:tcPr>
          <w:p>
            <w:pPr>
              <w:keepNext w:val="0"/>
              <w:keepLines w:val="0"/>
              <w:suppressLineNumbers w:val="0"/>
              <w:snapToGrid w:val="0"/>
              <w:spacing w:before="0" w:beforeAutospacing="0" w:after="0" w:afterAutospacing="0" w:line="300" w:lineRule="auto"/>
              <w:ind w:left="0" w:right="0"/>
              <w:jc w:val="center"/>
              <w:rPr>
                <w:rFonts w:hint="default" w:ascii="宋体" w:hAnsi="宋体"/>
                <w:b/>
                <w:bCs/>
                <w:sz w:val="20"/>
                <w:szCs w:val="20"/>
              </w:rPr>
            </w:pPr>
            <w:r>
              <w:rPr>
                <w:rFonts w:hint="default" w:ascii="宋体" w:hAnsi="宋体"/>
                <w:b/>
                <w:bCs/>
                <w:sz w:val="16"/>
                <w:szCs w:val="2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57" w:hRule="atLeast"/>
          <w:tblCellSpacing w:w="0" w:type="dxa"/>
          <w:jc w:val="center"/>
        </w:trPr>
        <w:tc>
          <w:tcPr>
            <w:tcW w:w="417" w:type="dxa"/>
            <w:gridSpan w:val="2"/>
            <w:vMerge w:val="restart"/>
            <w:vAlign w:val="center"/>
          </w:tcPr>
          <w:p>
            <w:pPr>
              <w:keepNext/>
              <w:keepLines/>
              <w:suppressLineNumbers w:val="0"/>
              <w:spacing w:before="260" w:beforeAutospacing="0" w:after="260" w:afterAutospacing="0" w:line="240" w:lineRule="exact"/>
              <w:ind w:left="0" w:right="0"/>
              <w:jc w:val="center"/>
              <w:outlineLvl w:val="2"/>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序号</w:t>
            </w:r>
          </w:p>
        </w:tc>
        <w:tc>
          <w:tcPr>
            <w:tcW w:w="1814"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Cs w:val="21"/>
              </w:rPr>
            </w:pPr>
            <w:r>
              <w:rPr>
                <w:rFonts w:hint="eastAsia" w:ascii="宋体" w:hAnsi="宋体"/>
                <w:sz w:val="20"/>
                <w:szCs w:val="20"/>
              </w:rPr>
              <w:t>评审因素</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cs="宋体"/>
                <w:sz w:val="20"/>
                <w:szCs w:val="20"/>
              </w:rPr>
            </w:pPr>
            <w:r>
              <w:rPr>
                <w:rFonts w:hint="eastAsia" w:ascii="宋体" w:hAnsi="宋体"/>
                <w:sz w:val="20"/>
                <w:szCs w:val="20"/>
              </w:rPr>
              <w:t>权重</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评分方式</w:t>
            </w:r>
          </w:p>
        </w:tc>
        <w:tc>
          <w:tcPr>
            <w:tcW w:w="4328"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Cs w:val="21"/>
              </w:rPr>
            </w:pPr>
            <w:r>
              <w:rPr>
                <w:rFonts w:hint="eastAsia" w:ascii="宋体" w:hAnsi="宋体"/>
                <w:sz w:val="20"/>
                <w:szCs w:val="20"/>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48" w:type="dxa"/>
          <w:trHeight w:val="1923" w:hRule="atLeast"/>
          <w:tblCellSpacing w:w="0" w:type="dxa"/>
          <w:jc w:val="center"/>
        </w:trPr>
        <w:tc>
          <w:tcPr>
            <w:tcW w:w="417" w:type="dxa"/>
            <w:gridSpan w:val="2"/>
            <w:vMerge w:val="continue"/>
            <w:vAlign w:val="center"/>
          </w:tcPr>
          <w:p>
            <w:pPr>
              <w:keepNext/>
              <w:keepLines/>
              <w:suppressLineNumbers w:val="0"/>
              <w:spacing w:before="260" w:beforeAutospacing="0" w:after="260" w:afterAutospacing="0" w:line="240" w:lineRule="exact"/>
              <w:ind w:left="0" w:right="0"/>
              <w:jc w:val="center"/>
              <w:outlineLvl w:val="2"/>
              <w:rPr>
                <w:rFonts w:hint="default" w:ascii="宋体" w:hAnsi="宋体"/>
                <w:sz w:val="20"/>
                <w:szCs w:val="20"/>
              </w:rPr>
            </w:pPr>
          </w:p>
        </w:tc>
        <w:tc>
          <w:tcPr>
            <w:tcW w:w="416"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1</w:t>
            </w:r>
          </w:p>
        </w:tc>
        <w:tc>
          <w:tcPr>
            <w:tcW w:w="1814" w:type="dxa"/>
            <w:vAlign w:val="center"/>
          </w:tcPr>
          <w:p>
            <w:pPr>
              <w:keepNext w:val="0"/>
              <w:keepLines w:val="0"/>
              <w:suppressLineNumbers w:val="0"/>
              <w:snapToGrid w:val="0"/>
              <w:spacing w:before="0" w:beforeAutospacing="0" w:after="0" w:afterAutospacing="0" w:line="300" w:lineRule="auto"/>
              <w:ind w:left="0" w:right="0"/>
              <w:jc w:val="center"/>
              <w:rPr>
                <w:rFonts w:hint="default" w:ascii="宋体" w:hAnsi="宋体"/>
                <w:sz w:val="18"/>
                <w:szCs w:val="21"/>
              </w:rPr>
            </w:pPr>
            <w:r>
              <w:rPr>
                <w:rFonts w:hint="eastAsia" w:ascii="宋体" w:hAnsi="宋体" w:cs="宋体"/>
                <w:sz w:val="20"/>
                <w:szCs w:val="20"/>
              </w:rPr>
              <w:t>供应商同类业绩</w:t>
            </w:r>
          </w:p>
        </w:tc>
        <w:tc>
          <w:tcPr>
            <w:tcW w:w="720"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default" w:ascii="宋体" w:hAnsi="宋体"/>
                <w:sz w:val="20"/>
                <w:szCs w:val="20"/>
              </w:rPr>
              <w:t>10</w:t>
            </w:r>
          </w:p>
        </w:tc>
        <w:tc>
          <w:tcPr>
            <w:tcW w:w="755" w:type="dxa"/>
            <w:vAlign w:val="center"/>
          </w:tcPr>
          <w:p>
            <w:pPr>
              <w:keepNext w:val="0"/>
              <w:keepLines w:val="0"/>
              <w:suppressLineNumbers w:val="0"/>
              <w:spacing w:before="0" w:beforeAutospacing="0" w:after="0" w:afterAutospacing="0" w:line="240" w:lineRule="exact"/>
              <w:ind w:left="0" w:right="0"/>
              <w:jc w:val="center"/>
              <w:rPr>
                <w:rFonts w:hint="default" w:ascii="宋体" w:hAnsi="宋体"/>
                <w:sz w:val="20"/>
                <w:szCs w:val="20"/>
              </w:rPr>
            </w:pPr>
            <w:r>
              <w:rPr>
                <w:rFonts w:hint="eastAsia" w:ascii="宋体" w:hAnsi="宋体"/>
                <w:sz w:val="20"/>
                <w:szCs w:val="20"/>
              </w:rPr>
              <w:t>专家打分</w:t>
            </w:r>
          </w:p>
        </w:tc>
        <w:tc>
          <w:tcPr>
            <w:tcW w:w="4328" w:type="dxa"/>
          </w:tcPr>
          <w:p>
            <w:pPr>
              <w:keepNext w:val="0"/>
              <w:keepLines w:val="0"/>
              <w:suppressLineNumbers w:val="0"/>
              <w:spacing w:before="0" w:beforeAutospacing="0" w:after="0" w:afterAutospacing="0" w:line="240" w:lineRule="exact"/>
              <w:ind w:left="0" w:right="0"/>
              <w:jc w:val="left"/>
              <w:rPr>
                <w:rFonts w:hint="default" w:ascii="宋体" w:hAnsi="宋体" w:cs="宋体"/>
                <w:sz w:val="20"/>
                <w:szCs w:val="20"/>
              </w:rPr>
            </w:pPr>
            <w:r>
              <w:rPr>
                <w:rFonts w:hint="eastAsia" w:ascii="宋体" w:hAnsi="宋体" w:cs="宋体"/>
                <w:sz w:val="20"/>
                <w:szCs w:val="20"/>
              </w:rPr>
              <w:t>（一）评分内容：提供自2020年1月1日至本项目</w:t>
            </w:r>
            <w:r>
              <w:rPr>
                <w:rFonts w:hint="eastAsia" w:ascii="宋体" w:hAnsi="宋体" w:cs="宋体"/>
                <w:color w:val="auto"/>
                <w:sz w:val="20"/>
                <w:szCs w:val="20"/>
              </w:rPr>
              <w:t>投标截止日，以合同签订时间为准的图像处理及算法类同类业绩，提供</w:t>
            </w:r>
            <w:r>
              <w:rPr>
                <w:rFonts w:hint="default" w:ascii="宋体" w:hAnsi="宋体" w:cs="宋体"/>
                <w:sz w:val="20"/>
                <w:szCs w:val="20"/>
              </w:rPr>
              <w:t>2</w:t>
            </w:r>
            <w:r>
              <w:rPr>
                <w:rFonts w:hint="eastAsia" w:ascii="宋体" w:hAnsi="宋体" w:cs="宋体"/>
                <w:sz w:val="20"/>
                <w:szCs w:val="20"/>
              </w:rPr>
              <w:t>个即得满分100分，提供</w:t>
            </w:r>
            <w:r>
              <w:rPr>
                <w:rFonts w:hint="default" w:ascii="宋体" w:hAnsi="宋体" w:cs="宋体"/>
                <w:sz w:val="20"/>
                <w:szCs w:val="20"/>
              </w:rPr>
              <w:t>1</w:t>
            </w:r>
            <w:r>
              <w:rPr>
                <w:rFonts w:hint="eastAsia" w:ascii="宋体" w:hAnsi="宋体" w:cs="宋体"/>
                <w:sz w:val="20"/>
                <w:szCs w:val="20"/>
              </w:rPr>
              <w:t>个得</w:t>
            </w:r>
            <w:r>
              <w:rPr>
                <w:rFonts w:hint="default" w:ascii="宋体" w:hAnsi="宋体" w:cs="宋体"/>
                <w:sz w:val="20"/>
                <w:szCs w:val="20"/>
              </w:rPr>
              <w:t>50</w:t>
            </w:r>
            <w:r>
              <w:rPr>
                <w:rFonts w:hint="eastAsia" w:ascii="宋体" w:hAnsi="宋体" w:cs="宋体"/>
                <w:sz w:val="20"/>
                <w:szCs w:val="20"/>
              </w:rPr>
              <w:t>分，未提供的不得分。</w:t>
            </w:r>
          </w:p>
          <w:p>
            <w:pPr>
              <w:keepNext w:val="0"/>
              <w:keepLines w:val="0"/>
              <w:suppressLineNumbers w:val="0"/>
              <w:spacing w:before="0" w:beforeAutospacing="0" w:after="0" w:afterAutospacing="0" w:line="240" w:lineRule="exact"/>
              <w:ind w:left="0" w:right="0"/>
              <w:jc w:val="left"/>
              <w:rPr>
                <w:rFonts w:hint="default" w:ascii="宋体" w:hAnsi="宋体" w:cs="宋体"/>
                <w:sz w:val="20"/>
                <w:szCs w:val="20"/>
              </w:rPr>
            </w:pPr>
            <w:r>
              <w:rPr>
                <w:rFonts w:hint="eastAsia" w:ascii="宋体" w:hAnsi="宋体" w:cs="宋体"/>
                <w:sz w:val="20"/>
                <w:szCs w:val="20"/>
              </w:rPr>
              <w:t>（二）评分依据：投标人需在投标文件中提供每一个项目的合同（均加盖合同甲方公章或业务章）扫描件，否则不得分。</w:t>
            </w:r>
          </w:p>
        </w:tc>
      </w:tr>
    </w:tbl>
    <w:p>
      <w:pPr>
        <w:jc w:val="center"/>
        <w:rPr>
          <w:b/>
          <w:sz w:val="120"/>
          <w:szCs w:val="120"/>
        </w:rPr>
      </w:pPr>
    </w:p>
    <w:p>
      <w:pPr>
        <w:jc w:val="center"/>
        <w:rPr>
          <w:b/>
          <w:sz w:val="120"/>
          <w:szCs w:val="120"/>
        </w:rPr>
      </w:pPr>
    </w:p>
    <w:p>
      <w:pPr>
        <w:jc w:val="center"/>
        <w:rPr>
          <w:b/>
          <w:sz w:val="120"/>
          <w:szCs w:val="120"/>
        </w:rPr>
      </w:pPr>
    </w:p>
    <w:p>
      <w:pPr>
        <w:jc w:val="center"/>
        <w:rPr>
          <w:b/>
          <w:sz w:val="120"/>
          <w:szCs w:val="120"/>
        </w:rPr>
      </w:pPr>
    </w:p>
    <w:p>
      <w:pPr>
        <w:jc w:val="center"/>
        <w:rPr>
          <w:b/>
          <w:sz w:val="120"/>
          <w:szCs w:val="120"/>
        </w:rPr>
      </w:pPr>
      <w:r>
        <w:rPr>
          <w:rFonts w:hint="eastAsia"/>
          <w:b/>
          <w:sz w:val="120"/>
          <w:szCs w:val="120"/>
        </w:rPr>
        <w:t>自行采购</w:t>
      </w:r>
    </w:p>
    <w:p>
      <w:pPr>
        <w:jc w:val="center"/>
        <w:rPr>
          <w:b/>
          <w:sz w:val="120"/>
          <w:szCs w:val="120"/>
        </w:rPr>
      </w:pPr>
      <w:r>
        <w:rPr>
          <w:rFonts w:hint="eastAsia"/>
          <w:b/>
          <w:sz w:val="120"/>
          <w:szCs w:val="120"/>
        </w:rPr>
        <w:t>招标文件</w:t>
      </w:r>
    </w:p>
    <w:p>
      <w:pPr>
        <w:jc w:val="center"/>
        <w:rPr>
          <w:b/>
          <w:sz w:val="52"/>
          <w:szCs w:val="52"/>
        </w:rPr>
      </w:pPr>
      <w:r>
        <w:rPr>
          <w:rFonts w:hint="eastAsia"/>
          <w:b/>
          <w:sz w:val="52"/>
          <w:szCs w:val="52"/>
        </w:rPr>
        <w:t>（服务类）</w:t>
      </w:r>
    </w:p>
    <w:p>
      <w:pPr>
        <w:jc w:val="center"/>
      </w:pPr>
    </w:p>
    <w:p>
      <w:pPr>
        <w:jc w:val="center"/>
      </w:pPr>
    </w:p>
    <w:p>
      <w:pPr>
        <w:jc w:val="center"/>
      </w:pPr>
    </w:p>
    <w:p>
      <w:pPr>
        <w:jc w:val="center"/>
      </w:pPr>
    </w:p>
    <w:p>
      <w:pPr>
        <w:pStyle w:val="19"/>
      </w:pPr>
    </w:p>
    <w:p>
      <w:pPr>
        <w:pStyle w:val="19"/>
      </w:pPr>
    </w:p>
    <w:p>
      <w:pPr>
        <w:pStyle w:val="19"/>
      </w:pPr>
    </w:p>
    <w:p>
      <w:pPr>
        <w:pStyle w:val="19"/>
      </w:pPr>
    </w:p>
    <w:p>
      <w:pPr>
        <w:pStyle w:val="19"/>
      </w:pPr>
    </w:p>
    <w:p>
      <w:pPr>
        <w:jc w:val="center"/>
        <w:rPr>
          <w:b/>
          <w:sz w:val="44"/>
          <w:szCs w:val="44"/>
        </w:rPr>
      </w:pPr>
    </w:p>
    <w:p>
      <w:pPr>
        <w:jc w:val="center"/>
        <w:rPr>
          <w:b/>
          <w:sz w:val="44"/>
          <w:szCs w:val="44"/>
        </w:rPr>
      </w:pPr>
      <w:bookmarkStart w:id="0" w:name="_Hlk71465316"/>
      <w:r>
        <w:rPr>
          <w:rFonts w:hint="eastAsia"/>
          <w:b/>
          <w:sz w:val="44"/>
          <w:szCs w:val="44"/>
        </w:rPr>
        <w:t>深圳公共资源交易中心</w:t>
      </w:r>
    </w:p>
    <w:p>
      <w:pPr>
        <w:jc w:val="center"/>
        <w:rPr>
          <w:sz w:val="28"/>
          <w:szCs w:val="28"/>
        </w:rPr>
      </w:pPr>
      <w:r>
        <w:rPr>
          <w:rFonts w:hint="eastAsia"/>
          <w:b/>
          <w:sz w:val="28"/>
          <w:szCs w:val="28"/>
        </w:rPr>
        <w:t>（</w:t>
      </w:r>
      <w:r>
        <w:rPr>
          <w:b/>
          <w:sz w:val="28"/>
          <w:szCs w:val="28"/>
        </w:rPr>
        <w:t>20</w:t>
      </w:r>
      <w:r>
        <w:rPr>
          <w:rFonts w:hint="eastAsia"/>
          <w:b/>
          <w:sz w:val="28"/>
          <w:szCs w:val="28"/>
        </w:rPr>
        <w:t>25年）</w:t>
      </w:r>
      <w:bookmarkEnd w:id="0"/>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240" w:afterLines="100" w:afterAutospacing="0" w:line="400" w:lineRule="exact"/>
        <w:ind w:left="0" w:right="0" w:firstLine="420" w:firstLineChars="200"/>
        <w:jc w:val="both"/>
        <w:rPr>
          <w:rFonts w:ascii="宋体" w:hAnsi="宋体"/>
          <w:color w:val="FF0000"/>
          <w:szCs w:val="21"/>
        </w:rPr>
      </w:pPr>
      <w:r>
        <w:rPr>
          <w:rFonts w:hint="eastAsia"/>
        </w:rPr>
        <w:br w:type="page"/>
      </w:r>
      <w:bookmarkStart w:id="1" w:name="_Hlk137453387"/>
    </w:p>
    <w:bookmarkEnd w:id="1"/>
    <w:p>
      <w:pPr>
        <w:pStyle w:val="2"/>
      </w:pPr>
      <w:r>
        <w:rPr>
          <w:rFonts w:hint="eastAsia"/>
        </w:rPr>
        <w:t>目   录</w:t>
      </w:r>
    </w:p>
    <w:p>
      <w:pPr>
        <w:outlineLvl w:val="0"/>
        <w:rPr>
          <w:b/>
          <w:sz w:val="24"/>
        </w:rPr>
      </w:pPr>
      <w:r>
        <w:rPr>
          <w:rFonts w:hint="eastAsia"/>
          <w:b/>
          <w:sz w:val="24"/>
        </w:rPr>
        <w:t>第一册  专用条款</w:t>
      </w:r>
    </w:p>
    <w:p>
      <w:pPr>
        <w:rPr>
          <w:sz w:val="24"/>
        </w:rPr>
      </w:pPr>
      <w:r>
        <w:rPr>
          <w:rFonts w:hint="eastAsia"/>
          <w:sz w:val="24"/>
        </w:rPr>
        <w:t xml:space="preserve">          关键信息</w:t>
      </w:r>
    </w:p>
    <w:p>
      <w:pPr>
        <w:ind w:left="630" w:leftChars="300" w:firstLine="630" w:firstLineChars="300"/>
        <w:rPr>
          <w:rFonts w:ascii="宋体" w:hAnsi="宋体"/>
          <w:szCs w:val="21"/>
        </w:rPr>
      </w:pPr>
      <w:r>
        <w:rPr>
          <w:rFonts w:hint="eastAsia" w:ascii="宋体" w:hAnsi="宋体"/>
          <w:szCs w:val="21"/>
        </w:rPr>
        <w:t>第一章  招标公告</w:t>
      </w:r>
    </w:p>
    <w:p>
      <w:pPr>
        <w:ind w:left="630" w:leftChars="300" w:firstLine="630" w:firstLineChars="300"/>
        <w:rPr>
          <w:rFonts w:ascii="宋体" w:hAnsi="宋体"/>
          <w:szCs w:val="21"/>
        </w:rPr>
      </w:pPr>
      <w:r>
        <w:rPr>
          <w:rFonts w:hint="eastAsia" w:ascii="宋体" w:hAnsi="宋体"/>
          <w:szCs w:val="21"/>
        </w:rPr>
        <w:t xml:space="preserve">第二章  </w:t>
      </w:r>
      <w:bookmarkStart w:id="2" w:name="_Hlk71994379"/>
      <w:r>
        <w:rPr>
          <w:rFonts w:hint="eastAsia" w:ascii="宋体" w:hAnsi="宋体"/>
          <w:szCs w:val="21"/>
        </w:rPr>
        <w:t>对通用条款的补充内容及其他关键信息</w:t>
      </w:r>
      <w:bookmarkEnd w:id="2"/>
    </w:p>
    <w:p>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pPr>
        <w:ind w:left="630" w:leftChars="300" w:firstLine="630" w:firstLineChars="300"/>
        <w:rPr>
          <w:rFonts w:hint="eastAsia"/>
          <w:b/>
          <w:sz w:val="24"/>
        </w:rPr>
      </w:pPr>
      <w:r>
        <w:rPr>
          <w:rFonts w:hint="eastAsia" w:ascii="宋体" w:hAnsi="宋体"/>
          <w:szCs w:val="21"/>
        </w:rPr>
        <w:t>第五章  合同条款及格式</w:t>
      </w:r>
    </w:p>
    <w:p>
      <w:pPr>
        <w:outlineLvl w:val="0"/>
        <w:rPr>
          <w:b/>
          <w:sz w:val="24"/>
        </w:rPr>
      </w:pPr>
      <w:r>
        <w:rPr>
          <w:rFonts w:hint="eastAsia"/>
          <w:b/>
          <w:sz w:val="24"/>
        </w:rPr>
        <w:t>第二册  通用条款</w:t>
      </w:r>
    </w:p>
    <w:p>
      <w:pPr>
        <w:ind w:left="630" w:leftChars="300" w:firstLine="630" w:firstLineChars="300"/>
        <w:rPr>
          <w:rFonts w:ascii="宋体" w:hAnsi="宋体"/>
          <w:szCs w:val="21"/>
        </w:rPr>
      </w:pPr>
      <w:r>
        <w:rPr>
          <w:rFonts w:hint="eastAsia" w:ascii="宋体" w:hAnsi="宋体"/>
          <w:szCs w:val="21"/>
        </w:rPr>
        <w:t>第一章  总则</w:t>
      </w:r>
    </w:p>
    <w:p>
      <w:pPr>
        <w:ind w:left="630" w:leftChars="300" w:firstLine="630" w:firstLineChars="300"/>
        <w:rPr>
          <w:rFonts w:ascii="宋体" w:hAnsi="宋体"/>
          <w:szCs w:val="21"/>
        </w:rPr>
      </w:pPr>
      <w:r>
        <w:rPr>
          <w:rFonts w:hint="eastAsia" w:ascii="宋体" w:hAnsi="宋体"/>
          <w:szCs w:val="21"/>
        </w:rPr>
        <w:t>第二章  招标文件</w:t>
      </w:r>
    </w:p>
    <w:p>
      <w:pPr>
        <w:ind w:left="630" w:leftChars="300" w:firstLine="630" w:firstLineChars="300"/>
        <w:rPr>
          <w:rFonts w:ascii="宋体" w:hAnsi="宋体"/>
          <w:szCs w:val="21"/>
        </w:rPr>
      </w:pPr>
      <w:r>
        <w:rPr>
          <w:rFonts w:hint="eastAsia" w:ascii="宋体" w:hAnsi="宋体"/>
          <w:szCs w:val="21"/>
        </w:rPr>
        <w:t>第三章  投标文件的编制</w:t>
      </w:r>
    </w:p>
    <w:p>
      <w:pPr>
        <w:ind w:left="630" w:leftChars="300" w:firstLine="630" w:firstLineChars="300"/>
        <w:rPr>
          <w:rFonts w:ascii="宋体" w:hAnsi="宋体"/>
          <w:szCs w:val="21"/>
        </w:rPr>
      </w:pPr>
      <w:r>
        <w:rPr>
          <w:rFonts w:hint="eastAsia" w:ascii="宋体" w:hAnsi="宋体"/>
          <w:szCs w:val="21"/>
        </w:rPr>
        <w:t>第四章  投标文件的递交</w:t>
      </w:r>
    </w:p>
    <w:p>
      <w:pPr>
        <w:ind w:left="630" w:leftChars="300" w:firstLine="630" w:firstLineChars="300"/>
        <w:rPr>
          <w:rFonts w:ascii="宋体" w:hAnsi="宋体"/>
          <w:szCs w:val="21"/>
        </w:rPr>
      </w:pPr>
      <w:r>
        <w:rPr>
          <w:rFonts w:hint="eastAsia" w:ascii="宋体" w:hAnsi="宋体"/>
          <w:szCs w:val="21"/>
        </w:rPr>
        <w:t>第五章  开标</w:t>
      </w:r>
    </w:p>
    <w:p>
      <w:pPr>
        <w:ind w:left="630" w:leftChars="300" w:firstLine="630" w:firstLineChars="300"/>
        <w:rPr>
          <w:rFonts w:ascii="宋体" w:hAnsi="宋体"/>
          <w:szCs w:val="21"/>
        </w:rPr>
      </w:pPr>
      <w:r>
        <w:rPr>
          <w:rFonts w:hint="eastAsia" w:ascii="宋体" w:hAnsi="宋体"/>
          <w:szCs w:val="21"/>
        </w:rPr>
        <w:t>第六章  评审要求</w:t>
      </w:r>
    </w:p>
    <w:p>
      <w:pPr>
        <w:ind w:left="630" w:leftChars="300" w:firstLine="630" w:firstLineChars="300"/>
        <w:rPr>
          <w:rFonts w:ascii="宋体" w:hAnsi="宋体"/>
          <w:szCs w:val="21"/>
        </w:rPr>
      </w:pPr>
      <w:r>
        <w:rPr>
          <w:rFonts w:hint="eastAsia" w:ascii="宋体" w:hAnsi="宋体"/>
          <w:szCs w:val="21"/>
        </w:rPr>
        <w:t>第七章  评审程序及评审方法</w:t>
      </w:r>
    </w:p>
    <w:p>
      <w:pPr>
        <w:ind w:left="630" w:leftChars="300" w:firstLine="630" w:firstLineChars="300"/>
        <w:rPr>
          <w:rFonts w:ascii="宋体" w:hAnsi="宋体"/>
          <w:szCs w:val="21"/>
        </w:rPr>
      </w:pPr>
      <w:r>
        <w:rPr>
          <w:rFonts w:hint="eastAsia" w:ascii="宋体" w:hAnsi="宋体"/>
          <w:szCs w:val="21"/>
        </w:rPr>
        <w:t>第八章  定标及公示</w:t>
      </w:r>
    </w:p>
    <w:p>
      <w:pPr>
        <w:ind w:left="630" w:leftChars="300" w:firstLine="630" w:firstLineChars="300"/>
        <w:rPr>
          <w:rFonts w:ascii="宋体" w:hAnsi="宋体"/>
          <w:szCs w:val="21"/>
        </w:rPr>
      </w:pPr>
      <w:r>
        <w:rPr>
          <w:rFonts w:hint="eastAsia" w:ascii="宋体" w:hAnsi="宋体"/>
          <w:szCs w:val="21"/>
        </w:rPr>
        <w:t>第九章  公开招标失败的后续处理</w:t>
      </w:r>
    </w:p>
    <w:p>
      <w:pPr>
        <w:ind w:left="630" w:leftChars="300" w:firstLine="630" w:firstLineChars="300"/>
        <w:rPr>
          <w:rFonts w:ascii="宋体" w:hAnsi="宋体"/>
          <w:szCs w:val="21"/>
        </w:rPr>
      </w:pPr>
      <w:r>
        <w:rPr>
          <w:rFonts w:hint="eastAsia" w:ascii="宋体" w:hAnsi="宋体"/>
          <w:szCs w:val="21"/>
        </w:rPr>
        <w:t>第十章  合同的授予与备案</w:t>
      </w:r>
    </w:p>
    <w:p>
      <w:pPr>
        <w:ind w:left="630" w:leftChars="300" w:firstLine="630" w:firstLineChars="300"/>
        <w:rPr>
          <w:rFonts w:ascii="宋体" w:hAnsi="宋体"/>
          <w:szCs w:val="21"/>
        </w:rPr>
      </w:pPr>
      <w:r>
        <w:rPr>
          <w:rFonts w:hint="eastAsia" w:ascii="宋体" w:hAnsi="宋体"/>
          <w:szCs w:val="21"/>
        </w:rPr>
        <w:t>第十一章  质疑处理</w:t>
      </w:r>
    </w:p>
    <w:p>
      <w:pPr>
        <w:rPr>
          <w:b/>
          <w:sz w:val="24"/>
        </w:rPr>
      </w:pPr>
    </w:p>
    <w:p>
      <w:pPr>
        <w:rPr>
          <w:rFonts w:hint="eastAsia"/>
          <w:sz w:val="28"/>
          <w:szCs w:val="28"/>
        </w:rPr>
      </w:pPr>
      <w:r>
        <w:rPr>
          <w:rFonts w:hint="eastAsia"/>
          <w:sz w:val="28"/>
          <w:szCs w:val="28"/>
        </w:rPr>
        <w:br w:type="page"/>
      </w:r>
    </w:p>
    <w:p>
      <w:pPr>
        <w:pStyle w:val="5"/>
        <w:spacing w:before="0" w:after="0"/>
        <w:rPr>
          <w:rFonts w:hint="eastAsia"/>
          <w:sz w:val="28"/>
          <w:szCs w:val="28"/>
        </w:rPr>
      </w:pPr>
      <w:r>
        <w:rPr>
          <w:rFonts w:hint="eastAsia"/>
          <w:sz w:val="28"/>
          <w:szCs w:val="28"/>
        </w:rPr>
        <w:t>第一册专用条款</w:t>
      </w:r>
    </w:p>
    <w:p>
      <w:pPr>
        <w:pStyle w:val="5"/>
        <w:spacing w:before="0" w:after="0"/>
        <w:rPr>
          <w:sz w:val="28"/>
          <w:szCs w:val="28"/>
        </w:rPr>
      </w:pPr>
      <w:r>
        <w:rPr>
          <w:rFonts w:hint="eastAsia"/>
          <w:sz w:val="28"/>
          <w:szCs w:val="28"/>
        </w:rPr>
        <w:t>第一章  招标公告</w:t>
      </w:r>
    </w:p>
    <w:p>
      <w:pPr>
        <w:rPr>
          <w:rFonts w:ascii="宋体" w:hAnsi="宋体" w:cs="宋体"/>
          <w:b/>
          <w:bCs/>
          <w:kern w:val="0"/>
          <w:szCs w:val="21"/>
        </w:rPr>
      </w:pPr>
      <w:r>
        <w:rPr>
          <w:rFonts w:hint="eastAsia" w:ascii="宋体" w:hAnsi="宋体" w:cs="宋体"/>
          <w:b/>
          <w:bCs/>
          <w:kern w:val="0"/>
          <w:szCs w:val="21"/>
        </w:rPr>
        <w:t>投标人的资格要求：</w:t>
      </w:r>
    </w:p>
    <w:p>
      <w:pPr>
        <w:ind w:firstLine="630" w:firstLineChars="300"/>
        <w:rPr>
          <w:rFonts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ind w:firstLine="630" w:firstLineChars="300"/>
        <w:rPr>
          <w:rFonts w:ascii="宋体" w:hAnsi="宋体" w:cs="宋体"/>
          <w:kern w:val="0"/>
          <w:szCs w:val="21"/>
        </w:rPr>
      </w:pPr>
      <w:r>
        <w:rPr>
          <w:rFonts w:hint="eastAsia" w:ascii="宋体" w:hAnsi="宋体" w:cs="宋体"/>
          <w:kern w:val="0"/>
          <w:szCs w:val="21"/>
        </w:rPr>
        <w:t>2.本项目不接受联合体投标，不接受投标人选用进口产品参与投标（由供应商在《采购投标及履约承诺函》中作出声明）；</w:t>
      </w:r>
    </w:p>
    <w:p>
      <w:pPr>
        <w:ind w:firstLine="630" w:firstLineChars="300"/>
        <w:rPr>
          <w:rFonts w:ascii="宋体" w:hAnsi="宋体" w:cs="宋体"/>
          <w:kern w:val="0"/>
          <w:szCs w:val="21"/>
        </w:rPr>
      </w:pP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参与本项目采购活动时不存在被有关部门禁止参与政府采购活动且在有效期内的情况（由供应商在《采购投标及履约承诺函》中作出声明）；</w:t>
      </w:r>
    </w:p>
    <w:p>
      <w:pPr>
        <w:ind w:firstLine="630" w:firstLineChars="300"/>
        <w:rPr>
          <w:rFonts w:ascii="宋体" w:hAnsi="宋体" w:cs="宋体"/>
          <w:kern w:val="0"/>
          <w:szCs w:val="21"/>
        </w:rPr>
      </w:pPr>
      <w:r>
        <w:rPr>
          <w:rFonts w:hint="eastAsia" w:ascii="宋体" w:hAnsi="宋体" w:cs="宋体"/>
          <w:kern w:val="0"/>
          <w:szCs w:val="21"/>
        </w:rPr>
        <w:t>4</w:t>
      </w:r>
      <w:r>
        <w:rPr>
          <w:rFonts w:ascii="宋体" w:hAnsi="宋体" w:cs="宋体"/>
          <w:kern w:val="0"/>
          <w:szCs w:val="21"/>
        </w:rPr>
        <w:t>.</w:t>
      </w:r>
      <w:r>
        <w:rPr>
          <w:rFonts w:hint="eastAsia" w:ascii="宋体" w:hAnsi="宋体" w:cs="宋体"/>
          <w:kern w:val="0"/>
          <w:szCs w:val="21"/>
        </w:rPr>
        <w:t>具备《中华人民共和国政府采购法》第二十二条第一款的条件（由供应商在《采购投标及履约承诺函》中作出声明）；</w:t>
      </w:r>
    </w:p>
    <w:p>
      <w:pPr>
        <w:ind w:firstLine="630" w:firstLineChars="300"/>
        <w:rPr>
          <w:rFonts w:ascii="宋体" w:hAnsi="宋体" w:cs="宋体"/>
          <w:kern w:val="0"/>
          <w:szCs w:val="21"/>
        </w:rPr>
      </w:pPr>
      <w:r>
        <w:rPr>
          <w:rFonts w:hint="eastAsia" w:ascii="宋体" w:hAnsi="宋体" w:cs="宋体"/>
          <w:kern w:val="0"/>
          <w:szCs w:val="21"/>
        </w:rPr>
        <w:t>5</w:t>
      </w:r>
      <w:r>
        <w:rPr>
          <w:rFonts w:ascii="宋体" w:hAnsi="宋体" w:cs="宋体"/>
          <w:kern w:val="0"/>
          <w:szCs w:val="21"/>
        </w:rPr>
        <w:t>.</w:t>
      </w:r>
      <w:r>
        <w:rPr>
          <w:rFonts w:hint="eastAsia" w:ascii="宋体" w:hAnsi="宋体" w:cs="宋体"/>
          <w:kern w:val="0"/>
          <w:szCs w:val="21"/>
        </w:rPr>
        <w:t>未被列入失信被执行人、重大税收违法案件当事人名单、政府采购严重违法失信行为记录名单（由供应商在《采购投标及履约承诺函》中作出声明）；</w:t>
      </w:r>
    </w:p>
    <w:p>
      <w:pPr>
        <w:ind w:firstLine="630" w:firstLineChars="300"/>
        <w:rPr>
          <w:rFonts w:ascii="宋体" w:hAnsi="宋体" w:cs="宋体"/>
          <w:color w:val="FF0000"/>
          <w:kern w:val="0"/>
          <w:szCs w:val="21"/>
        </w:rPr>
      </w:pPr>
      <w:r>
        <w:rPr>
          <w:rFonts w:hint="eastAsia" w:ascii="宋体" w:hAnsi="宋体" w:cs="宋体"/>
          <w:color w:val="FF0000"/>
          <w:kern w:val="0"/>
          <w:szCs w:val="21"/>
        </w:rPr>
        <w:t>6.不存在《深圳市财政局政府采购供应商信用信息管理办法》（深财规〔2023〕3号）列明的严重违法失信行为（由供应商在《采购投标及履约承诺函》中作出声明）；</w:t>
      </w:r>
    </w:p>
    <w:p>
      <w:pPr>
        <w:ind w:firstLine="630" w:firstLineChars="300"/>
        <w:rPr>
          <w:rFonts w:ascii="宋体" w:hAnsi="宋体" w:cs="宋体"/>
          <w:kern w:val="0"/>
          <w:szCs w:val="21"/>
        </w:rPr>
      </w:pPr>
      <w:r>
        <w:rPr>
          <w:rFonts w:hint="eastAsia" w:ascii="宋体" w:hAnsi="宋体" w:cs="宋体"/>
          <w:kern w:val="0"/>
          <w:szCs w:val="21"/>
        </w:rPr>
        <w:t>7.为采购项目提供整体设计、规范编制或者项目管理、监理、检测等服务的供应商，不得再参加该采购项目的其他采购活动（由供应商在《采购投标及履约承诺函》中作出声明）；</w:t>
      </w:r>
    </w:p>
    <w:p>
      <w:pPr>
        <w:ind w:firstLine="630" w:firstLineChars="300"/>
        <w:rPr>
          <w:rFonts w:ascii="宋体" w:hAnsi="宋体" w:cs="宋体"/>
          <w:color w:val="FF0000"/>
          <w:kern w:val="0"/>
          <w:szCs w:val="21"/>
        </w:rPr>
      </w:pPr>
      <w:r>
        <w:rPr>
          <w:rFonts w:hint="eastAsia" w:ascii="宋体" w:hAnsi="宋体" w:cs="宋体"/>
          <w:color w:val="FF0000"/>
          <w:kern w:val="0"/>
          <w:szCs w:val="21"/>
        </w:rPr>
        <w:t>8.</w:t>
      </w:r>
      <w:r>
        <w:rPr>
          <w:rFonts w:hint="eastAsia" w:ascii="宋体" w:hAnsi="宋体" w:eastAsia="宋体" w:cs="宋体"/>
          <w:color w:val="FF0000"/>
          <w:kern w:val="0"/>
          <w:sz w:val="21"/>
          <w:szCs w:val="21"/>
          <w:lang w:val="en-US" w:eastAsia="zh-CN" w:bidi="ar-SA"/>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hint="eastAsia" w:ascii="宋体" w:hAnsi="宋体" w:cs="宋体"/>
          <w:b/>
          <w:color w:val="FF0000"/>
          <w:kern w:val="0"/>
          <w:szCs w:val="21"/>
        </w:rPr>
        <w:t>（由供应商提供《供应商基本情况表》并加盖公章扫描件）</w:t>
      </w:r>
      <w:r>
        <w:rPr>
          <w:rFonts w:hint="eastAsia" w:ascii="宋体" w:hAnsi="宋体" w:cs="宋体"/>
          <w:b/>
          <w:color w:val="FF0000"/>
          <w:kern w:val="0"/>
          <w:szCs w:val="21"/>
          <w:lang w:eastAsia="zh-CN"/>
        </w:rPr>
        <w:t>。</w:t>
      </w:r>
    </w:p>
    <w:p>
      <w:pPr>
        <w:ind w:firstLine="630" w:firstLineChars="300"/>
        <w:rPr>
          <w:rFonts w:hint="eastAsia" w:ascii="宋体" w:hAnsi="宋体" w:cs="宋体"/>
          <w:kern w:val="0"/>
          <w:szCs w:val="21"/>
        </w:rPr>
      </w:pPr>
      <w:r>
        <w:rPr>
          <w:rFonts w:hint="eastAsia" w:ascii="宋体" w:hAnsi="宋体" w:cs="宋体"/>
          <w:kern w:val="0"/>
          <w:szCs w:val="21"/>
        </w:rPr>
        <w:t>9.本项目为非专门面向中小企业采购项目。</w:t>
      </w:r>
    </w:p>
    <w:p>
      <w:pPr>
        <w:rPr>
          <w:rFonts w:hint="eastAsia" w:ascii="宋体" w:hAnsi="宋体" w:cs="宋体"/>
          <w:kern w:val="0"/>
          <w:szCs w:val="21"/>
        </w:rPr>
      </w:pPr>
    </w:p>
    <w:p>
      <w:pPr>
        <w:rPr>
          <w:rFonts w:ascii="宋体" w:hAnsi="宋体" w:cs="宋体"/>
          <w:kern w:val="0"/>
          <w:szCs w:val="21"/>
        </w:rPr>
      </w:pPr>
      <w:r>
        <w:rPr>
          <w:rFonts w:hint="eastAsia" w:ascii="宋体" w:hAnsi="宋体" w:cs="宋体"/>
          <w:kern w:val="0"/>
          <w:szCs w:val="21"/>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numPr>
          <w:ilvl w:val="0"/>
          <w:numId w:val="0"/>
        </w:numPr>
        <w:rPr>
          <w:ins w:id="0" w:author="大白熊与小花花" w:date="2025-04-03T17:28:57Z"/>
          <w:rFonts w:hint="eastAsia" w:ascii="宋体" w:hAnsi="宋体"/>
        </w:rPr>
      </w:pPr>
      <w:r>
        <w:rPr>
          <w:rFonts w:hint="eastAsia" w:ascii="宋体" w:hAnsi="宋体"/>
          <w:lang w:eastAsia="zh-CN"/>
        </w:rPr>
        <w:t>（</w:t>
      </w:r>
      <w:r>
        <w:rPr>
          <w:rFonts w:hint="eastAsia" w:ascii="宋体" w:hAnsi="宋体"/>
          <w:lang w:val="en-US" w:eastAsia="zh-CN"/>
        </w:rPr>
        <w:t>2</w:t>
      </w:r>
      <w:r>
        <w:rPr>
          <w:rFonts w:hint="eastAsia" w:ascii="宋体" w:hAnsi="宋体"/>
          <w:lang w:eastAsia="zh-CN"/>
        </w:rPr>
        <w:t>）</w:t>
      </w:r>
      <w:r>
        <w:rPr>
          <w:rFonts w:hint="eastAsia" w:ascii="宋体" w:hAnsi="宋体"/>
        </w:rPr>
        <w:t>供应商投标（上传投标文件）必须先行办理注册手续，具体操作指引请按照深圳公共资源交易网/交易服务指南/资料下载/深圳自行采购系统用户操作指引（供应商）相关内容指引办理。</w:t>
      </w:r>
    </w:p>
    <w:p>
      <w:pPr>
        <w:pStyle w:val="18"/>
        <w:numPr>
          <w:ilvl w:val="0"/>
          <w:numId w:val="0"/>
        </w:numPr>
      </w:pPr>
    </w:p>
    <w:p>
      <w:pPr>
        <w:jc w:val="left"/>
        <w:rPr>
          <w:b/>
          <w:sz w:val="22"/>
          <w:szCs w:val="18"/>
        </w:rPr>
      </w:pPr>
      <w:r>
        <w:rPr>
          <w:rFonts w:hint="eastAsia"/>
          <w:b/>
          <w:sz w:val="22"/>
          <w:szCs w:val="18"/>
        </w:rPr>
        <w:t>完整公告内容详见：深圳交易集团（深圳公共资源交易中心）官网https://www.szexgrp.com/jyfw/zfcg-view.html?id=zfcg</w:t>
      </w:r>
    </w:p>
    <w:p>
      <w:pPr>
        <w:rPr>
          <w:rFonts w:hint="eastAsia"/>
          <w:sz w:val="28"/>
          <w:szCs w:val="28"/>
        </w:rPr>
      </w:pPr>
      <w:bookmarkStart w:id="3" w:name="bt说明"/>
      <w:bookmarkEnd w:id="3"/>
      <w:bookmarkStart w:id="4" w:name="合同格式"/>
      <w:bookmarkEnd w:id="4"/>
      <w:bookmarkStart w:id="5" w:name="bt投标报价汇总表"/>
      <w:bookmarkEnd w:id="5"/>
      <w:bookmarkStart w:id="6" w:name="bt合同条款及格式"/>
      <w:bookmarkEnd w:id="6"/>
      <w:bookmarkStart w:id="7" w:name="bt投标函"/>
      <w:bookmarkEnd w:id="7"/>
      <w:bookmarkStart w:id="8" w:name="bt项目管理班子配备情况"/>
      <w:bookmarkEnd w:id="8"/>
      <w:bookmarkStart w:id="9" w:name="bt投标人情况介绍"/>
      <w:bookmarkEnd w:id="9"/>
      <w:bookmarkStart w:id="10" w:name="bt技术标投标文件格式"/>
      <w:bookmarkEnd w:id="10"/>
      <w:bookmarkStart w:id="11" w:name="bt投标人须知"/>
      <w:bookmarkEnd w:id="11"/>
      <w:bookmarkStart w:id="12" w:name="bt投标文件签署授权委托书"/>
      <w:bookmarkEnd w:id="12"/>
      <w:bookmarkStart w:id="13" w:name="bt合同条款"/>
      <w:bookmarkEnd w:id="13"/>
      <w:bookmarkStart w:id="14" w:name="bt其他资料2"/>
      <w:bookmarkEnd w:id="14"/>
      <w:bookmarkStart w:id="15" w:name="bt商务标投标文件格式"/>
      <w:bookmarkEnd w:id="15"/>
      <w:bookmarkStart w:id="16" w:name="bt开标一览表"/>
      <w:bookmarkEnd w:id="16"/>
      <w:bookmarkStart w:id="17" w:name="bt合同格式"/>
      <w:bookmarkEnd w:id="17"/>
      <w:bookmarkStart w:id="18" w:name="bt本工程承诺书"/>
      <w:bookmarkEnd w:id="18"/>
      <w:bookmarkStart w:id="19" w:name="bt其他资料由投标人自定"/>
      <w:bookmarkEnd w:id="19"/>
      <w:r>
        <w:rPr>
          <w:rFonts w:hint="eastAsia"/>
          <w:sz w:val="28"/>
          <w:szCs w:val="28"/>
        </w:rPr>
        <w:br w:type="page"/>
      </w:r>
    </w:p>
    <w:p>
      <w:pPr>
        <w:pStyle w:val="5"/>
        <w:jc w:val="center"/>
        <w:rPr>
          <w:sz w:val="28"/>
          <w:szCs w:val="28"/>
        </w:rPr>
      </w:pPr>
      <w:r>
        <w:rPr>
          <w:rFonts w:hint="eastAsia"/>
          <w:sz w:val="28"/>
          <w:szCs w:val="28"/>
        </w:rPr>
        <w:t>第二章 对通用条款的补充内容及其他关键信息</w:t>
      </w:r>
    </w:p>
    <w:p>
      <w:pPr>
        <w:pStyle w:val="5"/>
        <w:spacing w:before="156" w:beforeLines="50" w:after="156" w:afterLines="50"/>
        <w:rPr>
          <w:sz w:val="28"/>
          <w:szCs w:val="28"/>
        </w:rPr>
      </w:pPr>
      <w:bookmarkStart w:id="20" w:name="_Toc101074876"/>
      <w:bookmarkStart w:id="21" w:name="_Toc73521547"/>
      <w:bookmarkStart w:id="22" w:name="_Toc100052364"/>
      <w:bookmarkStart w:id="23" w:name="_Toc73518117"/>
      <w:bookmarkStart w:id="24" w:name="_Toc60560625"/>
      <w:bookmarkStart w:id="25" w:name="_Toc60631620"/>
      <w:bookmarkStart w:id="26" w:name="_Toc73521635"/>
      <w:bookmarkStart w:id="27" w:name="_Toc73517639"/>
      <w:r>
        <w:rPr>
          <w:rFonts w:hint="eastAsia"/>
          <w:szCs w:val="24"/>
        </w:rPr>
        <w:t>一、对通用条款的补充内容</w:t>
      </w:r>
    </w:p>
    <w:bookmarkEnd w:id="20"/>
    <w:bookmarkEnd w:id="21"/>
    <w:bookmarkEnd w:id="22"/>
    <w:bookmarkEnd w:id="23"/>
    <w:bookmarkEnd w:id="24"/>
    <w:bookmarkEnd w:id="25"/>
    <w:bookmarkEnd w:id="26"/>
    <w:bookmarkEnd w:id="27"/>
    <w:tbl>
      <w:tblPr>
        <w:tblStyle w:val="42"/>
        <w:tblW w:w="87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70"/>
        <w:gridCol w:w="1946"/>
        <w:gridCol w:w="588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通用条款序号</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涉及事项</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b/>
                <w:bCs/>
              </w:rPr>
              <w:t xml:space="preserve">具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体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补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充 </w:t>
            </w:r>
            <w:r>
              <w:rPr>
                <w:rFonts w:hint="default" w:asciiTheme="minorEastAsia" w:hAnsiTheme="minorEastAsia" w:eastAsiaTheme="minorEastAsia"/>
                <w:b/>
                <w:bCs/>
              </w:rPr>
              <w:t xml:space="preserve"> </w:t>
            </w:r>
            <w:r>
              <w:rPr>
                <w:rFonts w:hint="eastAsia" w:asciiTheme="minorEastAsia" w:hAnsiTheme="minorEastAsia" w:eastAsiaTheme="minorEastAsia"/>
                <w:b/>
                <w:bCs/>
              </w:rPr>
              <w:t xml:space="preserve">内 </w:t>
            </w:r>
            <w:r>
              <w:rPr>
                <w:rFonts w:hint="default" w:asciiTheme="minorEastAsia" w:hAnsiTheme="minorEastAsia" w:eastAsiaTheme="minorEastAsia"/>
                <w:b/>
                <w:bCs/>
              </w:rPr>
              <w:t xml:space="preserve"> </w:t>
            </w:r>
            <w:r>
              <w:rPr>
                <w:rFonts w:hint="eastAsia" w:asciiTheme="minorEastAsia" w:hAnsiTheme="minorEastAsia" w:eastAsiaTheme="minorEastAsia"/>
                <w:b/>
                <w:bCs/>
              </w:rPr>
              <w:t>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797" w:type="dxa"/>
            <w:gridSpan w:val="3"/>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b/>
                <w:bCs/>
              </w:rPr>
            </w:pPr>
            <w:r>
              <w:rPr>
                <w:rFonts w:hint="eastAsia" w:asciiTheme="minorEastAsia" w:hAnsiTheme="minorEastAsia" w:eastAsiaTheme="minorEastAsia"/>
              </w:rPr>
              <w:t>本项目为自行采购项目，相关事宜按照招标文件要求及采购单位内控制度执行。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.1</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采购人</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宋体" w:hAnsi="宋体"/>
              </w:rPr>
              <w:t>哈尔滨工业大学（深圳）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.2</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采购代理机构</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深圳公共资源交易中心</w:t>
            </w:r>
          </w:p>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（深圳交易集团有限公司政府采购业务分公司）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9</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踏勘现场</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w:t>
            </w:r>
            <w:r>
              <w:rPr>
                <w:rFonts w:hint="default" w:asciiTheme="minorEastAsia" w:hAnsiTheme="minorEastAsia" w:eastAsiaTheme="minorEastAsia"/>
              </w:rPr>
              <w:t>0</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标前会议</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w:t>
            </w:r>
            <w:r>
              <w:rPr>
                <w:rFonts w:hint="default" w:asciiTheme="minorEastAsia" w:hAnsiTheme="minorEastAsia" w:eastAsiaTheme="minorEastAsia"/>
              </w:rPr>
              <w:t>2</w:t>
            </w:r>
            <w:r>
              <w:rPr>
                <w:rFonts w:hint="eastAsia" w:asciiTheme="minorEastAsia" w:hAnsiTheme="minorEastAsia" w:eastAsiaTheme="minorEastAsia"/>
              </w:rPr>
              <w:t>/1</w:t>
            </w:r>
            <w:r>
              <w:rPr>
                <w:rFonts w:hint="default" w:asciiTheme="minorEastAsia" w:hAnsiTheme="minorEastAsia" w:eastAsiaTheme="minorEastAsia"/>
              </w:rPr>
              <w:t>3</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highlight w:val="none"/>
              </w:rPr>
            </w:pPr>
            <w:r>
              <w:rPr>
                <w:rFonts w:hint="eastAsia" w:asciiTheme="minorEastAsia" w:hAnsiTheme="minorEastAsia" w:eastAsiaTheme="minorEastAsia"/>
                <w:highlight w:val="none"/>
              </w:rPr>
              <w:t>招标文件的澄清和修改</w:t>
            </w:r>
          </w:p>
        </w:tc>
        <w:tc>
          <w:tcPr>
            <w:tcW w:w="5881" w:type="dxa"/>
            <w:vAlign w:val="center"/>
          </w:tcPr>
          <w:p>
            <w:pPr>
              <w:keepNext w:val="0"/>
              <w:keepLines w:val="0"/>
              <w:suppressLineNumbers w:val="0"/>
              <w:spacing w:before="0" w:beforeAutospacing="0" w:after="0" w:afterAutospacing="0"/>
              <w:ind w:left="0" w:right="0"/>
              <w:jc w:val="left"/>
              <w:rPr>
                <w:rFonts w:hint="default" w:asciiTheme="minorEastAsia" w:hAnsiTheme="minorEastAsia" w:eastAsiaTheme="minorEastAsia"/>
                <w:highlight w:val="none"/>
              </w:rPr>
            </w:pPr>
            <w:r>
              <w:rPr>
                <w:rFonts w:hint="eastAsia" w:asciiTheme="minorEastAsia" w:hAnsiTheme="minorEastAsia" w:eastAsiaTheme="minorEastAsia"/>
                <w:highlight w:val="none"/>
              </w:rPr>
              <w:t>投标截止日三日前，投标人有义务在招标期间在深圳交易集团（深圳公共资源交易中心）网站浏览与本项目有关的澄清和修改信息</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0</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投标有效期</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120个日历日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2</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投标人的替代方案</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不接受</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5</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投标文件的大小</w:t>
            </w:r>
          </w:p>
        </w:tc>
        <w:tc>
          <w:tcPr>
            <w:tcW w:w="5881"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投标文件大小不得超过</w:t>
            </w:r>
            <w:r>
              <w:rPr>
                <w:rFonts w:hint="default" w:asciiTheme="minorEastAsia" w:hAnsiTheme="minorEastAsia" w:eastAsiaTheme="minorEastAsia"/>
              </w:rPr>
              <w:t>1</w:t>
            </w:r>
            <w:r>
              <w:rPr>
                <w:rFonts w:hint="eastAsia" w:asciiTheme="minorEastAsia" w:hAnsiTheme="minorEastAsia" w:eastAsiaTheme="minorEastAsia"/>
              </w:rPr>
              <w:t>00MB</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2</w:t>
            </w:r>
            <w:r>
              <w:rPr>
                <w:rFonts w:hint="default" w:asciiTheme="minorEastAsia" w:hAnsiTheme="minorEastAsia" w:eastAsiaTheme="minorEastAsia"/>
              </w:rPr>
              <w:t>6</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bookmarkStart w:id="28" w:name="_Hlk71664860"/>
            <w:r>
              <w:rPr>
                <w:rFonts w:hint="eastAsia" w:asciiTheme="minorEastAsia" w:hAnsiTheme="minorEastAsia" w:eastAsiaTheme="minorEastAsia"/>
              </w:rPr>
              <w:t>样品、演示、方案讲解</w:t>
            </w:r>
            <w:bookmarkEnd w:id="28"/>
          </w:p>
        </w:tc>
        <w:tc>
          <w:tcPr>
            <w:tcW w:w="5881" w:type="dxa"/>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rPr>
              <w:t>如有样品、演示、方案讲解，具体安排见第三章 用户需求书相关要求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7</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评审方法</w:t>
            </w:r>
          </w:p>
        </w:tc>
        <w:tc>
          <w:tcPr>
            <w:tcW w:w="5881" w:type="dxa"/>
            <w:vAlign w:val="center"/>
          </w:tcPr>
          <w:p>
            <w:pPr>
              <w:keepNext w:val="0"/>
              <w:keepLines w:val="0"/>
              <w:suppressLineNumbers w:val="0"/>
              <w:spacing w:before="0" w:beforeAutospacing="0" w:after="0" w:afterAutospacing="0"/>
              <w:ind w:left="0" w:right="0"/>
              <w:jc w:val="left"/>
              <w:rPr>
                <w:rFonts w:hint="default" w:asciiTheme="minorEastAsia" w:hAnsiTheme="minorEastAsia" w:eastAsiaTheme="minorEastAsia"/>
              </w:rPr>
            </w:pPr>
            <w:r>
              <w:rPr>
                <w:rFonts w:hint="eastAsia" w:asciiTheme="minorEastAsia" w:hAnsiTheme="minorEastAsia" w:eastAsiaTheme="minorEastAsia"/>
              </w:rPr>
              <w:t>综合评分法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8</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定标方法</w:t>
            </w:r>
          </w:p>
        </w:tc>
        <w:tc>
          <w:tcPr>
            <w:tcW w:w="5881" w:type="dxa"/>
            <w:vAlign w:val="center"/>
          </w:tcPr>
          <w:p>
            <w:pPr>
              <w:keepNext w:val="0"/>
              <w:keepLines w:val="0"/>
              <w:suppressLineNumbers w:val="0"/>
              <w:spacing w:before="0" w:beforeAutospacing="0" w:after="0" w:afterAutospacing="0"/>
              <w:ind w:left="0" w:right="0"/>
              <w:jc w:val="left"/>
              <w:rPr>
                <w:rFonts w:hint="default" w:asciiTheme="minorEastAsia" w:hAnsiTheme="minorEastAsia" w:eastAsiaTheme="minorEastAsia"/>
              </w:rPr>
            </w:pPr>
            <w:r>
              <w:rPr>
                <w:rFonts w:hint="eastAsia" w:asciiTheme="minorEastAsia" w:hAnsiTheme="minorEastAsia" w:eastAsiaTheme="minorEastAsia"/>
              </w:rPr>
              <w:t>非评定分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ins w:id="1" w:author="政府采购业务部吴工" w:date="2024-05-29T21:21:00Z"/>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42</w:t>
            </w:r>
          </w:p>
        </w:tc>
        <w:tc>
          <w:tcPr>
            <w:tcW w:w="1946" w:type="dxa"/>
            <w:vAlign w:val="center"/>
          </w:tcPr>
          <w:p>
            <w:pPr>
              <w:keepNext w:val="0"/>
              <w:keepLines w:val="0"/>
              <w:suppressLineNumbers w:val="0"/>
              <w:spacing w:before="0" w:beforeAutospacing="0" w:after="0" w:afterAutospacing="0"/>
              <w:ind w:left="0" w:right="0"/>
              <w:rPr>
                <w:rFonts w:hint="default" w:asciiTheme="minorEastAsia" w:hAnsiTheme="minorEastAsia" w:eastAsiaTheme="minorEastAsia"/>
              </w:rPr>
            </w:pPr>
            <w:r>
              <w:rPr>
                <w:rFonts w:hint="eastAsia" w:asciiTheme="minorEastAsia" w:hAnsiTheme="minorEastAsia" w:eastAsiaTheme="minorEastAsia"/>
              </w:rPr>
              <w:t>公开招标失败的处理</w:t>
            </w:r>
          </w:p>
        </w:tc>
        <w:tc>
          <w:tcPr>
            <w:tcW w:w="5881" w:type="dxa"/>
            <w:vAlign w:val="center"/>
          </w:tcPr>
          <w:p>
            <w:pPr>
              <w:keepNext w:val="0"/>
              <w:keepLines w:val="0"/>
              <w:suppressLineNumbers w:val="0"/>
              <w:spacing w:before="0" w:beforeAutospacing="0" w:after="0" w:afterAutospacing="0"/>
              <w:ind w:left="0" w:right="0"/>
              <w:jc w:val="left"/>
              <w:rPr>
                <w:rFonts w:hint="default" w:asciiTheme="minorEastAsia" w:hAnsiTheme="minorEastAsia" w:eastAsiaTheme="minorEastAsia"/>
                <w:b/>
              </w:rPr>
            </w:pPr>
            <w:r>
              <w:rPr>
                <w:rFonts w:hint="eastAsia" w:asciiTheme="minorEastAsia" w:hAnsiTheme="minorEastAsia" w:eastAsiaTheme="minorEastAsia"/>
              </w:rPr>
              <w:t>公开招标有效供应商不足三家的，项目公开招标失败，重新采购。</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4</w:t>
            </w:r>
            <w:r>
              <w:rPr>
                <w:rFonts w:hint="default" w:asciiTheme="minorEastAsia" w:hAnsiTheme="minorEastAsia" w:eastAsiaTheme="minorEastAsia"/>
              </w:rPr>
              <w:t>6</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履约担保</w:t>
            </w:r>
          </w:p>
        </w:tc>
        <w:tc>
          <w:tcPr>
            <w:tcW w:w="5881" w:type="dxa"/>
            <w:vAlign w:val="center"/>
          </w:tcPr>
          <w:p>
            <w:pPr>
              <w:keepNext w:val="0"/>
              <w:keepLines w:val="0"/>
              <w:suppressLineNumbers w:val="0"/>
              <w:spacing w:before="0" w:beforeAutospacing="0" w:after="0" w:afterAutospacing="0"/>
              <w:ind w:left="0" w:right="0"/>
              <w:jc w:val="left"/>
              <w:rPr>
                <w:rFonts w:hint="eastAsia" w:asciiTheme="minorEastAsia" w:hAnsiTheme="minorEastAsia" w:eastAsiaTheme="minorEastAsia"/>
                <w:lang w:val="en-US" w:eastAsia="zh-CN"/>
              </w:rPr>
            </w:pPr>
            <w:r>
              <w:rPr>
                <w:rFonts w:hint="eastAsia" w:asciiTheme="minorEastAsia" w:hAnsiTheme="minorEastAsia" w:eastAsiaTheme="minorEastAsia"/>
              </w:rPr>
              <w:t>不需</w:t>
            </w:r>
            <w:r>
              <w:rPr>
                <w:rFonts w:hint="eastAsia" w:asciiTheme="minorEastAsia" w:hAnsiTheme="minorEastAsia" w:eastAsiaTheme="minorEastAsia"/>
                <w:lang w:val="en-US" w:eastAsia="zh-CN"/>
              </w:rPr>
              <w:t>要</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52.8</w:t>
            </w:r>
          </w:p>
        </w:tc>
        <w:tc>
          <w:tcPr>
            <w:tcW w:w="1946" w:type="dxa"/>
            <w:vAlign w:val="center"/>
          </w:tcPr>
          <w:p>
            <w:pPr>
              <w:keepNext w:val="0"/>
              <w:keepLines w:val="0"/>
              <w:suppressLineNumbers w:val="0"/>
              <w:spacing w:before="0" w:beforeAutospacing="0" w:after="0" w:afterAutospacing="0"/>
              <w:ind w:left="0" w:right="0"/>
              <w:jc w:val="center"/>
              <w:rPr>
                <w:rFonts w:hint="default" w:asciiTheme="minorEastAsia" w:hAnsiTheme="minorEastAsia" w:eastAsiaTheme="minorEastAsia"/>
              </w:rPr>
            </w:pPr>
            <w:r>
              <w:rPr>
                <w:rFonts w:hint="eastAsia" w:asciiTheme="minorEastAsia" w:hAnsiTheme="minorEastAsia" w:eastAsiaTheme="minorEastAsia"/>
              </w:rPr>
              <w:t>投诉</w:t>
            </w:r>
          </w:p>
        </w:tc>
        <w:tc>
          <w:tcPr>
            <w:tcW w:w="5881" w:type="dxa"/>
            <w:vAlign w:val="center"/>
          </w:tcPr>
          <w:p>
            <w:pPr>
              <w:keepNext w:val="0"/>
              <w:keepLines w:val="0"/>
              <w:suppressLineNumbers w:val="0"/>
              <w:spacing w:before="0" w:beforeAutospacing="0" w:after="0" w:afterAutospacing="0"/>
              <w:ind w:left="0" w:right="0"/>
              <w:jc w:val="left"/>
              <w:rPr>
                <w:rFonts w:hint="default" w:asciiTheme="minorEastAsia" w:hAnsiTheme="minorEastAsia" w:eastAsiaTheme="minorEastAsia"/>
                <w:b/>
              </w:rPr>
            </w:pPr>
            <w:r>
              <w:rPr>
                <w:rFonts w:hint="eastAsia" w:asciiTheme="minorEastAsia" w:hAnsiTheme="minorEastAsia" w:eastAsiaTheme="minorEastAsia"/>
              </w:rPr>
              <w:t>对被质疑人的答复不满意或者被质疑人未在规定时间内答复的，提出质疑的供应商可以在答复期满后十五个工作日内向本项目预算主管单位（本项目采购人）投诉。供应商投诉的事项应当是经过质疑的事项。</w:t>
            </w:r>
          </w:p>
        </w:tc>
      </w:tr>
    </w:tbl>
    <w:p>
      <w:pPr>
        <w:rPr>
          <w:b/>
        </w:rPr>
      </w:pPr>
      <w:r>
        <w:rPr>
          <w:rFonts w:hint="eastAsia"/>
          <w:szCs w:val="21"/>
        </w:rPr>
        <w:t>备注：本表是通用条款相关条款的补充和明确，如与通用条款内容相冲突的，以本表为准。</w:t>
      </w:r>
    </w:p>
    <w:p>
      <w:pPr>
        <w:rPr>
          <w:b/>
        </w:rPr>
      </w:pPr>
    </w:p>
    <w:p>
      <w:pPr>
        <w:pStyle w:val="5"/>
        <w:spacing w:before="156" w:beforeLines="50" w:after="156" w:afterLines="50"/>
        <w:rPr>
          <w:szCs w:val="24"/>
        </w:rPr>
      </w:pPr>
      <w:r>
        <w:rPr>
          <w:rFonts w:hint="eastAsia"/>
          <w:szCs w:val="24"/>
        </w:rPr>
        <w:t>二、其他关键信息</w:t>
      </w:r>
    </w:p>
    <w:p>
      <w:pPr>
        <w:ind w:firstLine="422" w:firstLineChars="200"/>
        <w:rPr>
          <w:b/>
          <w:bCs/>
        </w:rPr>
      </w:pPr>
      <w:r>
        <w:rPr>
          <w:rFonts w:hint="eastAsia"/>
          <w:b/>
          <w:bCs/>
        </w:rPr>
        <w:t>（一）与“对通用条款的补充内容”章节相关的事项</w:t>
      </w:r>
    </w:p>
    <w:p>
      <w:pPr>
        <w:spacing w:line="276" w:lineRule="auto"/>
        <w:ind w:firstLine="422" w:firstLineChars="200"/>
        <w:jc w:val="left"/>
        <w:rPr>
          <w:rFonts w:asciiTheme="minorEastAsia" w:hAnsiTheme="minorEastAsia" w:eastAsiaTheme="minorEastAsia"/>
          <w:b/>
          <w:kern w:val="0"/>
          <w:szCs w:val="20"/>
        </w:rPr>
      </w:pPr>
      <w:bookmarkStart w:id="29" w:name="_Hlk72579465"/>
      <w:r>
        <w:rPr>
          <w:rFonts w:hint="eastAsia" w:asciiTheme="minorEastAsia" w:hAnsiTheme="minorEastAsia" w:eastAsiaTheme="minorEastAsia"/>
          <w:b/>
          <w:kern w:val="0"/>
          <w:szCs w:val="20"/>
        </w:rPr>
        <w:t>1、评标定标信息</w:t>
      </w:r>
    </w:p>
    <w:p>
      <w:pPr>
        <w:jc w:val="center"/>
      </w:pPr>
      <w:r>
        <w:rPr>
          <w:rFonts w:hint="eastAsia"/>
          <w:b/>
        </w:rPr>
        <w:t>非评定分离项目</w:t>
      </w:r>
    </w:p>
    <w:tbl>
      <w:tblPr>
        <w:tblStyle w:val="43"/>
        <w:tblW w:w="6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4"/>
        <w:gridCol w:w="3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4" w:type="dxa"/>
          </w:tcPr>
          <w:p>
            <w:pPr>
              <w:keepNext w:val="0"/>
              <w:keepLines w:val="0"/>
              <w:suppressLineNumbers w:val="0"/>
              <w:spacing w:before="0" w:beforeAutospacing="0" w:after="0" w:afterAutospacing="0"/>
              <w:ind w:left="0" w:right="0"/>
              <w:jc w:val="center"/>
              <w:rPr>
                <w:rFonts w:hint="default"/>
              </w:rPr>
            </w:pPr>
            <w:r>
              <w:rPr>
                <w:rFonts w:hint="eastAsia"/>
              </w:rPr>
              <w:t>评标方法</w:t>
            </w:r>
          </w:p>
        </w:tc>
        <w:tc>
          <w:tcPr>
            <w:tcW w:w="3235" w:type="dxa"/>
          </w:tcPr>
          <w:p>
            <w:pPr>
              <w:keepNext w:val="0"/>
              <w:keepLines w:val="0"/>
              <w:suppressLineNumbers w:val="0"/>
              <w:spacing w:before="0" w:beforeAutospacing="0" w:after="0" w:afterAutospacing="0"/>
              <w:ind w:left="0" w:right="0"/>
              <w:jc w:val="center"/>
              <w:rPr>
                <w:rFonts w:hint="default"/>
              </w:rPr>
            </w:pPr>
            <w:r>
              <w:rPr>
                <w:rFonts w:hint="eastAsia"/>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4" w:type="dxa"/>
          </w:tcPr>
          <w:p>
            <w:pPr>
              <w:keepNext w:val="0"/>
              <w:keepLines w:val="0"/>
              <w:suppressLineNumbers w:val="0"/>
              <w:spacing w:before="0" w:beforeAutospacing="0" w:after="0" w:afterAutospacing="0"/>
              <w:ind w:left="0" w:right="0"/>
              <w:jc w:val="center"/>
              <w:rPr>
                <w:rFonts w:hint="default"/>
              </w:rPr>
            </w:pPr>
            <w:r>
              <w:rPr>
                <w:rFonts w:hint="eastAsia"/>
              </w:rPr>
              <w:t>候选中标供应商家数</w:t>
            </w:r>
          </w:p>
        </w:tc>
        <w:tc>
          <w:tcPr>
            <w:tcW w:w="3235" w:type="dxa"/>
          </w:tcPr>
          <w:p>
            <w:pPr>
              <w:keepNext w:val="0"/>
              <w:keepLines w:val="0"/>
              <w:suppressLineNumbers w:val="0"/>
              <w:spacing w:before="0" w:beforeAutospacing="0" w:after="0" w:afterAutospacing="0"/>
              <w:ind w:left="0" w:right="0"/>
              <w:jc w:val="center"/>
              <w:rPr>
                <w:rFonts w:hint="default"/>
              </w:rP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4" w:type="dxa"/>
          </w:tcPr>
          <w:p>
            <w:pPr>
              <w:keepNext w:val="0"/>
              <w:keepLines w:val="0"/>
              <w:suppressLineNumbers w:val="0"/>
              <w:spacing w:before="0" w:beforeAutospacing="0" w:after="0" w:afterAutospacing="0"/>
              <w:ind w:left="0" w:right="0"/>
              <w:jc w:val="center"/>
              <w:rPr>
                <w:rFonts w:hint="default"/>
              </w:rPr>
            </w:pPr>
            <w:r>
              <w:rPr>
                <w:rFonts w:hint="eastAsia"/>
              </w:rPr>
              <w:t>中标供应商家数</w:t>
            </w:r>
          </w:p>
        </w:tc>
        <w:tc>
          <w:tcPr>
            <w:tcW w:w="3235" w:type="dxa"/>
          </w:tcPr>
          <w:p>
            <w:pPr>
              <w:keepNext w:val="0"/>
              <w:keepLines w:val="0"/>
              <w:suppressLineNumbers w:val="0"/>
              <w:spacing w:before="0" w:beforeAutospacing="0" w:after="0" w:afterAutospacing="0"/>
              <w:ind w:left="0" w:right="0"/>
              <w:jc w:val="center"/>
              <w:rPr>
                <w:rFonts w:hint="default"/>
              </w:rPr>
            </w:pPr>
            <w:r>
              <w:rPr>
                <w:rFonts w:hint="eastAsia"/>
              </w:rPr>
              <w:t>1</w:t>
            </w:r>
          </w:p>
        </w:tc>
      </w:tr>
    </w:tbl>
    <w:p>
      <w:pPr>
        <w:pStyle w:val="19"/>
      </w:pPr>
    </w:p>
    <w:p>
      <w:pPr>
        <w:ind w:firstLine="422" w:firstLineChars="200"/>
        <w:rPr>
          <w:rFonts w:ascii="宋体" w:hAnsi="宋体"/>
          <w:b/>
        </w:rPr>
      </w:pPr>
    </w:p>
    <w:bookmarkEnd w:id="29"/>
    <w:p>
      <w:pPr>
        <w:ind w:firstLine="422" w:firstLineChars="200"/>
        <w:rPr>
          <w:b/>
        </w:rPr>
      </w:pPr>
      <w:r>
        <w:rPr>
          <w:rFonts w:hint="eastAsia"/>
          <w:b/>
        </w:rPr>
        <w:t>（二）其他事项</w:t>
      </w:r>
    </w:p>
    <w:p>
      <w:pPr>
        <w:ind w:firstLine="422" w:firstLineChars="200"/>
        <w:rPr>
          <w:b/>
          <w:bCs/>
        </w:rPr>
      </w:pPr>
      <w:r>
        <w:rPr>
          <w:b/>
          <w:bCs/>
        </w:rPr>
        <w:t>1</w:t>
      </w:r>
      <w:r>
        <w:rPr>
          <w:rFonts w:hint="eastAsia"/>
          <w:b/>
          <w:bCs/>
        </w:rPr>
        <w:t>、关于享受优惠政策的主体及价格扣除比例</w:t>
      </w:r>
    </w:p>
    <w:p>
      <w:pPr>
        <w:ind w:firstLine="420" w:firstLineChars="200"/>
        <w:rPr>
          <w:rFonts w:ascii="宋体" w:hAnsi="宋体" w:cs="宋体"/>
        </w:rPr>
      </w:pPr>
      <w:r>
        <w:rPr>
          <w:rFonts w:hint="eastAsia" w:ascii="宋体" w:hAnsi="宋体" w:cs="宋体"/>
        </w:rPr>
        <w:t>（1）专门面向中小企业采购的项目，不再执行价格扣除比例。</w:t>
      </w:r>
    </w:p>
    <w:p>
      <w:pPr>
        <w:ind w:firstLine="420" w:firstLineChars="200"/>
        <w:rPr>
          <w:rFonts w:ascii="宋体" w:hAnsi="宋体" w:cs="宋体"/>
        </w:rPr>
      </w:pPr>
      <w:r>
        <w:rPr>
          <w:rFonts w:hint="eastAsia" w:ascii="宋体" w:hAnsi="宋体" w:cs="宋体"/>
        </w:rPr>
        <w:t>（2）非专门面向中小企业采购的项目，应执行价格扣除比例：供应商提供的服务全部由优惠主体承接，则对其投标总价给予</w:t>
      </w:r>
      <w:r>
        <w:rPr>
          <w:rFonts w:hint="eastAsia" w:ascii="宋体" w:hAnsi="宋体" w:cs="宋体"/>
          <w:color w:val="FF0000"/>
          <w:u w:val="single"/>
        </w:rPr>
        <w:t xml:space="preserve">  </w:t>
      </w:r>
      <w:r>
        <w:rPr>
          <w:rFonts w:hint="eastAsia" w:ascii="宋体" w:hAnsi="宋体" w:cs="宋体"/>
          <w:color w:val="FF0000"/>
          <w:u w:val="single"/>
          <w:lang w:val="en-US" w:eastAsia="zh-CN"/>
        </w:rPr>
        <w:t>10</w:t>
      </w:r>
      <w:r>
        <w:rPr>
          <w:rFonts w:hint="eastAsia" w:ascii="宋体" w:hAnsi="宋体" w:cs="宋体"/>
          <w:color w:val="FF0000"/>
          <w:u w:val="single"/>
        </w:rPr>
        <w:t xml:space="preserve">  %</w:t>
      </w:r>
      <w:r>
        <w:rPr>
          <w:rFonts w:hint="eastAsia" w:ascii="宋体" w:hAnsi="宋体" w:cs="宋体"/>
          <w:color w:val="000000" w:themeColor="text1"/>
          <w14:textFill>
            <w14:solidFill>
              <w14:schemeClr w14:val="tx1"/>
            </w14:solidFill>
          </w14:textFill>
        </w:rPr>
        <w:t>（10%~20%）</w:t>
      </w:r>
      <w:r>
        <w:rPr>
          <w:rFonts w:hint="eastAsia" w:ascii="宋体" w:hAnsi="宋体" w:cs="宋体"/>
        </w:rPr>
        <w:t>的扣除，用扣除后的价格参与评审。满足多项优惠政策的企业，不重复享受多项价格扣除政策。</w:t>
      </w:r>
    </w:p>
    <w:p>
      <w:pPr>
        <w:ind w:firstLine="420" w:firstLineChars="200"/>
        <w:rPr>
          <w:rFonts w:ascii="宋体" w:hAnsi="宋体" w:cs="宋体"/>
        </w:rPr>
      </w:pPr>
      <w:r>
        <w:rPr>
          <w:rFonts w:hint="eastAsia" w:ascii="宋体" w:hAnsi="宋体" w:cs="宋体"/>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pPr>
        <w:ind w:firstLine="420" w:firstLineChars="200"/>
        <w:rPr>
          <w:rFonts w:ascii="宋体" w:hAnsi="宋体" w:cs="宋体"/>
          <w:szCs w:val="21"/>
        </w:rPr>
      </w:pPr>
      <w:r>
        <w:rPr>
          <w:rFonts w:hint="eastAsia" w:ascii="宋体" w:hAnsi="宋体" w:cs="宋体"/>
          <w:szCs w:val="21"/>
          <w:lang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hint="eastAsia" w:ascii="宋体" w:hAnsi="宋体" w:cs="宋体"/>
          <w:b/>
          <w:bCs/>
          <w:color w:val="FF0000"/>
          <w:szCs w:val="21"/>
          <w:lang w:bidi="ar"/>
        </w:rPr>
        <w:t>《中小企业声明函》中相关企业（服务承接商）所属行业应当与采购标的所属行业相一致</w:t>
      </w:r>
      <w:r>
        <w:rPr>
          <w:rFonts w:hint="eastAsia" w:ascii="宋体" w:hAnsi="宋体" w:cs="宋体"/>
          <w:b/>
          <w:bCs/>
          <w:color w:val="FF0000"/>
          <w:lang w:bidi="ar"/>
        </w:rPr>
        <w:t>，标的所属行业以招标文件第一册第三章用户需求书“</w:t>
      </w:r>
      <w:r>
        <w:rPr>
          <w:rFonts w:hint="eastAsia" w:ascii="宋体" w:hAnsi="宋体" w:cs="宋体"/>
          <w:b/>
          <w:bCs/>
          <w:color w:val="FF0000"/>
        </w:rPr>
        <w:t>服务需求明细”的“标的所属行业”一栏为准</w:t>
      </w:r>
      <w:r>
        <w:rPr>
          <w:rFonts w:hint="eastAsia" w:ascii="宋体" w:hAnsi="宋体" w:cs="宋体"/>
          <w:b/>
          <w:bCs/>
          <w:color w:val="FF0000"/>
          <w:szCs w:val="21"/>
        </w:rPr>
        <w:t>。</w:t>
      </w:r>
    </w:p>
    <w:p>
      <w:pPr>
        <w:ind w:firstLine="420" w:firstLineChars="200"/>
        <w:rPr>
          <w:rFonts w:ascii="宋体" w:hAnsi="宋体" w:cs="宋体"/>
        </w:rPr>
      </w:pPr>
      <w:r>
        <w:rPr>
          <w:rFonts w:hint="eastAsia" w:ascii="宋体" w:hAnsi="宋体" w:cs="宋体"/>
          <w:szCs w:val="21"/>
        </w:rPr>
        <w:t>（4）小型企业、微</w:t>
      </w:r>
      <w:r>
        <w:rPr>
          <w:rFonts w:hint="eastAsia" w:ascii="宋体" w:hAnsi="宋体" w:cs="宋体"/>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ind w:firstLine="420" w:firstLineChars="200"/>
        <w:rPr>
          <w:rFonts w:ascii="宋体" w:hAnsi="宋体" w:cs="宋体"/>
        </w:rPr>
      </w:pPr>
      <w:r>
        <w:rPr>
          <w:rFonts w:hint="eastAsia" w:ascii="宋体" w:hAnsi="宋体" w:cs="宋体"/>
        </w:rPr>
        <w:t>（5）享受价格扣除获得采购合同的，小微企业不得将合同分包给大中型企业。</w:t>
      </w:r>
    </w:p>
    <w:p>
      <w:pPr>
        <w:ind w:firstLine="422" w:firstLineChars="200"/>
        <w:rPr>
          <w:b/>
        </w:rPr>
      </w:pPr>
      <w:r>
        <w:rPr>
          <w:rFonts w:hint="eastAsia"/>
          <w:b/>
        </w:rPr>
        <w:t>2、</w:t>
      </w:r>
      <w:bookmarkStart w:id="30" w:name="_Hlk76855768"/>
      <w:bookmarkStart w:id="31" w:name="_Hlk72594729"/>
      <w:r>
        <w:rPr>
          <w:rFonts w:hint="eastAsia"/>
          <w:b/>
        </w:rPr>
        <w:t>本项目为代理服务项目，将向中标（成交）供应商收取代理服务费。</w:t>
      </w:r>
    </w:p>
    <w:bookmarkEnd w:id="30"/>
    <w:bookmarkEnd w:id="31"/>
    <w:p>
      <w:pPr>
        <w:ind w:firstLine="420" w:firstLineChars="200"/>
      </w:pPr>
      <w:r>
        <w:rPr>
          <w:rFonts w:hint="eastAsia"/>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的90%收取。</w:t>
      </w:r>
      <w:r>
        <w:rPr>
          <w:rFonts w:hint="eastAsia"/>
          <w:b/>
          <w:color w:val="FF0000"/>
        </w:rPr>
        <w:t>本项目类型为服务采购：</w:t>
      </w:r>
    </w:p>
    <w:p>
      <w:pPr>
        <w:ind w:firstLine="420" w:firstLineChars="200"/>
      </w:pPr>
      <w:r>
        <w:rPr>
          <w:rFonts w:hint="eastAsia"/>
        </w:rPr>
        <w:t>（1）代理服务费以《中标（成交）通知书》确定的中标（成交）金额作为计算基数，按差额定率累进法计算。</w:t>
      </w:r>
    </w:p>
    <w:p>
      <w:pPr>
        <w:ind w:firstLine="420" w:firstLineChars="200"/>
      </w:pPr>
      <w:r>
        <w:rPr>
          <w:rFonts w:hint="eastAsia"/>
        </w:rPr>
        <w:t>（2）中标（成交）金额的各部分费率如下表：</w:t>
      </w:r>
    </w:p>
    <w:tbl>
      <w:tblPr>
        <w:tblStyle w:val="4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中标（成交）金额</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货物采购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服务采购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工程采购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100万元以下</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100万元（含）-500万元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500万元（含）-1000万元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0.45%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1000万元（含）-5000万元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5000万元（含）-1亿元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1亿元（含）-5亿元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5亿元（含）-10亿元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10亿元（含）-50亿元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50亿元（含）-100亿元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100亿元（含）以上</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hint="default"/>
              </w:rPr>
            </w:pPr>
            <w:r>
              <w:rPr>
                <w:rFonts w:hint="eastAsia"/>
              </w:rPr>
              <w:t>0.004%</w:t>
            </w:r>
          </w:p>
        </w:tc>
      </w:tr>
    </w:tbl>
    <w:p>
      <w:pPr>
        <w:ind w:firstLine="420" w:firstLineChars="200"/>
      </w:pPr>
      <w:r>
        <w:rPr>
          <w:rFonts w:hint="eastAsia"/>
        </w:rPr>
        <w:t>备注：1.每宗交易代理服务费不低于 5000 元；</w:t>
      </w:r>
    </w:p>
    <w:p>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pPr>
        <w:ind w:firstLine="420" w:firstLineChars="200"/>
      </w:pPr>
      <w:r>
        <w:rPr>
          <w:rFonts w:hint="eastAsia"/>
        </w:rPr>
        <w:t>如某货物采购项目，中标（成交）金额为600万元，总共交纳的代理服务费的具体计算过程如下：</w:t>
      </w:r>
    </w:p>
    <w:p>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pPr>
        <w:ind w:firstLine="420" w:firstLineChars="200"/>
      </w:pPr>
      <w:r>
        <w:rPr>
          <w:rFonts w:hint="eastAsia"/>
        </w:rPr>
        <w:t>（3）中标（成交）供应商中标（成交）后，必须按规定采用银行对公转账方式向深圳交易集团有限公司直接交纳代理服务费，交纳信息及要求：</w:t>
      </w:r>
    </w:p>
    <w:p>
      <w:pPr>
        <w:ind w:firstLine="422" w:firstLineChars="200"/>
        <w:rPr>
          <w:rFonts w:ascii="宋体" w:hAnsi="宋体" w:cs="宋体"/>
          <w:bCs/>
          <w:color w:val="FF0000"/>
          <w:szCs w:val="21"/>
        </w:rPr>
      </w:pPr>
      <w:r>
        <w:rPr>
          <w:rFonts w:hint="eastAsia" w:ascii="宋体" w:hAnsi="宋体" w:cs="宋体"/>
          <w:b/>
          <w:bCs/>
          <w:color w:val="FF0000"/>
          <w:szCs w:val="21"/>
        </w:rPr>
        <w:t>基本户信息：</w:t>
      </w:r>
    </w:p>
    <w:p>
      <w:pPr>
        <w:ind w:firstLine="420" w:firstLineChars="200"/>
        <w:rPr>
          <w:rFonts w:ascii="宋体" w:hAnsi="宋体" w:cs="宋体"/>
          <w:color w:val="FF0000"/>
          <w:szCs w:val="21"/>
        </w:rPr>
      </w:pPr>
      <w:r>
        <w:rPr>
          <w:rFonts w:hint="eastAsia" w:ascii="宋体" w:hAnsi="宋体" w:cs="宋体"/>
          <w:color w:val="FF0000"/>
          <w:szCs w:val="21"/>
        </w:rPr>
        <w:t>账户名：深圳交易集团有限公司</w:t>
      </w:r>
    </w:p>
    <w:p>
      <w:pPr>
        <w:ind w:firstLine="420" w:firstLineChars="200"/>
        <w:rPr>
          <w:rFonts w:ascii="宋体" w:hAnsi="宋体" w:cs="宋体"/>
          <w:color w:val="FF0000"/>
          <w:szCs w:val="21"/>
        </w:rPr>
      </w:pPr>
      <w:r>
        <w:rPr>
          <w:rFonts w:hint="eastAsia" w:ascii="宋体" w:hAnsi="宋体" w:cs="宋体"/>
          <w:color w:val="FF0000"/>
          <w:szCs w:val="21"/>
        </w:rPr>
        <w:t>账号：632765883</w:t>
      </w:r>
    </w:p>
    <w:p>
      <w:pPr>
        <w:ind w:firstLine="420" w:firstLineChars="200"/>
        <w:rPr>
          <w:rFonts w:ascii="宋体" w:hAnsi="宋体" w:cs="宋体"/>
          <w:color w:val="FF0000"/>
          <w:szCs w:val="21"/>
        </w:rPr>
      </w:pPr>
      <w:r>
        <w:rPr>
          <w:rFonts w:hint="eastAsia" w:ascii="宋体" w:hAnsi="宋体" w:cs="宋体"/>
          <w:color w:val="FF0000"/>
          <w:szCs w:val="21"/>
        </w:rPr>
        <w:t>开户行：民生银行深圳五洲支行</w:t>
      </w:r>
    </w:p>
    <w:p>
      <w:pPr>
        <w:ind w:firstLine="422" w:firstLineChars="200"/>
        <w:rPr>
          <w:rFonts w:ascii="宋体" w:hAnsi="宋体" w:cs="宋体"/>
          <w:bCs/>
          <w:color w:val="FF0000"/>
          <w:szCs w:val="21"/>
        </w:rPr>
      </w:pPr>
      <w:r>
        <w:rPr>
          <w:rFonts w:hint="eastAsia" w:ascii="宋体" w:hAnsi="宋体" w:cs="宋体"/>
          <w:b/>
          <w:bCs/>
          <w:color w:val="FF0000"/>
          <w:szCs w:val="21"/>
        </w:rPr>
        <w:t>转账备注：</w:t>
      </w:r>
    </w:p>
    <w:p>
      <w:pPr>
        <w:ind w:firstLine="420" w:firstLineChars="200"/>
        <w:rPr>
          <w:rFonts w:ascii="宋体" w:hAnsi="宋体" w:cs="宋体"/>
          <w:bCs/>
          <w:color w:val="FF0000"/>
          <w:szCs w:val="21"/>
        </w:rPr>
      </w:pPr>
      <w:r>
        <w:rPr>
          <w:rFonts w:hint="eastAsia" w:ascii="宋体" w:hAnsi="宋体" w:cs="宋体"/>
          <w:bCs/>
          <w:color w:val="FF0000"/>
          <w:szCs w:val="21"/>
        </w:rPr>
        <w:t>项目编号+项目名称</w:t>
      </w:r>
    </w:p>
    <w:p>
      <w:pPr>
        <w:ind w:firstLine="420" w:firstLineChars="200"/>
        <w:jc w:val="left"/>
      </w:pPr>
    </w:p>
    <w:p>
      <w:pPr>
        <w:rPr>
          <w:rFonts w:hint="eastAsia"/>
          <w:sz w:val="28"/>
          <w:szCs w:val="28"/>
        </w:rPr>
      </w:pPr>
      <w:bookmarkStart w:id="32" w:name="_Toc128884461"/>
      <w:r>
        <w:rPr>
          <w:rFonts w:hint="eastAsia"/>
          <w:sz w:val="28"/>
          <w:szCs w:val="28"/>
        </w:rPr>
        <w:br w:type="page"/>
      </w:r>
    </w:p>
    <w:p>
      <w:pPr>
        <w:pStyle w:val="5"/>
        <w:rPr>
          <w:sz w:val="28"/>
          <w:szCs w:val="28"/>
        </w:rPr>
      </w:pPr>
      <w:r>
        <w:rPr>
          <w:rFonts w:hint="eastAsia"/>
          <w:sz w:val="28"/>
          <w:szCs w:val="28"/>
        </w:rPr>
        <w:t>第三章 用户需求书</w:t>
      </w:r>
    </w:p>
    <w:p>
      <w:pPr>
        <w:pStyle w:val="5"/>
        <w:spacing w:before="156" w:beforeLines="50" w:after="156" w:afterLines="50"/>
        <w:rPr>
          <w:szCs w:val="24"/>
        </w:rPr>
      </w:pPr>
      <w:r>
        <w:rPr>
          <w:rFonts w:hint="eastAsia"/>
          <w:szCs w:val="24"/>
        </w:rPr>
        <w:t>一、项目基本信息</w:t>
      </w:r>
    </w:p>
    <w:tbl>
      <w:tblPr>
        <w:tblStyle w:val="42"/>
        <w:tblW w:w="8731"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5336"/>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814"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5336"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采购项目名称</w:t>
            </w:r>
          </w:p>
        </w:tc>
        <w:tc>
          <w:tcPr>
            <w:tcW w:w="2581" w:type="dxa"/>
            <w:vAlign w:val="center"/>
          </w:tcPr>
          <w:p>
            <w:pPr>
              <w:keepNext w:val="0"/>
              <w:keepLines w:val="0"/>
              <w:suppressLineNumbers w:val="0"/>
              <w:spacing w:before="0" w:beforeAutospacing="0" w:after="0" w:afterAutospacing="0"/>
              <w:ind w:left="0" w:right="0"/>
              <w:jc w:val="center"/>
              <w:rPr>
                <w:rFonts w:hint="default"/>
                <w:b/>
                <w:bCs/>
                <w:color w:val="FF0000"/>
                <w:szCs w:val="21"/>
              </w:rPr>
            </w:pPr>
            <w:r>
              <w:rPr>
                <w:rFonts w:hint="eastAsia"/>
                <w:b/>
                <w:bCs/>
                <w:color w:val="FF0000"/>
                <w:szCs w:val="21"/>
              </w:rPr>
              <w:t>预算金额（元）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4"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1</w:t>
            </w:r>
          </w:p>
        </w:tc>
        <w:tc>
          <w:tcPr>
            <w:tcW w:w="5336" w:type="dxa"/>
            <w:vAlign w:val="center"/>
          </w:tcPr>
          <w:p>
            <w:pPr>
              <w:keepNext w:val="0"/>
              <w:keepLines w:val="0"/>
              <w:suppressLineNumbers w:val="0"/>
              <w:spacing w:before="0" w:beforeAutospacing="0" w:after="0" w:afterAutospacing="0"/>
              <w:ind w:left="0" w:right="0"/>
              <w:jc w:val="center"/>
              <w:rPr>
                <w:rFonts w:hint="default"/>
                <w:bCs/>
                <w:szCs w:val="21"/>
              </w:rPr>
            </w:pPr>
            <w:r>
              <w:rPr>
                <w:rFonts w:hint="default"/>
                <w:bCs/>
                <w:szCs w:val="21"/>
              </w:rPr>
              <w:t xml:space="preserve">遥感观测图像处理建模与高精度复原算法研究 </w:t>
            </w:r>
          </w:p>
        </w:tc>
        <w:tc>
          <w:tcPr>
            <w:tcW w:w="2581" w:type="dxa"/>
            <w:vAlign w:val="center"/>
          </w:tcPr>
          <w:p>
            <w:pPr>
              <w:keepNext w:val="0"/>
              <w:keepLines w:val="0"/>
              <w:suppressLineNumbers w:val="0"/>
              <w:spacing w:before="0" w:beforeAutospacing="0" w:after="0" w:afterAutospacing="0"/>
              <w:ind w:left="0" w:right="0"/>
              <w:jc w:val="center"/>
              <w:rPr>
                <w:rFonts w:hint="default" w:eastAsia="宋体"/>
                <w:bCs/>
                <w:color w:val="FF0000"/>
                <w:szCs w:val="21"/>
                <w:lang w:val="en-US" w:eastAsia="zh-CN"/>
              </w:rPr>
            </w:pPr>
            <w:r>
              <w:rPr>
                <w:rFonts w:hint="eastAsia"/>
                <w:bCs/>
                <w:color w:val="FF0000"/>
                <w:szCs w:val="21"/>
                <w:lang w:val="en-US" w:eastAsia="zh-CN"/>
              </w:rPr>
              <w:t>480000.00</w:t>
            </w:r>
          </w:p>
        </w:tc>
      </w:tr>
    </w:tbl>
    <w:p>
      <w:pPr>
        <w:pStyle w:val="5"/>
        <w:numPr>
          <w:ilvl w:val="0"/>
          <w:numId w:val="8"/>
        </w:numPr>
        <w:spacing w:before="156" w:beforeLines="50" w:after="156" w:afterLines="50"/>
        <w:rPr>
          <w:szCs w:val="24"/>
        </w:rPr>
      </w:pPr>
      <w:r>
        <w:rPr>
          <w:rFonts w:hint="eastAsia" w:ascii="Times New Roman" w:hAnsi="Times New Roman"/>
          <w:kern w:val="2"/>
          <w:szCs w:val="24"/>
          <w:lang w:bidi="ar"/>
        </w:rPr>
        <w:t>项目概况</w:t>
      </w:r>
    </w:p>
    <w:p>
      <w:pPr>
        <w:ind w:firstLine="420" w:firstLineChars="200"/>
      </w:pPr>
      <w:r>
        <w:rPr>
          <w:bCs/>
          <w:szCs w:val="21"/>
        </w:rPr>
        <w:t>为提升观测图像的质量与</w:t>
      </w:r>
      <w:bookmarkStart w:id="113" w:name="_GoBack"/>
      <w:bookmarkEnd w:id="113"/>
      <w:r>
        <w:rPr>
          <w:bCs/>
          <w:szCs w:val="21"/>
        </w:rPr>
        <w:t>科学价值，克服噪声、云层污染、大气湍流及几何变换对观测图像造成的影响，现面向社会公开招标“</w:t>
      </w:r>
      <w:r>
        <w:rPr>
          <w:rFonts w:hint="eastAsia"/>
          <w:bCs/>
          <w:szCs w:val="21"/>
        </w:rPr>
        <w:t>遥感</w:t>
      </w:r>
      <w:r>
        <w:rPr>
          <w:bCs/>
          <w:szCs w:val="21"/>
        </w:rPr>
        <w:t>观测图像处理建模与高精度复原算法研究”项目。项目目标是研发并实现一套完整的图像处理与复原系统，涵盖噪声建模与抑制、云层污染修复、大气湍流抖动消除以及高精度图像配准等模块，保证处理结果具备高精度、可靠性和科学价值。</w:t>
      </w:r>
    </w:p>
    <w:p>
      <w:pPr>
        <w:ind w:firstLine="480" w:firstLineChars="200"/>
        <w:rPr>
          <w:sz w:val="24"/>
        </w:rPr>
      </w:pPr>
      <w:r>
        <w:rPr>
          <w:rFonts w:hint="eastAsia"/>
          <w:sz w:val="24"/>
        </w:rPr>
        <w:t>...</w:t>
      </w:r>
    </w:p>
    <w:p>
      <w:pPr>
        <w:pStyle w:val="5"/>
        <w:spacing w:before="156" w:beforeLines="50" w:after="156" w:afterLines="50"/>
        <w:rPr>
          <w:szCs w:val="24"/>
        </w:rPr>
      </w:pPr>
      <w:r>
        <w:rPr>
          <w:rFonts w:hint="eastAsia"/>
          <w:szCs w:val="24"/>
        </w:rPr>
        <w:t>三、</w:t>
      </w:r>
      <w:bookmarkStart w:id="33" w:name="_Hlk72073432"/>
      <w:r>
        <w:rPr>
          <w:rFonts w:hint="eastAsia"/>
          <w:szCs w:val="24"/>
        </w:rPr>
        <w:t>服务需求明细</w:t>
      </w:r>
      <w:bookmarkEnd w:id="33"/>
    </w:p>
    <w:tbl>
      <w:tblPr>
        <w:tblStyle w:val="42"/>
        <w:tblpPr w:leftFromText="180" w:rightFromText="180" w:vertAnchor="text" w:horzAnchor="margin" w:tblpX="139" w:tblpY="173"/>
        <w:tblW w:w="92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3588"/>
        <w:gridCol w:w="837"/>
        <w:gridCol w:w="1006"/>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6"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序号</w:t>
            </w:r>
          </w:p>
        </w:tc>
        <w:tc>
          <w:tcPr>
            <w:tcW w:w="3588"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服务需求名称（标的名称）</w:t>
            </w:r>
          </w:p>
        </w:tc>
        <w:tc>
          <w:tcPr>
            <w:tcW w:w="837"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数量</w:t>
            </w:r>
          </w:p>
        </w:tc>
        <w:tc>
          <w:tcPr>
            <w:tcW w:w="1006"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单位</w:t>
            </w:r>
          </w:p>
        </w:tc>
        <w:tc>
          <w:tcPr>
            <w:tcW w:w="3075"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cs="宋体"/>
                <w:b/>
                <w:bCs/>
                <w:color w:val="FF0000"/>
                <w:szCs w:val="21"/>
              </w:rPr>
              <w:t>标的所属行业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776" w:type="dxa"/>
            <w:vAlign w:val="center"/>
          </w:tcPr>
          <w:p>
            <w:pPr>
              <w:keepNext w:val="0"/>
              <w:keepLines w:val="0"/>
              <w:suppressLineNumbers w:val="0"/>
              <w:spacing w:before="0" w:beforeAutospacing="0" w:after="0" w:afterAutospacing="0"/>
              <w:ind w:left="0" w:right="0"/>
              <w:jc w:val="center"/>
              <w:rPr>
                <w:rFonts w:hint="default"/>
                <w:bCs/>
                <w:szCs w:val="21"/>
              </w:rPr>
            </w:pPr>
            <w:r>
              <w:rPr>
                <w:rFonts w:hint="eastAsia"/>
                <w:bCs/>
                <w:szCs w:val="21"/>
              </w:rPr>
              <w:t>1</w:t>
            </w:r>
          </w:p>
        </w:tc>
        <w:tc>
          <w:tcPr>
            <w:tcW w:w="3588" w:type="dxa"/>
            <w:vAlign w:val="center"/>
          </w:tcPr>
          <w:p>
            <w:pPr>
              <w:keepNext w:val="0"/>
              <w:keepLines w:val="0"/>
              <w:suppressLineNumbers w:val="0"/>
              <w:spacing w:before="0" w:beforeAutospacing="0" w:after="0" w:afterAutospacing="0"/>
              <w:ind w:left="0" w:right="0"/>
              <w:jc w:val="center"/>
              <w:rPr>
                <w:rFonts w:hint="default"/>
                <w:bCs/>
                <w:szCs w:val="21"/>
              </w:rPr>
            </w:pPr>
            <w:r>
              <w:rPr>
                <w:rFonts w:hint="default"/>
                <w:bCs/>
                <w:szCs w:val="21"/>
              </w:rPr>
              <w:t xml:space="preserve">遥感观测图像处理建模与高精度复原算法研究 </w:t>
            </w:r>
          </w:p>
        </w:tc>
        <w:tc>
          <w:tcPr>
            <w:tcW w:w="837" w:type="dxa"/>
            <w:vAlign w:val="center"/>
          </w:tcPr>
          <w:p>
            <w:pPr>
              <w:keepNext w:val="0"/>
              <w:keepLines w:val="0"/>
              <w:suppressLineNumbers w:val="0"/>
              <w:spacing w:before="0" w:beforeAutospacing="0" w:after="0" w:afterAutospacing="0"/>
              <w:ind w:left="0" w:right="0"/>
              <w:jc w:val="center"/>
              <w:rPr>
                <w:rFonts w:hint="eastAsia" w:eastAsia="宋体"/>
                <w:bCs/>
                <w:szCs w:val="21"/>
                <w:lang w:val="en-US" w:eastAsia="zh-CN"/>
              </w:rPr>
            </w:pPr>
            <w:r>
              <w:rPr>
                <w:rFonts w:hint="eastAsia"/>
                <w:bCs/>
                <w:szCs w:val="21"/>
                <w:lang w:val="en-US" w:eastAsia="zh-CN"/>
              </w:rPr>
              <w:t>1</w:t>
            </w:r>
          </w:p>
        </w:tc>
        <w:tc>
          <w:tcPr>
            <w:tcW w:w="1006" w:type="dxa"/>
            <w:vAlign w:val="center"/>
          </w:tcPr>
          <w:p>
            <w:pPr>
              <w:keepNext w:val="0"/>
              <w:keepLines w:val="0"/>
              <w:suppressLineNumbers w:val="0"/>
              <w:spacing w:before="0" w:beforeAutospacing="0" w:after="0" w:afterAutospacing="0"/>
              <w:ind w:left="0" w:right="0"/>
              <w:jc w:val="center"/>
              <w:rPr>
                <w:rFonts w:hint="eastAsia" w:eastAsia="宋体"/>
                <w:bCs/>
                <w:szCs w:val="21"/>
                <w:lang w:val="en-US" w:eastAsia="zh-CN"/>
              </w:rPr>
            </w:pPr>
            <w:r>
              <w:rPr>
                <w:rFonts w:hint="eastAsia"/>
                <w:bCs/>
                <w:szCs w:val="21"/>
                <w:lang w:val="en-US" w:eastAsia="zh-CN"/>
              </w:rPr>
              <w:t>项</w:t>
            </w:r>
          </w:p>
        </w:tc>
        <w:tc>
          <w:tcPr>
            <w:tcW w:w="3075" w:type="dxa"/>
            <w:vAlign w:val="center"/>
          </w:tcPr>
          <w:p>
            <w:pPr>
              <w:keepNext w:val="0"/>
              <w:keepLines w:val="0"/>
              <w:suppressLineNumbers w:val="0"/>
              <w:spacing w:before="0" w:beforeAutospacing="0" w:after="0" w:afterAutospacing="0"/>
              <w:ind w:left="0" w:right="0"/>
              <w:jc w:val="center"/>
              <w:rPr>
                <w:rFonts w:hint="default" w:eastAsia="宋体"/>
                <w:bCs/>
                <w:szCs w:val="21"/>
                <w:lang w:val="en-US" w:eastAsia="zh-CN"/>
              </w:rPr>
            </w:pPr>
            <w:r>
              <w:rPr>
                <w:rFonts w:hint="eastAsia"/>
                <w:bCs/>
                <w:szCs w:val="21"/>
                <w:lang w:val="en-US" w:eastAsia="zh-CN"/>
              </w:rPr>
              <w:t>其他未列明行业</w:t>
            </w:r>
          </w:p>
        </w:tc>
      </w:tr>
    </w:tbl>
    <w:p>
      <w:pPr>
        <w:rPr>
          <w:rFonts w:ascii="宋体" w:hAnsi="宋体"/>
          <w:b/>
          <w:color w:val="FF0000"/>
          <w:szCs w:val="21"/>
        </w:rPr>
      </w:pPr>
    </w:p>
    <w:p>
      <w:pPr>
        <w:pStyle w:val="5"/>
        <w:spacing w:before="156" w:beforeLines="50" w:after="156" w:afterLines="50"/>
        <w:rPr>
          <w:szCs w:val="24"/>
        </w:rPr>
      </w:pPr>
      <w:r>
        <w:rPr>
          <w:rFonts w:hint="eastAsia"/>
          <w:szCs w:val="24"/>
        </w:rPr>
        <w:t>四、实质性条款</w:t>
      </w:r>
    </w:p>
    <w:tbl>
      <w:tblPr>
        <w:tblStyle w:val="42"/>
        <w:tblW w:w="9236"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8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kern w:val="0"/>
                <w:szCs w:val="21"/>
              </w:rPr>
              <w:t>序号</w:t>
            </w:r>
          </w:p>
        </w:tc>
        <w:tc>
          <w:tcPr>
            <w:tcW w:w="8422"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szCs w:val="21"/>
                <w:lang w:bidi="ar"/>
              </w:rPr>
              <w:t>实质性条款具体内容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kern w:val="0"/>
                <w:szCs w:val="21"/>
              </w:rPr>
            </w:pPr>
            <w:r>
              <w:rPr>
                <w:rFonts w:hint="eastAsia" w:ascii="宋体" w:hAnsi="宋体"/>
                <w:kern w:val="0"/>
                <w:szCs w:val="21"/>
              </w:rPr>
              <w:t>1</w:t>
            </w:r>
          </w:p>
        </w:tc>
        <w:tc>
          <w:tcPr>
            <w:tcW w:w="8422" w:type="dxa"/>
          </w:tcPr>
          <w:p>
            <w:pPr>
              <w:keepNext w:val="0"/>
              <w:keepLines w:val="0"/>
              <w:suppressLineNumbers w:val="0"/>
              <w:spacing w:before="0" w:beforeAutospacing="0" w:after="0" w:afterAutospacing="0"/>
              <w:ind w:left="0" w:right="0"/>
              <w:rPr>
                <w:rFonts w:hint="default" w:hAnsi="宋体" w:eastAsiaTheme="minorEastAsia"/>
                <w:kern w:val="0"/>
                <w:szCs w:val="21"/>
              </w:rPr>
            </w:pPr>
            <w:r>
              <w:rPr>
                <w:rFonts w:hint="eastAsia" w:hAnsi="宋体"/>
                <w:kern w:val="0"/>
                <w:szCs w:val="21"/>
              </w:rPr>
              <w:t>满足本项目标★的条款要求。</w:t>
            </w:r>
          </w:p>
        </w:tc>
      </w:tr>
      <w:bookmarkEnd w:id="32"/>
    </w:tbl>
    <w:p>
      <w:pPr>
        <w:rPr>
          <w:rFonts w:ascii="宋体"/>
          <w:b/>
          <w:kern w:val="0"/>
          <w:sz w:val="24"/>
          <w:szCs w:val="20"/>
        </w:rPr>
      </w:pPr>
      <w:r>
        <w:rPr>
          <w:rFonts w:ascii="宋体"/>
          <w:b/>
          <w:kern w:val="0"/>
          <w:sz w:val="24"/>
          <w:szCs w:val="20"/>
        </w:rPr>
        <w:t>注：上表所列内容为不可负偏离条款，负偏离将视为未实质性满足</w:t>
      </w:r>
      <w:r>
        <w:rPr>
          <w:rFonts w:hint="eastAsia" w:ascii="宋体"/>
          <w:b/>
          <w:kern w:val="0"/>
          <w:sz w:val="24"/>
          <w:szCs w:val="20"/>
        </w:rPr>
        <w:t>招标</w:t>
      </w:r>
      <w:r>
        <w:rPr>
          <w:rFonts w:ascii="宋体"/>
          <w:b/>
          <w:kern w:val="0"/>
          <w:sz w:val="24"/>
          <w:szCs w:val="20"/>
        </w:rPr>
        <w:t>文件要求和条件作投标无效处理。</w:t>
      </w:r>
    </w:p>
    <w:p>
      <w:pPr>
        <w:pStyle w:val="5"/>
        <w:widowControl/>
        <w:spacing w:before="156" w:beforeLines="50" w:after="156" w:afterLines="50"/>
        <w:rPr>
          <w:szCs w:val="24"/>
        </w:rPr>
      </w:pPr>
      <w:r>
        <w:rPr>
          <w:szCs w:val="24"/>
        </w:rPr>
        <w:t>五、技术要求</w:t>
      </w:r>
    </w:p>
    <w:p>
      <w:pPr>
        <w:ind w:firstLine="422" w:firstLineChars="200"/>
        <w:rPr>
          <w:b/>
        </w:rPr>
      </w:pPr>
      <w:r>
        <w:rPr>
          <w:rFonts w:hint="eastAsia"/>
          <w:b/>
          <w:szCs w:val="21"/>
        </w:rPr>
        <w:t>说明：</w:t>
      </w:r>
      <w:r>
        <w:rPr>
          <w:b/>
          <w:szCs w:val="21"/>
        </w:rPr>
        <w:t xml:space="preserve"> </w:t>
      </w:r>
      <w:r>
        <w:rPr>
          <w:b/>
        </w:rPr>
        <w:t>1</w:t>
      </w:r>
      <w:r>
        <w:rPr>
          <w:rFonts w:hint="eastAsia"/>
          <w:b/>
        </w:rPr>
        <w:t>、评分时，如对一项招标技术要求（以划分框为准）中的内容存在两处（或以上）负偏离的，在评分时只作一项负偏离扣分。</w:t>
      </w:r>
    </w:p>
    <w:p>
      <w:pPr>
        <w:ind w:firstLine="422" w:firstLineChars="200"/>
        <w:rPr>
          <w:b/>
          <w:szCs w:val="21"/>
        </w:rPr>
      </w:pPr>
      <w:r>
        <w:rPr>
          <w:b/>
          <w:szCs w:val="21"/>
        </w:rPr>
        <w:t>2</w:t>
      </w:r>
      <w:r>
        <w:rPr>
          <w:rFonts w:hint="eastAsia"/>
          <w:b/>
          <w:szCs w:val="21"/>
        </w:rPr>
        <w:t>、带★号条款为不可负偏离条款，不作为评分准则中的评分内容，如未响应或出现负偏离的，将作投标无效处理；带“</w:t>
      </w:r>
      <w:r>
        <w:t>▲</w:t>
      </w:r>
      <w:r>
        <w:rPr>
          <w:rFonts w:hint="eastAsia"/>
          <w:b/>
          <w:szCs w:val="21"/>
        </w:rPr>
        <w:t>”指标项为重要参数条款，负偏离时依相关评分准则内容作重点扣分处理。</w:t>
      </w:r>
    </w:p>
    <w:p>
      <w:pPr>
        <w:ind w:firstLine="422" w:firstLineChars="200"/>
        <w:rPr>
          <w:b/>
          <w:szCs w:val="21"/>
        </w:rPr>
      </w:pPr>
      <w:r>
        <w:rPr>
          <w:b/>
          <w:szCs w:val="21"/>
        </w:rPr>
        <w:t>3</w:t>
      </w:r>
      <w:r>
        <w:rPr>
          <w:rFonts w:hint="eastAsia"/>
          <w:b/>
          <w:szCs w:val="21"/>
        </w:rPr>
        <w:t>、</w:t>
      </w:r>
      <w:bookmarkStart w:id="34" w:name="_Hlk72585069"/>
      <w:r>
        <w:rPr>
          <w:rFonts w:hint="eastAsia"/>
          <w:b/>
          <w:szCs w:val="21"/>
        </w:rPr>
        <w:t>招标技术要求中，用</w:t>
      </w:r>
      <w:r>
        <w:rPr>
          <w:rFonts w:hint="eastAsia"/>
          <w:b/>
          <w:color w:val="FF0000"/>
          <w:szCs w:val="21"/>
        </w:rPr>
        <w:t>红色加粗字体标注</w:t>
      </w:r>
      <w:r>
        <w:rPr>
          <w:rFonts w:hint="eastAsia"/>
          <w:b/>
          <w:szCs w:val="21"/>
        </w:rPr>
        <w:t>的指标项均要求提供证明资料；其余指标项未要求提供证明资料，无需提供相关证明资料。</w:t>
      </w:r>
    </w:p>
    <w:p>
      <w:pPr>
        <w:ind w:firstLine="422" w:firstLineChars="200"/>
        <w:rPr>
          <w:b/>
          <w:szCs w:val="21"/>
        </w:rPr>
      </w:pPr>
      <w:r>
        <w:rPr>
          <w:rFonts w:hint="eastAsia"/>
          <w:b/>
          <w:color w:val="FF0000"/>
          <w:szCs w:val="21"/>
        </w:rPr>
        <w:t>4、涉及区间的参数，除特别注明以外，</w:t>
      </w:r>
      <w:bookmarkStart w:id="35" w:name="_Hlk75447406"/>
      <w:r>
        <w:rPr>
          <w:rFonts w:hint="eastAsia"/>
          <w:b/>
          <w:color w:val="FF0000"/>
          <w:szCs w:val="21"/>
        </w:rPr>
        <w:t>产品参数区间与招标要求不一致的均视为负偏离。</w:t>
      </w:r>
      <w:bookmarkEnd w:id="35"/>
      <w:r>
        <w:rPr>
          <w:rFonts w:hint="eastAsia"/>
          <w:b/>
          <w:color w:val="FF0000"/>
          <w:szCs w:val="21"/>
        </w:rPr>
        <w:t>例：区间要求为0-20ML,只要响应的不是“0-20ML”，如投标文件响应为 0-15ML 、0-21ML 、1-12ML 、 9-20ML 、6-21ML 、9ML等情形均视为负偏离。</w:t>
      </w:r>
    </w:p>
    <w:bookmarkEnd w:id="34"/>
    <w:tbl>
      <w:tblPr>
        <w:tblStyle w:val="42"/>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134"/>
        <w:gridCol w:w="6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841" w:type="dxa"/>
            <w:vAlign w:val="center"/>
          </w:tcPr>
          <w:p>
            <w:pPr>
              <w:jc w:val="center"/>
              <w:rPr>
                <w:color w:val="000000" w:themeColor="text1"/>
                <w:szCs w:val="21"/>
                <w14:textFill>
                  <w14:solidFill>
                    <w14:schemeClr w14:val="tx1"/>
                  </w14:solidFill>
                </w14:textFill>
              </w:rPr>
            </w:pPr>
            <w:bookmarkStart w:id="36" w:name="_Hlk70236148"/>
            <w:r>
              <w:rPr>
                <w:color w:val="000000" w:themeColor="text1"/>
                <w:szCs w:val="21"/>
                <w14:textFill>
                  <w14:solidFill>
                    <w14:schemeClr w14:val="tx1"/>
                  </w14:solidFill>
                </w14:textFill>
              </w:rPr>
              <w:t>序号</w:t>
            </w:r>
          </w:p>
        </w:tc>
        <w:tc>
          <w:tcPr>
            <w:tcW w:w="1134" w:type="dxa"/>
            <w:vAlign w:val="center"/>
          </w:tcPr>
          <w:p>
            <w:pPr>
              <w:widowControl/>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货物名称</w:t>
            </w:r>
          </w:p>
        </w:tc>
        <w:tc>
          <w:tcPr>
            <w:tcW w:w="6485" w:type="dxa"/>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招标</w:t>
            </w:r>
            <w:r>
              <w:rPr>
                <w:color w:val="000000" w:themeColor="text1"/>
                <w:szCs w:val="21"/>
                <w14:textFill>
                  <w14:solidFill>
                    <w14:schemeClr w14:val="tx1"/>
                  </w14:solidFill>
                </w14:textFill>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41" w:type="dxa"/>
            <w:vMerge w:val="restart"/>
            <w:vAlign w:val="center"/>
          </w:tcPr>
          <w:p>
            <w:pPr>
              <w:jc w:val="center"/>
              <w:rPr>
                <w:color w:val="000000" w:themeColor="text1"/>
                <w:szCs w:val="21"/>
                <w14:textFill>
                  <w14:solidFill>
                    <w14:schemeClr w14:val="tx1"/>
                  </w14:solidFill>
                </w14:textFill>
              </w:rPr>
            </w:pPr>
            <w:r>
              <w:rPr>
                <w:rFonts w:hint="eastAsia" w:asciiTheme="minorEastAsia" w:hAnsiTheme="minorEastAsia" w:eastAsiaTheme="minorEastAsia" w:cstheme="minorEastAsia"/>
                <w:bCs/>
                <w:szCs w:val="21"/>
              </w:rPr>
              <w:t>1</w:t>
            </w:r>
          </w:p>
        </w:tc>
        <w:tc>
          <w:tcPr>
            <w:tcW w:w="1134" w:type="dxa"/>
            <w:vMerge w:val="restart"/>
            <w:vAlign w:val="center"/>
          </w:tcPr>
          <w:p>
            <w:pPr>
              <w:jc w:val="center"/>
              <w:rPr>
                <w:color w:val="000000" w:themeColor="text1"/>
                <w:szCs w:val="21"/>
                <w14:textFill>
                  <w14:solidFill>
                    <w14:schemeClr w14:val="tx1"/>
                  </w14:solidFill>
                </w14:textFill>
              </w:rPr>
            </w:pPr>
            <w:r>
              <w:t>观测图像处理建模与高精度复原算法研究</w:t>
            </w:r>
          </w:p>
        </w:tc>
        <w:tc>
          <w:tcPr>
            <w:tcW w:w="6485" w:type="dxa"/>
          </w:tcPr>
          <w:p>
            <w:r>
              <w:t>▲1. 噪声建模与抑制：建立高斯噪声、泊松噪声及固定模式噪声模型，研发去噪算法。处理后的图像需满足：</w:t>
            </w:r>
          </w:p>
          <w:p>
            <w:r>
              <w:t>- 峰值信噪比(PSNR) ≥ 38 dB</w:t>
            </w:r>
          </w:p>
          <w:p>
            <w:r>
              <w:t>- 结构相似性(SSIM) ≥ 0.92</w:t>
            </w:r>
          </w:p>
          <w:p>
            <w:pPr>
              <w:rPr>
                <w:color w:val="000000" w:themeColor="text1"/>
                <w:szCs w:val="21"/>
                <w14:textFill>
                  <w14:solidFill>
                    <w14:schemeClr w14:val="tx1"/>
                  </w14:solidFill>
                </w14:textFill>
              </w:rPr>
            </w:pPr>
            <w:r>
              <w:t>- 在均匀区域的平均相对偏差(MRD) ≤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41" w:type="dxa"/>
            <w:vMerge w:val="continue"/>
            <w:vAlign w:val="center"/>
          </w:tcPr>
          <w:p>
            <w:pPr>
              <w:jc w:val="center"/>
              <w:rPr>
                <w:color w:val="000000" w:themeColor="text1"/>
                <w:szCs w:val="21"/>
                <w:highlight w:val="none"/>
                <w14:textFill>
                  <w14:solidFill>
                    <w14:schemeClr w14:val="tx1"/>
                  </w14:solidFill>
                </w14:textFill>
              </w:rPr>
            </w:pPr>
          </w:p>
        </w:tc>
        <w:tc>
          <w:tcPr>
            <w:tcW w:w="1134" w:type="dxa"/>
            <w:vMerge w:val="continue"/>
            <w:vAlign w:val="center"/>
          </w:tcPr>
          <w:p>
            <w:pPr>
              <w:jc w:val="center"/>
              <w:rPr>
                <w:color w:val="000000" w:themeColor="text1"/>
                <w:szCs w:val="21"/>
                <w:highlight w:val="none"/>
                <w14:textFill>
                  <w14:solidFill>
                    <w14:schemeClr w14:val="tx1"/>
                  </w14:solidFill>
                </w14:textFill>
              </w:rPr>
            </w:pPr>
          </w:p>
        </w:tc>
        <w:tc>
          <w:tcPr>
            <w:tcW w:w="6485" w:type="dxa"/>
          </w:tcPr>
          <w:p>
            <w:pPr>
              <w:rPr>
                <w:highlight w:val="none"/>
              </w:rPr>
            </w:pPr>
            <w:r>
              <w:rPr>
                <w:rFonts w:hint="eastAsia"/>
                <w:highlight w:val="none"/>
              </w:rPr>
              <w:t>▲2.</w:t>
            </w:r>
            <w:r>
              <w:rPr>
                <w:highlight w:val="none"/>
              </w:rPr>
              <w:t xml:space="preserve"> </w:t>
            </w:r>
            <w:r>
              <w:rPr>
                <w:rFonts w:hint="eastAsia"/>
                <w:highlight w:val="none"/>
              </w:rPr>
              <w:t>云层污染修复：研发云层检测与修复算法，对薄云覆盖区域(光学厚度&lt;0.5)的修复效果需满足：</w:t>
            </w:r>
          </w:p>
          <w:p>
            <w:pPr>
              <w:rPr>
                <w:highlight w:val="none"/>
              </w:rPr>
            </w:pPr>
            <w:r>
              <w:rPr>
                <w:highlight w:val="none"/>
              </w:rPr>
              <w:t xml:space="preserve">- </w:t>
            </w:r>
            <w:r>
              <w:rPr>
                <w:rFonts w:hint="eastAsia"/>
                <w:highlight w:val="none"/>
              </w:rPr>
              <w:t>云层检测准确率</w:t>
            </w:r>
            <w:r>
              <w:rPr>
                <w:highlight w:val="none"/>
              </w:rPr>
              <w:t xml:space="preserve"> </w:t>
            </w:r>
            <w:r>
              <w:rPr>
                <w:rFonts w:hint="eastAsia"/>
                <w:highlight w:val="none"/>
              </w:rPr>
              <w:t>≥</w:t>
            </w:r>
            <w:r>
              <w:rPr>
                <w:highlight w:val="none"/>
              </w:rPr>
              <w:t xml:space="preserve"> 95%</w:t>
            </w:r>
          </w:p>
          <w:p>
            <w:pPr>
              <w:rPr>
                <w:color w:val="000000" w:themeColor="text1"/>
                <w:szCs w:val="21"/>
                <w:highlight w:val="none"/>
                <w14:textFill>
                  <w14:solidFill>
                    <w14:schemeClr w14:val="tx1"/>
                  </w14:solidFill>
                </w14:textFill>
              </w:rPr>
            </w:pPr>
            <w:r>
              <w:rPr>
                <w:highlight w:val="none"/>
              </w:rPr>
              <w:t xml:space="preserve">- </w:t>
            </w:r>
            <w:r>
              <w:rPr>
                <w:rFonts w:hint="eastAsia"/>
                <w:highlight w:val="none"/>
              </w:rPr>
              <w:t>修复区域与参考图像的均方根误差(RMSE)降低</w:t>
            </w:r>
            <w:r>
              <w:rPr>
                <w:highlight w:val="none"/>
              </w:rPr>
              <w:t xml:space="preserve"> </w:t>
            </w:r>
            <w:r>
              <w:rPr>
                <w:rFonts w:hint="eastAsia"/>
                <w:highlight w:val="none"/>
              </w:rPr>
              <w:t>≥</w:t>
            </w:r>
            <w:r>
              <w:rPr>
                <w:highlight w:val="none"/>
              </w:rPr>
              <w:t xml:space="preserve">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41" w:type="dxa"/>
            <w:vMerge w:val="continue"/>
            <w:vAlign w:val="center"/>
          </w:tcPr>
          <w:p>
            <w:pPr>
              <w:jc w:val="center"/>
              <w:rPr>
                <w:color w:val="000000" w:themeColor="text1"/>
                <w:szCs w:val="21"/>
                <w:highlight w:val="none"/>
                <w14:textFill>
                  <w14:solidFill>
                    <w14:schemeClr w14:val="tx1"/>
                  </w14:solidFill>
                </w14:textFill>
              </w:rPr>
            </w:pPr>
          </w:p>
        </w:tc>
        <w:tc>
          <w:tcPr>
            <w:tcW w:w="1134" w:type="dxa"/>
            <w:vMerge w:val="continue"/>
            <w:vAlign w:val="center"/>
          </w:tcPr>
          <w:p>
            <w:pPr>
              <w:jc w:val="center"/>
              <w:rPr>
                <w:color w:val="000000" w:themeColor="text1"/>
                <w:szCs w:val="21"/>
                <w:highlight w:val="none"/>
                <w14:textFill>
                  <w14:solidFill>
                    <w14:schemeClr w14:val="tx1"/>
                  </w14:solidFill>
                </w14:textFill>
              </w:rPr>
            </w:pPr>
          </w:p>
        </w:tc>
        <w:tc>
          <w:tcPr>
            <w:tcW w:w="6485" w:type="dxa"/>
          </w:tcPr>
          <w:p>
            <w:pPr>
              <w:rPr>
                <w:highlight w:val="none"/>
              </w:rPr>
            </w:pPr>
            <w:r>
              <w:rPr>
                <w:rFonts w:hint="eastAsia"/>
                <w:highlight w:val="none"/>
              </w:rPr>
              <w:t>▲3.</w:t>
            </w:r>
            <w:r>
              <w:rPr>
                <w:highlight w:val="none"/>
              </w:rPr>
              <w:t xml:space="preserve"> </w:t>
            </w:r>
            <w:r>
              <w:rPr>
                <w:rFonts w:hint="eastAsia"/>
                <w:highlight w:val="none"/>
              </w:rPr>
              <w:t>大气湍流校正：建立大气湍流退化模型，实现图像复原算法。处理后的图像需满足：</w:t>
            </w:r>
          </w:p>
          <w:p>
            <w:pPr>
              <w:rPr>
                <w:highlight w:val="none"/>
              </w:rPr>
            </w:pPr>
            <w:r>
              <w:rPr>
                <w:highlight w:val="none"/>
              </w:rPr>
              <w:t xml:space="preserve">- </w:t>
            </w:r>
            <w:r>
              <w:rPr>
                <w:rFonts w:hint="eastAsia"/>
                <w:highlight w:val="none"/>
              </w:rPr>
              <w:t>主观评价无可见振铃效应和过度平滑</w:t>
            </w:r>
          </w:p>
          <w:p>
            <w:pPr>
              <w:rPr>
                <w:color w:val="000000" w:themeColor="text1"/>
                <w:szCs w:val="21"/>
                <w:highlight w:val="none"/>
                <w14:textFill>
                  <w14:solidFill>
                    <w14:schemeClr w14:val="tx1"/>
                  </w14:solidFill>
                </w14:textFill>
              </w:rPr>
            </w:pPr>
            <w:r>
              <w:rPr>
                <w:highlight w:val="none"/>
              </w:rPr>
              <w:t xml:space="preserve">- </w:t>
            </w:r>
            <w:r>
              <w:rPr>
                <w:rFonts w:hint="eastAsia"/>
                <w:highlight w:val="none"/>
              </w:rPr>
              <w:t>提供关键特征的剖面线分析图证明细节恢复效果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841" w:type="dxa"/>
            <w:vMerge w:val="continue"/>
            <w:vAlign w:val="center"/>
          </w:tcPr>
          <w:p>
            <w:pPr>
              <w:jc w:val="center"/>
              <w:rPr>
                <w:color w:val="000000" w:themeColor="text1"/>
                <w:szCs w:val="21"/>
                <w:highlight w:val="none"/>
                <w14:textFill>
                  <w14:solidFill>
                    <w14:schemeClr w14:val="tx1"/>
                  </w14:solidFill>
                </w14:textFill>
              </w:rPr>
            </w:pPr>
          </w:p>
        </w:tc>
        <w:tc>
          <w:tcPr>
            <w:tcW w:w="1134" w:type="dxa"/>
            <w:vMerge w:val="continue"/>
            <w:vAlign w:val="center"/>
          </w:tcPr>
          <w:p>
            <w:pPr>
              <w:jc w:val="center"/>
              <w:rPr>
                <w:color w:val="000000" w:themeColor="text1"/>
                <w:szCs w:val="21"/>
                <w:highlight w:val="none"/>
                <w14:textFill>
                  <w14:solidFill>
                    <w14:schemeClr w14:val="tx1"/>
                  </w14:solidFill>
                </w14:textFill>
              </w:rPr>
            </w:pPr>
          </w:p>
        </w:tc>
        <w:tc>
          <w:tcPr>
            <w:tcW w:w="6485" w:type="dxa"/>
          </w:tcPr>
          <w:p>
            <w:pPr>
              <w:rPr>
                <w:highlight w:val="none"/>
              </w:rPr>
            </w:pPr>
            <w:r>
              <w:rPr>
                <w:rFonts w:hint="eastAsia"/>
                <w:highlight w:val="none"/>
              </w:rPr>
              <w:t>▲4.</w:t>
            </w:r>
            <w:r>
              <w:rPr>
                <w:highlight w:val="none"/>
              </w:rPr>
              <w:t xml:space="preserve"> </w:t>
            </w:r>
            <w:r>
              <w:rPr>
                <w:rFonts w:hint="eastAsia"/>
                <w:highlight w:val="none"/>
              </w:rPr>
              <w:t>高精度图像配准：实现序列图像的自动配准，配准精度需满足：</w:t>
            </w:r>
          </w:p>
          <w:p>
            <w:pPr>
              <w:rPr>
                <w:highlight w:val="none"/>
              </w:rPr>
            </w:pPr>
            <w:r>
              <w:rPr>
                <w:highlight w:val="none"/>
              </w:rPr>
              <w:t xml:space="preserve">- </w:t>
            </w:r>
            <w:r>
              <w:rPr>
                <w:rFonts w:hint="eastAsia"/>
                <w:highlight w:val="none"/>
              </w:rPr>
              <w:t>均方根误差(RMSE)</w:t>
            </w:r>
            <w:r>
              <w:rPr>
                <w:highlight w:val="none"/>
              </w:rPr>
              <w:t xml:space="preserve"> </w:t>
            </w:r>
            <w:r>
              <w:rPr>
                <w:rFonts w:hint="eastAsia"/>
                <w:highlight w:val="none"/>
              </w:rPr>
              <w:t>≤</w:t>
            </w:r>
            <w:r>
              <w:rPr>
                <w:highlight w:val="none"/>
              </w:rPr>
              <w:t xml:space="preserve"> 0.5 </w:t>
            </w:r>
            <w:r>
              <w:rPr>
                <w:rFonts w:hint="eastAsia"/>
                <w:highlight w:val="none"/>
              </w:rPr>
              <w:t>像素（亚像素级）</w:t>
            </w:r>
          </w:p>
          <w:p>
            <w:pPr>
              <w:rPr>
                <w:color w:val="000000" w:themeColor="text1"/>
                <w:szCs w:val="21"/>
                <w:highlight w:val="none"/>
                <w14:textFill>
                  <w14:solidFill>
                    <w14:schemeClr w14:val="tx1"/>
                  </w14:solidFill>
                </w14:textFill>
              </w:rPr>
            </w:pPr>
            <w:r>
              <w:rPr>
                <w:highlight w:val="none"/>
              </w:rPr>
              <w:t xml:space="preserve">- </w:t>
            </w:r>
            <w:r>
              <w:rPr>
                <w:rFonts w:hint="eastAsia"/>
                <w:highlight w:val="none"/>
              </w:rPr>
              <w:t>残差图像在特征点区域无可见边缘轮廓</w:t>
            </w:r>
          </w:p>
        </w:tc>
      </w:tr>
      <w:bookmarkEnd w:id="36"/>
    </w:tbl>
    <w:p>
      <w:pPr>
        <w:rPr>
          <w:szCs w:val="21"/>
        </w:rPr>
      </w:pPr>
    </w:p>
    <w:p>
      <w:pPr>
        <w:pStyle w:val="18"/>
      </w:pPr>
    </w:p>
    <w:p>
      <w:pPr>
        <w:pStyle w:val="18"/>
      </w:pPr>
    </w:p>
    <w:p>
      <w:pPr>
        <w:pStyle w:val="19"/>
      </w:pPr>
    </w:p>
    <w:p>
      <w:pPr>
        <w:pStyle w:val="5"/>
        <w:spacing w:before="156" w:beforeLines="50" w:after="156" w:afterLines="50"/>
        <w:rPr>
          <w:szCs w:val="24"/>
        </w:rPr>
      </w:pPr>
      <w:r>
        <w:rPr>
          <w:rFonts w:hint="eastAsia"/>
          <w:szCs w:val="24"/>
        </w:rPr>
        <w:t>六、商务要求</w:t>
      </w:r>
    </w:p>
    <w:p>
      <w:pPr>
        <w:ind w:firstLine="422" w:firstLineChars="200"/>
        <w:rPr>
          <w:b/>
        </w:rPr>
      </w:pPr>
      <w:r>
        <w:rPr>
          <w:rFonts w:hint="eastAsia"/>
          <w:b/>
          <w:szCs w:val="21"/>
        </w:rPr>
        <w:t>说明：</w:t>
      </w:r>
      <w:r>
        <w:rPr>
          <w:b/>
        </w:rPr>
        <w:t>1</w:t>
      </w:r>
      <w:r>
        <w:rPr>
          <w:rFonts w:hint="eastAsia"/>
          <w:b/>
        </w:rPr>
        <w:t>、评分时，如对一项招标商务要求（以划分框为准）中的内容存在两处（或以上）负偏离的，在评分时只作一项负偏离扣分。</w:t>
      </w:r>
    </w:p>
    <w:p>
      <w:pPr>
        <w:ind w:firstLine="422" w:firstLineChars="200"/>
        <w:rPr>
          <w:b/>
          <w:szCs w:val="21"/>
        </w:rPr>
      </w:pPr>
      <w:r>
        <w:rPr>
          <w:b/>
          <w:szCs w:val="21"/>
        </w:rPr>
        <w:t>2</w:t>
      </w:r>
      <w:r>
        <w:rPr>
          <w:rFonts w:hint="eastAsia"/>
          <w:b/>
          <w:szCs w:val="21"/>
        </w:rPr>
        <w:t>、带★号条款为不可偏离条款，不作为评分准则中的评分内容，如未响应或出现负偏离的，将作投标无效处理；带“</w:t>
      </w:r>
      <w:r>
        <w:t>▲</w:t>
      </w:r>
      <w:r>
        <w:rPr>
          <w:rFonts w:hint="eastAsia"/>
          <w:b/>
          <w:szCs w:val="21"/>
        </w:rPr>
        <w:t>”指标项为重要参数，负偏离时依相关评分准则内容作重点扣分处理。</w:t>
      </w:r>
    </w:p>
    <w:tbl>
      <w:tblPr>
        <w:tblStyle w:val="42"/>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457"/>
        <w:gridCol w:w="6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0" w:type="dxa"/>
            <w:vAlign w:val="center"/>
          </w:tcPr>
          <w:p>
            <w:pPr>
              <w:jc w:val="center"/>
              <w:rPr>
                <w:b/>
              </w:rPr>
            </w:pPr>
            <w:r>
              <w:rPr>
                <w:rFonts w:hint="eastAsia"/>
                <w:b/>
              </w:rPr>
              <w:t>序号</w:t>
            </w:r>
          </w:p>
        </w:tc>
        <w:tc>
          <w:tcPr>
            <w:tcW w:w="1457" w:type="dxa"/>
            <w:vAlign w:val="center"/>
          </w:tcPr>
          <w:p>
            <w:pPr>
              <w:jc w:val="center"/>
              <w:rPr>
                <w:b/>
              </w:rPr>
            </w:pPr>
            <w:r>
              <w:rPr>
                <w:rFonts w:hint="eastAsia"/>
                <w:b/>
              </w:rPr>
              <w:t>商务需求项</w:t>
            </w:r>
          </w:p>
        </w:tc>
        <w:tc>
          <w:tcPr>
            <w:tcW w:w="6523" w:type="dxa"/>
            <w:vAlign w:val="center"/>
          </w:tcPr>
          <w:p>
            <w:pPr>
              <w:jc w:val="center"/>
              <w:rPr>
                <w:b/>
              </w:rPr>
            </w:pPr>
            <w:r>
              <w:rPr>
                <w:rFonts w:hint="eastAsia"/>
                <w:b/>
              </w:rPr>
              <w:t>招标商务要求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40" w:type="dxa"/>
            <w:vMerge w:val="restart"/>
            <w:vAlign w:val="center"/>
          </w:tcPr>
          <w:p>
            <w:pPr>
              <w:jc w:val="center"/>
              <w:rPr>
                <w:bCs/>
              </w:rPr>
            </w:pPr>
            <w:r>
              <w:rPr>
                <w:rFonts w:hint="eastAsia" w:asciiTheme="minorEastAsia" w:hAnsiTheme="minorEastAsia" w:eastAsiaTheme="minorEastAsia" w:cstheme="minorEastAsia"/>
                <w:b/>
                <w:bCs/>
                <w:szCs w:val="21"/>
              </w:rPr>
              <w:t>1</w:t>
            </w:r>
          </w:p>
        </w:tc>
        <w:tc>
          <w:tcPr>
            <w:tcW w:w="1457" w:type="dxa"/>
            <w:vMerge w:val="restart"/>
            <w:vAlign w:val="center"/>
          </w:tcPr>
          <w:p>
            <w:pPr>
              <w:jc w:val="center"/>
            </w:pPr>
            <w:r>
              <w:rPr>
                <w:rFonts w:hint="eastAsia" w:asciiTheme="minorEastAsia" w:hAnsiTheme="minorEastAsia" w:eastAsiaTheme="minorEastAsia" w:cstheme="minorEastAsia"/>
                <w:b/>
                <w:bCs/>
                <w:szCs w:val="21"/>
              </w:rPr>
              <w:t>关于交货</w:t>
            </w:r>
          </w:p>
        </w:tc>
        <w:tc>
          <w:tcPr>
            <w:tcW w:w="6523" w:type="dxa"/>
          </w:tcPr>
          <w:p>
            <w:pPr>
              <w:rPr>
                <w:rFonts w:ascii="宋体" w:hAnsi="宋体" w:cs="宋体"/>
                <w:b/>
                <w:sz w:val="20"/>
                <w:szCs w:val="20"/>
              </w:rPr>
            </w:pPr>
            <w:r>
              <w:rPr>
                <w:rFonts w:ascii="Segoe UI Symbol" w:hAnsi="Segoe UI Symbol" w:cs="Segoe UI Symbol"/>
              </w:rPr>
              <w:t>★</w:t>
            </w:r>
            <w:r>
              <w:t>1.1 交货地点：深圳市南山区深圳大学城哈工大深圳校区</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40" w:type="dxa"/>
            <w:vMerge w:val="continue"/>
            <w:vAlign w:val="center"/>
          </w:tcPr>
          <w:p>
            <w:pPr>
              <w:jc w:val="center"/>
              <w:rPr>
                <w:rFonts w:asciiTheme="minorEastAsia" w:hAnsiTheme="minorEastAsia" w:eastAsiaTheme="minorEastAsia" w:cstheme="minorEastAsia"/>
                <w:b/>
                <w:bCs/>
                <w:szCs w:val="21"/>
                <w:highlight w:val="none"/>
              </w:rPr>
            </w:pPr>
          </w:p>
        </w:tc>
        <w:tc>
          <w:tcPr>
            <w:tcW w:w="1457" w:type="dxa"/>
            <w:vMerge w:val="continue"/>
            <w:vAlign w:val="center"/>
          </w:tcPr>
          <w:p>
            <w:pPr>
              <w:jc w:val="center"/>
              <w:rPr>
                <w:rFonts w:asciiTheme="minorEastAsia" w:hAnsiTheme="minorEastAsia" w:eastAsiaTheme="minorEastAsia" w:cstheme="minorEastAsia"/>
                <w:b/>
                <w:bCs/>
                <w:szCs w:val="21"/>
                <w:highlight w:val="none"/>
              </w:rPr>
            </w:pPr>
          </w:p>
        </w:tc>
        <w:tc>
          <w:tcPr>
            <w:tcW w:w="6523" w:type="dxa"/>
          </w:tcPr>
          <w:p>
            <w:pPr>
              <w:rPr>
                <w:rFonts w:ascii="Segoe UI Symbol" w:hAnsi="Segoe UI Symbol" w:cs="Segoe UI Symbol"/>
                <w:highlight w:val="none"/>
              </w:rPr>
            </w:pPr>
            <w:r>
              <w:rPr>
                <w:rFonts w:hint="eastAsia" w:ascii="Segoe UI Symbol" w:hAnsi="Segoe UI Symbol" w:cs="Segoe UI Symbol"/>
                <w:highlight w:val="none"/>
              </w:rPr>
              <w:t>★</w:t>
            </w:r>
            <w:r>
              <w:rPr>
                <w:highlight w:val="none"/>
              </w:rPr>
              <w:t xml:space="preserve">1.2 </w:t>
            </w:r>
            <w:r>
              <w:rPr>
                <w:rFonts w:hint="eastAsia"/>
                <w:highlight w:val="none"/>
              </w:rPr>
              <w:t>签订合同后9个月内完成交付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40" w:type="dxa"/>
            <w:vAlign w:val="center"/>
          </w:tcPr>
          <w:p>
            <w:pPr>
              <w:jc w:val="center"/>
              <w:rPr>
                <w:szCs w:val="21"/>
              </w:rPr>
            </w:pPr>
            <w:r>
              <w:rPr>
                <w:rFonts w:hint="eastAsia" w:asciiTheme="minorEastAsia" w:hAnsiTheme="minorEastAsia" w:eastAsiaTheme="minorEastAsia" w:cstheme="minorEastAsia"/>
                <w:b/>
                <w:bCs/>
                <w:szCs w:val="21"/>
              </w:rPr>
              <w:t>2</w:t>
            </w:r>
          </w:p>
        </w:tc>
        <w:tc>
          <w:tcPr>
            <w:tcW w:w="1457" w:type="dxa"/>
            <w:vAlign w:val="center"/>
          </w:tcPr>
          <w:p>
            <w:pPr>
              <w:jc w:val="center"/>
              <w:rPr>
                <w:szCs w:val="21"/>
              </w:rPr>
            </w:pPr>
            <w:r>
              <w:rPr>
                <w:rFonts w:hint="eastAsia" w:asciiTheme="minorEastAsia" w:hAnsiTheme="minorEastAsia" w:eastAsiaTheme="minorEastAsia" w:cstheme="minorEastAsia"/>
                <w:b/>
                <w:bCs/>
                <w:szCs w:val="21"/>
              </w:rPr>
              <w:t>验收标准</w:t>
            </w:r>
          </w:p>
        </w:tc>
        <w:tc>
          <w:tcPr>
            <w:tcW w:w="6523" w:type="dxa"/>
          </w:tcPr>
          <w:p>
            <w:pPr>
              <w:spacing w:line="340" w:lineRule="exact"/>
              <w:rPr>
                <w:rFonts w:ascii="宋体" w:hAnsi="宋体" w:cs="宋体"/>
                <w:b/>
                <w:sz w:val="20"/>
                <w:szCs w:val="20"/>
              </w:rPr>
            </w:pPr>
            <w:r>
              <w:rPr>
                <w:rFonts w:ascii="Segoe UI Symbol" w:hAnsi="Segoe UI Symbol" w:cs="Segoe UI Symbol"/>
              </w:rPr>
              <w:t>★</w:t>
            </w:r>
            <w:r>
              <w:rPr>
                <w:rFonts w:hint="eastAsia" w:ascii="Segoe UI Symbol" w:hAnsi="Segoe UI Symbol" w:cs="Segoe UI Symbol"/>
              </w:rPr>
              <w:t>2.1</w:t>
            </w:r>
            <w:r>
              <w:t>以本文件"技术要求"中规定的量化指标为唯一验收标准，中标方需提供完整的测试报告</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40" w:type="dxa"/>
            <w:vMerge w:val="restart"/>
            <w:vAlign w:val="center"/>
          </w:tcPr>
          <w:p>
            <w:pPr>
              <w:jc w:val="center"/>
              <w:rPr>
                <w:b/>
              </w:rPr>
            </w:pPr>
            <w:r>
              <w:rPr>
                <w:rFonts w:asciiTheme="minorEastAsia" w:hAnsiTheme="minorEastAsia" w:eastAsiaTheme="minorEastAsia" w:cstheme="minorEastAsia"/>
                <w:b/>
                <w:bCs/>
                <w:szCs w:val="21"/>
              </w:rPr>
              <w:t>3</w:t>
            </w:r>
          </w:p>
        </w:tc>
        <w:tc>
          <w:tcPr>
            <w:tcW w:w="1457" w:type="dxa"/>
            <w:vMerge w:val="restart"/>
            <w:vAlign w:val="center"/>
          </w:tcPr>
          <w:p>
            <w:pPr>
              <w:jc w:val="center"/>
            </w:pPr>
            <w:r>
              <w:rPr>
                <w:rFonts w:hint="eastAsia" w:asciiTheme="minorEastAsia" w:hAnsiTheme="minorEastAsia" w:eastAsiaTheme="minorEastAsia" w:cstheme="minorEastAsia"/>
                <w:b/>
                <w:bCs/>
                <w:szCs w:val="21"/>
              </w:rPr>
              <w:t>关于付款</w:t>
            </w:r>
          </w:p>
        </w:tc>
        <w:tc>
          <w:tcPr>
            <w:tcW w:w="6523" w:type="dxa"/>
          </w:tcPr>
          <w:p>
            <w:pPr>
              <w:spacing w:line="340" w:lineRule="exact"/>
              <w:rPr>
                <w:rFonts w:ascii="宋体" w:hAnsi="宋体" w:cs="宋体"/>
                <w:bCs/>
                <w:sz w:val="20"/>
                <w:szCs w:val="20"/>
              </w:rPr>
            </w:pPr>
            <w:r>
              <w:t>3.1 付款方式：签订合同后支付90%；最终验收通过后支付10%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40" w:type="dxa"/>
            <w:vMerge w:val="continue"/>
            <w:vAlign w:val="center"/>
          </w:tcPr>
          <w:p>
            <w:pPr>
              <w:jc w:val="center"/>
              <w:rPr>
                <w:rFonts w:asciiTheme="minorEastAsia" w:hAnsiTheme="minorEastAsia" w:eastAsiaTheme="minorEastAsia" w:cstheme="minorEastAsia"/>
                <w:b/>
                <w:bCs/>
                <w:szCs w:val="21"/>
                <w:highlight w:val="none"/>
              </w:rPr>
            </w:pPr>
          </w:p>
        </w:tc>
        <w:tc>
          <w:tcPr>
            <w:tcW w:w="1457" w:type="dxa"/>
            <w:vMerge w:val="continue"/>
            <w:vAlign w:val="center"/>
          </w:tcPr>
          <w:p>
            <w:pPr>
              <w:jc w:val="center"/>
              <w:rPr>
                <w:rFonts w:asciiTheme="minorEastAsia" w:hAnsiTheme="minorEastAsia" w:eastAsiaTheme="minorEastAsia" w:cstheme="minorEastAsia"/>
                <w:b/>
                <w:bCs/>
                <w:szCs w:val="21"/>
                <w:highlight w:val="none"/>
              </w:rPr>
            </w:pPr>
          </w:p>
        </w:tc>
        <w:tc>
          <w:tcPr>
            <w:tcW w:w="6523" w:type="dxa"/>
          </w:tcPr>
          <w:p>
            <w:pPr>
              <w:spacing w:line="340" w:lineRule="exact"/>
              <w:rPr>
                <w:highlight w:val="none"/>
              </w:rPr>
            </w:pPr>
            <w:r>
              <w:rPr>
                <w:highlight w:val="none"/>
              </w:rPr>
              <w:t>3.2</w:t>
            </w:r>
            <w:r>
              <w:rPr>
                <w:rFonts w:hint="eastAsia"/>
                <w:highlight w:val="none"/>
              </w:rPr>
              <w:t>若因乙方原因导致项目失败或未达到核心指标，甲方有权终止合同，乙方需根据实际已完成并通过验收的工作量，按比例返还已支付款项。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40" w:type="dxa"/>
            <w:vAlign w:val="center"/>
          </w:tcPr>
          <w:p>
            <w:pPr>
              <w:ind w:firstLine="211" w:firstLineChars="100"/>
              <w:rPr>
                <w:b/>
              </w:rPr>
            </w:pPr>
            <w:r>
              <w:rPr>
                <w:rFonts w:hint="eastAsia" w:asciiTheme="minorEastAsia" w:hAnsiTheme="minorEastAsia" w:eastAsiaTheme="minorEastAsia" w:cstheme="minorEastAsia"/>
                <w:b/>
                <w:bCs/>
                <w:szCs w:val="21"/>
              </w:rPr>
              <w:t>4</w:t>
            </w:r>
          </w:p>
        </w:tc>
        <w:tc>
          <w:tcPr>
            <w:tcW w:w="1457" w:type="dxa"/>
            <w:vAlign w:val="center"/>
          </w:tcPr>
          <w:p>
            <w:pPr>
              <w:jc w:val="center"/>
              <w:rPr>
                <w:b/>
              </w:rPr>
            </w:pPr>
            <w:r>
              <w:rPr>
                <w:rFonts w:hint="eastAsia" w:asciiTheme="minorEastAsia" w:hAnsiTheme="minorEastAsia" w:eastAsiaTheme="minorEastAsia" w:cstheme="minorEastAsia"/>
                <w:b/>
                <w:bCs/>
                <w:szCs w:val="21"/>
              </w:rPr>
              <w:t>知识产权</w:t>
            </w:r>
          </w:p>
        </w:tc>
        <w:tc>
          <w:tcPr>
            <w:tcW w:w="6523" w:type="dxa"/>
            <w:vAlign w:val="center"/>
          </w:tcPr>
          <w:p>
            <w:pPr>
              <w:rPr>
                <w:rFonts w:ascii="宋体" w:hAnsi="宋体" w:cs="宋体"/>
                <w:bCs/>
                <w:sz w:val="20"/>
                <w:szCs w:val="20"/>
              </w:rPr>
            </w:pPr>
            <w:r>
              <w:rPr>
                <w:rFonts w:hint="eastAsia"/>
                <w:b/>
                <w:szCs w:val="21"/>
              </w:rPr>
              <w:t>★4.1</w:t>
            </w:r>
            <w:r>
              <w:rPr>
                <w:rFonts w:hint="eastAsia"/>
              </w:rPr>
              <w:t>项目所产生的所有研究成果（包括但不限于算法、模型、软件著作权等）的知识产权归甲方所有，乙方享有署名权。并有权在不泄露甲方敏感数据的前提下，将核心技术方法用于学术发表和成果展示。</w:t>
            </w:r>
          </w:p>
        </w:tc>
      </w:tr>
    </w:tbl>
    <w:p>
      <w:pPr>
        <w:pStyle w:val="19"/>
      </w:pPr>
    </w:p>
    <w:p>
      <w:pPr>
        <w:pStyle w:val="19"/>
      </w:pPr>
    </w:p>
    <w:p>
      <w:pPr>
        <w:pStyle w:val="18"/>
      </w:pPr>
    </w:p>
    <w:p>
      <w:pPr>
        <w:pStyle w:val="5"/>
        <w:spacing w:before="156" w:beforeLines="50" w:after="156" w:afterLines="50"/>
        <w:rPr>
          <w:szCs w:val="24"/>
        </w:rPr>
      </w:pPr>
      <w:r>
        <w:rPr>
          <w:rFonts w:hint="eastAsia"/>
          <w:szCs w:val="24"/>
          <w:lang w:val="en-US" w:eastAsia="zh-CN"/>
        </w:rPr>
        <w:t>六</w:t>
      </w:r>
      <w:r>
        <w:rPr>
          <w:rFonts w:hint="eastAsia"/>
          <w:szCs w:val="24"/>
        </w:rPr>
        <w:t>、其他重要条款</w:t>
      </w:r>
    </w:p>
    <w:p>
      <w:pPr>
        <w:ind w:firstLine="420" w:firstLineChars="200"/>
        <w:rPr>
          <w:bCs/>
          <w:szCs w:val="21"/>
        </w:rPr>
      </w:pPr>
      <w:r>
        <w:rPr>
          <w:bCs/>
          <w:szCs w:val="21"/>
          <w:lang w:bidi="ar"/>
        </w:rPr>
        <w:t>1</w:t>
      </w:r>
      <w:r>
        <w:rPr>
          <w:rFonts w:hint="eastAsia" w:cs="宋体"/>
          <w:bCs/>
          <w:szCs w:val="21"/>
          <w:lang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37"/>
        <w:spacing w:before="78" w:beforeLines="25" w:after="78" w:afterLines="25"/>
        <w:ind w:firstLine="392" w:firstLineChars="187"/>
        <w:rPr>
          <w:rFonts w:ascii="宋体" w:hAnsi="宋体" w:cs="宋体"/>
          <w:szCs w:val="21"/>
        </w:rPr>
      </w:pPr>
      <w:r>
        <w:rPr>
          <w:bCs/>
          <w:sz w:val="21"/>
          <w:szCs w:val="21"/>
          <w:lang w:bidi="ar"/>
        </w:rPr>
        <w:t>2</w:t>
      </w:r>
      <w:r>
        <w:rPr>
          <w:rFonts w:hint="eastAsia" w:cs="宋体"/>
          <w:bCs/>
          <w:sz w:val="21"/>
          <w:szCs w:val="21"/>
          <w:lang w:bidi="ar"/>
        </w:rPr>
        <w:t>、投标人应充分了解项目的位置、情况、道路及任何其它足以影响投标报价的情况，任何因忽视或误解项目情况而导致的索赔或服务期限延长申请将不获批准。</w:t>
      </w:r>
    </w:p>
    <w:p>
      <w:pPr>
        <w:ind w:firstLine="420" w:firstLineChars="200"/>
        <w:rPr>
          <w:bCs/>
          <w:szCs w:val="21"/>
        </w:rPr>
      </w:pPr>
      <w:r>
        <w:rPr>
          <w:bCs/>
          <w:szCs w:val="21"/>
          <w:lang w:bidi="ar"/>
        </w:rPr>
        <w:t>3</w:t>
      </w:r>
      <w:r>
        <w:rPr>
          <w:rFonts w:hint="eastAsia" w:cs="宋体"/>
          <w:bCs/>
          <w:szCs w:val="21"/>
          <w:lang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20" w:firstLineChars="200"/>
        <w:rPr>
          <w:bCs/>
          <w:szCs w:val="21"/>
        </w:rPr>
      </w:pPr>
      <w:r>
        <w:rPr>
          <w:bCs/>
          <w:szCs w:val="21"/>
          <w:lang w:bidi="ar"/>
        </w:rPr>
        <w:t>4</w:t>
      </w:r>
      <w:r>
        <w:rPr>
          <w:rFonts w:hint="eastAsia" w:cs="宋体"/>
          <w:bCs/>
          <w:szCs w:val="21"/>
          <w:lang w:bidi="ar"/>
        </w:rPr>
        <w:t>、除采购合同继续履行将损害国家利益和社会公共利益外，双方当事人不得擅自变更、中止或者终止合同。</w:t>
      </w:r>
    </w:p>
    <w:p>
      <w:pPr>
        <w:ind w:firstLine="420" w:firstLineChars="200"/>
        <w:rPr>
          <w:bCs/>
          <w:szCs w:val="21"/>
        </w:rPr>
      </w:pPr>
      <w:r>
        <w:rPr>
          <w:bCs/>
          <w:szCs w:val="21"/>
          <w:lang w:bidi="ar"/>
        </w:rPr>
        <w:t>5</w:t>
      </w:r>
      <w:r>
        <w:rPr>
          <w:rFonts w:hint="eastAsia" w:cs="宋体"/>
          <w:bCs/>
          <w:szCs w:val="21"/>
          <w:lang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r>
        <w:rPr>
          <w:lang w:bidi="ar"/>
        </w:rPr>
        <w:br w:type="page"/>
      </w:r>
    </w:p>
    <w:p>
      <w:pPr>
        <w:pStyle w:val="5"/>
        <w:rPr>
          <w:sz w:val="28"/>
          <w:szCs w:val="28"/>
        </w:rPr>
      </w:pPr>
      <w:r>
        <w:rPr>
          <w:rFonts w:hint="eastAsia"/>
          <w:sz w:val="28"/>
          <w:szCs w:val="28"/>
        </w:rPr>
        <w:t>第四章 投标文件组成要求及格式</w:t>
      </w:r>
    </w:p>
    <w:p>
      <w:pPr>
        <w:rPr>
          <w:rStyle w:val="64"/>
          <w:sz w:val="24"/>
        </w:rPr>
      </w:pPr>
      <w:r>
        <w:rPr>
          <w:rStyle w:val="64"/>
          <w:rFonts w:hint="eastAsia"/>
          <w:sz w:val="24"/>
        </w:rPr>
        <w:t>特别提醒：</w:t>
      </w:r>
    </w:p>
    <w:p>
      <w:pPr>
        <w:tabs>
          <w:tab w:val="left" w:pos="1470"/>
        </w:tabs>
        <w:snapToGrid w:val="0"/>
        <w:spacing w:line="320" w:lineRule="atLeast"/>
        <w:ind w:firstLine="482" w:firstLineChars="200"/>
        <w:rPr>
          <w:rFonts w:ascii="宋体" w:hAnsi="宋体" w:cs="宋体"/>
          <w:b/>
          <w:color w:val="FF0000"/>
          <w:sz w:val="24"/>
          <w:highlight w:val="cyan"/>
        </w:rPr>
      </w:pPr>
      <w:r>
        <w:rPr>
          <w:rFonts w:hint="eastAsia" w:ascii="宋体" w:hAnsi="宋体" w:cs="宋体"/>
          <w:b/>
          <w:color w:val="FF0000"/>
          <w:sz w:val="24"/>
          <w:highlight w:val="cyan"/>
        </w:rPr>
        <w:t>1</w:t>
      </w:r>
      <w:r>
        <w:rPr>
          <w:rFonts w:hint="eastAsia" w:ascii="宋体" w:hAnsi="宋体" w:cs="宋体"/>
          <w:b/>
          <w:color w:val="FF0000"/>
          <w:sz w:val="24"/>
          <w:highlight w:val="cyan"/>
          <w:lang w:val="en-US" w:eastAsia="zh-CN"/>
        </w:rPr>
        <w:t>.</w:t>
      </w:r>
      <w:r>
        <w:rPr>
          <w:rFonts w:hint="eastAsia" w:ascii="宋体" w:hAnsi="宋体" w:cs="宋体"/>
          <w:b/>
          <w:color w:val="FF0000"/>
          <w:sz w:val="24"/>
          <w:highlight w:val="cyan"/>
        </w:rPr>
        <w:t>投标人在编辑投标文件时，在投标文件目录中属于本节点内容的</w:t>
      </w:r>
      <w:r>
        <w:rPr>
          <w:rFonts w:hint="eastAsia" w:ascii="宋体" w:hAnsi="宋体" w:cs="宋体"/>
          <w:b/>
          <w:color w:val="FF0000"/>
          <w:sz w:val="24"/>
          <w:highlight w:val="cyan"/>
          <w:lang w:val="en-US" w:eastAsia="zh-CN"/>
        </w:rPr>
        <w:t>需</w:t>
      </w:r>
      <w:r>
        <w:rPr>
          <w:rFonts w:hint="eastAsia" w:ascii="宋体" w:hAnsi="宋体" w:cs="宋体"/>
          <w:b/>
          <w:color w:val="FF0000"/>
          <w:sz w:val="24"/>
          <w:highlight w:val="cyan"/>
        </w:rPr>
        <w:t>在</w:t>
      </w:r>
      <w:r>
        <w:rPr>
          <w:rFonts w:hint="eastAsia" w:ascii="宋体" w:hAnsi="宋体" w:cs="宋体"/>
          <w:b/>
          <w:color w:val="FF0000"/>
          <w:sz w:val="24"/>
          <w:highlight w:val="cyan"/>
          <w:lang w:val="en-US" w:eastAsia="zh-CN"/>
        </w:rPr>
        <w:t>对应</w:t>
      </w:r>
      <w:r>
        <w:rPr>
          <w:rFonts w:hint="eastAsia" w:ascii="宋体" w:hAnsi="宋体" w:cs="宋体"/>
          <w:b/>
          <w:color w:val="FF0000"/>
          <w:sz w:val="24"/>
          <w:highlight w:val="cyan"/>
        </w:rPr>
        <w:t>节点中填写，填写到其他节点后果由供应商自行承担。</w:t>
      </w:r>
    </w:p>
    <w:p>
      <w:pPr>
        <w:tabs>
          <w:tab w:val="left" w:pos="1470"/>
        </w:tabs>
        <w:snapToGrid w:val="0"/>
        <w:spacing w:line="320" w:lineRule="atLeast"/>
        <w:ind w:firstLine="482" w:firstLineChars="200"/>
        <w:rPr>
          <w:rFonts w:hint="default" w:ascii="宋体" w:hAnsi="宋体" w:eastAsia="宋体" w:cs="宋体"/>
          <w:b/>
          <w:color w:val="FF0000"/>
          <w:sz w:val="24"/>
          <w:highlight w:val="cyan"/>
          <w:lang w:val="en-US" w:eastAsia="zh-CN"/>
        </w:rPr>
      </w:pPr>
      <w:r>
        <w:rPr>
          <w:rFonts w:hint="eastAsia" w:ascii="宋体" w:hAnsi="宋体" w:cs="宋体"/>
          <w:b/>
          <w:color w:val="FF0000"/>
          <w:sz w:val="24"/>
          <w:highlight w:val="cyan"/>
        </w:rPr>
        <w:t>2</w:t>
      </w:r>
      <w:r>
        <w:rPr>
          <w:rFonts w:hint="eastAsia" w:ascii="宋体" w:hAnsi="宋体" w:cs="宋体"/>
          <w:b/>
          <w:color w:val="FF0000"/>
          <w:sz w:val="24"/>
          <w:highlight w:val="cyan"/>
          <w:lang w:val="en-US" w:eastAsia="zh-CN"/>
        </w:rPr>
        <w:t>.投标文件均不对外公开。</w:t>
      </w:r>
    </w:p>
    <w:p>
      <w:pPr>
        <w:tabs>
          <w:tab w:val="left" w:pos="1470"/>
        </w:tabs>
        <w:snapToGrid w:val="0"/>
        <w:spacing w:line="320" w:lineRule="atLeast"/>
        <w:ind w:firstLine="482" w:firstLineChars="200"/>
        <w:rPr>
          <w:rFonts w:hint="eastAsia" w:ascii="宋体" w:hAnsi="宋体" w:cs="宋体"/>
          <w:b/>
          <w:color w:val="FF0000"/>
          <w:sz w:val="24"/>
        </w:rPr>
      </w:pPr>
    </w:p>
    <w:p>
      <w:pPr>
        <w:rPr>
          <w:rFonts w:ascii="宋体" w:hAnsi="宋体"/>
          <w:b/>
          <w:bCs/>
          <w:sz w:val="24"/>
        </w:rPr>
      </w:pPr>
      <w:r>
        <w:rPr>
          <w:rFonts w:hint="eastAsia" w:ascii="宋体" w:hAnsi="宋体"/>
          <w:b/>
          <w:bCs/>
          <w:sz w:val="24"/>
        </w:rPr>
        <w:t>投标文件组成：</w:t>
      </w:r>
    </w:p>
    <w:p>
      <w:pPr>
        <w:ind w:firstLine="480" w:firstLineChars="200"/>
        <w:outlineLvl w:val="0"/>
        <w:rPr>
          <w:rFonts w:ascii="宋体" w:hAnsi="宋体"/>
          <w:sz w:val="24"/>
        </w:rPr>
      </w:pPr>
      <w:r>
        <w:rPr>
          <w:rFonts w:hint="eastAsia" w:ascii="宋体" w:hAnsi="宋体"/>
          <w:sz w:val="24"/>
        </w:rPr>
        <w:t>投标文件主要包括以下内容：</w:t>
      </w:r>
    </w:p>
    <w:p>
      <w:pPr>
        <w:ind w:firstLine="840" w:firstLineChars="400"/>
        <w:rPr>
          <w:szCs w:val="21"/>
        </w:rPr>
      </w:pPr>
      <w:r>
        <w:rPr>
          <w:rFonts w:hint="eastAsia"/>
          <w:szCs w:val="21"/>
        </w:rPr>
        <w:t>（1）</w:t>
      </w:r>
      <w:bookmarkStart w:id="37" w:name="_Hlk72070784"/>
      <w:r>
        <w:rPr>
          <w:rFonts w:hint="eastAsia"/>
          <w:szCs w:val="21"/>
        </w:rPr>
        <w:t>投标函</w:t>
      </w:r>
      <w:bookmarkEnd w:id="37"/>
    </w:p>
    <w:p>
      <w:pPr>
        <w:ind w:firstLine="840" w:firstLineChars="400"/>
        <w:rPr>
          <w:szCs w:val="21"/>
        </w:rPr>
      </w:pPr>
      <w:r>
        <w:rPr>
          <w:rFonts w:hint="eastAsia"/>
          <w:szCs w:val="21"/>
        </w:rPr>
        <w:t>（2）采购投标及履约承诺函</w:t>
      </w:r>
    </w:p>
    <w:p>
      <w:pPr>
        <w:ind w:firstLine="840" w:firstLineChars="400"/>
        <w:rPr>
          <w:szCs w:val="21"/>
        </w:rPr>
      </w:pPr>
      <w:r>
        <w:rPr>
          <w:rFonts w:hint="eastAsia"/>
          <w:szCs w:val="21"/>
        </w:rPr>
        <w:t>（</w:t>
      </w:r>
      <w:r>
        <w:rPr>
          <w:szCs w:val="21"/>
        </w:rPr>
        <w:t>3</w:t>
      </w:r>
      <w:r>
        <w:rPr>
          <w:rFonts w:hint="eastAsia"/>
          <w:szCs w:val="21"/>
        </w:rPr>
        <w:t>）投标人情况及资格证明文件</w:t>
      </w:r>
    </w:p>
    <w:p>
      <w:pPr>
        <w:ind w:firstLine="840" w:firstLineChars="400"/>
        <w:rPr>
          <w:rFonts w:hint="eastAsia"/>
          <w:szCs w:val="21"/>
        </w:rPr>
      </w:pPr>
      <w:bookmarkStart w:id="38" w:name="_Hlk72257201"/>
      <w:r>
        <w:rPr>
          <w:rFonts w:hint="eastAsia"/>
          <w:szCs w:val="21"/>
        </w:rPr>
        <w:t>（</w:t>
      </w:r>
      <w:r>
        <w:rPr>
          <w:szCs w:val="21"/>
        </w:rPr>
        <w:t>4</w:t>
      </w:r>
      <w:r>
        <w:rPr>
          <w:rFonts w:hint="eastAsia"/>
          <w:szCs w:val="21"/>
        </w:rPr>
        <w:t>）项目详细报价</w:t>
      </w:r>
    </w:p>
    <w:bookmarkEnd w:id="38"/>
    <w:p>
      <w:pPr>
        <w:ind w:firstLine="840" w:firstLineChars="400"/>
        <w:rPr>
          <w:rFonts w:hint="eastAsia" w:eastAsia="宋体"/>
          <w:szCs w:val="21"/>
          <w:highlight w:val="yellow"/>
          <w:lang w:eastAsia="zh-CN"/>
        </w:rPr>
      </w:pPr>
      <w:r>
        <w:rPr>
          <w:rFonts w:hint="eastAsia"/>
          <w:szCs w:val="21"/>
          <w:highlight w:val="yellow"/>
        </w:rPr>
        <w:t>（</w:t>
      </w:r>
      <w:r>
        <w:rPr>
          <w:rFonts w:hint="eastAsia"/>
          <w:szCs w:val="21"/>
          <w:highlight w:val="yellow"/>
          <w:lang w:val="en-US" w:eastAsia="zh-CN"/>
        </w:rPr>
        <w:t>5</w:t>
      </w:r>
      <w:r>
        <w:rPr>
          <w:rFonts w:hint="eastAsia"/>
          <w:szCs w:val="21"/>
          <w:highlight w:val="yellow"/>
        </w:rPr>
        <w:t>）供应商基本情况表</w:t>
      </w:r>
      <w:r>
        <w:rPr>
          <w:rFonts w:hint="eastAsia"/>
          <w:lang w:eastAsia="zh-CN"/>
        </w:rPr>
        <w:t>（</w:t>
      </w:r>
      <w:r>
        <w:rPr>
          <w:rFonts w:hint="eastAsia"/>
          <w:lang w:val="en-US" w:eastAsia="zh-CN"/>
        </w:rPr>
        <w:t>须加盖投标单位公章</w:t>
      </w:r>
      <w:r>
        <w:rPr>
          <w:rFonts w:hint="eastAsia"/>
          <w:lang w:eastAsia="zh-CN"/>
        </w:rPr>
        <w:t>）</w:t>
      </w:r>
    </w:p>
    <w:p>
      <w:pPr>
        <w:ind w:firstLine="840" w:firstLineChars="400"/>
        <w:rPr>
          <w:szCs w:val="21"/>
        </w:rPr>
      </w:pPr>
      <w:r>
        <w:rPr>
          <w:rFonts w:hint="eastAsia"/>
          <w:szCs w:val="21"/>
        </w:rPr>
        <w:t>（</w:t>
      </w:r>
      <w:r>
        <w:rPr>
          <w:rFonts w:hint="eastAsia"/>
          <w:szCs w:val="21"/>
          <w:lang w:val="en-US" w:eastAsia="zh-CN"/>
        </w:rPr>
        <w:t>6</w:t>
      </w:r>
      <w:r>
        <w:rPr>
          <w:rFonts w:hint="eastAsia"/>
          <w:szCs w:val="21"/>
        </w:rPr>
        <w:t>）法定代表人（负责人）证明书</w:t>
      </w:r>
    </w:p>
    <w:p>
      <w:pPr>
        <w:ind w:firstLine="840" w:firstLineChars="400"/>
        <w:rPr>
          <w:szCs w:val="21"/>
        </w:rPr>
      </w:pPr>
      <w:r>
        <w:rPr>
          <w:rFonts w:hint="eastAsia"/>
          <w:szCs w:val="21"/>
        </w:rPr>
        <w:t>（</w:t>
      </w:r>
      <w:r>
        <w:rPr>
          <w:rFonts w:hint="eastAsia"/>
          <w:szCs w:val="21"/>
          <w:lang w:val="en-US" w:eastAsia="zh-CN"/>
        </w:rPr>
        <w:t>7</w:t>
      </w:r>
      <w:r>
        <w:rPr>
          <w:rFonts w:hint="eastAsia"/>
          <w:szCs w:val="21"/>
        </w:rPr>
        <w:t>）投标文件签署授权委托书</w:t>
      </w:r>
    </w:p>
    <w:p>
      <w:pPr>
        <w:ind w:firstLine="840" w:firstLineChars="400"/>
        <w:rPr>
          <w:szCs w:val="21"/>
        </w:rPr>
      </w:pPr>
      <w:r>
        <w:rPr>
          <w:rFonts w:hint="eastAsia"/>
          <w:szCs w:val="21"/>
        </w:rPr>
        <w:t>（</w:t>
      </w:r>
      <w:r>
        <w:rPr>
          <w:rFonts w:hint="eastAsia"/>
          <w:szCs w:val="21"/>
          <w:lang w:val="en-US" w:eastAsia="zh-CN"/>
        </w:rPr>
        <w:t>8</w:t>
      </w:r>
      <w:r>
        <w:rPr>
          <w:rFonts w:hint="eastAsia"/>
          <w:szCs w:val="21"/>
        </w:rPr>
        <w:t>）实质性条款响应情况表</w:t>
      </w:r>
    </w:p>
    <w:p>
      <w:pPr>
        <w:ind w:firstLine="840" w:firstLineChars="400"/>
        <w:rPr>
          <w:szCs w:val="21"/>
        </w:rPr>
      </w:pPr>
      <w:r>
        <w:rPr>
          <w:rFonts w:hint="eastAsia"/>
          <w:szCs w:val="21"/>
        </w:rPr>
        <w:t>（</w:t>
      </w:r>
      <w:r>
        <w:rPr>
          <w:rFonts w:hint="eastAsia"/>
          <w:szCs w:val="21"/>
          <w:lang w:val="en-US" w:eastAsia="zh-CN"/>
        </w:rPr>
        <w:t>9</w:t>
      </w:r>
      <w:r>
        <w:rPr>
          <w:rFonts w:hint="eastAsia"/>
          <w:szCs w:val="21"/>
        </w:rPr>
        <w:t>）技术要求偏离表</w:t>
      </w:r>
    </w:p>
    <w:p>
      <w:pPr>
        <w:ind w:firstLine="840" w:firstLineChars="400"/>
        <w:rPr>
          <w:rFonts w:hint="eastAsia"/>
          <w:szCs w:val="21"/>
        </w:rPr>
      </w:pPr>
      <w:r>
        <w:rPr>
          <w:rFonts w:hint="eastAsia"/>
          <w:szCs w:val="21"/>
        </w:rPr>
        <w:t>（</w:t>
      </w:r>
      <w:r>
        <w:rPr>
          <w:rFonts w:hint="eastAsia"/>
          <w:szCs w:val="21"/>
          <w:lang w:val="en-US" w:eastAsia="zh-CN"/>
        </w:rPr>
        <w:t>10</w:t>
      </w:r>
      <w:r>
        <w:rPr>
          <w:rFonts w:hint="eastAsia"/>
          <w:szCs w:val="21"/>
        </w:rPr>
        <w:t>）商务要求偏离表</w:t>
      </w:r>
    </w:p>
    <w:p>
      <w:pPr>
        <w:ind w:firstLine="840" w:firstLineChars="400"/>
        <w:rPr>
          <w:szCs w:val="21"/>
        </w:rPr>
      </w:pPr>
      <w:r>
        <w:rPr>
          <w:rFonts w:hint="eastAsia"/>
          <w:szCs w:val="21"/>
        </w:rPr>
        <w:t>（</w:t>
      </w:r>
      <w:r>
        <w:rPr>
          <w:rFonts w:hint="eastAsia"/>
          <w:szCs w:val="21"/>
          <w:lang w:val="en-US" w:eastAsia="zh-CN"/>
        </w:rPr>
        <w:t>11</w:t>
      </w:r>
      <w:r>
        <w:rPr>
          <w:rFonts w:hint="eastAsia"/>
          <w:szCs w:val="21"/>
        </w:rPr>
        <w:t>）</w:t>
      </w:r>
      <w:r>
        <w:rPr>
          <w:rFonts w:hint="eastAsia" w:ascii="宋体" w:hAnsi="宋体"/>
          <w:sz w:val="20"/>
          <w:szCs w:val="20"/>
        </w:rPr>
        <w:t>技术保障措施</w:t>
      </w:r>
    </w:p>
    <w:p>
      <w:pPr>
        <w:ind w:firstLine="840" w:firstLineChars="400"/>
        <w:rPr>
          <w:rFonts w:hint="eastAsia"/>
          <w:szCs w:val="21"/>
          <w:lang w:val="en-US" w:eastAsia="zh-CN"/>
        </w:rPr>
      </w:pPr>
      <w:r>
        <w:rPr>
          <w:rFonts w:hint="eastAsia"/>
          <w:szCs w:val="21"/>
        </w:rPr>
        <w:t>（</w:t>
      </w:r>
      <w:r>
        <w:rPr>
          <w:rFonts w:hint="eastAsia"/>
          <w:szCs w:val="21"/>
          <w:lang w:val="en-US" w:eastAsia="zh-CN"/>
        </w:rPr>
        <w:t>12</w:t>
      </w:r>
      <w:r>
        <w:rPr>
          <w:rFonts w:hint="eastAsia"/>
          <w:szCs w:val="21"/>
        </w:rPr>
        <w:t>）</w:t>
      </w:r>
      <w:r>
        <w:rPr>
          <w:rFonts w:hint="eastAsia"/>
          <w:szCs w:val="21"/>
          <w:lang w:val="en-US" w:eastAsia="zh-CN"/>
        </w:rPr>
        <w:t>团队实力</w:t>
      </w:r>
    </w:p>
    <w:p>
      <w:pPr>
        <w:ind w:firstLine="840" w:firstLineChars="400"/>
        <w:rPr>
          <w:rFonts w:hint="eastAsia"/>
          <w:szCs w:val="21"/>
          <w:lang w:val="en-US" w:eastAsia="zh-CN"/>
        </w:rPr>
      </w:pPr>
      <w:r>
        <w:rPr>
          <w:rFonts w:hint="eastAsia"/>
          <w:szCs w:val="21"/>
          <w:lang w:eastAsia="zh-CN"/>
        </w:rPr>
        <w:t>（</w:t>
      </w:r>
      <w:r>
        <w:rPr>
          <w:rFonts w:hint="eastAsia"/>
          <w:szCs w:val="21"/>
          <w:lang w:val="en-US" w:eastAsia="zh-CN"/>
        </w:rPr>
        <w:t>13</w:t>
      </w:r>
      <w:r>
        <w:rPr>
          <w:rFonts w:hint="eastAsia"/>
          <w:szCs w:val="21"/>
          <w:lang w:eastAsia="zh-CN"/>
        </w:rPr>
        <w:t>）</w:t>
      </w:r>
      <w:r>
        <w:rPr>
          <w:rFonts w:hint="eastAsia" w:ascii="宋体" w:hAnsi="宋体" w:cs="宋体"/>
          <w:sz w:val="20"/>
          <w:szCs w:val="20"/>
        </w:rPr>
        <w:t>供应商同类业绩</w:t>
      </w:r>
    </w:p>
    <w:p>
      <w:pPr>
        <w:ind w:firstLine="840" w:firstLineChars="400"/>
        <w:rPr>
          <w:rFonts w:ascii="仿宋_GB2312" w:eastAsia="仿宋_GB2312"/>
          <w:sz w:val="24"/>
        </w:rPr>
      </w:pPr>
      <w:r>
        <w:rPr>
          <w:rFonts w:hint="eastAsia"/>
          <w:szCs w:val="21"/>
        </w:rPr>
        <w:t>（</w:t>
      </w:r>
      <w:r>
        <w:rPr>
          <w:rFonts w:hint="eastAsia"/>
          <w:szCs w:val="21"/>
          <w:lang w:val="en-US" w:eastAsia="zh-CN"/>
        </w:rPr>
        <w:t>14</w:t>
      </w:r>
      <w:r>
        <w:rPr>
          <w:rFonts w:hint="eastAsia"/>
          <w:szCs w:val="21"/>
        </w:rPr>
        <w:t>）投标人认为需要加以说明的其他内容</w:t>
      </w:r>
    </w:p>
    <w:p>
      <w:pPr>
        <w:ind w:firstLine="426" w:firstLineChars="202"/>
        <w:rPr>
          <w:rFonts w:ascii="宋体" w:hAnsi="宋体"/>
          <w:b/>
          <w:szCs w:val="21"/>
        </w:rPr>
      </w:pPr>
    </w:p>
    <w:p>
      <w:pPr>
        <w:ind w:firstLine="426" w:firstLineChars="202"/>
        <w:rPr>
          <w:rFonts w:ascii="宋体" w:hAnsi="宋体"/>
          <w:b/>
          <w:szCs w:val="21"/>
        </w:rPr>
      </w:pPr>
      <w:r>
        <w:rPr>
          <w:rFonts w:hint="eastAsia" w:ascii="宋体" w:hAnsi="宋体"/>
          <w:b/>
          <w:szCs w:val="21"/>
        </w:rPr>
        <w:t>备注：1.本项目为网上电子投标项目，投标文件不需法人或授权委托人另行签字，无需加盖单位公章，招标文件专用条款另有规定的除外。</w:t>
      </w:r>
    </w:p>
    <w:p>
      <w:pPr>
        <w:ind w:firstLine="426" w:firstLineChars="202"/>
        <w:rPr>
          <w:rFonts w:ascii="宋体" w:hAnsi="宋体"/>
          <w:b/>
          <w:szCs w:val="21"/>
        </w:rPr>
      </w:pPr>
      <w:r>
        <w:rPr>
          <w:rFonts w:hint="eastAsia" w:ascii="宋体" w:hAnsi="宋体"/>
          <w:b/>
          <w:szCs w:val="21"/>
        </w:rPr>
        <w:t>2.关于填写“开标一览表”的说明：“开标一览表”中除“投标报价”外，其他信息不作评审依据。</w:t>
      </w:r>
    </w:p>
    <w:p>
      <w:pPr>
        <w:jc w:val="left"/>
        <w:rPr>
          <w:rFonts w:ascii="宋体" w:hAnsi="宋体"/>
          <w:b/>
          <w:color w:val="FF0000"/>
          <w:sz w:val="36"/>
          <w:szCs w:val="36"/>
        </w:rPr>
      </w:pPr>
      <w:r>
        <w:rPr>
          <w:rFonts w:hint="eastAsia" w:ascii="宋体" w:hAnsi="宋体"/>
          <w:b/>
          <w:color w:val="FF0000"/>
          <w:sz w:val="36"/>
          <w:szCs w:val="36"/>
        </w:rPr>
        <w:br w:type="page"/>
      </w:r>
    </w:p>
    <w:p>
      <w:pPr>
        <w:outlineLvl w:val="1"/>
        <w:rPr>
          <w:rFonts w:ascii="宋体" w:hAnsi="宋体"/>
          <w:b/>
          <w:color w:val="FF0000"/>
          <w:sz w:val="28"/>
          <w:szCs w:val="28"/>
        </w:rPr>
      </w:pPr>
      <w:r>
        <w:rPr>
          <w:rFonts w:hint="eastAsia" w:ascii="宋体" w:hAnsi="宋体"/>
          <w:b/>
          <w:color w:val="FF0000"/>
          <w:sz w:val="28"/>
          <w:szCs w:val="28"/>
        </w:rPr>
        <w:t>投标文件</w:t>
      </w:r>
    </w:p>
    <w:p>
      <w:pPr>
        <w:pStyle w:val="3"/>
        <w:jc w:val="center"/>
        <w:rPr>
          <w:rFonts w:ascii="黑体" w:eastAsia="黑体"/>
          <w:b w:val="0"/>
          <w:kern w:val="0"/>
          <w:sz w:val="24"/>
        </w:rPr>
      </w:pPr>
      <w:r>
        <w:rPr>
          <w:rFonts w:hint="eastAsia" w:ascii="黑体" w:eastAsia="黑体"/>
          <w:b w:val="0"/>
          <w:kern w:val="0"/>
          <w:sz w:val="24"/>
        </w:rPr>
        <w:t>一、投标函</w:t>
      </w:r>
    </w:p>
    <w:p>
      <w:pPr>
        <w:spacing w:line="360" w:lineRule="auto"/>
        <w:rPr>
          <w:rFonts w:ascii="宋体" w:hAnsi="宋体"/>
          <w:color w:val="000000" w:themeColor="text1"/>
          <w:szCs w:val="21"/>
          <w14:textFill>
            <w14:solidFill>
              <w14:schemeClr w14:val="tx1"/>
            </w14:solidFill>
          </w14:textFill>
        </w:rPr>
      </w:pPr>
      <w:r>
        <w:rPr>
          <w:rFonts w:hint="eastAsia" w:ascii="宋体" w:hAnsi="宋体"/>
          <w:szCs w:val="21"/>
        </w:rPr>
        <w:t>致：</w:t>
      </w:r>
      <w:r>
        <w:rPr>
          <w:rFonts w:hint="eastAsia" w:ascii="宋体" w:hAnsi="宋体"/>
          <w:color w:val="000000" w:themeColor="text1"/>
          <w:szCs w:val="21"/>
          <w:highlight w:val="cyan"/>
          <w:u w:val="single"/>
          <w14:textFill>
            <w14:solidFill>
              <w14:schemeClr w14:val="tx1"/>
            </w14:solidFill>
          </w14:textFill>
        </w:rPr>
        <w:t>深圳公共资源交易中心（深圳交易集团有限公司政府采购业务分公司）</w:t>
      </w:r>
    </w:p>
    <w:p>
      <w:pPr>
        <w:ind w:firstLine="420" w:firstLineChars="200"/>
        <w:rPr>
          <w:rFonts w:ascii="宋体" w:hAnsi="宋体"/>
          <w:szCs w:val="21"/>
        </w:rPr>
      </w:pPr>
      <w:bookmarkStart w:id="39" w:name="_Hlk73818812"/>
      <w:r>
        <w:rPr>
          <w:rFonts w:hint="eastAsia"/>
          <w:szCs w:val="21"/>
        </w:rPr>
        <w:t>1、根据已收到贵单位的项目编号为</w:t>
      </w:r>
      <w:r>
        <w:rPr>
          <w:szCs w:val="21"/>
          <w:u w:val="single"/>
        </w:rPr>
        <w:t xml:space="preserve">   </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u w:val="single"/>
          <w:lang w:bidi="ar"/>
        </w:rPr>
        <w:t xml:space="preserve">      （项目名称）</w:t>
      </w:r>
      <w:r>
        <w:rPr>
          <w:szCs w:val="21"/>
          <w:u w:val="single"/>
          <w:lang w:bidi="ar"/>
        </w:rPr>
        <w:t xml:space="preserve"> </w:t>
      </w:r>
      <w:r>
        <w:rPr>
          <w:rFonts w:hint="eastAsia"/>
          <w:szCs w:val="21"/>
          <w:u w:val="single"/>
          <w:lang w:bidi="ar"/>
        </w:rPr>
        <w:t xml:space="preserve">         </w:t>
      </w:r>
      <w:r>
        <w:rPr>
          <w:rFonts w:hint="eastAsia"/>
          <w:szCs w:val="21"/>
        </w:rPr>
        <w:t>项目的招标文件，遵照《深圳经济特区政府采购条例》和《深圳网上政府采购管理暂行办法》等有关规定，我单位经研究上述招标文件的专用条款及通用条款后，</w:t>
      </w:r>
      <w:bookmarkStart w:id="40" w:name="_Hlk72263588"/>
      <w:r>
        <w:rPr>
          <w:rFonts w:hint="eastAsia"/>
          <w:szCs w:val="21"/>
        </w:rPr>
        <w:t>愿意按照招标文件要求承包上述项目并修补其任何缺陷。</w:t>
      </w:r>
      <w:bookmarkEnd w:id="40"/>
    </w:p>
    <w:p>
      <w:pPr>
        <w:ind w:firstLine="420" w:firstLineChars="200"/>
        <w:rPr>
          <w:rFonts w:ascii="宋体" w:hAnsi="宋体"/>
          <w:szCs w:val="21"/>
        </w:rPr>
      </w:pPr>
      <w:r>
        <w:rPr>
          <w:rFonts w:ascii="宋体" w:hAnsi="宋体"/>
          <w:szCs w:val="21"/>
        </w:rPr>
        <w:t>2</w:t>
      </w:r>
      <w:r>
        <w:rPr>
          <w:rFonts w:hint="eastAsia" w:ascii="宋体" w:hAnsi="宋体"/>
          <w:szCs w:val="21"/>
        </w:rPr>
        <w:t>、投标价格见</w:t>
      </w:r>
      <w:r>
        <w:rPr>
          <w:rFonts w:hint="eastAsia"/>
          <w:szCs w:val="21"/>
        </w:rPr>
        <w:t>投标书编制软件中《开标一览表》中填写的投标报价。</w:t>
      </w:r>
    </w:p>
    <w:p>
      <w:pPr>
        <w:ind w:firstLine="420" w:firstLineChars="200"/>
        <w:rPr>
          <w:rFonts w:ascii="宋体" w:hAnsi="宋体"/>
          <w:szCs w:val="21"/>
        </w:rPr>
      </w:pPr>
      <w:r>
        <w:rPr>
          <w:rFonts w:hint="eastAsia" w:ascii="宋体" w:hAnsi="宋体"/>
          <w:szCs w:val="21"/>
        </w:rPr>
        <w:t>3、如果我单位中标，我单位将按照招标文件的要求提交履约担保。</w:t>
      </w:r>
    </w:p>
    <w:p>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pPr>
        <w:ind w:left="525" w:leftChars="200" w:hanging="105" w:hangingChars="50"/>
        <w:rPr>
          <w:rFonts w:ascii="宋体" w:hAnsi="宋体"/>
          <w:szCs w:val="21"/>
        </w:rPr>
      </w:pPr>
      <w:r>
        <w:rPr>
          <w:rFonts w:hint="eastAsia" w:ascii="宋体" w:hAnsi="宋体"/>
          <w:szCs w:val="21"/>
        </w:rPr>
        <w:t>6、我单位理解贵单位将不受必须接受所收到的最低报价或其它任何投标文件的约束。</w:t>
      </w:r>
      <w:bookmarkEnd w:id="39"/>
    </w:p>
    <w:p>
      <w:pPr>
        <w:ind w:firstLine="420" w:firstLineChars="200"/>
        <w:rPr>
          <w:rFonts w:ascii="宋体" w:hAnsi="宋体"/>
          <w:szCs w:val="21"/>
        </w:rPr>
      </w:pPr>
      <w:r>
        <w:rPr>
          <w:rFonts w:hint="eastAsia" w:ascii="宋体" w:hAnsi="宋体"/>
          <w:szCs w:val="21"/>
        </w:rPr>
        <w:t>7、如我单位按项目要求提供样品，且未在规定时间内取回样品的，视同放弃取回，同意深圳公共资源交易中心（深圳交易集团有限公司政府采购业务分公司）对样品进行清理。</w:t>
      </w:r>
    </w:p>
    <w:p>
      <w:pPr>
        <w:pStyle w:val="18"/>
      </w:pPr>
    </w:p>
    <w:p>
      <w:pPr>
        <w:ind w:left="420" w:leftChars="200" w:firstLine="210" w:firstLineChars="100"/>
        <w:rPr>
          <w:szCs w:val="21"/>
        </w:rPr>
      </w:pPr>
      <w:r>
        <w:rPr>
          <w:rFonts w:hint="eastAsia" w:cs="宋体"/>
          <w:szCs w:val="21"/>
          <w:lang w:bidi="ar"/>
        </w:rPr>
        <w:t>投标人：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；单位地址：</w:t>
      </w:r>
      <w:r>
        <w:rPr>
          <w:szCs w:val="21"/>
          <w:u w:val="single"/>
          <w:lang w:bidi="ar"/>
        </w:rPr>
        <w:t xml:space="preserve">                    </w:t>
      </w:r>
      <w:r>
        <w:rPr>
          <w:rFonts w:hint="eastAsia" w:cs="宋体"/>
          <w:szCs w:val="21"/>
          <w:lang w:bidi="ar"/>
        </w:rPr>
        <w:t>；</w:t>
      </w:r>
    </w:p>
    <w:p>
      <w:pPr>
        <w:ind w:left="420" w:leftChars="200" w:firstLine="210" w:firstLineChars="100"/>
        <w:rPr>
          <w:szCs w:val="21"/>
        </w:rPr>
      </w:pPr>
      <w:r>
        <w:rPr>
          <w:rFonts w:hint="eastAsia" w:cs="宋体"/>
          <w:szCs w:val="21"/>
          <w:lang w:bidi="ar"/>
        </w:rPr>
        <w:t>法定代表人（负责人）或其授权委托代理人：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w:t>
      </w:r>
    </w:p>
    <w:p>
      <w:pPr>
        <w:ind w:left="420" w:leftChars="200" w:firstLine="210" w:firstLineChars="100"/>
        <w:rPr>
          <w:szCs w:val="21"/>
        </w:rPr>
      </w:pPr>
      <w:r>
        <w:rPr>
          <w:rFonts w:hint="eastAsia" w:cs="宋体"/>
          <w:szCs w:val="21"/>
          <w:lang w:bidi="ar"/>
        </w:rPr>
        <w:t>电话：</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szCs w:val="21"/>
          <w:u w:val="single"/>
          <w:lang w:bidi="ar"/>
        </w:rPr>
        <w:t xml:space="preserve">      </w:t>
      </w:r>
      <w:r>
        <w:rPr>
          <w:szCs w:val="21"/>
          <w:u w:val="single"/>
          <w:lang w:bidi="ar"/>
        </w:rPr>
        <w:t xml:space="preserve">   </w:t>
      </w:r>
      <w:r>
        <w:rPr>
          <w:szCs w:val="21"/>
          <w:lang w:bidi="ar"/>
        </w:rPr>
        <w:t xml:space="preserve"> </w:t>
      </w:r>
    </w:p>
    <w:p>
      <w:pPr>
        <w:widowControl/>
        <w:ind w:firstLine="630" w:firstLineChars="300"/>
        <w:jc w:val="left"/>
      </w:pPr>
      <w:r>
        <w:rPr>
          <w:rFonts w:hint="eastAsia" w:ascii="宋体" w:hAnsi="宋体"/>
          <w:szCs w:val="21"/>
          <w:lang w:bidi="ar"/>
        </w:rPr>
        <w:t>日期：</w:t>
      </w:r>
      <w:r>
        <w:rPr>
          <w:rFonts w:hint="eastAsia" w:ascii="宋体" w:hAnsi="宋体"/>
          <w:szCs w:val="21"/>
          <w:u w:val="single"/>
          <w:lang w:bidi="ar"/>
        </w:rPr>
        <w:t xml:space="preserve">       </w:t>
      </w:r>
      <w:r>
        <w:rPr>
          <w:rFonts w:hint="eastAsia" w:ascii="宋体" w:hAnsi="宋体"/>
          <w:szCs w:val="21"/>
          <w:lang w:bidi="ar"/>
        </w:rPr>
        <w:t>年</w:t>
      </w:r>
      <w:r>
        <w:rPr>
          <w:rFonts w:hint="eastAsia" w:ascii="宋体" w:hAnsi="宋体"/>
          <w:szCs w:val="21"/>
          <w:u w:val="single"/>
          <w:lang w:bidi="ar"/>
        </w:rPr>
        <w:t xml:space="preserve">     </w:t>
      </w:r>
      <w:r>
        <w:rPr>
          <w:rFonts w:hint="eastAsia" w:ascii="宋体" w:hAnsi="宋体"/>
          <w:szCs w:val="21"/>
          <w:lang w:bidi="ar"/>
        </w:rPr>
        <w:t>月</w:t>
      </w:r>
      <w:r>
        <w:rPr>
          <w:rFonts w:hint="eastAsia" w:ascii="宋体" w:hAnsi="宋体"/>
          <w:szCs w:val="21"/>
          <w:u w:val="single"/>
          <w:lang w:bidi="ar"/>
        </w:rPr>
        <w:t xml:space="preserve">    </w:t>
      </w:r>
      <w:r>
        <w:rPr>
          <w:rFonts w:hint="eastAsia" w:ascii="宋体" w:hAnsi="宋体"/>
          <w:szCs w:val="21"/>
          <w:lang w:bidi="ar"/>
        </w:rPr>
        <w:t>日</w:t>
      </w:r>
    </w:p>
    <w:p>
      <w:pPr>
        <w:rPr>
          <w:rFonts w:ascii="黑体" w:hAnsi="宋体" w:eastAsia="黑体"/>
        </w:rPr>
      </w:pPr>
    </w:p>
    <w:p>
      <w:pPr>
        <w:rPr>
          <w:rFonts w:ascii="黑体" w:hAnsi="宋体" w:eastAsia="黑体"/>
        </w:rPr>
      </w:pPr>
    </w:p>
    <w:p>
      <w:pPr>
        <w:widowControl/>
        <w:jc w:val="left"/>
        <w:rPr>
          <w:rFonts w:ascii="黑体" w:hAnsi="宋体" w:eastAsia="黑体"/>
          <w:bCs/>
          <w:kern w:val="0"/>
          <w:sz w:val="24"/>
          <w:szCs w:val="32"/>
        </w:rPr>
      </w:pPr>
      <w:r>
        <w:rPr>
          <w:rFonts w:ascii="黑体" w:eastAsia="黑体"/>
          <w:b/>
          <w:kern w:val="0"/>
          <w:sz w:val="24"/>
        </w:rPr>
        <w:br w:type="page"/>
      </w:r>
    </w:p>
    <w:p>
      <w:pPr>
        <w:pStyle w:val="3"/>
        <w:jc w:val="center"/>
        <w:rPr>
          <w:rFonts w:ascii="黑体" w:eastAsia="黑体"/>
          <w:b w:val="0"/>
          <w:kern w:val="0"/>
          <w:sz w:val="24"/>
        </w:rPr>
      </w:pPr>
      <w:r>
        <w:rPr>
          <w:rFonts w:hint="eastAsia" w:ascii="黑体" w:eastAsia="黑体"/>
          <w:b w:val="0"/>
          <w:kern w:val="0"/>
          <w:sz w:val="24"/>
        </w:rPr>
        <w:t>二、采购投标及履约承诺函</w:t>
      </w:r>
    </w:p>
    <w:p>
      <w:pPr>
        <w:rPr>
          <w:rFonts w:ascii="宋体" w:hAnsi="宋体" w:cs="宋体"/>
          <w:color w:val="FF0000"/>
          <w:szCs w:val="21"/>
        </w:rPr>
      </w:pPr>
      <w:r>
        <w:rPr>
          <w:rFonts w:hint="eastAsia" w:ascii="宋体" w:hAnsi="宋体" w:cs="宋体"/>
          <w:color w:val="FF0000"/>
          <w:szCs w:val="21"/>
          <w:lang w:bidi="ar"/>
        </w:rPr>
        <w:t>致：</w:t>
      </w:r>
      <w:r>
        <w:rPr>
          <w:rFonts w:hint="eastAsia" w:ascii="宋体" w:hAnsi="宋体" w:cs="宋体"/>
          <w:color w:val="FF0000"/>
          <w:szCs w:val="21"/>
          <w:highlight w:val="cyan"/>
          <w:lang w:bidi="ar"/>
        </w:rPr>
        <w:t>深圳公共资源交易中心（深圳交易集团有限公司政府采购业务分公司）</w:t>
      </w:r>
    </w:p>
    <w:p>
      <w:pPr>
        <w:ind w:right="-815" w:firstLine="420" w:firstLineChars="200"/>
        <w:rPr>
          <w:rFonts w:ascii="宋体" w:hAnsi="宋体" w:cs="宋体"/>
          <w:szCs w:val="21"/>
        </w:rPr>
      </w:pPr>
      <w:r>
        <w:rPr>
          <w:rFonts w:hint="eastAsia" w:ascii="宋体" w:hAnsi="宋体" w:cs="宋体"/>
          <w:szCs w:val="21"/>
          <w:lang w:bidi="ar"/>
        </w:rPr>
        <w:t>我单位承诺：</w:t>
      </w:r>
    </w:p>
    <w:p>
      <w:pPr>
        <w:ind w:firstLine="420" w:firstLineChars="200"/>
        <w:rPr>
          <w:rFonts w:ascii="宋体" w:hAnsi="宋体" w:cs="宋体"/>
          <w:szCs w:val="21"/>
        </w:rPr>
      </w:pPr>
      <w:r>
        <w:rPr>
          <w:rFonts w:hint="eastAsia" w:ascii="宋体" w:hAnsi="宋体" w:cs="宋体"/>
          <w:szCs w:val="21"/>
          <w:lang w:bidi="ar"/>
        </w:rPr>
        <w:t>1.我单位参与本项目</w:t>
      </w:r>
      <w:r>
        <w:rPr>
          <w:rFonts w:hint="eastAsia" w:ascii="宋体" w:hAnsi="宋体" w:cs="宋体"/>
          <w:lang w:bidi="ar"/>
        </w:rPr>
        <w:t>所投标（响应）的货物、工程或服务，不存在侵犯知识产权的情况。</w:t>
      </w:r>
    </w:p>
    <w:p>
      <w:pPr>
        <w:ind w:firstLine="420" w:firstLineChars="200"/>
        <w:rPr>
          <w:rFonts w:ascii="宋体" w:hAnsi="宋体" w:cs="宋体"/>
          <w:szCs w:val="21"/>
        </w:rPr>
      </w:pPr>
      <w:r>
        <w:rPr>
          <w:rFonts w:hint="eastAsia" w:ascii="宋体" w:hAnsi="宋体" w:cs="宋体"/>
          <w:szCs w:val="21"/>
          <w:lang w:bidi="ar"/>
        </w:rPr>
        <w:t>2.我单位</w:t>
      </w:r>
      <w:r>
        <w:rPr>
          <w:rFonts w:hint="eastAsia" w:ascii="宋体" w:hAnsi="宋体" w:cs="宋体"/>
          <w:kern w:val="0"/>
          <w:szCs w:val="21"/>
        </w:rPr>
        <w:t>参与本项目采购活动时</w:t>
      </w:r>
      <w:r>
        <w:rPr>
          <w:rFonts w:hint="eastAsia" w:cs="宋体"/>
          <w:lang w:bidi="ar"/>
        </w:rPr>
        <w:t>不存在被有关部门禁止参与政府采购活动且在有效期内的情况。</w:t>
      </w:r>
      <w:r>
        <w:rPr>
          <w:rFonts w:hint="eastAsia"/>
          <w:highlight w:val="cyan"/>
        </w:rPr>
        <w:t>符合招标文件关于联合体及进口产品的相关资格要求。</w:t>
      </w:r>
    </w:p>
    <w:p>
      <w:pPr>
        <w:ind w:firstLine="420" w:firstLineChars="200"/>
        <w:rPr>
          <w:rFonts w:ascii="宋体" w:hAnsi="宋体" w:cs="宋体"/>
          <w:szCs w:val="21"/>
        </w:rPr>
      </w:pPr>
      <w:r>
        <w:rPr>
          <w:rFonts w:hint="eastAsia" w:ascii="宋体" w:hAnsi="宋体" w:cs="宋体"/>
          <w:szCs w:val="21"/>
          <w:lang w:bidi="ar"/>
        </w:rPr>
        <w:t>3.我单位具备《中华人民共和国政府采购法》第二十二条第一款规定的六项条件。</w:t>
      </w:r>
    </w:p>
    <w:p>
      <w:pPr>
        <w:ind w:firstLine="420" w:firstLineChars="200"/>
      </w:pPr>
      <w:r>
        <w:rPr>
          <w:rFonts w:hint="eastAsia" w:ascii="宋体" w:hAnsi="宋体" w:cs="宋体"/>
          <w:szCs w:val="21"/>
          <w:lang w:bidi="ar"/>
        </w:rPr>
        <w:t>4.我单位</w:t>
      </w:r>
      <w:r>
        <w:rPr>
          <w:rFonts w:hint="eastAsia" w:cs="宋体"/>
          <w:lang w:bidi="ar"/>
        </w:rPr>
        <w:t>未被列入失信被执行人、重大税收违法案件当事人名单、政府采购严重违法失信行为记录名单。</w:t>
      </w:r>
    </w:p>
    <w:p>
      <w:pPr>
        <w:ind w:firstLine="420" w:firstLineChars="200"/>
      </w:pPr>
      <w:r>
        <w:rPr>
          <w:color w:val="FF0000"/>
          <w:lang w:bidi="ar"/>
        </w:rPr>
        <w:t>5.</w:t>
      </w:r>
      <w:r>
        <w:rPr>
          <w:rFonts w:hint="eastAsia" w:cs="宋体"/>
          <w:color w:val="FF0000"/>
          <w:lang w:bidi="ar"/>
        </w:rPr>
        <w:t>我单位不存在《深圳市财政局政府采购供应商信用信息管理办法》（深财规〔</w:t>
      </w:r>
      <w:r>
        <w:rPr>
          <w:color w:val="FF0000"/>
          <w:lang w:bidi="ar"/>
        </w:rPr>
        <w:t>2023</w:t>
      </w:r>
      <w:r>
        <w:rPr>
          <w:rFonts w:hint="eastAsia" w:cs="宋体"/>
          <w:color w:val="FF0000"/>
          <w:lang w:bidi="ar"/>
        </w:rPr>
        <w:t>〕</w:t>
      </w:r>
      <w:r>
        <w:rPr>
          <w:color w:val="FF0000"/>
          <w:lang w:bidi="ar"/>
        </w:rPr>
        <w:t>3</w:t>
      </w:r>
      <w:r>
        <w:rPr>
          <w:rFonts w:hint="eastAsia" w:cs="宋体"/>
          <w:color w:val="FF0000"/>
          <w:lang w:bidi="ar"/>
        </w:rPr>
        <w:t>号）列明的严重违法失信行为。</w:t>
      </w:r>
    </w:p>
    <w:p>
      <w:pPr>
        <w:ind w:firstLine="420" w:firstLineChars="200"/>
        <w:rPr>
          <w:rFonts w:ascii="宋体" w:hAnsi="宋体" w:cs="宋体"/>
          <w:szCs w:val="21"/>
        </w:rPr>
      </w:pPr>
      <w:r>
        <w:rPr>
          <w:rFonts w:hint="eastAsia" w:ascii="宋体" w:hAnsi="宋体" w:cs="宋体"/>
          <w:szCs w:val="21"/>
          <w:lang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20" w:firstLineChars="200"/>
        <w:rPr>
          <w:rFonts w:ascii="宋体" w:hAnsi="宋体" w:cs="宋体"/>
          <w:szCs w:val="21"/>
        </w:rPr>
      </w:pPr>
      <w:r>
        <w:rPr>
          <w:rFonts w:hint="eastAsia" w:ascii="宋体" w:hAnsi="宋体" w:cs="宋体"/>
          <w:szCs w:val="21"/>
          <w:lang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20" w:firstLineChars="200"/>
        <w:rPr>
          <w:rFonts w:ascii="宋体" w:hAnsi="宋体" w:cs="宋体"/>
          <w:szCs w:val="21"/>
        </w:rPr>
      </w:pPr>
      <w:r>
        <w:rPr>
          <w:rFonts w:hint="eastAsia" w:ascii="宋体" w:hAnsi="宋体" w:cs="宋体"/>
          <w:szCs w:val="21"/>
          <w:lang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0" w:firstLineChars="200"/>
        <w:rPr>
          <w:rFonts w:ascii="宋体" w:hAnsi="宋体" w:cs="宋体"/>
          <w:szCs w:val="21"/>
        </w:rPr>
      </w:pPr>
      <w:r>
        <w:rPr>
          <w:rFonts w:hint="eastAsia" w:ascii="宋体" w:hAnsi="宋体" w:cs="宋体"/>
          <w:szCs w:val="21"/>
          <w:lang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0" w:firstLineChars="200"/>
        <w:rPr>
          <w:rFonts w:ascii="宋体" w:hAnsi="宋体" w:cs="宋体"/>
          <w:szCs w:val="21"/>
        </w:rPr>
      </w:pPr>
      <w:r>
        <w:rPr>
          <w:rFonts w:hint="eastAsia" w:ascii="宋体" w:hAnsi="宋体" w:cs="宋体"/>
          <w:szCs w:val="21"/>
          <w:lang w:bidi="ar"/>
        </w:rPr>
        <w:t>9.我单位承诺中标后项目不转包，未经采购人同意不进行分包。</w:t>
      </w:r>
    </w:p>
    <w:p>
      <w:pPr>
        <w:ind w:firstLine="420" w:firstLineChars="200"/>
        <w:rPr>
          <w:rFonts w:ascii="宋体" w:hAnsi="宋体" w:cs="宋体"/>
        </w:rPr>
      </w:pPr>
      <w:r>
        <w:rPr>
          <w:rFonts w:hint="eastAsia" w:ascii="宋体" w:hAnsi="宋体" w:cs="宋体"/>
          <w:szCs w:val="21"/>
          <w:lang w:bidi="ar"/>
        </w:rPr>
        <w:t>10.</w:t>
      </w:r>
      <w:r>
        <w:rPr>
          <w:rFonts w:hint="eastAsia" w:ascii="宋体" w:hAnsi="宋体" w:cs="宋体"/>
          <w:lang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20" w:firstLineChars="200"/>
        <w:rPr>
          <w:rFonts w:ascii="宋体" w:hAnsi="宋体" w:cs="宋体"/>
          <w:b/>
          <w:kern w:val="0"/>
          <w:szCs w:val="21"/>
        </w:rPr>
      </w:pPr>
      <w:r>
        <w:rPr>
          <w:rFonts w:hint="eastAsia" w:ascii="宋体" w:hAnsi="宋体" w:cs="宋体"/>
          <w:lang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hint="eastAsia" w:cs="宋体"/>
          <w:lang w:bidi="ar"/>
        </w:rPr>
        <w:t>《财政部</w:t>
      </w:r>
      <w:r>
        <w:rPr>
          <w:lang w:bidi="ar"/>
        </w:rPr>
        <w:t xml:space="preserve"> </w:t>
      </w:r>
      <w:r>
        <w:rPr>
          <w:rFonts w:hint="eastAsia" w:cs="宋体"/>
          <w:lang w:bidi="ar"/>
        </w:rPr>
        <w:t>生态环境部</w:t>
      </w:r>
      <w:r>
        <w:rPr>
          <w:lang w:bidi="ar"/>
        </w:rPr>
        <w:t xml:space="preserve"> </w:t>
      </w:r>
      <w:r>
        <w:rPr>
          <w:rFonts w:hint="eastAsia" w:cs="宋体"/>
          <w:lang w:bidi="ar"/>
        </w:rPr>
        <w:t>工业和信息化部关于印发</w:t>
      </w:r>
      <w:r>
        <w:rPr>
          <w:lang w:bidi="ar"/>
        </w:rPr>
        <w:t>&lt;</w:t>
      </w:r>
      <w:r>
        <w:rPr>
          <w:rFonts w:hint="eastAsia" w:cs="宋体"/>
          <w:lang w:bidi="ar"/>
        </w:rPr>
        <w:t>绿色数据中心政府采购需求标准（试行）</w:t>
      </w:r>
      <w:r>
        <w:rPr>
          <w:lang w:bidi="ar"/>
        </w:rPr>
        <w:t>&gt;</w:t>
      </w:r>
      <w:r>
        <w:rPr>
          <w:rFonts w:hint="eastAsia" w:cs="宋体"/>
          <w:lang w:bidi="ar"/>
        </w:rPr>
        <w:t>的通知》（财库〔</w:t>
      </w:r>
      <w:r>
        <w:rPr>
          <w:lang w:bidi="ar"/>
        </w:rPr>
        <w:t>2023</w:t>
      </w:r>
      <w:r>
        <w:rPr>
          <w:rFonts w:hint="eastAsia" w:cs="宋体"/>
          <w:lang w:bidi="ar"/>
        </w:rPr>
        <w:t>〕</w:t>
      </w:r>
      <w:r>
        <w:rPr>
          <w:lang w:bidi="ar"/>
        </w:rPr>
        <w:t>7</w:t>
      </w:r>
      <w:r>
        <w:rPr>
          <w:rFonts w:hint="eastAsia" w:cs="宋体"/>
          <w:lang w:bidi="ar"/>
        </w:rPr>
        <w:t>号）要求。若所投产品涉及国家强制性标准的，所投产品应符合国家强制性标准相关要求。</w:t>
      </w:r>
    </w:p>
    <w:p>
      <w:pPr>
        <w:ind w:firstLine="420" w:firstLineChars="200"/>
        <w:rPr>
          <w:rFonts w:ascii="宋体" w:hAnsi="宋体" w:cs="宋体"/>
          <w:bCs/>
        </w:rPr>
      </w:pPr>
      <w:r>
        <w:rPr>
          <w:rFonts w:hint="eastAsia" w:ascii="宋体" w:hAnsi="宋体" w:cs="宋体"/>
          <w:bCs/>
          <w:kern w:val="0"/>
          <w:szCs w:val="21"/>
          <w:lang w:bidi="ar"/>
        </w:rPr>
        <w:t>12.</w:t>
      </w:r>
      <w:r>
        <w:rPr>
          <w:rFonts w:hint="eastAsia" w:ascii="宋体" w:hAnsi="宋体" w:cs="宋体"/>
          <w:bCs/>
          <w:lang w:bidi="ar"/>
        </w:rPr>
        <w:t>我单位已知悉并同意中标（成交）结果信息公示（公开）的内容。</w:t>
      </w:r>
    </w:p>
    <w:p>
      <w:pPr>
        <w:ind w:firstLine="420" w:firstLineChars="200"/>
        <w:rPr>
          <w:rFonts w:ascii="宋体" w:hAnsi="宋体" w:cs="宋体"/>
          <w:bCs/>
        </w:rPr>
      </w:pPr>
      <w:r>
        <w:rPr>
          <w:rFonts w:hint="eastAsia" w:ascii="宋体" w:hAnsi="宋体" w:cs="宋体"/>
          <w:bCs/>
          <w:lang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ind w:firstLine="422" w:firstLineChars="200"/>
        <w:rPr>
          <w:rFonts w:ascii="宋体" w:hAnsi="宋体" w:cs="宋体"/>
          <w:b/>
        </w:rPr>
      </w:pPr>
      <w:r>
        <w:rPr>
          <w:rFonts w:hint="eastAsia" w:ascii="宋体" w:hAnsi="宋体" w:cs="宋体"/>
          <w:b/>
          <w:lang w:bidi="ar"/>
        </w:rPr>
        <w:t>14.我单位清楚，如存在违反投标承诺行为情节严重的，将根据《深圳市财政局关于印发&lt;深圳市财政局政府采购供应商信用信息管理办法&gt;的通知》，依法被列入失信信息。</w:t>
      </w:r>
    </w:p>
    <w:p>
      <w:pPr>
        <w:ind w:firstLine="420" w:firstLineChars="200"/>
        <w:rPr>
          <w:rFonts w:ascii="宋体" w:hAnsi="宋体" w:cs="宋体"/>
          <w:bCs/>
        </w:rPr>
      </w:pPr>
      <w:r>
        <w:rPr>
          <w:rFonts w:hint="eastAsia" w:ascii="宋体" w:hAnsi="宋体" w:cs="宋体"/>
          <w:bCs/>
          <w:lang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ind w:firstLine="420" w:firstLineChars="200"/>
        <w:rPr>
          <w:rFonts w:ascii="宋体" w:hAnsi="宋体" w:cs="宋体"/>
          <w:szCs w:val="21"/>
        </w:rPr>
      </w:pPr>
      <w:r>
        <w:rPr>
          <w:rFonts w:hint="eastAsia" w:ascii="宋体" w:hAnsi="宋体" w:cs="宋体"/>
          <w:szCs w:val="21"/>
          <w:lang w:bidi="ar"/>
        </w:rPr>
        <w:t>以上承诺，如有违反，愿依照国家相关法律法规处理，并承担由此给采购人带来的损失。</w:t>
      </w:r>
    </w:p>
    <w:p>
      <w:pPr>
        <w:spacing w:before="78" w:beforeLines="25" w:after="78" w:afterLines="25"/>
        <w:ind w:firstLine="5460" w:firstLineChars="2600"/>
        <w:rPr>
          <w:color w:val="FF0000"/>
          <w:szCs w:val="21"/>
          <w:u w:val="single"/>
          <w:lang w:bidi="ar"/>
        </w:rPr>
      </w:pPr>
      <w:r>
        <w:rPr>
          <w:rFonts w:hint="eastAsia" w:cs="宋体"/>
          <w:color w:val="FF0000"/>
          <w:szCs w:val="21"/>
          <w:lang w:bidi="ar"/>
        </w:rPr>
        <w:t>投标人：</w:t>
      </w:r>
      <w:r>
        <w:rPr>
          <w:color w:val="FF0000"/>
          <w:szCs w:val="21"/>
          <w:u w:val="single"/>
          <w:lang w:bidi="ar"/>
        </w:rPr>
        <w:t xml:space="preserve">              </w:t>
      </w:r>
    </w:p>
    <w:p>
      <w:pPr>
        <w:spacing w:before="78" w:beforeLines="25" w:after="78" w:afterLines="25"/>
        <w:ind w:firstLine="5460" w:firstLineChars="2600"/>
        <w:rPr>
          <w:rFonts w:ascii="宋体" w:hAnsi="宋体" w:cs="宋体"/>
          <w:color w:val="FF0000"/>
          <w:szCs w:val="21"/>
        </w:rPr>
      </w:pPr>
      <w:r>
        <w:rPr>
          <w:rFonts w:hint="eastAsia" w:ascii="宋体" w:hAnsi="宋体" w:cs="宋体"/>
          <w:color w:val="FF0000"/>
          <w:szCs w:val="21"/>
          <w:lang w:bidi="ar"/>
        </w:rPr>
        <w:t>日期：</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年</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月</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日</w:t>
      </w:r>
    </w:p>
    <w:p/>
    <w:p>
      <w:pPr>
        <w:rPr>
          <w:rFonts w:hint="eastAsia" w:ascii="黑体" w:eastAsia="黑体"/>
          <w:b w:val="0"/>
          <w:kern w:val="0"/>
          <w:sz w:val="24"/>
        </w:rPr>
      </w:pPr>
      <w:r>
        <w:rPr>
          <w:rFonts w:hint="eastAsia" w:ascii="黑体" w:eastAsia="黑体"/>
          <w:b w:val="0"/>
          <w:kern w:val="0"/>
          <w:sz w:val="24"/>
        </w:rPr>
        <w:br w:type="page"/>
      </w:r>
    </w:p>
    <w:p>
      <w:pPr>
        <w:pStyle w:val="3"/>
        <w:spacing w:before="120" w:after="120"/>
        <w:jc w:val="center"/>
        <w:rPr>
          <w:rFonts w:ascii="黑体" w:eastAsia="黑体"/>
          <w:b w:val="0"/>
          <w:kern w:val="0"/>
          <w:sz w:val="24"/>
        </w:rPr>
      </w:pPr>
      <w:r>
        <w:rPr>
          <w:rFonts w:hint="eastAsia" w:ascii="黑体" w:eastAsia="黑体"/>
          <w:b w:val="0"/>
          <w:kern w:val="0"/>
          <w:sz w:val="24"/>
        </w:rPr>
        <w:t>三、投标人情况及资格证明文件</w:t>
      </w:r>
    </w:p>
    <w:p>
      <w:pPr>
        <w:outlineLvl w:val="3"/>
        <w:rPr>
          <w:rFonts w:ascii="黑体" w:hAnsi="宋体" w:eastAsia="黑体"/>
          <w:bCs/>
          <w:kern w:val="0"/>
          <w:sz w:val="24"/>
          <w:szCs w:val="32"/>
        </w:rPr>
      </w:pPr>
      <w:r>
        <w:rPr>
          <w:rFonts w:hint="eastAsia" w:ascii="黑体" w:hAnsi="宋体" w:eastAsia="黑体"/>
          <w:bCs/>
          <w:kern w:val="0"/>
          <w:sz w:val="24"/>
          <w:szCs w:val="32"/>
        </w:rPr>
        <w:t>（一）投标人资格证明文件</w:t>
      </w:r>
    </w:p>
    <w:p>
      <w:pPr>
        <w:spacing w:before="156" w:beforeLines="50"/>
        <w:ind w:firstLine="422" w:firstLineChars="200"/>
        <w:rPr>
          <w:b/>
          <w:bCs/>
          <w:color w:val="FF0000"/>
        </w:rPr>
      </w:pPr>
      <w:r>
        <w:rPr>
          <w:rFonts w:hint="eastAsia"/>
          <w:b/>
          <w:bCs/>
          <w:color w:val="FF0000"/>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pPr>
        <w:widowControl/>
        <w:jc w:val="left"/>
      </w:pPr>
      <w:r>
        <w:br w:type="page"/>
      </w:r>
    </w:p>
    <w:p>
      <w:pPr>
        <w:outlineLvl w:val="3"/>
        <w:rPr>
          <w:rFonts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填写指引：</w:t>
      </w:r>
    </w:p>
    <w:p>
      <w:pPr>
        <w:ind w:firstLine="420" w:firstLineChars="200"/>
        <w:outlineLvl w:val="3"/>
        <w:rPr>
          <w:rFonts w:ascii="黑体" w:hAnsi="黑体" w:eastAsia="黑体"/>
          <w:color w:val="FF0000"/>
          <w:szCs w:val="21"/>
        </w:rPr>
      </w:pPr>
      <w:r>
        <w:rPr>
          <w:rFonts w:hint="eastAsia" w:ascii="黑体" w:hAnsi="宋体" w:eastAsia="黑体"/>
          <w:bCs/>
          <w:color w:val="FF0000"/>
          <w:kern w:val="0"/>
          <w:szCs w:val="21"/>
        </w:rPr>
        <w:t>1、该部分内容由投标人根据自身实际情况填写，不符合要求的投标人可以不填写或直接删除相应的声明函。</w:t>
      </w:r>
      <w:r>
        <w:rPr>
          <w:rFonts w:hint="eastAsia" w:ascii="黑体" w:hAnsi="黑体" w:eastAsia="黑体"/>
          <w:color w:val="FF0000"/>
          <w:szCs w:val="21"/>
        </w:rPr>
        <w:t>投标人提供的声明函不属实的，属于提供虚假资料谋取中标，依照《中华人民共和国政府采购法》等国家有关规定追究相应责任。</w:t>
      </w:r>
    </w:p>
    <w:p>
      <w:pPr>
        <w:ind w:firstLine="420" w:firstLineChars="200"/>
        <w:outlineLvl w:val="3"/>
        <w:rPr>
          <w:rFonts w:ascii="黑体" w:hAnsi="黑体" w:eastAsia="黑体"/>
          <w:color w:val="FF0000"/>
          <w:szCs w:val="21"/>
        </w:rPr>
      </w:pPr>
      <w:r>
        <w:rPr>
          <w:rFonts w:hint="eastAsia" w:ascii="黑体" w:hAnsi="黑体" w:eastAsia="黑体"/>
          <w:color w:val="FF0000"/>
          <w:szCs w:val="21"/>
        </w:rPr>
        <w:t>2、该部分内容填写需要参考的相关文件：</w:t>
      </w:r>
    </w:p>
    <w:p>
      <w:pPr>
        <w:ind w:firstLine="420" w:firstLineChars="200"/>
        <w:outlineLvl w:val="3"/>
        <w:rPr>
          <w:rFonts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1</w:t>
      </w:r>
      <w:r>
        <w:rPr>
          <w:rFonts w:hint="eastAsia" w:ascii="黑体" w:hAnsi="黑体" w:eastAsia="黑体"/>
          <w:color w:val="FF0000"/>
          <w:szCs w:val="21"/>
        </w:rPr>
        <w:t>)财政部《政府采购促进中小企业发展管理办法》（财库〔2020〕46号）</w:t>
      </w:r>
    </w:p>
    <w:p>
      <w:pPr>
        <w:ind w:firstLine="420" w:firstLineChars="200"/>
        <w:outlineLvl w:val="3"/>
        <w:rPr>
          <w:rFonts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2</w:t>
      </w:r>
      <w:r>
        <w:rPr>
          <w:rFonts w:hint="eastAsia" w:ascii="黑体" w:hAnsi="黑体" w:eastAsia="黑体"/>
          <w:color w:val="FF0000"/>
          <w:szCs w:val="21"/>
        </w:rPr>
        <w:t>)</w:t>
      </w:r>
      <w:bookmarkStart w:id="41" w:name="_Hlk71925120"/>
      <w:r>
        <w:rPr>
          <w:rFonts w:hint="eastAsia" w:ascii="黑体" w:hAnsi="黑体" w:eastAsia="黑体"/>
          <w:color w:val="FF0000"/>
          <w:szCs w:val="21"/>
        </w:rPr>
        <w:t>《工业和信息化部、国家统计局、国家发展和改革委员会、财政部关于印发中小企业划型标准规定的通知》（工信部联企业〔2011〕300号</w:t>
      </w:r>
      <w:bookmarkEnd w:id="41"/>
      <w:r>
        <w:rPr>
          <w:rFonts w:hint="eastAsia" w:ascii="黑体" w:hAnsi="黑体" w:eastAsia="黑体"/>
          <w:color w:val="FF0000"/>
          <w:szCs w:val="21"/>
        </w:rPr>
        <w:t>）</w:t>
      </w:r>
    </w:p>
    <w:p>
      <w:pPr>
        <w:ind w:firstLine="420" w:firstLineChars="200"/>
        <w:outlineLvl w:val="3"/>
        <w:rPr>
          <w:rFonts w:ascii="黑体" w:hAnsi="黑体" w:eastAsia="黑体"/>
          <w:color w:val="FF0000"/>
          <w:szCs w:val="21"/>
        </w:rPr>
      </w:pPr>
      <w:r>
        <w:rPr>
          <w:rFonts w:hint="eastAsia" w:ascii="黑体" w:hAnsi="黑体" w:eastAsia="黑体"/>
          <w:color w:val="FF0000"/>
          <w:szCs w:val="21"/>
        </w:rPr>
        <w:t>(3)《统计上大中小微型企业划分办法(2017)》（国统字〔2017〕213号）</w:t>
      </w:r>
    </w:p>
    <w:p>
      <w:pPr>
        <w:ind w:firstLine="420" w:firstLineChars="200"/>
        <w:outlineLvl w:val="3"/>
        <w:rPr>
          <w:rFonts w:ascii="黑体" w:hAnsi="黑体" w:eastAsia="黑体"/>
          <w:color w:val="FF0000"/>
          <w:szCs w:val="21"/>
        </w:rPr>
      </w:pPr>
      <w:r>
        <w:rPr>
          <w:rFonts w:hint="eastAsia" w:ascii="黑体" w:hAnsi="黑体" w:eastAsia="黑体"/>
          <w:color w:val="FF0000"/>
          <w:szCs w:val="21"/>
        </w:rPr>
        <w:t>(4)《关于促进残疾人就业政府采购政策的通知》（财库〔2017〕141号）</w:t>
      </w:r>
    </w:p>
    <w:p>
      <w:pPr>
        <w:ind w:firstLine="420" w:firstLineChars="200"/>
        <w:outlineLvl w:val="3"/>
        <w:rPr>
          <w:rFonts w:ascii="黑体" w:hAnsi="黑体" w:eastAsia="黑体"/>
          <w:color w:val="FF0000"/>
          <w:szCs w:val="21"/>
        </w:rPr>
      </w:pPr>
      <w:r>
        <w:rPr>
          <w:rFonts w:hint="eastAsia" w:ascii="黑体" w:hAnsi="黑体" w:eastAsia="黑体"/>
          <w:color w:val="FF0000"/>
          <w:szCs w:val="21"/>
        </w:rPr>
        <w:t>(5)《关于政府采购支持监狱企业发展有关问题的通知》（财库〔2014〕68号）</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3、请依照提供的格式和内容填写声明函，不要随意变更格式；声明函不需要盖章或签字；</w:t>
      </w:r>
      <w:r>
        <w:rPr>
          <w:rFonts w:hint="eastAsia" w:ascii="黑体" w:hAnsi="黑体" w:eastAsia="黑体"/>
          <w:color w:val="FF0000"/>
          <w:szCs w:val="21"/>
        </w:rPr>
        <w:t>满足多项优惠政策的投标人，不重复享受多项价格扣除政策。</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4、声明函具体填写要求：</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（1）声明是中小企业须填写《中小企业声明函》的以下内容：</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第一处，在“单位名称”下划线处如实填写采购人名称（深圳公共资源交易中心不是本项目的采购人，而是组织实施机构）；</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第二处，在“项目名称”下划线处如实填写采购</w:t>
      </w:r>
      <w:r>
        <w:rPr>
          <w:rFonts w:hint="eastAsia" w:ascii="黑体" w:hAnsi="宋体" w:eastAsia="黑体"/>
          <w:bCs/>
          <w:color w:val="FF0000"/>
          <w:kern w:val="0"/>
          <w:szCs w:val="21"/>
          <w:lang w:val="en-US" w:eastAsia="zh-CN"/>
        </w:rPr>
        <w:t>文件中确定的</w:t>
      </w:r>
      <w:r>
        <w:rPr>
          <w:rFonts w:hint="eastAsia" w:ascii="黑体" w:hAnsi="宋体" w:eastAsia="黑体"/>
          <w:bCs/>
          <w:color w:val="FF0000"/>
          <w:kern w:val="0"/>
          <w:szCs w:val="21"/>
        </w:rPr>
        <w:t>项目名称</w:t>
      </w:r>
      <w:r>
        <w:rPr>
          <w:rFonts w:hint="eastAsia" w:ascii="黑体" w:hAnsi="宋体" w:eastAsia="黑体"/>
          <w:bCs/>
          <w:color w:val="FF0000"/>
          <w:kern w:val="0"/>
          <w:szCs w:val="21"/>
          <w:lang w:eastAsia="zh-CN"/>
        </w:rPr>
        <w:t>。对于分包方式面向中小企业采购的项目，应标明中小企业的具体分包内容；对于以联合体方式面向中小企业采购的项目，应标明联合体中中小企业所承担的具体内容</w:t>
      </w:r>
      <w:r>
        <w:rPr>
          <w:rFonts w:hint="eastAsia" w:ascii="黑体" w:hAnsi="宋体" w:eastAsia="黑体"/>
          <w:bCs/>
          <w:color w:val="FF0000"/>
          <w:kern w:val="0"/>
          <w:szCs w:val="21"/>
        </w:rPr>
        <w:t>；</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第三处，在“标的名称”下划线处填写所采购标的具体名称（以招标文件第一册第三章用户需求书“</w:t>
      </w:r>
      <w:r>
        <w:rPr>
          <w:rFonts w:hint="eastAsia" w:ascii="黑体" w:hAnsi="宋体" w:eastAsia="黑体"/>
          <w:bCs/>
          <w:color w:val="FF0000"/>
          <w:kern w:val="0"/>
          <w:szCs w:val="21"/>
          <w:lang w:val="en-US" w:eastAsia="zh-CN"/>
        </w:rPr>
        <w:t>服务需求</w:t>
      </w:r>
      <w:r>
        <w:rPr>
          <w:rFonts w:hint="eastAsia" w:ascii="黑体" w:hAnsi="宋体" w:eastAsia="黑体"/>
          <w:bCs/>
          <w:color w:val="FF0000"/>
          <w:kern w:val="0"/>
          <w:szCs w:val="21"/>
        </w:rPr>
        <w:t>明细”的“服务需求名称（标的名称）”一栏为准）；如果涉及多项</w:t>
      </w:r>
      <w:r>
        <w:rPr>
          <w:rFonts w:hint="eastAsia" w:ascii="黑体" w:hAnsi="宋体" w:eastAsia="黑体"/>
          <w:bCs/>
          <w:color w:val="FF0000"/>
          <w:kern w:val="0"/>
          <w:szCs w:val="21"/>
          <w:lang w:val="en-US" w:eastAsia="zh-CN"/>
        </w:rPr>
        <w:t>服务</w:t>
      </w:r>
      <w:r>
        <w:rPr>
          <w:rFonts w:hint="eastAsia" w:ascii="黑体" w:hAnsi="宋体" w:eastAsia="黑体"/>
          <w:bCs/>
          <w:color w:val="FF0000"/>
          <w:kern w:val="0"/>
          <w:szCs w:val="21"/>
        </w:rPr>
        <w:t>（标的）为同一企业</w:t>
      </w:r>
      <w:r>
        <w:rPr>
          <w:rFonts w:hint="eastAsia" w:ascii="黑体" w:hAnsi="宋体" w:eastAsia="黑体"/>
          <w:bCs/>
          <w:color w:val="FF0000"/>
          <w:kern w:val="0"/>
          <w:szCs w:val="21"/>
          <w:lang w:val="en-US" w:eastAsia="zh-CN"/>
        </w:rPr>
        <w:t>承接的</w:t>
      </w:r>
      <w:r>
        <w:rPr>
          <w:rFonts w:hint="eastAsia" w:ascii="黑体" w:hAnsi="宋体" w:eastAsia="黑体"/>
          <w:bCs/>
          <w:color w:val="FF0000"/>
          <w:kern w:val="0"/>
          <w:szCs w:val="21"/>
        </w:rPr>
        <w:t>，“标的名称”下划线处可以如实填写多项</w:t>
      </w:r>
      <w:r>
        <w:rPr>
          <w:rFonts w:hint="eastAsia" w:ascii="黑体" w:hAnsi="宋体" w:eastAsia="黑体"/>
          <w:bCs/>
          <w:color w:val="FF0000"/>
          <w:kern w:val="0"/>
          <w:szCs w:val="21"/>
          <w:lang w:val="en-US" w:eastAsia="zh-CN"/>
        </w:rPr>
        <w:t>服务</w:t>
      </w:r>
      <w:r>
        <w:rPr>
          <w:rFonts w:hint="eastAsia" w:ascii="黑体" w:hAnsi="宋体" w:eastAsia="黑体"/>
          <w:bCs/>
          <w:color w:val="FF0000"/>
          <w:kern w:val="0"/>
          <w:szCs w:val="21"/>
        </w:rPr>
        <w:t>；对于分包方式面向中小企业采购的项目</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“标的名称”应填写采购文件中注明的分包给中小企业的采购标的名称；对于以联合体方式面向中小企业采购的项目“标的名称”应填写采购文件中注明的联合体中中小企业承担的采购标的名称。</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第四处，在“</w:t>
      </w:r>
      <w:r>
        <w:rPr>
          <w:rFonts w:hint="eastAsia" w:ascii="黑体" w:hAnsi="宋体" w:eastAsia="黑体"/>
          <w:bCs/>
          <w:color w:val="FF0000"/>
          <w:kern w:val="0"/>
          <w:szCs w:val="21"/>
          <w:lang w:val="en-US" w:eastAsia="zh-CN"/>
        </w:rPr>
        <w:t>采购</w:t>
      </w:r>
      <w:r>
        <w:rPr>
          <w:rFonts w:hint="eastAsia" w:ascii="黑体" w:hAnsi="宋体" w:eastAsia="黑体"/>
          <w:bCs/>
          <w:color w:val="FF0000"/>
          <w:kern w:val="0"/>
          <w:szCs w:val="21"/>
        </w:rPr>
        <w:t>文件中明确的所属行业”下划线处填写采购标的对应的中小企业划分标准所属行业（所属行业以招标文件第一册第三章用户需求书“</w:t>
      </w:r>
      <w:r>
        <w:rPr>
          <w:rFonts w:hint="eastAsia" w:ascii="黑体" w:hAnsi="宋体" w:eastAsia="黑体"/>
          <w:bCs/>
          <w:color w:val="FF0000"/>
          <w:kern w:val="0"/>
          <w:szCs w:val="21"/>
          <w:lang w:val="en-US" w:eastAsia="zh-CN"/>
        </w:rPr>
        <w:t>服务需求</w:t>
      </w:r>
      <w:r>
        <w:rPr>
          <w:rFonts w:hint="eastAsia" w:ascii="黑体" w:hAnsi="宋体" w:eastAsia="黑体"/>
          <w:bCs/>
          <w:color w:val="FF0000"/>
          <w:kern w:val="0"/>
          <w:szCs w:val="21"/>
        </w:rPr>
        <w:t>明细”的“</w:t>
      </w:r>
      <w:r>
        <w:rPr>
          <w:rFonts w:hint="eastAsia" w:ascii="黑体" w:hAnsi="宋体" w:eastAsia="黑体"/>
          <w:bCs/>
          <w:color w:val="FF0000"/>
          <w:kern w:val="0"/>
          <w:szCs w:val="21"/>
          <w:lang w:val="en-US" w:eastAsia="zh-CN"/>
        </w:rPr>
        <w:t>标的所属行业</w:t>
      </w:r>
      <w:r>
        <w:rPr>
          <w:rFonts w:hint="eastAsia" w:ascii="黑体" w:hAnsi="宋体" w:eastAsia="黑体"/>
          <w:bCs/>
          <w:color w:val="FF0000"/>
          <w:kern w:val="0"/>
          <w:szCs w:val="21"/>
        </w:rPr>
        <w:t>”一栏为准）</w:t>
      </w:r>
      <w:r>
        <w:rPr>
          <w:rFonts w:hint="eastAsia" w:ascii="黑体" w:hAnsi="宋体" w:eastAsia="黑体"/>
          <w:bCs/>
          <w:color w:val="FF0000"/>
          <w:kern w:val="0"/>
          <w:szCs w:val="21"/>
          <w:lang w:eastAsia="zh-CN"/>
        </w:rPr>
        <w:t>，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ind w:firstLine="420" w:firstLineChars="200"/>
        <w:outlineLvl w:val="3"/>
        <w:rPr>
          <w:rFonts w:hint="eastAsia" w:ascii="黑体" w:hAnsi="宋体" w:eastAsia="黑体"/>
          <w:bCs/>
          <w:color w:val="FF0000"/>
          <w:kern w:val="0"/>
          <w:szCs w:val="21"/>
          <w:lang w:eastAsia="zh-CN"/>
        </w:rPr>
      </w:pPr>
      <w:r>
        <w:rPr>
          <w:rFonts w:hint="eastAsia" w:ascii="黑体" w:hAnsi="宋体" w:eastAsia="黑体"/>
          <w:bCs/>
          <w:color w:val="FF0000"/>
          <w:kern w:val="0"/>
          <w:szCs w:val="21"/>
        </w:rPr>
        <w:t>第五处，在“企业名称”下划线处如实填写</w:t>
      </w:r>
      <w:r>
        <w:rPr>
          <w:rFonts w:hint="eastAsia" w:ascii="黑体" w:hAnsi="宋体" w:eastAsia="黑体"/>
          <w:b/>
          <w:bCs w:val="0"/>
          <w:color w:val="FF0000"/>
          <w:kern w:val="0"/>
          <w:szCs w:val="21"/>
          <w:lang w:eastAsia="zh-CN"/>
        </w:rPr>
        <w:t>服务承接商</w:t>
      </w:r>
      <w:r>
        <w:rPr>
          <w:rFonts w:hint="eastAsia" w:ascii="黑体" w:hAnsi="宋体" w:eastAsia="黑体"/>
          <w:b/>
          <w:bCs w:val="0"/>
          <w:color w:val="FF0000"/>
          <w:kern w:val="0"/>
          <w:szCs w:val="21"/>
        </w:rPr>
        <w:t>名称</w:t>
      </w:r>
      <w:r>
        <w:rPr>
          <w:rFonts w:hint="eastAsia" w:ascii="黑体" w:hAnsi="宋体" w:eastAsia="黑体"/>
          <w:b/>
          <w:bCs w:val="0"/>
          <w:color w:val="FF0000"/>
          <w:kern w:val="0"/>
          <w:szCs w:val="21"/>
          <w:lang w:eastAsia="zh-CN"/>
        </w:rPr>
        <w:t>。</w:t>
      </w:r>
      <w:r>
        <w:rPr>
          <w:rFonts w:hint="eastAsia" w:ascii="黑体" w:hAnsi="宋体" w:eastAsia="黑体"/>
          <w:bCs/>
          <w:color w:val="FF0000"/>
          <w:kern w:val="0"/>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numPr>
          <w:ilvl w:val="0"/>
          <w:numId w:val="0"/>
        </w:numPr>
        <w:ind w:firstLine="420" w:firstLineChars="200"/>
        <w:outlineLvl w:val="3"/>
        <w:rPr>
          <w:rFonts w:hint="eastAsia" w:ascii="黑体" w:hAnsi="宋体" w:eastAsia="黑体"/>
          <w:bCs/>
          <w:color w:val="FF0000"/>
          <w:kern w:val="0"/>
          <w:szCs w:val="21"/>
        </w:rPr>
      </w:pPr>
      <w:r>
        <w:rPr>
          <w:rFonts w:hint="eastAsia" w:ascii="黑体" w:hAnsi="宋体" w:eastAsia="黑体" w:cs="Times New Roman"/>
          <w:bCs/>
          <w:color w:val="FF0000"/>
          <w:kern w:val="0"/>
          <w:sz w:val="21"/>
          <w:szCs w:val="21"/>
          <w:lang w:val="en-US" w:eastAsia="zh-CN" w:bidi="ar-SA"/>
        </w:rPr>
        <w:t>第六、</w:t>
      </w:r>
      <w:r>
        <w:rPr>
          <w:rFonts w:hint="eastAsia" w:ascii="黑体" w:hAnsi="宋体" w:eastAsia="黑体"/>
          <w:bCs/>
          <w:color w:val="FF0000"/>
          <w:kern w:val="0"/>
          <w:szCs w:val="21"/>
          <w:lang w:val="en-US" w:eastAsia="zh-CN"/>
        </w:rPr>
        <w:t>七、八处，</w:t>
      </w:r>
      <w:r>
        <w:rPr>
          <w:rFonts w:hint="eastAsia" w:ascii="黑体" w:hAnsi="宋体" w:eastAsia="黑体"/>
          <w:bCs/>
          <w:color w:val="FF0000"/>
          <w:kern w:val="0"/>
          <w:szCs w:val="21"/>
        </w:rPr>
        <w:t>在“从业人员”、“营业收入”、“资产总额”下划线处如实填写从业人员、营业收入、资产总额</w:t>
      </w:r>
      <w:r>
        <w:rPr>
          <w:rFonts w:hint="eastAsia" w:ascii="黑体" w:hAnsi="宋体" w:eastAsia="黑体"/>
          <w:bCs/>
          <w:color w:val="FF0000"/>
          <w:kern w:val="0"/>
          <w:szCs w:val="21"/>
          <w:lang w:eastAsia="zh-CN"/>
        </w:rPr>
        <w:t>。从业人员、资产总额指标以上年度末数据为依据，营业收入指标以上年度累计数据为依据。无上年度数据的新成立企业可不填报。</w:t>
      </w:r>
    </w:p>
    <w:p>
      <w:pPr>
        <w:numPr>
          <w:ilvl w:val="0"/>
          <w:numId w:val="0"/>
        </w:num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lang w:val="en-US" w:eastAsia="zh-CN"/>
        </w:rPr>
        <w:t>第九处，</w:t>
      </w:r>
      <w:r>
        <w:rPr>
          <w:rFonts w:hint="eastAsia" w:ascii="黑体" w:hAnsi="宋体" w:eastAsia="黑体"/>
          <w:bCs/>
          <w:color w:val="FF0000"/>
          <w:kern w:val="0"/>
          <w:szCs w:val="21"/>
        </w:rPr>
        <w:t>在“中型企业、小型企业、微型企业”下划线处应依据企业上年度从业人员、营业收入、资产总额等指标</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按照《中小企业划型标准规定》（工信部联企业〔2011〕300号）、《金融业企业划型标准规定》（银发〔2015〕309号）</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判断《中小企业声明函》载明的</w:t>
      </w:r>
      <w:r>
        <w:rPr>
          <w:rFonts w:hint="eastAsia" w:ascii="黑体" w:hAnsi="宋体" w:eastAsia="黑体"/>
          <w:bCs/>
          <w:color w:val="FF0000"/>
          <w:kern w:val="0"/>
          <w:szCs w:val="21"/>
          <w:lang w:eastAsia="zh-CN"/>
        </w:rPr>
        <w:t>服务承接商</w:t>
      </w:r>
      <w:r>
        <w:rPr>
          <w:rFonts w:hint="eastAsia" w:ascii="黑体" w:hAnsi="宋体" w:eastAsia="黑体"/>
          <w:bCs/>
          <w:color w:val="FF0000"/>
          <w:kern w:val="0"/>
          <w:szCs w:val="21"/>
        </w:rPr>
        <w:t>是否属于采购文件所属行业的中型企业/小型企业/微型企业。</w:t>
      </w:r>
    </w:p>
    <w:p>
      <w:pPr>
        <w:pStyle w:val="204"/>
        <w:ind w:firstLine="420" w:firstLineChars="200"/>
        <w:rPr>
          <w:rFonts w:hint="eastAsia" w:ascii="黑体" w:hAnsi="宋体" w:eastAsia="黑体"/>
          <w:bCs/>
          <w:color w:val="FF0000"/>
          <w:kern w:val="0"/>
          <w:szCs w:val="21"/>
          <w:lang w:eastAsia="zh-CN"/>
        </w:rPr>
      </w:pPr>
      <w:r>
        <w:rPr>
          <w:rFonts w:hint="eastAsia" w:ascii="黑体" w:hAnsi="宋体" w:eastAsia="黑体"/>
          <w:bCs/>
          <w:color w:val="FF0000"/>
          <w:kern w:val="0"/>
          <w:szCs w:val="21"/>
          <w:lang w:eastAsia="zh-CN"/>
        </w:rPr>
        <w:t>（</w:t>
      </w:r>
      <w:r>
        <w:rPr>
          <w:rFonts w:hint="eastAsia" w:ascii="黑体" w:hAnsi="宋体" w:eastAsia="黑体"/>
          <w:bCs/>
          <w:color w:val="FF0000"/>
          <w:kern w:val="0"/>
          <w:szCs w:val="21"/>
          <w:lang w:val="en-US" w:eastAsia="zh-CN"/>
        </w:rPr>
        <w:t>2</w:t>
      </w:r>
      <w:r>
        <w:rPr>
          <w:rFonts w:hint="eastAsia" w:ascii="黑体" w:hAnsi="宋体" w:eastAsia="黑体"/>
          <w:bCs/>
          <w:color w:val="FF0000"/>
          <w:kern w:val="0"/>
          <w:szCs w:val="21"/>
          <w:lang w:eastAsia="zh-CN"/>
        </w:rPr>
        <w:t>）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ind w:firstLine="420" w:firstLineChars="200"/>
        <w:outlineLvl w:val="3"/>
        <w:rPr>
          <w:rFonts w:hint="eastAsia" w:ascii="黑体" w:hAnsi="宋体" w:eastAsia="黑体"/>
          <w:bCs/>
          <w:color w:val="FF0000"/>
          <w:kern w:val="0"/>
          <w:szCs w:val="21"/>
          <w:lang w:eastAsia="zh-CN"/>
        </w:rPr>
      </w:pPr>
      <w:r>
        <w:rPr>
          <w:rFonts w:hint="eastAsia" w:ascii="黑体" w:hAnsi="宋体" w:eastAsia="黑体"/>
          <w:bCs/>
          <w:color w:val="FF0000"/>
          <w:kern w:val="0"/>
          <w:szCs w:val="21"/>
          <w:lang w:eastAsia="zh-CN"/>
        </w:rPr>
        <w:t>（</w:t>
      </w:r>
      <w:r>
        <w:rPr>
          <w:rFonts w:hint="eastAsia" w:ascii="黑体" w:hAnsi="宋体" w:eastAsia="黑体"/>
          <w:bCs/>
          <w:color w:val="FF0000"/>
          <w:kern w:val="0"/>
          <w:szCs w:val="21"/>
          <w:lang w:val="en-US" w:eastAsia="zh-CN"/>
        </w:rPr>
        <w:t>3</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事业单位、社会组织等非企业主体不享受中小企业扶持政策</w:t>
      </w:r>
      <w:r>
        <w:rPr>
          <w:rFonts w:hint="eastAsia" w:ascii="黑体" w:hAnsi="宋体" w:eastAsia="黑体"/>
          <w:bCs/>
          <w:color w:val="FF0000"/>
          <w:kern w:val="0"/>
          <w:szCs w:val="21"/>
          <w:lang w:eastAsia="zh-CN"/>
        </w:rPr>
        <w:t>。</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w:t>
      </w:r>
      <w:r>
        <w:rPr>
          <w:rFonts w:hint="eastAsia" w:ascii="黑体" w:hAnsi="宋体" w:eastAsia="黑体"/>
          <w:bCs/>
          <w:color w:val="FF0000"/>
          <w:kern w:val="0"/>
          <w:szCs w:val="21"/>
          <w:lang w:val="en-US" w:eastAsia="zh-CN"/>
        </w:rPr>
        <w:t>4</w:t>
      </w:r>
      <w:r>
        <w:rPr>
          <w:rFonts w:hint="eastAsia" w:ascii="黑体" w:hAnsi="宋体" w:eastAsia="黑体"/>
          <w:bCs/>
          <w:color w:val="FF0000"/>
          <w:kern w:val="0"/>
          <w:szCs w:val="21"/>
        </w:rPr>
        <w:t>）声明是残疾人福利性单位须填写《残疾人福利性单位声明函》的相关内容，具体参照以上《中小企业声明函》填写要求执行。</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w:t>
      </w:r>
      <w:r>
        <w:rPr>
          <w:rFonts w:hint="eastAsia" w:ascii="黑体" w:hAnsi="宋体" w:eastAsia="黑体"/>
          <w:bCs/>
          <w:color w:val="FF0000"/>
          <w:kern w:val="0"/>
          <w:szCs w:val="21"/>
          <w:lang w:val="en-US" w:eastAsia="zh-CN"/>
        </w:rPr>
        <w:t>5</w:t>
      </w:r>
      <w:r>
        <w:rPr>
          <w:rFonts w:hint="eastAsia" w:ascii="黑体" w:hAnsi="宋体" w:eastAsia="黑体"/>
          <w:bCs/>
          <w:color w:val="FF0000"/>
          <w:kern w:val="0"/>
          <w:szCs w:val="21"/>
        </w:rPr>
        <w:t>）声明是监狱企业须填写《监狱企业声明函》的三项内容（填写位置的字体已加粗），具体参照以上《中小企业声明函》填写要求执行。</w:t>
      </w:r>
    </w:p>
    <w:p>
      <w:pPr>
        <w:ind w:firstLine="420" w:firstLineChars="200"/>
        <w:outlineLvl w:val="3"/>
        <w:rPr>
          <w:rFonts w:hint="eastAsia" w:ascii="黑体" w:hAnsi="宋体" w:eastAsia="黑体"/>
          <w:bCs/>
          <w:color w:val="FF0000"/>
          <w:kern w:val="0"/>
          <w:szCs w:val="21"/>
          <w:lang w:val="en-US" w:eastAsia="zh-CN"/>
        </w:rPr>
      </w:pPr>
      <w:r>
        <w:rPr>
          <w:rFonts w:hint="eastAsia" w:ascii="黑体" w:hAnsi="宋体" w:eastAsia="黑体"/>
          <w:bCs/>
          <w:color w:val="FF0000"/>
          <w:kern w:val="0"/>
          <w:szCs w:val="21"/>
          <w:lang w:val="en-US" w:eastAsia="zh-CN"/>
        </w:rPr>
        <w:t>5、本项目属于服务类项目，相关服务承接商应当为中小企业或残疾人福利性单位或监狱企业，如包含硬件设备、产品等货物采购的，不再对其中涉及的货物制造商作出要求。</w:t>
      </w:r>
    </w:p>
    <w:p>
      <w:pPr>
        <w:ind w:firstLine="420" w:firstLineChars="200"/>
        <w:outlineLvl w:val="3"/>
        <w:rPr>
          <w:rFonts w:hint="eastAsia" w:ascii="黑体" w:hAnsi="宋体" w:eastAsia="黑体"/>
          <w:bCs/>
          <w:color w:val="FF0000"/>
          <w:kern w:val="0"/>
          <w:szCs w:val="21"/>
          <w:lang w:val="en-US" w:eastAsia="zh-CN"/>
        </w:rPr>
      </w:pPr>
      <w:r>
        <w:rPr>
          <w:rFonts w:hint="eastAsia" w:ascii="黑体" w:hAnsi="宋体" w:eastAsia="黑体"/>
          <w:bCs/>
          <w:color w:val="FF0000"/>
          <w:kern w:val="0"/>
          <w:szCs w:val="21"/>
          <w:lang w:val="en-US"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ind w:firstLine="420" w:firstLineChars="200"/>
        <w:outlineLvl w:val="3"/>
        <w:rPr>
          <w:rFonts w:hint="eastAsia" w:ascii="黑体" w:hAnsi="宋体" w:eastAsia="黑体"/>
          <w:bCs/>
          <w:color w:val="FF0000"/>
          <w:kern w:val="0"/>
          <w:szCs w:val="21"/>
          <w:lang w:val="en-US" w:eastAsia="zh-CN"/>
        </w:rPr>
      </w:pPr>
      <w:r>
        <w:rPr>
          <w:rFonts w:hint="eastAsia" w:ascii="黑体" w:hAnsi="宋体" w:eastAsia="黑体"/>
          <w:bCs/>
          <w:color w:val="FF0000"/>
          <w:kern w:val="0"/>
          <w:szCs w:val="21"/>
          <w:lang w:val="en-US"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pStyle w:val="18"/>
      </w:pPr>
    </w:p>
    <w:p>
      <w:pPr>
        <w:numPr>
          <w:ilvl w:val="0"/>
          <w:numId w:val="9"/>
        </w:numPr>
        <w:jc w:val="center"/>
        <w:outlineLvl w:val="3"/>
      </w:pPr>
      <w:r>
        <w:rPr>
          <w:rFonts w:hint="eastAsia" w:cs="宋体"/>
          <w:b/>
          <w:sz w:val="24"/>
          <w:lang w:bidi="ar"/>
        </w:rPr>
        <w:t>中小企业声明函（服务）</w:t>
      </w:r>
    </w:p>
    <w:p>
      <w:pPr>
        <w:spacing w:line="360" w:lineRule="auto"/>
        <w:ind w:firstLine="420" w:firstLineChars="200"/>
        <w:outlineLvl w:val="3"/>
        <w:rPr>
          <w:rFonts w:ascii="宋体" w:hAnsi="宋体" w:cs="宋体"/>
          <w:szCs w:val="21"/>
        </w:rPr>
      </w:pPr>
      <w:r>
        <w:rPr>
          <w:rFonts w:hint="eastAsia" w:ascii="宋体" w:hAnsi="宋体" w:cs="宋体"/>
          <w:szCs w:val="21"/>
          <w:lang w:bidi="ar"/>
        </w:rPr>
        <w:t>本公司（联合体）郑重声明，根据《政府采购促进中小企业发展管理办法》（财库﹝2020﹞46号）的规定，本公司（联合体）参加</w:t>
      </w:r>
      <w:r>
        <w:rPr>
          <w:rFonts w:hint="eastAsia" w:ascii="宋体" w:hAnsi="宋体" w:cs="宋体"/>
          <w:b/>
          <w:bCs/>
          <w:i/>
          <w:iCs/>
          <w:szCs w:val="21"/>
          <w:u w:val="single"/>
          <w:lang w:bidi="ar"/>
        </w:rPr>
        <w:t xml:space="preserve">    （单位名称）    </w:t>
      </w:r>
      <w:r>
        <w:rPr>
          <w:rFonts w:hint="eastAsia" w:ascii="宋体" w:hAnsi="宋体" w:cs="宋体"/>
          <w:szCs w:val="21"/>
          <w:lang w:bidi="ar"/>
        </w:rPr>
        <w:t>的</w:t>
      </w:r>
      <w:r>
        <w:rPr>
          <w:rFonts w:hint="eastAsia" w:ascii="宋体" w:hAnsi="宋体" w:cs="宋体"/>
          <w:b/>
          <w:bCs/>
          <w:i/>
          <w:iCs/>
          <w:szCs w:val="21"/>
          <w:u w:val="single"/>
          <w:lang w:bidi="ar"/>
        </w:rPr>
        <w:t xml:space="preserve">    （项目名称）    </w:t>
      </w:r>
      <w:r>
        <w:rPr>
          <w:rFonts w:hint="eastAsia" w:ascii="宋体" w:hAnsi="宋体" w:cs="宋体"/>
          <w:szCs w:val="21"/>
          <w:lang w:bidi="ar"/>
        </w:rPr>
        <w:t>采购活动，服务全部由符合政策要求的中小企业承接。相关企业（含联合体中的中小企业、签订分包意向协议的中小企业）的具体情况如下：</w:t>
      </w:r>
    </w:p>
    <w:p>
      <w:pPr>
        <w:spacing w:line="360" w:lineRule="auto"/>
        <w:ind w:firstLine="420" w:firstLineChars="200"/>
        <w:outlineLvl w:val="3"/>
        <w:rPr>
          <w:rFonts w:ascii="宋体" w:hAnsi="宋体" w:cs="宋体"/>
          <w:szCs w:val="21"/>
        </w:rPr>
      </w:pPr>
      <w:r>
        <w:rPr>
          <w:rFonts w:hint="eastAsia" w:ascii="宋体" w:hAnsi="宋体" w:cs="宋体"/>
          <w:szCs w:val="21"/>
          <w:lang w:bidi="ar"/>
        </w:rPr>
        <w:t>1.</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w:t>
      </w:r>
      <w:r>
        <w:rPr>
          <w:rFonts w:hint="eastAsia" w:ascii="宋体" w:hAnsi="宋体" w:cs="宋体"/>
          <w:b/>
          <w:bCs/>
          <w:i/>
          <w:iCs/>
          <w:szCs w:val="21"/>
          <w:u w:val="single"/>
          <w:lang w:val="en-US" w:eastAsia="zh-CN" w:bidi="ar"/>
        </w:rPr>
        <w:t xml:space="preserve">    </w:t>
      </w:r>
      <w:r>
        <w:rPr>
          <w:rFonts w:hint="eastAsia" w:ascii="宋体" w:hAnsi="宋体" w:cs="宋体"/>
          <w:b/>
          <w:bCs/>
          <w:i/>
          <w:iCs/>
          <w:szCs w:val="21"/>
          <w:u w:val="single"/>
          <w:lang w:bidi="ar"/>
        </w:rPr>
        <w:t xml:space="preserve">（采购文件中明确的所属行业）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pPr>
        <w:spacing w:line="360" w:lineRule="auto"/>
        <w:ind w:firstLine="420" w:firstLineChars="200"/>
        <w:outlineLvl w:val="3"/>
        <w:rPr>
          <w:rFonts w:ascii="宋体" w:hAnsi="宋体" w:cs="宋体"/>
          <w:szCs w:val="21"/>
        </w:rPr>
      </w:pPr>
      <w:r>
        <w:rPr>
          <w:rFonts w:hint="eastAsia" w:ascii="宋体" w:hAnsi="宋体" w:cs="宋体"/>
          <w:szCs w:val="21"/>
          <w:lang w:bidi="ar"/>
        </w:rPr>
        <w:t>2.</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w:t>
      </w:r>
      <w:r>
        <w:rPr>
          <w:rFonts w:hint="eastAsia" w:ascii="宋体" w:hAnsi="宋体" w:cs="宋体"/>
          <w:b/>
          <w:bCs/>
          <w:i/>
          <w:iCs/>
          <w:szCs w:val="21"/>
          <w:u w:val="single"/>
          <w:lang w:val="en-US" w:eastAsia="zh-CN" w:bidi="ar"/>
        </w:rPr>
        <w:t xml:space="preserve">    </w:t>
      </w:r>
      <w:r>
        <w:rPr>
          <w:rFonts w:hint="eastAsia" w:ascii="宋体" w:hAnsi="宋体" w:cs="宋体"/>
          <w:b/>
          <w:bCs/>
          <w:i/>
          <w:iCs/>
          <w:szCs w:val="21"/>
          <w:u w:val="single"/>
          <w:lang w:bidi="ar"/>
        </w:rPr>
        <w:t xml:space="preserve">  （采购文件中明确的所属行业）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pPr>
        <w:spacing w:line="360" w:lineRule="auto"/>
        <w:ind w:firstLine="420" w:firstLineChars="200"/>
        <w:outlineLvl w:val="3"/>
        <w:rPr>
          <w:rFonts w:ascii="宋体" w:hAnsi="宋体" w:cs="宋体"/>
          <w:szCs w:val="21"/>
        </w:rPr>
      </w:pPr>
      <w:r>
        <w:rPr>
          <w:rFonts w:hint="eastAsia" w:ascii="宋体" w:hAnsi="宋体" w:cs="宋体"/>
          <w:szCs w:val="21"/>
          <w:lang w:bidi="ar"/>
        </w:rPr>
        <w:t>……</w:t>
      </w:r>
    </w:p>
    <w:p>
      <w:pPr>
        <w:spacing w:line="360" w:lineRule="auto"/>
        <w:ind w:firstLine="420" w:firstLineChars="200"/>
        <w:outlineLvl w:val="3"/>
        <w:rPr>
          <w:rFonts w:ascii="宋体" w:hAnsi="宋体" w:cs="宋体"/>
          <w:szCs w:val="21"/>
        </w:rPr>
      </w:pPr>
      <w:r>
        <w:rPr>
          <w:rFonts w:hint="eastAsia" w:ascii="宋体" w:hAnsi="宋体" w:cs="宋体"/>
          <w:szCs w:val="21"/>
          <w:lang w:bidi="ar"/>
        </w:rPr>
        <w:t>以上企业，不属于大企业的分支机构，不存在控股股东为大企业的情形，也不存在与大企业的负责人为同一人的情形。</w:t>
      </w:r>
    </w:p>
    <w:p>
      <w:pPr>
        <w:spacing w:line="360" w:lineRule="auto"/>
        <w:ind w:firstLine="420" w:firstLineChars="200"/>
        <w:outlineLvl w:val="3"/>
        <w:rPr>
          <w:rFonts w:ascii="宋体" w:hAnsi="宋体" w:cs="宋体"/>
          <w:szCs w:val="21"/>
        </w:rPr>
      </w:pPr>
      <w:r>
        <w:rPr>
          <w:rFonts w:hint="eastAsia" w:ascii="宋体" w:hAnsi="宋体" w:cs="宋体"/>
          <w:szCs w:val="21"/>
          <w:lang w:bidi="ar"/>
        </w:rPr>
        <w:t>本企业对上述声明内容的真实性负责。如有虚假，将依法承担相应责任。</w:t>
      </w:r>
    </w:p>
    <w:p>
      <w:pPr>
        <w:spacing w:line="360" w:lineRule="auto"/>
        <w:ind w:firstLine="420" w:firstLineChars="200"/>
        <w:outlineLvl w:val="3"/>
        <w:rPr>
          <w:rFonts w:ascii="宋体" w:hAnsi="宋体" w:cs="宋体"/>
          <w:szCs w:val="21"/>
          <w:lang w:bidi="ar"/>
        </w:rPr>
      </w:pPr>
      <w:bookmarkStart w:id="42" w:name="_Hlk73562275"/>
      <w:r>
        <w:rPr>
          <w:rFonts w:hint="eastAsia" w:ascii="宋体" w:hAnsi="宋体" w:cs="宋体"/>
          <w:szCs w:val="21"/>
          <w:lang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2"/>
    </w:p>
    <w:p>
      <w:pPr>
        <w:pStyle w:val="18"/>
      </w:pPr>
    </w:p>
    <w:p>
      <w:pPr>
        <w:ind w:firstLine="420" w:firstLineChars="200"/>
      </w:pPr>
    </w:p>
    <w:p>
      <w:pPr>
        <w:jc w:val="center"/>
        <w:outlineLvl w:val="3"/>
        <w:rPr>
          <w:b/>
          <w:sz w:val="24"/>
        </w:rPr>
      </w:pPr>
      <w:r>
        <w:rPr>
          <w:b/>
          <w:sz w:val="24"/>
          <w:lang w:bidi="ar"/>
        </w:rPr>
        <w:t>2</w:t>
      </w:r>
      <w:r>
        <w:rPr>
          <w:rFonts w:hint="eastAsia" w:cs="宋体"/>
          <w:b/>
          <w:sz w:val="24"/>
          <w:lang w:bidi="ar"/>
        </w:rPr>
        <w:t>、残疾人福利性单位声明函（服务类）</w:t>
      </w:r>
    </w:p>
    <w:p>
      <w:pPr>
        <w:spacing w:line="360" w:lineRule="auto"/>
        <w:ind w:firstLine="420" w:firstLineChars="200"/>
        <w:rPr>
          <w:rFonts w:ascii="宋体" w:hAnsi="宋体" w:cs="宋体"/>
          <w:szCs w:val="21"/>
        </w:rPr>
      </w:pPr>
      <w:r>
        <w:rPr>
          <w:rFonts w:hint="eastAsia" w:ascii="宋体" w:hAnsi="宋体" w:cs="宋体"/>
          <w:szCs w:val="21"/>
          <w:lang w:bidi="ar"/>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b/>
          <w:bCs/>
          <w:i/>
          <w:iCs/>
          <w:szCs w:val="21"/>
          <w:u w:val="single"/>
          <w:lang w:bidi="ar"/>
        </w:rPr>
        <w:t xml:space="preserve">    （单位名称）    </w:t>
      </w:r>
      <w:r>
        <w:rPr>
          <w:rFonts w:hint="eastAsia" w:ascii="宋体" w:hAnsi="宋体" w:cs="宋体"/>
          <w:szCs w:val="21"/>
          <w:lang w:bidi="ar"/>
        </w:rPr>
        <w:t>单位的</w:t>
      </w:r>
      <w:r>
        <w:rPr>
          <w:rFonts w:hint="eastAsia" w:ascii="宋体" w:hAnsi="宋体" w:cs="宋体"/>
          <w:b/>
          <w:bCs/>
          <w:i/>
          <w:iCs/>
          <w:szCs w:val="21"/>
          <w:u w:val="single"/>
          <w:lang w:bidi="ar"/>
        </w:rPr>
        <w:t xml:space="preserve">    （项目名称）    </w:t>
      </w:r>
      <w:r>
        <w:rPr>
          <w:rFonts w:hint="eastAsia" w:ascii="宋体" w:hAnsi="宋体" w:cs="宋体"/>
          <w:szCs w:val="21"/>
          <w:lang w:bidi="ar"/>
        </w:rPr>
        <w:t>项目采购活动由本单位提供服务。</w:t>
      </w:r>
    </w:p>
    <w:p>
      <w:pPr>
        <w:spacing w:line="360" w:lineRule="auto"/>
        <w:ind w:firstLine="420" w:firstLineChars="200"/>
        <w:rPr>
          <w:rFonts w:ascii="宋体" w:hAnsi="宋体" w:cs="宋体"/>
          <w:szCs w:val="21"/>
        </w:rPr>
      </w:pPr>
      <w:r>
        <w:rPr>
          <w:rFonts w:hint="eastAsia" w:ascii="宋体" w:hAnsi="宋体" w:cs="宋体"/>
          <w:szCs w:val="21"/>
          <w:lang w:bidi="ar"/>
        </w:rPr>
        <w:t>本单位对上述声明的真实性负责。如有虚假，将依法承担相应责任。</w:t>
      </w:r>
    </w:p>
    <w:p>
      <w:pPr>
        <w:spacing w:line="360" w:lineRule="auto"/>
        <w:ind w:firstLine="420" w:firstLineChars="200"/>
        <w:rPr>
          <w:rFonts w:ascii="宋体" w:hAnsi="宋体" w:cs="宋体"/>
          <w:szCs w:val="21"/>
        </w:rPr>
      </w:pPr>
      <w:r>
        <w:rPr>
          <w:rFonts w:hint="eastAsia" w:ascii="宋体" w:hAnsi="宋体" w:cs="宋体"/>
          <w:szCs w:val="21"/>
          <w:lang w:bidi="ar"/>
        </w:rPr>
        <w:t>本投标人已知悉《财政部民政部中国残疾人联合会关于促进残疾人就业政府采购政策的通知》（财库〔2017〕141号）的规定，承诺提供的声明函内容是真实的，如提供声明函内容不实，则依法追究相关法律责任。</w:t>
      </w:r>
    </w:p>
    <w:p>
      <w:pPr>
        <w:ind w:firstLine="420" w:firstLineChars="200"/>
        <w:rPr>
          <w:rFonts w:ascii="宋体" w:hAnsi="宋体" w:cs="宋体"/>
          <w:szCs w:val="21"/>
        </w:rPr>
      </w:pPr>
    </w:p>
    <w:p>
      <w:pPr>
        <w:ind w:firstLine="420" w:firstLineChars="200"/>
        <w:rPr>
          <w:rFonts w:ascii="宋体" w:hAnsi="宋体" w:cs="宋体"/>
          <w:szCs w:val="21"/>
        </w:rPr>
      </w:pPr>
    </w:p>
    <w:p>
      <w:pPr>
        <w:ind w:firstLine="420" w:firstLineChars="200"/>
        <w:rPr>
          <w:rFonts w:ascii="宋体" w:hAnsi="宋体" w:cs="宋体"/>
          <w:szCs w:val="21"/>
        </w:rPr>
      </w:pPr>
    </w:p>
    <w:p>
      <w:pPr>
        <w:jc w:val="center"/>
        <w:outlineLvl w:val="3"/>
        <w:rPr>
          <w:b/>
          <w:sz w:val="24"/>
        </w:rPr>
      </w:pPr>
      <w:r>
        <w:rPr>
          <w:b/>
          <w:sz w:val="24"/>
          <w:lang w:bidi="ar"/>
        </w:rPr>
        <w:t>3</w:t>
      </w:r>
      <w:r>
        <w:rPr>
          <w:rFonts w:hint="eastAsia" w:cs="宋体"/>
          <w:b/>
          <w:sz w:val="24"/>
          <w:lang w:bidi="ar"/>
        </w:rPr>
        <w:t>、监狱企业声明函【服务类，监狱企业如需享受优惠政策，还须另行提供省级以上监狱管理局、戒毒管理局（含新疆生产建设兵团）出具的监狱企业证明文件】</w:t>
      </w:r>
    </w:p>
    <w:p>
      <w:pPr>
        <w:ind w:firstLine="420" w:firstLineChars="200"/>
        <w:rPr>
          <w:rFonts w:ascii="宋体" w:hAnsi="宋体" w:cs="宋体"/>
          <w:szCs w:val="21"/>
        </w:rPr>
      </w:pPr>
      <w:r>
        <w:rPr>
          <w:rFonts w:hint="eastAsia" w:ascii="宋体" w:hAnsi="宋体" w:cs="宋体"/>
          <w:szCs w:val="21"/>
          <w:lang w:bidi="ar"/>
        </w:rPr>
        <w:t>本投标人郑重声明，根据《财政部司法部关于政府采购支持监狱企业发展有关问题的通知》（财库〔2014〕68号）的规定，本投标人</w:t>
      </w:r>
      <w:r>
        <w:rPr>
          <w:rFonts w:hint="eastAsia" w:ascii="宋体" w:hAnsi="宋体"/>
          <w:szCs w:val="21"/>
          <w:lang w:bidi="ar"/>
        </w:rPr>
        <w:t>参加</w:t>
      </w:r>
      <w:r>
        <w:rPr>
          <w:rFonts w:hint="eastAsia" w:ascii="宋体" w:hAnsi="宋体" w:cs="宋体"/>
          <w:b/>
          <w:bCs/>
          <w:szCs w:val="21"/>
          <w:u w:val="single"/>
          <w:lang w:bidi="ar"/>
        </w:rPr>
        <w:t>（采购人名称）</w:t>
      </w:r>
      <w:r>
        <w:rPr>
          <w:rFonts w:hint="eastAsia" w:ascii="宋体" w:hAnsi="宋体" w:cs="宋体"/>
          <w:szCs w:val="21"/>
          <w:lang w:bidi="ar"/>
        </w:rPr>
        <w:t>的</w:t>
      </w:r>
      <w:r>
        <w:rPr>
          <w:rFonts w:hint="eastAsia" w:ascii="宋体" w:hAnsi="宋体" w:cs="宋体"/>
          <w:b/>
          <w:bCs/>
          <w:szCs w:val="21"/>
          <w:u w:val="single"/>
          <w:lang w:bidi="ar"/>
        </w:rPr>
        <w:t>（项目名称）</w:t>
      </w:r>
      <w:r>
        <w:rPr>
          <w:rFonts w:hint="eastAsia" w:ascii="宋体" w:hAnsi="宋体" w:cs="宋体"/>
          <w:szCs w:val="21"/>
          <w:lang w:bidi="ar"/>
        </w:rPr>
        <w:t>采购活动，服务全部由符合政策要求的监狱企业承接。相关监狱企业的具体情况如下：</w:t>
      </w:r>
    </w:p>
    <w:p>
      <w:pPr>
        <w:ind w:firstLine="420" w:firstLineChars="200"/>
        <w:rPr>
          <w:rFonts w:ascii="宋体" w:hAnsi="宋体" w:cs="宋体"/>
          <w:szCs w:val="21"/>
        </w:rPr>
      </w:pPr>
      <w:r>
        <w:rPr>
          <w:rFonts w:hint="eastAsia" w:ascii="宋体" w:hAnsi="宋体" w:cs="宋体"/>
          <w:szCs w:val="21"/>
          <w:lang w:bidi="ar"/>
        </w:rPr>
        <w:t>1.</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b/>
          <w:bCs/>
          <w:szCs w:val="21"/>
          <w:u w:val="single"/>
          <w:lang w:bidi="ar"/>
        </w:rPr>
        <w:t>）</w:t>
      </w:r>
      <w:r>
        <w:rPr>
          <w:rFonts w:hint="eastAsia" w:ascii="宋体" w:hAnsi="宋体" w:cs="宋体"/>
          <w:szCs w:val="21"/>
          <w:lang w:bidi="ar"/>
        </w:rPr>
        <w:t xml:space="preserve"> ，承接单位为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pPr>
        <w:ind w:firstLine="420" w:firstLineChars="200"/>
        <w:rPr>
          <w:rFonts w:ascii="宋体" w:hAnsi="宋体" w:cs="宋体"/>
          <w:szCs w:val="21"/>
        </w:rPr>
      </w:pPr>
      <w:r>
        <w:rPr>
          <w:rFonts w:hint="eastAsia" w:ascii="宋体" w:hAnsi="宋体" w:cs="宋体"/>
          <w:szCs w:val="21"/>
          <w:lang w:bidi="ar"/>
        </w:rPr>
        <w:t>2.</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i/>
          <w:iCs/>
          <w:szCs w:val="21"/>
          <w:lang w:bidi="ar"/>
        </w:rPr>
        <w:t xml:space="preserve"> </w:t>
      </w:r>
      <w:r>
        <w:rPr>
          <w:rFonts w:hint="eastAsia" w:ascii="宋体" w:hAnsi="宋体" w:cs="宋体"/>
          <w:szCs w:val="21"/>
          <w:lang w:bidi="ar"/>
        </w:rPr>
        <w:t>，承接单位为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pPr>
        <w:ind w:firstLine="420" w:firstLineChars="200"/>
        <w:outlineLvl w:val="3"/>
        <w:rPr>
          <w:rFonts w:ascii="宋体" w:hAnsi="宋体" w:cs="宋体"/>
          <w:szCs w:val="21"/>
        </w:rPr>
      </w:pPr>
      <w:r>
        <w:rPr>
          <w:rFonts w:hint="eastAsia" w:ascii="宋体" w:hAnsi="宋体" w:cs="宋体"/>
          <w:szCs w:val="21"/>
          <w:lang w:bidi="ar"/>
        </w:rPr>
        <w:t xml:space="preserve">…… </w:t>
      </w:r>
    </w:p>
    <w:p>
      <w:pPr>
        <w:ind w:firstLine="420" w:firstLineChars="200"/>
        <w:rPr>
          <w:rFonts w:ascii="宋体" w:hAnsi="宋体" w:cs="宋体"/>
          <w:szCs w:val="21"/>
        </w:rPr>
      </w:pPr>
      <w:r>
        <w:rPr>
          <w:rFonts w:hint="eastAsia" w:ascii="宋体" w:hAnsi="宋体"/>
          <w:szCs w:val="21"/>
          <w:lang w:bidi="ar"/>
        </w:rPr>
        <w:t>本投标人</w:t>
      </w:r>
      <w:r>
        <w:rPr>
          <w:rFonts w:hint="eastAsia" w:ascii="宋体" w:hAnsi="宋体" w:cs="宋体"/>
          <w:szCs w:val="21"/>
          <w:lang w:bidi="ar"/>
        </w:rPr>
        <w:t>对上述声明内容的真实性负责。如有虚假，将依法承担相应责任。</w:t>
      </w:r>
    </w:p>
    <w:p>
      <w:pPr>
        <w:ind w:firstLine="420" w:firstLineChars="200"/>
        <w:rPr>
          <w:rFonts w:ascii="宋体" w:hAnsi="宋体" w:cs="宋体"/>
          <w:szCs w:val="21"/>
        </w:rPr>
      </w:pPr>
      <w:r>
        <w:rPr>
          <w:rFonts w:hint="eastAsia" w:ascii="宋体" w:hAnsi="宋体" w:cs="宋体"/>
          <w:szCs w:val="21"/>
          <w:lang w:bidi="ar"/>
        </w:rPr>
        <w:t>附：省级以上监狱管理局、戒毒管理局（含新疆生产建设兵团）出具的监狱企业证明文件。</w:t>
      </w:r>
    </w:p>
    <w:p>
      <w:pPr>
        <w:rPr>
          <w:rFonts w:ascii="黑体" w:eastAsia="黑体"/>
          <w:sz w:val="24"/>
        </w:rPr>
      </w:pPr>
      <w:r>
        <w:rPr>
          <w:rFonts w:hint="eastAsia" w:ascii="黑体" w:eastAsia="黑体"/>
          <w:sz w:val="24"/>
        </w:rPr>
        <w:br w:type="page"/>
      </w:r>
    </w:p>
    <w:p>
      <w:pPr>
        <w:pStyle w:val="3"/>
        <w:jc w:val="center"/>
        <w:rPr>
          <w:rFonts w:ascii="黑体" w:eastAsia="黑体"/>
          <w:b w:val="0"/>
          <w:sz w:val="24"/>
          <w:szCs w:val="24"/>
        </w:rPr>
      </w:pPr>
      <w:r>
        <w:rPr>
          <w:rFonts w:hint="eastAsia" w:ascii="黑体" w:eastAsia="黑体"/>
          <w:b w:val="0"/>
          <w:sz w:val="24"/>
          <w:szCs w:val="24"/>
        </w:rPr>
        <w:t>四、项目详细报价</w:t>
      </w:r>
    </w:p>
    <w:p>
      <w:pPr>
        <w:pStyle w:val="18"/>
      </w:pPr>
    </w:p>
    <w:p>
      <w:pPr>
        <w:pStyle w:val="19"/>
      </w:pPr>
    </w:p>
    <w:p>
      <w:pPr>
        <w:pStyle w:val="19"/>
        <w:jc w:val="center"/>
      </w:pPr>
      <w:r>
        <w:rPr>
          <w:rFonts w:hint="eastAsia"/>
          <w:b/>
          <w:bCs/>
        </w:rPr>
        <w:t>（一）</w:t>
      </w:r>
      <w:r>
        <w:rPr>
          <w:rFonts w:hint="eastAsia"/>
          <w:b/>
        </w:rPr>
        <w:t>分项报价表</w:t>
      </w:r>
    </w:p>
    <w:tbl>
      <w:tblPr>
        <w:tblStyle w:val="42"/>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6"/>
        <w:gridCol w:w="2625"/>
        <w:gridCol w:w="203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3246" w:type="dxa"/>
            <w:tcBorders>
              <w:top w:val="double" w:color="auto" w:sz="4" w:space="0"/>
              <w:bottom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hint="default" w:ascii="宋体" w:hAnsi="宋体"/>
                <w:snapToGrid w:val="0"/>
                <w:kern w:val="0"/>
                <w:sz w:val="24"/>
                <w:szCs w:val="21"/>
              </w:rPr>
            </w:pPr>
            <w:r>
              <w:rPr>
                <w:rFonts w:hint="eastAsia" w:ascii="宋体" w:hAnsi="宋体"/>
                <w:snapToGrid w:val="0"/>
                <w:kern w:val="0"/>
                <w:sz w:val="24"/>
                <w:szCs w:val="21"/>
              </w:rPr>
              <w:t>项目名称</w:t>
            </w:r>
          </w:p>
        </w:tc>
        <w:tc>
          <w:tcPr>
            <w:tcW w:w="2625" w:type="dxa"/>
            <w:tcBorders>
              <w:top w:val="double" w:color="auto" w:sz="4" w:space="0"/>
              <w:bottom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hint="default" w:ascii="宋体" w:hAnsi="宋体"/>
                <w:snapToGrid w:val="0"/>
                <w:kern w:val="0"/>
                <w:sz w:val="24"/>
                <w:szCs w:val="21"/>
              </w:rPr>
            </w:pPr>
            <w:r>
              <w:rPr>
                <w:rFonts w:hint="eastAsia" w:ascii="宋体" w:hAnsi="宋体"/>
                <w:snapToGrid w:val="0"/>
                <w:kern w:val="0"/>
                <w:sz w:val="24"/>
                <w:szCs w:val="21"/>
              </w:rPr>
              <w:t>投标报价（元）</w:t>
            </w:r>
          </w:p>
        </w:tc>
        <w:tc>
          <w:tcPr>
            <w:tcW w:w="2034" w:type="dxa"/>
            <w:tcBorders>
              <w:top w:val="double" w:color="auto" w:sz="4" w:space="0"/>
              <w:bottom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hint="default" w:ascii="宋体" w:hAnsi="宋体"/>
                <w:snapToGrid w:val="0"/>
                <w:kern w:val="0"/>
                <w:sz w:val="24"/>
                <w:szCs w:val="21"/>
              </w:rPr>
            </w:pPr>
            <w:r>
              <w:rPr>
                <w:rFonts w:hint="eastAsia" w:ascii="宋体" w:hAnsi="宋体"/>
                <w:snapToGrid w:val="0"/>
                <w:kern w:val="0"/>
                <w:sz w:val="24"/>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3246" w:type="dxa"/>
            <w:tcBorders>
              <w:top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hint="default" w:ascii="宋体" w:hAnsi="宋体"/>
                <w:snapToGrid w:val="0"/>
                <w:kern w:val="0"/>
                <w:sz w:val="24"/>
                <w:szCs w:val="21"/>
                <w:u w:val="single"/>
              </w:rPr>
            </w:pPr>
            <w:r>
              <w:rPr>
                <w:rFonts w:hint="eastAsia" w:ascii="宋体" w:hAnsi="宋体"/>
                <w:snapToGrid w:val="0"/>
                <w:kern w:val="0"/>
                <w:sz w:val="24"/>
                <w:szCs w:val="21"/>
                <w:u w:val="single"/>
              </w:rPr>
              <w:t xml:space="preserve">                 项目</w:t>
            </w:r>
          </w:p>
        </w:tc>
        <w:tc>
          <w:tcPr>
            <w:tcW w:w="2625" w:type="dxa"/>
            <w:tcBorders>
              <w:top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left"/>
              <w:rPr>
                <w:rFonts w:hint="default" w:ascii="宋体" w:hAnsi="宋体"/>
                <w:snapToGrid w:val="0"/>
                <w:kern w:val="0"/>
                <w:sz w:val="24"/>
                <w:szCs w:val="21"/>
              </w:rPr>
            </w:pPr>
            <w:r>
              <w:rPr>
                <w:rFonts w:hint="eastAsia" w:ascii="宋体" w:hAnsi="宋体"/>
                <w:snapToGrid w:val="0"/>
                <w:kern w:val="0"/>
                <w:sz w:val="24"/>
                <w:szCs w:val="21"/>
              </w:rPr>
              <w:t>大写：</w:t>
            </w:r>
          </w:p>
          <w:p>
            <w:pPr>
              <w:keepNext w:val="0"/>
              <w:keepLines w:val="0"/>
              <w:widowControl/>
              <w:suppressLineNumbers w:val="0"/>
              <w:adjustRightInd w:val="0"/>
              <w:snapToGrid w:val="0"/>
              <w:spacing w:before="0" w:beforeAutospacing="0" w:after="0" w:afterAutospacing="0" w:line="300" w:lineRule="auto"/>
              <w:ind w:left="0" w:right="0"/>
              <w:jc w:val="left"/>
              <w:rPr>
                <w:rFonts w:hint="default"/>
              </w:rPr>
            </w:pPr>
            <w:r>
              <w:rPr>
                <w:rFonts w:hint="eastAsia" w:ascii="宋体" w:hAnsi="宋体"/>
                <w:snapToGrid w:val="0"/>
                <w:kern w:val="0"/>
                <w:sz w:val="24"/>
                <w:szCs w:val="21"/>
              </w:rPr>
              <w:t>小写：</w:t>
            </w:r>
          </w:p>
        </w:tc>
        <w:tc>
          <w:tcPr>
            <w:tcW w:w="2034" w:type="dxa"/>
            <w:tcBorders>
              <w:top w:val="single" w:color="auto" w:sz="4" w:space="0"/>
            </w:tcBorders>
            <w:vAlign w:val="center"/>
          </w:tcPr>
          <w:p>
            <w:pPr>
              <w:keepNext w:val="0"/>
              <w:keepLines w:val="0"/>
              <w:widowControl/>
              <w:suppressLineNumbers w:val="0"/>
              <w:adjustRightInd w:val="0"/>
              <w:snapToGrid w:val="0"/>
              <w:spacing w:before="0" w:beforeAutospacing="0" w:after="0" w:afterAutospacing="0" w:line="300" w:lineRule="auto"/>
              <w:ind w:left="0" w:right="0"/>
              <w:jc w:val="center"/>
              <w:rPr>
                <w:rFonts w:hint="default" w:ascii="宋体" w:hAnsi="宋体"/>
                <w:snapToGrid w:val="0"/>
                <w:kern w:val="0"/>
                <w:sz w:val="24"/>
                <w:szCs w:val="21"/>
              </w:rPr>
            </w:pPr>
          </w:p>
        </w:tc>
      </w:tr>
    </w:tbl>
    <w:p>
      <w:pPr>
        <w:ind w:left="632" w:hanging="632" w:hangingChars="300"/>
        <w:rPr>
          <w:rFonts w:ascii="宋体" w:hAnsi="宋体"/>
          <w:color w:val="0000FF"/>
          <w:kern w:val="0"/>
          <w:szCs w:val="21"/>
        </w:rPr>
      </w:pPr>
      <w:r>
        <w:rPr>
          <w:rFonts w:hint="eastAsia"/>
          <w:b/>
          <w:color w:val="0000FF"/>
          <w:szCs w:val="21"/>
        </w:rPr>
        <w:t>注：</w:t>
      </w:r>
      <w:r>
        <w:rPr>
          <w:rFonts w:hint="eastAsia" w:ascii="宋体" w:hAnsi="宋体"/>
          <w:color w:val="0000FF"/>
          <w:kern w:val="0"/>
          <w:szCs w:val="21"/>
        </w:rPr>
        <w:t>1、投标人的投标报价不得超过预算金额，否则将导致投标无效。</w:t>
      </w:r>
    </w:p>
    <w:p>
      <w:pPr>
        <w:widowControl/>
        <w:snapToGrid w:val="0"/>
        <w:ind w:firstLine="420" w:firstLineChars="200"/>
        <w:jc w:val="left"/>
        <w:rPr>
          <w:rFonts w:ascii="宋体" w:hAnsi="宋体"/>
          <w:color w:val="0000FF"/>
          <w:kern w:val="0"/>
          <w:szCs w:val="21"/>
        </w:rPr>
      </w:pPr>
      <w:r>
        <w:rPr>
          <w:rFonts w:hint="eastAsia" w:ascii="宋体" w:hAnsi="宋体"/>
          <w:color w:val="0000FF"/>
          <w:kern w:val="0"/>
          <w:szCs w:val="21"/>
        </w:rPr>
        <w:t>2、服务类项目包含硬件设备、产品等货物采购的，除了要求供应商响应服务方案及报价外，必须按照货物类公开招标文件模板规定的分项报价表格式，要求供应商响应货物标的产品规格型号并逐一分项报价。</w:t>
      </w:r>
    </w:p>
    <w:p>
      <w:pPr>
        <w:tabs>
          <w:tab w:val="left" w:pos="720"/>
        </w:tabs>
        <w:jc w:val="center"/>
        <w:rPr>
          <w:b/>
          <w:sz w:val="24"/>
        </w:rPr>
      </w:pPr>
    </w:p>
    <w:p>
      <w:pPr>
        <w:tabs>
          <w:tab w:val="left" w:pos="720"/>
        </w:tabs>
        <w:jc w:val="center"/>
        <w:rPr>
          <w:b/>
          <w:sz w:val="24"/>
        </w:rPr>
      </w:pPr>
    </w:p>
    <w:p>
      <w:pPr>
        <w:tabs>
          <w:tab w:val="left" w:pos="720"/>
        </w:tabs>
        <w:jc w:val="center"/>
        <w:rPr>
          <w:b/>
          <w:sz w:val="24"/>
        </w:rPr>
      </w:pPr>
      <w:r>
        <w:rPr>
          <w:rFonts w:hint="eastAsia"/>
          <w:b/>
          <w:sz w:val="24"/>
        </w:rPr>
        <w:t>（二）</w:t>
      </w:r>
      <w:bookmarkStart w:id="43" w:name="_Hlk72073235"/>
      <w:r>
        <w:rPr>
          <w:rFonts w:hint="eastAsia"/>
          <w:b/>
          <w:sz w:val="24"/>
        </w:rPr>
        <w:t>投标人认为需要涉及的其他内容报价清单</w:t>
      </w:r>
      <w:bookmarkEnd w:id="43"/>
    </w:p>
    <w:p>
      <w:pPr>
        <w:rPr>
          <w:b/>
          <w:bCs/>
        </w:rPr>
      </w:pPr>
      <w:r>
        <w:rPr>
          <w:b/>
          <w:bCs/>
        </w:rPr>
        <w:br w:type="page"/>
      </w:r>
    </w:p>
    <w:p>
      <w:pPr>
        <w:pStyle w:val="3"/>
        <w:spacing w:before="0" w:after="0"/>
        <w:jc w:val="center"/>
        <w:rPr>
          <w:rFonts w:ascii="黑体" w:hAnsi="黑体" w:eastAsia="黑体" w:cs="黑体"/>
          <w:b w:val="0"/>
          <w:bCs w:val="0"/>
          <w:sz w:val="24"/>
          <w:szCs w:val="28"/>
        </w:rPr>
      </w:pPr>
      <w:r>
        <w:rPr>
          <w:rFonts w:hint="eastAsia" w:ascii="黑体" w:hAnsi="黑体" w:eastAsia="黑体" w:cs="黑体"/>
          <w:b w:val="0"/>
          <w:bCs w:val="0"/>
          <w:sz w:val="24"/>
          <w:szCs w:val="28"/>
          <w:lang w:val="en-US" w:eastAsia="zh-CN"/>
        </w:rPr>
        <w:t>五</w:t>
      </w:r>
      <w:r>
        <w:rPr>
          <w:rFonts w:hint="eastAsia" w:ascii="黑体" w:hAnsi="黑体" w:eastAsia="黑体" w:cs="黑体"/>
          <w:b w:val="0"/>
          <w:bCs w:val="0"/>
          <w:sz w:val="24"/>
          <w:szCs w:val="28"/>
        </w:rPr>
        <w:t>、供应商基本情况表</w:t>
      </w:r>
    </w:p>
    <w:p/>
    <w:p>
      <w:pPr>
        <w:rPr>
          <w:rFonts w:ascii="宋体" w:hAnsi="宋体" w:cs="宋体"/>
          <w:sz w:val="24"/>
        </w:rPr>
      </w:pPr>
      <w:r>
        <w:rPr>
          <w:rFonts w:hint="eastAsia" w:ascii="宋体" w:hAnsi="宋体" w:cs="宋体"/>
          <w:sz w:val="24"/>
        </w:rPr>
        <w:t>填表单位：</w:t>
      </w:r>
      <w:r>
        <w:rPr>
          <w:rFonts w:hint="eastAsia" w:ascii="宋体" w:hAnsi="宋体" w:cs="宋体"/>
          <w:b/>
          <w:color w:val="FF0000"/>
          <w:sz w:val="24"/>
          <w:highlight w:val="yellow"/>
        </w:rPr>
        <w:t>（加盖单位公章）</w:t>
      </w:r>
      <w:r>
        <w:rPr>
          <w:rFonts w:hint="eastAsia" w:ascii="宋体" w:hAnsi="宋体" w:cs="宋体"/>
          <w:sz w:val="24"/>
        </w:rPr>
        <w:tab/>
      </w:r>
      <w:r>
        <w:rPr>
          <w:rFonts w:hint="eastAsia" w:ascii="宋体" w:hAnsi="宋体" w:cs="宋体"/>
          <w:sz w:val="24"/>
        </w:rPr>
        <w:t xml:space="preserve">                   填表日期：    年   月   日</w:t>
      </w:r>
    </w:p>
    <w:tbl>
      <w:tblPr>
        <w:tblStyle w:val="43"/>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676"/>
        <w:gridCol w:w="1526"/>
        <w:gridCol w:w="1027"/>
        <w:gridCol w:w="791"/>
        <w:gridCol w:w="912"/>
        <w:gridCol w:w="1972"/>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采购人</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项目名称</w:t>
            </w:r>
          </w:p>
        </w:tc>
        <w:tc>
          <w:tcPr>
            <w:tcW w:w="39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投标（响应）供应商</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供应商统一社会信用代码</w:t>
            </w:r>
          </w:p>
        </w:tc>
        <w:tc>
          <w:tcPr>
            <w:tcW w:w="39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b/>
                <w:bCs/>
                <w:sz w:val="22"/>
                <w:szCs w:val="22"/>
              </w:rPr>
              <w:t>投标（响应）供应商相关人员情况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序号</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职务</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姓名</w:t>
            </w: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身份证号码</w:t>
            </w: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劳动合同</w:t>
            </w:r>
          </w:p>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关系单位</w:t>
            </w: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缴纳社会</w:t>
            </w:r>
          </w:p>
          <w:p>
            <w:pPr>
              <w:keepNext w:val="0"/>
              <w:keepLines w:val="0"/>
              <w:suppressLineNumbers w:val="0"/>
              <w:snapToGrid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保险单位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1</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法定代表人/单位负责人/主要经营负责人</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2</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项目投标授权代表人</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lang w:bidi="ar"/>
              </w:rPr>
              <w:t>3</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项目负责人</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lang w:bidi="ar"/>
              </w:rPr>
              <w:t>4</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主要技术人员</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lang w:bidi="ar"/>
              </w:rPr>
              <w:t>5</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pStyle w:val="7"/>
              <w:keepNext w:val="0"/>
              <w:keepLines w:val="0"/>
              <w:suppressLineNumbers w:val="0"/>
              <w:snapToGrid w:val="0"/>
              <w:spacing w:before="0" w:beforeAutospacing="0" w:after="0" w:afterAutospacing="0" w:line="400" w:lineRule="exact"/>
              <w:ind w:left="0" w:right="0" w:firstLine="0"/>
              <w:jc w:val="center"/>
              <w:rPr>
                <w:rFonts w:hint="default" w:ascii="宋体" w:hAnsi="宋体" w:cs="宋体"/>
                <w:sz w:val="22"/>
                <w:szCs w:val="22"/>
              </w:rPr>
            </w:pPr>
            <w:r>
              <w:rPr>
                <w:rFonts w:hint="eastAsia" w:ascii="宋体" w:hAnsi="宋体" w:cs="宋体"/>
                <w:sz w:val="22"/>
                <w:szCs w:val="22"/>
              </w:rPr>
              <w:t>投标文件编制人员</w:t>
            </w:r>
          </w:p>
        </w:tc>
        <w:tc>
          <w:tcPr>
            <w:tcW w:w="10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s="宋体"/>
                <w:sz w:val="22"/>
                <w:szCs w:val="22"/>
              </w:rPr>
            </w:pPr>
            <w:r>
              <w:rPr>
                <w:rFonts w:hint="eastAsia" w:ascii="宋体" w:hAnsi="宋体" w:cs="宋体"/>
                <w:b/>
                <w:bCs/>
                <w:sz w:val="22"/>
                <w:szCs w:val="22"/>
              </w:rPr>
              <w:t>说明：同一职务有多人担任（如主要技术人员），应分行填写。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b/>
                <w:bCs/>
                <w:sz w:val="22"/>
                <w:szCs w:val="22"/>
              </w:rPr>
            </w:pPr>
            <w:r>
              <w:rPr>
                <w:rFonts w:hint="eastAsia" w:ascii="宋体" w:hAnsi="宋体" w:cs="宋体"/>
                <w:b/>
                <w:bCs/>
                <w:sz w:val="22"/>
                <w:szCs w:val="22"/>
              </w:rPr>
              <w:t>投标（响应）供应商关联关系情况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lang w:bidi="ar"/>
              </w:rPr>
            </w:pPr>
            <w:r>
              <w:rPr>
                <w:rFonts w:hint="eastAsia" w:ascii="宋体" w:hAnsi="宋体" w:cs="宋体"/>
                <w:sz w:val="22"/>
                <w:szCs w:val="22"/>
                <w:lang w:bidi="ar"/>
              </w:rPr>
              <w:t>序号</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关联关系类型</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关联主体名称</w:t>
            </w:r>
          </w:p>
        </w:tc>
        <w:tc>
          <w:tcPr>
            <w:tcW w:w="481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lang w:bidi="ar"/>
              </w:rPr>
            </w:pPr>
            <w:r>
              <w:rPr>
                <w:rFonts w:hint="eastAsia" w:ascii="宋体" w:hAnsi="宋体" w:cs="宋体"/>
                <w:sz w:val="22"/>
                <w:szCs w:val="22"/>
                <w:lang w:bidi="ar"/>
              </w:rPr>
              <w:t>1</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控股股东</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sz w:val="22"/>
                <w:szCs w:val="22"/>
              </w:rPr>
            </w:pPr>
            <w:r>
              <w:rPr>
                <w:rFonts w:hint="eastAsia" w:ascii="宋体" w:hAnsi="宋体" w:cs="宋体"/>
                <w:sz w:val="22"/>
                <w:szCs w:val="22"/>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lang w:bidi="ar"/>
              </w:rPr>
            </w:pPr>
            <w:r>
              <w:rPr>
                <w:rFonts w:hint="eastAsia" w:ascii="宋体" w:hAnsi="宋体" w:cs="宋体"/>
                <w:sz w:val="22"/>
                <w:szCs w:val="22"/>
                <w:lang w:bidi="ar"/>
              </w:rPr>
              <w:t>2</w:t>
            </w:r>
          </w:p>
        </w:tc>
        <w:tc>
          <w:tcPr>
            <w:tcW w:w="22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r>
              <w:rPr>
                <w:rFonts w:hint="eastAsia" w:ascii="宋体" w:hAnsi="宋体" w:cs="宋体"/>
                <w:sz w:val="22"/>
                <w:szCs w:val="22"/>
              </w:rPr>
              <w:t>管理关系</w:t>
            </w:r>
          </w:p>
        </w:tc>
        <w:tc>
          <w:tcPr>
            <w:tcW w:w="181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 w:val="22"/>
                <w:szCs w:val="22"/>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sz w:val="22"/>
                <w:szCs w:val="22"/>
              </w:rPr>
            </w:pPr>
            <w:r>
              <w:rPr>
                <w:rFonts w:hint="eastAsia" w:ascii="宋体" w:hAnsi="宋体" w:cs="宋体"/>
                <w:sz w:val="22"/>
                <w:szCs w:val="22"/>
              </w:rPr>
              <w:t>指对投标（响应）供应商不具有出资持股关系，但对其存在管理关系的主体。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default" w:ascii="宋体" w:hAnsi="宋体" w:cs="宋体"/>
                <w:sz w:val="22"/>
                <w:szCs w:val="22"/>
              </w:rPr>
            </w:pPr>
            <w:r>
              <w:rPr>
                <w:rFonts w:hint="eastAsia" w:ascii="宋体" w:hAnsi="宋体" w:cs="宋体"/>
                <w:b/>
                <w:bCs/>
                <w:sz w:val="22"/>
                <w:szCs w:val="22"/>
              </w:rPr>
              <w:t>说明：同一关联关系类型有多个主体的，应分行填写。</w:t>
            </w:r>
          </w:p>
        </w:tc>
      </w:tr>
    </w:tbl>
    <w:p>
      <w:pPr>
        <w:widowControl/>
        <w:jc w:val="left"/>
        <w:rPr>
          <w:rFonts w:ascii="宋体" w:hAnsi="宋体" w:cs="宋体"/>
          <w:sz w:val="20"/>
          <w:szCs w:val="22"/>
        </w:rPr>
        <w:sectPr>
          <w:pgSz w:w="11906" w:h="16838"/>
          <w:pgMar w:top="1417" w:right="1417" w:bottom="1417" w:left="1701" w:header="851" w:footer="1588" w:gutter="0"/>
          <w:pgNumType w:fmt="numberInDash"/>
          <w:cols w:space="720" w:num="1"/>
          <w:docGrid w:type="lines" w:linePitch="312" w:charSpace="0"/>
        </w:sectPr>
      </w:pPr>
    </w:p>
    <w:p>
      <w:pPr>
        <w:pStyle w:val="3"/>
        <w:jc w:val="center"/>
        <w:rPr>
          <w:rFonts w:ascii="黑体" w:eastAsia="黑体"/>
          <w:b w:val="0"/>
          <w:sz w:val="24"/>
        </w:rPr>
      </w:pPr>
      <w:r>
        <w:rPr>
          <w:rFonts w:hint="eastAsia" w:ascii="黑体" w:eastAsia="黑体"/>
          <w:b w:val="0"/>
          <w:sz w:val="24"/>
          <w:lang w:val="en-US" w:eastAsia="zh-CN"/>
        </w:rPr>
        <w:t>六</w:t>
      </w:r>
      <w:r>
        <w:rPr>
          <w:rFonts w:hint="eastAsia" w:ascii="黑体" w:eastAsia="黑体"/>
          <w:b w:val="0"/>
          <w:sz w:val="24"/>
        </w:rPr>
        <w:t>、</w:t>
      </w:r>
      <w:bookmarkStart w:id="44" w:name="_Hlk72092499"/>
      <w:r>
        <w:rPr>
          <w:rFonts w:hint="eastAsia" w:ascii="黑体" w:eastAsia="黑体"/>
          <w:b w:val="0"/>
          <w:sz w:val="24"/>
        </w:rPr>
        <w:t>法定代表人（负责人）证明书</w:t>
      </w:r>
      <w:bookmarkEnd w:id="44"/>
    </w:p>
    <w:p>
      <w:pPr>
        <w:rPr>
          <w:sz w:val="24"/>
        </w:rPr>
      </w:pPr>
    </w:p>
    <w:p>
      <w:pPr>
        <w:spacing w:line="360" w:lineRule="auto"/>
        <w:ind w:firstLine="420" w:firstLineChars="200"/>
        <w:rPr>
          <w:szCs w:val="21"/>
        </w:rPr>
      </w:pPr>
      <w:r>
        <w:rPr>
          <w:szCs w:val="21"/>
          <w:u w:val="single"/>
          <w:lang w:bidi="ar"/>
        </w:rPr>
        <w:t xml:space="preserve">                 </w:t>
      </w:r>
      <w:r>
        <w:rPr>
          <w:rFonts w:hint="eastAsia" w:cs="宋体"/>
          <w:szCs w:val="21"/>
          <w:lang w:bidi="ar"/>
        </w:rPr>
        <w:t>（姓名），现任我单位</w:t>
      </w:r>
      <w:r>
        <w:rPr>
          <w:szCs w:val="21"/>
          <w:u w:val="single"/>
          <w:lang w:bidi="ar"/>
        </w:rPr>
        <w:t xml:space="preserve">             </w:t>
      </w:r>
      <w:r>
        <w:rPr>
          <w:rFonts w:hint="eastAsia" w:cs="宋体"/>
          <w:szCs w:val="21"/>
          <w:lang w:bidi="ar"/>
        </w:rPr>
        <w:t>职务，为法定代表人（负责人），身份证件号为：</w:t>
      </w:r>
      <w:r>
        <w:rPr>
          <w:szCs w:val="21"/>
          <w:u w:val="single"/>
          <w:lang w:bidi="ar"/>
        </w:rPr>
        <w:t xml:space="preserve">                                     </w:t>
      </w:r>
      <w:r>
        <w:rPr>
          <w:rFonts w:hint="eastAsia" w:cs="宋体"/>
          <w:szCs w:val="21"/>
          <w:lang w:bidi="ar"/>
        </w:rPr>
        <w:t>，联系电话：</w:t>
      </w:r>
      <w:r>
        <w:rPr>
          <w:szCs w:val="21"/>
          <w:u w:val="single"/>
          <w:lang w:bidi="ar"/>
        </w:rPr>
        <w:t xml:space="preserve">                </w:t>
      </w:r>
      <w:r>
        <w:rPr>
          <w:rFonts w:hint="eastAsia" w:cs="宋体"/>
          <w:szCs w:val="21"/>
          <w:lang w:bidi="ar"/>
        </w:rPr>
        <w:t>。</w:t>
      </w:r>
    </w:p>
    <w:p>
      <w:pPr>
        <w:spacing w:line="360" w:lineRule="auto"/>
        <w:ind w:firstLine="422" w:firstLineChars="200"/>
        <w:rPr>
          <w:b/>
          <w:bCs/>
          <w:color w:val="FF0000"/>
          <w:szCs w:val="21"/>
        </w:rPr>
      </w:pPr>
      <w:r>
        <w:rPr>
          <w:rFonts w:hint="eastAsia" w:cs="宋体"/>
          <w:b/>
          <w:bCs/>
          <w:color w:val="FF0000"/>
          <w:szCs w:val="21"/>
          <w:lang w:bidi="ar"/>
        </w:rPr>
        <w:t>特此证明。</w:t>
      </w:r>
    </w:p>
    <w:p>
      <w:pPr>
        <w:spacing w:line="360" w:lineRule="auto"/>
        <w:ind w:firstLine="422" w:firstLineChars="200"/>
        <w:rPr>
          <w:b/>
          <w:bCs/>
          <w:color w:val="FF0000"/>
          <w:szCs w:val="21"/>
        </w:rPr>
      </w:pPr>
      <w:r>
        <w:rPr>
          <w:rFonts w:hint="eastAsia" w:cs="宋体"/>
          <w:b/>
          <w:bCs/>
          <w:color w:val="FF0000"/>
          <w:szCs w:val="21"/>
          <w:lang w:bidi="ar"/>
        </w:rPr>
        <w:t>说明：</w:t>
      </w:r>
      <w:r>
        <w:rPr>
          <w:b/>
          <w:bCs/>
          <w:color w:val="FF0000"/>
          <w:szCs w:val="21"/>
          <w:lang w:bidi="ar"/>
        </w:rPr>
        <w:t>1</w:t>
      </w:r>
      <w:r>
        <w:rPr>
          <w:rFonts w:hint="eastAsia" w:cs="宋体"/>
          <w:b/>
          <w:bCs/>
          <w:color w:val="FF0000"/>
          <w:szCs w:val="21"/>
          <w:lang w:bidi="ar"/>
        </w:rPr>
        <w:t>、法定代表人为投标人（企业事业单位、国家机关、社会团体）的主要行政负责人。</w:t>
      </w:r>
    </w:p>
    <w:p>
      <w:pPr>
        <w:numPr>
          <w:ilvl w:val="0"/>
          <w:numId w:val="10"/>
        </w:numPr>
        <w:spacing w:line="360" w:lineRule="auto"/>
        <w:ind w:firstLine="422" w:firstLineChars="200"/>
        <w:rPr>
          <w:b/>
          <w:bCs/>
          <w:color w:val="FF0000"/>
          <w:szCs w:val="21"/>
        </w:rPr>
      </w:pPr>
      <w:r>
        <w:rPr>
          <w:rFonts w:hint="eastAsia" w:cs="宋体"/>
          <w:b/>
          <w:bCs/>
          <w:color w:val="FF0000"/>
          <w:szCs w:val="21"/>
          <w:lang w:bidi="ar"/>
        </w:rPr>
        <w:t>本证明书要供法定代表人（负责人）相关身份证明文件：身份证扫描件（正反两面）；港澳台居民可提供来往通行证扫描件；非中国国籍管辖范围人员，可提供公安部门认可的身份证明材料扫描件。</w:t>
      </w:r>
    </w:p>
    <w:p>
      <w:pPr>
        <w:numPr>
          <w:ilvl w:val="0"/>
          <w:numId w:val="10"/>
        </w:numPr>
        <w:spacing w:line="360" w:lineRule="auto"/>
        <w:ind w:firstLine="422" w:firstLineChars="200"/>
        <w:rPr>
          <w:b/>
          <w:bCs/>
          <w:color w:val="FF0000"/>
          <w:szCs w:val="21"/>
        </w:rPr>
      </w:pPr>
      <w:r>
        <w:rPr>
          <w:rFonts w:hint="eastAsia" w:cs="宋体"/>
          <w:b/>
          <w:bCs/>
          <w:color w:val="FF0000"/>
          <w:szCs w:val="21"/>
          <w:lang w:bidi="ar"/>
        </w:rPr>
        <w:t>本项目投标授权代表为法定代表人（负责人）的，无需提供《投标文件签署授权委托书》。</w:t>
      </w:r>
    </w:p>
    <w:p>
      <w:pPr>
        <w:numPr>
          <w:ilvl w:val="0"/>
          <w:numId w:val="10"/>
        </w:numPr>
        <w:spacing w:line="360" w:lineRule="auto"/>
        <w:ind w:firstLine="422" w:firstLineChars="200"/>
        <w:rPr>
          <w:b/>
          <w:bCs/>
          <w:color w:val="FF0000"/>
          <w:szCs w:val="21"/>
        </w:rPr>
      </w:pPr>
      <w:r>
        <w:rPr>
          <w:rFonts w:hint="eastAsia" w:cs="宋体"/>
          <w:b/>
          <w:bCs/>
          <w:color w:val="FF0000"/>
          <w:szCs w:val="21"/>
          <w:lang w:bidi="ar"/>
        </w:rPr>
        <w:t>内容必须填写真实、清楚，涂改无效，不得转让、买卖。</w:t>
      </w:r>
    </w:p>
    <w:tbl>
      <w:tblPr>
        <w:tblStyle w:val="43"/>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ind w:left="0" w:right="0"/>
              <w:jc w:val="center"/>
              <w:rPr>
                <w:rFonts w:hint="default"/>
              </w:rPr>
            </w:pPr>
            <w:r>
              <w:rPr>
                <w:rFonts w:hint="eastAsia" w:cs="宋体"/>
                <w:lang w:bidi="ar"/>
              </w:rPr>
              <w:t>证件扫描件正面</w:t>
            </w:r>
          </w:p>
          <w:p>
            <w:pPr>
              <w:pStyle w:val="37"/>
              <w:keepNext w:val="0"/>
              <w:keepLines w:val="0"/>
              <w:suppressLineNumbers w:val="0"/>
              <w:spacing w:before="0" w:beforeAutospacing="0" w:after="120" w:afterAutospacing="0"/>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tc>
        <w:tc>
          <w:tcPr>
            <w:tcW w:w="426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ind w:left="0" w:right="0"/>
              <w:jc w:val="center"/>
              <w:rPr>
                <w:rFonts w:hint="default"/>
              </w:rPr>
            </w:pPr>
            <w:r>
              <w:rPr>
                <w:rFonts w:hint="eastAsia" w:cs="宋体"/>
                <w:lang w:bidi="ar"/>
              </w:rPr>
              <w:t>证件扫描件反面</w:t>
            </w:r>
          </w:p>
          <w:p>
            <w:pPr>
              <w:pStyle w:val="37"/>
              <w:keepNext w:val="0"/>
              <w:keepLines w:val="0"/>
              <w:suppressLineNumbers w:val="0"/>
              <w:spacing w:before="0" w:beforeAutospacing="0" w:after="120" w:afterAutospacing="0"/>
              <w:ind w:left="0" w:right="0"/>
              <w:jc w:val="center"/>
              <w:rPr>
                <w:rFonts w:hint="default"/>
              </w:rPr>
            </w:pPr>
          </w:p>
          <w:p>
            <w:pPr>
              <w:pStyle w:val="37"/>
              <w:keepNext w:val="0"/>
              <w:keepLines w:val="0"/>
              <w:suppressLineNumbers w:val="0"/>
              <w:spacing w:before="0" w:beforeAutospacing="0" w:after="0" w:afterAutospacing="0" w:line="360" w:lineRule="auto"/>
              <w:ind w:left="0" w:right="0"/>
              <w:jc w:val="center"/>
              <w:rPr>
                <w:rFonts w:hint="default"/>
              </w:rPr>
            </w:pPr>
          </w:p>
        </w:tc>
      </w:tr>
    </w:tbl>
    <w:p>
      <w:pPr>
        <w:pStyle w:val="37"/>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rPr>
          <w:sz w:val="24"/>
        </w:rPr>
      </w:pPr>
    </w:p>
    <w:p>
      <w:pPr>
        <w:rPr>
          <w:rFonts w:ascii="黑体" w:hAnsi="宋体" w:eastAsia="黑体" w:cs="黑体"/>
          <w:bCs/>
          <w:sz w:val="24"/>
          <w:szCs w:val="32"/>
        </w:rPr>
      </w:pPr>
      <w:r>
        <w:rPr>
          <w:rFonts w:hint="eastAsia" w:ascii="黑体" w:hAnsi="宋体" w:eastAsia="黑体" w:cs="黑体"/>
          <w:bCs/>
          <w:sz w:val="24"/>
          <w:szCs w:val="32"/>
        </w:rPr>
        <w:br w:type="page"/>
      </w:r>
    </w:p>
    <w:p>
      <w:pPr>
        <w:pStyle w:val="3"/>
        <w:widowControl/>
        <w:spacing w:before="120" w:after="120"/>
        <w:jc w:val="center"/>
        <w:rPr>
          <w:rFonts w:ascii="黑体" w:eastAsia="黑体" w:cs="黑体"/>
          <w:b w:val="0"/>
          <w:sz w:val="24"/>
        </w:rPr>
      </w:pPr>
      <w:r>
        <w:rPr>
          <w:rFonts w:hint="eastAsia" w:ascii="黑体" w:eastAsia="黑体" w:cs="黑体"/>
          <w:b w:val="0"/>
          <w:sz w:val="24"/>
          <w:lang w:val="en-US" w:eastAsia="zh-CN"/>
        </w:rPr>
        <w:t>七</w:t>
      </w:r>
      <w:r>
        <w:rPr>
          <w:rFonts w:hint="eastAsia" w:ascii="黑体" w:eastAsia="黑体" w:cs="黑体"/>
          <w:b w:val="0"/>
          <w:sz w:val="24"/>
        </w:rPr>
        <w:t>、投标文件签署授权委托书</w:t>
      </w:r>
    </w:p>
    <w:p>
      <w:pPr>
        <w:spacing w:line="360" w:lineRule="auto"/>
        <w:ind w:firstLine="420" w:firstLineChars="200"/>
        <w:rPr>
          <w:szCs w:val="21"/>
        </w:rPr>
      </w:pPr>
      <w:r>
        <w:rPr>
          <w:rFonts w:hint="eastAsia" w:cs="宋体"/>
          <w:szCs w:val="21"/>
          <w:lang w:bidi="ar"/>
        </w:rPr>
        <w:t>本授权委托书声明：我</w:t>
      </w:r>
      <w:r>
        <w:rPr>
          <w:szCs w:val="21"/>
          <w:u w:val="single"/>
          <w:lang w:bidi="ar"/>
        </w:rPr>
        <w:t xml:space="preserve">           </w:t>
      </w:r>
      <w:r>
        <w:rPr>
          <w:rFonts w:hint="eastAsia" w:cs="宋体"/>
          <w:szCs w:val="21"/>
          <w:lang w:bidi="ar"/>
        </w:rPr>
        <w:t>（姓名）系</w:t>
      </w:r>
      <w:r>
        <w:rPr>
          <w:szCs w:val="21"/>
          <w:u w:val="single"/>
          <w:lang w:bidi="ar"/>
        </w:rPr>
        <w:t xml:space="preserve">             </w:t>
      </w:r>
      <w:r>
        <w:rPr>
          <w:rFonts w:hint="eastAsia" w:cs="宋体"/>
          <w:szCs w:val="21"/>
          <w:lang w:bidi="ar"/>
        </w:rPr>
        <w:t>（投标人名称）的法定代表人（负责人），现授权委托</w:t>
      </w:r>
      <w:r>
        <w:rPr>
          <w:szCs w:val="21"/>
          <w:u w:val="single"/>
          <w:lang w:bidi="ar"/>
        </w:rPr>
        <w:t xml:space="preserve">            </w:t>
      </w:r>
      <w:r>
        <w:rPr>
          <w:rFonts w:hint="eastAsia" w:cs="宋体"/>
          <w:szCs w:val="21"/>
          <w:lang w:bidi="ar"/>
        </w:rPr>
        <w:t>（姓名）为我单位签署本项目已递交的投标文件的法定代表人（负责人）的授权委托代理人，代理人全权代表我所签署的本项目已递交的投标文件内容我均承认。</w:t>
      </w:r>
    </w:p>
    <w:p>
      <w:pPr>
        <w:spacing w:line="360" w:lineRule="auto"/>
        <w:ind w:firstLine="420" w:firstLineChars="200"/>
        <w:rPr>
          <w:szCs w:val="21"/>
        </w:rPr>
      </w:pPr>
      <w:r>
        <w:rPr>
          <w:rFonts w:hint="eastAsia" w:cs="宋体"/>
          <w:szCs w:val="21"/>
          <w:lang w:bidi="ar"/>
        </w:rPr>
        <w:t>代理人无转委托权，特此委托。</w:t>
      </w:r>
    </w:p>
    <w:p>
      <w:pPr>
        <w:spacing w:line="360" w:lineRule="auto"/>
        <w:ind w:firstLine="420" w:firstLineChars="200"/>
        <w:rPr>
          <w:szCs w:val="21"/>
        </w:rPr>
      </w:pPr>
    </w:p>
    <w:p>
      <w:pPr>
        <w:spacing w:line="360" w:lineRule="auto"/>
        <w:ind w:firstLine="420" w:firstLineChars="200"/>
        <w:rPr>
          <w:szCs w:val="21"/>
        </w:rPr>
      </w:pPr>
      <w:r>
        <w:rPr>
          <w:rFonts w:hint="eastAsia" w:cs="宋体"/>
          <w:szCs w:val="21"/>
          <w:lang w:bidi="ar"/>
        </w:rPr>
        <w:t>代理人：</w:t>
      </w:r>
      <w:r>
        <w:rPr>
          <w:szCs w:val="21"/>
          <w:u w:val="single"/>
          <w:lang w:bidi="ar"/>
        </w:rPr>
        <w:t xml:space="preserve">              </w:t>
      </w:r>
      <w:r>
        <w:rPr>
          <w:rFonts w:hint="eastAsia" w:cs="宋体"/>
          <w:szCs w:val="21"/>
          <w:lang w:bidi="ar"/>
        </w:rPr>
        <w:t>；</w:t>
      </w:r>
    </w:p>
    <w:p>
      <w:pPr>
        <w:spacing w:line="360" w:lineRule="auto"/>
        <w:ind w:firstLine="420" w:firstLineChars="200"/>
        <w:rPr>
          <w:szCs w:val="21"/>
        </w:rPr>
      </w:pPr>
      <w:r>
        <w:rPr>
          <w:rFonts w:hint="eastAsia" w:cs="宋体"/>
          <w:szCs w:val="21"/>
          <w:lang w:bidi="ar"/>
        </w:rPr>
        <w:t>身份证件号：</w:t>
      </w:r>
      <w:r>
        <w:rPr>
          <w:szCs w:val="21"/>
          <w:u w:val="single"/>
          <w:lang w:bidi="ar"/>
        </w:rPr>
        <w:t xml:space="preserve">                        </w:t>
      </w:r>
      <w:r>
        <w:rPr>
          <w:rFonts w:hint="eastAsia" w:cs="宋体"/>
          <w:szCs w:val="21"/>
          <w:lang w:bidi="ar"/>
        </w:rPr>
        <w:t>，职务：</w:t>
      </w:r>
      <w:r>
        <w:rPr>
          <w:szCs w:val="21"/>
          <w:u w:val="single"/>
          <w:lang w:bidi="ar"/>
        </w:rPr>
        <w:t xml:space="preserve">                </w:t>
      </w:r>
      <w:r>
        <w:rPr>
          <w:rFonts w:hint="eastAsia" w:cs="宋体"/>
          <w:szCs w:val="21"/>
          <w:lang w:bidi="ar"/>
        </w:rPr>
        <w:t>；</w:t>
      </w:r>
    </w:p>
    <w:p>
      <w:pPr>
        <w:spacing w:line="360" w:lineRule="auto"/>
        <w:ind w:firstLine="420" w:firstLineChars="200"/>
        <w:rPr>
          <w:szCs w:val="21"/>
        </w:rPr>
      </w:pPr>
      <w:r>
        <w:rPr>
          <w:rFonts w:hint="eastAsia" w:cs="宋体"/>
          <w:szCs w:val="21"/>
          <w:lang w:bidi="ar"/>
        </w:rPr>
        <w:t>联系电话：</w:t>
      </w:r>
      <w:r>
        <w:rPr>
          <w:szCs w:val="21"/>
          <w:u w:val="single"/>
          <w:lang w:bidi="ar"/>
        </w:rPr>
        <w:t xml:space="preserve">         </w:t>
      </w:r>
      <w:r>
        <w:rPr>
          <w:rFonts w:hint="eastAsia" w:cs="宋体"/>
          <w:szCs w:val="21"/>
          <w:lang w:bidi="ar"/>
        </w:rPr>
        <w:t>，手机：</w:t>
      </w:r>
      <w:r>
        <w:rPr>
          <w:szCs w:val="21"/>
          <w:u w:val="single"/>
          <w:lang w:bidi="ar"/>
        </w:rPr>
        <w:t xml:space="preserve">                </w:t>
      </w:r>
      <w:r>
        <w:rPr>
          <w:rFonts w:hint="eastAsia" w:cs="宋体"/>
          <w:szCs w:val="21"/>
          <w:lang w:bidi="ar"/>
        </w:rPr>
        <w:t>，电子邮箱：</w:t>
      </w:r>
      <w:r>
        <w:rPr>
          <w:szCs w:val="21"/>
          <w:u w:val="single"/>
          <w:lang w:bidi="ar"/>
        </w:rPr>
        <w:t xml:space="preserve">                     </w:t>
      </w:r>
      <w:r>
        <w:rPr>
          <w:rFonts w:hint="eastAsia" w:cs="宋体"/>
          <w:szCs w:val="21"/>
          <w:lang w:bidi="ar"/>
        </w:rPr>
        <w:t>；</w:t>
      </w:r>
    </w:p>
    <w:p>
      <w:pPr>
        <w:spacing w:line="360" w:lineRule="auto"/>
        <w:ind w:firstLine="420" w:firstLineChars="200"/>
        <w:rPr>
          <w:szCs w:val="21"/>
        </w:rPr>
      </w:pPr>
      <w:r>
        <w:rPr>
          <w:rFonts w:hint="eastAsia" w:cs="宋体"/>
          <w:szCs w:val="21"/>
          <w:lang w:bidi="ar"/>
        </w:rPr>
        <w:t>授权委托日期：</w:t>
      </w:r>
      <w:r>
        <w:rPr>
          <w:szCs w:val="21"/>
          <w:u w:val="single"/>
          <w:lang w:bidi="ar"/>
        </w:rPr>
        <w:t xml:space="preserve">         </w:t>
      </w:r>
      <w:r>
        <w:rPr>
          <w:rFonts w:hint="eastAsia" w:cs="宋体"/>
          <w:szCs w:val="21"/>
          <w:lang w:bidi="ar"/>
        </w:rPr>
        <w:t>年</w:t>
      </w:r>
      <w:r>
        <w:rPr>
          <w:szCs w:val="21"/>
          <w:u w:val="single"/>
          <w:lang w:bidi="ar"/>
        </w:rPr>
        <w:t xml:space="preserve">     </w:t>
      </w:r>
      <w:r>
        <w:rPr>
          <w:rFonts w:hint="eastAsia" w:cs="宋体"/>
          <w:szCs w:val="21"/>
          <w:lang w:bidi="ar"/>
        </w:rPr>
        <w:t>月</w:t>
      </w:r>
      <w:r>
        <w:rPr>
          <w:szCs w:val="21"/>
          <w:lang w:bidi="ar"/>
        </w:rPr>
        <w:t xml:space="preserve"> </w:t>
      </w:r>
      <w:r>
        <w:rPr>
          <w:szCs w:val="21"/>
          <w:u w:val="single"/>
          <w:lang w:bidi="ar"/>
        </w:rPr>
        <w:t xml:space="preserve">      </w:t>
      </w:r>
      <w:r>
        <w:rPr>
          <w:rFonts w:hint="eastAsia" w:cs="宋体"/>
          <w:szCs w:val="21"/>
          <w:lang w:bidi="ar"/>
        </w:rPr>
        <w:t>日。</w:t>
      </w:r>
    </w:p>
    <w:p>
      <w:pPr>
        <w:spacing w:line="360" w:lineRule="auto"/>
        <w:rPr>
          <w:b/>
          <w:color w:val="FF0000"/>
          <w:szCs w:val="21"/>
        </w:rPr>
      </w:pPr>
      <w:r>
        <w:rPr>
          <w:rFonts w:hint="eastAsia" w:cs="宋体"/>
          <w:b/>
          <w:color w:val="FF0000"/>
          <w:szCs w:val="21"/>
          <w:lang w:bidi="ar"/>
        </w:rPr>
        <w:t>附：请提供代理人身份证扫描件（正反两面）；港澳台居民可提供来往通行证扫描件；非中国国籍管辖范围人员，可提供公安部门认可的身份证明材料扫描件。</w:t>
      </w:r>
    </w:p>
    <w:tbl>
      <w:tblPr>
        <w:tblStyle w:val="43"/>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ind w:left="0" w:right="0"/>
              <w:jc w:val="center"/>
              <w:rPr>
                <w:rFonts w:hint="default"/>
              </w:rPr>
            </w:pPr>
            <w:r>
              <w:rPr>
                <w:rFonts w:hint="eastAsia" w:cs="宋体"/>
                <w:lang w:bidi="ar"/>
              </w:rPr>
              <w:t>证件扫描件正面</w:t>
            </w:r>
          </w:p>
          <w:p>
            <w:pPr>
              <w:pStyle w:val="37"/>
              <w:keepNext w:val="0"/>
              <w:keepLines w:val="0"/>
              <w:suppressLineNumbers w:val="0"/>
              <w:spacing w:before="0" w:beforeAutospacing="0" w:after="120" w:afterAutospacing="0"/>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p>
            <w:pPr>
              <w:pStyle w:val="37"/>
              <w:keepNext w:val="0"/>
              <w:keepLines w:val="0"/>
              <w:suppressLineNumbers w:val="0"/>
              <w:spacing w:before="0" w:beforeAutospacing="0" w:after="0" w:afterAutospacing="0" w:line="360" w:lineRule="auto"/>
              <w:ind w:left="0" w:right="0"/>
              <w:rPr>
                <w:rFonts w:hint="default"/>
              </w:rPr>
            </w:pPr>
          </w:p>
        </w:tc>
        <w:tc>
          <w:tcPr>
            <w:tcW w:w="426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spacing w:before="0" w:beforeAutospacing="0" w:after="0" w:afterAutospacing="0"/>
              <w:ind w:left="0" w:right="0"/>
              <w:jc w:val="center"/>
              <w:rPr>
                <w:rFonts w:hint="default"/>
              </w:rPr>
            </w:pPr>
            <w:r>
              <w:rPr>
                <w:rFonts w:hint="eastAsia" w:cs="宋体"/>
                <w:lang w:bidi="ar"/>
              </w:rPr>
              <w:t>证件扫描件反面</w:t>
            </w:r>
          </w:p>
          <w:p>
            <w:pPr>
              <w:pStyle w:val="37"/>
              <w:keepNext w:val="0"/>
              <w:keepLines w:val="0"/>
              <w:suppressLineNumbers w:val="0"/>
              <w:spacing w:before="0" w:beforeAutospacing="0" w:after="120" w:afterAutospacing="0"/>
              <w:ind w:left="0" w:right="0"/>
              <w:jc w:val="center"/>
              <w:rPr>
                <w:rFonts w:hint="default"/>
              </w:rPr>
            </w:pPr>
          </w:p>
          <w:p>
            <w:pPr>
              <w:pStyle w:val="37"/>
              <w:keepNext w:val="0"/>
              <w:keepLines w:val="0"/>
              <w:suppressLineNumbers w:val="0"/>
              <w:spacing w:before="0" w:beforeAutospacing="0" w:after="0" w:afterAutospacing="0" w:line="360" w:lineRule="auto"/>
              <w:ind w:left="0" w:right="0"/>
              <w:jc w:val="center"/>
              <w:rPr>
                <w:rFonts w:hint="default"/>
              </w:rPr>
            </w:pPr>
          </w:p>
        </w:tc>
      </w:tr>
    </w:tbl>
    <w:p>
      <w:pPr>
        <w:pStyle w:val="37"/>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
      <w:pPr>
        <w:pStyle w:val="18"/>
        <w:rPr>
          <w:rFonts w:hAnsi="宋体"/>
        </w:rPr>
      </w:pPr>
      <w:r>
        <w:br w:type="page"/>
      </w:r>
    </w:p>
    <w:p>
      <w:pPr>
        <w:pStyle w:val="3"/>
        <w:jc w:val="center"/>
        <w:rPr>
          <w:rFonts w:ascii="黑体" w:eastAsia="黑体"/>
          <w:b w:val="0"/>
          <w:kern w:val="0"/>
          <w:sz w:val="24"/>
          <w:szCs w:val="24"/>
        </w:rPr>
      </w:pPr>
      <w:r>
        <w:rPr>
          <w:rFonts w:hint="eastAsia" w:ascii="黑体" w:eastAsia="黑体"/>
          <w:b w:val="0"/>
          <w:kern w:val="0"/>
          <w:sz w:val="24"/>
          <w:szCs w:val="24"/>
          <w:lang w:val="en-US" w:eastAsia="zh-CN"/>
        </w:rPr>
        <w:t>八</w:t>
      </w:r>
      <w:r>
        <w:rPr>
          <w:rFonts w:hint="eastAsia" w:ascii="黑体" w:eastAsia="黑体"/>
          <w:b w:val="0"/>
          <w:kern w:val="0"/>
          <w:sz w:val="24"/>
          <w:szCs w:val="24"/>
        </w:rPr>
        <w:t>、</w:t>
      </w:r>
      <w:bookmarkStart w:id="45" w:name="_Hlk72092634"/>
      <w:r>
        <w:rPr>
          <w:rFonts w:hint="eastAsia" w:ascii="黑体" w:eastAsia="黑体"/>
          <w:b w:val="0"/>
          <w:kern w:val="0"/>
          <w:sz w:val="24"/>
          <w:szCs w:val="24"/>
        </w:rPr>
        <w:t>实质性条款响应情况表</w:t>
      </w:r>
      <w:bookmarkEnd w:id="45"/>
    </w:p>
    <w:tbl>
      <w:tblPr>
        <w:tblStyle w:val="42"/>
        <w:tblW w:w="8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120"/>
        <w:gridCol w:w="2700"/>
        <w:gridCol w:w="1256"/>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bookmarkStart w:id="46" w:name="_Hlk72092651"/>
            <w:r>
              <w:rPr>
                <w:rFonts w:hint="eastAsia" w:ascii="宋体" w:hAnsi="宋体" w:cs="宋体"/>
                <w:kern w:val="0"/>
                <w:szCs w:val="21"/>
                <w:lang w:bidi="ar"/>
              </w:rPr>
              <w:t>序号</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实质性条款具体内容</w:t>
            </w:r>
          </w:p>
        </w:tc>
        <w:tc>
          <w:tcPr>
            <w:tcW w:w="2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投标响应</w:t>
            </w:r>
          </w:p>
        </w:tc>
        <w:tc>
          <w:tcPr>
            <w:tcW w:w="12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偏离情况</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cs="宋体"/>
                <w:lang w:bidi="ar"/>
              </w:rPr>
              <w:t>说明</w:t>
            </w:r>
          </w:p>
        </w:tc>
      </w:tr>
      <w:bookmarkEnd w:id="4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1</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hAnsi="宋体"/>
                <w:kern w:val="0"/>
                <w:szCs w:val="21"/>
              </w:rPr>
            </w:pPr>
            <w:r>
              <w:rPr>
                <w:rFonts w:hint="default" w:hAnsi="宋体"/>
                <w:kern w:val="0"/>
                <w:szCs w:val="21"/>
              </w:rPr>
              <w:t>满足本项目标★的条款要求。</w:t>
            </w:r>
          </w:p>
        </w:tc>
        <w:tc>
          <w:tcPr>
            <w:tcW w:w="270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1256"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847"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2</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hAnsi="宋体"/>
                <w:kern w:val="0"/>
                <w:szCs w:val="21"/>
              </w:rPr>
            </w:pPr>
            <w:r>
              <w:rPr>
                <w:rFonts w:hint="eastAsia" w:hAnsi="宋体" w:cs="宋体"/>
                <w:kern w:val="0"/>
                <w:szCs w:val="21"/>
              </w:rPr>
              <w:t>（填写相关内容）</w:t>
            </w:r>
          </w:p>
        </w:tc>
        <w:tc>
          <w:tcPr>
            <w:tcW w:w="270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1256"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847"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3</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s="宋体"/>
                <w:kern w:val="0"/>
                <w:szCs w:val="21"/>
              </w:rPr>
            </w:pPr>
            <w:r>
              <w:rPr>
                <w:rFonts w:hint="eastAsia" w:ascii="宋体" w:hAnsi="宋体" w:cs="宋体"/>
                <w:kern w:val="0"/>
                <w:szCs w:val="21"/>
                <w:lang w:bidi="ar"/>
              </w:rPr>
              <w:t>…………</w:t>
            </w:r>
          </w:p>
        </w:tc>
        <w:tc>
          <w:tcPr>
            <w:tcW w:w="270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1256"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c>
          <w:tcPr>
            <w:tcW w:w="847"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suppressLineNumbers w:val="0"/>
              <w:adjustRightInd w:val="0"/>
              <w:snapToGrid w:val="0"/>
              <w:spacing w:before="0" w:beforeAutospacing="0" w:after="0" w:afterAutospacing="0" w:line="360" w:lineRule="auto"/>
              <w:ind w:left="0" w:right="0"/>
              <w:rPr>
                <w:rFonts w:hint="default" w:ascii="宋体" w:hAnsi="宋体" w:cs="宋体"/>
                <w:kern w:val="0"/>
                <w:szCs w:val="21"/>
              </w:rPr>
            </w:pPr>
          </w:p>
        </w:tc>
      </w:tr>
    </w:tbl>
    <w:p>
      <w:pPr>
        <w:rPr>
          <w:b/>
          <w:sz w:val="24"/>
          <w:szCs w:val="22"/>
        </w:rPr>
      </w:pPr>
      <w:r>
        <w:rPr>
          <w:rFonts w:hint="eastAsia" w:cs="宋体"/>
          <w:b/>
          <w:sz w:val="24"/>
          <w:szCs w:val="22"/>
          <w:lang w:bidi="ar"/>
        </w:rPr>
        <w:t>注：</w:t>
      </w:r>
      <w:r>
        <w:rPr>
          <w:b/>
          <w:sz w:val="24"/>
          <w:szCs w:val="22"/>
          <w:lang w:bidi="ar"/>
        </w:rPr>
        <w:t>1.</w:t>
      </w:r>
      <w:r>
        <w:rPr>
          <w:rFonts w:hint="eastAsia" w:cs="宋体"/>
          <w:b/>
          <w:sz w:val="24"/>
          <w:szCs w:val="22"/>
          <w:lang w:bidi="ar"/>
        </w:rPr>
        <w:t>上表所列各项均为不可负偏离条款。</w:t>
      </w:r>
    </w:p>
    <w:p>
      <w:pPr>
        <w:ind w:firstLine="482" w:firstLineChars="200"/>
        <w:rPr>
          <w:b/>
          <w:sz w:val="24"/>
          <w:szCs w:val="22"/>
        </w:rPr>
      </w:pPr>
      <w:r>
        <w:rPr>
          <w:b/>
          <w:sz w:val="24"/>
          <w:szCs w:val="22"/>
          <w:lang w:bidi="ar"/>
        </w:rPr>
        <w:t>2.</w:t>
      </w:r>
      <w:r>
        <w:rPr>
          <w:rFonts w:hint="eastAsia" w:cs="宋体"/>
          <w:b/>
          <w:sz w:val="24"/>
          <w:szCs w:val="22"/>
          <w:lang w:bidi="ar"/>
        </w:rPr>
        <w:t>“投标响应”一栏应当详细填写投标人自身响应情况，而不能不合理照搬照抄招实质性条款具体内容。</w:t>
      </w:r>
    </w:p>
    <w:p>
      <w:pPr>
        <w:ind w:firstLine="482" w:firstLineChars="200"/>
        <w:rPr>
          <w:b/>
          <w:sz w:val="24"/>
          <w:szCs w:val="22"/>
        </w:rPr>
      </w:pPr>
      <w:r>
        <w:rPr>
          <w:b/>
          <w:sz w:val="24"/>
          <w:szCs w:val="22"/>
          <w:lang w:bidi="ar"/>
        </w:rPr>
        <w:t>3.</w:t>
      </w:r>
      <w:r>
        <w:rPr>
          <w:rFonts w:hint="eastAsia" w:cs="宋体"/>
          <w:b/>
          <w:sz w:val="24"/>
          <w:szCs w:val="22"/>
          <w:lang w:bidi="ar"/>
        </w:rPr>
        <w:t>“偏离情况”一栏应填写“正偏离”、“负偏离”或“无偏离”，</w:t>
      </w:r>
      <w:r>
        <w:rPr>
          <w:rFonts w:hint="eastAsia" w:cs="宋体"/>
          <w:b/>
          <w:sz w:val="24"/>
          <w:lang w:bidi="ar"/>
        </w:rPr>
        <w:t>“正偏离”表示“投标响应优于实质性条款具体内容要求”，“负偏离”表示“投标响应不满足实质性条款具体内容要求”，“无偏离”表示“投标响应与实质性条款具体内容要求一致”。</w:t>
      </w:r>
    </w:p>
    <w:p>
      <w:pPr>
        <w:ind w:firstLine="482" w:firstLineChars="200"/>
        <w:rPr>
          <w:b/>
          <w:sz w:val="24"/>
        </w:rPr>
      </w:pPr>
      <w:r>
        <w:rPr>
          <w:b/>
          <w:sz w:val="24"/>
          <w:lang w:bidi="ar"/>
        </w:rPr>
        <w:t>4.</w:t>
      </w:r>
      <w:r>
        <w:rPr>
          <w:rFonts w:hint="eastAsia" w:cs="宋体"/>
          <w:b/>
          <w:sz w:val="24"/>
          <w:lang w:bidi="ar"/>
        </w:rPr>
        <w:t>评审委员会有权对投标响应情况作出判断（作出评审结论）。</w:t>
      </w:r>
    </w:p>
    <w:p>
      <w:pPr>
        <w:ind w:firstLine="482" w:firstLineChars="200"/>
        <w:rPr>
          <w:b/>
          <w:sz w:val="24"/>
          <w:szCs w:val="22"/>
        </w:rPr>
      </w:pPr>
      <w:r>
        <w:rPr>
          <w:b/>
          <w:sz w:val="24"/>
          <w:szCs w:val="22"/>
          <w:lang w:bidi="ar"/>
        </w:rPr>
        <w:t>5.</w:t>
      </w:r>
      <w:r>
        <w:rPr>
          <w:rFonts w:hint="eastAsia" w:cs="宋体"/>
          <w:b/>
          <w:sz w:val="24"/>
          <w:szCs w:val="22"/>
          <w:lang w:bidi="ar"/>
        </w:rPr>
        <w:t>实质性响应条款“投标响应情况”与投标文件其它内容冲突的，以实质性响应条款“投标响应情况”为准。</w:t>
      </w:r>
    </w:p>
    <w:p>
      <w:pPr>
        <w:ind w:firstLine="482" w:firstLineChars="200"/>
        <w:rPr>
          <w:b/>
          <w:sz w:val="24"/>
          <w:szCs w:val="22"/>
        </w:rPr>
      </w:pPr>
      <w:r>
        <w:rPr>
          <w:b/>
          <w:sz w:val="24"/>
          <w:szCs w:val="22"/>
          <w:lang w:bidi="ar"/>
        </w:rPr>
        <w:t>6.</w:t>
      </w:r>
      <w:r>
        <w:rPr>
          <w:rFonts w:hint="eastAsia" w:cs="宋体"/>
          <w:b/>
          <w:sz w:val="24"/>
          <w:szCs w:val="22"/>
          <w:lang w:bidi="ar"/>
        </w:rPr>
        <w:t>要求提供证明资料，在“说明”一栏中列明证明资料的位置</w:t>
      </w:r>
      <w:r>
        <w:rPr>
          <w:b/>
          <w:sz w:val="24"/>
          <w:szCs w:val="22"/>
          <w:lang w:bidi="ar"/>
        </w:rPr>
        <w:t>,</w:t>
      </w:r>
      <w:r>
        <w:rPr>
          <w:rFonts w:hint="eastAsia" w:cs="宋体"/>
          <w:b/>
          <w:sz w:val="24"/>
          <w:szCs w:val="22"/>
          <w:lang w:bidi="ar"/>
        </w:rPr>
        <w:t>以便评审；未要求提供证明材料的，投标人可以不提供。</w:t>
      </w:r>
    </w:p>
    <w:p/>
    <w:p>
      <w:pPr>
        <w:rPr>
          <w:b/>
          <w:bCs/>
          <w:sz w:val="24"/>
        </w:rPr>
      </w:pPr>
    </w:p>
    <w:p>
      <w:pPr>
        <w:widowControl/>
        <w:jc w:val="left"/>
        <w:rPr>
          <w:rFonts w:ascii="黑体" w:hAnsi="宋体" w:eastAsia="黑体"/>
          <w:sz w:val="24"/>
          <w:szCs w:val="20"/>
          <w:highlight w:val="yellow"/>
        </w:rPr>
      </w:pPr>
      <w:r>
        <w:rPr>
          <w:rFonts w:ascii="黑体" w:hAnsi="宋体" w:eastAsia="黑体"/>
          <w:sz w:val="24"/>
          <w:szCs w:val="20"/>
          <w:highlight w:val="yellow"/>
        </w:rPr>
        <w:br w:type="page"/>
      </w:r>
    </w:p>
    <w:p>
      <w:pPr>
        <w:pStyle w:val="3"/>
        <w:jc w:val="center"/>
        <w:rPr>
          <w:sz w:val="24"/>
        </w:rPr>
      </w:pPr>
      <w:r>
        <w:rPr>
          <w:rFonts w:hint="eastAsia" w:ascii="黑体" w:eastAsia="黑体"/>
          <w:b w:val="0"/>
          <w:sz w:val="24"/>
          <w:szCs w:val="24"/>
          <w:lang w:val="en-US" w:eastAsia="zh-CN"/>
        </w:rPr>
        <w:t>九</w:t>
      </w:r>
      <w:r>
        <w:rPr>
          <w:rFonts w:hint="eastAsia" w:ascii="黑体" w:eastAsia="黑体"/>
          <w:b w:val="0"/>
          <w:sz w:val="24"/>
          <w:szCs w:val="24"/>
        </w:rPr>
        <w:t>、技术要求偏离表</w:t>
      </w:r>
    </w:p>
    <w:tbl>
      <w:tblPr>
        <w:tblStyle w:val="42"/>
        <w:tblW w:w="8754" w:type="dxa"/>
        <w:tblInd w:w="-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
        <w:gridCol w:w="772"/>
        <w:gridCol w:w="5446"/>
        <w:gridCol w:w="972"/>
        <w:gridCol w:w="710"/>
        <w:gridCol w:w="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64" w:type="dxa"/>
            <w:vAlign w:val="center"/>
          </w:tcPr>
          <w:p>
            <w:pPr>
              <w:jc w:val="center"/>
              <w:rPr>
                <w:color w:val="000000" w:themeColor="text1"/>
                <w:szCs w:val="21"/>
                <w14:textFill>
                  <w14:solidFill>
                    <w14:schemeClr w14:val="tx1"/>
                  </w14:solidFill>
                </w14:textFill>
              </w:rPr>
            </w:pPr>
            <w:r>
              <w:rPr>
                <w:rFonts w:hint="eastAsia"/>
                <w:sz w:val="24"/>
              </w:rPr>
              <w:t>序号</w:t>
            </w:r>
          </w:p>
        </w:tc>
        <w:tc>
          <w:tcPr>
            <w:tcW w:w="772" w:type="dxa"/>
            <w:vAlign w:val="center"/>
          </w:tcPr>
          <w:p>
            <w:pPr>
              <w:jc w:val="center"/>
              <w:rPr>
                <w:color w:val="000000" w:themeColor="text1"/>
                <w:szCs w:val="21"/>
                <w14:textFill>
                  <w14:solidFill>
                    <w14:schemeClr w14:val="tx1"/>
                  </w14:solidFill>
                </w14:textFill>
              </w:rPr>
            </w:pPr>
            <w:r>
              <w:rPr>
                <w:rFonts w:hint="eastAsia"/>
                <w:sz w:val="24"/>
              </w:rPr>
              <w:t>货物名称</w:t>
            </w:r>
          </w:p>
        </w:tc>
        <w:tc>
          <w:tcPr>
            <w:tcW w:w="5446" w:type="dxa"/>
            <w:vAlign w:val="center"/>
          </w:tcPr>
          <w:p>
            <w:pPr>
              <w:jc w:val="center"/>
              <w:rPr>
                <w:color w:val="000000" w:themeColor="text1"/>
                <w:szCs w:val="21"/>
                <w14:textFill>
                  <w14:solidFill>
                    <w14:schemeClr w14:val="tx1"/>
                  </w14:solidFill>
                </w14:textFill>
              </w:rPr>
            </w:pPr>
            <w:r>
              <w:rPr>
                <w:rFonts w:hint="eastAsia"/>
                <w:sz w:val="24"/>
              </w:rPr>
              <w:t>招标技术要求</w:t>
            </w:r>
          </w:p>
        </w:tc>
        <w:tc>
          <w:tcPr>
            <w:tcW w:w="972" w:type="dxa"/>
            <w:vAlign w:val="center"/>
          </w:tcPr>
          <w:p>
            <w:pPr>
              <w:jc w:val="center"/>
              <w:rPr>
                <w:color w:val="000000" w:themeColor="text1"/>
                <w:szCs w:val="21"/>
                <w14:textFill>
                  <w14:solidFill>
                    <w14:schemeClr w14:val="tx1"/>
                  </w14:solidFill>
                </w14:textFill>
              </w:rPr>
            </w:pPr>
            <w:r>
              <w:rPr>
                <w:rFonts w:hint="eastAsia"/>
                <w:sz w:val="24"/>
              </w:rPr>
              <w:t>投标技术响应</w:t>
            </w:r>
          </w:p>
        </w:tc>
        <w:tc>
          <w:tcPr>
            <w:tcW w:w="710" w:type="dxa"/>
            <w:vAlign w:val="center"/>
          </w:tcPr>
          <w:p>
            <w:pPr>
              <w:jc w:val="center"/>
              <w:rPr>
                <w:color w:val="000000" w:themeColor="text1"/>
                <w:szCs w:val="21"/>
                <w14:textFill>
                  <w14:solidFill>
                    <w14:schemeClr w14:val="tx1"/>
                  </w14:solidFill>
                </w14:textFill>
              </w:rPr>
            </w:pPr>
            <w:r>
              <w:rPr>
                <w:rFonts w:hint="eastAsia"/>
                <w:sz w:val="24"/>
              </w:rPr>
              <w:t>偏离情况</w:t>
            </w:r>
          </w:p>
        </w:tc>
        <w:tc>
          <w:tcPr>
            <w:tcW w:w="390" w:type="dxa"/>
            <w:vAlign w:val="center"/>
          </w:tcPr>
          <w:p>
            <w:pPr>
              <w:jc w:val="center"/>
              <w:rPr>
                <w:color w:val="000000" w:themeColor="text1"/>
                <w:szCs w:val="21"/>
                <w14:textFill>
                  <w14:solidFill>
                    <w14:schemeClr w14:val="tx1"/>
                  </w14:solidFill>
                </w14:textFill>
              </w:rPr>
            </w:pPr>
            <w:r>
              <w:rPr>
                <w:rFonts w:hint="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4" w:type="dxa"/>
            <w:vMerge w:val="restart"/>
            <w:vAlign w:val="center"/>
          </w:tcPr>
          <w:p>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772" w:type="dxa"/>
            <w:vMerge w:val="restart"/>
            <w:vAlign w:val="center"/>
          </w:tcPr>
          <w:p>
            <w:pPr>
              <w:jc w:val="center"/>
              <w:rPr>
                <w:color w:val="000000" w:themeColor="text1"/>
                <w:szCs w:val="21"/>
                <w14:textFill>
                  <w14:solidFill>
                    <w14:schemeClr w14:val="tx1"/>
                  </w14:solidFill>
                </w14:textFill>
              </w:rPr>
            </w:pPr>
            <w:r>
              <w:t>观测图像处理建模与高精度复原算法研究</w:t>
            </w:r>
          </w:p>
        </w:tc>
        <w:tc>
          <w:tcPr>
            <w:tcW w:w="5446" w:type="dxa"/>
          </w:tcPr>
          <w:p>
            <w:r>
              <w:t>▲1. 噪声建模与抑制：建立高斯噪声、泊松噪声及固定模式噪声模型，研发去噪算法。处理后的图像需满足：</w:t>
            </w:r>
          </w:p>
          <w:p>
            <w:r>
              <w:t>- 峰值信噪比(PSNR) ≥ 38 dB</w:t>
            </w:r>
          </w:p>
          <w:p>
            <w:r>
              <w:t>- 结构相似性(SSIM) ≥ 0.92</w:t>
            </w:r>
          </w:p>
          <w:p>
            <w:pPr>
              <w:rPr>
                <w:color w:val="000000" w:themeColor="text1"/>
                <w:szCs w:val="21"/>
                <w14:textFill>
                  <w14:solidFill>
                    <w14:schemeClr w14:val="tx1"/>
                  </w14:solidFill>
                </w14:textFill>
              </w:rPr>
            </w:pPr>
            <w:r>
              <w:t>- 在均匀区域的平均相对偏差(MRD) ≤ 2.0%</w:t>
            </w:r>
          </w:p>
        </w:tc>
        <w:tc>
          <w:tcPr>
            <w:tcW w:w="972" w:type="dxa"/>
          </w:tcPr>
          <w:p>
            <w:pPr>
              <w:rPr>
                <w:color w:val="000000" w:themeColor="text1"/>
                <w:szCs w:val="21"/>
                <w14:textFill>
                  <w14:solidFill>
                    <w14:schemeClr w14:val="tx1"/>
                  </w14:solidFill>
                </w14:textFill>
              </w:rPr>
            </w:pPr>
          </w:p>
        </w:tc>
        <w:tc>
          <w:tcPr>
            <w:tcW w:w="710" w:type="dxa"/>
          </w:tcPr>
          <w:p>
            <w:pPr>
              <w:rPr>
                <w:color w:val="000000" w:themeColor="text1"/>
                <w:szCs w:val="21"/>
                <w14:textFill>
                  <w14:solidFill>
                    <w14:schemeClr w14:val="tx1"/>
                  </w14:solidFill>
                </w14:textFill>
              </w:rPr>
            </w:pPr>
          </w:p>
        </w:tc>
        <w:tc>
          <w:tcPr>
            <w:tcW w:w="390" w:type="dxa"/>
          </w:tcPr>
          <w:p>
            <w:pPr>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4" w:type="dxa"/>
            <w:vMerge w:val="continue"/>
            <w:vAlign w:val="center"/>
          </w:tcPr>
          <w:p>
            <w:pPr>
              <w:jc w:val="center"/>
              <w:rPr>
                <w:color w:val="000000" w:themeColor="text1"/>
                <w:szCs w:val="21"/>
                <w14:textFill>
                  <w14:solidFill>
                    <w14:schemeClr w14:val="tx1"/>
                  </w14:solidFill>
                </w14:textFill>
              </w:rPr>
            </w:pPr>
          </w:p>
        </w:tc>
        <w:tc>
          <w:tcPr>
            <w:tcW w:w="772" w:type="dxa"/>
            <w:vMerge w:val="continue"/>
            <w:vAlign w:val="center"/>
          </w:tcPr>
          <w:p>
            <w:pPr>
              <w:jc w:val="center"/>
              <w:rPr>
                <w:color w:val="000000" w:themeColor="text1"/>
                <w:szCs w:val="21"/>
                <w14:textFill>
                  <w14:solidFill>
                    <w14:schemeClr w14:val="tx1"/>
                  </w14:solidFill>
                </w14:textFill>
              </w:rPr>
            </w:pPr>
          </w:p>
        </w:tc>
        <w:tc>
          <w:tcPr>
            <w:tcW w:w="5446" w:type="dxa"/>
          </w:tcPr>
          <w:p>
            <w:r>
              <w:t>▲2. 云层污染修复：研发云层检测与修复算法，对薄云覆盖区域(光学厚度&lt;0.5)的修复效果需满足：</w:t>
            </w:r>
          </w:p>
          <w:p>
            <w:r>
              <w:t>- 云层检测准确率 ≥ 95%</w:t>
            </w:r>
          </w:p>
          <w:p>
            <w:pPr>
              <w:rPr>
                <w:color w:val="000000" w:themeColor="text1"/>
                <w:szCs w:val="21"/>
                <w14:textFill>
                  <w14:solidFill>
                    <w14:schemeClr w14:val="tx1"/>
                  </w14:solidFill>
                </w14:textFill>
              </w:rPr>
            </w:pPr>
            <w:r>
              <w:t>- 修复区域与参考图像的均方根误差(RMSE)降低 ≥ 50%</w:t>
            </w:r>
          </w:p>
        </w:tc>
        <w:tc>
          <w:tcPr>
            <w:tcW w:w="972" w:type="dxa"/>
          </w:tcPr>
          <w:p>
            <w:pPr>
              <w:rPr>
                <w:color w:val="000000" w:themeColor="text1"/>
                <w:szCs w:val="21"/>
                <w14:textFill>
                  <w14:solidFill>
                    <w14:schemeClr w14:val="tx1"/>
                  </w14:solidFill>
                </w14:textFill>
              </w:rPr>
            </w:pPr>
          </w:p>
        </w:tc>
        <w:tc>
          <w:tcPr>
            <w:tcW w:w="710" w:type="dxa"/>
          </w:tcPr>
          <w:p>
            <w:pPr>
              <w:rPr>
                <w:color w:val="000000" w:themeColor="text1"/>
                <w:szCs w:val="21"/>
                <w14:textFill>
                  <w14:solidFill>
                    <w14:schemeClr w14:val="tx1"/>
                  </w14:solidFill>
                </w14:textFill>
              </w:rPr>
            </w:pPr>
          </w:p>
        </w:tc>
        <w:tc>
          <w:tcPr>
            <w:tcW w:w="390" w:type="dxa"/>
          </w:tcPr>
          <w:p>
            <w:pPr>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4" w:type="dxa"/>
            <w:vMerge w:val="continue"/>
            <w:vAlign w:val="center"/>
          </w:tcPr>
          <w:p>
            <w:pPr>
              <w:jc w:val="center"/>
              <w:rPr>
                <w:color w:val="000000" w:themeColor="text1"/>
                <w:szCs w:val="21"/>
                <w14:textFill>
                  <w14:solidFill>
                    <w14:schemeClr w14:val="tx1"/>
                  </w14:solidFill>
                </w14:textFill>
              </w:rPr>
            </w:pPr>
          </w:p>
        </w:tc>
        <w:tc>
          <w:tcPr>
            <w:tcW w:w="772" w:type="dxa"/>
            <w:vMerge w:val="continue"/>
            <w:vAlign w:val="center"/>
          </w:tcPr>
          <w:p>
            <w:pPr>
              <w:jc w:val="center"/>
              <w:rPr>
                <w:color w:val="000000" w:themeColor="text1"/>
                <w:szCs w:val="21"/>
                <w14:textFill>
                  <w14:solidFill>
                    <w14:schemeClr w14:val="tx1"/>
                  </w14:solidFill>
                </w14:textFill>
              </w:rPr>
            </w:pPr>
          </w:p>
        </w:tc>
        <w:tc>
          <w:tcPr>
            <w:tcW w:w="5446" w:type="dxa"/>
          </w:tcPr>
          <w:p>
            <w:r>
              <w:t>▲3. 大气湍流校正：建立大气湍流退化模型，实现图像复原算法。处理后的图像需满足：</w:t>
            </w:r>
          </w:p>
          <w:p>
            <w:r>
              <w:t>- 主观评价无可见振铃效应和过度平滑</w:t>
            </w:r>
          </w:p>
          <w:p>
            <w:pPr>
              <w:rPr>
                <w:color w:val="000000" w:themeColor="text1"/>
                <w:szCs w:val="21"/>
                <w14:textFill>
                  <w14:solidFill>
                    <w14:schemeClr w14:val="tx1"/>
                  </w14:solidFill>
                </w14:textFill>
              </w:rPr>
            </w:pPr>
            <w:r>
              <w:t>- 提供关键特征的剖面线分析图证明细节恢复效果</w:t>
            </w:r>
          </w:p>
        </w:tc>
        <w:tc>
          <w:tcPr>
            <w:tcW w:w="972" w:type="dxa"/>
          </w:tcPr>
          <w:p>
            <w:pPr>
              <w:rPr>
                <w:color w:val="000000" w:themeColor="text1"/>
                <w:szCs w:val="21"/>
                <w14:textFill>
                  <w14:solidFill>
                    <w14:schemeClr w14:val="tx1"/>
                  </w14:solidFill>
                </w14:textFill>
              </w:rPr>
            </w:pPr>
          </w:p>
        </w:tc>
        <w:tc>
          <w:tcPr>
            <w:tcW w:w="710" w:type="dxa"/>
          </w:tcPr>
          <w:p>
            <w:pPr>
              <w:rPr>
                <w:color w:val="000000" w:themeColor="text1"/>
                <w:szCs w:val="21"/>
                <w14:textFill>
                  <w14:solidFill>
                    <w14:schemeClr w14:val="tx1"/>
                  </w14:solidFill>
                </w14:textFill>
              </w:rPr>
            </w:pPr>
          </w:p>
        </w:tc>
        <w:tc>
          <w:tcPr>
            <w:tcW w:w="390" w:type="dxa"/>
          </w:tcPr>
          <w:p>
            <w:pPr>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4" w:type="dxa"/>
            <w:vMerge w:val="continue"/>
            <w:vAlign w:val="center"/>
          </w:tcPr>
          <w:p>
            <w:pPr>
              <w:jc w:val="center"/>
              <w:rPr>
                <w:color w:val="000000" w:themeColor="text1"/>
                <w:szCs w:val="21"/>
                <w14:textFill>
                  <w14:solidFill>
                    <w14:schemeClr w14:val="tx1"/>
                  </w14:solidFill>
                </w14:textFill>
              </w:rPr>
            </w:pPr>
          </w:p>
        </w:tc>
        <w:tc>
          <w:tcPr>
            <w:tcW w:w="772" w:type="dxa"/>
            <w:vMerge w:val="continue"/>
            <w:vAlign w:val="center"/>
          </w:tcPr>
          <w:p>
            <w:pPr>
              <w:jc w:val="center"/>
              <w:rPr>
                <w:color w:val="000000" w:themeColor="text1"/>
                <w:szCs w:val="21"/>
                <w14:textFill>
                  <w14:solidFill>
                    <w14:schemeClr w14:val="tx1"/>
                  </w14:solidFill>
                </w14:textFill>
              </w:rPr>
            </w:pPr>
          </w:p>
        </w:tc>
        <w:tc>
          <w:tcPr>
            <w:tcW w:w="5446" w:type="dxa"/>
          </w:tcPr>
          <w:p>
            <w:r>
              <w:t>▲4. 高精度图像配准：实现序列图像的自动配准，配准精度需满足：</w:t>
            </w:r>
          </w:p>
          <w:p>
            <w:r>
              <w:t>- 均方根误差(RMSE) ≤ 0.5 像素（亚像素级）</w:t>
            </w:r>
          </w:p>
          <w:p>
            <w:pPr>
              <w:rPr>
                <w:color w:val="000000" w:themeColor="text1"/>
                <w:szCs w:val="21"/>
                <w14:textFill>
                  <w14:solidFill>
                    <w14:schemeClr w14:val="tx1"/>
                  </w14:solidFill>
                </w14:textFill>
              </w:rPr>
            </w:pPr>
            <w:r>
              <w:t>- 残差图像在特征点区域无可见边缘轮廓</w:t>
            </w:r>
          </w:p>
        </w:tc>
        <w:tc>
          <w:tcPr>
            <w:tcW w:w="972" w:type="dxa"/>
          </w:tcPr>
          <w:p>
            <w:pPr>
              <w:rPr>
                <w:color w:val="000000" w:themeColor="text1"/>
                <w:szCs w:val="21"/>
                <w14:textFill>
                  <w14:solidFill>
                    <w14:schemeClr w14:val="tx1"/>
                  </w14:solidFill>
                </w14:textFill>
              </w:rPr>
            </w:pPr>
          </w:p>
        </w:tc>
        <w:tc>
          <w:tcPr>
            <w:tcW w:w="710" w:type="dxa"/>
          </w:tcPr>
          <w:p>
            <w:pPr>
              <w:rPr>
                <w:color w:val="000000" w:themeColor="text1"/>
                <w:szCs w:val="21"/>
                <w14:textFill>
                  <w14:solidFill>
                    <w14:schemeClr w14:val="tx1"/>
                  </w14:solidFill>
                </w14:textFill>
              </w:rPr>
            </w:pPr>
          </w:p>
        </w:tc>
        <w:tc>
          <w:tcPr>
            <w:tcW w:w="390" w:type="dxa"/>
          </w:tcPr>
          <w:p>
            <w:pPr>
              <w:rPr>
                <w:color w:val="000000" w:themeColor="text1"/>
                <w:szCs w:val="21"/>
                <w14:textFill>
                  <w14:solidFill>
                    <w14:schemeClr w14:val="tx1"/>
                  </w14:solidFill>
                </w14:textFill>
              </w:rPr>
            </w:pPr>
          </w:p>
        </w:tc>
      </w:tr>
    </w:tbl>
    <w:p>
      <w:pPr>
        <w:ind w:firstLine="420" w:firstLineChars="200"/>
      </w:pPr>
      <w:bookmarkStart w:id="47" w:name="_Hlk72095977"/>
      <w:r>
        <w:rPr>
          <w:rFonts w:hint="eastAsia"/>
        </w:rPr>
        <w:t>证明资料【如有的话，提供的证明资料应统一编号（排序），格式自定】</w:t>
      </w:r>
      <w:bookmarkEnd w:id="47"/>
      <w:r>
        <w:rPr>
          <w:rFonts w:hint="eastAsia"/>
        </w:rPr>
        <w:t>：</w:t>
      </w:r>
    </w:p>
    <w:p>
      <w:pPr>
        <w:ind w:firstLine="420" w:firstLineChars="200"/>
      </w:pPr>
    </w:p>
    <w:p>
      <w:pPr>
        <w:ind w:firstLine="420" w:firstLineChars="200"/>
      </w:pPr>
      <w:r>
        <w:rPr>
          <w:rFonts w:hint="eastAsia"/>
        </w:rPr>
        <w:t>《技术要求偏离表》编制指引：</w:t>
      </w:r>
    </w:p>
    <w:p>
      <w:pPr>
        <w:ind w:firstLine="420" w:firstLineChars="200"/>
      </w:pPr>
      <w:r>
        <w:rPr>
          <w:rFonts w:hint="eastAsia"/>
        </w:rPr>
        <w:t>1、技术要求偏离表的序号、货物名称、招标技术要求等栏目</w:t>
      </w:r>
      <w:bookmarkStart w:id="48" w:name="_Hlk72094407"/>
      <w:r>
        <w:rPr>
          <w:rFonts w:hint="eastAsia"/>
        </w:rPr>
        <w:t>对应“用户需求书”中的“技术要求”章节</w:t>
      </w:r>
      <w:bookmarkEnd w:id="48"/>
      <w:r>
        <w:rPr>
          <w:rFonts w:hint="eastAsia"/>
        </w:rPr>
        <w:t>相关内容。</w:t>
      </w:r>
    </w:p>
    <w:p>
      <w:pPr>
        <w:ind w:firstLine="420" w:firstLineChars="200"/>
        <w:rPr>
          <w:color w:val="FF0000"/>
        </w:rPr>
      </w:pPr>
      <w:r>
        <w:t>2</w:t>
      </w:r>
      <w:r>
        <w:rPr>
          <w:rFonts w:hint="eastAsia"/>
        </w:rPr>
        <w:t>、“投标技术响应”一栏必须一一对照“招标技术要求”，详细填写投标人自身投标货物的具体参数，而不能不合理照搬照抄招标文件的技术要求，以体现具体响应情况。</w:t>
      </w:r>
      <w:r>
        <w:rPr>
          <w:rFonts w:hint="eastAsia"/>
          <w:color w:val="FF0000"/>
        </w:rPr>
        <w:t>“投标技术响应”必须与所投产品客观实际保持一致，响应不实且情节严重的，经查实，将依法记入供应商诚信档案或受到行政处罚。</w:t>
      </w:r>
    </w:p>
    <w:p>
      <w:pPr>
        <w:ind w:firstLine="420" w:firstLineChars="200"/>
        <w:rPr>
          <w:color w:val="FF0000"/>
        </w:rPr>
      </w:pPr>
      <w:r>
        <w:t>3</w:t>
      </w:r>
      <w:r>
        <w:rPr>
          <w:rFonts w:hint="eastAsia"/>
        </w:rPr>
        <w:t>、</w:t>
      </w:r>
      <w:bookmarkStart w:id="49" w:name="_Hlk72158270"/>
      <w:r>
        <w:rPr>
          <w:rFonts w:hint="eastAsia"/>
        </w:rPr>
        <w:t>“偏离情况”</w:t>
      </w:r>
      <w:bookmarkEnd w:id="49"/>
      <w:r>
        <w:rPr>
          <w:rFonts w:hint="eastAsia"/>
        </w:rPr>
        <w:t>一栏填写如实填写“正偏离”、“负偏离”或“无偏离”，其中：</w:t>
      </w:r>
      <w:bookmarkStart w:id="50" w:name="_Hlk72093866"/>
      <w:r>
        <w:rPr>
          <w:rFonts w:hint="eastAsia"/>
        </w:rPr>
        <w:t>“正偏离”表示“投标响应优于招标技术要求”，“负偏离”表示“投标响应不满足招标技术要求”，“无偏离”表示“投标响应与招标技术要求一致”</w:t>
      </w:r>
      <w:bookmarkEnd w:id="50"/>
      <w:r>
        <w:rPr>
          <w:rFonts w:hint="eastAsia"/>
        </w:rPr>
        <w:t>。“投标技术响应”对比“招标技术要求”存在响应不全（包括未响应整项招标技术要求或者未响应一项招标技术要求的部分内容），均视为“负偏离”。带★号条款为不可负偏离条款，不作为评分准则中的评分内容，如未响应或出现负偏离的，将做投标无效处理。</w:t>
      </w:r>
      <w:r>
        <w:rPr>
          <w:rFonts w:hint="eastAsia"/>
          <w:color w:val="FF0000"/>
        </w:rPr>
        <w:t>“偏离情况”必须与所投产品客观实际保持一致，响应不实且情节严重的，经查实，将依法记入供应商诚信档案或受到行政处罚。</w:t>
      </w:r>
    </w:p>
    <w:p>
      <w:pPr>
        <w:ind w:firstLine="420" w:firstLineChars="200"/>
      </w:pPr>
      <w:r>
        <w:t>4</w:t>
      </w:r>
      <w:r>
        <w:rPr>
          <w:rFonts w:hint="eastAsia"/>
        </w:rPr>
        <w:t>、未要求提供证明资料的招标技术要求，可以不提供证明资料（如实响应即可）。</w:t>
      </w:r>
    </w:p>
    <w:p>
      <w:pPr>
        <w:ind w:firstLine="420" w:firstLineChars="200"/>
      </w:pPr>
      <w:r>
        <w:rPr>
          <w:rFonts w:hint="eastAsia"/>
        </w:rPr>
        <w:t>5、</w:t>
      </w:r>
      <w:bookmarkStart w:id="51" w:name="_Hlk72096106"/>
      <w:r>
        <w:rPr>
          <w:rFonts w:hint="eastAsia"/>
        </w:rPr>
        <w:t>证明资料条款响应要求</w:t>
      </w:r>
      <w:bookmarkEnd w:id="51"/>
      <w:r>
        <w:rPr>
          <w:rFonts w:hint="eastAsia"/>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52" w:name="_Hlk73558782"/>
      <w:r>
        <w:rPr>
          <w:rFonts w:hint="eastAsia"/>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53" w:name="_Hlk73558164"/>
      <w:r>
        <w:rPr>
          <w:rFonts w:hint="eastAsia"/>
        </w:rPr>
        <w:t>且投标人在“偏离情况”一栏响应为“正偏离”或“无偏离”的，经评审委员会认定，将判定为负偏离。</w:t>
      </w:r>
      <w:bookmarkEnd w:id="52"/>
      <w:bookmarkEnd w:id="53"/>
    </w:p>
    <w:p>
      <w:pPr>
        <w:ind w:firstLine="420" w:firstLineChars="200"/>
      </w:pPr>
      <w:r>
        <w:rPr>
          <w:rFonts w:hint="eastAsia"/>
        </w:rPr>
        <w:t>6、</w:t>
      </w:r>
      <w:bookmarkStart w:id="54" w:name="_Hlk72096137"/>
      <w:r>
        <w:rPr>
          <w:rFonts w:hint="eastAsia"/>
        </w:rPr>
        <w:t>表后“证明资料”部分内容的编制</w:t>
      </w:r>
      <w:bookmarkEnd w:id="54"/>
      <w:r>
        <w:rPr>
          <w:rFonts w:hint="eastAsia"/>
        </w:rPr>
        <w:t>：提供的所有证明资料应当统一编号（排序），且证明资料的编号（顺序）、数量和名称（形式）均应与“说明”一栏所填内容保持一致（一一对应），以便评审委员会查看。</w:t>
      </w:r>
      <w:bookmarkStart w:id="55" w:name="_Hlk73558180"/>
      <w:r>
        <w:rPr>
          <w:rFonts w:hint="eastAsia"/>
        </w:rPr>
        <w:t>未按照招标文件要求在表后放置证明材料的供应商将承担不利后果，经评审委员会认定，相关技术要求将判定为负偏离。</w:t>
      </w:r>
      <w:bookmarkEnd w:id="55"/>
    </w:p>
    <w:p>
      <w:pPr>
        <w:ind w:firstLine="420" w:firstLineChars="200"/>
      </w:pPr>
      <w:r>
        <w:rPr>
          <w:rFonts w:hint="eastAsia"/>
        </w:rPr>
        <w:t>7、</w:t>
      </w:r>
      <w:bookmarkStart w:id="56" w:name="_Hlk72096176"/>
      <w:r>
        <w:rPr>
          <w:rFonts w:hint="eastAsia"/>
        </w:rPr>
        <w:t>证明资料的形式及其它具体要求</w:t>
      </w:r>
      <w:bookmarkEnd w:id="56"/>
      <w:r>
        <w:rPr>
          <w:rFonts w:hint="eastAsia"/>
        </w:rPr>
        <w:t>：</w:t>
      </w:r>
    </w:p>
    <w:p>
      <w:pPr>
        <w:ind w:firstLine="420" w:firstLineChars="200"/>
      </w:pPr>
      <w:r>
        <w:rPr>
          <w:rFonts w:hint="eastAsia"/>
        </w:rPr>
        <w:t>（1）除照片、图片（截图）及不需加盖公章的文字说明（技术说明）外，其它证明资料均要求为原件扫描件；</w:t>
      </w:r>
    </w:p>
    <w:p>
      <w:pPr>
        <w:ind w:firstLine="420" w:firstLineChars="200"/>
      </w:pPr>
      <w:r>
        <w:rPr>
          <w:rFonts w:hint="eastAsia"/>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20" w:firstLineChars="200"/>
      </w:pPr>
      <w:r>
        <w:rPr>
          <w:rFonts w:hint="eastAsia"/>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20" w:firstLineChars="200"/>
      </w:pPr>
      <w:r>
        <w:rPr>
          <w:rFonts w:hint="eastAsia"/>
        </w:rPr>
        <w:t>我国政府机构出具的产品检验和核准证件应为证件正面、背面和附件标注的全部具体内容；产品检验和核准证件的尺寸和清晰度应该能够在电脑上被阅读、识别和判断；</w:t>
      </w:r>
    </w:p>
    <w:p>
      <w:pPr>
        <w:ind w:firstLine="420" w:firstLineChars="200"/>
      </w:pPr>
      <w:r>
        <w:rPr>
          <w:rFonts w:hint="eastAsia"/>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20" w:firstLineChars="200"/>
      </w:pPr>
      <w:r>
        <w:rPr>
          <w:rFonts w:hint="eastAsia"/>
        </w:rPr>
        <w:t>其它证明资料的形式要求参照以上要求执行；</w:t>
      </w:r>
    </w:p>
    <w:p>
      <w:pPr>
        <w:ind w:firstLine="420" w:firstLineChars="200"/>
      </w:pPr>
      <w:r>
        <w:rPr>
          <w:rFonts w:hint="eastAsia"/>
        </w:rPr>
        <w:t>8、其它注意事项：</w:t>
      </w:r>
    </w:p>
    <w:p>
      <w:pPr>
        <w:ind w:firstLine="420" w:firstLineChars="200"/>
      </w:pPr>
      <w:r>
        <w:rPr>
          <w:rFonts w:hint="eastAsia"/>
        </w:rPr>
        <w:t>（1）评审委员会有权对投标人的响应情况作出判断（评审结论）；</w:t>
      </w:r>
    </w:p>
    <w:p>
      <w:pPr>
        <w:ind w:firstLine="420" w:firstLineChars="200"/>
      </w:pPr>
      <w:r>
        <w:rPr>
          <w:rFonts w:hint="eastAsia"/>
        </w:rPr>
        <w:t>（2）</w:t>
      </w:r>
      <w:bookmarkStart w:id="57" w:name="_Hlk72158213"/>
      <w:r>
        <w:rPr>
          <w:rFonts w:hint="eastAsia"/>
        </w:rPr>
        <w:t>评审委员会有权对以谋取中标为目的的技术规格模糊响应（如有意不合理照搬照抄招标文件的技术要求）或虚假响应予以认定，并视情况经政府集中采购机构报主管部门进行处理。</w:t>
      </w:r>
      <w:bookmarkEnd w:id="57"/>
    </w:p>
    <w:p>
      <w:pPr>
        <w:pStyle w:val="3"/>
        <w:jc w:val="center"/>
        <w:rPr>
          <w:sz w:val="24"/>
        </w:rPr>
      </w:pPr>
      <w:r>
        <w:rPr>
          <w:rFonts w:hint="eastAsia" w:ascii="黑体" w:eastAsia="黑体"/>
          <w:b w:val="0"/>
          <w:bCs w:val="0"/>
          <w:sz w:val="24"/>
          <w:szCs w:val="20"/>
          <w:lang w:val="en-US" w:eastAsia="zh-CN"/>
        </w:rPr>
        <w:t>十</w:t>
      </w:r>
      <w:r>
        <w:rPr>
          <w:rFonts w:hint="eastAsia" w:ascii="黑体" w:eastAsia="黑体"/>
          <w:b w:val="0"/>
          <w:bCs w:val="0"/>
          <w:sz w:val="24"/>
          <w:szCs w:val="20"/>
        </w:rPr>
        <w:t>、商务要求偏离表</w:t>
      </w:r>
    </w:p>
    <w:tbl>
      <w:tblPr>
        <w:tblStyle w:val="42"/>
        <w:tblW w:w="9091" w:type="dxa"/>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
        <w:gridCol w:w="1408"/>
        <w:gridCol w:w="4918"/>
        <w:gridCol w:w="973"/>
        <w:gridCol w:w="642"/>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10" w:type="dxa"/>
            <w:vAlign w:val="center"/>
          </w:tcPr>
          <w:p>
            <w:pPr>
              <w:jc w:val="center"/>
              <w:rPr>
                <w:b/>
              </w:rPr>
            </w:pPr>
            <w:r>
              <w:rPr>
                <w:rFonts w:hint="eastAsia"/>
                <w:sz w:val="24"/>
              </w:rPr>
              <w:t>序号</w:t>
            </w:r>
          </w:p>
        </w:tc>
        <w:tc>
          <w:tcPr>
            <w:tcW w:w="1408" w:type="dxa"/>
            <w:vAlign w:val="center"/>
          </w:tcPr>
          <w:p>
            <w:pPr>
              <w:jc w:val="center"/>
              <w:rPr>
                <w:b/>
              </w:rPr>
            </w:pPr>
            <w:r>
              <w:rPr>
                <w:rFonts w:hint="eastAsia"/>
                <w:b/>
              </w:rPr>
              <w:t>商务需求项</w:t>
            </w:r>
          </w:p>
        </w:tc>
        <w:tc>
          <w:tcPr>
            <w:tcW w:w="4918" w:type="dxa"/>
            <w:vAlign w:val="center"/>
          </w:tcPr>
          <w:p>
            <w:pPr>
              <w:jc w:val="center"/>
              <w:rPr>
                <w:b/>
              </w:rPr>
            </w:pPr>
            <w:r>
              <w:rPr>
                <w:rFonts w:hint="eastAsia"/>
                <w:sz w:val="24"/>
              </w:rPr>
              <w:t>招标商务要求</w:t>
            </w:r>
          </w:p>
        </w:tc>
        <w:tc>
          <w:tcPr>
            <w:tcW w:w="973" w:type="dxa"/>
            <w:vAlign w:val="center"/>
          </w:tcPr>
          <w:p>
            <w:pPr>
              <w:jc w:val="center"/>
              <w:rPr>
                <w:b/>
              </w:rPr>
            </w:pPr>
            <w:r>
              <w:rPr>
                <w:rFonts w:hint="eastAsia"/>
                <w:sz w:val="24"/>
              </w:rPr>
              <w:t>投标商务响应</w:t>
            </w:r>
          </w:p>
        </w:tc>
        <w:tc>
          <w:tcPr>
            <w:tcW w:w="642" w:type="dxa"/>
            <w:vAlign w:val="center"/>
          </w:tcPr>
          <w:p>
            <w:pPr>
              <w:jc w:val="center"/>
              <w:rPr>
                <w:b/>
              </w:rPr>
            </w:pPr>
            <w:r>
              <w:rPr>
                <w:rFonts w:hint="eastAsia"/>
              </w:rPr>
              <w:t>偏离情况</w:t>
            </w:r>
          </w:p>
        </w:tc>
        <w:tc>
          <w:tcPr>
            <w:tcW w:w="540" w:type="dxa"/>
            <w:vAlign w:val="center"/>
          </w:tcPr>
          <w:p>
            <w:pPr>
              <w:jc w:val="center"/>
              <w:rPr>
                <w:b/>
              </w:rPr>
            </w:pPr>
            <w:r>
              <w:rPr>
                <w:rFonts w:hint="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Merge w:val="restart"/>
            <w:vAlign w:val="center"/>
          </w:tcPr>
          <w:p>
            <w:pPr>
              <w:jc w:val="center"/>
            </w:pPr>
            <w:r>
              <w:rPr>
                <w:rFonts w:hint="eastAsia"/>
              </w:rPr>
              <w:t>1</w:t>
            </w:r>
          </w:p>
        </w:tc>
        <w:tc>
          <w:tcPr>
            <w:tcW w:w="1408" w:type="dxa"/>
            <w:vMerge w:val="restart"/>
            <w:vAlign w:val="center"/>
          </w:tcPr>
          <w:p>
            <w:pPr>
              <w:jc w:val="center"/>
            </w:pPr>
            <w:r>
              <w:rPr>
                <w:rFonts w:hint="eastAsia" w:asciiTheme="minorEastAsia" w:hAnsiTheme="minorEastAsia" w:eastAsiaTheme="minorEastAsia" w:cstheme="minorEastAsia"/>
                <w:b/>
                <w:bCs/>
                <w:szCs w:val="21"/>
              </w:rPr>
              <w:t>关于交货</w:t>
            </w:r>
          </w:p>
        </w:tc>
        <w:tc>
          <w:tcPr>
            <w:tcW w:w="4918" w:type="dxa"/>
          </w:tcPr>
          <w:p>
            <w:r>
              <w:rPr>
                <w:rFonts w:ascii="Segoe UI Symbol" w:hAnsi="Segoe UI Symbol" w:cs="Segoe UI Symbol"/>
              </w:rPr>
              <w:t>★</w:t>
            </w:r>
            <w:r>
              <w:t>1.1 交货地点：深圳市南山区深圳大学城哈工大深圳校区</w:t>
            </w:r>
            <w:r>
              <w:rPr>
                <w:rFonts w:hint="eastAsia"/>
              </w:rPr>
              <w:t>；</w:t>
            </w:r>
          </w:p>
        </w:tc>
        <w:tc>
          <w:tcPr>
            <w:tcW w:w="973" w:type="dxa"/>
          </w:tcPr>
          <w:p>
            <w:pPr>
              <w:rPr>
                <w:bCs/>
                <w:szCs w:val="21"/>
              </w:rPr>
            </w:pPr>
          </w:p>
        </w:tc>
        <w:tc>
          <w:tcPr>
            <w:tcW w:w="642" w:type="dxa"/>
          </w:tcPr>
          <w:p>
            <w:pPr>
              <w:rPr>
                <w:bCs/>
                <w:szCs w:val="21"/>
              </w:rPr>
            </w:pPr>
          </w:p>
        </w:tc>
        <w:tc>
          <w:tcPr>
            <w:tcW w:w="540" w:type="dxa"/>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Merge w:val="continue"/>
            <w:vAlign w:val="center"/>
          </w:tcPr>
          <w:p>
            <w:pPr>
              <w:jc w:val="center"/>
            </w:pPr>
          </w:p>
        </w:tc>
        <w:tc>
          <w:tcPr>
            <w:tcW w:w="1408" w:type="dxa"/>
            <w:vMerge w:val="continue"/>
            <w:vAlign w:val="center"/>
          </w:tcPr>
          <w:p>
            <w:pPr>
              <w:jc w:val="center"/>
            </w:pPr>
          </w:p>
        </w:tc>
        <w:tc>
          <w:tcPr>
            <w:tcW w:w="4918" w:type="dxa"/>
          </w:tcPr>
          <w:p>
            <w:r>
              <w:rPr>
                <w:rFonts w:ascii="Segoe UI Symbol" w:hAnsi="Segoe UI Symbol" w:cs="Segoe UI Symbol"/>
              </w:rPr>
              <w:t>★</w:t>
            </w:r>
            <w:r>
              <w:t>1.2 签订合同后9个月内完成交付</w:t>
            </w:r>
          </w:p>
        </w:tc>
        <w:tc>
          <w:tcPr>
            <w:tcW w:w="973" w:type="dxa"/>
          </w:tcPr>
          <w:p>
            <w:pPr>
              <w:rPr>
                <w:bCs/>
                <w:szCs w:val="21"/>
              </w:rPr>
            </w:pPr>
          </w:p>
        </w:tc>
        <w:tc>
          <w:tcPr>
            <w:tcW w:w="642" w:type="dxa"/>
          </w:tcPr>
          <w:p>
            <w:pPr>
              <w:rPr>
                <w:bCs/>
                <w:szCs w:val="21"/>
              </w:rPr>
            </w:pPr>
          </w:p>
        </w:tc>
        <w:tc>
          <w:tcPr>
            <w:tcW w:w="540" w:type="dxa"/>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Align w:val="center"/>
          </w:tcPr>
          <w:p>
            <w:pPr>
              <w:jc w:val="center"/>
            </w:pPr>
            <w:r>
              <w:rPr>
                <w:rFonts w:hint="eastAsia"/>
              </w:rPr>
              <w:t>2</w:t>
            </w:r>
          </w:p>
        </w:tc>
        <w:tc>
          <w:tcPr>
            <w:tcW w:w="1408" w:type="dxa"/>
            <w:vAlign w:val="center"/>
          </w:tcPr>
          <w:p>
            <w:pPr>
              <w:jc w:val="center"/>
            </w:pPr>
            <w:r>
              <w:rPr>
                <w:rFonts w:hint="eastAsia" w:asciiTheme="minorEastAsia" w:hAnsiTheme="minorEastAsia" w:eastAsiaTheme="minorEastAsia" w:cstheme="minorEastAsia"/>
                <w:b/>
                <w:bCs/>
                <w:szCs w:val="21"/>
              </w:rPr>
              <w:t>验收标准</w:t>
            </w:r>
          </w:p>
        </w:tc>
        <w:tc>
          <w:tcPr>
            <w:tcW w:w="4918" w:type="dxa"/>
          </w:tcPr>
          <w:p>
            <w:pPr>
              <w:spacing w:line="340" w:lineRule="exact"/>
            </w:pPr>
            <w:r>
              <w:rPr>
                <w:rFonts w:ascii="Segoe UI Symbol" w:hAnsi="Segoe UI Symbol" w:cs="Segoe UI Symbol"/>
              </w:rPr>
              <w:t>★</w:t>
            </w:r>
            <w:r>
              <w:rPr>
                <w:rFonts w:hint="eastAsia" w:ascii="Segoe UI Symbol" w:hAnsi="Segoe UI Symbol" w:cs="Segoe UI Symbol"/>
              </w:rPr>
              <w:t>2.1</w:t>
            </w:r>
            <w:r>
              <w:t>以本文件"技术要求"中规定的量化指标为唯一验收标准，中标方需提供完整的测试报告</w:t>
            </w:r>
            <w:r>
              <w:rPr>
                <w:rFonts w:hint="eastAsia"/>
              </w:rPr>
              <w:t>。</w:t>
            </w:r>
          </w:p>
        </w:tc>
        <w:tc>
          <w:tcPr>
            <w:tcW w:w="973" w:type="dxa"/>
          </w:tcPr>
          <w:p>
            <w:pPr>
              <w:rPr>
                <w:bCs/>
                <w:szCs w:val="21"/>
              </w:rPr>
            </w:pPr>
          </w:p>
        </w:tc>
        <w:tc>
          <w:tcPr>
            <w:tcW w:w="642" w:type="dxa"/>
          </w:tcPr>
          <w:p>
            <w:pPr>
              <w:rPr>
                <w:bCs/>
                <w:szCs w:val="21"/>
              </w:rPr>
            </w:pPr>
          </w:p>
        </w:tc>
        <w:tc>
          <w:tcPr>
            <w:tcW w:w="540" w:type="dxa"/>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Merge w:val="restart"/>
            <w:vAlign w:val="center"/>
          </w:tcPr>
          <w:p>
            <w:pPr>
              <w:jc w:val="center"/>
            </w:pPr>
            <w:r>
              <w:rPr>
                <w:rFonts w:hint="eastAsia"/>
              </w:rPr>
              <w:t>3</w:t>
            </w:r>
          </w:p>
        </w:tc>
        <w:tc>
          <w:tcPr>
            <w:tcW w:w="1408" w:type="dxa"/>
            <w:vMerge w:val="restart"/>
            <w:vAlign w:val="center"/>
          </w:tcPr>
          <w:p>
            <w:pPr>
              <w:jc w:val="center"/>
            </w:pPr>
            <w:r>
              <w:rPr>
                <w:rFonts w:hint="eastAsia" w:asciiTheme="minorEastAsia" w:hAnsiTheme="minorEastAsia" w:eastAsiaTheme="minorEastAsia" w:cstheme="minorEastAsia"/>
                <w:b/>
                <w:bCs/>
                <w:szCs w:val="21"/>
              </w:rPr>
              <w:t>关于付款</w:t>
            </w:r>
          </w:p>
        </w:tc>
        <w:tc>
          <w:tcPr>
            <w:tcW w:w="4918" w:type="dxa"/>
          </w:tcPr>
          <w:p>
            <w:pPr>
              <w:spacing w:line="340" w:lineRule="exact"/>
            </w:pPr>
            <w:r>
              <w:t>3.1 付款方式：签订合同后支付90%；最终验收通过后支付10%</w:t>
            </w:r>
            <w:r>
              <w:rPr>
                <w:rFonts w:hint="eastAsia"/>
              </w:rPr>
              <w:t>；</w:t>
            </w:r>
          </w:p>
        </w:tc>
        <w:tc>
          <w:tcPr>
            <w:tcW w:w="973" w:type="dxa"/>
          </w:tcPr>
          <w:p>
            <w:pPr>
              <w:rPr>
                <w:bCs/>
                <w:szCs w:val="21"/>
              </w:rPr>
            </w:pPr>
          </w:p>
        </w:tc>
        <w:tc>
          <w:tcPr>
            <w:tcW w:w="642" w:type="dxa"/>
          </w:tcPr>
          <w:p>
            <w:pPr>
              <w:rPr>
                <w:bCs/>
                <w:szCs w:val="21"/>
              </w:rPr>
            </w:pPr>
          </w:p>
        </w:tc>
        <w:tc>
          <w:tcPr>
            <w:tcW w:w="540" w:type="dxa"/>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Merge w:val="continue"/>
            <w:vAlign w:val="center"/>
          </w:tcPr>
          <w:p>
            <w:pPr>
              <w:jc w:val="center"/>
            </w:pPr>
          </w:p>
        </w:tc>
        <w:tc>
          <w:tcPr>
            <w:tcW w:w="1408" w:type="dxa"/>
            <w:vMerge w:val="continue"/>
            <w:vAlign w:val="center"/>
          </w:tcPr>
          <w:p>
            <w:pPr>
              <w:jc w:val="center"/>
            </w:pPr>
          </w:p>
        </w:tc>
        <w:tc>
          <w:tcPr>
            <w:tcW w:w="4918" w:type="dxa"/>
          </w:tcPr>
          <w:p>
            <w:pPr>
              <w:spacing w:line="340" w:lineRule="exact"/>
            </w:pPr>
            <w:r>
              <w:t>3.2</w:t>
            </w:r>
            <w:r>
              <w:rPr>
                <w:rFonts w:hint="eastAsia"/>
              </w:rPr>
              <w:t>若因乙方原因导致项目失败或未达到核心指标，甲方有权终止合同，乙方需根据实际已完成并通过验收的工作量，按比例返还已支付款项。</w:t>
            </w:r>
          </w:p>
        </w:tc>
        <w:tc>
          <w:tcPr>
            <w:tcW w:w="973" w:type="dxa"/>
          </w:tcPr>
          <w:p>
            <w:pPr>
              <w:rPr>
                <w:bCs/>
                <w:szCs w:val="21"/>
              </w:rPr>
            </w:pPr>
          </w:p>
        </w:tc>
        <w:tc>
          <w:tcPr>
            <w:tcW w:w="642" w:type="dxa"/>
          </w:tcPr>
          <w:p>
            <w:pPr>
              <w:rPr>
                <w:bCs/>
                <w:szCs w:val="21"/>
              </w:rPr>
            </w:pPr>
          </w:p>
        </w:tc>
        <w:tc>
          <w:tcPr>
            <w:tcW w:w="540" w:type="dxa"/>
          </w:tcPr>
          <w:p>
            <w:pPr>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10" w:type="dxa"/>
            <w:vAlign w:val="center"/>
          </w:tcPr>
          <w:p>
            <w:pPr>
              <w:jc w:val="center"/>
            </w:pPr>
            <w:r>
              <w:rPr>
                <w:rFonts w:hint="eastAsia"/>
              </w:rPr>
              <w:t>4</w:t>
            </w:r>
          </w:p>
        </w:tc>
        <w:tc>
          <w:tcPr>
            <w:tcW w:w="1408" w:type="dxa"/>
            <w:vAlign w:val="center"/>
          </w:tcPr>
          <w:p>
            <w:pPr>
              <w:jc w:val="center"/>
            </w:pPr>
            <w:r>
              <w:rPr>
                <w:rFonts w:hint="eastAsia" w:asciiTheme="minorEastAsia" w:hAnsiTheme="minorEastAsia" w:eastAsiaTheme="minorEastAsia" w:cstheme="minorEastAsia"/>
                <w:b/>
                <w:bCs/>
                <w:szCs w:val="21"/>
              </w:rPr>
              <w:t>知识产权</w:t>
            </w:r>
          </w:p>
        </w:tc>
        <w:tc>
          <w:tcPr>
            <w:tcW w:w="4918" w:type="dxa"/>
            <w:vAlign w:val="center"/>
          </w:tcPr>
          <w:p>
            <w:r>
              <w:rPr>
                <w:rFonts w:hint="eastAsia"/>
                <w:b/>
                <w:szCs w:val="21"/>
              </w:rPr>
              <w:t>★4.1</w:t>
            </w:r>
            <w:r>
              <w:rPr>
                <w:rFonts w:hint="eastAsia"/>
              </w:rPr>
              <w:t>项目所产生的所有研究成果（包括但不限于算法、模型、软件著作权等）的知识产权归甲方所有，乙方享有署名权。并有权在不泄露甲方敏感数据的前提下，将核心技术方法用于学术发表和成果展示。</w:t>
            </w:r>
          </w:p>
        </w:tc>
        <w:tc>
          <w:tcPr>
            <w:tcW w:w="973" w:type="dxa"/>
          </w:tcPr>
          <w:p>
            <w:pPr>
              <w:rPr>
                <w:bCs/>
                <w:szCs w:val="21"/>
              </w:rPr>
            </w:pPr>
          </w:p>
        </w:tc>
        <w:tc>
          <w:tcPr>
            <w:tcW w:w="642" w:type="dxa"/>
          </w:tcPr>
          <w:p>
            <w:pPr>
              <w:rPr>
                <w:bCs/>
                <w:szCs w:val="21"/>
              </w:rPr>
            </w:pPr>
          </w:p>
        </w:tc>
        <w:tc>
          <w:tcPr>
            <w:tcW w:w="540" w:type="dxa"/>
          </w:tcPr>
          <w:p>
            <w:pPr>
              <w:rPr>
                <w:bCs/>
                <w:szCs w:val="21"/>
              </w:rPr>
            </w:pPr>
          </w:p>
        </w:tc>
      </w:tr>
    </w:tbl>
    <w:p>
      <w:pPr>
        <w:ind w:firstLine="420" w:firstLineChars="200"/>
        <w:rPr>
          <w:bCs/>
          <w:szCs w:val="21"/>
        </w:rPr>
      </w:pPr>
      <w:r>
        <w:rPr>
          <w:rFonts w:hint="eastAsia"/>
          <w:bCs/>
          <w:szCs w:val="21"/>
        </w:rPr>
        <w:t>《商务要求偏离表》编制指引：</w:t>
      </w:r>
    </w:p>
    <w:p>
      <w:pPr>
        <w:ind w:firstLine="420" w:firstLineChars="200"/>
        <w:rPr>
          <w:bCs/>
          <w:szCs w:val="21"/>
        </w:rPr>
      </w:pPr>
      <w:r>
        <w:rPr>
          <w:rFonts w:hint="eastAsia"/>
          <w:bCs/>
          <w:szCs w:val="21"/>
        </w:rPr>
        <w:t>1、商务要求偏离表的序号、商务需求项、招标商务要求等栏目对应“用户需求书”中的“商务要求”章节相关内容。</w:t>
      </w:r>
    </w:p>
    <w:p>
      <w:pPr>
        <w:ind w:firstLine="420" w:firstLineChars="200"/>
        <w:rPr>
          <w:bCs/>
          <w:szCs w:val="21"/>
        </w:rPr>
      </w:pPr>
      <w:r>
        <w:rPr>
          <w:bCs/>
          <w:szCs w:val="21"/>
        </w:rPr>
        <w:t>2</w:t>
      </w:r>
      <w:r>
        <w:rPr>
          <w:rFonts w:hint="eastAsia"/>
          <w:bCs/>
          <w:szCs w:val="21"/>
        </w:rPr>
        <w:t>、“投标商务响应”一栏必须一一对照“招标商务要求”，详细填写自身响应情况，而不能不合理照搬照抄招标文件的商务要求，以体现具体响应情况。</w:t>
      </w:r>
    </w:p>
    <w:p>
      <w:pPr>
        <w:ind w:firstLine="420" w:firstLineChars="200"/>
        <w:rPr>
          <w:bCs/>
          <w:color w:val="FF0000"/>
          <w:szCs w:val="21"/>
        </w:rPr>
      </w:pPr>
      <w:r>
        <w:rPr>
          <w:bCs/>
          <w:szCs w:val="21"/>
        </w:rPr>
        <w:t>3</w:t>
      </w:r>
      <w:r>
        <w:rPr>
          <w:rFonts w:hint="eastAsia"/>
          <w:bCs/>
          <w:szCs w:val="21"/>
        </w:rPr>
        <w:t>、“偏离情况”一栏填写如实填写“正偏离”、“负偏离”或“无偏离”，其中：“正偏离”表示“投标响应优于招标商务要求”，“负偏离”表示“投标响应不满足招标商务要求”，“无偏离”表示“投标响应与招标商务要求一致”。</w:t>
      </w:r>
    </w:p>
    <w:p>
      <w:pPr>
        <w:rPr>
          <w:bCs/>
          <w:szCs w:val="21"/>
        </w:rPr>
      </w:pPr>
      <w:r>
        <w:rPr>
          <w:rFonts w:hint="eastAsia"/>
          <w:bCs/>
          <w:szCs w:val="21"/>
        </w:rPr>
        <w:t>“投标商务响应”对比“招标商务要求”存在响应不全（包括未响应整项招标商务要求或者未响应一项招标商务要求的部分内容），均视为“负偏离”。</w:t>
      </w:r>
    </w:p>
    <w:p>
      <w:pPr>
        <w:ind w:firstLine="420" w:firstLineChars="200"/>
        <w:rPr>
          <w:bCs/>
          <w:szCs w:val="21"/>
        </w:rPr>
      </w:pPr>
      <w:r>
        <w:rPr>
          <w:rFonts w:hint="eastAsia"/>
          <w:bCs/>
          <w:szCs w:val="21"/>
        </w:rPr>
        <w:t>4、带★号条款为不可偏离条款，如未响应或出现负偏离的，将作投标无效处理。</w:t>
      </w:r>
    </w:p>
    <w:p>
      <w:pPr>
        <w:rPr>
          <w:sz w:val="24"/>
        </w:rPr>
      </w:pPr>
    </w:p>
    <w:p>
      <w:pPr>
        <w:pStyle w:val="7"/>
        <w:ind w:firstLine="0"/>
        <w:rPr>
          <w:rFonts w:asciiTheme="minorEastAsia" w:hAnsiTheme="minorEastAsia" w:eastAsiaTheme="minorEastAsia" w:cstheme="minorEastAsia"/>
          <w:sz w:val="24"/>
          <w:highlight w:val="yellow"/>
        </w:rPr>
      </w:pPr>
    </w:p>
    <w:p>
      <w:pPr>
        <w:pStyle w:val="3"/>
        <w:rPr>
          <w:rFonts w:ascii="黑体" w:hAnsi="黑体" w:eastAsia="黑体" w:cs="黑体"/>
          <w:b w:val="0"/>
          <w:bCs w:val="0"/>
          <w:sz w:val="24"/>
          <w:szCs w:val="28"/>
        </w:rPr>
      </w:pPr>
      <w:r>
        <w:rPr>
          <w:rFonts w:hint="eastAsia" w:ascii="黑体" w:hAnsi="黑体" w:eastAsia="黑体" w:cs="黑体"/>
          <w:b w:val="0"/>
          <w:bCs w:val="0"/>
          <w:sz w:val="24"/>
          <w:szCs w:val="28"/>
          <w:lang w:val="en-US" w:eastAsia="zh-CN"/>
        </w:rPr>
        <w:t>十一</w:t>
      </w:r>
      <w:r>
        <w:rPr>
          <w:rFonts w:hint="eastAsia" w:ascii="黑体" w:hAnsi="黑体" w:eastAsia="黑体" w:cs="黑体"/>
          <w:b w:val="0"/>
          <w:bCs w:val="0"/>
          <w:sz w:val="24"/>
          <w:szCs w:val="28"/>
        </w:rPr>
        <w:t>、</w:t>
      </w:r>
      <w:r>
        <w:rPr>
          <w:rFonts w:hint="eastAsia" w:ascii="宋体" w:hAnsi="宋体"/>
          <w:sz w:val="20"/>
          <w:szCs w:val="20"/>
        </w:rPr>
        <w:t>技术保障措施</w:t>
      </w:r>
    </w:p>
    <w:p>
      <w:pPr>
        <w:pStyle w:val="7"/>
        <w:ind w:firstLine="0"/>
        <w:jc w:val="center"/>
        <w:rPr>
          <w:rFonts w:asciiTheme="minorEastAsia" w:hAnsiTheme="minorEastAsia" w:eastAsiaTheme="minorEastAsia" w:cstheme="minorEastAsia"/>
          <w:b/>
          <w:bCs/>
          <w:color w:val="FF0000"/>
          <w:sz w:val="22"/>
          <w:szCs w:val="18"/>
          <w:highlight w:val="yellow"/>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pPr>
        <w:pStyle w:val="7"/>
        <w:ind w:firstLine="0"/>
        <w:rPr>
          <w:rFonts w:asciiTheme="minorEastAsia" w:hAnsiTheme="minorEastAsia" w:eastAsiaTheme="minorEastAsia" w:cstheme="minorEastAsia"/>
          <w:sz w:val="24"/>
          <w:highlight w:val="yellow"/>
        </w:rPr>
      </w:pPr>
    </w:p>
    <w:p>
      <w:pPr>
        <w:pStyle w:val="3"/>
        <w:rPr>
          <w:rFonts w:ascii="黑体" w:hAnsi="黑体" w:eastAsia="黑体" w:cs="黑体"/>
          <w:b w:val="0"/>
          <w:bCs w:val="0"/>
          <w:sz w:val="24"/>
          <w:szCs w:val="28"/>
        </w:rPr>
      </w:pPr>
      <w:r>
        <w:rPr>
          <w:rFonts w:hint="eastAsia" w:ascii="黑体" w:hAnsi="黑体" w:eastAsia="黑体" w:cs="黑体"/>
          <w:b w:val="0"/>
          <w:bCs w:val="0"/>
          <w:sz w:val="24"/>
          <w:szCs w:val="28"/>
          <w:lang w:val="en-US" w:eastAsia="zh-CN"/>
        </w:rPr>
        <w:t>十二</w:t>
      </w:r>
      <w:r>
        <w:rPr>
          <w:rFonts w:hint="eastAsia" w:ascii="黑体" w:hAnsi="黑体" w:eastAsia="黑体" w:cs="黑体"/>
          <w:b w:val="0"/>
          <w:bCs w:val="0"/>
          <w:sz w:val="24"/>
          <w:szCs w:val="28"/>
        </w:rPr>
        <w:t>、</w:t>
      </w:r>
      <w:r>
        <w:rPr>
          <w:rFonts w:hint="eastAsia"/>
          <w:szCs w:val="21"/>
          <w:lang w:val="en-US" w:eastAsia="zh-CN"/>
        </w:rPr>
        <w:t>团队实力</w:t>
      </w:r>
    </w:p>
    <w:p>
      <w:pPr>
        <w:pStyle w:val="7"/>
        <w:ind w:firstLine="0"/>
        <w:jc w:val="center"/>
        <w:rPr>
          <w:color w:val="FF0000"/>
          <w:sz w:val="22"/>
          <w:szCs w:val="22"/>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pPr>
        <w:pStyle w:val="3"/>
        <w:rPr>
          <w:rFonts w:ascii="黑体" w:hAnsi="黑体" w:eastAsia="黑体" w:cs="黑体"/>
          <w:b w:val="0"/>
          <w:bCs w:val="0"/>
          <w:sz w:val="24"/>
          <w:szCs w:val="28"/>
        </w:rPr>
      </w:pPr>
      <w:r>
        <w:rPr>
          <w:rFonts w:hint="eastAsia" w:ascii="黑体" w:hAnsi="黑体" w:eastAsia="黑体" w:cs="黑体"/>
          <w:b w:val="0"/>
          <w:bCs w:val="0"/>
          <w:sz w:val="24"/>
          <w:szCs w:val="28"/>
          <w:lang w:val="en-US" w:eastAsia="zh-CN"/>
        </w:rPr>
        <w:t>十三</w:t>
      </w:r>
      <w:r>
        <w:rPr>
          <w:rFonts w:hint="eastAsia" w:ascii="黑体" w:hAnsi="黑体" w:eastAsia="黑体" w:cs="黑体"/>
          <w:b w:val="0"/>
          <w:bCs w:val="0"/>
          <w:sz w:val="24"/>
          <w:szCs w:val="28"/>
        </w:rPr>
        <w:t>、供应商同类项目业绩</w:t>
      </w:r>
    </w:p>
    <w:p>
      <w:pPr>
        <w:pStyle w:val="18"/>
        <w:jc w:val="center"/>
        <w:rPr>
          <w:b/>
          <w:bCs/>
          <w:color w:val="FF0000"/>
          <w:sz w:val="22"/>
          <w:szCs w:val="22"/>
        </w:rPr>
      </w:pPr>
      <w:r>
        <w:rPr>
          <w:rFonts w:hint="eastAsia"/>
          <w:b/>
          <w:bCs/>
          <w:color w:val="FF0000"/>
          <w:sz w:val="22"/>
          <w:szCs w:val="22"/>
        </w:rPr>
        <w:t>（特别提示：投标人须按本招标文件评标信息中这一评审因素要求，提供证明资料）</w:t>
      </w:r>
    </w:p>
    <w:p>
      <w:pPr>
        <w:pStyle w:val="19"/>
      </w:pPr>
    </w:p>
    <w:p>
      <w:pPr>
        <w:pStyle w:val="3"/>
        <w:bidi w:val="0"/>
        <w:rPr>
          <w:rFonts w:hint="eastAsia" w:ascii="黑体" w:hAnsi="黑体" w:eastAsia="黑体" w:cs="黑体"/>
          <w:b w:val="0"/>
          <w:bCs w:val="0"/>
          <w:sz w:val="24"/>
          <w:szCs w:val="28"/>
        </w:rPr>
      </w:pPr>
      <w:r>
        <w:rPr>
          <w:rFonts w:hint="eastAsia" w:ascii="黑体" w:hAnsi="黑体" w:eastAsia="黑体" w:cs="黑体"/>
          <w:b w:val="0"/>
          <w:bCs w:val="0"/>
          <w:sz w:val="24"/>
          <w:szCs w:val="28"/>
          <w:lang w:val="en-US" w:eastAsia="zh-CN"/>
        </w:rPr>
        <w:t>十四</w:t>
      </w:r>
      <w:r>
        <w:rPr>
          <w:rFonts w:hint="eastAsia" w:ascii="黑体" w:hAnsi="黑体" w:eastAsia="黑体" w:cs="黑体"/>
          <w:b w:val="0"/>
          <w:bCs w:val="0"/>
          <w:sz w:val="24"/>
          <w:szCs w:val="28"/>
        </w:rPr>
        <w:t>、投标人认为需要加以说明的其他内容</w:t>
      </w:r>
    </w:p>
    <w:p>
      <w:pPr>
        <w:widowControl/>
        <w:jc w:val="center"/>
        <w:rPr>
          <w:rFonts w:ascii="黑体" w:hAnsi="宋体" w:eastAsia="黑体"/>
          <w:kern w:val="0"/>
          <w:sz w:val="24"/>
          <w:szCs w:val="20"/>
        </w:rPr>
      </w:pPr>
      <w:r>
        <w:rPr>
          <w:rFonts w:hint="eastAsia" w:ascii="黑体" w:hAnsi="宋体" w:eastAsia="黑体"/>
          <w:kern w:val="0"/>
          <w:sz w:val="24"/>
          <w:szCs w:val="20"/>
        </w:rPr>
        <w:t>（一）采购违法行为风险知悉确认书</w:t>
      </w:r>
    </w:p>
    <w:p>
      <w:pPr>
        <w:keepNext w:val="0"/>
        <w:keepLines w:val="0"/>
        <w:widowControl w:val="0"/>
        <w:suppressLineNumbers w:val="0"/>
        <w:spacing w:before="0" w:beforeAutospacing="0" w:after="120" w:afterLines="50" w:afterAutospacing="0" w:line="360" w:lineRule="exact"/>
        <w:ind w:left="0" w:right="0" w:firstLine="422" w:firstLineChars="200"/>
        <w:jc w:val="both"/>
        <w:rPr>
          <w:rFonts w:hint="eastAsia" w:ascii="宋体" w:hAnsi="宋体" w:eastAsia="宋体" w:cs="宋体"/>
          <w:b/>
          <w:bCs/>
          <w:szCs w:val="21"/>
          <w:lang w:val="en-US"/>
        </w:rPr>
      </w:pPr>
      <w:r>
        <w:rPr>
          <w:rFonts w:hint="eastAsia" w:ascii="宋体" w:hAnsi="宋体" w:eastAsia="宋体" w:cs="宋体"/>
          <w:b/>
          <w:bCs/>
          <w:kern w:val="2"/>
          <w:sz w:val="21"/>
          <w:szCs w:val="21"/>
          <w:lang w:val="en-US" w:eastAsia="zh-CN" w:bidi="ar"/>
        </w:rPr>
        <w:t>我单位在投标前已充分知悉以下情形为参与</w:t>
      </w:r>
      <w:r>
        <w:rPr>
          <w:rFonts w:hint="eastAsia" w:ascii="宋体" w:hAnsi="宋体" w:cs="宋体"/>
          <w:b/>
          <w:bCs/>
          <w:kern w:val="2"/>
          <w:sz w:val="21"/>
          <w:szCs w:val="21"/>
          <w:lang w:val="en-US" w:eastAsia="zh-CN" w:bidi="ar"/>
        </w:rPr>
        <w:t>自行</w:t>
      </w:r>
      <w:r>
        <w:rPr>
          <w:rFonts w:hint="eastAsia" w:ascii="宋体" w:hAnsi="宋体" w:eastAsia="宋体" w:cs="宋体"/>
          <w:b/>
          <w:bCs/>
          <w:kern w:val="2"/>
          <w:sz w:val="21"/>
          <w:szCs w:val="21"/>
          <w:lang w:val="en-US" w:eastAsia="zh-CN" w:bidi="ar"/>
        </w:rPr>
        <w:t>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43"/>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1"/>
        <w:gridCol w:w="8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b/>
                <w:bCs/>
                <w:color w:val="auto"/>
                <w:kern w:val="2"/>
                <w:sz w:val="21"/>
                <w:szCs w:val="21"/>
                <w:lang w:val="en-US" w:eastAsia="zh-CN" w:bidi="ar"/>
              </w:rPr>
              <w:t>供应商参与投标禁止情形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与其他投标供应商的法定代表人、主要经营负责人、投标授权代表人、项目负责人、主要技术人员为</w:t>
            </w:r>
            <w:r>
              <w:rPr>
                <w:rFonts w:hint="eastAsia" w:ascii="宋体" w:hAnsi="宋体" w:eastAsia="宋体" w:cs="宋体"/>
                <w:b/>
                <w:bCs/>
                <w:color w:val="auto"/>
                <w:kern w:val="2"/>
                <w:sz w:val="21"/>
                <w:szCs w:val="21"/>
                <w:lang w:val="en-US" w:eastAsia="zh-CN" w:bidi="ar"/>
              </w:rPr>
              <w:t>同一人、属同一单位或者在同一单位缴纳社会保险</w:t>
            </w:r>
            <w:r>
              <w:rPr>
                <w:rFonts w:hint="eastAsia" w:ascii="宋体" w:hAnsi="宋体" w:eastAsia="宋体" w:cs="宋体"/>
                <w:color w:val="auto"/>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参与本项目采购活动时，与其他投标供应商存在单位负责人为</w:t>
            </w:r>
            <w:r>
              <w:rPr>
                <w:rFonts w:hint="eastAsia" w:ascii="宋体" w:hAnsi="宋体" w:eastAsia="宋体" w:cs="宋体"/>
                <w:b/>
                <w:bCs/>
                <w:color w:val="auto"/>
                <w:kern w:val="2"/>
                <w:sz w:val="21"/>
                <w:szCs w:val="21"/>
                <w:lang w:val="en-US" w:eastAsia="zh-CN" w:bidi="ar"/>
              </w:rPr>
              <w:t>同一人或直接控股、管理关系</w:t>
            </w:r>
            <w:r>
              <w:rPr>
                <w:rFonts w:hint="eastAsia" w:ascii="宋体" w:hAnsi="宋体" w:eastAsia="宋体" w:cs="宋体"/>
                <w:color w:val="auto"/>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与其他投标供应商的投标文件或部分投标文件</w:t>
            </w:r>
            <w:r>
              <w:rPr>
                <w:rFonts w:hint="eastAsia" w:ascii="宋体" w:hAnsi="宋体" w:eastAsia="宋体" w:cs="宋体"/>
                <w:b/>
                <w:bCs/>
                <w:color w:val="auto"/>
                <w:kern w:val="2"/>
                <w:sz w:val="21"/>
                <w:szCs w:val="21"/>
                <w:lang w:val="en-US" w:eastAsia="zh-CN" w:bidi="ar"/>
              </w:rPr>
              <w:t>相互混装或存在非正常一致</w:t>
            </w:r>
            <w:r>
              <w:rPr>
                <w:rFonts w:hint="eastAsia" w:ascii="宋体" w:hAnsi="宋体" w:eastAsia="宋体" w:cs="宋体"/>
                <w:color w:val="auto"/>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与其他投标供应商的投标文件由</w:t>
            </w:r>
            <w:r>
              <w:rPr>
                <w:rFonts w:hint="eastAsia" w:ascii="宋体" w:hAnsi="宋体" w:eastAsia="宋体" w:cs="宋体"/>
                <w:b/>
                <w:bCs/>
                <w:color w:val="auto"/>
                <w:kern w:val="2"/>
                <w:sz w:val="21"/>
                <w:szCs w:val="21"/>
                <w:lang w:val="en-US" w:eastAsia="zh-CN" w:bidi="ar"/>
              </w:rPr>
              <w:t>同一单位或者同一人编制</w:t>
            </w:r>
            <w:r>
              <w:rPr>
                <w:rFonts w:hint="eastAsia" w:ascii="宋体" w:hAnsi="宋体" w:eastAsia="宋体" w:cs="宋体"/>
                <w:color w:val="auto"/>
                <w:kern w:val="2"/>
                <w:sz w:val="21"/>
                <w:szCs w:val="21"/>
                <w:lang w:val="en-US" w:eastAsia="zh-CN" w:bidi="ar"/>
              </w:rPr>
              <w:t>，或者使用</w:t>
            </w:r>
            <w:r>
              <w:rPr>
                <w:rFonts w:hint="eastAsia" w:ascii="宋体" w:hAnsi="宋体" w:eastAsia="宋体" w:cs="宋体"/>
                <w:b/>
                <w:bCs/>
                <w:color w:val="auto"/>
                <w:kern w:val="2"/>
                <w:sz w:val="21"/>
                <w:szCs w:val="21"/>
                <w:lang w:val="en-US" w:eastAsia="zh-CN" w:bidi="ar"/>
              </w:rPr>
              <w:t>同一设备编制</w:t>
            </w:r>
            <w:r>
              <w:rPr>
                <w:rFonts w:hint="eastAsia" w:ascii="宋体" w:hAnsi="宋体" w:eastAsia="宋体" w:cs="宋体"/>
                <w:color w:val="auto"/>
                <w:kern w:val="2"/>
                <w:sz w:val="21"/>
                <w:szCs w:val="21"/>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提供</w:t>
            </w:r>
            <w:r>
              <w:rPr>
                <w:rFonts w:hint="eastAsia" w:ascii="宋体" w:hAnsi="宋体" w:eastAsia="宋体" w:cs="宋体"/>
                <w:b/>
                <w:bCs/>
                <w:color w:val="auto"/>
                <w:kern w:val="2"/>
                <w:sz w:val="21"/>
                <w:szCs w:val="21"/>
                <w:lang w:val="en-US" w:eastAsia="zh-CN" w:bidi="ar"/>
              </w:rPr>
              <w:t>未经出具机构核实</w:t>
            </w:r>
            <w:r>
              <w:rPr>
                <w:rFonts w:hint="eastAsia" w:ascii="宋体" w:hAnsi="宋体" w:eastAsia="宋体" w:cs="宋体"/>
                <w:color w:val="auto"/>
                <w:kern w:val="2"/>
                <w:sz w:val="21"/>
                <w:szCs w:val="21"/>
                <w:lang w:val="en-US" w:eastAsia="zh-CN" w:bidi="ar"/>
              </w:rPr>
              <w:t>的虚假的检验检测报告、业绩材料、社保缴纳证明、学历学位证书、职称认证证书等材料。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exact"/>
              <w:ind w:left="0" w:right="0"/>
              <w:jc w:val="left"/>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擅自将投标密钥出借他人使用或未妥善保管。</w:t>
            </w:r>
          </w:p>
        </w:tc>
      </w:tr>
    </w:tbl>
    <w:p>
      <w:pPr>
        <w:keepNext w:val="0"/>
        <w:keepLines w:val="0"/>
        <w:widowControl w:val="0"/>
        <w:suppressLineNumbers w:val="0"/>
        <w:spacing w:before="120" w:beforeLines="50" w:beforeAutospacing="0" w:after="0" w:afterAutospacing="0" w:line="38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一、我单位已充分知悉“隐瞒真实情况，提供虚假资料”的法定情形，包括但不限于：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（一）通过转让或者租借等方式从其他单位获取资格或者资质证书投标的。</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（二）由其他单位或者其他单位负责人在投标供应商编制的投标文件上加盖印章或者签字的。</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（三）项目负责人或者主要技术人员不是本单位人员的。</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（四）投标保证金不是从投标供应商基本账户转出的。</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（五）其他隐瞒真实情况、提供虚假资料的行为。</w:t>
      </w:r>
    </w:p>
    <w:p>
      <w:pPr>
        <w:keepNext w:val="0"/>
        <w:keepLines w:val="0"/>
        <w:widowControl w:val="0"/>
        <w:suppressLineNumbers w:val="0"/>
        <w:spacing w:before="0" w:beforeAutospacing="0" w:after="0" w:afterAutospacing="0" w:line="38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二、我单位已充分知悉“与其他采购参加人串通投标”的法定情形，包括但不限于：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（一）投标供应商之间相互约定给予未中标的供应商利益补偿。</w:t>
      </w:r>
    </w:p>
    <w:p>
      <w:pPr>
        <w:keepNext w:val="0"/>
        <w:keepLines w:val="0"/>
        <w:widowControl w:val="0"/>
        <w:suppressLineNumbers w:val="0"/>
        <w:spacing w:before="0" w:beforeAutospacing="0" w:after="0" w:afterAutospacing="0" w:line="38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（二）不同投标供应商的法定代表人、主要经营负责人、项目投标授权代表人、项目负责人、主要技术人员为同一人、属同一单位或者在同一单位缴纳社会保险。</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（三）不同投标供应商的投标文件由同一单位或者同一人编制，或者由同一人分阶段参与编制的。</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（四）不同投标供应商的投标文件或部分投标文件相互混装。</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（五）不同投标供应商的投标文件内容存在非正常一致。</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（六）由同一单位工作人员为两家以上（含两家）供应商进行同一项投标活动的。</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（七）不同投标人的投标报价呈规律性差异。</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（八）不同投标人的投标保证金从同一单位或者个人的账户转出。</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（九）主管部门依照法律、法规认定的其他情形。</w:t>
      </w:r>
    </w:p>
    <w:p>
      <w:pPr>
        <w:keepNext w:val="0"/>
        <w:keepLines w:val="0"/>
        <w:widowControl w:val="0"/>
        <w:suppressLineNumbers w:val="0"/>
        <w:spacing w:before="0" w:beforeAutospacing="0" w:after="0" w:afterAutospacing="0" w:line="34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三、我单位已充分知悉下列情形存在法律风险，在投标前已对相关风险事项进行排查。</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b/>
          <w:bCs w:val="0"/>
          <w:szCs w:val="21"/>
          <w:lang w:val="en-US"/>
        </w:rPr>
      </w:pPr>
      <w:r>
        <w:rPr>
          <w:rFonts w:hint="eastAsia" w:ascii="宋体" w:hAnsi="宋体" w:eastAsia="宋体" w:cs="宋体"/>
          <w:kern w:val="2"/>
          <w:sz w:val="21"/>
          <w:szCs w:val="21"/>
          <w:lang w:val="en-US" w:eastAsia="zh-CN" w:bidi="ar"/>
        </w:rPr>
        <w:t>（一）对于从其他主体获取的投标资料，我单位应审慎核查，确保其真实性。</w:t>
      </w:r>
      <w:r>
        <w:rPr>
          <w:rFonts w:hint="eastAsia" w:ascii="宋体" w:hAnsi="宋体" w:eastAsia="宋体" w:cs="宋体"/>
          <w:b/>
          <w:bCs w:val="0"/>
          <w:kern w:val="2"/>
          <w:sz w:val="21"/>
          <w:szCs w:val="21"/>
          <w:lang w:val="en-US" w:eastAsia="zh-CN" w:bidi="ar"/>
        </w:rPr>
        <w:t>如主管部门查实投标文件中存在虚假资料的，无论相关资料是否由第三方或本公司员工提供，均不影响主管部门对供应商存在“隐瞒真实情况，提供虚假资料”违法行为的认定。</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（二）对于涉及国家机关出具的公文、证件、证明材料等文件，一旦涉嫌虚假，经查实，主管部门将依法从严处理，并移送有关部门追究法律责任；涉嫌犯罪的，移送司法机关处理。</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（三）我单位对投标电子密钥负有妥善保管、及时变更和续期等主体责任；使用电子密钥在</w:t>
      </w:r>
      <w:r>
        <w:rPr>
          <w:rFonts w:hint="eastAsia" w:ascii="Times New Roman" w:hAnsi="Times New Roman" w:eastAsia="宋体" w:cs="Times New Roman"/>
          <w:kern w:val="2"/>
          <w:sz w:val="21"/>
          <w:szCs w:val="24"/>
          <w:lang w:val="en-US" w:eastAsia="zh-CN" w:bidi="ar"/>
        </w:rPr>
        <w:t>深圳自行采购网站</w:t>
      </w:r>
      <w:r>
        <w:rPr>
          <w:rFonts w:hint="eastAsia" w:ascii="宋体" w:hAnsi="宋体" w:eastAsia="宋体" w:cs="宋体"/>
          <w:kern w:val="2"/>
          <w:sz w:val="21"/>
          <w:szCs w:val="21"/>
          <w:lang w:val="en-US" w:eastAsia="zh-CN" w:bidi="ar"/>
        </w:rPr>
        <w:t>进行的活动，均具有法律效力，须承担相应的法律后果。若</w:t>
      </w:r>
      <w:r>
        <w:rPr>
          <w:rFonts w:hint="eastAsia" w:ascii="宋体" w:hAnsi="宋体" w:eastAsia="宋体" w:cs="宋体"/>
          <w:b/>
          <w:bCs/>
          <w:kern w:val="2"/>
          <w:sz w:val="21"/>
          <w:szCs w:val="21"/>
          <w:lang w:val="en-US" w:eastAsia="zh-CN" w:bidi="ar"/>
        </w:rPr>
        <w:t>擅自将投标密钥出借他人使用所造成的法律后果，由我单位自行承担</w:t>
      </w:r>
      <w:r>
        <w:rPr>
          <w:rFonts w:hint="eastAsia" w:ascii="宋体" w:hAnsi="宋体" w:eastAsia="宋体" w:cs="宋体"/>
          <w:kern w:val="2"/>
          <w:sz w:val="21"/>
          <w:szCs w:val="21"/>
          <w:lang w:val="en-US" w:eastAsia="zh-CN" w:bidi="ar"/>
        </w:rPr>
        <w:t>。</w:t>
      </w:r>
    </w:p>
    <w:p>
      <w:pPr>
        <w:keepNext w:val="0"/>
        <w:keepLines w:val="0"/>
        <w:widowControl w:val="0"/>
        <w:suppressLineNumbers w:val="0"/>
        <w:spacing w:before="0" w:beforeAutospacing="0" w:after="0" w:afterAutospacing="0" w:line="340" w:lineRule="exact"/>
        <w:ind w:left="0" w:right="0" w:firstLine="422" w:firstLineChars="200"/>
        <w:jc w:val="both"/>
        <w:rPr>
          <w:rFonts w:hint="eastAsia" w:ascii="宋体" w:hAnsi="宋体" w:eastAsia="宋体" w:cs="宋体"/>
          <w:b/>
          <w:bCs w:val="0"/>
          <w:szCs w:val="21"/>
          <w:lang w:val="en-US"/>
        </w:rPr>
      </w:pPr>
      <w:r>
        <w:rPr>
          <w:rFonts w:hint="eastAsia" w:ascii="宋体" w:hAnsi="宋体" w:eastAsia="宋体" w:cs="宋体"/>
          <w:b/>
          <w:bCs w:val="0"/>
          <w:kern w:val="2"/>
          <w:sz w:val="21"/>
          <w:szCs w:val="21"/>
          <w:lang w:val="en-US" w:eastAsia="zh-CN" w:bidi="ar"/>
        </w:rPr>
        <w:t>四、我单位已充分知悉政府采购违法、违规行为的法律后果。</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keepNext w:val="0"/>
        <w:keepLines w:val="0"/>
        <w:widowControl w:val="0"/>
        <w:suppressLineNumbers w:val="0"/>
        <w:spacing w:before="0" w:beforeAutospacing="0" w:after="0" w:afterAutospacing="0" w:line="340" w:lineRule="exact"/>
        <w:ind w:left="0" w:right="0" w:firstLine="420" w:firstLineChars="200"/>
        <w:jc w:val="both"/>
        <w:rPr>
          <w:rFonts w:hint="eastAsia" w:ascii="宋体" w:hAnsi="宋体" w:eastAsia="宋体" w:cs="宋体"/>
          <w:szCs w:val="21"/>
          <w:highlight w:val="yellow"/>
          <w:lang w:val="en-US"/>
        </w:rPr>
      </w:pPr>
      <w:r>
        <w:rPr>
          <w:rFonts w:hint="eastAsia" w:ascii="宋体" w:hAnsi="宋体" w:eastAsia="宋体" w:cs="宋体"/>
          <w:kern w:val="2"/>
          <w:sz w:val="21"/>
          <w:szCs w:val="21"/>
          <w:highlight w:val="yellow"/>
          <w:lang w:val="en-US" w:eastAsia="zh-CN" w:bidi="ar"/>
        </w:rPr>
        <w:t>以下文字请投标供应商抄写并确认：“我单位已仔细阅读《采购违法行为风险知悉确认书》，充分知悉违法行为的法律后果，并承诺将严谨、诚信、依法依规参与采购活动”。</w:t>
      </w:r>
    </w:p>
    <w:tbl>
      <w:tblPr>
        <w:tblStyle w:val="202"/>
        <w:tblW w:w="8535" w:type="dxa"/>
        <w:tblInd w:w="0" w:type="dxa"/>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
      <w:tblGrid>
        <w:gridCol w:w="8535"/>
      </w:tblGrid>
      <w:tr>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shd w:val="clear" w:color="auto" w:fill="auto"/>
            <w:vAlign w:val="top"/>
          </w:tcPr>
          <w:p>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vAlign w:val="top"/>
          </w:tcPr>
          <w:p>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vAlign w:val="top"/>
          </w:tcPr>
          <w:p>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r>
        <w:tblPrEx>
          <w:tblBorders>
            <w:top w:val="non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shd w:val="clear" w:color="auto" w:fill="auto"/>
            <w:vAlign w:val="top"/>
          </w:tcPr>
          <w:p>
            <w:pPr>
              <w:keepNext w:val="0"/>
              <w:keepLines w:val="0"/>
              <w:widowControl w:val="0"/>
              <w:suppressLineNumbers w:val="0"/>
              <w:autoSpaceDE w:val="0"/>
              <w:autoSpaceDN w:val="0"/>
              <w:spacing w:before="0" w:beforeAutospacing="0" w:after="0" w:afterAutospacing="0" w:line="340" w:lineRule="exact"/>
              <w:ind w:left="0" w:right="0" w:firstLine="1866"/>
              <w:jc w:val="both"/>
              <w:rPr>
                <w:rFonts w:hint="eastAsia" w:ascii="宋体" w:hAnsi="宋体" w:eastAsia="宋体" w:cs="宋体"/>
                <w:spacing w:val="-4"/>
                <w:kern w:val="0"/>
                <w:szCs w:val="21"/>
                <w:lang w:val="en-US"/>
              </w:rPr>
            </w:pPr>
          </w:p>
        </w:tc>
      </w:tr>
    </w:tbl>
    <w:p>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lang w:val="en-US"/>
        </w:rPr>
      </w:pPr>
    </w:p>
    <w:p>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单位负责人签名：</w:t>
      </w:r>
      <w:r>
        <w:rPr>
          <w:rFonts w:hint="eastAsia" w:ascii="宋体" w:hAnsi="宋体" w:eastAsia="宋体" w:cs="宋体"/>
          <w:spacing w:val="-4"/>
          <w:kern w:val="0"/>
          <w:sz w:val="21"/>
          <w:szCs w:val="21"/>
          <w:u w:val="single"/>
          <w:lang w:val="en-US" w:eastAsia="zh-CN" w:bidi="ar"/>
        </w:rPr>
        <w:t xml:space="preserve">              </w:t>
      </w:r>
    </w:p>
    <w:p>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center"/>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 xml:space="preserve">                                 （加盖公章）</w:t>
      </w:r>
    </w:p>
    <w:p>
      <w:pPr>
        <w:keepNext w:val="0"/>
        <w:keepLines w:val="0"/>
        <w:widowControl/>
        <w:suppressLineNumbers w:val="0"/>
        <w:wordWrap w:val="0"/>
        <w:autoSpaceDE w:val="0"/>
        <w:autoSpaceDN w:val="0"/>
        <w:spacing w:before="0" w:beforeAutospacing="0" w:after="0" w:afterAutospacing="0" w:line="340" w:lineRule="exact"/>
        <w:ind w:left="0" w:right="808" w:firstLine="404" w:firstLineChars="200"/>
        <w:jc w:val="right"/>
        <w:rPr>
          <w:rFonts w:hint="eastAsia" w:ascii="宋体" w:hAnsi="宋体" w:eastAsia="宋体" w:cs="宋体"/>
          <w:spacing w:val="-4"/>
          <w:kern w:val="0"/>
          <w:szCs w:val="21"/>
          <w:u w:val="single"/>
          <w:lang w:val="en-US"/>
        </w:rPr>
      </w:pPr>
      <w:r>
        <w:rPr>
          <w:rFonts w:hint="eastAsia" w:ascii="宋体" w:hAnsi="宋体" w:eastAsia="宋体" w:cs="宋体"/>
          <w:spacing w:val="-4"/>
          <w:kern w:val="0"/>
          <w:sz w:val="21"/>
          <w:szCs w:val="21"/>
          <w:lang w:val="en-US" w:eastAsia="zh-CN" w:bidi="ar"/>
        </w:rPr>
        <w:t xml:space="preserve">     日期：</w:t>
      </w:r>
      <w:r>
        <w:rPr>
          <w:rFonts w:hint="eastAsia" w:ascii="宋体" w:hAnsi="宋体" w:eastAsia="宋体" w:cs="宋体"/>
          <w:spacing w:val="-4"/>
          <w:kern w:val="0"/>
          <w:sz w:val="21"/>
          <w:szCs w:val="21"/>
          <w:u w:val="single"/>
          <w:lang w:val="en-US" w:eastAsia="zh-CN" w:bidi="ar"/>
        </w:rPr>
        <w:t xml:space="preserve">              </w:t>
      </w:r>
    </w:p>
    <w:p>
      <w:pPr>
        <w:keepNext w:val="0"/>
        <w:keepLines w:val="0"/>
        <w:widowControl/>
        <w:suppressLineNumbers w:val="0"/>
        <w:autoSpaceDE w:val="0"/>
        <w:autoSpaceDN w:val="0"/>
        <w:spacing w:before="0" w:beforeAutospacing="0" w:after="0" w:afterAutospacing="0" w:line="340" w:lineRule="exact"/>
        <w:ind w:left="0" w:right="0" w:firstLine="406" w:firstLineChars="200"/>
        <w:jc w:val="left"/>
        <w:rPr>
          <w:rFonts w:hint="eastAsia" w:ascii="宋体" w:hAnsi="宋体" w:eastAsia="宋体" w:cs="宋体"/>
          <w:b/>
          <w:bCs/>
          <w:color w:val="FF0000"/>
          <w:spacing w:val="-4"/>
          <w:kern w:val="0"/>
          <w:szCs w:val="21"/>
          <w:lang w:val="en-US"/>
        </w:rPr>
      </w:pPr>
    </w:p>
    <w:p>
      <w:pPr>
        <w:keepNext w:val="0"/>
        <w:keepLines w:val="0"/>
        <w:widowControl/>
        <w:suppressLineNumbers w:val="0"/>
        <w:autoSpaceDE w:val="0"/>
        <w:autoSpaceDN w:val="0"/>
        <w:spacing w:before="0" w:beforeAutospacing="0" w:after="0" w:afterAutospacing="0" w:line="340" w:lineRule="exact"/>
        <w:ind w:right="0"/>
        <w:jc w:val="left"/>
        <w:rPr>
          <w:rFonts w:hint="eastAsia" w:ascii="宋体" w:hAnsi="宋体" w:eastAsia="宋体" w:cs="宋体"/>
          <w:b/>
          <w:bCs/>
          <w:color w:val="FF0000"/>
          <w:spacing w:val="-4"/>
          <w:kern w:val="0"/>
          <w:szCs w:val="21"/>
          <w:lang w:val="en-US"/>
        </w:rPr>
      </w:pPr>
      <w:r>
        <w:rPr>
          <w:rFonts w:hint="eastAsia" w:ascii="宋体" w:hAnsi="宋体" w:eastAsia="宋体" w:cs="宋体"/>
          <w:b/>
          <w:bCs/>
          <w:color w:val="FF0000"/>
          <w:spacing w:val="-4"/>
          <w:kern w:val="0"/>
          <w:sz w:val="21"/>
          <w:szCs w:val="21"/>
          <w:lang w:val="en-US" w:eastAsia="zh-CN" w:bidi="ar"/>
        </w:rPr>
        <w:t>注：1.《采购违法行为风险知悉确认书》需由投标供应商负责人</w:t>
      </w:r>
      <w:r>
        <w:rPr>
          <w:rFonts w:hint="eastAsia" w:ascii="宋体" w:hAnsi="宋体" w:eastAsia="宋体" w:cs="宋体"/>
          <w:b/>
          <w:bCs/>
          <w:color w:val="FF0000"/>
          <w:spacing w:val="-4"/>
          <w:kern w:val="0"/>
          <w:sz w:val="21"/>
          <w:szCs w:val="21"/>
          <w:highlight w:val="yellow"/>
          <w:lang w:val="en-US" w:eastAsia="zh-CN" w:bidi="ar"/>
        </w:rPr>
        <w:t>签字并加盖单位公章</w:t>
      </w:r>
      <w:r>
        <w:rPr>
          <w:rFonts w:hint="eastAsia" w:ascii="宋体" w:hAnsi="宋体" w:eastAsia="宋体" w:cs="宋体"/>
          <w:b/>
          <w:bCs/>
          <w:color w:val="FF0000"/>
          <w:spacing w:val="-4"/>
          <w:kern w:val="0"/>
          <w:sz w:val="21"/>
          <w:szCs w:val="21"/>
          <w:lang w:val="en-US" w:eastAsia="zh-CN" w:bidi="ar"/>
        </w:rPr>
        <w:t>后，扫描上传至投标文件一并提交。</w:t>
      </w:r>
    </w:p>
    <w:p>
      <w:pPr>
        <w:pStyle w:val="37"/>
        <w:keepNext w:val="0"/>
        <w:keepLines w:val="0"/>
        <w:widowControl w:val="0"/>
        <w:suppressLineNumbers w:val="0"/>
        <w:spacing w:before="0" w:beforeAutospacing="0" w:after="0" w:afterAutospacing="0"/>
        <w:ind w:left="0" w:right="0"/>
        <w:jc w:val="both"/>
        <w:rPr>
          <w:color w:val="FF0000"/>
          <w:lang w:val="en-US" w:bidi="ar"/>
        </w:rPr>
      </w:pPr>
      <w:r>
        <w:rPr>
          <w:rFonts w:hint="eastAsia" w:ascii="宋体" w:hAnsi="宋体" w:eastAsia="宋体" w:cs="宋体"/>
          <w:b/>
          <w:bCs/>
          <w:color w:val="FF0000"/>
          <w:spacing w:val="-4"/>
          <w:kern w:val="0"/>
          <w:sz w:val="21"/>
          <w:szCs w:val="21"/>
          <w:lang w:val="en-US"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0" w:firstLine="404" w:firstLineChars="200"/>
        <w:jc w:val="left"/>
        <w:rPr>
          <w:rFonts w:hint="eastAsia" w:ascii="宋体" w:hAnsi="宋体" w:eastAsia="宋体" w:cs="宋体"/>
          <w:color w:val="FF0000"/>
          <w:spacing w:val="-4"/>
          <w:kern w:val="0"/>
          <w:szCs w:val="21"/>
          <w:lang w:val="en-US"/>
        </w:rPr>
      </w:pP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kern w:val="0"/>
          <w:sz w:val="24"/>
          <w:szCs w:val="24"/>
          <w:lang w:val="en-US"/>
        </w:rPr>
      </w:pPr>
    </w:p>
    <w:p>
      <w:pPr>
        <w:rPr>
          <w:rFonts w:hint="eastAsia" w:ascii="黑体" w:hAnsi="Times New Roman" w:eastAsia="黑体" w:cs="黑体"/>
          <w:kern w:val="2"/>
          <w:sz w:val="24"/>
          <w:szCs w:val="20"/>
          <w:lang w:val="en-US" w:eastAsia="zh-CN" w:bidi="ar"/>
        </w:rPr>
      </w:pPr>
      <w:r>
        <w:rPr>
          <w:rFonts w:hint="eastAsia" w:ascii="黑体" w:hAnsi="Times New Roman" w:eastAsia="黑体" w:cs="黑体"/>
          <w:kern w:val="2"/>
          <w:sz w:val="24"/>
          <w:szCs w:val="20"/>
          <w:lang w:val="en-US" w:eastAsia="zh-CN" w:bidi="ar"/>
        </w:rPr>
        <w:br w:type="page"/>
      </w:r>
    </w:p>
    <w:p>
      <w:pPr>
        <w:keepNext w:val="0"/>
        <w:keepLines w:val="0"/>
        <w:widowControl w:val="0"/>
        <w:suppressLineNumbers w:val="0"/>
        <w:spacing w:before="0" w:beforeAutospacing="0" w:after="0" w:afterAutospacing="0"/>
        <w:ind w:left="0" w:right="0"/>
        <w:jc w:val="center"/>
        <w:rPr>
          <w:rFonts w:hint="eastAsia" w:ascii="黑体" w:hAnsi="Times New Roman" w:eastAsia="黑体" w:cs="黑体"/>
          <w:sz w:val="24"/>
          <w:szCs w:val="20"/>
          <w:lang w:val="en-US"/>
        </w:rPr>
      </w:pPr>
      <w:r>
        <w:rPr>
          <w:rFonts w:hint="eastAsia" w:ascii="黑体" w:hAnsi="Times New Roman" w:eastAsia="黑体" w:cs="黑体"/>
          <w:kern w:val="2"/>
          <w:sz w:val="24"/>
          <w:szCs w:val="20"/>
          <w:lang w:val="en-US" w:eastAsia="zh-CN" w:bidi="ar"/>
        </w:rPr>
        <w:t>（二）订单融资情况</w:t>
      </w:r>
    </w:p>
    <w:p>
      <w:pPr>
        <w:keepNext w:val="0"/>
        <w:keepLines w:val="0"/>
        <w:widowControl w:val="0"/>
        <w:suppressLineNumbers w:val="0"/>
        <w:spacing w:before="0" w:beforeAutospacing="0" w:after="0" w:afterAutospacing="0"/>
        <w:ind w:left="0" w:right="0" w:firstLine="422" w:firstLineChars="200"/>
        <w:jc w:val="both"/>
        <w:rPr>
          <w:rFonts w:hint="eastAsia" w:ascii="宋体" w:hAnsi="宋体" w:eastAsia="宋体" w:cs="宋体"/>
          <w:b/>
          <w:bCs/>
          <w:lang w:val="en-US"/>
        </w:rPr>
      </w:pPr>
      <w:r>
        <w:rPr>
          <w:rFonts w:hint="eastAsia" w:ascii="宋体" w:hAnsi="宋体" w:eastAsia="宋体" w:cs="宋体"/>
          <w:b/>
          <w:bCs/>
          <w:kern w:val="2"/>
          <w:sz w:val="21"/>
          <w:szCs w:val="24"/>
          <w:lang w:val="en-US" w:eastAsia="zh-CN" w:bidi="ar"/>
        </w:rPr>
        <w:t>1、关于订单融资政策</w:t>
      </w:r>
    </w:p>
    <w:p>
      <w:pPr>
        <w:pStyle w:val="37"/>
        <w:keepNext w:val="0"/>
        <w:keepLines w:val="0"/>
        <w:widowControl w:val="0"/>
        <w:suppressLineNumbers w:val="0"/>
        <w:spacing w:before="0" w:beforeAutospacing="0" w:after="120" w:afterAutospacing="0"/>
        <w:ind w:left="0" w:right="0" w:firstLine="420" w:firstLineChars="200"/>
        <w:jc w:val="both"/>
        <w:rPr>
          <w:b/>
          <w:bCs w:val="0"/>
          <w:szCs w:val="21"/>
          <w:lang w:val="en-US"/>
        </w:rPr>
      </w:pPr>
      <w:r>
        <w:rPr>
          <w:rFonts w:hint="eastAsia" w:ascii="Times New Roman" w:hAnsi="Times New Roman" w:eastAsia="宋体" w:cs="宋体"/>
          <w:bCs/>
          <w:kern w:val="2"/>
          <w:sz w:val="21"/>
          <w:szCs w:val="21"/>
          <w:lang w:val="en-US"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w:t>
      </w:r>
      <w:r>
        <w:rPr>
          <w:rFonts w:hint="eastAsia" w:cs="宋体"/>
          <w:bCs/>
          <w:kern w:val="2"/>
          <w:sz w:val="21"/>
          <w:szCs w:val="21"/>
          <w:lang w:val="en-US" w:eastAsia="zh-CN" w:bidi="ar"/>
        </w:rPr>
        <w:t>自行</w:t>
      </w:r>
      <w:r>
        <w:rPr>
          <w:rFonts w:hint="eastAsia" w:ascii="Times New Roman" w:hAnsi="Times New Roman" w:eastAsia="宋体" w:cs="宋体"/>
          <w:bCs/>
          <w:kern w:val="2"/>
          <w:sz w:val="21"/>
          <w:szCs w:val="21"/>
          <w:lang w:val="en-US" w:eastAsia="zh-CN" w:bidi="ar"/>
        </w:rPr>
        <w:t>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rFonts w:hint="default" w:ascii="Times New Roman" w:hAnsi="Times New Roman" w:eastAsia="宋体" w:cs="Times New Roman"/>
          <w:bCs/>
          <w:kern w:val="2"/>
          <w:sz w:val="21"/>
          <w:szCs w:val="21"/>
          <w:lang w:val="en-US" w:eastAsia="zh-CN" w:bidi="ar"/>
        </w:rPr>
        <w:t>(https://finance.szexgrp.com/gtm/web/guarantee/#/)</w:t>
      </w:r>
      <w:r>
        <w:rPr>
          <w:rFonts w:hint="eastAsia" w:ascii="Times New Roman" w:hAnsi="Times New Roman" w:eastAsia="宋体" w:cs="宋体"/>
          <w:bCs/>
          <w:kern w:val="2"/>
          <w:sz w:val="21"/>
          <w:szCs w:val="21"/>
          <w:lang w:val="en-US" w:eastAsia="zh-CN" w:bidi="ar"/>
        </w:rPr>
        <w:t>，相关政策法规参阅深圳市政府采购监管网（</w:t>
      </w:r>
      <w:r>
        <w:rPr>
          <w:rFonts w:hint="default" w:ascii="Times New Roman" w:hAnsi="Times New Roman" w:eastAsia="宋体" w:cs="Times New Roman"/>
          <w:bCs/>
          <w:kern w:val="2"/>
          <w:sz w:val="21"/>
          <w:szCs w:val="21"/>
          <w:lang w:val="en-US" w:eastAsia="zh-CN" w:bidi="ar"/>
        </w:rPr>
        <w:t>http://zfcg.sz.gov.cn/</w:t>
      </w:r>
      <w:r>
        <w:rPr>
          <w:rFonts w:hint="eastAsia" w:ascii="Times New Roman" w:hAnsi="Times New Roman" w:eastAsia="宋体" w:cs="宋体"/>
          <w:bCs/>
          <w:kern w:val="2"/>
          <w:sz w:val="21"/>
          <w:szCs w:val="21"/>
          <w:lang w:val="en-US" w:eastAsia="zh-CN" w:bidi="ar"/>
        </w:rPr>
        <w:t>）信息公开栏目。</w:t>
      </w:r>
    </w:p>
    <w:p>
      <w:pPr>
        <w:keepNext w:val="0"/>
        <w:keepLines w:val="0"/>
        <w:widowControl w:val="0"/>
        <w:suppressLineNumbers w:val="0"/>
        <w:spacing w:before="0" w:beforeAutospacing="0" w:after="0" w:afterAutospacing="0"/>
        <w:ind w:left="0" w:right="0" w:firstLine="422" w:firstLineChars="200"/>
        <w:jc w:val="both"/>
        <w:rPr>
          <w:rFonts w:hint="eastAsia" w:ascii="宋体" w:hAnsi="宋体" w:eastAsia="宋体" w:cs="宋体"/>
          <w:b/>
          <w:bCs/>
          <w:lang w:val="en-US"/>
        </w:rPr>
      </w:pPr>
      <w:r>
        <w:rPr>
          <w:rFonts w:hint="eastAsia" w:ascii="宋体" w:hAnsi="宋体" w:eastAsia="宋体" w:cs="宋体"/>
          <w:b/>
          <w:bCs/>
          <w:kern w:val="2"/>
          <w:sz w:val="21"/>
          <w:szCs w:val="24"/>
          <w:lang w:val="en-US" w:eastAsia="zh-CN" w:bidi="ar"/>
        </w:rPr>
        <w:t>2、供应商账户信息</w:t>
      </w:r>
    </w:p>
    <w:p>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投标人（单位全称）：</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 xml:space="preserve">  </w:t>
      </w:r>
    </w:p>
    <w:p>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投标人单位地址：</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法定代表人（负责人）或其授权委托代理人：</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left="420" w:leftChars="200" w:right="0" w:firstLine="210" w:firstLineChars="100"/>
        <w:jc w:val="both"/>
        <w:rPr>
          <w:szCs w:val="21"/>
          <w:u w:val="thick"/>
          <w:lang w:val="en-US"/>
        </w:rPr>
      </w:pPr>
      <w:r>
        <w:rPr>
          <w:rFonts w:hint="eastAsia" w:ascii="Times New Roman" w:hAnsi="Times New Roman" w:eastAsia="宋体" w:cs="宋体"/>
          <w:kern w:val="2"/>
          <w:sz w:val="21"/>
          <w:szCs w:val="21"/>
          <w:lang w:val="en-US" w:eastAsia="zh-CN" w:bidi="ar"/>
        </w:rPr>
        <w:t>联系电话：</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开户银行名称：</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left="420" w:leftChars="200" w:right="0" w:firstLine="210" w:firstLineChars="100"/>
        <w:jc w:val="both"/>
        <w:rPr>
          <w:szCs w:val="21"/>
          <w:u w:val="thick"/>
          <w:lang w:val="en-US"/>
        </w:rPr>
      </w:pPr>
      <w:r>
        <w:rPr>
          <w:rFonts w:hint="eastAsia" w:ascii="Times New Roman" w:hAnsi="Times New Roman" w:eastAsia="宋体" w:cs="宋体"/>
          <w:kern w:val="2"/>
          <w:sz w:val="21"/>
          <w:szCs w:val="21"/>
          <w:lang w:val="en-US" w:eastAsia="zh-CN" w:bidi="ar"/>
        </w:rPr>
        <w:t>开户银行账号：</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left="420" w:leftChars="200" w:right="0" w:firstLine="210" w:firstLineChars="100"/>
        <w:jc w:val="both"/>
        <w:rPr>
          <w:szCs w:val="21"/>
          <w:lang w:val="en-US"/>
        </w:rPr>
      </w:pPr>
      <w:r>
        <w:rPr>
          <w:rFonts w:hint="eastAsia" w:ascii="Times New Roman" w:hAnsi="Times New Roman" w:eastAsia="宋体" w:cs="宋体"/>
          <w:kern w:val="2"/>
          <w:sz w:val="21"/>
          <w:szCs w:val="21"/>
          <w:lang w:val="en-US" w:eastAsia="zh-CN" w:bidi="ar"/>
        </w:rPr>
        <w:t>开户银行地址：</w:t>
      </w:r>
      <w:r>
        <w:rPr>
          <w:rFonts w:hint="default" w:ascii="Times New Roman" w:hAnsi="Times New Roman" w:eastAsia="宋体" w:cs="Times New Roman"/>
          <w:kern w:val="2"/>
          <w:sz w:val="21"/>
          <w:szCs w:val="21"/>
          <w:u w:val="thick"/>
          <w:lang w:val="en-US" w:eastAsia="zh-CN" w:bidi="ar"/>
        </w:rPr>
        <w:t xml:space="preserve">                                                  </w:t>
      </w:r>
      <w:r>
        <w:rPr>
          <w:rFonts w:hint="eastAsia" w:ascii="Times New Roman" w:hAnsi="Times New Roman" w:eastAsia="宋体" w:cs="宋体"/>
          <w:kern w:val="2"/>
          <w:sz w:val="21"/>
          <w:szCs w:val="21"/>
          <w:lang w:val="en-US" w:eastAsia="zh-CN" w:bidi="ar"/>
        </w:rPr>
        <w:t>。</w:t>
      </w:r>
    </w:p>
    <w:p>
      <w:pPr>
        <w:keepNext w:val="0"/>
        <w:keepLines w:val="0"/>
        <w:widowControl w:val="0"/>
        <w:suppressLineNumbers w:val="0"/>
        <w:spacing w:before="0" w:beforeAutospacing="0" w:after="0" w:afterAutospacing="0"/>
        <w:ind w:right="0"/>
        <w:jc w:val="both"/>
        <w:rPr>
          <w:szCs w:val="21"/>
          <w:lang w:val="en-US"/>
        </w:rPr>
      </w:pPr>
      <w:r>
        <w:rPr>
          <w:rFonts w:hint="default" w:ascii="Times New Roman" w:hAnsi="Times New Roman" w:eastAsia="宋体" w:cs="Times New Roman"/>
          <w:kern w:val="2"/>
          <w:sz w:val="21"/>
          <w:szCs w:val="21"/>
          <w:lang w:val="en-US" w:eastAsia="zh-CN" w:bidi="ar"/>
        </w:rPr>
        <w:t xml:space="preserve"> </w:t>
      </w:r>
      <w:r>
        <w:rPr>
          <w:rFonts w:hint="eastAsia" w:ascii="宋体" w:hAnsi="宋体" w:eastAsia="宋体" w:cs="宋体"/>
          <w:b/>
          <w:bCs/>
          <w:color w:val="FF0000"/>
          <w:spacing w:val="-4"/>
          <w:kern w:val="0"/>
          <w:sz w:val="21"/>
          <w:szCs w:val="21"/>
          <w:lang w:val="en-US" w:eastAsia="zh-CN" w:bidi="ar"/>
        </w:rPr>
        <w:t>注：本项填写内容作为订单融资开展的参考信息，不作为供应商资格性审查及符合性审查条件。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kern w:val="0"/>
          <w:sz w:val="24"/>
          <w:szCs w:val="24"/>
          <w:lang w:val="en-US"/>
        </w:rPr>
      </w:pPr>
    </w:p>
    <w:p>
      <w:pPr>
        <w:rPr>
          <w:rFonts w:hint="eastAsia" w:ascii="黑体" w:hAnsi="宋体" w:eastAsia="黑体" w:cs="黑体"/>
          <w:kern w:val="0"/>
          <w:sz w:val="24"/>
          <w:szCs w:val="20"/>
          <w:lang w:val="en-US" w:eastAsia="zh-CN" w:bidi="ar"/>
        </w:rPr>
      </w:pPr>
      <w:r>
        <w:rPr>
          <w:rFonts w:hint="eastAsia" w:ascii="黑体" w:hAnsi="宋体" w:eastAsia="黑体" w:cs="黑体"/>
          <w:kern w:val="0"/>
          <w:sz w:val="24"/>
          <w:szCs w:val="20"/>
          <w:lang w:val="en-US" w:eastAsia="zh-CN" w:bidi="ar"/>
        </w:rPr>
        <w:br w:type="page"/>
      </w:r>
    </w:p>
    <w:p>
      <w:pPr>
        <w:keepNext w:val="0"/>
        <w:keepLines w:val="0"/>
        <w:widowControl/>
        <w:suppressLineNumbers w:val="0"/>
        <w:spacing w:before="0" w:beforeAutospacing="0" w:after="0" w:afterAutospacing="0"/>
        <w:ind w:left="0" w:right="0"/>
        <w:jc w:val="center"/>
        <w:rPr>
          <w:rFonts w:hint="eastAsia" w:ascii="黑体" w:hAnsi="宋体" w:eastAsia="黑体" w:cs="黑体"/>
          <w:kern w:val="0"/>
          <w:sz w:val="24"/>
          <w:szCs w:val="20"/>
          <w:lang w:val="en-US"/>
        </w:rPr>
      </w:pPr>
      <w:r>
        <w:rPr>
          <w:rFonts w:hint="eastAsia" w:ascii="黑体" w:hAnsi="宋体" w:eastAsia="黑体" w:cs="黑体"/>
          <w:kern w:val="0"/>
          <w:sz w:val="24"/>
          <w:szCs w:val="20"/>
          <w:lang w:val="en-US" w:eastAsia="zh-CN" w:bidi="ar"/>
        </w:rPr>
        <w:t>（三）投标人认为需要加以说明的其他内容（格式自定）</w:t>
      </w:r>
    </w:p>
    <w:p>
      <w:pPr>
        <w:widowControl/>
        <w:jc w:val="left"/>
        <w:rPr>
          <w:rFonts w:ascii="宋体" w:hAnsi="宋体"/>
          <w:b/>
          <w:bCs/>
          <w:kern w:val="0"/>
          <w:sz w:val="24"/>
          <w:szCs w:val="20"/>
        </w:rPr>
      </w:pPr>
      <w:r>
        <w:br w:type="page"/>
      </w:r>
    </w:p>
    <w:p>
      <w:pPr>
        <w:pStyle w:val="5"/>
      </w:pPr>
      <w:r>
        <w:rPr>
          <w:rFonts w:hint="eastAsia"/>
        </w:rPr>
        <w:t>第五章  合同条款及格式</w:t>
      </w:r>
    </w:p>
    <w:p>
      <w:pPr>
        <w:ind w:firstLine="411" w:firstLineChars="196"/>
      </w:pPr>
    </w:p>
    <w:p>
      <w:pPr>
        <w:jc w:val="center"/>
        <w:outlineLvl w:val="0"/>
      </w:pPr>
      <w:r>
        <w:rPr>
          <w:rFonts w:hint="eastAsia"/>
          <w:b/>
          <w:sz w:val="24"/>
        </w:rPr>
        <w:t>（仅供参考，具体以项目需求及采购结果为准）</w:t>
      </w:r>
    </w:p>
    <w:p>
      <w:pPr>
        <w:rPr>
          <w:rFonts w:ascii="宋体" w:hAnsi="宋体"/>
          <w:b/>
          <w:bCs/>
          <w:szCs w:val="21"/>
        </w:rPr>
      </w:pPr>
      <w:r>
        <w:rPr>
          <w:rFonts w:hint="eastAsia" w:ascii="宋体" w:hAnsi="宋体"/>
          <w:b/>
          <w:bCs/>
          <w:szCs w:val="21"/>
        </w:rPr>
        <w:t>甲方：</w:t>
      </w:r>
    </w:p>
    <w:p>
      <w:pPr>
        <w:rPr>
          <w:rFonts w:ascii="宋体" w:hAnsi="宋体"/>
          <w:szCs w:val="21"/>
        </w:rPr>
      </w:pPr>
      <w:r>
        <w:rPr>
          <w:rFonts w:hint="eastAsia" w:ascii="宋体" w:hAnsi="宋体"/>
          <w:szCs w:val="21"/>
        </w:rPr>
        <w:t>地址：</w:t>
      </w:r>
    </w:p>
    <w:p>
      <w:pPr>
        <w:rPr>
          <w:rFonts w:ascii="宋体" w:hAnsi="宋体"/>
          <w:szCs w:val="21"/>
        </w:rPr>
      </w:pPr>
      <w:r>
        <w:rPr>
          <w:rFonts w:hint="eastAsia" w:ascii="宋体" w:hAnsi="宋体"/>
          <w:szCs w:val="21"/>
        </w:rPr>
        <w:t>联系人：</w:t>
      </w:r>
      <w:r>
        <w:rPr>
          <w:rFonts w:ascii="宋体" w:hAnsi="宋体"/>
          <w:szCs w:val="21"/>
        </w:rPr>
        <w:t xml:space="preserve">                          </w:t>
      </w:r>
    </w:p>
    <w:p>
      <w:pPr>
        <w:rPr>
          <w:rFonts w:ascii="宋体" w:hAnsi="宋体"/>
          <w:b/>
          <w:bCs/>
          <w:szCs w:val="21"/>
        </w:rPr>
      </w:pPr>
      <w:r>
        <w:rPr>
          <w:rFonts w:hint="eastAsia" w:ascii="宋体" w:hAnsi="宋体"/>
          <w:szCs w:val="21"/>
        </w:rPr>
        <w:t>联系电话：</w:t>
      </w:r>
    </w:p>
    <w:p>
      <w:pPr>
        <w:rPr>
          <w:rFonts w:ascii="宋体" w:hAnsi="宋体"/>
          <w:b/>
          <w:bCs/>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p>
    <w:p>
      <w:pPr>
        <w:rPr>
          <w:rFonts w:ascii="宋体" w:hAnsi="宋体"/>
          <w:b/>
          <w:bCs/>
          <w:szCs w:val="21"/>
        </w:rPr>
      </w:pPr>
      <w:r>
        <w:rPr>
          <w:rFonts w:hint="eastAsia" w:ascii="宋体" w:hAnsi="宋体"/>
          <w:b/>
          <w:bCs/>
          <w:szCs w:val="21"/>
        </w:rPr>
        <w:t>乙方：</w:t>
      </w:r>
    </w:p>
    <w:p>
      <w:pPr>
        <w:rPr>
          <w:rFonts w:ascii="宋体" w:hAnsi="宋体"/>
          <w:szCs w:val="21"/>
        </w:rPr>
      </w:pPr>
      <w:r>
        <w:rPr>
          <w:rFonts w:hint="eastAsia" w:ascii="宋体" w:hAnsi="宋体"/>
          <w:szCs w:val="21"/>
        </w:rPr>
        <w:t>地址：</w:t>
      </w:r>
    </w:p>
    <w:p>
      <w:pPr>
        <w:rPr>
          <w:rFonts w:ascii="宋体" w:hAnsi="宋体"/>
          <w:szCs w:val="21"/>
        </w:rPr>
      </w:pPr>
      <w:r>
        <w:rPr>
          <w:rFonts w:hint="eastAsia" w:ascii="宋体" w:hAnsi="宋体"/>
          <w:szCs w:val="21"/>
        </w:rPr>
        <w:t>联系人：</w:t>
      </w:r>
      <w:r>
        <w:rPr>
          <w:rFonts w:ascii="宋体" w:hAnsi="宋体"/>
          <w:szCs w:val="21"/>
        </w:rPr>
        <w:t xml:space="preserve">                          </w:t>
      </w:r>
    </w:p>
    <w:p>
      <w:pPr>
        <w:rPr>
          <w:rFonts w:ascii="宋体" w:hAnsi="宋体"/>
          <w:b/>
          <w:bCs/>
          <w:szCs w:val="21"/>
        </w:rPr>
      </w:pPr>
      <w:r>
        <w:rPr>
          <w:rFonts w:hint="eastAsia" w:ascii="宋体" w:hAnsi="宋体"/>
          <w:szCs w:val="21"/>
        </w:rPr>
        <w:t>联系电话：</w:t>
      </w:r>
    </w:p>
    <w:p>
      <w:pPr>
        <w:rPr>
          <w:rFonts w:ascii="宋体" w:hAnsi="宋体"/>
          <w:szCs w:val="21"/>
        </w:rPr>
      </w:pPr>
      <w:r>
        <w:rPr>
          <w:rFonts w:ascii="宋体" w:hAnsi="宋体"/>
          <w:b/>
          <w:bCs/>
          <w:szCs w:val="21"/>
        </w:rPr>
        <w:t xml:space="preserve">            </w:t>
      </w:r>
      <w:r>
        <w:rPr>
          <w:rFonts w:hint="eastAsia" w:ascii="宋体" w:hAnsi="宋体"/>
          <w:b/>
          <w:bCs/>
          <w:szCs w:val="21"/>
        </w:rPr>
        <w:t xml:space="preserve">          </w:t>
      </w:r>
    </w:p>
    <w:p>
      <w:pPr>
        <w:rPr>
          <w:rFonts w:ascii="宋体" w:hAnsi="宋体"/>
          <w:szCs w:val="21"/>
        </w:rPr>
      </w:pPr>
    </w:p>
    <w:p>
      <w:pPr>
        <w:ind w:firstLine="420" w:firstLineChars="200"/>
        <w:rPr>
          <w:rFonts w:ascii="宋体" w:hAnsi="宋体"/>
          <w:szCs w:val="21"/>
        </w:rPr>
      </w:pPr>
      <w:r>
        <w:rPr>
          <w:rFonts w:hint="eastAsia" w:ascii="宋体" w:hAnsi="宋体"/>
          <w:szCs w:val="21"/>
        </w:rPr>
        <w:t>根据深圳公共资源交易中心（深圳交易集团有限公司政府采购业务分公司）*</w:t>
      </w:r>
      <w:r>
        <w:rPr>
          <w:rFonts w:ascii="宋体" w:hAnsi="宋体"/>
          <w:szCs w:val="21"/>
        </w:rPr>
        <w:t>**</w:t>
      </w:r>
      <w:r>
        <w:rPr>
          <w:rFonts w:hint="eastAsia" w:ascii="宋体" w:hAnsi="宋体"/>
          <w:szCs w:val="21"/>
        </w:rPr>
        <w:t>号项目结果，*</w:t>
      </w:r>
      <w:r>
        <w:rPr>
          <w:rFonts w:ascii="宋体" w:hAnsi="宋体"/>
          <w:szCs w:val="21"/>
        </w:rPr>
        <w:t>**</w:t>
      </w:r>
      <w:r>
        <w:rPr>
          <w:rFonts w:hint="eastAsia" w:ascii="宋体" w:hAnsi="宋体"/>
          <w:szCs w:val="21"/>
        </w:rPr>
        <w:t>单位为中标人。按照《中华人民共和国民法典》（第三编 合同）》和《深圳经济特区政府采购条例》，经深圳市（以下简称甲方）和单位（以下简称乙方）协商，就甲方委托乙方承担</w:t>
      </w:r>
      <w:r>
        <w:rPr>
          <w:rFonts w:hint="eastAsia" w:ascii="宋体" w:hAnsi="宋体"/>
          <w:b/>
          <w:bCs/>
          <w:snapToGrid w:val="0"/>
          <w:kern w:val="0"/>
          <w:szCs w:val="21"/>
          <w:u w:val="single"/>
          <w:lang w:val="zh-CN"/>
        </w:rPr>
        <w:t xml:space="preserve">                      服务项目</w:t>
      </w:r>
      <w:r>
        <w:rPr>
          <w:rFonts w:hint="eastAsia" w:ascii="宋体" w:hAnsi="宋体"/>
          <w:szCs w:val="21"/>
        </w:rPr>
        <w:t>，达成以下合同条款：</w:t>
      </w:r>
    </w:p>
    <w:p>
      <w:pPr>
        <w:ind w:firstLine="422" w:firstLineChars="200"/>
        <w:rPr>
          <w:rFonts w:ascii="宋体" w:hAnsi="宋体"/>
          <w:b/>
          <w:bCs/>
          <w:szCs w:val="21"/>
        </w:rPr>
      </w:pPr>
      <w:r>
        <w:rPr>
          <w:rFonts w:hint="eastAsia" w:ascii="宋体" w:hAnsi="宋体"/>
          <w:b/>
          <w:bCs/>
          <w:szCs w:val="21"/>
        </w:rPr>
        <w:t>第一条　项目概况</w:t>
      </w:r>
    </w:p>
    <w:p>
      <w:pPr>
        <w:ind w:firstLine="420" w:firstLineChars="200"/>
        <w:rPr>
          <w:rFonts w:ascii="宋体" w:hAnsi="宋体"/>
          <w:szCs w:val="21"/>
        </w:rPr>
      </w:pPr>
      <w:r>
        <w:rPr>
          <w:rFonts w:hint="eastAsia" w:ascii="宋体" w:hAnsi="宋体"/>
          <w:szCs w:val="21"/>
        </w:rPr>
        <w:t xml:space="preserve">项目名称： </w:t>
      </w:r>
    </w:p>
    <w:p>
      <w:pPr>
        <w:ind w:firstLine="420" w:firstLineChars="200"/>
        <w:rPr>
          <w:rFonts w:ascii="宋体" w:hAnsi="宋体"/>
          <w:szCs w:val="21"/>
        </w:rPr>
      </w:pPr>
      <w:r>
        <w:rPr>
          <w:rFonts w:hint="eastAsia" w:ascii="宋体" w:hAnsi="宋体"/>
          <w:szCs w:val="21"/>
        </w:rPr>
        <w:t xml:space="preserve">项目内容： </w:t>
      </w:r>
    </w:p>
    <w:p>
      <w:pPr>
        <w:ind w:firstLine="420" w:firstLineChars="200"/>
        <w:rPr>
          <w:rFonts w:ascii="宋体" w:hAnsi="宋体"/>
          <w:szCs w:val="21"/>
        </w:rPr>
      </w:pPr>
      <w:r>
        <w:rPr>
          <w:rFonts w:hint="eastAsia" w:ascii="宋体" w:hAnsi="宋体"/>
          <w:szCs w:val="21"/>
        </w:rPr>
        <w:t xml:space="preserve">服务时间： </w:t>
      </w:r>
    </w:p>
    <w:p>
      <w:pPr>
        <w:ind w:firstLine="420" w:firstLineChars="200"/>
        <w:rPr>
          <w:rFonts w:ascii="宋体" w:hAnsi="宋体"/>
          <w:szCs w:val="21"/>
        </w:rPr>
      </w:pPr>
      <w:r>
        <w:rPr>
          <w:rFonts w:hint="eastAsia" w:ascii="宋体" w:hAnsi="宋体"/>
          <w:szCs w:val="21"/>
        </w:rPr>
        <w:t>合同价款：合同总价为元，含一切税、费。</w:t>
      </w:r>
      <w:r>
        <w:t>本合同总价包括</w:t>
      </w:r>
      <w:r>
        <w:rPr>
          <w:rFonts w:hint="eastAsia" w:ascii="宋体" w:hAnsi="宋体"/>
          <w:szCs w:val="21"/>
        </w:rPr>
        <w:t>乙方为实施本项目*</w:t>
      </w:r>
      <w:r>
        <w:rPr>
          <w:rFonts w:ascii="宋体" w:hAnsi="宋体"/>
          <w:szCs w:val="21"/>
        </w:rPr>
        <w:t>**</w:t>
      </w:r>
      <w:r>
        <w:rPr>
          <w:rFonts w:hint="eastAsia" w:ascii="宋体" w:hAnsi="宋体"/>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hint="eastAsia" w:ascii="宋体" w:hAnsi="宋体"/>
          <w:szCs w:val="21"/>
        </w:rPr>
        <w:t>乙方</w:t>
      </w:r>
      <w:r>
        <w:t>履行本合同义务所发生的一切费用和支出和以各种方式寄送技术资料到</w:t>
      </w:r>
      <w:r>
        <w:rPr>
          <w:rFonts w:hint="eastAsia"/>
        </w:rPr>
        <w:t>甲</w:t>
      </w:r>
      <w:r>
        <w:t>方办公室所发生的费用。</w:t>
      </w:r>
    </w:p>
    <w:p>
      <w:pPr>
        <w:pStyle w:val="7"/>
        <w:rPr>
          <w:rFonts w:ascii="宋体" w:hAnsi="宋体"/>
          <w:szCs w:val="21"/>
        </w:rPr>
      </w:pPr>
      <w:r>
        <w:rPr>
          <w:rFonts w:hint="eastAsia" w:ascii="宋体" w:hAnsi="宋体"/>
          <w:szCs w:val="21"/>
        </w:rPr>
        <w:t>支付方式：分期支付。</w:t>
      </w:r>
    </w:p>
    <w:p>
      <w:pPr>
        <w:ind w:firstLine="422" w:firstLineChars="200"/>
        <w:rPr>
          <w:rFonts w:ascii="宋体" w:hAnsi="宋体"/>
          <w:b/>
          <w:bCs/>
          <w:szCs w:val="21"/>
        </w:rPr>
      </w:pPr>
      <w:r>
        <w:rPr>
          <w:rFonts w:hint="eastAsia" w:ascii="宋体" w:hAnsi="宋体"/>
          <w:b/>
          <w:bCs/>
          <w:szCs w:val="21"/>
        </w:rPr>
        <w:t>第二条  服务范围</w:t>
      </w:r>
    </w:p>
    <w:p>
      <w:pPr>
        <w:ind w:firstLine="420" w:firstLineChars="200"/>
        <w:rPr>
          <w:rFonts w:ascii="宋体" w:hAnsi="宋体"/>
          <w:szCs w:val="21"/>
        </w:rPr>
      </w:pPr>
      <w:r>
        <w:rPr>
          <w:rFonts w:hint="eastAsia" w:ascii="宋体" w:hAnsi="宋体"/>
          <w:szCs w:val="21"/>
        </w:rPr>
        <w:t xml:space="preserve">1、  </w:t>
      </w:r>
    </w:p>
    <w:p>
      <w:pPr>
        <w:ind w:firstLine="420" w:firstLineChars="200"/>
        <w:rPr>
          <w:rFonts w:ascii="宋体" w:hAnsi="宋体"/>
          <w:szCs w:val="21"/>
        </w:rPr>
      </w:pPr>
      <w:r>
        <w:rPr>
          <w:rFonts w:hint="eastAsia" w:ascii="宋体" w:hAnsi="宋体"/>
          <w:szCs w:val="21"/>
        </w:rPr>
        <w:t xml:space="preserve">2、  </w:t>
      </w:r>
    </w:p>
    <w:p>
      <w:pPr>
        <w:ind w:firstLine="420" w:firstLineChars="200"/>
        <w:rPr>
          <w:rFonts w:ascii="宋体" w:hAnsi="宋体"/>
          <w:szCs w:val="21"/>
        </w:rPr>
      </w:pPr>
      <w:r>
        <w:rPr>
          <w:rFonts w:hint="eastAsia" w:ascii="宋体" w:hAnsi="宋体"/>
          <w:szCs w:val="21"/>
        </w:rPr>
        <w:t xml:space="preserve">3、  </w:t>
      </w:r>
    </w:p>
    <w:p>
      <w:pPr>
        <w:ind w:firstLine="420" w:firstLineChars="200"/>
        <w:rPr>
          <w:rFonts w:ascii="宋体" w:hAnsi="宋体"/>
          <w:szCs w:val="21"/>
        </w:rPr>
      </w:pPr>
      <w:r>
        <w:rPr>
          <w:rFonts w:hint="eastAsia" w:ascii="宋体" w:hAnsi="宋体"/>
          <w:szCs w:val="21"/>
        </w:rPr>
        <w:t>4、 其他合同未明示的相关工作。</w:t>
      </w:r>
    </w:p>
    <w:p>
      <w:pPr>
        <w:ind w:firstLine="422" w:firstLineChars="200"/>
        <w:rPr>
          <w:rFonts w:ascii="宋体" w:hAnsi="宋体"/>
          <w:b/>
          <w:bCs/>
          <w:szCs w:val="21"/>
        </w:rPr>
      </w:pPr>
      <w:r>
        <w:rPr>
          <w:rFonts w:hint="eastAsia" w:ascii="宋体" w:hAnsi="宋体"/>
          <w:b/>
          <w:bCs/>
          <w:szCs w:val="21"/>
        </w:rPr>
        <w:t>第三条  时间要求及阶段成果</w:t>
      </w:r>
    </w:p>
    <w:p>
      <w:pPr>
        <w:ind w:firstLine="420" w:firstLineChars="200"/>
        <w:rPr>
          <w:rFonts w:ascii="宋体" w:hAnsi="宋体"/>
          <w:szCs w:val="21"/>
        </w:rPr>
      </w:pPr>
      <w:r>
        <w:rPr>
          <w:rFonts w:hint="eastAsia" w:ascii="宋体" w:hAnsi="宋体"/>
          <w:szCs w:val="21"/>
        </w:rPr>
        <w:t>1、合同签订天内完成项目实施的准备工作，包括工作大纲和试验细则的编制；</w:t>
      </w:r>
    </w:p>
    <w:p>
      <w:pPr>
        <w:ind w:firstLine="420" w:firstLineChars="200"/>
        <w:rPr>
          <w:rFonts w:ascii="宋体" w:hAnsi="宋体"/>
          <w:szCs w:val="21"/>
        </w:rPr>
      </w:pPr>
      <w:r>
        <w:rPr>
          <w:rFonts w:hint="eastAsia" w:ascii="宋体" w:hAnsi="宋体"/>
          <w:szCs w:val="21"/>
        </w:rPr>
        <w:t xml:space="preserve">2、 </w:t>
      </w:r>
    </w:p>
    <w:p>
      <w:pPr>
        <w:ind w:firstLine="420" w:firstLineChars="200"/>
        <w:rPr>
          <w:rFonts w:ascii="宋体" w:hAnsi="宋体"/>
          <w:szCs w:val="21"/>
        </w:rPr>
      </w:pPr>
      <w:r>
        <w:rPr>
          <w:rFonts w:hint="eastAsia" w:ascii="宋体" w:hAnsi="宋体"/>
          <w:szCs w:val="21"/>
        </w:rPr>
        <w:t>3、</w:t>
      </w:r>
    </w:p>
    <w:p>
      <w:pPr>
        <w:ind w:firstLine="420" w:firstLineChars="200"/>
        <w:rPr>
          <w:rFonts w:ascii="宋体" w:hAnsi="宋体"/>
          <w:szCs w:val="21"/>
        </w:rPr>
      </w:pPr>
      <w:r>
        <w:rPr>
          <w:rFonts w:hint="eastAsia" w:ascii="宋体" w:hAnsi="宋体"/>
          <w:szCs w:val="21"/>
        </w:rPr>
        <w:t>4、</w:t>
      </w:r>
    </w:p>
    <w:p>
      <w:pPr>
        <w:ind w:firstLine="422" w:firstLineChars="200"/>
        <w:rPr>
          <w:rFonts w:ascii="宋体" w:hAnsi="宋体"/>
          <w:b/>
          <w:bCs/>
          <w:szCs w:val="21"/>
        </w:rPr>
      </w:pPr>
      <w:r>
        <w:rPr>
          <w:rFonts w:hint="eastAsia" w:ascii="宋体" w:hAnsi="宋体"/>
          <w:b/>
          <w:bCs/>
          <w:szCs w:val="21"/>
        </w:rPr>
        <w:t>第四条  服务资料归属</w:t>
      </w:r>
    </w:p>
    <w:p>
      <w:pPr>
        <w:ind w:firstLine="420" w:firstLineChars="200"/>
      </w:pPr>
      <w:r>
        <w:t>1</w:t>
      </w:r>
      <w:r>
        <w:rPr>
          <w:rFonts w:hint="eastAsia"/>
        </w:rPr>
        <w:t>、</w:t>
      </w:r>
      <w:r>
        <w:t>所有提交给</w:t>
      </w:r>
      <w:r>
        <w:rPr>
          <w:rFonts w:hint="eastAsia"/>
        </w:rPr>
        <w:t>甲</w:t>
      </w:r>
      <w:r>
        <w:t>方的服务</w:t>
      </w:r>
      <w:r>
        <w:rPr>
          <w:rFonts w:hint="eastAsia"/>
        </w:rPr>
        <w:t>文件</w:t>
      </w:r>
      <w:r>
        <w:t>及相关的资料的最后文本，包括为履行技术服务范围所编制的图纸、计划和证明资料等，都属于</w:t>
      </w:r>
      <w:r>
        <w:rPr>
          <w:rFonts w:hint="eastAsia"/>
        </w:rPr>
        <w:t>甲</w:t>
      </w:r>
      <w:r>
        <w:t>方的财产，</w:t>
      </w:r>
      <w:r>
        <w:rPr>
          <w:rFonts w:hint="eastAsia" w:ascii="宋体" w:hAnsi="宋体"/>
          <w:szCs w:val="21"/>
        </w:rPr>
        <w:t>乙</w:t>
      </w:r>
      <w:r>
        <w:t>方在提交给</w:t>
      </w:r>
      <w:r>
        <w:rPr>
          <w:rFonts w:hint="eastAsia"/>
        </w:rPr>
        <w:t>甲</w:t>
      </w:r>
      <w:r>
        <w:t>方之前应将上述资料进行整理归类和编制索引</w:t>
      </w:r>
      <w:r>
        <w:rPr>
          <w:rFonts w:hint="eastAsia"/>
        </w:rPr>
        <w:t>。</w:t>
      </w:r>
    </w:p>
    <w:p>
      <w:pPr>
        <w:ind w:firstLine="420" w:firstLineChars="200"/>
      </w:pPr>
      <w:r>
        <w:t>2</w:t>
      </w:r>
      <w:r>
        <w:rPr>
          <w:rFonts w:hint="eastAsia"/>
        </w:rPr>
        <w:t>、</w:t>
      </w:r>
      <w:r>
        <w:rPr>
          <w:rFonts w:hint="eastAsia" w:ascii="宋体" w:hAnsi="宋体"/>
          <w:szCs w:val="21"/>
        </w:rPr>
        <w:t>乙</w:t>
      </w:r>
      <w:r>
        <w:t>方未经</w:t>
      </w:r>
      <w:r>
        <w:rPr>
          <w:rFonts w:hint="eastAsia"/>
        </w:rPr>
        <w:t>甲</w:t>
      </w:r>
      <w:r>
        <w:t>方的书面同意，不得将上述资料用于与本服务项目之外的任何项目</w:t>
      </w:r>
      <w:r>
        <w:rPr>
          <w:rFonts w:hint="eastAsia"/>
        </w:rPr>
        <w:t>。</w:t>
      </w:r>
    </w:p>
    <w:p>
      <w:pPr>
        <w:ind w:firstLine="42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hint="eastAsia" w:ascii="宋体" w:hAnsi="宋体"/>
          <w:szCs w:val="21"/>
        </w:rPr>
        <w:t>乙</w:t>
      </w:r>
      <w:r>
        <w:t>方</w:t>
      </w:r>
      <w:r>
        <w:rPr>
          <w:rFonts w:hint="eastAsia"/>
        </w:rPr>
        <w:t>不得保存在</w:t>
      </w:r>
      <w:r>
        <w:t>履行合同过程中所获得或接触到的任何</w:t>
      </w:r>
      <w:r>
        <w:rPr>
          <w:rFonts w:hint="eastAsia" w:ascii="宋体" w:hAnsi="宋体"/>
          <w:szCs w:val="21"/>
        </w:rPr>
        <w:t>内部数据资料。</w:t>
      </w:r>
    </w:p>
    <w:p>
      <w:pPr>
        <w:ind w:firstLine="422" w:firstLineChars="200"/>
        <w:rPr>
          <w:rFonts w:ascii="宋体" w:hAnsi="宋体"/>
          <w:b/>
          <w:bCs/>
          <w:szCs w:val="21"/>
        </w:rPr>
      </w:pPr>
      <w:r>
        <w:rPr>
          <w:rFonts w:hint="eastAsia" w:ascii="宋体" w:hAnsi="宋体"/>
          <w:b/>
          <w:bCs/>
          <w:szCs w:val="21"/>
        </w:rPr>
        <w:t>第五条  甲方的义务</w:t>
      </w:r>
    </w:p>
    <w:p>
      <w:pPr>
        <w:ind w:firstLine="420" w:firstLineChars="200"/>
        <w:rPr>
          <w:rFonts w:ascii="宋体" w:hAnsi="宋体"/>
          <w:szCs w:val="21"/>
        </w:rPr>
      </w:pPr>
      <w:r>
        <w:rPr>
          <w:rFonts w:hint="eastAsia" w:ascii="宋体" w:hAnsi="宋体"/>
          <w:szCs w:val="21"/>
        </w:rPr>
        <w:t>1、负责与本服务项目有关的第三方的协调，提供开展服务工作的外部条件。</w:t>
      </w:r>
    </w:p>
    <w:p>
      <w:pPr>
        <w:ind w:firstLine="420" w:firstLineChars="200"/>
        <w:rPr>
          <w:rFonts w:ascii="宋体" w:hAnsi="宋体"/>
          <w:szCs w:val="21"/>
        </w:rPr>
      </w:pPr>
      <w:r>
        <w:rPr>
          <w:rFonts w:hint="eastAsia" w:ascii="宋体" w:hAnsi="宋体"/>
          <w:szCs w:val="21"/>
        </w:rPr>
        <w:t>2、向乙方提供与本项目服务工作有关的资料。</w:t>
      </w:r>
    </w:p>
    <w:p>
      <w:pPr>
        <w:ind w:firstLine="420" w:firstLineChars="200"/>
        <w:rPr>
          <w:rFonts w:ascii="宋体" w:hAnsi="宋体"/>
          <w:szCs w:val="21"/>
        </w:rPr>
      </w:pPr>
      <w:r>
        <w:rPr>
          <w:rFonts w:hint="eastAsia" w:ascii="宋体" w:hAnsi="宋体"/>
          <w:szCs w:val="21"/>
        </w:rPr>
        <w:t>3、负责组织有关专家对项目试验成果评估报告的评审。</w:t>
      </w:r>
    </w:p>
    <w:p>
      <w:pPr>
        <w:ind w:firstLine="422" w:firstLineChars="200"/>
        <w:rPr>
          <w:rFonts w:ascii="宋体" w:hAnsi="宋体"/>
          <w:b/>
          <w:bCs/>
          <w:szCs w:val="21"/>
        </w:rPr>
      </w:pPr>
      <w:r>
        <w:rPr>
          <w:rFonts w:hint="eastAsia" w:ascii="宋体" w:hAnsi="宋体"/>
          <w:b/>
          <w:bCs/>
          <w:szCs w:val="21"/>
        </w:rPr>
        <w:t>第六条　乙方的义务</w:t>
      </w:r>
    </w:p>
    <w:p>
      <w:pPr>
        <w:ind w:firstLine="420" w:firstLineChars="200"/>
        <w:rPr>
          <w:rFonts w:ascii="宋体" w:hAnsi="宋体"/>
          <w:szCs w:val="21"/>
        </w:rPr>
      </w:pPr>
      <w:r>
        <w:rPr>
          <w:rFonts w:hint="eastAsia" w:ascii="宋体" w:hAnsi="宋体"/>
          <w:szCs w:val="21"/>
        </w:rPr>
        <w:t>１、应按照招标文件、投标文件要求按期完成本项目服务工作。</w:t>
      </w:r>
    </w:p>
    <w:p>
      <w:pPr>
        <w:ind w:firstLine="420" w:firstLineChars="200"/>
        <w:rPr>
          <w:rFonts w:ascii="宋体" w:hAnsi="宋体"/>
          <w:szCs w:val="21"/>
        </w:rPr>
      </w:pPr>
      <w:r>
        <w:rPr>
          <w:rFonts w:hint="eastAsia" w:ascii="宋体" w:hAnsi="宋体"/>
          <w:szCs w:val="21"/>
        </w:rPr>
        <w:t>2、负责组织项目的实施，保证工程进度和成桥荷载试验工作质量，并满足交通部交工验收相关标准。</w:t>
      </w:r>
    </w:p>
    <w:p>
      <w:pPr>
        <w:ind w:firstLine="420" w:firstLineChars="200"/>
        <w:rPr>
          <w:rFonts w:ascii="宋体" w:hAnsi="宋体"/>
          <w:szCs w:val="21"/>
        </w:rPr>
      </w:pPr>
      <w:r>
        <w:rPr>
          <w:rFonts w:hint="eastAsia" w:ascii="宋体" w:hAnsi="宋体"/>
          <w:szCs w:val="21"/>
        </w:rPr>
        <w:t>3、</w:t>
      </w:r>
      <w:r>
        <w:rPr>
          <w:rFonts w:hint="eastAsia" w:ascii="宋体" w:hAnsi="宋体"/>
        </w:rPr>
        <w:t>向甲方提交检测资料等各套，一套电子版文件。</w:t>
      </w:r>
    </w:p>
    <w:p>
      <w:pPr>
        <w:ind w:firstLine="420" w:firstLineChars="200"/>
        <w:rPr>
          <w:rFonts w:ascii="宋体" w:hAnsi="宋体"/>
          <w:szCs w:val="21"/>
        </w:rPr>
      </w:pPr>
      <w:r>
        <w:rPr>
          <w:rFonts w:hint="eastAsia" w:ascii="宋体" w:hAnsi="宋体"/>
          <w:szCs w:val="21"/>
        </w:rPr>
        <w:t>4、在履行合同期间或合同规定期限内，不得泄露与本合同规定业务活动有关的保密资料。</w:t>
      </w:r>
    </w:p>
    <w:p>
      <w:pPr>
        <w:ind w:firstLine="422" w:firstLineChars="200"/>
        <w:rPr>
          <w:rFonts w:ascii="宋体" w:hAnsi="宋体"/>
          <w:b/>
          <w:bCs/>
          <w:szCs w:val="21"/>
        </w:rPr>
      </w:pPr>
      <w:r>
        <w:rPr>
          <w:rFonts w:hint="eastAsia" w:ascii="宋体" w:hAnsi="宋体"/>
          <w:b/>
          <w:bCs/>
          <w:szCs w:val="21"/>
        </w:rPr>
        <w:t>第七条  甲方的权利</w:t>
      </w:r>
    </w:p>
    <w:p>
      <w:pPr>
        <w:ind w:firstLine="420" w:firstLineChars="200"/>
        <w:rPr>
          <w:rFonts w:ascii="宋体" w:hAnsi="宋体"/>
          <w:szCs w:val="21"/>
        </w:rPr>
      </w:pPr>
      <w:r>
        <w:rPr>
          <w:rFonts w:ascii="宋体" w:hAnsi="宋体"/>
          <w:szCs w:val="21"/>
        </w:rPr>
        <w:t>1</w:t>
      </w:r>
      <w:r>
        <w:rPr>
          <w:rFonts w:hint="eastAsia" w:ascii="宋体" w:hAnsi="宋体"/>
          <w:szCs w:val="21"/>
        </w:rPr>
        <w:t>、有权向乙方询问工作进展情况及相关的内容。</w:t>
      </w:r>
    </w:p>
    <w:p>
      <w:pPr>
        <w:ind w:firstLine="420" w:firstLineChars="200"/>
        <w:rPr>
          <w:rFonts w:ascii="宋体" w:hAnsi="宋体"/>
          <w:szCs w:val="21"/>
        </w:rPr>
      </w:pPr>
      <w:r>
        <w:rPr>
          <w:rFonts w:ascii="宋体" w:hAnsi="宋体"/>
          <w:szCs w:val="21"/>
        </w:rPr>
        <w:t>2</w:t>
      </w:r>
      <w:r>
        <w:rPr>
          <w:rFonts w:hint="eastAsia" w:ascii="宋体" w:hAnsi="宋体"/>
          <w:szCs w:val="21"/>
        </w:rPr>
        <w:t>、有权阐述对具体问题的意见和建议。</w:t>
      </w:r>
    </w:p>
    <w:p>
      <w:pPr>
        <w:ind w:firstLine="420" w:firstLineChars="200"/>
        <w:rPr>
          <w:rFonts w:ascii="宋体" w:hAnsi="宋体"/>
          <w:szCs w:val="21"/>
        </w:rPr>
      </w:pPr>
      <w:r>
        <w:rPr>
          <w:rFonts w:ascii="宋体" w:hAnsi="宋体"/>
          <w:szCs w:val="21"/>
        </w:rPr>
        <w:t>3</w:t>
      </w:r>
      <w:r>
        <w:rPr>
          <w:rFonts w:hint="eastAsia" w:ascii="宋体" w:hAnsi="宋体"/>
          <w:szCs w:val="21"/>
        </w:rPr>
        <w:t>、当甲方认定乙方人员不按合同履行其职责，或与第三人串通给甲方造成经济损失的，甲方有权要求更换人员，直至终止合同并要求乙方承担相应的赔偿责任。</w:t>
      </w:r>
    </w:p>
    <w:p>
      <w:pPr>
        <w:ind w:firstLine="422" w:firstLineChars="200"/>
        <w:rPr>
          <w:rFonts w:ascii="宋体" w:hAnsi="宋体"/>
          <w:b/>
          <w:bCs/>
          <w:szCs w:val="21"/>
        </w:rPr>
      </w:pPr>
      <w:r>
        <w:rPr>
          <w:rFonts w:hint="eastAsia" w:ascii="宋体" w:hAnsi="宋体"/>
          <w:b/>
          <w:bCs/>
          <w:szCs w:val="21"/>
        </w:rPr>
        <w:t>第八条  乙方的权利</w:t>
      </w:r>
    </w:p>
    <w:p>
      <w:pPr>
        <w:ind w:firstLine="420" w:firstLineChars="200"/>
        <w:rPr>
          <w:rFonts w:ascii="宋体" w:hAnsi="宋体"/>
          <w:szCs w:val="21"/>
        </w:rPr>
      </w:pPr>
      <w:r>
        <w:rPr>
          <w:rFonts w:ascii="宋体" w:hAnsi="宋体"/>
          <w:szCs w:val="21"/>
        </w:rPr>
        <w:t>1</w:t>
      </w:r>
      <w:r>
        <w:rPr>
          <w:rFonts w:hint="eastAsia" w:ascii="宋体" w:hAnsi="宋体"/>
          <w:szCs w:val="21"/>
        </w:rPr>
        <w:t>、乙方在本项目服务过程中，如甲方提供的资料不明确时可向甲方提出书面报告。</w:t>
      </w:r>
    </w:p>
    <w:p>
      <w:pPr>
        <w:ind w:firstLine="420" w:firstLineChars="200"/>
        <w:rPr>
          <w:rFonts w:ascii="宋体" w:hAnsi="宋体"/>
          <w:szCs w:val="21"/>
        </w:rPr>
      </w:pPr>
      <w:r>
        <w:rPr>
          <w:rFonts w:ascii="宋体" w:hAnsi="宋体"/>
          <w:szCs w:val="21"/>
        </w:rPr>
        <w:t>2</w:t>
      </w:r>
      <w:r>
        <w:rPr>
          <w:rFonts w:hint="eastAsia" w:ascii="宋体" w:hAnsi="宋体"/>
          <w:szCs w:val="21"/>
        </w:rPr>
        <w:t>、乙方在本项目服务过程中，有权对第三方提出与本服务业务有关的问题进行核对或查问。</w:t>
      </w:r>
    </w:p>
    <w:p>
      <w:pPr>
        <w:ind w:firstLine="420" w:firstLineChars="200"/>
        <w:rPr>
          <w:rFonts w:ascii="宋体" w:hAnsi="宋体"/>
          <w:szCs w:val="21"/>
        </w:rPr>
      </w:pPr>
      <w:r>
        <w:rPr>
          <w:rFonts w:ascii="宋体" w:hAnsi="宋体"/>
          <w:szCs w:val="21"/>
        </w:rPr>
        <w:t>3</w:t>
      </w:r>
      <w:r>
        <w:rPr>
          <w:rFonts w:hint="eastAsia" w:ascii="宋体" w:hAnsi="宋体"/>
          <w:szCs w:val="21"/>
        </w:rPr>
        <w:t>、乙方在本项目服务过程中，有到工程现场勘察的权利。</w:t>
      </w:r>
    </w:p>
    <w:p>
      <w:pPr>
        <w:ind w:firstLine="422" w:firstLineChars="200"/>
        <w:rPr>
          <w:rFonts w:ascii="宋体" w:hAnsi="宋体"/>
          <w:b/>
          <w:bCs/>
          <w:szCs w:val="21"/>
        </w:rPr>
      </w:pPr>
      <w:r>
        <w:rPr>
          <w:rFonts w:hint="eastAsia" w:ascii="宋体" w:hAnsi="宋体"/>
          <w:b/>
          <w:bCs/>
          <w:szCs w:val="21"/>
        </w:rPr>
        <w:t>第九条  甲方的责任</w:t>
      </w:r>
    </w:p>
    <w:p>
      <w:pPr>
        <w:ind w:firstLine="420" w:firstLineChars="200"/>
        <w:rPr>
          <w:rFonts w:ascii="宋体" w:hAnsi="宋体"/>
          <w:szCs w:val="21"/>
        </w:rPr>
      </w:pPr>
      <w:r>
        <w:rPr>
          <w:rFonts w:hint="eastAsia" w:ascii="宋体" w:hAnsi="宋体"/>
          <w:szCs w:val="21"/>
        </w:rPr>
        <w:t>1、应当履行本合同约定的义务，如有违反则应当承担违约责任，赔偿给乙方造成的损失。</w:t>
      </w:r>
    </w:p>
    <w:p>
      <w:pPr>
        <w:ind w:firstLine="420" w:firstLineChars="200"/>
        <w:rPr>
          <w:rFonts w:ascii="宋体" w:hAnsi="宋体"/>
          <w:szCs w:val="21"/>
        </w:rPr>
      </w:pPr>
      <w:r>
        <w:rPr>
          <w:rFonts w:hint="eastAsia" w:ascii="宋体" w:hAnsi="宋体"/>
          <w:szCs w:val="21"/>
        </w:rPr>
        <w:t>2、甲方向乙方提出赔偿要求不能成立时，则应补偿由于该赔偿或其他要求所导致乙方的各种费用的支出。</w:t>
      </w:r>
    </w:p>
    <w:p>
      <w:pPr>
        <w:ind w:firstLine="422" w:firstLineChars="200"/>
        <w:rPr>
          <w:rFonts w:ascii="宋体" w:hAnsi="宋体"/>
          <w:b/>
          <w:bCs/>
          <w:szCs w:val="21"/>
        </w:rPr>
      </w:pPr>
      <w:r>
        <w:rPr>
          <w:rFonts w:hint="eastAsia" w:ascii="宋体" w:hAnsi="宋体"/>
          <w:b/>
          <w:bCs/>
          <w:szCs w:val="21"/>
        </w:rPr>
        <w:t>第十条  乙方的责任</w:t>
      </w:r>
    </w:p>
    <w:p>
      <w:pPr>
        <w:ind w:firstLine="420" w:firstLineChars="200"/>
        <w:rPr>
          <w:rFonts w:ascii="宋体" w:hAnsi="宋体"/>
          <w:szCs w:val="21"/>
        </w:rPr>
      </w:pPr>
      <w:r>
        <w:rPr>
          <w:rFonts w:hint="eastAsia" w:ascii="宋体" w:hAnsi="宋体"/>
          <w:szCs w:val="21"/>
        </w:rPr>
        <w:t>1、乙方的责任期即本合同有效期。如因非乙方的责任造成进度的推迟或延误而超过约定的日期，双方应进一步约定相应延长合同有效期。</w:t>
      </w:r>
    </w:p>
    <w:p>
      <w:pPr>
        <w:ind w:firstLine="420" w:firstLineChars="200"/>
        <w:rPr>
          <w:rFonts w:ascii="宋体" w:hAnsi="宋体"/>
          <w:szCs w:val="21"/>
        </w:rPr>
      </w:pPr>
      <w:r>
        <w:rPr>
          <w:rFonts w:hint="eastAsia" w:ascii="宋体" w:hAnsi="宋体"/>
          <w:szCs w:val="21"/>
        </w:rPr>
        <w:t>2、乙方的责任期内，应当履行本合同中约定的义务，因乙方的单方过失造成的经济损失，应当向甲方进行赔偿。</w:t>
      </w:r>
    </w:p>
    <w:p>
      <w:pPr>
        <w:ind w:firstLine="420" w:firstLineChars="200"/>
        <w:rPr>
          <w:rFonts w:ascii="宋体" w:hAnsi="宋体"/>
          <w:szCs w:val="21"/>
        </w:rPr>
      </w:pPr>
      <w:r>
        <w:rPr>
          <w:rFonts w:hint="eastAsia" w:ascii="宋体" w:hAnsi="宋体"/>
          <w:szCs w:val="21"/>
        </w:rPr>
        <w:t>3、乙方对甲方或第三方所提出的问题不能及时核对或答复，导致合同不能全部或部分履行，乙方应承担责任。</w:t>
      </w:r>
    </w:p>
    <w:p>
      <w:pPr>
        <w:ind w:firstLine="420" w:firstLineChars="200"/>
        <w:rPr>
          <w:rFonts w:ascii="宋体" w:hAnsi="宋体"/>
          <w:szCs w:val="21"/>
        </w:rPr>
      </w:pPr>
      <w:r>
        <w:rPr>
          <w:rFonts w:hint="eastAsia" w:ascii="宋体" w:hAnsi="宋体"/>
          <w:szCs w:val="21"/>
        </w:rPr>
        <w:t>4、乙方向甲方提出赔偿要求不能成立时，则应补偿由于该赔偿或其他要求所导致甲方的各种费用的支出。</w:t>
      </w:r>
    </w:p>
    <w:p>
      <w:pPr>
        <w:ind w:firstLine="422" w:firstLineChars="200"/>
        <w:rPr>
          <w:rFonts w:ascii="宋体" w:hAnsi="宋体"/>
          <w:b/>
          <w:bCs/>
          <w:szCs w:val="21"/>
        </w:rPr>
      </w:pPr>
      <w:r>
        <w:rPr>
          <w:rFonts w:hint="eastAsia" w:ascii="宋体" w:hAnsi="宋体"/>
          <w:b/>
          <w:bCs/>
          <w:szCs w:val="21"/>
        </w:rPr>
        <w:t>第十一条  人员要求</w:t>
      </w:r>
    </w:p>
    <w:p>
      <w:pPr>
        <w:ind w:firstLine="420" w:firstLineChars="200"/>
        <w:rPr>
          <w:rFonts w:ascii="宋体" w:hAnsi="宋体"/>
          <w:szCs w:val="21"/>
        </w:rPr>
      </w:pPr>
      <w:r>
        <w:rPr>
          <w:rFonts w:hint="eastAsia" w:ascii="宋体" w:hAnsi="宋体"/>
          <w:szCs w:val="21"/>
        </w:rPr>
        <w:t>1、参加本项目试验的人员必须具有国家和有关部门规定的相应资质。</w:t>
      </w:r>
    </w:p>
    <w:p>
      <w:pPr>
        <w:ind w:firstLine="420" w:firstLineChars="200"/>
        <w:rPr>
          <w:rFonts w:ascii="宋体" w:hAnsi="宋体"/>
          <w:szCs w:val="21"/>
        </w:rPr>
      </w:pPr>
      <w:r>
        <w:rPr>
          <w:rFonts w:hint="eastAsia" w:ascii="宋体" w:hAnsi="宋体"/>
          <w:szCs w:val="21"/>
        </w:rPr>
        <w:t>2、参加本项目的试验人员的配置必须与投标文件中的服务承诺书和试验服务组织实施方案一致。</w:t>
      </w:r>
    </w:p>
    <w:p>
      <w:pPr>
        <w:ind w:firstLine="420" w:firstLineChars="200"/>
        <w:rPr>
          <w:rFonts w:ascii="宋体" w:hAnsi="宋体"/>
          <w:szCs w:val="21"/>
        </w:rPr>
      </w:pPr>
      <w:r>
        <w:rPr>
          <w:rFonts w:hint="eastAsia" w:ascii="宋体" w:hAnsi="宋体"/>
          <w:szCs w:val="21"/>
        </w:rPr>
        <w:t>3、必须以直属试验人员参与本项目服务，不得使用挂靠队伍。</w:t>
      </w:r>
    </w:p>
    <w:p>
      <w:pPr>
        <w:ind w:firstLine="422" w:firstLineChars="200"/>
        <w:rPr>
          <w:rFonts w:ascii="宋体" w:hAnsi="宋体"/>
          <w:b/>
          <w:bCs/>
          <w:szCs w:val="21"/>
        </w:rPr>
      </w:pPr>
      <w:r>
        <w:rPr>
          <w:rFonts w:hint="eastAsia" w:ascii="宋体" w:hAnsi="宋体"/>
          <w:b/>
          <w:bCs/>
          <w:szCs w:val="21"/>
        </w:rPr>
        <w:t>第十二条  乙方服务工具要求</w:t>
      </w:r>
    </w:p>
    <w:p>
      <w:pPr>
        <w:ind w:firstLine="420" w:firstLineChars="200"/>
        <w:rPr>
          <w:rFonts w:ascii="宋体" w:hAnsi="宋体"/>
          <w:szCs w:val="21"/>
        </w:rPr>
      </w:pPr>
      <w:r>
        <w:rPr>
          <w:rFonts w:hint="eastAsia" w:ascii="宋体" w:hAnsi="宋体"/>
          <w:szCs w:val="21"/>
        </w:rPr>
        <w:t>1、乙方应配备中标项目所需的足够数量的仪器、仪表以及工具等设备。用户不需向乙方提供施工工具和仪器、仪表。</w:t>
      </w:r>
    </w:p>
    <w:p>
      <w:pPr>
        <w:ind w:firstLine="420" w:firstLineChars="200"/>
        <w:rPr>
          <w:rFonts w:ascii="宋体" w:hAnsi="宋体"/>
          <w:szCs w:val="21"/>
        </w:rPr>
      </w:pPr>
      <w:r>
        <w:rPr>
          <w:rFonts w:hint="eastAsia" w:ascii="宋体" w:hAnsi="宋体"/>
          <w:szCs w:val="21"/>
        </w:rPr>
        <w:t>2、乙方在提供服务过程中应自备车辆。</w:t>
      </w:r>
    </w:p>
    <w:p>
      <w:pPr>
        <w:ind w:firstLine="422" w:firstLineChars="200"/>
        <w:rPr>
          <w:rFonts w:ascii="宋体" w:hAnsi="宋体"/>
          <w:b/>
          <w:bCs/>
          <w:szCs w:val="21"/>
        </w:rPr>
      </w:pPr>
      <w:r>
        <w:rPr>
          <w:rFonts w:hint="eastAsia" w:ascii="宋体" w:hAnsi="宋体"/>
          <w:b/>
          <w:bCs/>
          <w:szCs w:val="21"/>
        </w:rPr>
        <w:t>第十三条  保密要求</w:t>
      </w:r>
    </w:p>
    <w:p>
      <w:pPr>
        <w:ind w:firstLine="420" w:firstLineChars="200"/>
        <w:rPr>
          <w:rFonts w:ascii="宋体" w:hAnsi="宋体"/>
          <w:szCs w:val="21"/>
        </w:rPr>
      </w:pPr>
      <w:r>
        <w:rPr>
          <w:rFonts w:hint="eastAsia" w:ascii="宋体" w:hAnsi="宋体"/>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ind w:firstLine="420" w:firstLineChars="200"/>
        <w:rPr>
          <w:rFonts w:ascii="宋体" w:hAnsi="宋体"/>
          <w:szCs w:val="21"/>
        </w:rPr>
      </w:pPr>
      <w:r>
        <w:rPr>
          <w:rFonts w:hint="eastAsia" w:ascii="宋体" w:hAnsi="宋体"/>
          <w:szCs w:val="21"/>
        </w:rPr>
        <w:t>2、</w:t>
      </w:r>
      <w:r>
        <w:rPr>
          <w:rFonts w:ascii="宋体" w:hAnsi="宋体"/>
          <w:szCs w:val="21"/>
        </w:rPr>
        <w:t>乙方在履行合同过程中所获得或接触到的任何</w:t>
      </w:r>
      <w:r>
        <w:rPr>
          <w:rFonts w:hint="eastAsia" w:ascii="宋体" w:hAnsi="宋体"/>
          <w:szCs w:val="21"/>
        </w:rPr>
        <w:t>内部数据资料，未经甲方同意，不得向第三方透露。</w:t>
      </w:r>
    </w:p>
    <w:p>
      <w:pPr>
        <w:ind w:firstLine="420" w:firstLineChars="200"/>
        <w:rPr>
          <w:rFonts w:ascii="宋体" w:hAnsi="宋体"/>
          <w:szCs w:val="21"/>
        </w:rPr>
      </w:pPr>
      <w:r>
        <w:rPr>
          <w:rFonts w:hint="eastAsia" w:ascii="宋体" w:hAnsi="宋体"/>
          <w:szCs w:val="21"/>
        </w:rPr>
        <w:t>3、</w:t>
      </w:r>
      <w:r>
        <w:rPr>
          <w:rFonts w:ascii="宋体" w:hAnsi="宋体"/>
          <w:szCs w:val="21"/>
        </w:rPr>
        <w:t>乙方</w:t>
      </w:r>
      <w:r>
        <w:rPr>
          <w:rFonts w:hint="eastAsia" w:ascii="宋体" w:hAnsi="宋体"/>
          <w:szCs w:val="21"/>
        </w:rPr>
        <w:t>实施项目的一切程序都应符合国家安全、保密的有关规定和标准。</w:t>
      </w:r>
    </w:p>
    <w:p>
      <w:pPr>
        <w:ind w:firstLine="420" w:firstLineChars="200"/>
        <w:rPr>
          <w:rFonts w:ascii="宋体" w:hAnsi="宋体"/>
          <w:szCs w:val="21"/>
        </w:rPr>
      </w:pPr>
      <w:r>
        <w:rPr>
          <w:rFonts w:hint="eastAsia" w:ascii="宋体" w:hAnsi="宋体"/>
          <w:szCs w:val="21"/>
        </w:rPr>
        <w:t>4、</w:t>
      </w:r>
      <w:r>
        <w:rPr>
          <w:rFonts w:ascii="宋体" w:hAnsi="宋体"/>
          <w:szCs w:val="21"/>
        </w:rPr>
        <w:t>乙方</w:t>
      </w:r>
      <w:r>
        <w:rPr>
          <w:rFonts w:hint="eastAsia" w:ascii="宋体" w:hAnsi="宋体"/>
          <w:szCs w:val="21"/>
        </w:rPr>
        <w:t>参加项目的有关人员均需同甲方签订保密协议。</w:t>
      </w:r>
    </w:p>
    <w:p>
      <w:pPr>
        <w:ind w:firstLine="422" w:firstLineChars="200"/>
        <w:rPr>
          <w:rFonts w:ascii="宋体" w:hAnsi="宋体"/>
          <w:b/>
          <w:bCs/>
          <w:szCs w:val="21"/>
        </w:rPr>
      </w:pPr>
      <w:r>
        <w:rPr>
          <w:rFonts w:hint="eastAsia" w:ascii="宋体" w:hAnsi="宋体"/>
          <w:b/>
          <w:bCs/>
          <w:szCs w:val="21"/>
        </w:rPr>
        <w:t xml:space="preserve">第十四条  验收     </w:t>
      </w:r>
    </w:p>
    <w:p>
      <w:pPr>
        <w:ind w:firstLine="420" w:firstLineChars="200"/>
        <w:rPr>
          <w:rFonts w:ascii="宋体" w:hAnsi="宋体"/>
          <w:szCs w:val="21"/>
        </w:rPr>
      </w:pPr>
      <w:r>
        <w:rPr>
          <w:rFonts w:hint="eastAsia" w:ascii="宋体" w:hAnsi="宋体"/>
          <w:szCs w:val="21"/>
        </w:rPr>
        <w:t>1、下列文件的验收分为</w:t>
      </w:r>
      <w:r>
        <w:rPr>
          <w:rFonts w:hint="eastAsia" w:ascii="宋体" w:hAnsi="宋体"/>
          <w:szCs w:val="21"/>
          <w:u w:val="single"/>
        </w:rPr>
        <w:t xml:space="preserve">          三</w:t>
      </w:r>
      <w:r>
        <w:rPr>
          <w:rFonts w:hint="eastAsia" w:ascii="宋体" w:hAnsi="宋体"/>
          <w:szCs w:val="21"/>
        </w:rPr>
        <w:t>个阶段:</w:t>
      </w:r>
    </w:p>
    <w:p>
      <w:pPr>
        <w:ind w:firstLine="420" w:firstLineChars="200"/>
        <w:rPr>
          <w:rFonts w:ascii="宋体" w:hAnsi="宋体"/>
          <w:szCs w:val="21"/>
        </w:rPr>
      </w:pPr>
      <w:r>
        <w:rPr>
          <w:rFonts w:hint="eastAsia" w:ascii="宋体" w:hAnsi="宋体"/>
          <w:szCs w:val="21"/>
        </w:rPr>
        <w:t>2、其余文件和工作由用户组织有关技术人员根据国家和行业有关规范、规程、标准和用户需求直接验收。</w:t>
      </w:r>
    </w:p>
    <w:p>
      <w:pPr>
        <w:ind w:firstLine="420" w:firstLineChars="200"/>
        <w:rPr>
          <w:rFonts w:ascii="宋体" w:hAnsi="宋体"/>
          <w:szCs w:val="21"/>
        </w:rPr>
      </w:pPr>
      <w:r>
        <w:rPr>
          <w:rFonts w:hint="eastAsia" w:ascii="宋体" w:hAnsi="宋体"/>
          <w:szCs w:val="21"/>
        </w:rPr>
        <w:t>3、验收依据为招标文件、投标文件，国家和行业有关规范、规程和标准。</w:t>
      </w:r>
    </w:p>
    <w:p>
      <w:pPr>
        <w:ind w:firstLine="422" w:firstLineChars="200"/>
        <w:rPr>
          <w:rFonts w:ascii="宋体" w:hAnsi="宋体"/>
          <w:b/>
          <w:bCs/>
          <w:szCs w:val="21"/>
        </w:rPr>
      </w:pPr>
      <w:r>
        <w:rPr>
          <w:rFonts w:hint="eastAsia" w:ascii="宋体" w:hAnsi="宋体"/>
          <w:b/>
          <w:bCs/>
          <w:szCs w:val="21"/>
        </w:rPr>
        <w:t>第十五条  付款方式</w:t>
      </w:r>
    </w:p>
    <w:p>
      <w:pPr>
        <w:ind w:firstLine="420" w:firstLineChars="200"/>
        <w:rPr>
          <w:rFonts w:ascii="宋体" w:hAnsi="宋体"/>
          <w:szCs w:val="21"/>
        </w:rPr>
      </w:pPr>
      <w:r>
        <w:rPr>
          <w:rFonts w:hint="eastAsia" w:ascii="宋体" w:hAnsi="宋体"/>
          <w:szCs w:val="21"/>
        </w:rPr>
        <w:t>1、合同签订后   天内乙方向甲方开具合法有效的发票后，甲方于   天内向乙方支付合同总价%的款项。</w:t>
      </w:r>
    </w:p>
    <w:p>
      <w:pPr>
        <w:ind w:firstLine="420" w:firstLineChars="200"/>
        <w:rPr>
          <w:rFonts w:ascii="宋体" w:hAnsi="宋体"/>
          <w:szCs w:val="21"/>
        </w:rPr>
      </w:pPr>
      <w:r>
        <w:rPr>
          <w:rFonts w:hint="eastAsia" w:ascii="宋体" w:hAnsi="宋体"/>
          <w:szCs w:val="21"/>
        </w:rPr>
        <w:t>2、检测完成并提交评估报告后  天内，乙方向甲方开具合法有效发票后 天，甲方向乙方支付合同总价%的款项。</w:t>
      </w:r>
    </w:p>
    <w:p>
      <w:pPr>
        <w:ind w:firstLine="420" w:firstLineChars="200"/>
        <w:rPr>
          <w:rFonts w:ascii="宋体" w:hAnsi="宋体"/>
          <w:szCs w:val="21"/>
        </w:rPr>
      </w:pPr>
      <w:r>
        <w:rPr>
          <w:rFonts w:hint="eastAsia" w:ascii="宋体" w:hAnsi="宋体"/>
          <w:szCs w:val="21"/>
        </w:rPr>
        <w:t>3、报告通过专家评审后，甲方向乙方支付合同总价%的款项。</w:t>
      </w:r>
    </w:p>
    <w:p>
      <w:pPr>
        <w:ind w:firstLine="422" w:firstLineChars="200"/>
        <w:rPr>
          <w:rFonts w:ascii="宋体" w:hAnsi="宋体"/>
          <w:b/>
          <w:bCs/>
          <w:szCs w:val="21"/>
        </w:rPr>
      </w:pPr>
      <w:r>
        <w:rPr>
          <w:rFonts w:hint="eastAsia" w:ascii="宋体" w:hAnsi="宋体"/>
          <w:b/>
          <w:bCs/>
          <w:szCs w:val="21"/>
        </w:rPr>
        <w:t>第十六条  争议解决办法</w:t>
      </w:r>
    </w:p>
    <w:p>
      <w:pPr>
        <w:ind w:firstLine="420" w:firstLineChars="200"/>
        <w:rPr>
          <w:rFonts w:ascii="宋体" w:hAnsi="宋体"/>
          <w:szCs w:val="21"/>
        </w:rPr>
      </w:pPr>
      <w:r>
        <w:rPr>
          <w:rFonts w:hint="eastAsia" w:ascii="宋体" w:hAnsi="宋体"/>
          <w:szCs w:val="21"/>
        </w:rPr>
        <w:t>执行本合同发生的争议，由甲乙双方协商解决，如协商不成的，应提交甲方所在地人民法院诉讼解决。</w:t>
      </w:r>
    </w:p>
    <w:p>
      <w:pPr>
        <w:ind w:firstLine="422" w:firstLineChars="200"/>
        <w:rPr>
          <w:rFonts w:ascii="宋体" w:hAnsi="宋体"/>
          <w:b/>
          <w:bCs/>
          <w:szCs w:val="21"/>
        </w:rPr>
      </w:pPr>
      <w:r>
        <w:rPr>
          <w:rFonts w:hint="eastAsia" w:ascii="宋体" w:hAnsi="宋体"/>
          <w:b/>
          <w:bCs/>
          <w:szCs w:val="21"/>
        </w:rPr>
        <w:t>第十七条  风险责任</w:t>
      </w:r>
    </w:p>
    <w:p>
      <w:pPr>
        <w:ind w:firstLine="420" w:firstLineChars="200"/>
        <w:rPr>
          <w:rFonts w:ascii="宋体" w:hAnsi="宋体"/>
          <w:szCs w:val="21"/>
        </w:rPr>
      </w:pPr>
      <w:r>
        <w:rPr>
          <w:rFonts w:hint="eastAsia" w:ascii="宋体" w:hAnsi="宋体"/>
          <w:szCs w:val="21"/>
        </w:rPr>
        <w:t>１、乙方应完全地按照招标文件的要求和乙方投标文件的承诺完成本项目，出于自身财务、技术、人力等原因导致项目失败的，应承担全部责任。</w:t>
      </w:r>
    </w:p>
    <w:p>
      <w:pPr>
        <w:ind w:firstLine="420" w:firstLineChars="200"/>
        <w:rPr>
          <w:rFonts w:ascii="宋体" w:hAnsi="宋体"/>
          <w:szCs w:val="21"/>
        </w:rPr>
      </w:pPr>
      <w:r>
        <w:rPr>
          <w:rFonts w:hint="eastAsia" w:ascii="宋体" w:hAnsi="宋体"/>
          <w:szCs w:val="21"/>
        </w:rPr>
        <w:t>2、乙方在实施荷载试验过程中应对自身的安全生产负责，若非因甲方原因发生的各种事故甲方不承担任何责任。</w:t>
      </w:r>
    </w:p>
    <w:p>
      <w:pPr>
        <w:ind w:firstLine="422" w:firstLineChars="200"/>
        <w:rPr>
          <w:rFonts w:ascii="宋体" w:hAnsi="宋体"/>
          <w:b/>
          <w:bCs/>
          <w:szCs w:val="21"/>
        </w:rPr>
      </w:pPr>
      <w:r>
        <w:rPr>
          <w:rFonts w:hint="eastAsia" w:ascii="宋体" w:hAnsi="宋体"/>
          <w:b/>
          <w:bCs/>
          <w:szCs w:val="21"/>
        </w:rPr>
        <w:t>第十八条  违约责任</w:t>
      </w:r>
    </w:p>
    <w:p>
      <w:pPr>
        <w:pStyle w:val="20"/>
        <w:spacing w:line="240" w:lineRule="auto"/>
        <w:rPr>
          <w:rFonts w:ascii="宋体" w:hAnsi="宋体"/>
          <w:szCs w:val="21"/>
        </w:rPr>
      </w:pPr>
      <w:r>
        <w:rPr>
          <w:rFonts w:hint="eastAsia" w:ascii="宋体" w:hAnsi="宋体"/>
          <w:szCs w:val="21"/>
        </w:rPr>
        <w:t>１、因乙方原因，未能按规定时间完成有关工作的，每延误一天，甲方可在支付合同余款中扣除合同价款千分之一。</w:t>
      </w:r>
    </w:p>
    <w:p>
      <w:pPr>
        <w:ind w:firstLine="420" w:firstLineChars="200"/>
        <w:rPr>
          <w:rFonts w:ascii="宋体" w:hAnsi="宋体"/>
          <w:szCs w:val="21"/>
        </w:rPr>
      </w:pPr>
      <w:r>
        <w:rPr>
          <w:rFonts w:hint="eastAsia" w:ascii="宋体" w:hAnsi="宋体"/>
          <w:szCs w:val="21"/>
        </w:rPr>
        <w:t>2、由于乙方原因造成试验成果质量低劣，不能满足大纲要求时，应继续完善试验工作，其费用由乙方承担。</w:t>
      </w:r>
    </w:p>
    <w:p>
      <w:pPr>
        <w:ind w:firstLine="420" w:firstLineChars="200"/>
        <w:rPr>
          <w:rFonts w:ascii="宋体" w:hAnsi="宋体"/>
          <w:szCs w:val="21"/>
        </w:rPr>
      </w:pPr>
      <w:r>
        <w:rPr>
          <w:rFonts w:hint="eastAsia" w:ascii="宋体" w:hAnsi="宋体"/>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ind w:firstLine="420" w:firstLineChars="200"/>
        <w:rPr>
          <w:rFonts w:ascii="宋体" w:hAnsi="宋体"/>
          <w:szCs w:val="21"/>
        </w:rPr>
      </w:pPr>
      <w:r>
        <w:rPr>
          <w:rFonts w:hint="eastAsia" w:ascii="宋体" w:hAnsi="宋体"/>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ind w:firstLine="420" w:firstLineChars="200"/>
        <w:rPr>
          <w:rFonts w:ascii="宋体" w:hAnsi="宋体"/>
          <w:szCs w:val="21"/>
        </w:rPr>
      </w:pPr>
      <w:r>
        <w:rPr>
          <w:rFonts w:hint="eastAsia" w:ascii="宋体" w:hAnsi="宋体"/>
          <w:szCs w:val="21"/>
        </w:rPr>
        <w:t>5、乙方或其工作人员违反本合同约定的保密义务，甲方有权要求乙方按合同总额   %支付违约金；造成不良影响或对甲方造成损失的，甲方有权要求乙方消除影响，承担赔偿责任，并有权解除合同。</w:t>
      </w:r>
    </w:p>
    <w:p>
      <w:pPr>
        <w:ind w:firstLine="420" w:firstLineChars="200"/>
        <w:rPr>
          <w:rFonts w:ascii="宋体" w:hAnsi="宋体"/>
          <w:szCs w:val="21"/>
        </w:rPr>
      </w:pPr>
      <w:r>
        <w:rPr>
          <w:rFonts w:hint="eastAsia" w:ascii="宋体" w:hAnsi="宋体"/>
          <w:szCs w:val="21"/>
        </w:rPr>
        <w:t>6、因乙方提供的服务成果受到侵权指控或者引发法律纠纷，影响甲方使用服务成果或者导致合同目的不能实现的，甲方有权要求乙方按合同总额   %支付违约金，并有权解除合同。</w:t>
      </w:r>
    </w:p>
    <w:p>
      <w:pPr>
        <w:ind w:firstLine="422" w:firstLineChars="200"/>
        <w:rPr>
          <w:rFonts w:ascii="宋体" w:hAnsi="宋体"/>
          <w:b/>
          <w:bCs/>
          <w:szCs w:val="21"/>
        </w:rPr>
      </w:pPr>
      <w:r>
        <w:rPr>
          <w:rFonts w:hint="eastAsia" w:ascii="宋体" w:hAnsi="宋体"/>
          <w:b/>
          <w:bCs/>
          <w:szCs w:val="21"/>
        </w:rPr>
        <w:t>第十九条  其他</w:t>
      </w:r>
    </w:p>
    <w:p>
      <w:pPr>
        <w:ind w:firstLine="420" w:firstLineChars="200"/>
        <w:rPr>
          <w:rFonts w:hint="eastAsia" w:ascii="宋体" w:hAnsi="宋体"/>
          <w:szCs w:val="21"/>
        </w:rPr>
      </w:pPr>
      <w:r>
        <w:rPr>
          <w:rFonts w:hint="eastAsia" w:ascii="宋体" w:hAnsi="宋体"/>
          <w:szCs w:val="21"/>
        </w:rPr>
        <w:t>1、本协议书与下列文件一起构成合同文件，如下述文件之间有任何抵触、矛盾或歧义，应按以下顺序解释：</w:t>
      </w:r>
    </w:p>
    <w:p>
      <w:pPr>
        <w:ind w:firstLine="420" w:firstLineChars="200"/>
        <w:rPr>
          <w:rFonts w:hint="eastAsia" w:ascii="宋体" w:hAnsi="宋体"/>
          <w:szCs w:val="21"/>
        </w:rPr>
      </w:pPr>
      <w:r>
        <w:rPr>
          <w:rFonts w:hint="eastAsia" w:ascii="宋体" w:hAnsi="宋体"/>
          <w:szCs w:val="21"/>
        </w:rPr>
        <w:t>（1）合同协议书及其变更、补充协议</w:t>
      </w:r>
    </w:p>
    <w:p>
      <w:pPr>
        <w:ind w:firstLine="420" w:firstLineChars="200"/>
        <w:rPr>
          <w:rFonts w:hint="eastAsia" w:ascii="宋体" w:hAnsi="宋体"/>
          <w:szCs w:val="21"/>
        </w:rPr>
      </w:pPr>
      <w:r>
        <w:rPr>
          <w:rFonts w:hint="eastAsia" w:ascii="宋体" w:hAnsi="宋体"/>
          <w:szCs w:val="21"/>
        </w:rPr>
        <w:t>（2）合同专用条款</w:t>
      </w:r>
    </w:p>
    <w:p>
      <w:pPr>
        <w:ind w:firstLine="420" w:firstLineChars="200"/>
        <w:rPr>
          <w:rFonts w:hint="eastAsia" w:ascii="宋体" w:hAnsi="宋体"/>
          <w:szCs w:val="21"/>
        </w:rPr>
      </w:pPr>
      <w:r>
        <w:rPr>
          <w:rFonts w:hint="eastAsia" w:ascii="宋体" w:hAnsi="宋体"/>
          <w:szCs w:val="21"/>
        </w:rPr>
        <w:t>（3）合同通用条款</w:t>
      </w:r>
    </w:p>
    <w:p>
      <w:pPr>
        <w:ind w:firstLine="420" w:firstLineChars="200"/>
        <w:rPr>
          <w:rFonts w:hint="eastAsia" w:ascii="宋体" w:hAnsi="宋体"/>
          <w:szCs w:val="21"/>
        </w:rPr>
      </w:pPr>
      <w:r>
        <w:rPr>
          <w:rFonts w:hint="eastAsia" w:ascii="宋体" w:hAnsi="宋体"/>
          <w:szCs w:val="21"/>
        </w:rPr>
        <w:t>（4）中标（成交）通知书</w:t>
      </w:r>
    </w:p>
    <w:p>
      <w:pPr>
        <w:ind w:firstLine="420" w:firstLineChars="200"/>
        <w:rPr>
          <w:rFonts w:hint="eastAsia" w:ascii="宋体" w:hAnsi="宋体"/>
          <w:szCs w:val="21"/>
        </w:rPr>
      </w:pPr>
      <w:r>
        <w:rPr>
          <w:rFonts w:hint="eastAsia" w:ascii="宋体" w:hAnsi="宋体"/>
          <w:szCs w:val="21"/>
        </w:rPr>
        <w:t>（5）投标（响应）文件</w:t>
      </w:r>
    </w:p>
    <w:p>
      <w:pPr>
        <w:ind w:firstLine="420" w:firstLineChars="200"/>
        <w:rPr>
          <w:rFonts w:hint="eastAsia" w:ascii="宋体" w:hAnsi="宋体"/>
          <w:szCs w:val="21"/>
        </w:rPr>
      </w:pPr>
      <w:r>
        <w:rPr>
          <w:rFonts w:hint="eastAsia" w:ascii="宋体" w:hAnsi="宋体"/>
          <w:szCs w:val="21"/>
        </w:rPr>
        <w:t>（6）采购文件</w:t>
      </w:r>
    </w:p>
    <w:p>
      <w:pPr>
        <w:ind w:firstLine="420" w:firstLineChars="200"/>
        <w:rPr>
          <w:rFonts w:hint="eastAsia" w:ascii="宋体" w:hAnsi="宋体"/>
          <w:szCs w:val="21"/>
        </w:rPr>
      </w:pPr>
      <w:r>
        <w:rPr>
          <w:rFonts w:hint="eastAsia" w:ascii="宋体" w:hAnsi="宋体"/>
          <w:szCs w:val="21"/>
        </w:rPr>
        <w:t>（7）有关技术文件，图纸</w:t>
      </w:r>
    </w:p>
    <w:p>
      <w:pPr>
        <w:ind w:firstLine="420" w:firstLineChars="200"/>
        <w:rPr>
          <w:rFonts w:ascii="宋体" w:hAnsi="宋体"/>
          <w:szCs w:val="21"/>
        </w:rPr>
      </w:pPr>
      <w:r>
        <w:rPr>
          <w:rFonts w:hint="eastAsia" w:ascii="宋体" w:hAnsi="宋体"/>
          <w:szCs w:val="21"/>
        </w:rPr>
        <w:t>（8）国家法律、行政法规和规章制度规定或合同约定的作为合同组成部分的其他文件。</w:t>
      </w:r>
    </w:p>
    <w:p>
      <w:pPr>
        <w:ind w:firstLine="420" w:firstLineChars="200"/>
        <w:rPr>
          <w:rFonts w:ascii="宋体" w:hAnsi="宋体"/>
          <w:szCs w:val="21"/>
        </w:rPr>
      </w:pPr>
      <w:r>
        <w:rPr>
          <w:rFonts w:hint="eastAsia" w:ascii="宋体" w:hAnsi="宋体"/>
          <w:szCs w:val="21"/>
        </w:rPr>
        <w:t>2、下列文件均为本合同的组成部分：</w:t>
      </w:r>
    </w:p>
    <w:p>
      <w:pPr>
        <w:ind w:firstLine="420" w:firstLineChars="200"/>
        <w:rPr>
          <w:rFonts w:ascii="宋体" w:hAnsi="宋体"/>
          <w:szCs w:val="21"/>
        </w:rPr>
      </w:pPr>
      <w:r>
        <w:rPr>
          <w:rFonts w:hint="eastAsia" w:ascii="宋体" w:hAnsi="宋体"/>
          <w:szCs w:val="21"/>
        </w:rPr>
        <w:t>（1）招标文件、答疑及补充通知；</w:t>
      </w:r>
    </w:p>
    <w:p>
      <w:pPr>
        <w:ind w:firstLine="420" w:firstLineChars="200"/>
        <w:rPr>
          <w:rFonts w:ascii="宋体" w:hAnsi="宋体"/>
          <w:szCs w:val="21"/>
        </w:rPr>
      </w:pPr>
      <w:r>
        <w:rPr>
          <w:rFonts w:hint="eastAsia" w:ascii="宋体" w:hAnsi="宋体"/>
          <w:szCs w:val="21"/>
        </w:rPr>
        <w:t>（2）投标文件；</w:t>
      </w:r>
    </w:p>
    <w:p>
      <w:pPr>
        <w:ind w:firstLine="420" w:firstLineChars="200"/>
        <w:rPr>
          <w:rFonts w:ascii="宋体" w:hAnsi="宋体"/>
          <w:szCs w:val="21"/>
        </w:rPr>
      </w:pPr>
      <w:r>
        <w:rPr>
          <w:rFonts w:hint="eastAsia" w:ascii="宋体" w:hAnsi="宋体"/>
          <w:szCs w:val="21"/>
        </w:rPr>
        <w:t>（3）本合同执行中共同签署的补充与修正文件。</w:t>
      </w:r>
    </w:p>
    <w:p>
      <w:pPr>
        <w:ind w:firstLine="420" w:firstLineChars="200"/>
        <w:rPr>
          <w:rFonts w:ascii="宋体" w:hAnsi="宋体"/>
          <w:szCs w:val="21"/>
        </w:rPr>
      </w:pPr>
      <w:r>
        <w:rPr>
          <w:rFonts w:hint="eastAsia" w:ascii="宋体" w:hAnsi="宋体"/>
          <w:szCs w:val="21"/>
        </w:rPr>
        <w:t>本合同一式份，甲、乙方双方各执份，具有同等法律效力。本合同自双方法人代表签字（盖章）认可之日起生效。</w:t>
      </w:r>
    </w:p>
    <w:p>
      <w:pPr>
        <w:ind w:firstLine="420" w:firstLineChars="200"/>
        <w:rPr>
          <w:rFonts w:ascii="宋体" w:hAnsi="宋体"/>
          <w:szCs w:val="21"/>
        </w:rPr>
      </w:pPr>
      <w:r>
        <w:rPr>
          <w:rFonts w:hint="eastAsia" w:ascii="宋体" w:hAnsi="宋体"/>
          <w:szCs w:val="21"/>
        </w:rPr>
        <w:t>本合同未尽事宜，双方友好协商，达成解决方案，经双方签字后，可作为本合同的有效附件。</w:t>
      </w:r>
    </w:p>
    <w:p>
      <w:pPr>
        <w:ind w:firstLine="420" w:firstLineChars="200"/>
        <w:rPr>
          <w:rFonts w:ascii="宋体" w:hAnsi="宋体"/>
          <w:szCs w:val="21"/>
        </w:rPr>
      </w:pPr>
    </w:p>
    <w:p>
      <w:pPr>
        <w:ind w:firstLine="420" w:firstLineChars="200"/>
        <w:rPr>
          <w:rFonts w:ascii="宋体" w:hAnsi="宋体"/>
          <w:szCs w:val="21"/>
        </w:rPr>
      </w:pPr>
    </w:p>
    <w:p>
      <w:pPr>
        <w:spacing w:line="360" w:lineRule="auto"/>
        <w:ind w:firstLine="560"/>
        <w:jc w:val="left"/>
        <w:rPr>
          <w:rFonts w:ascii="宋体" w:hAnsi="宋体"/>
          <w:szCs w:val="21"/>
        </w:rPr>
      </w:pPr>
      <w:r>
        <w:rPr>
          <w:rFonts w:hint="eastAsia" w:ascii="宋体" w:hAnsi="宋体"/>
          <w:szCs w:val="21"/>
        </w:rPr>
        <w:t>甲方（采购人）：   （盖章）       乙方（供应商）：    （盖章）</w:t>
      </w:r>
    </w:p>
    <w:p>
      <w:pPr>
        <w:spacing w:line="360" w:lineRule="auto"/>
        <w:ind w:firstLine="560"/>
        <w:jc w:val="left"/>
        <w:rPr>
          <w:rFonts w:ascii="宋体" w:hAnsi="宋体"/>
          <w:szCs w:val="21"/>
        </w:rPr>
      </w:pPr>
      <w:r>
        <w:rPr>
          <w:rFonts w:hint="eastAsia" w:ascii="宋体" w:hAnsi="宋体"/>
          <w:szCs w:val="21"/>
        </w:rPr>
        <w:t xml:space="preserve">法定代表人：                     法定代表人： </w:t>
      </w:r>
    </w:p>
    <w:p>
      <w:pPr>
        <w:spacing w:line="360" w:lineRule="auto"/>
        <w:ind w:firstLine="560"/>
        <w:jc w:val="left"/>
        <w:rPr>
          <w:rFonts w:ascii="宋体" w:hAnsi="宋体"/>
          <w:szCs w:val="21"/>
        </w:rPr>
      </w:pPr>
      <w:r>
        <w:rPr>
          <w:rFonts w:hint="eastAsia" w:ascii="宋体" w:hAnsi="宋体"/>
          <w:szCs w:val="21"/>
        </w:rPr>
        <w:t>委托代理人：                     委托代理人：</w:t>
      </w:r>
    </w:p>
    <w:p>
      <w:pPr>
        <w:ind w:firstLine="420" w:firstLineChars="200"/>
        <w:rPr>
          <w:rFonts w:ascii="宋体" w:hAnsi="宋体"/>
          <w:szCs w:val="21"/>
        </w:rPr>
      </w:pPr>
      <w:r>
        <w:rPr>
          <w:rFonts w:hint="eastAsia" w:ascii="宋体" w:hAnsi="宋体"/>
          <w:szCs w:val="21"/>
        </w:rPr>
        <w:t>日期：   年     月    日         日期：   年     月    日</w:t>
      </w:r>
    </w:p>
    <w:p>
      <w:pPr>
        <w:widowControl/>
        <w:jc w:val="left"/>
        <w:rPr>
          <w:rFonts w:ascii="宋体" w:hAnsi="宋体"/>
          <w:szCs w:val="21"/>
        </w:rPr>
      </w:pPr>
      <w:r>
        <w:rPr>
          <w:rFonts w:ascii="宋体" w:hAnsi="宋体"/>
          <w:szCs w:val="21"/>
        </w:rPr>
        <w:br w:type="page"/>
      </w:r>
    </w:p>
    <w:p>
      <w:pPr>
        <w:pStyle w:val="5"/>
        <w:spacing w:before="120" w:beforeLines="50" w:after="120" w:afterLines="50"/>
        <w:ind w:left="562"/>
        <w:rPr>
          <w:sz w:val="28"/>
          <w:szCs w:val="28"/>
        </w:rPr>
      </w:pPr>
      <w:r>
        <w:rPr>
          <w:rFonts w:hint="eastAsia"/>
          <w:sz w:val="28"/>
          <w:szCs w:val="28"/>
        </w:rPr>
        <w:t>第二册  通用条款（公开招标）</w:t>
      </w: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58" w:name="_Hlk72399513"/>
      <w:bookmarkStart w:id="59" w:name="_Hlk72439706"/>
      <w:r>
        <w:rPr>
          <w:rFonts w:hint="eastAsia" w:ascii="Cambria" w:hAnsi="Cambria" w:cs="宋体"/>
          <w:b/>
          <w:bCs/>
          <w:sz w:val="28"/>
          <w:szCs w:val="28"/>
        </w:rPr>
        <w:t>总则</w:t>
      </w:r>
    </w:p>
    <w:bookmarkEnd w:id="58"/>
    <w:p>
      <w:pPr>
        <w:ind w:firstLine="420" w:firstLineChars="200"/>
        <w:rPr>
          <w:rFonts w:ascii="黑体" w:hAnsi="宋体" w:eastAsia="黑体"/>
          <w:szCs w:val="21"/>
        </w:rPr>
      </w:pPr>
      <w:r>
        <w:rPr>
          <w:rFonts w:hint="eastAsia" w:ascii="黑体" w:hAnsi="宋体" w:eastAsia="黑体"/>
          <w:szCs w:val="21"/>
        </w:rPr>
        <w:t>1. 通用条款说明</w:t>
      </w:r>
    </w:p>
    <w:p>
      <w:pPr>
        <w:ind w:firstLine="420" w:firstLineChars="200"/>
        <w:rPr>
          <w:rFonts w:ascii="宋体" w:hAnsi="宋体"/>
          <w:szCs w:val="21"/>
        </w:rPr>
      </w:pPr>
      <w:r>
        <w:rPr>
          <w:rFonts w:hint="eastAsia" w:ascii="宋体" w:hAnsi="宋体"/>
          <w:szCs w:val="21"/>
        </w:rPr>
        <w:t>1.</w:t>
      </w:r>
      <w:r>
        <w:rPr>
          <w:rFonts w:hint="eastAsia" w:ascii="宋体" w:hAnsi="宋体"/>
          <w:szCs w:val="21"/>
          <w:highlight w:val="none"/>
        </w:rPr>
        <w:t>1采购代理机构发出招标文件通用条款版本，列出深圳市自行采购项目进行招标采购所适用的通用条款内容。</w:t>
      </w:r>
      <w:bookmarkStart w:id="60" w:name="_Hlk72399729"/>
      <w:r>
        <w:rPr>
          <w:rFonts w:hint="eastAsia" w:ascii="宋体" w:hAnsi="宋体"/>
          <w:szCs w:val="21"/>
          <w:highlight w:val="none"/>
        </w:rPr>
        <w:t>如有需要，采购代理机构可以对通用条款</w:t>
      </w:r>
      <w:r>
        <w:rPr>
          <w:rFonts w:hint="eastAsia" w:ascii="宋体" w:hAnsi="宋体"/>
          <w:szCs w:val="21"/>
        </w:rPr>
        <w:t>的内容进行补充。</w:t>
      </w:r>
      <w:bookmarkEnd w:id="60"/>
    </w:p>
    <w:p>
      <w:pPr>
        <w:ind w:firstLine="420" w:firstLineChars="200"/>
        <w:rPr>
          <w:rFonts w:ascii="宋体" w:hAnsi="宋体"/>
          <w:szCs w:val="21"/>
        </w:rPr>
      </w:pPr>
      <w:r>
        <w:rPr>
          <w:rFonts w:hint="eastAsia" w:ascii="宋体" w:hAnsi="宋体"/>
          <w:szCs w:val="21"/>
        </w:rPr>
        <w:t>1.2招标文件分为第一册“专用条款”和第二册“通用条款”。</w:t>
      </w:r>
    </w:p>
    <w:p>
      <w:pPr>
        <w:ind w:firstLine="420" w:firstLineChars="200"/>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pPr>
        <w:ind w:firstLine="420" w:firstLineChars="200"/>
        <w:rPr>
          <w:rFonts w:ascii="宋体" w:hAnsi="宋体"/>
          <w:szCs w:val="21"/>
        </w:rPr>
      </w:pPr>
      <w:r>
        <w:rPr>
          <w:rFonts w:hint="eastAsia" w:ascii="宋体" w:hAnsi="宋体"/>
          <w:szCs w:val="21"/>
        </w:rPr>
        <w:t>1.4“通用条款”是适用于自行采购公开招标项目的基础性条款，具有普遍性和通用性。</w:t>
      </w:r>
    </w:p>
    <w:p>
      <w:pPr>
        <w:ind w:firstLine="420" w:firstLineChars="200"/>
        <w:rPr>
          <w:rFonts w:ascii="宋体" w:hAnsi="宋体"/>
          <w:szCs w:val="21"/>
        </w:rPr>
      </w:pPr>
      <w:r>
        <w:rPr>
          <w:rFonts w:hint="eastAsia" w:ascii="宋体" w:hAnsi="宋体"/>
          <w:szCs w:val="21"/>
        </w:rPr>
        <w:t>1.5 “专用条款”和“通用条款”表述不一致或有冲突时，以“专用条款”为准。</w:t>
      </w:r>
    </w:p>
    <w:p>
      <w:pPr>
        <w:ind w:firstLine="420" w:firstLineChars="200"/>
        <w:rPr>
          <w:rFonts w:ascii="黑体" w:hAnsi="宋体" w:eastAsia="黑体"/>
          <w:szCs w:val="21"/>
        </w:rPr>
      </w:pPr>
      <w:r>
        <w:rPr>
          <w:rFonts w:hint="eastAsia" w:ascii="黑体" w:hAnsi="宋体" w:eastAsia="黑体"/>
          <w:szCs w:val="21"/>
        </w:rPr>
        <w:t>2．招标说明</w:t>
      </w:r>
    </w:p>
    <w:p>
      <w:pPr>
        <w:ind w:firstLine="422" w:firstLineChars="200"/>
        <w:rPr>
          <w:rFonts w:ascii="宋体" w:hAnsi="宋体"/>
          <w:b/>
          <w:bCs/>
          <w:color w:val="FF0000"/>
          <w:szCs w:val="21"/>
        </w:rPr>
      </w:pPr>
      <w:r>
        <w:rPr>
          <w:rFonts w:hint="eastAsia" w:ascii="宋体" w:hAnsi="宋体"/>
          <w:b/>
          <w:bCs/>
          <w:color w:val="FF0000"/>
          <w:szCs w:val="21"/>
        </w:rPr>
        <w:t>本项目为自行采购项目，参照《深圳经济特区政府采购条例》、《深圳经济特区政府采购条例实施细则》及政府采购其他法律法规，通过公开招标方式确定中标供应商。</w:t>
      </w:r>
    </w:p>
    <w:p>
      <w:pPr>
        <w:ind w:firstLine="420" w:firstLineChars="200"/>
        <w:rPr>
          <w:rFonts w:ascii="黑体" w:hAnsi="宋体" w:eastAsia="黑体"/>
          <w:szCs w:val="21"/>
        </w:rPr>
      </w:pPr>
      <w:r>
        <w:rPr>
          <w:rFonts w:hint="eastAsia" w:ascii="黑体" w:hAnsi="宋体" w:eastAsia="黑体"/>
          <w:szCs w:val="21"/>
        </w:rPr>
        <w:t>3．定义</w:t>
      </w:r>
    </w:p>
    <w:p>
      <w:pPr>
        <w:ind w:firstLine="420" w:firstLineChars="200"/>
        <w:rPr>
          <w:rFonts w:ascii="宋体" w:hAnsi="宋体"/>
          <w:szCs w:val="21"/>
        </w:rPr>
      </w:pPr>
      <w:r>
        <w:rPr>
          <w:rFonts w:hint="eastAsia" w:ascii="宋体" w:hAnsi="宋体"/>
          <w:szCs w:val="21"/>
        </w:rPr>
        <w:t>招标文件中下列术语应解释为：</w:t>
      </w:r>
    </w:p>
    <w:p>
      <w:pPr>
        <w:ind w:firstLine="420" w:firstLineChars="200"/>
        <w:rPr>
          <w:rFonts w:ascii="宋体" w:hAnsi="宋体"/>
          <w:szCs w:val="21"/>
        </w:rPr>
      </w:pPr>
      <w:r>
        <w:rPr>
          <w:rFonts w:hint="eastAsia" w:ascii="宋体" w:hAnsi="宋体"/>
          <w:szCs w:val="21"/>
        </w:rPr>
        <w:t>3.1“采购人”：指依法进行</w:t>
      </w:r>
      <w:r>
        <w:rPr>
          <w:rFonts w:hint="eastAsia" w:ascii="宋体" w:hAnsi="宋体"/>
          <w:b/>
          <w:bCs/>
          <w:color w:val="FF0000"/>
          <w:szCs w:val="21"/>
        </w:rPr>
        <w:t>自行采购</w:t>
      </w:r>
      <w:r>
        <w:rPr>
          <w:rFonts w:hint="eastAsia" w:ascii="宋体" w:hAnsi="宋体"/>
          <w:szCs w:val="21"/>
        </w:rPr>
        <w:t xml:space="preserve">的国家机关、事业单位、团体组织； </w:t>
      </w:r>
    </w:p>
    <w:p>
      <w:pPr>
        <w:ind w:firstLine="420" w:firstLineChars="200"/>
        <w:rPr>
          <w:rFonts w:ascii="宋体" w:hAnsi="宋体"/>
          <w:szCs w:val="21"/>
          <w:highlight w:val="none"/>
        </w:rPr>
      </w:pPr>
      <w:r>
        <w:rPr>
          <w:rFonts w:hint="eastAsia" w:ascii="宋体" w:hAnsi="宋体"/>
          <w:szCs w:val="21"/>
          <w:highlight w:val="none"/>
        </w:rPr>
        <w:t>3.2 “政府集中采购机构”</w:t>
      </w:r>
      <w:r>
        <w:rPr>
          <w:rFonts w:hint="eastAsia" w:ascii="Arial" w:hAnsi="Arial" w:cs="Arial"/>
          <w:szCs w:val="21"/>
          <w:highlight w:val="none"/>
          <w:shd w:val="clear" w:color="auto" w:fill="FFFFFF"/>
        </w:rPr>
        <w:t>是指市政府设立的，组织实施采购项目，并对采购活动提供服务的专门机构；</w:t>
      </w:r>
      <w:r>
        <w:rPr>
          <w:rFonts w:hint="eastAsia" w:ascii="宋体" w:hAnsi="宋体"/>
          <w:szCs w:val="21"/>
          <w:highlight w:val="none"/>
        </w:rPr>
        <w:t>本文件所述的“采购代理机构”指</w:t>
      </w:r>
      <w:r>
        <w:rPr>
          <w:rFonts w:hint="eastAsia" w:ascii="宋体" w:hAnsi="宋体"/>
          <w:b/>
          <w:bCs/>
          <w:szCs w:val="21"/>
          <w:highlight w:val="none"/>
        </w:rPr>
        <w:t>深圳公共资源交易中心</w:t>
      </w:r>
      <w:r>
        <w:rPr>
          <w:rFonts w:hint="eastAsia" w:ascii="宋体" w:hAnsi="宋体"/>
          <w:b/>
          <w:bCs/>
          <w:szCs w:val="21"/>
          <w:highlight w:val="none"/>
          <w:lang w:eastAsia="zh-CN"/>
        </w:rPr>
        <w:t>（</w:t>
      </w:r>
      <w:r>
        <w:rPr>
          <w:rFonts w:hint="eastAsia" w:asciiTheme="minorEastAsia" w:hAnsiTheme="minorEastAsia" w:eastAsiaTheme="minorEastAsia"/>
          <w:b/>
          <w:bCs/>
          <w:highlight w:val="none"/>
        </w:rPr>
        <w:t>深圳交易集团有限公司政府采购业务分公司）</w:t>
      </w:r>
      <w:r>
        <w:rPr>
          <w:rFonts w:hint="eastAsia" w:ascii="宋体" w:hAnsi="宋体"/>
          <w:szCs w:val="21"/>
          <w:highlight w:val="none"/>
        </w:rPr>
        <w:t>；</w:t>
      </w:r>
    </w:p>
    <w:p>
      <w:pPr>
        <w:ind w:firstLine="420" w:firstLineChars="200"/>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pPr>
        <w:ind w:firstLine="420" w:firstLineChars="200"/>
        <w:rPr>
          <w:rFonts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pPr>
        <w:ind w:firstLine="420" w:firstLineChars="200"/>
        <w:rPr>
          <w:rFonts w:ascii="宋体" w:hAnsi="宋体"/>
          <w:szCs w:val="21"/>
        </w:rPr>
      </w:pPr>
      <w:r>
        <w:rPr>
          <w:rFonts w:hint="eastAsia" w:ascii="宋体" w:hAnsi="宋体"/>
          <w:szCs w:val="21"/>
        </w:rPr>
        <w:t>3.5“日期”指公历日；</w:t>
      </w:r>
    </w:p>
    <w:p>
      <w:pPr>
        <w:ind w:firstLine="420" w:firstLineChars="200"/>
        <w:rPr>
          <w:rFonts w:ascii="宋体" w:hAnsi="宋体"/>
          <w:szCs w:val="21"/>
        </w:rPr>
      </w:pPr>
      <w:r>
        <w:rPr>
          <w:rFonts w:hint="eastAsia" w:ascii="宋体" w:hAnsi="宋体"/>
          <w:szCs w:val="21"/>
        </w:rPr>
        <w:t>3.6“合同”指由本次招标所产生的合同或合约文件；</w:t>
      </w:r>
    </w:p>
    <w:p>
      <w:pPr>
        <w:ind w:firstLine="420" w:firstLineChars="200"/>
        <w:rPr>
          <w:rFonts w:ascii="宋体" w:hAnsi="宋体"/>
          <w:szCs w:val="21"/>
        </w:rPr>
      </w:pPr>
      <w:r>
        <w:rPr>
          <w:rFonts w:hint="eastAsia" w:ascii="宋体" w:hAnsi="宋体"/>
          <w:szCs w:val="21"/>
        </w:rPr>
        <w:t>3.7“电子投标文件”指利用</w:t>
      </w:r>
      <w:r>
        <w:rPr>
          <w:rFonts w:hint="eastAsia" w:ascii="宋体" w:hAnsi="宋体"/>
          <w:b/>
          <w:bCs/>
          <w:color w:val="auto"/>
          <w:szCs w:val="21"/>
        </w:rPr>
        <w:t>深圳公共资源交易中心（深圳交易集团有限公司政府采购业务分公司）</w:t>
      </w:r>
      <w:r>
        <w:rPr>
          <w:rFonts w:hint="eastAsia" w:ascii="宋体" w:hAnsi="宋体"/>
          <w:szCs w:val="21"/>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pPr>
        <w:ind w:firstLine="420" w:firstLineChars="200"/>
        <w:rPr>
          <w:rFonts w:ascii="宋体" w:hAnsi="宋体"/>
          <w:szCs w:val="21"/>
        </w:rPr>
      </w:pPr>
      <w:r>
        <w:rPr>
          <w:rFonts w:hint="eastAsia" w:ascii="宋体" w:hAnsi="宋体"/>
          <w:szCs w:val="21"/>
        </w:rPr>
        <w:t>3.8“网上投标”指通过</w:t>
      </w:r>
      <w:r>
        <w:rPr>
          <w:rFonts w:hint="eastAsia" w:ascii="宋体" w:hAnsi="宋体"/>
          <w:b/>
          <w:bCs/>
          <w:color w:val="FF0000"/>
          <w:szCs w:val="21"/>
        </w:rPr>
        <w:t>深圳市自行采购系统</w:t>
      </w:r>
      <w:r>
        <w:rPr>
          <w:rFonts w:hint="eastAsia" w:ascii="宋体" w:hAnsi="宋体"/>
          <w:szCs w:val="21"/>
        </w:rPr>
        <w:t>网站上传电子投标文件；</w:t>
      </w:r>
    </w:p>
    <w:p>
      <w:pPr>
        <w:ind w:firstLine="420" w:firstLineChars="200"/>
        <w:rPr>
          <w:rFonts w:ascii="宋体" w:hAnsi="宋体"/>
          <w:szCs w:val="21"/>
        </w:rPr>
      </w:pPr>
      <w:r>
        <w:rPr>
          <w:rFonts w:hint="eastAsia" w:ascii="宋体" w:hAnsi="宋体"/>
          <w:szCs w:val="21"/>
        </w:rPr>
        <w:t>3.9招标文件中的标题或题名仅起引导作用，而不应视为对招标文件内容的理解和解释。</w:t>
      </w:r>
    </w:p>
    <w:p>
      <w:pPr>
        <w:ind w:firstLine="420" w:firstLineChars="200"/>
        <w:rPr>
          <w:rFonts w:ascii="黑体" w:hAnsi="宋体" w:eastAsia="黑体"/>
          <w:szCs w:val="21"/>
        </w:rPr>
      </w:pPr>
      <w:r>
        <w:rPr>
          <w:rFonts w:hint="eastAsia" w:ascii="黑体" w:hAnsi="宋体" w:eastAsia="黑体"/>
          <w:szCs w:val="21"/>
        </w:rPr>
        <w:t xml:space="preserve">4. </w:t>
      </w:r>
      <w:bookmarkStart w:id="61" w:name="_Hlk72398643"/>
      <w:r>
        <w:rPr>
          <w:rFonts w:hint="eastAsia" w:ascii="黑体" w:hAnsi="宋体" w:eastAsia="黑体"/>
          <w:szCs w:val="21"/>
        </w:rPr>
        <w:t>自行采购供应商责任</w:t>
      </w:r>
    </w:p>
    <w:p>
      <w:pPr>
        <w:ind w:firstLine="420" w:firstLineChars="200"/>
        <w:rPr>
          <w:rFonts w:ascii="宋体" w:hAnsi="宋体"/>
          <w:szCs w:val="21"/>
        </w:rPr>
      </w:pPr>
      <w:r>
        <w:rPr>
          <w:rFonts w:hint="eastAsia" w:ascii="宋体" w:hAnsi="宋体"/>
          <w:szCs w:val="21"/>
        </w:rPr>
        <w:t>4.1欢迎诚信、有实力和有社会责任心的供应商参与自行采购事业。</w:t>
      </w:r>
    </w:p>
    <w:p>
      <w:pPr>
        <w:ind w:firstLine="420" w:firstLineChars="200"/>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pPr>
        <w:ind w:firstLine="420" w:firstLineChars="200"/>
        <w:rPr>
          <w:rFonts w:ascii="黑体" w:hAnsi="宋体" w:eastAsia="黑体"/>
          <w:szCs w:val="21"/>
        </w:rPr>
      </w:pPr>
      <w:r>
        <w:rPr>
          <w:rFonts w:hint="eastAsia" w:ascii="黑体" w:hAnsi="宋体" w:eastAsia="黑体"/>
          <w:szCs w:val="21"/>
        </w:rPr>
        <w:t>5．投标人参加自行采购的条件</w:t>
      </w:r>
    </w:p>
    <w:p>
      <w:pPr>
        <w:ind w:firstLine="420" w:firstLineChars="200"/>
        <w:jc w:val="left"/>
        <w:rPr>
          <w:rFonts w:ascii="宋体" w:hAnsi="宋体"/>
          <w:szCs w:val="21"/>
        </w:rPr>
      </w:pPr>
      <w:r>
        <w:rPr>
          <w:rFonts w:hint="eastAsia" w:ascii="宋体" w:hAnsi="宋体"/>
          <w:szCs w:val="21"/>
        </w:rPr>
        <w:t>5.1投标人应在投标前到</w:t>
      </w:r>
      <w:r>
        <w:rPr>
          <w:rFonts w:hint="eastAsia" w:ascii="宋体" w:hAnsi="宋体"/>
          <w:b/>
          <w:bCs/>
          <w:szCs w:val="21"/>
        </w:rPr>
        <w:t>深圳市自行采购系统（具体在深圳交易集团有限公司政府采购业务分公司进行办理）</w:t>
      </w:r>
      <w:r>
        <w:rPr>
          <w:rFonts w:hint="eastAsia" w:ascii="宋体" w:hAnsi="宋体"/>
          <w:szCs w:val="21"/>
        </w:rPr>
        <w:t>进行注册并办理电子密钥。《深圳政府采购自行采购系统用户操作指引（供应商）》详见www.szggzy.com网站“交易服务指南-政府采购-资料下载”。</w:t>
      </w:r>
    </w:p>
    <w:p>
      <w:pPr>
        <w:ind w:firstLine="420" w:firstLineChars="200"/>
        <w:rPr>
          <w:rFonts w:ascii="宋体" w:hAnsi="宋体"/>
          <w:szCs w:val="21"/>
        </w:rPr>
      </w:pPr>
      <w:r>
        <w:rPr>
          <w:rFonts w:hint="eastAsia" w:ascii="宋体" w:hAnsi="宋体"/>
          <w:szCs w:val="21"/>
        </w:rPr>
        <w:t>5.2投标人资格要求</w:t>
      </w:r>
    </w:p>
    <w:p>
      <w:pPr>
        <w:ind w:firstLine="420" w:firstLineChars="200"/>
        <w:rPr>
          <w:rFonts w:ascii="宋体" w:hAnsi="宋体"/>
          <w:szCs w:val="21"/>
        </w:rPr>
      </w:pPr>
      <w:r>
        <w:rPr>
          <w:rFonts w:hint="eastAsia" w:ascii="宋体" w:hAnsi="宋体"/>
          <w:szCs w:val="21"/>
        </w:rPr>
        <w:t>参加本项目的投标人应具备的资格条件详见本项目招标公告中 “投标人资格要求”的内容。</w:t>
      </w:r>
    </w:p>
    <w:p>
      <w:pPr>
        <w:ind w:firstLine="420" w:firstLineChars="200"/>
        <w:rPr>
          <w:rFonts w:ascii="宋体" w:hAnsi="宋体"/>
          <w:szCs w:val="21"/>
        </w:rPr>
      </w:pPr>
      <w:r>
        <w:rPr>
          <w:rFonts w:hint="eastAsia" w:ascii="宋体" w:hAnsi="宋体"/>
          <w:szCs w:val="21"/>
        </w:rPr>
        <w:t>5.3联合体投标</w:t>
      </w:r>
    </w:p>
    <w:p>
      <w:pPr>
        <w:ind w:firstLine="420" w:firstLineChars="200"/>
        <w:rPr>
          <w:rFonts w:ascii="宋体" w:hAnsi="宋体"/>
          <w:szCs w:val="21"/>
        </w:rPr>
      </w:pPr>
      <w:r>
        <w:rPr>
          <w:rFonts w:hint="eastAsia" w:ascii="宋体" w:hAnsi="宋体"/>
          <w:szCs w:val="21"/>
        </w:rPr>
        <w:t>5.3.1以下有关联合体投标的条款仅适用于允许投标人组成联合体投标的项目。</w:t>
      </w:r>
    </w:p>
    <w:p>
      <w:pPr>
        <w:ind w:firstLine="420" w:firstLineChars="200"/>
        <w:rPr>
          <w:rFonts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pPr>
        <w:ind w:firstLine="420" w:firstLineChars="200"/>
        <w:rPr>
          <w:rFonts w:ascii="宋体" w:hAnsi="宋体"/>
          <w:szCs w:val="21"/>
        </w:rPr>
      </w:pPr>
      <w:r>
        <w:rPr>
          <w:rFonts w:hint="eastAsia" w:ascii="宋体" w:hAnsi="宋体"/>
          <w:szCs w:val="21"/>
        </w:rPr>
        <w:t xml:space="preserve">（1）投标联合体各方参加采购活动应当具备下列条件： </w:t>
      </w:r>
    </w:p>
    <w:p>
      <w:pPr>
        <w:ind w:firstLine="420" w:firstLineChars="200"/>
        <w:rPr>
          <w:rFonts w:ascii="宋体" w:hAnsi="宋体"/>
          <w:szCs w:val="21"/>
        </w:rPr>
      </w:pPr>
      <w:r>
        <w:rPr>
          <w:rFonts w:hint="eastAsia" w:ascii="宋体" w:hAnsi="宋体"/>
          <w:szCs w:val="21"/>
        </w:rPr>
        <w:t xml:space="preserve">1、具有独立承担民事责任的能力； </w:t>
      </w:r>
    </w:p>
    <w:p>
      <w:pPr>
        <w:ind w:firstLine="420" w:firstLineChars="200"/>
        <w:rPr>
          <w:rFonts w:ascii="宋体" w:hAnsi="宋体"/>
          <w:szCs w:val="21"/>
        </w:rPr>
      </w:pPr>
      <w:r>
        <w:rPr>
          <w:rFonts w:hint="eastAsia" w:ascii="宋体" w:hAnsi="宋体"/>
          <w:szCs w:val="21"/>
        </w:rPr>
        <w:t xml:space="preserve">2、有良好的商业信誉和健全的财务会计制度； </w:t>
      </w:r>
    </w:p>
    <w:p>
      <w:pPr>
        <w:ind w:firstLine="420" w:firstLineChars="200"/>
        <w:rPr>
          <w:rFonts w:ascii="宋体" w:hAnsi="宋体"/>
          <w:szCs w:val="21"/>
        </w:rPr>
      </w:pPr>
      <w:r>
        <w:rPr>
          <w:rFonts w:hint="eastAsia" w:ascii="宋体" w:hAnsi="宋体"/>
          <w:szCs w:val="21"/>
        </w:rPr>
        <w:t xml:space="preserve">3、具有履行合同所必需的设备和专业技术能力； </w:t>
      </w:r>
    </w:p>
    <w:p>
      <w:pPr>
        <w:ind w:firstLine="420" w:firstLineChars="200"/>
        <w:rPr>
          <w:rFonts w:ascii="宋体" w:hAnsi="宋体"/>
          <w:szCs w:val="21"/>
        </w:rPr>
      </w:pPr>
      <w:r>
        <w:rPr>
          <w:rFonts w:hint="eastAsia" w:ascii="宋体" w:hAnsi="宋体"/>
          <w:szCs w:val="21"/>
        </w:rPr>
        <w:t xml:space="preserve">4、有依法缴纳税收和社会保障资金的良好记录； </w:t>
      </w:r>
    </w:p>
    <w:p>
      <w:pPr>
        <w:ind w:firstLine="420" w:firstLineChars="200"/>
        <w:rPr>
          <w:rFonts w:ascii="宋体" w:hAnsi="宋体"/>
          <w:szCs w:val="21"/>
        </w:rPr>
      </w:pPr>
      <w:r>
        <w:rPr>
          <w:rFonts w:hint="eastAsia" w:ascii="宋体" w:hAnsi="宋体"/>
          <w:szCs w:val="21"/>
        </w:rPr>
        <w:t xml:space="preserve">5、参加采购活动前三年内，在经营活动中没有重大违法记录； </w:t>
      </w:r>
    </w:p>
    <w:p>
      <w:pPr>
        <w:ind w:firstLine="420" w:firstLineChars="200"/>
        <w:rPr>
          <w:rFonts w:ascii="宋体" w:hAnsi="宋体"/>
          <w:szCs w:val="21"/>
        </w:rPr>
      </w:pPr>
      <w:r>
        <w:rPr>
          <w:rFonts w:hint="eastAsia" w:ascii="宋体" w:hAnsi="宋体"/>
          <w:szCs w:val="21"/>
        </w:rPr>
        <w:t xml:space="preserve">6、法律、行政法规规定的其他条件。 </w:t>
      </w:r>
    </w:p>
    <w:p>
      <w:pPr>
        <w:ind w:firstLine="420" w:firstLineChars="200"/>
        <w:rPr>
          <w:rFonts w:ascii="宋体" w:hAnsi="宋体"/>
          <w:szCs w:val="21"/>
        </w:rPr>
      </w:pPr>
      <w:r>
        <w:rPr>
          <w:rFonts w:hint="eastAsia" w:ascii="宋体" w:hAnsi="宋体"/>
          <w:szCs w:val="21"/>
        </w:rPr>
        <w:t>（2）在投标截止前，投标联合体各方均应注册成</w:t>
      </w:r>
      <w:r>
        <w:rPr>
          <w:rFonts w:hint="eastAsia" w:ascii="宋体" w:hAnsi="宋体"/>
          <w:b/>
          <w:bCs/>
          <w:color w:val="FF0000"/>
          <w:szCs w:val="21"/>
        </w:rPr>
        <w:t>深圳市自行采购系统</w:t>
      </w:r>
      <w:r>
        <w:rPr>
          <w:rFonts w:hint="eastAsia" w:ascii="宋体" w:hAnsi="宋体"/>
          <w:szCs w:val="21"/>
        </w:rPr>
        <w:t>供应商；</w:t>
      </w:r>
    </w:p>
    <w:p>
      <w:pPr>
        <w:ind w:firstLine="420" w:firstLineChars="200"/>
        <w:rPr>
          <w:rFonts w:ascii="宋体" w:hAnsi="宋体"/>
          <w:szCs w:val="21"/>
        </w:rPr>
      </w:pPr>
      <w:r>
        <w:rPr>
          <w:rFonts w:hint="eastAsia" w:ascii="宋体" w:hAnsi="宋体"/>
          <w:szCs w:val="21"/>
        </w:rPr>
        <w:t>（3）联合体中有同类资质的供应商按照联合体分工承担相同工作的，应当按照资质等级较低的供应商确定资质等级；</w:t>
      </w:r>
    </w:p>
    <w:p>
      <w:pPr>
        <w:ind w:firstLine="420" w:firstLineChars="200"/>
        <w:rPr>
          <w:szCs w:val="21"/>
        </w:rPr>
      </w:pPr>
      <w:r>
        <w:rPr>
          <w:rFonts w:hint="eastAsia"/>
          <w:szCs w:val="21"/>
        </w:rPr>
        <w:t>（</w:t>
      </w:r>
      <w:r>
        <w:rPr>
          <w:szCs w:val="21"/>
        </w:rPr>
        <w:t>4</w:t>
      </w:r>
      <w:r>
        <w:rPr>
          <w:rFonts w:hint="eastAsia"/>
          <w:szCs w:val="21"/>
        </w:rPr>
        <w:t>）是否允许联合体参加投标，应当由采购人和采购代理机构根据项目的实际情况和潜在供应商的数量自主决定，如果决定接受联合体投标则应当在招标公告中明示；</w:t>
      </w:r>
    </w:p>
    <w:p>
      <w:pPr>
        <w:ind w:firstLine="420" w:firstLineChars="200"/>
        <w:rPr>
          <w:rFonts w:ascii="宋体" w:hAnsi="宋体"/>
          <w:szCs w:val="21"/>
        </w:rPr>
      </w:pPr>
      <w:r>
        <w:rPr>
          <w:rFonts w:hint="eastAsia" w:ascii="宋体" w:hAnsi="宋体"/>
          <w:szCs w:val="21"/>
        </w:rPr>
        <w:t>（5）投标人的投标文件及中标后签署的合同协议对联合体各方均具法律约束力；</w:t>
      </w:r>
    </w:p>
    <w:p>
      <w:pPr>
        <w:ind w:firstLine="420" w:firstLineChars="200"/>
        <w:rPr>
          <w:rFonts w:ascii="宋体" w:hAnsi="宋体"/>
          <w:szCs w:val="21"/>
          <w:highlight w:val="none"/>
        </w:rPr>
      </w:pPr>
      <w:r>
        <w:rPr>
          <w:rFonts w:hint="eastAsia" w:ascii="宋体" w:hAnsi="宋体"/>
          <w:szCs w:val="21"/>
        </w:rPr>
        <w:t>（6）联合体各方应当签订联合体投标协议，明确约定各方拟承担的工作和责任，并将该协议随投标文件一并递交给</w:t>
      </w:r>
      <w:r>
        <w:rPr>
          <w:rFonts w:hint="eastAsia" w:ascii="宋体" w:hAnsi="宋体"/>
          <w:szCs w:val="21"/>
          <w:highlight w:val="none"/>
        </w:rPr>
        <w:t>采购代理机构；</w:t>
      </w:r>
    </w:p>
    <w:p>
      <w:pPr>
        <w:ind w:firstLine="420" w:firstLineChars="200"/>
        <w:rPr>
          <w:rFonts w:ascii="宋体" w:hAnsi="宋体"/>
          <w:szCs w:val="21"/>
        </w:rPr>
      </w:pPr>
      <w:r>
        <w:rPr>
          <w:rFonts w:hint="eastAsia" w:ascii="宋体" w:hAnsi="宋体"/>
          <w:szCs w:val="21"/>
          <w:highlight w:val="none"/>
        </w:rPr>
        <w:t>（7）联合体中标后，联合体各方应</w:t>
      </w:r>
      <w:r>
        <w:rPr>
          <w:rFonts w:hint="eastAsia" w:ascii="宋体" w:hAnsi="宋体"/>
          <w:szCs w:val="21"/>
        </w:rPr>
        <w:t>当共同与采购人签订合同，就中标项目向采购人承担连带责任；</w:t>
      </w:r>
    </w:p>
    <w:p>
      <w:pPr>
        <w:ind w:firstLine="420" w:firstLineChars="200"/>
        <w:rPr>
          <w:rFonts w:ascii="宋体" w:hAnsi="宋体"/>
          <w:szCs w:val="21"/>
        </w:rPr>
      </w:pPr>
      <w:r>
        <w:rPr>
          <w:rFonts w:hint="eastAsia" w:ascii="宋体" w:hAnsi="宋体"/>
          <w:szCs w:val="21"/>
        </w:rPr>
        <w:t>（8）以联合体形式参加采购活动的，联合体各方不得再单独参加或者与其他供应商另外组成联合体参加同一合同项下的采购活动，出现上述情况者，其投标和与此有关联合体、总包单位的投标将被拒绝；</w:t>
      </w:r>
    </w:p>
    <w:p>
      <w:pPr>
        <w:ind w:firstLine="420" w:firstLineChars="200"/>
        <w:rPr>
          <w:rFonts w:ascii="宋体" w:hAnsi="宋体"/>
          <w:szCs w:val="21"/>
        </w:rPr>
      </w:pPr>
      <w:r>
        <w:rPr>
          <w:rFonts w:hint="eastAsia" w:ascii="宋体" w:hAnsi="宋体"/>
          <w:szCs w:val="21"/>
        </w:rPr>
        <w:t>（9）本通用条款中“投标人”一词亦指联合体各方，专用条款另有规定或说明的除外。</w:t>
      </w:r>
    </w:p>
    <w:p>
      <w:pPr>
        <w:ind w:firstLine="420" w:firstLineChars="200"/>
        <w:rPr>
          <w:rFonts w:ascii="黑体" w:hAnsi="宋体" w:eastAsia="黑体"/>
          <w:szCs w:val="21"/>
        </w:rPr>
      </w:pPr>
      <w:r>
        <w:rPr>
          <w:rFonts w:hint="eastAsia" w:ascii="黑体" w:hAnsi="宋体" w:eastAsia="黑体"/>
          <w:szCs w:val="21"/>
        </w:rPr>
        <w:t>6．政策导向</w:t>
      </w:r>
    </w:p>
    <w:p>
      <w:pPr>
        <w:ind w:firstLine="420" w:firstLineChars="200"/>
        <w:rPr>
          <w:rFonts w:ascii="宋体" w:hAnsi="宋体"/>
          <w:szCs w:val="21"/>
        </w:rPr>
      </w:pPr>
      <w:r>
        <w:rPr>
          <w:rFonts w:hint="eastAsia" w:ascii="宋体" w:hAnsi="宋体"/>
          <w:szCs w:val="21"/>
        </w:rPr>
        <w:t>6.1  采购扶持贫困地区、中小企业、监狱企业和残疾人福利性单位发展，支持节能减排、环境保护。</w:t>
      </w:r>
    </w:p>
    <w:p>
      <w:pPr>
        <w:ind w:firstLine="420" w:firstLineChars="200"/>
        <w:rPr>
          <w:szCs w:val="21"/>
          <w:shd w:val="clear" w:color="auto" w:fill="FFFFFF"/>
        </w:rPr>
      </w:pPr>
      <w:r>
        <w:rPr>
          <w:rFonts w:hint="eastAsia" w:ascii="宋体" w:hAnsi="宋体"/>
          <w:szCs w:val="21"/>
        </w:rPr>
        <w:t>6.2  本项目落实深圳市政府采购供应商诚信管理政策要求。</w:t>
      </w:r>
    </w:p>
    <w:p>
      <w:pPr>
        <w:ind w:firstLine="420" w:firstLineChars="200"/>
        <w:rPr>
          <w:rFonts w:ascii="黑体" w:hAnsi="宋体" w:eastAsia="黑体"/>
          <w:szCs w:val="21"/>
        </w:rPr>
      </w:pPr>
      <w:r>
        <w:rPr>
          <w:rFonts w:hint="eastAsia" w:ascii="黑体" w:hAnsi="宋体" w:eastAsia="黑体"/>
          <w:szCs w:val="21"/>
        </w:rPr>
        <w:t>7. 本项目若涉及采购货物，则合格的货物及相应服务应满足以下要求：</w:t>
      </w:r>
    </w:p>
    <w:p>
      <w:pPr>
        <w:ind w:firstLine="420" w:firstLineChars="200"/>
        <w:rPr>
          <w:rFonts w:ascii="宋体" w:hAnsi="宋体"/>
          <w:szCs w:val="21"/>
        </w:rPr>
      </w:pPr>
      <w:r>
        <w:rPr>
          <w:rFonts w:hint="eastAsia" w:ascii="宋体" w:hAnsi="宋体"/>
          <w:szCs w:val="21"/>
        </w:rPr>
        <w:t>7.1  必须是全新、未使用过的原装合格正品（包括零部件），如安装或配置了软件的，须为正版软件。</w:t>
      </w:r>
    </w:p>
    <w:p>
      <w:pPr>
        <w:ind w:firstLine="420" w:firstLineChars="200"/>
        <w:rPr>
          <w:rFonts w:ascii="宋体" w:hAnsi="宋体"/>
          <w:szCs w:val="21"/>
        </w:rPr>
      </w:pPr>
      <w:r>
        <w:rPr>
          <w:rFonts w:hint="eastAsia" w:ascii="宋体" w:hAnsi="宋体"/>
          <w:szCs w:val="21"/>
        </w:rPr>
        <w:t>7.2  国产的货物及其有关服务必须符合中华人民共和国的设计、制造生产标准及行业标准。招标公告有其他要求的，亦应符合其要求。</w:t>
      </w:r>
    </w:p>
    <w:p>
      <w:pPr>
        <w:ind w:firstLine="420" w:firstLineChars="200"/>
        <w:rPr>
          <w:rFonts w:ascii="宋体" w:hAnsi="宋体"/>
          <w:szCs w:val="21"/>
        </w:rPr>
      </w:pPr>
      <w:r>
        <w:rPr>
          <w:rFonts w:hint="eastAsia" w:ascii="宋体" w:hAnsi="宋体"/>
          <w:szCs w:val="21"/>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20" w:firstLineChars="200"/>
        <w:rPr>
          <w:rFonts w:ascii="宋体" w:hAnsi="宋体"/>
          <w:szCs w:val="21"/>
        </w:rPr>
      </w:pPr>
      <w:r>
        <w:rPr>
          <w:rFonts w:hint="eastAsia" w:ascii="宋体" w:hAnsi="宋体"/>
          <w:szCs w:val="21"/>
        </w:rPr>
        <w:t>7.4  投标人</w:t>
      </w:r>
      <w:bookmarkStart w:id="62" w:name="_Hlk72152753"/>
      <w:r>
        <w:rPr>
          <w:rFonts w:hint="eastAsia" w:ascii="宋体" w:hAnsi="宋体"/>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2"/>
    </w:p>
    <w:p>
      <w:pPr>
        <w:ind w:firstLine="420" w:firstLineChars="200"/>
        <w:rPr>
          <w:rFonts w:ascii="宋体" w:hAnsi="宋体"/>
          <w:szCs w:val="21"/>
        </w:rPr>
      </w:pPr>
      <w:r>
        <w:rPr>
          <w:rFonts w:hint="eastAsia" w:ascii="宋体" w:hAnsi="宋体"/>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20" w:firstLineChars="200"/>
        <w:rPr>
          <w:rFonts w:ascii="宋体" w:hAnsi="宋体"/>
          <w:szCs w:val="21"/>
        </w:rPr>
      </w:pPr>
      <w:r>
        <w:rPr>
          <w:rFonts w:hint="eastAsia" w:ascii="宋体" w:hAnsi="宋体"/>
          <w:szCs w:val="21"/>
        </w:rPr>
        <w:t>7.6  工期要求：投标人在投标时对其所投项目应提交交货进度、交货计划等，在合同规定的时间内完成项目实施工作。</w:t>
      </w:r>
    </w:p>
    <w:p>
      <w:pPr>
        <w:ind w:firstLine="420" w:firstLineChars="200"/>
        <w:rPr>
          <w:rFonts w:ascii="宋体" w:hAnsi="宋体"/>
          <w:szCs w:val="21"/>
        </w:rPr>
      </w:pPr>
      <w:r>
        <w:rPr>
          <w:rFonts w:hint="eastAsia" w:ascii="宋体" w:hAnsi="宋体"/>
          <w:szCs w:val="21"/>
        </w:rPr>
        <w:t>7.7  投标人必须承担的设备运输、安装调试、验收检测和提供设备操作说明书、图纸等其他相关及类似的义务。</w:t>
      </w:r>
    </w:p>
    <w:p>
      <w:pPr>
        <w:ind w:firstLine="420" w:firstLineChars="200"/>
        <w:rPr>
          <w:rFonts w:ascii="黑体" w:hAnsi="宋体" w:eastAsia="黑体"/>
          <w:szCs w:val="21"/>
        </w:rPr>
      </w:pPr>
      <w:r>
        <w:rPr>
          <w:rFonts w:hint="eastAsia" w:ascii="黑体" w:hAnsi="宋体" w:eastAsia="黑体"/>
          <w:szCs w:val="21"/>
        </w:rPr>
        <w:t>8．投标费用</w:t>
      </w:r>
    </w:p>
    <w:p>
      <w:pPr>
        <w:ind w:firstLine="420" w:firstLineChars="200"/>
        <w:rPr>
          <w:rFonts w:ascii="宋体" w:hAnsi="宋体"/>
          <w:szCs w:val="21"/>
        </w:rPr>
      </w:pPr>
      <w:r>
        <w:rPr>
          <w:rFonts w:hint="eastAsia" w:ascii="宋体" w:hAnsi="宋体"/>
          <w:szCs w:val="21"/>
        </w:rPr>
        <w:t>不论投标结果如何，投标人应承担其编制投标文件与递交投标文件所涉及的一切费用。</w:t>
      </w:r>
    </w:p>
    <w:p>
      <w:pPr>
        <w:ind w:firstLine="420" w:firstLineChars="200"/>
        <w:rPr>
          <w:rFonts w:ascii="黑体" w:hAnsi="宋体" w:eastAsia="黑体"/>
          <w:szCs w:val="21"/>
        </w:rPr>
      </w:pPr>
      <w:r>
        <w:rPr>
          <w:rFonts w:hint="eastAsia" w:ascii="黑体" w:hAnsi="宋体" w:eastAsia="黑体"/>
          <w:szCs w:val="21"/>
        </w:rPr>
        <w:t>9．踏勘现场</w:t>
      </w:r>
    </w:p>
    <w:p>
      <w:pPr>
        <w:ind w:firstLine="420" w:firstLineChars="200"/>
        <w:rPr>
          <w:rFonts w:ascii="宋体" w:hAnsi="宋体"/>
          <w:szCs w:val="21"/>
          <w:highlight w:val="none"/>
        </w:rPr>
      </w:pPr>
      <w:r>
        <w:rPr>
          <w:rFonts w:hint="eastAsia" w:ascii="宋体" w:hAnsi="宋体"/>
          <w:szCs w:val="21"/>
        </w:rPr>
        <w:t>9.1如有需要（详见专用条款），</w:t>
      </w:r>
      <w:r>
        <w:rPr>
          <w:rFonts w:hint="eastAsia" w:ascii="宋体" w:hAnsi="宋体"/>
          <w:szCs w:val="21"/>
          <w:highlight w:val="none"/>
        </w:rPr>
        <w:t>采购人或</w:t>
      </w:r>
      <w:r>
        <w:rPr>
          <w:rFonts w:hint="eastAsia" w:ascii="宋体" w:hAnsi="宋体"/>
          <w:szCs w:val="21"/>
          <w:highlight w:val="none"/>
          <w:lang w:val="en-US" w:eastAsia="zh-CN"/>
        </w:rPr>
        <w:t>采购代理机构</w:t>
      </w:r>
      <w:r>
        <w:rPr>
          <w:rFonts w:hint="eastAsia" w:ascii="宋体" w:hAnsi="宋体"/>
          <w:szCs w:val="21"/>
          <w:highlight w:val="none"/>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20" w:firstLineChars="200"/>
        <w:rPr>
          <w:rFonts w:ascii="宋体" w:hAnsi="宋体"/>
          <w:szCs w:val="21"/>
        </w:rPr>
      </w:pPr>
      <w:r>
        <w:rPr>
          <w:rFonts w:hint="eastAsia" w:ascii="宋体" w:hAnsi="宋体"/>
          <w:szCs w:val="21"/>
        </w:rPr>
        <w:t>9.2投标人及其人员经过采购人的允许，可以进入采购人的项目现场踏勘。若招标文件要求投标人于统一时间地点踏勘现场的，投标人应当按时前往。</w:t>
      </w:r>
    </w:p>
    <w:p>
      <w:pPr>
        <w:ind w:firstLine="420" w:firstLineChars="200"/>
        <w:rPr>
          <w:rFonts w:ascii="宋体" w:hAnsi="宋体"/>
          <w:szCs w:val="21"/>
          <w:highlight w:val="none"/>
        </w:rPr>
      </w:pPr>
      <w:r>
        <w:rPr>
          <w:rFonts w:hint="eastAsia" w:ascii="宋体" w:hAnsi="宋体"/>
          <w:szCs w:val="21"/>
        </w:rPr>
        <w:t>9.3采购人</w:t>
      </w:r>
      <w:r>
        <w:rPr>
          <w:rFonts w:hint="eastAsia" w:ascii="宋体" w:hAnsi="宋体"/>
          <w:szCs w:val="21"/>
          <w:highlight w:val="none"/>
        </w:rPr>
        <w:t>应当通过</w:t>
      </w:r>
      <w:r>
        <w:rPr>
          <w:rFonts w:hint="eastAsia" w:ascii="宋体" w:hAnsi="宋体"/>
          <w:szCs w:val="21"/>
          <w:highlight w:val="none"/>
          <w:lang w:val="en-US" w:eastAsia="zh-CN"/>
        </w:rPr>
        <w:t>采购代理机构</w:t>
      </w:r>
      <w:r>
        <w:rPr>
          <w:rFonts w:hint="eastAsia" w:ascii="宋体" w:hAnsi="宋体"/>
          <w:szCs w:val="21"/>
          <w:highlight w:val="none"/>
        </w:rPr>
        <w:t>向投标人提供有关现场的书面资料和数据。</w:t>
      </w:r>
    </w:p>
    <w:p>
      <w:pPr>
        <w:ind w:firstLine="420" w:firstLineChars="200"/>
        <w:rPr>
          <w:rFonts w:ascii="宋体" w:hAnsi="宋体"/>
          <w:szCs w:val="21"/>
          <w:highlight w:val="none"/>
        </w:rPr>
      </w:pPr>
      <w:r>
        <w:rPr>
          <w:rFonts w:hint="eastAsia" w:ascii="宋体" w:hAnsi="宋体"/>
          <w:szCs w:val="21"/>
          <w:highlight w:val="none"/>
        </w:rPr>
        <w:t>9.4任何人或任何组织在踏勘现场时向投标人提供的任何书面资料或口头承诺，未经</w:t>
      </w:r>
      <w:r>
        <w:rPr>
          <w:rFonts w:hint="eastAsia" w:ascii="宋体" w:hAnsi="宋体"/>
          <w:szCs w:val="21"/>
          <w:highlight w:val="none"/>
          <w:lang w:val="en-US" w:eastAsia="zh-CN"/>
        </w:rPr>
        <w:t>采购代理机构</w:t>
      </w:r>
      <w:r>
        <w:rPr>
          <w:rFonts w:hint="eastAsia" w:ascii="宋体" w:hAnsi="宋体"/>
          <w:szCs w:val="21"/>
          <w:highlight w:val="none"/>
        </w:rPr>
        <w:t>在网上发布或书面通知，均作无效处理。</w:t>
      </w:r>
    </w:p>
    <w:p>
      <w:pPr>
        <w:ind w:firstLine="420" w:firstLineChars="200"/>
        <w:rPr>
          <w:rFonts w:ascii="宋体" w:hAnsi="宋体"/>
          <w:szCs w:val="21"/>
          <w:highlight w:val="none"/>
        </w:rPr>
      </w:pPr>
      <w:r>
        <w:rPr>
          <w:rFonts w:hint="eastAsia" w:ascii="宋体" w:hAnsi="宋体"/>
          <w:szCs w:val="21"/>
          <w:highlight w:val="none"/>
        </w:rPr>
        <w:t>9.5未参与踏勘现场不作为否定投标人资格的理由。</w:t>
      </w:r>
    </w:p>
    <w:p>
      <w:pPr>
        <w:ind w:firstLine="420" w:firstLineChars="200"/>
        <w:rPr>
          <w:rFonts w:ascii="宋体" w:hAnsi="宋体"/>
          <w:szCs w:val="21"/>
          <w:highlight w:val="none"/>
        </w:rPr>
      </w:pPr>
      <w:r>
        <w:rPr>
          <w:rFonts w:hint="eastAsia" w:ascii="黑体" w:hAnsi="宋体" w:eastAsia="黑体"/>
          <w:szCs w:val="21"/>
          <w:highlight w:val="none"/>
        </w:rPr>
        <w:t>10．标前会议</w:t>
      </w:r>
    </w:p>
    <w:p>
      <w:pPr>
        <w:ind w:firstLine="420" w:firstLineChars="200"/>
        <w:rPr>
          <w:rFonts w:ascii="宋体" w:hAnsi="宋体"/>
          <w:szCs w:val="21"/>
          <w:highlight w:val="none"/>
        </w:rPr>
      </w:pPr>
      <w:r>
        <w:rPr>
          <w:rFonts w:hint="eastAsia" w:ascii="宋体" w:hAnsi="宋体"/>
          <w:szCs w:val="21"/>
          <w:highlight w:val="none"/>
        </w:rPr>
        <w:t>10.1如采购人或</w:t>
      </w:r>
      <w:r>
        <w:rPr>
          <w:rFonts w:hint="eastAsia" w:ascii="宋体" w:hAnsi="宋体"/>
          <w:szCs w:val="21"/>
          <w:highlight w:val="none"/>
          <w:lang w:val="en-US" w:eastAsia="zh-CN"/>
        </w:rPr>
        <w:t>采购代理机构</w:t>
      </w:r>
      <w:r>
        <w:rPr>
          <w:rFonts w:hint="eastAsia" w:ascii="宋体" w:hAnsi="宋体"/>
          <w:szCs w:val="21"/>
          <w:highlight w:val="none"/>
        </w:rPr>
        <w:t>认为有必要组织标前会议，投标人应按照招标文件规定的时间或</w:t>
      </w:r>
      <w:r>
        <w:rPr>
          <w:rFonts w:hint="eastAsia" w:ascii="宋体" w:hAnsi="宋体"/>
          <w:szCs w:val="21"/>
          <w:highlight w:val="none"/>
          <w:lang w:val="en-US" w:eastAsia="zh-CN"/>
        </w:rPr>
        <w:t>采购代理机构</w:t>
      </w:r>
      <w:r>
        <w:rPr>
          <w:rFonts w:hint="eastAsia" w:ascii="宋体" w:hAnsi="宋体"/>
          <w:szCs w:val="21"/>
          <w:highlight w:val="none"/>
        </w:rPr>
        <w:t>另行书面通知（包括</w:t>
      </w:r>
      <w:r>
        <w:rPr>
          <w:rFonts w:hint="eastAsia" w:ascii="宋体" w:hAnsi="宋体"/>
          <w:szCs w:val="21"/>
          <w:highlight w:val="none"/>
          <w:lang w:val="en-US" w:eastAsia="zh-CN"/>
        </w:rPr>
        <w:t>采购代理机构</w:t>
      </w:r>
      <w:r>
        <w:rPr>
          <w:rFonts w:hint="eastAsia" w:ascii="宋体" w:hAnsi="宋体"/>
          <w:szCs w:val="21"/>
          <w:highlight w:val="none"/>
        </w:rPr>
        <w:t>网站发布方式，如更正公告等）的时间和地点，参与标前会议。</w:t>
      </w:r>
    </w:p>
    <w:p>
      <w:pPr>
        <w:ind w:firstLine="420" w:firstLineChars="200"/>
        <w:rPr>
          <w:rFonts w:ascii="宋体" w:hAnsi="宋体"/>
          <w:szCs w:val="21"/>
          <w:highlight w:val="none"/>
        </w:rPr>
      </w:pPr>
      <w:r>
        <w:rPr>
          <w:rFonts w:hint="eastAsia" w:ascii="宋体" w:hAnsi="宋体"/>
          <w:szCs w:val="21"/>
          <w:highlight w:val="none"/>
        </w:rPr>
        <w:t>10.2任何人或任何组织在标前会议时向投标人提供的任何书面资料或口头承诺，未经</w:t>
      </w:r>
      <w:r>
        <w:rPr>
          <w:rFonts w:hint="eastAsia" w:ascii="宋体" w:hAnsi="宋体"/>
          <w:szCs w:val="21"/>
          <w:highlight w:val="none"/>
          <w:lang w:val="en-US" w:eastAsia="zh-CN"/>
        </w:rPr>
        <w:t>采购代理机构</w:t>
      </w:r>
      <w:r>
        <w:rPr>
          <w:rFonts w:hint="eastAsia" w:ascii="宋体" w:hAnsi="宋体"/>
          <w:szCs w:val="21"/>
          <w:highlight w:val="none"/>
        </w:rPr>
        <w:t>在网上发布或书面通知，均作无效处理。</w:t>
      </w:r>
    </w:p>
    <w:p>
      <w:pPr>
        <w:ind w:firstLine="420" w:firstLineChars="200"/>
        <w:rPr>
          <w:rFonts w:ascii="宋体" w:hAnsi="宋体"/>
          <w:szCs w:val="21"/>
          <w:highlight w:val="none"/>
        </w:rPr>
      </w:pPr>
      <w:r>
        <w:rPr>
          <w:rFonts w:hint="eastAsia" w:ascii="宋体" w:hAnsi="宋体"/>
          <w:szCs w:val="21"/>
          <w:highlight w:val="none"/>
        </w:rPr>
        <w:t>10.3未参与标前会议不作为否定投标人资格的理由。</w:t>
      </w:r>
    </w:p>
    <w:bookmarkEnd w:id="61"/>
    <w:p>
      <w:pPr>
        <w:ind w:firstLine="411" w:firstLineChars="196"/>
        <w:rPr>
          <w:rFonts w:ascii="宋体" w:hAnsi="宋体"/>
          <w:highlight w:val="none"/>
        </w:rPr>
      </w:pP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highlight w:val="none"/>
        </w:rPr>
      </w:pPr>
      <w:r>
        <w:rPr>
          <w:rFonts w:hint="eastAsia" w:ascii="Cambria" w:hAnsi="Cambria" w:cs="宋体"/>
          <w:b/>
          <w:bCs/>
          <w:sz w:val="28"/>
          <w:szCs w:val="28"/>
          <w:highlight w:val="none"/>
        </w:rPr>
        <w:t>招标文件</w:t>
      </w:r>
    </w:p>
    <w:p>
      <w:pPr>
        <w:ind w:firstLine="420" w:firstLineChars="200"/>
        <w:rPr>
          <w:rFonts w:ascii="黑体" w:hAnsi="宋体" w:eastAsia="黑体"/>
          <w:szCs w:val="21"/>
        </w:rPr>
      </w:pPr>
      <w:r>
        <w:rPr>
          <w:rFonts w:hint="eastAsia" w:ascii="黑体" w:hAnsi="宋体" w:eastAsia="黑体"/>
          <w:szCs w:val="21"/>
        </w:rPr>
        <w:t>11．</w:t>
      </w:r>
      <w:bookmarkStart w:id="63" w:name="_Hlk72399819"/>
      <w:r>
        <w:rPr>
          <w:rFonts w:hint="eastAsia" w:ascii="黑体" w:hAnsi="宋体" w:eastAsia="黑体"/>
          <w:szCs w:val="21"/>
        </w:rPr>
        <w:t>招标文件的编制与组成</w:t>
      </w:r>
    </w:p>
    <w:p>
      <w:pPr>
        <w:snapToGrid w:val="0"/>
        <w:ind w:firstLine="420" w:firstLineChars="200"/>
        <w:rPr>
          <w:rFonts w:ascii="宋体" w:hAnsi="宋体"/>
          <w:szCs w:val="21"/>
        </w:rPr>
      </w:pPr>
      <w:r>
        <w:rPr>
          <w:rFonts w:hint="eastAsia" w:ascii="宋体" w:hAnsi="宋体"/>
          <w:szCs w:val="21"/>
        </w:rPr>
        <w:t>11.1招标文件除以下内容</w:t>
      </w:r>
      <w:r>
        <w:rPr>
          <w:rFonts w:hint="eastAsia" w:ascii="宋体" w:hAnsi="宋体"/>
          <w:szCs w:val="21"/>
          <w:highlight w:val="none"/>
        </w:rPr>
        <w:t>外，</w:t>
      </w:r>
      <w:r>
        <w:rPr>
          <w:rFonts w:hint="eastAsia" w:ascii="宋体" w:hAnsi="宋体"/>
          <w:szCs w:val="21"/>
          <w:highlight w:val="none"/>
          <w:lang w:val="en-US" w:eastAsia="zh-CN"/>
        </w:rPr>
        <w:t>采购代理机构</w:t>
      </w:r>
      <w:r>
        <w:rPr>
          <w:rFonts w:hint="eastAsia" w:ascii="宋体" w:hAnsi="宋体"/>
          <w:szCs w:val="21"/>
          <w:highlight w:val="none"/>
        </w:rPr>
        <w:t>在招标期间发出的澄清或修改等相关公告或通知内容，均是招标文件的组成部分，对投标人起约束作用；</w:t>
      </w:r>
    </w:p>
    <w:p>
      <w:pPr>
        <w:ind w:firstLine="420" w:firstLineChars="200"/>
        <w:rPr>
          <w:rFonts w:ascii="宋体" w:hAnsi="宋体"/>
          <w:szCs w:val="21"/>
        </w:rPr>
      </w:pPr>
      <w:r>
        <w:rPr>
          <w:rFonts w:hint="eastAsia" w:ascii="宋体" w:hAnsi="宋体"/>
          <w:szCs w:val="21"/>
        </w:rPr>
        <w:t>招标文件包括下列内容：</w:t>
      </w:r>
    </w:p>
    <w:p>
      <w:pPr>
        <w:ind w:firstLine="422" w:firstLineChars="200"/>
        <w:rPr>
          <w:rFonts w:ascii="宋体" w:hAnsi="宋体"/>
          <w:b/>
          <w:szCs w:val="21"/>
        </w:rPr>
      </w:pPr>
      <w:r>
        <w:rPr>
          <w:rFonts w:hint="eastAsia" w:ascii="宋体" w:hAnsi="宋体"/>
          <w:b/>
          <w:szCs w:val="21"/>
        </w:rPr>
        <w:t>第一册  专用条款</w:t>
      </w:r>
    </w:p>
    <w:p>
      <w:pPr>
        <w:ind w:firstLine="422" w:firstLineChars="200"/>
        <w:rPr>
          <w:rFonts w:ascii="宋体" w:hAnsi="宋体"/>
          <w:b/>
          <w:szCs w:val="21"/>
        </w:rPr>
      </w:pPr>
      <w:r>
        <w:rPr>
          <w:rFonts w:hint="eastAsia" w:ascii="宋体" w:hAnsi="宋体"/>
          <w:b/>
          <w:szCs w:val="21"/>
        </w:rPr>
        <w:t>关键信息</w:t>
      </w:r>
    </w:p>
    <w:p>
      <w:pPr>
        <w:ind w:firstLine="420" w:firstLineChars="200"/>
        <w:rPr>
          <w:rFonts w:ascii="宋体" w:hAnsi="宋体"/>
          <w:szCs w:val="21"/>
        </w:rPr>
      </w:pPr>
      <w:r>
        <w:rPr>
          <w:rFonts w:hint="eastAsia" w:ascii="宋体" w:hAnsi="宋体"/>
          <w:szCs w:val="21"/>
        </w:rPr>
        <w:t>第一章  招标公告</w:t>
      </w:r>
    </w:p>
    <w:p>
      <w:pPr>
        <w:ind w:firstLine="420" w:firstLineChars="200"/>
        <w:rPr>
          <w:rFonts w:ascii="宋体" w:hAnsi="宋体"/>
          <w:szCs w:val="21"/>
        </w:rPr>
      </w:pPr>
      <w:r>
        <w:rPr>
          <w:rFonts w:hint="eastAsia" w:ascii="宋体" w:hAnsi="宋体"/>
          <w:szCs w:val="21"/>
        </w:rPr>
        <w:t>第二章  对通用条款的补充内容及其他关键信息</w:t>
      </w:r>
    </w:p>
    <w:p>
      <w:pPr>
        <w:ind w:firstLine="420" w:firstLineChars="200"/>
        <w:rPr>
          <w:rFonts w:ascii="宋体" w:hAnsi="宋体"/>
          <w:szCs w:val="21"/>
        </w:rPr>
      </w:pPr>
      <w:r>
        <w:rPr>
          <w:rFonts w:hint="eastAsia" w:ascii="宋体" w:hAnsi="宋体"/>
          <w:szCs w:val="21"/>
        </w:rPr>
        <w:t>第三章  用户需求书</w:t>
      </w:r>
    </w:p>
    <w:p>
      <w:pPr>
        <w:ind w:firstLine="420" w:firstLineChars="200"/>
        <w:rPr>
          <w:rFonts w:ascii="宋体" w:hAnsi="宋体"/>
          <w:szCs w:val="21"/>
        </w:rPr>
      </w:pPr>
      <w:r>
        <w:rPr>
          <w:rFonts w:hint="eastAsia"/>
          <w:szCs w:val="21"/>
        </w:rPr>
        <w:t>第四章</w:t>
      </w:r>
      <w:r>
        <w:rPr>
          <w:szCs w:val="21"/>
        </w:rPr>
        <w:t xml:space="preserve">  </w:t>
      </w:r>
      <w:r>
        <w:rPr>
          <w:rFonts w:hint="eastAsia"/>
          <w:szCs w:val="21"/>
        </w:rPr>
        <w:t>投标文件格式及附件</w:t>
      </w:r>
    </w:p>
    <w:p>
      <w:pPr>
        <w:ind w:firstLine="420" w:firstLineChars="200"/>
        <w:rPr>
          <w:rFonts w:ascii="宋体" w:hAnsi="宋体"/>
          <w:szCs w:val="21"/>
        </w:rPr>
      </w:pPr>
      <w:r>
        <w:rPr>
          <w:rFonts w:hint="eastAsia" w:ascii="宋体" w:hAnsi="宋体"/>
          <w:szCs w:val="21"/>
        </w:rPr>
        <w:t>第五章  合同条款及格式</w:t>
      </w:r>
    </w:p>
    <w:p>
      <w:pPr>
        <w:ind w:firstLine="422" w:firstLineChars="200"/>
        <w:rPr>
          <w:rFonts w:ascii="宋体" w:hAnsi="宋体"/>
          <w:b/>
          <w:szCs w:val="21"/>
        </w:rPr>
      </w:pPr>
      <w:r>
        <w:rPr>
          <w:rFonts w:hint="eastAsia" w:ascii="宋体" w:hAnsi="宋体"/>
          <w:b/>
          <w:szCs w:val="21"/>
        </w:rPr>
        <w:t>第二册  通用条款</w:t>
      </w:r>
    </w:p>
    <w:p>
      <w:pPr>
        <w:ind w:firstLine="420" w:firstLineChars="200"/>
        <w:rPr>
          <w:rFonts w:ascii="宋体" w:hAnsi="宋体"/>
          <w:szCs w:val="21"/>
        </w:rPr>
      </w:pPr>
      <w:r>
        <w:rPr>
          <w:rFonts w:hint="eastAsia" w:ascii="宋体" w:hAnsi="宋体"/>
          <w:szCs w:val="21"/>
        </w:rPr>
        <w:t>第一章  总则</w:t>
      </w:r>
    </w:p>
    <w:p>
      <w:pPr>
        <w:ind w:firstLine="420" w:firstLineChars="200"/>
        <w:rPr>
          <w:rFonts w:ascii="宋体" w:hAnsi="宋体"/>
          <w:szCs w:val="21"/>
        </w:rPr>
      </w:pPr>
      <w:r>
        <w:rPr>
          <w:rFonts w:hint="eastAsia" w:ascii="宋体" w:hAnsi="宋体"/>
          <w:szCs w:val="21"/>
        </w:rPr>
        <w:t>第二章  招标文件</w:t>
      </w:r>
    </w:p>
    <w:p>
      <w:pPr>
        <w:ind w:firstLine="420" w:firstLineChars="200"/>
        <w:rPr>
          <w:rFonts w:ascii="宋体" w:hAnsi="宋体"/>
          <w:szCs w:val="21"/>
        </w:rPr>
      </w:pPr>
      <w:r>
        <w:rPr>
          <w:rFonts w:hint="eastAsia" w:ascii="宋体" w:hAnsi="宋体"/>
          <w:szCs w:val="21"/>
        </w:rPr>
        <w:t>第三章  投标文件的编制</w:t>
      </w:r>
    </w:p>
    <w:p>
      <w:pPr>
        <w:ind w:firstLine="420" w:firstLineChars="200"/>
        <w:rPr>
          <w:rFonts w:ascii="宋体" w:hAnsi="宋体"/>
          <w:szCs w:val="21"/>
        </w:rPr>
      </w:pPr>
      <w:r>
        <w:rPr>
          <w:rFonts w:hint="eastAsia" w:ascii="宋体" w:hAnsi="宋体"/>
          <w:szCs w:val="21"/>
        </w:rPr>
        <w:t>第四章  投标文件的递交</w:t>
      </w:r>
    </w:p>
    <w:p>
      <w:pPr>
        <w:ind w:firstLine="420" w:firstLineChars="200"/>
        <w:rPr>
          <w:rFonts w:ascii="宋体" w:hAnsi="宋体"/>
          <w:szCs w:val="21"/>
        </w:rPr>
      </w:pPr>
      <w:r>
        <w:rPr>
          <w:rFonts w:hint="eastAsia" w:ascii="宋体" w:hAnsi="宋体"/>
          <w:szCs w:val="21"/>
        </w:rPr>
        <w:t>第五章  开标</w:t>
      </w:r>
    </w:p>
    <w:p>
      <w:pPr>
        <w:ind w:firstLine="420" w:firstLineChars="200"/>
        <w:rPr>
          <w:rFonts w:ascii="宋体" w:hAnsi="宋体"/>
          <w:szCs w:val="21"/>
        </w:rPr>
      </w:pPr>
      <w:r>
        <w:rPr>
          <w:rFonts w:hint="eastAsia" w:ascii="宋体" w:hAnsi="宋体"/>
          <w:szCs w:val="21"/>
        </w:rPr>
        <w:t>第六章  评审要求</w:t>
      </w:r>
    </w:p>
    <w:p>
      <w:pPr>
        <w:ind w:firstLine="420" w:firstLineChars="200"/>
        <w:rPr>
          <w:rFonts w:ascii="宋体" w:hAnsi="宋体"/>
          <w:szCs w:val="21"/>
        </w:rPr>
      </w:pPr>
      <w:r>
        <w:rPr>
          <w:rFonts w:hint="eastAsia" w:ascii="宋体" w:hAnsi="宋体"/>
          <w:szCs w:val="21"/>
        </w:rPr>
        <w:t>第七章  评审程序及评审方法</w:t>
      </w:r>
    </w:p>
    <w:p>
      <w:pPr>
        <w:ind w:firstLine="420" w:firstLineChars="200"/>
        <w:rPr>
          <w:rFonts w:ascii="宋体" w:hAnsi="宋体"/>
          <w:szCs w:val="21"/>
        </w:rPr>
      </w:pPr>
      <w:r>
        <w:rPr>
          <w:rFonts w:hint="eastAsia" w:ascii="宋体" w:hAnsi="宋体"/>
          <w:szCs w:val="21"/>
        </w:rPr>
        <w:t>第八章  定标及公示</w:t>
      </w:r>
    </w:p>
    <w:p>
      <w:pPr>
        <w:ind w:firstLine="420" w:firstLineChars="200"/>
        <w:rPr>
          <w:rFonts w:ascii="宋体" w:hAnsi="宋体"/>
          <w:szCs w:val="21"/>
        </w:rPr>
      </w:pPr>
      <w:r>
        <w:rPr>
          <w:rFonts w:hint="eastAsia" w:ascii="宋体" w:hAnsi="宋体"/>
          <w:szCs w:val="21"/>
        </w:rPr>
        <w:t>第九章  公开招标失败的后续处理</w:t>
      </w:r>
    </w:p>
    <w:p>
      <w:pPr>
        <w:ind w:firstLine="420" w:firstLineChars="200"/>
        <w:rPr>
          <w:rFonts w:ascii="宋体" w:hAnsi="宋体"/>
          <w:szCs w:val="21"/>
        </w:rPr>
      </w:pPr>
      <w:r>
        <w:rPr>
          <w:rFonts w:hint="eastAsia" w:ascii="宋体" w:hAnsi="宋体"/>
          <w:szCs w:val="21"/>
        </w:rPr>
        <w:t>第十章  合同的授予与备案</w:t>
      </w:r>
    </w:p>
    <w:p>
      <w:pPr>
        <w:ind w:firstLine="420" w:firstLineChars="200"/>
        <w:rPr>
          <w:rFonts w:ascii="宋体" w:hAnsi="宋体"/>
          <w:szCs w:val="21"/>
        </w:rPr>
      </w:pPr>
      <w:r>
        <w:rPr>
          <w:rFonts w:hint="eastAsia" w:ascii="宋体" w:hAnsi="宋体"/>
          <w:szCs w:val="21"/>
        </w:rPr>
        <w:t>第十一章  质疑处理</w:t>
      </w:r>
    </w:p>
    <w:p>
      <w:pPr>
        <w:ind w:firstLine="420" w:firstLineChars="200"/>
        <w:rPr>
          <w:rFonts w:ascii="宋体" w:hAnsi="宋体"/>
          <w:szCs w:val="21"/>
          <w:highlight w:val="none"/>
        </w:rPr>
      </w:pPr>
      <w:r>
        <w:rPr>
          <w:rFonts w:hint="eastAsia" w:ascii="宋体" w:hAnsi="宋体"/>
          <w:szCs w:val="21"/>
        </w:rPr>
        <w:t>11.2 投标</w:t>
      </w:r>
      <w:r>
        <w:rPr>
          <w:rFonts w:hint="eastAsia" w:ascii="宋体" w:hAnsi="宋体"/>
          <w:szCs w:val="21"/>
          <w:highlight w:val="none"/>
        </w:rPr>
        <w:t>人下载招标文件后，应仔细检查招标文件的所有内容，如有疑问应在答疑截止时间之前向</w:t>
      </w:r>
      <w:r>
        <w:rPr>
          <w:rFonts w:hint="eastAsia" w:ascii="宋体" w:hAnsi="宋体"/>
          <w:szCs w:val="21"/>
          <w:highlight w:val="none"/>
          <w:lang w:val="en-US" w:eastAsia="zh-CN"/>
        </w:rPr>
        <w:t>采购代理机构</w:t>
      </w:r>
      <w:r>
        <w:rPr>
          <w:rFonts w:hint="eastAsia" w:ascii="宋体" w:hAnsi="宋体"/>
          <w:szCs w:val="21"/>
          <w:highlight w:val="none"/>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20" w:firstLineChars="200"/>
        <w:rPr>
          <w:rFonts w:hint="eastAsia" w:ascii="宋体" w:hAnsi="宋体"/>
          <w:szCs w:val="21"/>
          <w:highlight w:val="none"/>
        </w:rPr>
      </w:pPr>
      <w:r>
        <w:rPr>
          <w:rFonts w:hint="eastAsia" w:ascii="宋体" w:hAnsi="宋体"/>
          <w:szCs w:val="21"/>
          <w:highlight w:val="none"/>
        </w:rPr>
        <w:t>11.3任何人或任何组织向投标人提交的任何书面或口头资料，未经</w:t>
      </w:r>
      <w:r>
        <w:rPr>
          <w:rFonts w:hint="eastAsia" w:ascii="宋体" w:hAnsi="宋体"/>
          <w:szCs w:val="21"/>
          <w:highlight w:val="none"/>
          <w:lang w:val="en-US" w:eastAsia="zh-CN"/>
        </w:rPr>
        <w:t>采购代理机构</w:t>
      </w:r>
      <w:r>
        <w:rPr>
          <w:rFonts w:hint="eastAsia" w:ascii="宋体" w:hAnsi="宋体"/>
          <w:szCs w:val="21"/>
          <w:highlight w:val="none"/>
        </w:rPr>
        <w:t>在网上发布或书面通知，均作无效处理，不得作为招标文件的组成部分。</w:t>
      </w:r>
      <w:r>
        <w:rPr>
          <w:rFonts w:hint="eastAsia" w:ascii="宋体" w:hAnsi="宋体"/>
          <w:szCs w:val="21"/>
          <w:highlight w:val="none"/>
          <w:lang w:val="en-US" w:eastAsia="zh-CN"/>
        </w:rPr>
        <w:t>采购代理机构</w:t>
      </w:r>
      <w:r>
        <w:rPr>
          <w:rFonts w:hint="eastAsia" w:ascii="宋体" w:hAnsi="宋体"/>
          <w:szCs w:val="21"/>
          <w:highlight w:val="none"/>
        </w:rPr>
        <w:t>对投标人由此而做出的推论、理解和结论概不负责。</w:t>
      </w:r>
    </w:p>
    <w:p>
      <w:pPr>
        <w:ind w:firstLine="420" w:firstLineChars="200"/>
        <w:rPr>
          <w:rFonts w:ascii="宋体" w:hAnsi="宋体"/>
          <w:szCs w:val="21"/>
          <w:highlight w:val="none"/>
        </w:rPr>
      </w:pPr>
      <w:r>
        <w:rPr>
          <w:rFonts w:hint="eastAsia" w:ascii="宋体" w:hAnsi="宋体"/>
          <w:szCs w:val="21"/>
          <w:highlight w:val="none"/>
        </w:rPr>
        <w:t>11.4</w:t>
      </w:r>
      <w:r>
        <w:rPr>
          <w:rFonts w:hint="eastAsia" w:ascii="宋体" w:hAnsi="宋体"/>
          <w:szCs w:val="21"/>
          <w:highlight w:val="cyan"/>
          <w:lang w:val="en-US" w:eastAsia="zh-CN"/>
        </w:rPr>
        <w:t>在</w:t>
      </w:r>
      <w:r>
        <w:rPr>
          <w:rFonts w:hint="eastAsia" w:ascii="宋体" w:hAnsi="宋体"/>
          <w:szCs w:val="21"/>
          <w:highlight w:val="cyan"/>
        </w:rPr>
        <w:t>项目产生质疑、投诉等阶段，主管部门、采购人、代理机构、评审委员会等可以要求供应商提供原件进行核查。</w:t>
      </w:r>
    </w:p>
    <w:p>
      <w:pPr>
        <w:ind w:firstLine="420" w:firstLineChars="200"/>
        <w:rPr>
          <w:rFonts w:ascii="黑体" w:hAnsi="宋体" w:eastAsia="黑体"/>
          <w:szCs w:val="21"/>
        </w:rPr>
      </w:pPr>
      <w:r>
        <w:rPr>
          <w:rFonts w:hint="eastAsia" w:ascii="黑体" w:hAnsi="宋体" w:eastAsia="黑体"/>
          <w:szCs w:val="21"/>
        </w:rPr>
        <w:t>12．招标文件的澄清</w:t>
      </w:r>
    </w:p>
    <w:p>
      <w:pPr>
        <w:ind w:firstLine="420" w:firstLineChars="200"/>
        <w:rPr>
          <w:rFonts w:ascii="宋体" w:hAnsi="宋体"/>
          <w:szCs w:val="21"/>
        </w:rPr>
      </w:pPr>
      <w:r>
        <w:rPr>
          <w:rFonts w:hint="eastAsia" w:ascii="宋体" w:hAnsi="宋体"/>
          <w:szCs w:val="21"/>
        </w:rPr>
        <w:t>12.1招标文件澄清的目的是澄清、解答投标人在查阅招标文件后或现场踏勘中可能提出的与投标有关的疑问或询问。</w:t>
      </w:r>
    </w:p>
    <w:p>
      <w:pPr>
        <w:ind w:firstLine="420" w:firstLineChars="200"/>
        <w:rPr>
          <w:rFonts w:ascii="宋体" w:hAnsi="宋体"/>
          <w:color w:val="FF0000"/>
          <w:szCs w:val="21"/>
          <w:highlight w:val="cyan"/>
        </w:rPr>
      </w:pPr>
      <w:r>
        <w:rPr>
          <w:rFonts w:hint="eastAsia" w:ascii="宋体" w:hAnsi="宋体"/>
          <w:color w:val="FF0000"/>
          <w:szCs w:val="21"/>
          <w:highlight w:val="cyan"/>
        </w:rPr>
        <w:t>12.2投标人如对招标文件内容有疑问，应当在招标公告规定的澄清（提问）截止时间前将疑问内容加盖公章书面提交至</w:t>
      </w:r>
      <w:r>
        <w:rPr>
          <w:rFonts w:hint="eastAsia" w:ascii="宋体" w:hAnsi="宋体"/>
          <w:color w:val="FF0000"/>
          <w:szCs w:val="21"/>
          <w:highlight w:val="cyan"/>
          <w:lang w:val="en-US" w:eastAsia="zh-CN"/>
        </w:rPr>
        <w:t>采购代理机构</w:t>
      </w:r>
      <w:r>
        <w:rPr>
          <w:rFonts w:hint="eastAsia" w:ascii="宋体" w:hAnsi="宋体"/>
          <w:color w:val="FF0000"/>
          <w:szCs w:val="21"/>
          <w:highlight w:val="cyan"/>
        </w:rPr>
        <w:t>。</w:t>
      </w:r>
    </w:p>
    <w:p>
      <w:pPr>
        <w:ind w:firstLine="420" w:firstLineChars="200"/>
        <w:rPr>
          <w:rFonts w:ascii="宋体" w:hAnsi="宋体"/>
          <w:szCs w:val="21"/>
          <w:highlight w:val="none"/>
        </w:rPr>
      </w:pPr>
      <w:r>
        <w:rPr>
          <w:rFonts w:hint="eastAsia" w:ascii="宋体" w:hAnsi="宋体"/>
          <w:szCs w:val="21"/>
        </w:rPr>
        <w:t>12</w:t>
      </w:r>
      <w:r>
        <w:rPr>
          <w:rFonts w:hint="eastAsia" w:ascii="宋体" w:hAnsi="宋体"/>
          <w:szCs w:val="21"/>
          <w:highlight w:val="none"/>
        </w:rPr>
        <w:t>.3不论是</w:t>
      </w:r>
      <w:r>
        <w:rPr>
          <w:rFonts w:hint="eastAsia" w:ascii="宋体" w:hAnsi="宋体"/>
          <w:szCs w:val="21"/>
          <w:highlight w:val="none"/>
          <w:lang w:val="en-US" w:eastAsia="zh-CN"/>
        </w:rPr>
        <w:t>采购代理机构</w:t>
      </w:r>
      <w:r>
        <w:rPr>
          <w:rFonts w:hint="eastAsia" w:ascii="宋体" w:hAnsi="宋体"/>
          <w:szCs w:val="21"/>
          <w:highlight w:val="none"/>
        </w:rPr>
        <w:t>根据需要主动对招标文件进行必要的澄清或是根据投标人的要求对招标文件做出澄清，</w:t>
      </w:r>
      <w:r>
        <w:rPr>
          <w:rFonts w:hint="eastAsia" w:ascii="宋体" w:hAnsi="宋体"/>
          <w:szCs w:val="21"/>
          <w:highlight w:val="none"/>
          <w:lang w:val="en-US" w:eastAsia="zh-CN"/>
        </w:rPr>
        <w:t>采购代理机构</w:t>
      </w:r>
      <w:r>
        <w:rPr>
          <w:rFonts w:hint="eastAsia" w:ascii="宋体" w:hAnsi="宋体"/>
          <w:szCs w:val="21"/>
          <w:highlight w:val="none"/>
        </w:rPr>
        <w:t>都将在投标截止日期前以书面形式（包括</w:t>
      </w:r>
      <w:r>
        <w:rPr>
          <w:rFonts w:hint="eastAsia" w:ascii="宋体" w:hAnsi="宋体"/>
          <w:szCs w:val="21"/>
          <w:highlight w:val="none"/>
          <w:lang w:val="en-US" w:eastAsia="zh-CN"/>
        </w:rPr>
        <w:t>采购代理机构</w:t>
      </w:r>
      <w:r>
        <w:rPr>
          <w:rFonts w:hint="eastAsia" w:ascii="宋体" w:hAnsi="宋体"/>
          <w:szCs w:val="21"/>
          <w:highlight w:val="none"/>
        </w:rPr>
        <w:t>网站发布方式）答复或发送给所有投标人。答复内容是招标文件的组成部分，对投标人起约束作用，其有效性按照本通用条款第13.3、13.4款规定执行。</w:t>
      </w:r>
    </w:p>
    <w:p>
      <w:pPr>
        <w:ind w:firstLine="420" w:firstLineChars="200"/>
        <w:rPr>
          <w:rFonts w:ascii="黑体" w:hAnsi="宋体" w:eastAsia="黑体"/>
          <w:szCs w:val="21"/>
          <w:highlight w:val="none"/>
        </w:rPr>
      </w:pPr>
      <w:r>
        <w:rPr>
          <w:rFonts w:hint="eastAsia" w:ascii="黑体" w:hAnsi="宋体" w:eastAsia="黑体"/>
          <w:szCs w:val="21"/>
          <w:highlight w:val="none"/>
        </w:rPr>
        <w:t>13．招标文件的修改</w:t>
      </w:r>
    </w:p>
    <w:p>
      <w:pPr>
        <w:ind w:firstLine="420" w:firstLineChars="200"/>
        <w:rPr>
          <w:rFonts w:ascii="宋体" w:hAnsi="宋体"/>
          <w:szCs w:val="21"/>
          <w:highlight w:val="none"/>
        </w:rPr>
      </w:pPr>
      <w:r>
        <w:rPr>
          <w:rFonts w:hint="eastAsia" w:ascii="宋体" w:hAnsi="宋体"/>
          <w:szCs w:val="21"/>
          <w:highlight w:val="none"/>
        </w:rPr>
        <w:t>13.1招标文件发出后，在投标截止日期前任何时候，确需要变更招标文件内容的，</w:t>
      </w:r>
      <w:r>
        <w:rPr>
          <w:rFonts w:hint="eastAsia" w:ascii="宋体" w:hAnsi="宋体"/>
          <w:szCs w:val="21"/>
          <w:highlight w:val="none"/>
          <w:lang w:val="en-US" w:eastAsia="zh-CN"/>
        </w:rPr>
        <w:t>采购代理机构</w:t>
      </w:r>
      <w:r>
        <w:rPr>
          <w:rFonts w:hint="eastAsia" w:ascii="宋体" w:hAnsi="宋体"/>
          <w:szCs w:val="21"/>
          <w:highlight w:val="none"/>
        </w:rPr>
        <w:t>可主动或在解答投标人提出的澄清问题时对招标文件进行修改。</w:t>
      </w:r>
    </w:p>
    <w:p>
      <w:pPr>
        <w:ind w:firstLine="420" w:firstLineChars="200"/>
        <w:rPr>
          <w:rFonts w:ascii="宋体" w:hAnsi="宋体"/>
          <w:szCs w:val="21"/>
          <w:highlight w:val="none"/>
        </w:rPr>
      </w:pPr>
      <w:r>
        <w:rPr>
          <w:rFonts w:hint="eastAsia" w:ascii="宋体" w:hAnsi="宋体"/>
          <w:szCs w:val="21"/>
          <w:highlight w:val="none"/>
        </w:rPr>
        <w:t>13.2招标文件的修改以书面形式（包括</w:t>
      </w:r>
      <w:r>
        <w:rPr>
          <w:rFonts w:hint="eastAsia" w:ascii="宋体" w:hAnsi="宋体"/>
          <w:szCs w:val="21"/>
          <w:highlight w:val="none"/>
          <w:lang w:val="en-US" w:eastAsia="zh-CN"/>
        </w:rPr>
        <w:t>采购代理机构</w:t>
      </w:r>
      <w:r>
        <w:rPr>
          <w:rFonts w:hint="eastAsia" w:ascii="宋体" w:hAnsi="宋体"/>
          <w:szCs w:val="21"/>
          <w:highlight w:val="none"/>
        </w:rPr>
        <w:t>网站发布方式，如更正公告等）发送给所有投标人，招标文件的修改内容作为招标文件的组成部分，并具有约束力。</w:t>
      </w:r>
    </w:p>
    <w:p>
      <w:pPr>
        <w:ind w:firstLine="420" w:firstLineChars="200"/>
        <w:rPr>
          <w:rFonts w:ascii="宋体" w:hAnsi="宋体"/>
          <w:szCs w:val="21"/>
          <w:highlight w:val="none"/>
        </w:rPr>
      </w:pPr>
      <w:r>
        <w:rPr>
          <w:rFonts w:hint="eastAsia" w:ascii="宋体" w:hAnsi="宋体"/>
          <w:szCs w:val="21"/>
          <w:highlight w:val="none"/>
        </w:rPr>
        <w:t>13.3招标文件、招标文件澄清答复内容、招标文件修改补充内容均以书面形式（包括</w:t>
      </w:r>
      <w:r>
        <w:rPr>
          <w:rFonts w:hint="eastAsia" w:ascii="宋体" w:hAnsi="宋体"/>
          <w:szCs w:val="21"/>
          <w:highlight w:val="none"/>
          <w:lang w:val="en-US" w:eastAsia="zh-CN"/>
        </w:rPr>
        <w:t>采购代理机构</w:t>
      </w:r>
      <w:r>
        <w:rPr>
          <w:rFonts w:hint="eastAsia" w:ascii="宋体" w:hAnsi="宋体"/>
          <w:szCs w:val="21"/>
          <w:highlight w:val="none"/>
        </w:rPr>
        <w:t>网站公开发布方式，如更正公告等）明确的内容为准。当招标文件、修改补充通知、招标文件澄清答复内容相互矛盾时，以最后发出的内容为准。</w:t>
      </w:r>
    </w:p>
    <w:p>
      <w:pPr>
        <w:ind w:firstLine="420" w:firstLineChars="200"/>
        <w:rPr>
          <w:rFonts w:ascii="宋体" w:hAnsi="宋体"/>
          <w:szCs w:val="21"/>
          <w:highlight w:val="none"/>
        </w:rPr>
      </w:pPr>
      <w:r>
        <w:rPr>
          <w:rFonts w:hint="eastAsia" w:ascii="宋体" w:hAnsi="宋体"/>
          <w:szCs w:val="21"/>
          <w:highlight w:val="none"/>
        </w:rPr>
        <w:t>13.4</w:t>
      </w:r>
      <w:r>
        <w:rPr>
          <w:rFonts w:hint="eastAsia" w:ascii="宋体" w:hAnsi="宋体"/>
          <w:szCs w:val="21"/>
          <w:highlight w:val="none"/>
          <w:lang w:val="en-US" w:eastAsia="zh-CN"/>
        </w:rPr>
        <w:t>采购代理机构</w:t>
      </w:r>
      <w:r>
        <w:rPr>
          <w:rFonts w:hint="eastAsia" w:ascii="宋体" w:hAnsi="宋体"/>
          <w:szCs w:val="21"/>
          <w:highlight w:val="none"/>
        </w:rPr>
        <w:t>保证招标文件澄清答复内容和招标文件修改补充内容在投标截止时间前以书面形式（包括</w:t>
      </w:r>
      <w:r>
        <w:rPr>
          <w:rFonts w:hint="eastAsia" w:ascii="宋体" w:hAnsi="宋体"/>
          <w:szCs w:val="21"/>
          <w:highlight w:val="none"/>
          <w:lang w:val="en-US" w:eastAsia="zh-CN"/>
        </w:rPr>
        <w:t>采购代理机构</w:t>
      </w:r>
      <w:r>
        <w:rPr>
          <w:rFonts w:hint="eastAsia" w:ascii="宋体" w:hAnsi="宋体"/>
          <w:szCs w:val="21"/>
          <w:highlight w:val="none"/>
        </w:rPr>
        <w:t>网站发布方式，如更正公告等）发送给所有投标人。为使投标人在编制投标文件时有充分时间对招标文件的修改部分进行研究，</w:t>
      </w:r>
      <w:r>
        <w:rPr>
          <w:rFonts w:hint="eastAsia" w:ascii="宋体" w:hAnsi="宋体"/>
          <w:szCs w:val="21"/>
          <w:highlight w:val="none"/>
          <w:lang w:val="en-US" w:eastAsia="zh-CN"/>
        </w:rPr>
        <w:t>采购代理机构</w:t>
      </w:r>
      <w:r>
        <w:rPr>
          <w:rFonts w:hint="eastAsia" w:ascii="宋体" w:hAnsi="宋体"/>
          <w:szCs w:val="21"/>
          <w:highlight w:val="none"/>
        </w:rPr>
        <w:t>可以酌情延长递交投标文件的截止日期。</w:t>
      </w:r>
      <w:bookmarkEnd w:id="63"/>
    </w:p>
    <w:p>
      <w:pPr>
        <w:rPr>
          <w:rFonts w:ascii="宋体" w:hAnsi="宋体"/>
          <w:szCs w:val="21"/>
        </w:rPr>
      </w:pP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投标文件的编制</w:t>
      </w:r>
    </w:p>
    <w:p>
      <w:pPr>
        <w:ind w:firstLine="420" w:firstLineChars="200"/>
        <w:rPr>
          <w:rFonts w:ascii="黑体" w:hAnsi="宋体" w:eastAsia="黑体"/>
          <w:szCs w:val="21"/>
        </w:rPr>
      </w:pPr>
      <w:r>
        <w:rPr>
          <w:rFonts w:hint="eastAsia" w:ascii="黑体" w:hAnsi="宋体" w:eastAsia="黑体"/>
          <w:szCs w:val="21"/>
        </w:rPr>
        <w:t>14．</w:t>
      </w:r>
      <w:bookmarkStart w:id="64" w:name="_Hlk72400236"/>
      <w:r>
        <w:rPr>
          <w:rFonts w:hint="eastAsia" w:ascii="黑体" w:hAnsi="宋体" w:eastAsia="黑体"/>
          <w:szCs w:val="21"/>
        </w:rPr>
        <w:t>投标文件的语言及度量单位</w:t>
      </w:r>
    </w:p>
    <w:p>
      <w:pPr>
        <w:ind w:firstLine="420" w:firstLineChars="200"/>
        <w:rPr>
          <w:rFonts w:ascii="宋体" w:hAnsi="宋体"/>
          <w:szCs w:val="21"/>
        </w:rPr>
      </w:pPr>
      <w:r>
        <w:rPr>
          <w:rFonts w:hint="eastAsia" w:ascii="宋体" w:hAnsi="宋体"/>
          <w:szCs w:val="21"/>
        </w:rPr>
        <w:t>14.1 投</w:t>
      </w:r>
      <w:r>
        <w:rPr>
          <w:rFonts w:hint="eastAsia" w:ascii="宋体" w:hAnsi="宋体"/>
          <w:szCs w:val="21"/>
          <w:highlight w:val="none"/>
        </w:rPr>
        <w:t>标人与</w:t>
      </w:r>
      <w:r>
        <w:rPr>
          <w:rFonts w:hint="eastAsia" w:ascii="宋体" w:hAnsi="宋体"/>
          <w:szCs w:val="21"/>
          <w:highlight w:val="none"/>
          <w:lang w:val="en-US" w:eastAsia="zh-CN"/>
        </w:rPr>
        <w:t>采购代理机构</w:t>
      </w:r>
      <w:r>
        <w:rPr>
          <w:rFonts w:hint="eastAsia" w:ascii="宋体" w:hAnsi="宋体"/>
          <w:szCs w:val="21"/>
          <w:highlight w:val="none"/>
        </w:rPr>
        <w:t>之间与</w:t>
      </w:r>
      <w:r>
        <w:rPr>
          <w:rFonts w:hint="eastAsia" w:ascii="宋体" w:hAnsi="宋体"/>
          <w:szCs w:val="21"/>
        </w:rPr>
        <w:t>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20" w:firstLineChars="200"/>
        <w:rPr>
          <w:rFonts w:ascii="宋体" w:hAnsi="宋体"/>
          <w:szCs w:val="21"/>
        </w:rPr>
      </w:pPr>
      <w:r>
        <w:rPr>
          <w:rFonts w:hint="eastAsia" w:ascii="宋体" w:hAnsi="宋体"/>
          <w:szCs w:val="21"/>
        </w:rPr>
        <w:t>14.2 除技术规范另有规定外，投标文件使用的度量单位，均采用中华人民共和国法定计量单位。</w:t>
      </w:r>
    </w:p>
    <w:bookmarkEnd w:id="64"/>
    <w:p>
      <w:pPr>
        <w:ind w:firstLine="420" w:firstLineChars="200"/>
        <w:rPr>
          <w:rFonts w:ascii="黑体" w:hAnsi="宋体" w:eastAsia="黑体"/>
          <w:szCs w:val="21"/>
        </w:rPr>
      </w:pPr>
      <w:r>
        <w:rPr>
          <w:rFonts w:hint="eastAsia" w:ascii="黑体" w:hAnsi="宋体" w:eastAsia="黑体"/>
          <w:szCs w:val="21"/>
        </w:rPr>
        <w:t>15．</w:t>
      </w:r>
      <w:bookmarkStart w:id="65" w:name="_Hlk72401567"/>
      <w:r>
        <w:rPr>
          <w:rFonts w:hint="eastAsia" w:ascii="黑体" w:hAnsi="宋体" w:eastAsia="黑体"/>
          <w:szCs w:val="21"/>
        </w:rPr>
        <w:t>投标文件的组成</w:t>
      </w:r>
    </w:p>
    <w:p>
      <w:pPr>
        <w:ind w:firstLine="420" w:firstLineChars="200"/>
        <w:rPr>
          <w:rFonts w:ascii="宋体" w:hAnsi="宋体"/>
          <w:szCs w:val="21"/>
        </w:rPr>
      </w:pPr>
      <w:r>
        <w:rPr>
          <w:rFonts w:hint="eastAsia" w:ascii="宋体" w:hAnsi="宋体"/>
          <w:szCs w:val="21"/>
        </w:rPr>
        <w:t>具体内容在招标文件专用条款中进行规定。</w:t>
      </w:r>
    </w:p>
    <w:p>
      <w:pPr>
        <w:ind w:firstLine="420" w:firstLineChars="200"/>
        <w:rPr>
          <w:rFonts w:ascii="黑体" w:hAnsi="宋体" w:eastAsia="黑体"/>
          <w:szCs w:val="21"/>
        </w:rPr>
      </w:pPr>
      <w:r>
        <w:rPr>
          <w:rFonts w:hint="eastAsia" w:ascii="黑体" w:hAnsi="宋体" w:eastAsia="黑体"/>
          <w:szCs w:val="21"/>
        </w:rPr>
        <w:t>16．投标文件格式</w:t>
      </w:r>
    </w:p>
    <w:p>
      <w:pPr>
        <w:ind w:firstLine="420" w:firstLineChars="200"/>
        <w:rPr>
          <w:rFonts w:ascii="宋体" w:hAnsi="宋体"/>
          <w:szCs w:val="21"/>
        </w:rPr>
      </w:pPr>
      <w:r>
        <w:rPr>
          <w:rFonts w:hint="eastAsia" w:ascii="宋体" w:hAnsi="宋体"/>
          <w:szCs w:val="21"/>
        </w:rPr>
        <w:t>投标文件包括本通用条款第15条中规定的内容。如招标文件提供了投标文件格式，则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pPr>
        <w:ind w:firstLine="420" w:firstLineChars="200"/>
        <w:rPr>
          <w:rFonts w:ascii="黑体" w:hAnsi="宋体" w:eastAsia="黑体"/>
          <w:szCs w:val="21"/>
        </w:rPr>
      </w:pPr>
      <w:r>
        <w:rPr>
          <w:rFonts w:hint="eastAsia" w:ascii="黑体" w:hAnsi="宋体" w:eastAsia="黑体"/>
          <w:szCs w:val="21"/>
        </w:rPr>
        <w:t>17．投标货币</w:t>
      </w:r>
    </w:p>
    <w:p>
      <w:pPr>
        <w:ind w:firstLine="420" w:firstLineChars="200"/>
        <w:rPr>
          <w:rFonts w:ascii="宋体" w:hAnsi="宋体"/>
          <w:szCs w:val="21"/>
        </w:rPr>
      </w:pPr>
      <w:r>
        <w:rPr>
          <w:rFonts w:hint="eastAsia" w:ascii="宋体" w:hAnsi="宋体"/>
          <w:szCs w:val="21"/>
        </w:rPr>
        <w:t>本项目的投标报价应以人民币计。</w:t>
      </w:r>
    </w:p>
    <w:bookmarkEnd w:id="65"/>
    <w:p>
      <w:pPr>
        <w:ind w:firstLine="420" w:firstLineChars="200"/>
        <w:rPr>
          <w:rFonts w:ascii="黑体" w:hAnsi="宋体" w:eastAsia="黑体"/>
          <w:szCs w:val="21"/>
        </w:rPr>
      </w:pPr>
      <w:r>
        <w:rPr>
          <w:rFonts w:hint="eastAsia" w:ascii="黑体" w:hAnsi="宋体" w:eastAsia="黑体"/>
          <w:szCs w:val="21"/>
        </w:rPr>
        <w:t>18．</w:t>
      </w:r>
      <w:bookmarkStart w:id="66" w:name="_Hlk72401735"/>
      <w:r>
        <w:rPr>
          <w:rFonts w:hint="eastAsia" w:ascii="黑体" w:hAnsi="宋体" w:eastAsia="黑体"/>
          <w:szCs w:val="21"/>
        </w:rPr>
        <w:t>证明投标文件投标技术方案的合格性和符合招标文件规定的文件要求</w:t>
      </w:r>
    </w:p>
    <w:p>
      <w:pPr>
        <w:ind w:firstLine="420" w:firstLineChars="200"/>
        <w:rPr>
          <w:rFonts w:ascii="宋体" w:hAnsi="宋体"/>
          <w:szCs w:val="21"/>
        </w:rPr>
      </w:pPr>
      <w:r>
        <w:rPr>
          <w:rFonts w:hint="eastAsia" w:ascii="宋体" w:hAnsi="宋体"/>
          <w:szCs w:val="21"/>
        </w:rPr>
        <w:t>18.1 投标人应提交证明文件，证明其投标技术方案项下的货物和服务的合格性符合招标文件规定。该投标技术方案及其证明文件均作为投标文件组成部分。</w:t>
      </w:r>
    </w:p>
    <w:p>
      <w:pPr>
        <w:ind w:firstLine="420" w:firstLineChars="200"/>
        <w:rPr>
          <w:rFonts w:ascii="宋体" w:hAnsi="宋体"/>
          <w:szCs w:val="21"/>
        </w:rPr>
      </w:pPr>
      <w:r>
        <w:rPr>
          <w:rFonts w:hint="eastAsia" w:ascii="宋体" w:hAnsi="宋体"/>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20" w:firstLineChars="200"/>
        <w:rPr>
          <w:rFonts w:ascii="宋体" w:hAnsi="宋体"/>
          <w:szCs w:val="21"/>
        </w:rPr>
      </w:pPr>
      <w:r>
        <w:rPr>
          <w:rFonts w:hint="eastAsia" w:ascii="宋体" w:hAnsi="宋体"/>
          <w:szCs w:val="21"/>
        </w:rPr>
        <w:t>18.2.1主要技术指标和性能的详细说明。</w:t>
      </w:r>
    </w:p>
    <w:p>
      <w:pPr>
        <w:ind w:firstLine="420" w:firstLineChars="200"/>
        <w:rPr>
          <w:rFonts w:ascii="宋体" w:hAnsi="宋体"/>
          <w:szCs w:val="21"/>
        </w:rPr>
      </w:pPr>
      <w:r>
        <w:rPr>
          <w:rFonts w:hint="eastAsia" w:ascii="宋体" w:hAnsi="宋体"/>
          <w:szCs w:val="21"/>
        </w:rPr>
        <w:t>18.2.2投标产品从采购人开始使用至招标文件中规定的周期内正常、连续地使用所必须的备件和专用工具清单，包括备件和专用工具的货源及现行价格。</w:t>
      </w:r>
    </w:p>
    <w:p>
      <w:pPr>
        <w:ind w:firstLine="420" w:firstLineChars="200"/>
        <w:rPr>
          <w:rFonts w:ascii="宋体" w:hAnsi="宋体"/>
          <w:szCs w:val="21"/>
        </w:rPr>
      </w:pPr>
      <w:r>
        <w:rPr>
          <w:rFonts w:hint="eastAsia" w:ascii="宋体" w:hAnsi="宋体"/>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20" w:firstLineChars="200"/>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szCs w:val="21"/>
        </w:rPr>
        <w:t>清晰度要求能够使用电脑阅读、识别和判断</w:t>
      </w:r>
      <w:r>
        <w:rPr>
          <w:rFonts w:hint="eastAsia" w:ascii="宋体" w:hAnsi="宋体"/>
          <w:szCs w:val="21"/>
        </w:rPr>
        <w:t>；</w:t>
      </w:r>
    </w:p>
    <w:p>
      <w:pPr>
        <w:ind w:firstLine="420" w:firstLineChars="200"/>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20" w:firstLineChars="200"/>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pPr>
        <w:ind w:firstLine="420" w:firstLineChars="200"/>
        <w:rPr>
          <w:rFonts w:ascii="宋体" w:hAnsi="宋体"/>
          <w:szCs w:val="21"/>
        </w:rPr>
      </w:pPr>
      <w:r>
        <w:rPr>
          <w:rFonts w:hint="eastAsia" w:ascii="宋体" w:hAnsi="宋体"/>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szCs w:val="21"/>
        </w:rPr>
        <w:t>满足要求</w:t>
      </w:r>
      <w:r>
        <w:rPr>
          <w:rFonts w:hint="eastAsia" w:ascii="宋体" w:hAnsi="宋体"/>
          <w:szCs w:val="21"/>
        </w:rPr>
        <w:t>，由评审委员会来评判。</w:t>
      </w:r>
    </w:p>
    <w:p>
      <w:pPr>
        <w:ind w:firstLine="420" w:firstLineChars="200"/>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66"/>
    <w:p>
      <w:pPr>
        <w:ind w:firstLine="420" w:firstLineChars="200"/>
        <w:rPr>
          <w:rFonts w:ascii="黑体" w:hAnsi="宋体" w:eastAsia="黑体"/>
          <w:szCs w:val="21"/>
        </w:rPr>
      </w:pPr>
      <w:r>
        <w:rPr>
          <w:rFonts w:hint="eastAsia" w:ascii="黑体" w:hAnsi="宋体" w:eastAsia="黑体"/>
          <w:szCs w:val="21"/>
        </w:rPr>
        <w:t>19．</w:t>
      </w:r>
      <w:bookmarkStart w:id="67" w:name="_Hlk72402034"/>
      <w:r>
        <w:rPr>
          <w:rFonts w:hint="eastAsia" w:ascii="黑体" w:hAnsi="宋体" w:eastAsia="黑体"/>
          <w:szCs w:val="21"/>
        </w:rPr>
        <w:t>投标文件其他证明文件的要求</w:t>
      </w:r>
    </w:p>
    <w:p>
      <w:pPr>
        <w:ind w:firstLine="420" w:firstLineChars="200"/>
        <w:rPr>
          <w:rFonts w:ascii="宋体" w:hAnsi="宋体"/>
          <w:color w:val="FF0000"/>
          <w:szCs w:val="21"/>
        </w:rPr>
      </w:pP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8" w:name="_Hlk71407299"/>
    </w:p>
    <w:bookmarkEnd w:id="68"/>
    <w:p>
      <w:pPr>
        <w:ind w:firstLine="420" w:firstLineChars="200"/>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ind w:firstLine="420" w:firstLineChars="200"/>
        <w:rPr>
          <w:rFonts w:ascii="黑体" w:hAnsi="宋体" w:eastAsia="黑体"/>
          <w:szCs w:val="21"/>
        </w:rPr>
      </w:pPr>
      <w:r>
        <w:rPr>
          <w:rFonts w:hint="eastAsia" w:ascii="黑体" w:hAnsi="宋体" w:eastAsia="黑体"/>
          <w:szCs w:val="21"/>
        </w:rPr>
        <w:t>20．投标有效期</w:t>
      </w:r>
    </w:p>
    <w:bookmarkEnd w:id="67"/>
    <w:p>
      <w:pPr>
        <w:ind w:firstLine="420" w:firstLineChars="200"/>
        <w:rPr>
          <w:rFonts w:ascii="宋体" w:hAnsi="宋体"/>
          <w:szCs w:val="21"/>
        </w:rPr>
      </w:pPr>
      <w:bookmarkStart w:id="69"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pPr>
        <w:ind w:firstLine="420" w:firstLineChars="200"/>
        <w:rPr>
          <w:rFonts w:ascii="宋体" w:hAnsi="宋体"/>
          <w:szCs w:val="21"/>
        </w:rPr>
      </w:pPr>
      <w:r>
        <w:rPr>
          <w:rFonts w:hint="eastAsia" w:ascii="宋体" w:hAnsi="宋体"/>
          <w:szCs w:val="21"/>
        </w:rPr>
        <w:t>20.2 在特殊情况下，</w:t>
      </w:r>
      <w:r>
        <w:rPr>
          <w:rFonts w:hint="eastAsia" w:ascii="宋体" w:hAnsi="宋体"/>
          <w:szCs w:val="21"/>
          <w:highlight w:val="none"/>
          <w:lang w:val="en-US" w:eastAsia="zh-CN"/>
        </w:rPr>
        <w:t>采购代理机构</w:t>
      </w:r>
      <w:r>
        <w:rPr>
          <w:rFonts w:hint="eastAsia" w:ascii="宋体" w:hAnsi="宋体"/>
          <w:szCs w:val="21"/>
          <w:highlight w:val="none"/>
        </w:rPr>
        <w:t>在原定的投标有效期满之前，</w:t>
      </w:r>
      <w:r>
        <w:rPr>
          <w:rFonts w:hint="eastAsia" w:ascii="宋体" w:hAnsi="宋体"/>
          <w:szCs w:val="21"/>
          <w:highlight w:val="none"/>
          <w:lang w:val="en-US" w:eastAsia="zh-CN"/>
        </w:rPr>
        <w:t>采购代理机构</w:t>
      </w:r>
      <w:r>
        <w:rPr>
          <w:rFonts w:hint="eastAsia" w:ascii="宋体" w:hAnsi="宋体"/>
          <w:szCs w:val="21"/>
          <w:highlight w:val="none"/>
        </w:rPr>
        <w:t>可以根据需要以书面形式（包括</w:t>
      </w:r>
      <w:r>
        <w:rPr>
          <w:rFonts w:hint="eastAsia" w:ascii="宋体" w:hAnsi="宋体"/>
          <w:szCs w:val="21"/>
          <w:highlight w:val="none"/>
          <w:lang w:val="en-US" w:eastAsia="zh-CN"/>
        </w:rPr>
        <w:t>采购代理机构</w:t>
      </w:r>
      <w:r>
        <w:rPr>
          <w:rFonts w:hint="eastAsia" w:ascii="宋体" w:hAnsi="宋体"/>
          <w:szCs w:val="21"/>
          <w:highlight w:val="none"/>
        </w:rPr>
        <w:t>网站公开发布方式）向投标人提出延长投标有效期的要求，对此要求投标人须以书面形式予以答复，投标人可以拒绝</w:t>
      </w:r>
      <w:r>
        <w:rPr>
          <w:rFonts w:hint="eastAsia" w:ascii="宋体" w:hAnsi="宋体"/>
          <w:szCs w:val="21"/>
          <w:highlight w:val="none"/>
          <w:lang w:val="en-US" w:eastAsia="zh-CN"/>
        </w:rPr>
        <w:t>采购代理机构</w:t>
      </w:r>
      <w:r>
        <w:rPr>
          <w:rFonts w:hint="eastAsia" w:ascii="宋体" w:hAnsi="宋体"/>
          <w:szCs w:val="21"/>
          <w:highlight w:val="none"/>
        </w:rPr>
        <w:t>此项要</w:t>
      </w:r>
      <w:r>
        <w:rPr>
          <w:rFonts w:hint="eastAsia" w:ascii="宋体" w:hAnsi="宋体"/>
          <w:szCs w:val="21"/>
        </w:rPr>
        <w:t>求，其投标在原投标有效期满后不再有效。同意延长投标有效期的投标人不能要求也不允许修改其投标文件。</w:t>
      </w:r>
    </w:p>
    <w:p>
      <w:pPr>
        <w:ind w:firstLine="420" w:firstLineChars="200"/>
        <w:rPr>
          <w:rFonts w:ascii="宋体" w:hAnsi="宋体"/>
          <w:szCs w:val="21"/>
        </w:rPr>
      </w:pPr>
      <w:r>
        <w:rPr>
          <w:rFonts w:hint="eastAsia" w:ascii="宋体" w:hAnsi="宋体"/>
          <w:szCs w:val="21"/>
        </w:rPr>
        <w:t>20.3 中标供应商的投标文件有效期，截止于完成本招标文件规定的全部项目内容，并通过竣工验收及保修期结束。</w:t>
      </w:r>
    </w:p>
    <w:bookmarkEnd w:id="69"/>
    <w:p>
      <w:pPr>
        <w:ind w:firstLine="420" w:firstLineChars="200"/>
        <w:rPr>
          <w:rFonts w:ascii="黑体" w:hAnsi="宋体" w:eastAsia="黑体"/>
          <w:szCs w:val="21"/>
        </w:rPr>
      </w:pPr>
      <w:r>
        <w:rPr>
          <w:rFonts w:hint="eastAsia" w:ascii="黑体" w:hAnsi="宋体" w:eastAsia="黑体"/>
          <w:szCs w:val="21"/>
        </w:rPr>
        <w:t>21．</w:t>
      </w:r>
      <w:bookmarkStart w:id="70" w:name="_Hlk72402325"/>
      <w:r>
        <w:rPr>
          <w:rFonts w:hint="eastAsia" w:ascii="黑体" w:hAnsi="宋体" w:eastAsia="黑体"/>
          <w:szCs w:val="21"/>
        </w:rPr>
        <w:t xml:space="preserve">关于投标保证金 </w:t>
      </w:r>
    </w:p>
    <w:p>
      <w:pPr>
        <w:ind w:firstLine="420" w:firstLineChars="200"/>
        <w:rPr>
          <w:rFonts w:ascii="宋体" w:hAnsi="宋体"/>
          <w:szCs w:val="21"/>
        </w:rPr>
      </w:pPr>
      <w:r>
        <w:rPr>
          <w:rFonts w:hint="eastAsia" w:ascii="宋体" w:hAnsi="宋体"/>
          <w:szCs w:val="21"/>
        </w:rPr>
        <w:t>21.1</w:t>
      </w:r>
      <w:r>
        <w:rPr>
          <w:rFonts w:hint="eastAsia"/>
          <w:szCs w:val="21"/>
        </w:rPr>
        <w:t>根据《深圳市财政局关于调整政府采购投标（响应）保证金管理政策的通知》（深财购〔</w:t>
      </w:r>
      <w:r>
        <w:rPr>
          <w:szCs w:val="21"/>
        </w:rPr>
        <w:t>2021</w:t>
      </w:r>
      <w:r>
        <w:rPr>
          <w:rFonts w:hint="eastAsia"/>
          <w:szCs w:val="21"/>
        </w:rPr>
        <w:t>〕</w:t>
      </w:r>
      <w:r>
        <w:rPr>
          <w:szCs w:val="21"/>
        </w:rPr>
        <w:t>51</w:t>
      </w:r>
      <w:r>
        <w:rPr>
          <w:rFonts w:hint="eastAsia"/>
          <w:szCs w:val="21"/>
        </w:rPr>
        <w:t>号）文的规定，本项目不收取投标保证金。</w:t>
      </w:r>
    </w:p>
    <w:p>
      <w:pPr>
        <w:ind w:firstLine="420" w:firstLineChars="200"/>
        <w:rPr>
          <w:rFonts w:ascii="黑体" w:hAnsi="宋体" w:eastAsia="黑体"/>
          <w:szCs w:val="21"/>
        </w:rPr>
      </w:pPr>
      <w:r>
        <w:rPr>
          <w:rFonts w:hint="eastAsia" w:ascii="黑体" w:hAnsi="宋体" w:eastAsia="黑体"/>
          <w:szCs w:val="21"/>
        </w:rPr>
        <w:t>22．投标人的替代方案</w:t>
      </w:r>
    </w:p>
    <w:p>
      <w:pPr>
        <w:ind w:firstLine="420" w:firstLineChars="200"/>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20" w:firstLineChars="200"/>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70"/>
    <w:p>
      <w:pPr>
        <w:ind w:firstLine="420" w:firstLineChars="200"/>
        <w:rPr>
          <w:rFonts w:ascii="黑体" w:hAnsi="宋体" w:eastAsia="黑体"/>
          <w:szCs w:val="21"/>
        </w:rPr>
      </w:pPr>
      <w:r>
        <w:rPr>
          <w:rFonts w:hint="eastAsia" w:ascii="黑体" w:hAnsi="宋体" w:eastAsia="黑体"/>
          <w:szCs w:val="21"/>
        </w:rPr>
        <w:t>23．</w:t>
      </w:r>
      <w:bookmarkStart w:id="71" w:name="_Hlk72402860"/>
      <w:r>
        <w:rPr>
          <w:rFonts w:hint="eastAsia" w:ascii="黑体" w:hAnsi="宋体" w:eastAsia="黑体"/>
          <w:szCs w:val="21"/>
        </w:rPr>
        <w:t>投标文件的制作要求</w:t>
      </w:r>
    </w:p>
    <w:p>
      <w:pPr>
        <w:ind w:firstLine="420" w:firstLineChars="200"/>
        <w:rPr>
          <w:rFonts w:ascii="宋体" w:hAnsi="宋体"/>
          <w:szCs w:val="21"/>
        </w:rPr>
      </w:pPr>
      <w:r>
        <w:rPr>
          <w:rFonts w:hint="eastAsia" w:ascii="宋体" w:hAnsi="宋体"/>
          <w:szCs w:val="21"/>
        </w:rPr>
        <w:t>23.1投标人应准备所投项目的电子投标文件一份。</w:t>
      </w:r>
    </w:p>
    <w:p>
      <w:pPr>
        <w:ind w:firstLine="420" w:firstLineChars="200"/>
        <w:rPr>
          <w:rFonts w:ascii="宋体" w:hAnsi="宋体"/>
          <w:szCs w:val="21"/>
        </w:rPr>
      </w:pPr>
      <w:r>
        <w:rPr>
          <w:rFonts w:hint="eastAsia" w:ascii="宋体" w:hAnsi="宋体"/>
          <w:szCs w:val="21"/>
        </w:rPr>
        <w:t>23.2投标人在使用《投标书编制软件》编制投标书时须注意：</w:t>
      </w:r>
    </w:p>
    <w:p>
      <w:pPr>
        <w:ind w:firstLine="420" w:firstLineChars="200"/>
        <w:rPr>
          <w:rFonts w:ascii="宋体" w:hAnsi="宋体"/>
          <w:szCs w:val="21"/>
        </w:rPr>
      </w:pPr>
      <w:r>
        <w:rPr>
          <w:rFonts w:hint="eastAsia" w:ascii="宋体" w:hAnsi="宋体"/>
          <w:szCs w:val="21"/>
        </w:rPr>
        <w:t>23.2.1导入《投标书编制软件》的招标文件项目编号、包号应与以此制作的投标文件项目编号、包号一致。例如，不能将甲项目A包的招标书导入《投标书编制软件》，制作乙项目B包的投标书。</w:t>
      </w:r>
    </w:p>
    <w:p>
      <w:pPr>
        <w:ind w:firstLine="420" w:firstLineChars="200"/>
        <w:rPr>
          <w:rFonts w:ascii="宋体" w:hAnsi="宋体"/>
          <w:szCs w:val="21"/>
        </w:rPr>
      </w:pPr>
      <w:r>
        <w:rPr>
          <w:rFonts w:hint="eastAsia" w:ascii="宋体" w:hAnsi="宋体"/>
          <w:szCs w:val="21"/>
        </w:rPr>
        <w:t>23.2.2不能用非本公司的电子密钥加密本公司的投标文件，或者用其它公司的登录用户上传本公司的投标文件。</w:t>
      </w:r>
    </w:p>
    <w:p>
      <w:pPr>
        <w:ind w:firstLine="420" w:firstLineChars="200"/>
        <w:rPr>
          <w:rFonts w:ascii="宋体" w:hAnsi="宋体"/>
          <w:szCs w:val="21"/>
          <w:highlight w:val="none"/>
        </w:rPr>
      </w:pPr>
      <w:r>
        <w:rPr>
          <w:rFonts w:hint="eastAsia" w:ascii="宋体" w:hAnsi="宋体"/>
          <w:szCs w:val="21"/>
        </w:rPr>
        <w:t>23.2.3要求用《投标书编制软件》编制投标书的包，不能用其它方式编制投标书。编制投标文件时，电脑须连通互联网。</w:t>
      </w:r>
    </w:p>
    <w:p>
      <w:pPr>
        <w:ind w:firstLine="420" w:firstLineChars="200"/>
        <w:rPr>
          <w:rFonts w:ascii="宋体" w:hAnsi="宋体"/>
          <w:szCs w:val="21"/>
        </w:rPr>
      </w:pPr>
      <w:r>
        <w:rPr>
          <w:rFonts w:hint="eastAsia" w:ascii="宋体" w:hAnsi="宋体"/>
          <w:szCs w:val="21"/>
          <w:highlight w:val="none"/>
        </w:rPr>
        <w:t>23.2.4投标文件不能带病毒。</w:t>
      </w:r>
      <w:r>
        <w:rPr>
          <w:rFonts w:hint="eastAsia" w:ascii="宋体" w:hAnsi="宋体"/>
          <w:szCs w:val="21"/>
          <w:highlight w:val="none"/>
          <w:lang w:val="en-US" w:eastAsia="zh-CN"/>
        </w:rPr>
        <w:t>采购代理机构</w:t>
      </w:r>
      <w:r>
        <w:rPr>
          <w:rFonts w:hint="eastAsia" w:ascii="宋体" w:hAnsi="宋体"/>
          <w:szCs w:val="21"/>
          <w:highlight w:val="none"/>
        </w:rPr>
        <w:t>将用专业杀毒软件对投标文件进行病毒检测，如果这两种软件均报告发现病毒，则</w:t>
      </w:r>
      <w:r>
        <w:rPr>
          <w:rFonts w:hint="eastAsia" w:ascii="宋体" w:hAnsi="宋体"/>
          <w:szCs w:val="21"/>
          <w:highlight w:val="none"/>
          <w:lang w:val="en-US" w:eastAsia="zh-CN"/>
        </w:rPr>
        <w:t>采购代理机构</w:t>
      </w:r>
      <w:r>
        <w:rPr>
          <w:rFonts w:hint="eastAsia" w:ascii="宋体" w:hAnsi="宋体"/>
          <w:szCs w:val="21"/>
          <w:highlight w:val="none"/>
        </w:rPr>
        <w:t>认为该</w:t>
      </w:r>
      <w:r>
        <w:rPr>
          <w:rFonts w:hint="eastAsia" w:ascii="宋体" w:hAnsi="宋体"/>
          <w:szCs w:val="21"/>
        </w:rPr>
        <w:t>投标文件带病毒。</w:t>
      </w:r>
    </w:p>
    <w:p>
      <w:pPr>
        <w:ind w:firstLine="420" w:firstLineChars="200"/>
        <w:rPr>
          <w:rFonts w:ascii="宋体" w:hAnsi="宋体"/>
          <w:szCs w:val="21"/>
        </w:rPr>
      </w:pPr>
      <w:r>
        <w:rPr>
          <w:rFonts w:hint="eastAsia" w:ascii="宋体" w:hAnsi="宋体"/>
          <w:szCs w:val="21"/>
        </w:rPr>
        <w:t>23.2.</w:t>
      </w:r>
      <w:r>
        <w:rPr>
          <w:rFonts w:hint="eastAsia" w:ascii="宋体" w:hAnsi="宋体"/>
          <w:szCs w:val="21"/>
          <w:lang w:val="en-US" w:eastAsia="zh-CN"/>
        </w:rPr>
        <w:t>5</w:t>
      </w:r>
      <w:r>
        <w:rPr>
          <w:rFonts w:hint="eastAsia" w:ascii="宋体" w:hAnsi="宋体"/>
          <w:szCs w:val="21"/>
          <w:highlight w:val="cyan"/>
          <w:lang w:val="en-US" w:eastAsia="zh-CN"/>
        </w:rPr>
        <w:t>投标人在编辑投标文件时，在投标文件目录中属于本节点内容的需在对应节点中填写，填写到其他节点后果由供应商自行承担。</w:t>
      </w:r>
    </w:p>
    <w:p>
      <w:pPr>
        <w:ind w:firstLine="420" w:firstLineChars="200"/>
        <w:rPr>
          <w:rFonts w:ascii="宋体" w:hAnsi="宋体"/>
          <w:szCs w:val="21"/>
          <w:highlight w:val="none"/>
        </w:rPr>
      </w:pPr>
      <w:r>
        <w:rPr>
          <w:rFonts w:hint="eastAsia" w:ascii="宋体" w:hAnsi="宋体"/>
          <w:szCs w:val="21"/>
        </w:rPr>
        <w:t>23.2.</w:t>
      </w:r>
      <w:r>
        <w:rPr>
          <w:rFonts w:hint="eastAsia" w:ascii="宋体" w:hAnsi="宋体"/>
          <w:szCs w:val="21"/>
          <w:highlight w:val="none"/>
          <w:lang w:val="en-US" w:eastAsia="zh-CN"/>
        </w:rPr>
        <w:t>6采购代理机构</w:t>
      </w:r>
      <w:r>
        <w:rPr>
          <w:rFonts w:hint="eastAsia" w:ascii="宋体" w:hAnsi="宋体"/>
          <w:szCs w:val="21"/>
          <w:highlight w:val="none"/>
        </w:rPr>
        <w:t>不接受投标截止时间后递交的纸质、电子、传真等所有形式的投标文件。由于对网上自行采购系统操作不熟悉或自身电脑、网络等原因导致不能在投标截止时间之前上传投标文件，</w:t>
      </w:r>
      <w:r>
        <w:rPr>
          <w:rFonts w:hint="eastAsia" w:ascii="宋体" w:hAnsi="宋体"/>
          <w:szCs w:val="21"/>
          <w:highlight w:val="none"/>
          <w:lang w:val="en-US" w:eastAsia="zh-CN"/>
        </w:rPr>
        <w:t>采购代理机构</w:t>
      </w:r>
      <w:r>
        <w:rPr>
          <w:rFonts w:hint="eastAsia" w:ascii="宋体" w:hAnsi="宋体"/>
          <w:szCs w:val="21"/>
          <w:highlight w:val="none"/>
        </w:rPr>
        <w:t>概不负</w:t>
      </w:r>
      <w:r>
        <w:rPr>
          <w:rFonts w:hint="eastAsia" w:ascii="宋体" w:hAnsi="宋体"/>
          <w:szCs w:val="21"/>
        </w:rPr>
        <w:t>责。建议于开标前一个工作日完成投标文件的制作与上传，如上传确有困难，请及时咨询。</w:t>
      </w:r>
    </w:p>
    <w:p>
      <w:pPr>
        <w:ind w:firstLine="420" w:firstLineChars="200"/>
        <w:rPr>
          <w:rFonts w:ascii="宋体" w:hAnsi="宋体"/>
          <w:szCs w:val="21"/>
        </w:rPr>
      </w:pPr>
      <w:r>
        <w:rPr>
          <w:rFonts w:hint="eastAsia" w:ascii="宋体" w:hAnsi="宋体"/>
          <w:szCs w:val="21"/>
          <w:highlight w:val="none"/>
        </w:rPr>
        <w:t>23.2.</w:t>
      </w:r>
      <w:r>
        <w:rPr>
          <w:rFonts w:hint="eastAsia" w:ascii="宋体" w:hAnsi="宋体"/>
          <w:szCs w:val="21"/>
          <w:highlight w:val="none"/>
          <w:lang w:val="en-US" w:eastAsia="zh-CN"/>
        </w:rPr>
        <w:t>7</w:t>
      </w:r>
      <w:r>
        <w:rPr>
          <w:rFonts w:hint="eastAsia" w:ascii="宋体" w:hAnsi="宋体"/>
          <w:szCs w:val="21"/>
          <w:highlight w:val="none"/>
        </w:rPr>
        <w:t>如果开标时出现网络故障、技术故障，影响了采购活动，</w:t>
      </w:r>
      <w:r>
        <w:rPr>
          <w:rFonts w:hint="eastAsia" w:ascii="宋体" w:hAnsi="宋体"/>
          <w:szCs w:val="21"/>
          <w:highlight w:val="none"/>
          <w:lang w:val="en-US" w:eastAsia="zh-CN"/>
        </w:rPr>
        <w:t>采购代理机构</w:t>
      </w:r>
      <w:r>
        <w:rPr>
          <w:rFonts w:hint="eastAsia" w:ascii="宋体" w:hAnsi="宋体"/>
          <w:szCs w:val="21"/>
          <w:highlight w:val="none"/>
        </w:rPr>
        <w:t>有权采</w:t>
      </w:r>
      <w:r>
        <w:rPr>
          <w:rFonts w:hint="eastAsia" w:ascii="宋体" w:hAnsi="宋体"/>
          <w:szCs w:val="21"/>
        </w:rPr>
        <w:t>取措施如延期、接受无法从网上上传的投标书等，以保障采购活动的公开、公平和公正。</w:t>
      </w:r>
    </w:p>
    <w:p>
      <w:pPr>
        <w:ind w:firstLine="420" w:firstLineChars="200"/>
        <w:rPr>
          <w:rFonts w:ascii="宋体" w:hAnsi="宋体"/>
          <w:szCs w:val="21"/>
        </w:rPr>
      </w:pPr>
      <w:r>
        <w:rPr>
          <w:rFonts w:hint="eastAsia" w:ascii="宋体" w:hAnsi="宋体"/>
          <w:szCs w:val="21"/>
        </w:rPr>
        <w:t>23.3电报、电话、传真形式的投标概不接受。</w:t>
      </w:r>
    </w:p>
    <w:p>
      <w:pPr>
        <w:ind w:firstLine="422" w:firstLineChars="200"/>
        <w:rPr>
          <w:rFonts w:ascii="宋体" w:hAnsi="宋体"/>
          <w:b/>
          <w:szCs w:val="21"/>
        </w:rPr>
      </w:pPr>
      <w:r>
        <w:rPr>
          <w:rFonts w:hint="eastAsia" w:ascii="宋体" w:hAnsi="宋体"/>
          <w:b/>
          <w:szCs w:val="21"/>
        </w:rPr>
        <w:t>23.4经投标人电子密钥加密的投标文件无须盖章或签字，</w:t>
      </w:r>
      <w:r>
        <w:rPr>
          <w:rFonts w:hint="eastAsia" w:ascii="宋体" w:hAnsi="宋体"/>
          <w:szCs w:val="21"/>
        </w:rPr>
        <w:t>专用条款另有要求的除外。</w:t>
      </w:r>
    </w:p>
    <w:p>
      <w:pPr>
        <w:ind w:firstLine="422" w:firstLineChars="200"/>
        <w:rPr>
          <w:rFonts w:ascii="宋体" w:hAnsi="宋体"/>
        </w:rPr>
      </w:pPr>
      <w:r>
        <w:rPr>
          <w:rFonts w:hint="eastAsia" w:ascii="宋体" w:hAnsi="宋体"/>
          <w:b/>
          <w:szCs w:val="21"/>
        </w:rPr>
        <w:t>23.5</w:t>
      </w:r>
      <w:r>
        <w:rPr>
          <w:rFonts w:hint="eastAsia" w:ascii="宋体" w:hAnsi="宋体"/>
          <w:szCs w:val="21"/>
        </w:rPr>
        <w:t xml:space="preserve"> 各类资格（资质）文件提供扫描件，专用条款另有要求的除外。</w:t>
      </w:r>
      <w:bookmarkEnd w:id="71"/>
    </w:p>
    <w:p>
      <w:pPr>
        <w:ind w:firstLine="411" w:firstLineChars="196"/>
        <w:rPr>
          <w:rFonts w:ascii="宋体" w:hAnsi="宋体"/>
          <w:szCs w:val="21"/>
        </w:rPr>
      </w:pP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投标文件的递交</w:t>
      </w:r>
    </w:p>
    <w:p>
      <w:pPr>
        <w:ind w:firstLine="420" w:firstLineChars="200"/>
        <w:rPr>
          <w:rFonts w:ascii="黑体" w:hAnsi="宋体" w:eastAsia="黑体"/>
          <w:szCs w:val="21"/>
        </w:rPr>
      </w:pPr>
      <w:bookmarkStart w:id="72" w:name="_Hlk72405459"/>
      <w:r>
        <w:rPr>
          <w:rFonts w:hint="eastAsia" w:ascii="黑体" w:hAnsi="宋体" w:eastAsia="黑体"/>
          <w:szCs w:val="21"/>
        </w:rPr>
        <w:t>24．投标文件的保密</w:t>
      </w:r>
    </w:p>
    <w:p>
      <w:pPr>
        <w:ind w:firstLine="420" w:firstLineChars="200"/>
        <w:rPr>
          <w:rFonts w:ascii="宋体" w:hAnsi="宋体"/>
          <w:szCs w:val="21"/>
          <w:highlight w:val="cyan"/>
        </w:rPr>
      </w:pPr>
      <w:r>
        <w:rPr>
          <w:rFonts w:hint="eastAsia" w:ascii="宋体" w:hAnsi="宋体"/>
          <w:szCs w:val="21"/>
        </w:rPr>
        <w:t>24.1在投标文件制作完成后，生成后会选择是否加密投标文件，如不加密则直接点击生成文件即可，如需加密请插入CA锁，点击加密后生成文件，需输入CA锁密码即可加密成功。加密后会提示文件生成成功！</w:t>
      </w:r>
      <w:r>
        <w:rPr>
          <w:rFonts w:hint="eastAsia" w:ascii="宋体" w:hAnsi="宋体"/>
          <w:szCs w:val="21"/>
          <w:highlight w:val="cyan"/>
        </w:rPr>
        <w:t>(注意：</w:t>
      </w:r>
      <w:r>
        <w:rPr>
          <w:rFonts w:hint="eastAsia" w:ascii="宋体" w:hAnsi="宋体"/>
          <w:szCs w:val="21"/>
          <w:highlight w:val="cyan"/>
          <w:lang w:val="en-US" w:eastAsia="zh-CN"/>
        </w:rPr>
        <w:t>如对投标文件加密的，则投标人必</w:t>
      </w:r>
      <w:r>
        <w:rPr>
          <w:rFonts w:hint="eastAsia" w:ascii="宋体" w:hAnsi="宋体"/>
          <w:szCs w:val="21"/>
          <w:highlight w:val="cyan"/>
        </w:rPr>
        <w:t>须</w:t>
      </w:r>
      <w:r>
        <w:rPr>
          <w:rFonts w:hint="eastAsia" w:ascii="宋体" w:hAnsi="宋体"/>
          <w:szCs w:val="21"/>
          <w:highlight w:val="cyan"/>
          <w:lang w:val="en-US" w:eastAsia="zh-CN"/>
        </w:rPr>
        <w:t>在开标当日</w:t>
      </w:r>
      <w:r>
        <w:rPr>
          <w:rFonts w:hint="eastAsia" w:ascii="宋体" w:hAnsi="宋体"/>
          <w:szCs w:val="21"/>
          <w:highlight w:val="cyan"/>
        </w:rPr>
        <w:t>用加密文件时使用的锁在项目规定时间内解密！逾期未解密的作投标无效处理。)</w:t>
      </w:r>
    </w:p>
    <w:p>
      <w:pPr>
        <w:ind w:firstLine="422" w:firstLineChars="200"/>
        <w:rPr>
          <w:rFonts w:ascii="宋体" w:hAnsi="宋体"/>
          <w:b/>
          <w:szCs w:val="21"/>
        </w:rPr>
      </w:pPr>
      <w:r>
        <w:rPr>
          <w:rFonts w:hint="eastAsia" w:ascii="宋体" w:hAnsi="宋体"/>
          <w:b/>
          <w:szCs w:val="21"/>
        </w:rPr>
        <w:t>24.2若采购项目出现延期情况：</w:t>
      </w:r>
    </w:p>
    <w:p>
      <w:pPr>
        <w:ind w:firstLine="422" w:firstLineChars="200"/>
        <w:rPr>
          <w:rFonts w:ascii="黑体" w:hAnsi="宋体" w:eastAsia="黑体"/>
          <w:b/>
          <w:szCs w:val="21"/>
          <w:highlight w:val="cyan"/>
        </w:rPr>
      </w:pPr>
      <w:r>
        <w:rPr>
          <w:rFonts w:hint="eastAsia" w:ascii="宋体" w:hAnsi="宋体"/>
          <w:b/>
          <w:szCs w:val="21"/>
          <w:highlight w:val="cyan"/>
        </w:rPr>
        <w:t>如果供下载的招标文件有更新，投标人必须重新下载招标文件、重新制作投标文件、重新上传投标文件。</w:t>
      </w:r>
    </w:p>
    <w:p>
      <w:pPr>
        <w:ind w:firstLine="420" w:firstLineChars="200"/>
        <w:rPr>
          <w:rFonts w:ascii="黑体" w:hAnsi="宋体" w:eastAsia="黑体"/>
          <w:szCs w:val="21"/>
        </w:rPr>
      </w:pPr>
      <w:r>
        <w:rPr>
          <w:rFonts w:hint="eastAsia" w:ascii="黑体" w:hAnsi="宋体" w:eastAsia="黑体"/>
          <w:szCs w:val="21"/>
        </w:rPr>
        <w:t>25．上传投标文件及投标截止日期</w:t>
      </w:r>
    </w:p>
    <w:p>
      <w:pPr>
        <w:ind w:firstLine="420" w:firstLineChars="200"/>
        <w:rPr>
          <w:rFonts w:ascii="宋体" w:hAnsi="宋体"/>
          <w:szCs w:val="21"/>
        </w:rPr>
      </w:pPr>
      <w:r>
        <w:rPr>
          <w:rFonts w:hint="eastAsia" w:ascii="宋体" w:hAnsi="宋体"/>
          <w:szCs w:val="21"/>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hint="eastAsia" w:ascii="宋体" w:hAnsi="宋体"/>
          <w:b/>
          <w:bCs/>
          <w:szCs w:val="21"/>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hint="eastAsia" w:ascii="宋体" w:hAnsi="宋体"/>
          <w:szCs w:val="21"/>
        </w:rPr>
        <w:t>。</w:t>
      </w:r>
    </w:p>
    <w:p>
      <w:pPr>
        <w:ind w:firstLine="420" w:firstLineChars="200"/>
        <w:rPr>
          <w:rFonts w:ascii="宋体" w:hAnsi="宋体"/>
          <w:szCs w:val="21"/>
        </w:rPr>
      </w:pPr>
      <w:r>
        <w:rPr>
          <w:rFonts w:hint="eastAsia" w:ascii="宋体" w:hAnsi="宋体"/>
          <w:szCs w:val="21"/>
        </w:rPr>
        <w:t>2</w:t>
      </w:r>
      <w:r>
        <w:rPr>
          <w:rFonts w:hint="eastAsia" w:ascii="宋体" w:hAnsi="宋体"/>
          <w:szCs w:val="21"/>
          <w:highlight w:val="none"/>
        </w:rPr>
        <w:t>5.2</w:t>
      </w:r>
      <w:r>
        <w:rPr>
          <w:rFonts w:hint="eastAsia" w:ascii="宋体" w:hAnsi="宋体"/>
          <w:szCs w:val="21"/>
          <w:highlight w:val="none"/>
          <w:lang w:val="en-US" w:eastAsia="zh-CN"/>
        </w:rPr>
        <w:t>采购代理机构</w:t>
      </w:r>
      <w:r>
        <w:rPr>
          <w:rFonts w:hint="eastAsia" w:ascii="宋体" w:hAnsi="宋体"/>
          <w:szCs w:val="21"/>
          <w:highlight w:val="none"/>
        </w:rPr>
        <w:t>可以按本通用条款第13条规定，通过修改招标文件自行决定酌情延长投标截止期。在此情况下，</w:t>
      </w:r>
      <w:r>
        <w:rPr>
          <w:rFonts w:hint="eastAsia" w:ascii="宋体" w:hAnsi="宋体"/>
          <w:szCs w:val="21"/>
          <w:highlight w:val="none"/>
          <w:lang w:val="en-US" w:eastAsia="zh-CN"/>
        </w:rPr>
        <w:t>采购代理机构</w:t>
      </w:r>
      <w:r>
        <w:rPr>
          <w:rFonts w:hint="eastAsia" w:ascii="宋体" w:hAnsi="宋体"/>
          <w:szCs w:val="21"/>
          <w:highlight w:val="none"/>
        </w:rPr>
        <w:t>、采购人</w:t>
      </w:r>
      <w:r>
        <w:rPr>
          <w:rFonts w:hint="eastAsia" w:ascii="宋体" w:hAnsi="宋体"/>
          <w:szCs w:val="21"/>
        </w:rPr>
        <w:t>和投标人受投标截止期制约的所有权利和义务均应延长至新的截止期。</w:t>
      </w:r>
    </w:p>
    <w:p>
      <w:pPr>
        <w:ind w:firstLine="420" w:firstLineChars="200"/>
        <w:rPr>
          <w:rFonts w:ascii="宋体" w:hAnsi="宋体"/>
          <w:szCs w:val="21"/>
        </w:rPr>
      </w:pPr>
      <w:r>
        <w:rPr>
          <w:rFonts w:hint="eastAsia" w:ascii="宋体" w:hAnsi="宋体"/>
          <w:szCs w:val="21"/>
        </w:rPr>
        <w:t>25.3投标截止时间以后不得上传投标文件。</w:t>
      </w:r>
    </w:p>
    <w:bookmarkEnd w:id="72"/>
    <w:p>
      <w:pPr>
        <w:ind w:firstLine="420" w:firstLineChars="200"/>
        <w:rPr>
          <w:rFonts w:ascii="黑体" w:hAnsi="宋体" w:eastAsia="黑体"/>
          <w:szCs w:val="21"/>
        </w:rPr>
      </w:pPr>
      <w:r>
        <w:rPr>
          <w:rFonts w:hint="eastAsia" w:ascii="黑体" w:hAnsi="宋体" w:eastAsia="黑体"/>
          <w:szCs w:val="21"/>
        </w:rPr>
        <w:t>26. 样品、现场演示、方案讲解</w:t>
      </w:r>
    </w:p>
    <w:p>
      <w:pPr>
        <w:ind w:firstLine="420" w:firstLineChars="200"/>
        <w:rPr>
          <w:rFonts w:ascii="宋体" w:hAnsi="宋体"/>
          <w:szCs w:val="21"/>
        </w:rPr>
      </w:pPr>
      <w:r>
        <w:rPr>
          <w:rFonts w:hint="eastAsia" w:ascii="宋体" w:hAnsi="宋体"/>
          <w:szCs w:val="21"/>
        </w:rPr>
        <w:t>26.1 样品、现场演示、方案讲解等事项在招标文件专用条款中进行规定。</w:t>
      </w:r>
    </w:p>
    <w:p>
      <w:pPr>
        <w:ind w:firstLine="420" w:firstLineChars="200"/>
        <w:rPr>
          <w:rFonts w:ascii="黑体" w:hAnsi="宋体" w:eastAsia="黑体"/>
          <w:szCs w:val="21"/>
        </w:rPr>
      </w:pPr>
      <w:bookmarkStart w:id="73" w:name="_Hlk72428346"/>
      <w:r>
        <w:rPr>
          <w:rFonts w:hint="eastAsia" w:ascii="黑体" w:hAnsi="宋体" w:eastAsia="黑体"/>
          <w:szCs w:val="21"/>
        </w:rPr>
        <w:t>27．投标文件的修改和撤销</w:t>
      </w:r>
    </w:p>
    <w:p>
      <w:pPr>
        <w:ind w:firstLine="420" w:firstLineChars="200"/>
        <w:rPr>
          <w:rFonts w:ascii="宋体" w:hAnsi="宋体"/>
          <w:szCs w:val="21"/>
        </w:rPr>
      </w:pPr>
      <w:r>
        <w:rPr>
          <w:rFonts w:hint="eastAsia" w:ascii="宋体" w:hAnsi="宋体"/>
          <w:szCs w:val="21"/>
        </w:rPr>
        <w:t>27.1投标方在提交投标文件后可对其投标文件进行修改并重新上传投标文件或在网上进行撤销投标的操作。</w:t>
      </w:r>
    </w:p>
    <w:p>
      <w:pPr>
        <w:ind w:firstLine="420" w:firstLineChars="200"/>
        <w:rPr>
          <w:rFonts w:ascii="宋体" w:hAnsi="宋体"/>
          <w:szCs w:val="21"/>
        </w:rPr>
      </w:pPr>
      <w:r>
        <w:rPr>
          <w:rFonts w:hint="eastAsia" w:ascii="宋体" w:hAnsi="宋体"/>
          <w:szCs w:val="21"/>
        </w:rPr>
        <w:t>27.2投标截止时间以后不得修改投标文件。</w:t>
      </w:r>
    </w:p>
    <w:p>
      <w:pPr>
        <w:ind w:firstLine="420" w:firstLineChars="200"/>
        <w:rPr>
          <w:rFonts w:ascii="宋体" w:hAnsi="宋体"/>
          <w:szCs w:val="21"/>
        </w:rPr>
      </w:pPr>
      <w:r>
        <w:rPr>
          <w:rFonts w:hint="eastAsia" w:ascii="宋体" w:hAnsi="宋体"/>
          <w:szCs w:val="21"/>
        </w:rPr>
        <w:t>27.3从投标截止期至投标人在投标文件中确定的投标有效期之间的这段时间内，投标人不得撤回其投标。</w:t>
      </w:r>
    </w:p>
    <w:p>
      <w:pPr>
        <w:ind w:firstLine="420" w:firstLineChars="200"/>
        <w:rPr>
          <w:rFonts w:ascii="宋体" w:hAnsi="宋体"/>
          <w:szCs w:val="21"/>
        </w:rPr>
      </w:pPr>
      <w:r>
        <w:rPr>
          <w:rFonts w:hint="eastAsia" w:ascii="宋体" w:hAnsi="宋体"/>
          <w:szCs w:val="21"/>
        </w:rPr>
        <w:t>27</w:t>
      </w:r>
      <w:r>
        <w:rPr>
          <w:rFonts w:hint="eastAsia" w:ascii="宋体" w:hAnsi="宋体"/>
          <w:szCs w:val="21"/>
          <w:highlight w:val="none"/>
        </w:rPr>
        <w:t>.4</w:t>
      </w:r>
      <w:r>
        <w:rPr>
          <w:rFonts w:hint="eastAsia" w:ascii="宋体" w:hAnsi="宋体"/>
          <w:szCs w:val="21"/>
          <w:highlight w:val="none"/>
          <w:lang w:val="en-US" w:eastAsia="zh-CN"/>
        </w:rPr>
        <w:t>采购代理机构</w:t>
      </w:r>
      <w:r>
        <w:rPr>
          <w:rFonts w:hint="eastAsia" w:ascii="宋体" w:hAnsi="宋体"/>
          <w:szCs w:val="21"/>
          <w:highlight w:val="none"/>
        </w:rPr>
        <w:t>不退还</w:t>
      </w:r>
      <w:r>
        <w:rPr>
          <w:rFonts w:hint="eastAsia" w:ascii="宋体" w:hAnsi="宋体"/>
          <w:szCs w:val="21"/>
        </w:rPr>
        <w:t>投标文件，专用条款另有规定的除外。</w:t>
      </w:r>
    </w:p>
    <w:bookmarkEnd w:id="73"/>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开标</w:t>
      </w:r>
    </w:p>
    <w:p>
      <w:pPr>
        <w:ind w:firstLine="420" w:firstLineChars="200"/>
        <w:rPr>
          <w:rFonts w:ascii="黑体" w:hAnsi="宋体" w:eastAsia="黑体"/>
          <w:szCs w:val="21"/>
        </w:rPr>
      </w:pPr>
      <w:r>
        <w:rPr>
          <w:rFonts w:hint="eastAsia" w:ascii="黑体" w:hAnsi="宋体" w:eastAsia="黑体"/>
          <w:szCs w:val="21"/>
        </w:rPr>
        <w:t>28．开标</w:t>
      </w:r>
    </w:p>
    <w:p>
      <w:pPr>
        <w:ind w:firstLine="420" w:firstLineChars="200"/>
        <w:rPr>
          <w:rFonts w:ascii="宋体" w:hAnsi="宋体"/>
          <w:szCs w:val="21"/>
        </w:rPr>
      </w:pPr>
      <w:r>
        <w:rPr>
          <w:rFonts w:hint="eastAsia" w:ascii="宋体" w:hAnsi="宋体"/>
          <w:szCs w:val="21"/>
        </w:rPr>
        <w:t>28.1如</w:t>
      </w:r>
      <w:r>
        <w:rPr>
          <w:rFonts w:hint="eastAsia" w:ascii="宋体" w:hAnsi="宋体"/>
          <w:szCs w:val="21"/>
          <w:lang w:val="en-US" w:eastAsia="zh-CN"/>
        </w:rPr>
        <w:t>对</w:t>
      </w:r>
      <w:r>
        <w:rPr>
          <w:rFonts w:hint="eastAsia" w:ascii="宋体" w:hAnsi="宋体"/>
          <w:szCs w:val="21"/>
        </w:rPr>
        <w:t>投标文件加密的，则投标人须在开标当日的开标时间至解密截止时间内进行解密，逾期未解密的作</w:t>
      </w:r>
      <w:r>
        <w:rPr>
          <w:rFonts w:hint="eastAsia" w:ascii="宋体" w:hAnsi="宋体"/>
          <w:szCs w:val="21"/>
          <w:lang w:val="en-US" w:eastAsia="zh-CN"/>
        </w:rPr>
        <w:t>投标</w:t>
      </w:r>
      <w:r>
        <w:rPr>
          <w:rFonts w:hint="eastAsia" w:ascii="宋体" w:hAnsi="宋体"/>
          <w:szCs w:val="21"/>
        </w:rPr>
        <w:t>无效处理。解密方法：登录“深圳市自行采购系统（https://trade.szggzy.com/ggzy/center/#/login）”，使用本单位制作电子投标文件同一个电子密钥进行在线解密、查询开标情况。</w:t>
      </w:r>
    </w:p>
    <w:p>
      <w:pPr>
        <w:ind w:firstLine="420" w:firstLineChars="200"/>
        <w:rPr>
          <w:rFonts w:ascii="宋体" w:hAnsi="宋体"/>
          <w:szCs w:val="21"/>
        </w:rPr>
      </w:pPr>
      <w:r>
        <w:rPr>
          <w:rFonts w:hint="eastAsia" w:ascii="宋体" w:hAnsi="宋体"/>
          <w:szCs w:val="21"/>
        </w:rPr>
        <w:t>2</w:t>
      </w:r>
      <w:r>
        <w:rPr>
          <w:rFonts w:hint="eastAsia" w:ascii="宋体" w:hAnsi="宋体"/>
          <w:szCs w:val="21"/>
          <w:highlight w:val="none"/>
        </w:rPr>
        <w:t>8.2</w:t>
      </w:r>
      <w:r>
        <w:rPr>
          <w:rFonts w:hint="eastAsia" w:ascii="宋体" w:hAnsi="宋体"/>
          <w:szCs w:val="21"/>
          <w:highlight w:val="none"/>
          <w:lang w:val="en-US" w:eastAsia="zh-CN"/>
        </w:rPr>
        <w:t>采购代理机构</w:t>
      </w:r>
      <w:r>
        <w:rPr>
          <w:rFonts w:hint="eastAsia" w:ascii="宋体" w:hAnsi="宋体"/>
          <w:szCs w:val="21"/>
          <w:highlight w:val="none"/>
        </w:rPr>
        <w:t>将在满足开标条件</w:t>
      </w:r>
      <w:r>
        <w:rPr>
          <w:rFonts w:hint="eastAsia" w:ascii="宋体" w:hAnsi="宋体"/>
          <w:szCs w:val="21"/>
          <w:highlight w:val="cyan"/>
          <w:lang w:eastAsia="zh-CN"/>
        </w:rPr>
        <w:t>【</w:t>
      </w:r>
      <w:r>
        <w:rPr>
          <w:rFonts w:hint="eastAsia" w:ascii="宋体" w:hAnsi="宋体"/>
          <w:szCs w:val="21"/>
          <w:highlight w:val="cyan"/>
        </w:rPr>
        <w:t>解密时间结束，</w:t>
      </w:r>
      <w:r>
        <w:rPr>
          <w:rFonts w:hint="eastAsia" w:ascii="宋体" w:hAnsi="宋体"/>
          <w:szCs w:val="21"/>
          <w:highlight w:val="cyan"/>
          <w:lang w:val="en-US" w:eastAsia="zh-CN"/>
        </w:rPr>
        <w:t>未对投标文件加密的供应商（未加密的投标文件无需解密）及对投标文件加密并在</w:t>
      </w:r>
      <w:r>
        <w:rPr>
          <w:rFonts w:hint="eastAsia" w:ascii="宋体" w:hAnsi="宋体"/>
          <w:szCs w:val="21"/>
          <w:highlight w:val="cyan"/>
        </w:rPr>
        <w:t>解密时间结束前</w:t>
      </w:r>
      <w:r>
        <w:rPr>
          <w:rFonts w:hint="eastAsia" w:ascii="宋体" w:hAnsi="宋体"/>
          <w:szCs w:val="21"/>
          <w:highlight w:val="cyan"/>
          <w:lang w:val="en-US" w:eastAsia="zh-CN"/>
        </w:rPr>
        <w:t>成功解密的</w:t>
      </w:r>
      <w:r>
        <w:rPr>
          <w:rFonts w:hint="eastAsia" w:ascii="宋体" w:hAnsi="宋体"/>
          <w:szCs w:val="21"/>
          <w:highlight w:val="cyan"/>
        </w:rPr>
        <w:t>投标供应商数量</w:t>
      </w:r>
      <w:r>
        <w:rPr>
          <w:rFonts w:hint="eastAsia" w:ascii="宋体" w:hAnsi="宋体"/>
          <w:szCs w:val="21"/>
          <w:highlight w:val="cyan"/>
          <w:lang w:val="en-US" w:eastAsia="zh-CN"/>
        </w:rPr>
        <w:t>满足开标条件</w:t>
      </w:r>
      <w:r>
        <w:rPr>
          <w:rFonts w:hint="eastAsia" w:ascii="宋体" w:hAnsi="宋体"/>
          <w:szCs w:val="21"/>
          <w:highlight w:val="cyan"/>
        </w:rPr>
        <w:t>后</w:t>
      </w:r>
      <w:r>
        <w:rPr>
          <w:rFonts w:hint="eastAsia" w:ascii="宋体" w:hAnsi="宋体"/>
          <w:szCs w:val="21"/>
          <w:highlight w:val="cyan"/>
          <w:lang w:eastAsia="zh-CN"/>
        </w:rPr>
        <w:t>】</w:t>
      </w:r>
      <w:r>
        <w:rPr>
          <w:rFonts w:hint="eastAsia" w:ascii="宋体" w:hAnsi="宋体"/>
          <w:szCs w:val="21"/>
        </w:rPr>
        <w:t>对投标文件进行开标，并在网上公布开标结果。</w:t>
      </w: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评审要求</w:t>
      </w:r>
    </w:p>
    <w:p>
      <w:pPr>
        <w:ind w:firstLine="420" w:firstLineChars="200"/>
        <w:rPr>
          <w:rFonts w:ascii="黑体" w:hAnsi="宋体" w:eastAsia="黑体"/>
          <w:szCs w:val="21"/>
        </w:rPr>
      </w:pPr>
      <w:r>
        <w:rPr>
          <w:rFonts w:hint="eastAsia" w:ascii="黑体" w:hAnsi="宋体" w:eastAsia="黑体"/>
          <w:szCs w:val="21"/>
        </w:rPr>
        <w:t>29．评审委员会组成</w:t>
      </w:r>
    </w:p>
    <w:p>
      <w:pPr>
        <w:ind w:firstLine="420" w:firstLineChars="200"/>
        <w:rPr>
          <w:rFonts w:ascii="宋体" w:hAnsi="宋体"/>
          <w:szCs w:val="21"/>
          <w:highlight w:val="none"/>
        </w:rPr>
      </w:pPr>
      <w:r>
        <w:rPr>
          <w:rFonts w:hint="eastAsia" w:ascii="宋体" w:hAnsi="宋体"/>
          <w:szCs w:val="21"/>
        </w:rPr>
        <w:t>29.1网上开标结束后召开评审会议，评审委</w:t>
      </w:r>
      <w:r>
        <w:rPr>
          <w:rFonts w:hint="eastAsia" w:ascii="宋体" w:hAnsi="宋体"/>
          <w:szCs w:val="21"/>
          <w:highlight w:val="none"/>
        </w:rPr>
        <w:t>员会由采购代理机构依法组建，负责评审活动。</w:t>
      </w:r>
    </w:p>
    <w:p>
      <w:pPr>
        <w:ind w:firstLine="420" w:firstLineChars="200"/>
        <w:rPr>
          <w:rFonts w:ascii="宋体" w:hAnsi="宋体"/>
          <w:color w:val="FF0000"/>
          <w:szCs w:val="21"/>
          <w:highlight w:val="none"/>
        </w:rPr>
      </w:pPr>
      <w:bookmarkStart w:id="74" w:name="_Hlk72436580"/>
      <w:r>
        <w:rPr>
          <w:rFonts w:hint="eastAsia" w:ascii="宋体" w:hAnsi="宋体"/>
          <w:szCs w:val="21"/>
          <w:highlight w:val="none"/>
        </w:rPr>
        <w:t>评审委员会由采购人代表和评审专家组成，成员人数应当为5人以上单数（部分条件下为7人以上单数），其中评审专家不得少于成员总数的三分之二。</w:t>
      </w:r>
      <w:bookmarkEnd w:id="74"/>
      <w:r>
        <w:rPr>
          <w:rFonts w:hint="eastAsia" w:ascii="宋体" w:hAnsi="宋体"/>
          <w:szCs w:val="21"/>
          <w:highlight w:val="none"/>
        </w:rPr>
        <w:t>评定</w:t>
      </w:r>
      <w:r>
        <w:rPr>
          <w:rFonts w:hint="eastAsia"/>
          <w:szCs w:val="21"/>
          <w:highlight w:val="none"/>
        </w:rPr>
        <w:t>分离项目评审专家均由评审专家组成。</w:t>
      </w:r>
      <w:r>
        <w:rPr>
          <w:rFonts w:hint="eastAsia" w:ascii="宋体" w:hAnsi="宋体"/>
          <w:szCs w:val="21"/>
          <w:highlight w:val="none"/>
        </w:rPr>
        <w:t>评审专家一般是从深圳市政府采购评审专家库中随机抽取。采购人代表须持本单位签发的《评审授权书》参加评审。</w:t>
      </w:r>
      <w:r>
        <w:rPr>
          <w:rFonts w:hint="eastAsia" w:ascii="宋体" w:hAnsi="宋体"/>
          <w:color w:val="FF0000"/>
          <w:szCs w:val="21"/>
          <w:highlight w:val="none"/>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ind w:firstLine="420" w:firstLineChars="200"/>
        <w:rPr>
          <w:rFonts w:ascii="宋体" w:hAnsi="宋体"/>
          <w:szCs w:val="21"/>
          <w:highlight w:val="none"/>
        </w:rPr>
      </w:pPr>
      <w:r>
        <w:rPr>
          <w:rFonts w:hint="eastAsia" w:ascii="宋体" w:hAnsi="宋体"/>
          <w:szCs w:val="21"/>
          <w:highlight w:val="none"/>
        </w:rPr>
        <w:t>29.2评审定标应当遵循公平、公正、科学、择优的原则。</w:t>
      </w:r>
    </w:p>
    <w:p>
      <w:pPr>
        <w:ind w:firstLine="420" w:firstLineChars="200"/>
        <w:rPr>
          <w:rFonts w:ascii="宋体" w:hAnsi="宋体"/>
          <w:szCs w:val="21"/>
          <w:highlight w:val="none"/>
        </w:rPr>
      </w:pPr>
      <w:r>
        <w:rPr>
          <w:rFonts w:hint="eastAsia" w:ascii="宋体" w:hAnsi="宋体"/>
          <w:szCs w:val="21"/>
          <w:highlight w:val="none"/>
        </w:rPr>
        <w:t>29.3评审活动依法进行，任何单位和个人不得非法干预评标过程和结果。</w:t>
      </w:r>
    </w:p>
    <w:p>
      <w:pPr>
        <w:ind w:firstLine="420" w:firstLineChars="200"/>
        <w:rPr>
          <w:rFonts w:ascii="宋体" w:hAnsi="宋体"/>
          <w:szCs w:val="21"/>
        </w:rPr>
      </w:pPr>
      <w:r>
        <w:rPr>
          <w:rFonts w:hint="eastAsia" w:ascii="宋体" w:hAnsi="宋体"/>
          <w:szCs w:val="21"/>
          <w:highlight w:val="none"/>
        </w:rPr>
        <w:t>29.4评审过程中不允许违背评标程序或采用招标文件未载明的</w:t>
      </w:r>
      <w:r>
        <w:rPr>
          <w:rFonts w:hint="eastAsia" w:ascii="宋体" w:hAnsi="宋体"/>
          <w:szCs w:val="21"/>
        </w:rPr>
        <w:t>评标方法或评标因素进行评标。</w:t>
      </w:r>
    </w:p>
    <w:p>
      <w:pPr>
        <w:ind w:firstLine="420" w:firstLineChars="200"/>
        <w:rPr>
          <w:rFonts w:ascii="宋体" w:hAnsi="宋体"/>
          <w:bCs/>
          <w:szCs w:val="21"/>
        </w:rPr>
      </w:pPr>
      <w:r>
        <w:rPr>
          <w:rFonts w:hint="eastAsia" w:ascii="宋体" w:hAnsi="宋体"/>
          <w:bCs/>
          <w:szCs w:val="21"/>
        </w:rPr>
        <w:t>29.5 开标后，直到签订合同为止，凡属于对投标文件的审查、澄清、评价和比较的有关资料以及中标候选人的推荐情况、与评审有关的其他任何情况均严格保密（</w:t>
      </w:r>
      <w:r>
        <w:rPr>
          <w:rFonts w:hint="eastAsia"/>
          <w:szCs w:val="21"/>
        </w:rPr>
        <w:t>信息公开的内容除外</w:t>
      </w:r>
      <w:r>
        <w:rPr>
          <w:rFonts w:hint="eastAsia" w:ascii="宋体" w:hAnsi="宋体"/>
          <w:bCs/>
          <w:szCs w:val="21"/>
        </w:rPr>
        <w:t>）。</w:t>
      </w:r>
    </w:p>
    <w:p>
      <w:pPr>
        <w:ind w:firstLine="420" w:firstLineChars="200"/>
        <w:rPr>
          <w:rFonts w:ascii="黑体" w:hAnsi="宋体" w:eastAsia="黑体"/>
          <w:szCs w:val="21"/>
        </w:rPr>
      </w:pPr>
      <w:r>
        <w:rPr>
          <w:rFonts w:hint="eastAsia" w:ascii="黑体" w:hAnsi="宋体" w:eastAsia="黑体"/>
          <w:szCs w:val="21"/>
        </w:rPr>
        <w:t>30．向评审委员会提供的资料</w:t>
      </w:r>
    </w:p>
    <w:p>
      <w:pPr>
        <w:ind w:firstLine="420" w:firstLineChars="200"/>
        <w:rPr>
          <w:rFonts w:ascii="宋体" w:hAnsi="宋体"/>
          <w:szCs w:val="21"/>
        </w:rPr>
      </w:pPr>
      <w:r>
        <w:rPr>
          <w:rFonts w:hint="eastAsia" w:ascii="宋体" w:hAnsi="宋体"/>
          <w:szCs w:val="21"/>
        </w:rPr>
        <w:t>30.1公开发布的招标文件，包括图纸、服务清单、答疑文件等；</w:t>
      </w:r>
    </w:p>
    <w:p>
      <w:pPr>
        <w:ind w:firstLine="420" w:firstLineChars="200"/>
        <w:rPr>
          <w:rFonts w:ascii="宋体" w:hAnsi="宋体"/>
          <w:szCs w:val="21"/>
        </w:rPr>
      </w:pPr>
      <w:r>
        <w:rPr>
          <w:rFonts w:hint="eastAsia" w:ascii="宋体" w:hAnsi="宋体"/>
          <w:szCs w:val="21"/>
        </w:rPr>
        <w:t>30.2其他评标必须的资料。</w:t>
      </w:r>
    </w:p>
    <w:p>
      <w:pPr>
        <w:ind w:firstLine="420" w:firstLineChars="200"/>
        <w:rPr>
          <w:rFonts w:ascii="宋体" w:hAnsi="宋体"/>
          <w:szCs w:val="21"/>
        </w:rPr>
      </w:pPr>
      <w:r>
        <w:rPr>
          <w:rFonts w:hint="eastAsia" w:ascii="宋体" w:hAnsi="宋体"/>
          <w:szCs w:val="21"/>
        </w:rPr>
        <w:t>30.3评审委员会应当认真研究招标文件，至少应了解熟悉以下内容：</w:t>
      </w:r>
    </w:p>
    <w:p>
      <w:pPr>
        <w:ind w:firstLine="420" w:firstLineChars="200"/>
        <w:rPr>
          <w:rFonts w:ascii="宋体" w:hAnsi="宋体"/>
          <w:szCs w:val="21"/>
        </w:rPr>
      </w:pPr>
      <w:r>
        <w:rPr>
          <w:rFonts w:hint="eastAsia" w:ascii="宋体" w:hAnsi="宋体"/>
          <w:szCs w:val="21"/>
        </w:rPr>
        <w:t>（1）招标的目的；</w:t>
      </w:r>
    </w:p>
    <w:p>
      <w:pPr>
        <w:ind w:firstLine="420" w:firstLineChars="200"/>
        <w:rPr>
          <w:rFonts w:ascii="宋体" w:hAnsi="宋体"/>
          <w:szCs w:val="21"/>
        </w:rPr>
      </w:pPr>
      <w:r>
        <w:rPr>
          <w:rFonts w:hint="eastAsia" w:ascii="宋体" w:hAnsi="宋体"/>
          <w:szCs w:val="21"/>
        </w:rPr>
        <w:t>（2）招标项目需求的范围和性质；</w:t>
      </w:r>
    </w:p>
    <w:p>
      <w:pPr>
        <w:ind w:firstLine="420" w:firstLineChars="200"/>
        <w:rPr>
          <w:rFonts w:ascii="宋体" w:hAnsi="宋体"/>
          <w:szCs w:val="21"/>
        </w:rPr>
      </w:pPr>
      <w:r>
        <w:rPr>
          <w:rFonts w:hint="eastAsia" w:ascii="宋体" w:hAnsi="宋体"/>
          <w:szCs w:val="21"/>
        </w:rPr>
        <w:t>（3）招标文件规定的投标人的资格、财政预算限额、商务条款；</w:t>
      </w:r>
    </w:p>
    <w:p>
      <w:pPr>
        <w:ind w:firstLine="420" w:firstLineChars="200"/>
        <w:rPr>
          <w:rFonts w:ascii="宋体" w:hAnsi="宋体"/>
          <w:szCs w:val="21"/>
        </w:rPr>
      </w:pPr>
      <w:r>
        <w:rPr>
          <w:rFonts w:hint="eastAsia" w:ascii="宋体" w:hAnsi="宋体"/>
          <w:szCs w:val="21"/>
        </w:rPr>
        <w:t>（4）招标文件规定的评标程序、评标方法和评标因素；</w:t>
      </w:r>
    </w:p>
    <w:p>
      <w:pPr>
        <w:ind w:firstLine="420" w:firstLineChars="200"/>
        <w:rPr>
          <w:rFonts w:ascii="宋体" w:hAnsi="宋体"/>
          <w:szCs w:val="21"/>
        </w:rPr>
      </w:pPr>
      <w:r>
        <w:rPr>
          <w:rFonts w:hint="eastAsia" w:ascii="宋体" w:hAnsi="宋体"/>
          <w:szCs w:val="21"/>
        </w:rPr>
        <w:t>（5）招标文件所列示的资格性审查表及符合性审查表。</w:t>
      </w:r>
    </w:p>
    <w:p>
      <w:pPr>
        <w:ind w:firstLine="420" w:firstLineChars="200"/>
        <w:rPr>
          <w:rFonts w:ascii="黑体" w:hAnsi="宋体" w:eastAsia="黑体"/>
          <w:szCs w:val="21"/>
        </w:rPr>
      </w:pPr>
      <w:r>
        <w:rPr>
          <w:rFonts w:hint="eastAsia" w:ascii="黑体" w:hAnsi="宋体" w:eastAsia="黑体"/>
          <w:szCs w:val="21"/>
        </w:rPr>
        <w:t>31．独立评审</w:t>
      </w:r>
    </w:p>
    <w:p>
      <w:pPr>
        <w:ind w:firstLine="420" w:firstLineChars="200"/>
        <w:rPr>
          <w:rFonts w:ascii="宋体" w:hAnsi="宋体"/>
          <w:bCs/>
          <w:szCs w:val="21"/>
        </w:rPr>
      </w:pPr>
      <w:r>
        <w:rPr>
          <w:rFonts w:hint="eastAsia" w:ascii="宋体" w:hAnsi="宋体"/>
          <w:bCs/>
          <w:szCs w:val="21"/>
        </w:rPr>
        <w:t>31.1</w:t>
      </w:r>
      <w:r>
        <w:rPr>
          <w:rFonts w:hint="eastAsia" w:ascii="宋体" w:hAnsi="宋体"/>
          <w:szCs w:val="21"/>
        </w:rPr>
        <w:t>评审委员会</w:t>
      </w:r>
      <w:r>
        <w:rPr>
          <w:rFonts w:hint="eastAsia" w:ascii="宋体" w:hAnsi="宋体"/>
          <w:bCs/>
          <w:szCs w:val="21"/>
        </w:rPr>
        <w:t>成员的评标活动应当独立进行，并应遵循投标文件初审、澄清有关问题、比较与评价、确定中标供应商、编写评审报告的工作程序。</w:t>
      </w:r>
    </w:p>
    <w:p>
      <w:pPr>
        <w:ind w:firstLine="411" w:firstLineChars="196"/>
        <w:rPr>
          <w:rFonts w:ascii="宋体" w:hAnsi="宋体"/>
          <w:bCs/>
          <w:szCs w:val="21"/>
        </w:rPr>
      </w:pP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评审程序及评审方法</w:t>
      </w:r>
    </w:p>
    <w:p>
      <w:pPr>
        <w:ind w:firstLine="420" w:firstLineChars="200"/>
        <w:rPr>
          <w:rFonts w:ascii="黑体" w:hAnsi="宋体" w:eastAsia="黑体"/>
          <w:szCs w:val="21"/>
        </w:rPr>
      </w:pPr>
      <w:r>
        <w:rPr>
          <w:rFonts w:hint="eastAsia" w:ascii="黑体" w:hAnsi="宋体" w:eastAsia="黑体"/>
          <w:szCs w:val="21"/>
        </w:rPr>
        <w:t>32．投标文件初审</w:t>
      </w:r>
    </w:p>
    <w:p>
      <w:pPr>
        <w:ind w:firstLine="420" w:firstLineChars="200"/>
        <w:rPr>
          <w:rFonts w:ascii="宋体" w:hAnsi="宋体"/>
          <w:szCs w:val="21"/>
        </w:rPr>
      </w:pPr>
      <w:r>
        <w:rPr>
          <w:rFonts w:hint="eastAsia" w:ascii="宋体" w:hAnsi="宋体"/>
          <w:szCs w:val="21"/>
        </w:rPr>
        <w:t>32.1投标文件初审包括资格性审查和符合性审查。</w:t>
      </w:r>
    </w:p>
    <w:p>
      <w:pPr>
        <w:ind w:firstLine="420" w:firstLineChars="200"/>
        <w:rPr>
          <w:rFonts w:ascii="宋体" w:hAnsi="宋体"/>
          <w:szCs w:val="21"/>
        </w:rPr>
      </w:pPr>
      <w:r>
        <w:rPr>
          <w:rFonts w:hint="eastAsia" w:ascii="宋体" w:hAnsi="宋体"/>
          <w:szCs w:val="21"/>
        </w:rPr>
        <w:t>资格性审查：依据法律法规和招标文件的规定，对投标文件中的资格证明等进行审查，以确定投标供应商是否具备投标资格。</w:t>
      </w:r>
    </w:p>
    <w:p>
      <w:pPr>
        <w:ind w:firstLine="420" w:firstLineChars="200"/>
        <w:rPr>
          <w:rFonts w:ascii="宋体" w:hAnsi="宋体"/>
          <w:szCs w:val="21"/>
        </w:rPr>
      </w:pPr>
      <w:r>
        <w:rPr>
          <w:rFonts w:hint="eastAsia" w:ascii="宋体" w:hAnsi="宋体"/>
          <w:szCs w:val="21"/>
        </w:rPr>
        <w:t>符合性审查：依据招标文件的规定，对投标文件的有效性、完整性和对招标文件的响应程度进行审查，以确定是否满足符合性审查的要求。</w:t>
      </w:r>
    </w:p>
    <w:p>
      <w:pPr>
        <w:ind w:firstLine="420" w:firstLineChars="200"/>
        <w:rPr>
          <w:rFonts w:ascii="宋体" w:hAnsi="宋体"/>
          <w:szCs w:val="21"/>
        </w:rPr>
      </w:pPr>
      <w:r>
        <w:rPr>
          <w:rFonts w:hint="eastAsia" w:ascii="宋体" w:hAnsi="宋体"/>
          <w:szCs w:val="21"/>
        </w:rPr>
        <w:t>32.2 投标文件初审内容请详见《资格性审查表》和《符合性审查表》部分。投标人若有一条审查不通过则按投标无效处理。</w:t>
      </w:r>
    </w:p>
    <w:p>
      <w:pPr>
        <w:ind w:firstLine="420" w:firstLineChars="200"/>
        <w:rPr>
          <w:rFonts w:ascii="宋体" w:hAnsi="宋体"/>
          <w:bCs/>
          <w:szCs w:val="21"/>
        </w:rPr>
      </w:pPr>
      <w:r>
        <w:rPr>
          <w:rFonts w:hint="eastAsia" w:ascii="宋体" w:hAnsi="宋体"/>
          <w:bCs/>
          <w:szCs w:val="21"/>
        </w:rPr>
        <w:t>32.3 投标文件初审中关于供应商家数的计算:</w:t>
      </w:r>
    </w:p>
    <w:p>
      <w:pPr>
        <w:ind w:firstLine="420" w:firstLineChars="200"/>
        <w:rPr>
          <w:rFonts w:ascii="宋体" w:hAnsi="宋体"/>
          <w:bCs/>
          <w:szCs w:val="21"/>
        </w:rPr>
      </w:pPr>
      <w:r>
        <w:rPr>
          <w:rFonts w:hint="eastAsia" w:ascii="宋体" w:hAnsi="宋体"/>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20" w:firstLineChars="200"/>
        <w:rPr>
          <w:rFonts w:ascii="宋体" w:hAnsi="宋体"/>
          <w:bCs/>
          <w:szCs w:val="21"/>
        </w:rPr>
      </w:pPr>
      <w:r>
        <w:rPr>
          <w:rFonts w:hint="eastAsia" w:ascii="宋体" w:hAnsi="宋体"/>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ind w:firstLine="420" w:firstLineChars="200"/>
        <w:rPr>
          <w:rFonts w:ascii="宋体" w:hAnsi="宋体"/>
          <w:bCs/>
          <w:szCs w:val="21"/>
        </w:rPr>
      </w:pPr>
      <w:r>
        <w:rPr>
          <w:rFonts w:hint="eastAsia" w:ascii="宋体" w:hAnsi="宋体"/>
          <w:bCs/>
          <w:szCs w:val="21"/>
        </w:rPr>
        <w:t>32.3.3非单一产品采购项目，采购人应当根据采购项目技术构成、产品价格比重等合理确定核心产品，并在招标文件中载明。多家投标人提供的核心产品品牌相同的，按前两款规定处理。</w:t>
      </w:r>
    </w:p>
    <w:p>
      <w:pPr>
        <w:ind w:firstLine="420" w:firstLineChars="200"/>
        <w:rPr>
          <w:rFonts w:ascii="宋体" w:hAnsi="宋体"/>
          <w:szCs w:val="21"/>
        </w:rPr>
      </w:pPr>
      <w:r>
        <w:rPr>
          <w:rFonts w:hint="eastAsia" w:ascii="宋体" w:hAnsi="宋体"/>
          <w:szCs w:val="21"/>
        </w:rPr>
        <w:t>32.4投标人投标文件作无效处理的情形，具体包括但不限于以下：</w:t>
      </w:r>
    </w:p>
    <w:p>
      <w:pPr>
        <w:ind w:firstLine="420" w:firstLineChars="200"/>
        <w:rPr>
          <w:szCs w:val="21"/>
        </w:rPr>
      </w:pPr>
      <w:r>
        <w:rPr>
          <w:rFonts w:hint="eastAsia" w:ascii="宋体" w:hAnsi="宋体"/>
          <w:szCs w:val="21"/>
        </w:rPr>
        <w:t>32.4.1</w:t>
      </w:r>
      <w:r>
        <w:rPr>
          <w:rFonts w:hint="eastAsia"/>
          <w:szCs w:val="21"/>
        </w:rPr>
        <w:t>不同投标人的投标文件由同一单位或者同一个人编制，或者由同一个人分阶段参与编制；</w:t>
      </w:r>
    </w:p>
    <w:p>
      <w:pPr>
        <w:ind w:firstLine="420" w:firstLineChars="200"/>
        <w:rPr>
          <w:szCs w:val="21"/>
        </w:rPr>
      </w:pPr>
      <w:r>
        <w:rPr>
          <w:rFonts w:hint="eastAsia" w:ascii="宋体" w:hAnsi="宋体"/>
          <w:szCs w:val="21"/>
        </w:rPr>
        <w:t>32.4.2</w:t>
      </w:r>
      <w:r>
        <w:rPr>
          <w:rFonts w:hint="eastAsia"/>
          <w:szCs w:val="21"/>
        </w:rPr>
        <w:t>不同投标人委托同一单位或者个人办理投标事宜；</w:t>
      </w:r>
    </w:p>
    <w:p>
      <w:pPr>
        <w:ind w:firstLine="420" w:firstLineChars="200"/>
        <w:rPr>
          <w:rFonts w:ascii="宋体" w:hAnsi="宋体"/>
          <w:szCs w:val="21"/>
        </w:rPr>
      </w:pPr>
      <w:r>
        <w:rPr>
          <w:rFonts w:hint="eastAsia" w:ascii="宋体" w:hAnsi="宋体"/>
          <w:szCs w:val="21"/>
        </w:rPr>
        <w:t>32.4.3不同投标人的投标文件载明的项目管理成员或者联系人员为同一人；</w:t>
      </w:r>
    </w:p>
    <w:p>
      <w:pPr>
        <w:ind w:firstLine="420" w:firstLineChars="200"/>
        <w:rPr>
          <w:rFonts w:ascii="宋体" w:hAnsi="宋体"/>
          <w:szCs w:val="21"/>
        </w:rPr>
      </w:pPr>
      <w:r>
        <w:rPr>
          <w:rFonts w:hint="eastAsia" w:ascii="宋体" w:hAnsi="宋体"/>
          <w:szCs w:val="21"/>
        </w:rPr>
        <w:t>32.4.4不同投标人的投标文件异常一致或者投标报价呈规律性差异；</w:t>
      </w:r>
    </w:p>
    <w:p>
      <w:pPr>
        <w:ind w:firstLine="420" w:firstLineChars="200"/>
        <w:rPr>
          <w:rFonts w:ascii="宋体" w:hAnsi="宋体"/>
          <w:szCs w:val="21"/>
        </w:rPr>
      </w:pPr>
      <w:r>
        <w:rPr>
          <w:rFonts w:hint="eastAsia" w:ascii="宋体" w:hAnsi="宋体"/>
          <w:szCs w:val="21"/>
        </w:rPr>
        <w:t>32.4.5不同投标供应商的投标文件或部分投标文件相互混装；</w:t>
      </w:r>
    </w:p>
    <w:p>
      <w:pPr>
        <w:ind w:firstLine="420" w:firstLineChars="200"/>
        <w:rPr>
          <w:rFonts w:ascii="宋体" w:hAnsi="宋体"/>
          <w:szCs w:val="21"/>
        </w:rPr>
      </w:pPr>
      <w:r>
        <w:rPr>
          <w:rFonts w:hint="eastAsia" w:ascii="宋体" w:hAnsi="宋体"/>
          <w:szCs w:val="21"/>
        </w:rPr>
        <w:t>32.4.6投标供应商之间相互约定给予未中标的供应商利益补偿；</w:t>
      </w:r>
    </w:p>
    <w:p>
      <w:pPr>
        <w:ind w:firstLine="420" w:firstLineChars="200"/>
        <w:rPr>
          <w:rFonts w:ascii="宋体" w:hAnsi="宋体"/>
          <w:szCs w:val="21"/>
        </w:rPr>
      </w:pPr>
      <w:r>
        <w:rPr>
          <w:rFonts w:hint="eastAsia" w:ascii="宋体" w:hAnsi="宋体"/>
          <w:szCs w:val="21"/>
        </w:rPr>
        <w:t>32.4.7不同投标供应商的法定代表人、主要经营负责人、项目投标授权代表人、项目负责人、主要技术人员为同一人、属同一单位或者同一单位缴纳社会保险；</w:t>
      </w:r>
    </w:p>
    <w:p>
      <w:pPr>
        <w:ind w:firstLine="420" w:firstLineChars="200"/>
        <w:rPr>
          <w:rFonts w:ascii="宋体" w:hAnsi="宋体"/>
          <w:szCs w:val="21"/>
        </w:rPr>
      </w:pPr>
      <w:r>
        <w:rPr>
          <w:rFonts w:hint="eastAsia" w:ascii="宋体" w:hAnsi="宋体"/>
          <w:szCs w:val="21"/>
        </w:rPr>
        <w:t>32.4.8不同投标供应商的投标文件内容存在非正常一致；</w:t>
      </w:r>
    </w:p>
    <w:p>
      <w:pPr>
        <w:ind w:firstLine="420" w:firstLineChars="200"/>
        <w:rPr>
          <w:rFonts w:ascii="宋体" w:hAnsi="宋体"/>
          <w:szCs w:val="21"/>
        </w:rPr>
      </w:pPr>
      <w:r>
        <w:rPr>
          <w:rFonts w:hint="eastAsia" w:ascii="宋体" w:hAnsi="宋体"/>
          <w:szCs w:val="21"/>
        </w:rPr>
        <w:t>32.4.9在同一单位工作人员为两家以上（含两家）供应商进行同一项投标活动；</w:t>
      </w:r>
    </w:p>
    <w:p>
      <w:pPr>
        <w:ind w:firstLine="420" w:firstLineChars="200"/>
        <w:rPr>
          <w:rFonts w:ascii="宋体" w:hAnsi="宋体"/>
          <w:szCs w:val="21"/>
        </w:rPr>
      </w:pPr>
      <w:r>
        <w:rPr>
          <w:rFonts w:hint="eastAsia" w:ascii="宋体" w:hAnsi="宋体"/>
          <w:szCs w:val="21"/>
        </w:rPr>
        <w:t>32.4.10主管部门依照法律、法规认定的其他情形。</w:t>
      </w:r>
    </w:p>
    <w:p>
      <w:pPr>
        <w:ind w:firstLine="420" w:firstLineChars="200"/>
        <w:rPr>
          <w:rFonts w:ascii="宋体" w:hAnsi="宋体"/>
          <w:szCs w:val="21"/>
        </w:rPr>
      </w:pPr>
      <w:r>
        <w:rPr>
          <w:rFonts w:hint="eastAsia" w:ascii="宋体" w:hAnsi="宋体"/>
          <w:szCs w:val="21"/>
        </w:rPr>
        <w:t>32.5对不属于《资格性审查表》和《符合性审查表》所列的其他情形，除专用条款另有规定和32.4条款所列情形外，不得作为投标无效的理由。</w:t>
      </w:r>
    </w:p>
    <w:p>
      <w:pPr>
        <w:ind w:firstLine="420" w:firstLineChars="200"/>
        <w:rPr>
          <w:rFonts w:ascii="黑体" w:hAnsi="宋体" w:eastAsia="黑体"/>
          <w:szCs w:val="21"/>
        </w:rPr>
      </w:pPr>
      <w:r>
        <w:rPr>
          <w:rFonts w:hint="eastAsia" w:ascii="黑体" w:hAnsi="宋体" w:eastAsia="黑体"/>
          <w:szCs w:val="21"/>
        </w:rPr>
        <w:t>33．澄清有关问题</w:t>
      </w:r>
    </w:p>
    <w:p>
      <w:pPr>
        <w:ind w:firstLine="420" w:firstLineChars="200"/>
        <w:rPr>
          <w:rFonts w:ascii="宋体" w:hAnsi="宋体"/>
          <w:szCs w:val="21"/>
        </w:rPr>
      </w:pPr>
      <w:bookmarkStart w:id="75" w:name="_Hlk71407321"/>
      <w:r>
        <w:rPr>
          <w:rFonts w:hint="eastAsia" w:ascii="宋体" w:hAnsi="宋体"/>
          <w:szCs w:val="21"/>
        </w:rPr>
        <w:t>33.1对招标文件中描述有歧义或前后不一致的地方（不含</w:t>
      </w:r>
      <w:r>
        <w:rPr>
          <w:rFonts w:hint="eastAsia"/>
          <w:szCs w:val="21"/>
        </w:rPr>
        <w:t>招标文件存在歧义、重大缺陷导致评审工作无法进行的情况）</w:t>
      </w:r>
      <w:r>
        <w:rPr>
          <w:rFonts w:hint="eastAsia" w:ascii="宋体" w:hAnsi="宋体"/>
          <w:szCs w:val="21"/>
        </w:rPr>
        <w:t>，评审委员会有权进行评判，但对同一条款的评判应适用于每个投标人。</w:t>
      </w:r>
      <w:bookmarkEnd w:id="75"/>
    </w:p>
    <w:p>
      <w:pPr>
        <w:ind w:firstLine="420" w:firstLineChars="200"/>
        <w:rPr>
          <w:rFonts w:ascii="宋体" w:hAnsi="宋体"/>
          <w:szCs w:val="21"/>
        </w:rPr>
      </w:pPr>
      <w:r>
        <w:rPr>
          <w:rFonts w:hint="eastAsia" w:ascii="宋体" w:hAnsi="宋体"/>
          <w:szCs w:val="21"/>
        </w:rPr>
        <w:t>33.2</w:t>
      </w:r>
      <w:r>
        <w:rPr>
          <w:rFonts w:hint="eastAsia"/>
          <w:szCs w:val="21"/>
        </w:rPr>
        <w:t>评审委员会发现招标文件存在歧义、重大缺陷导致评审工作</w:t>
      </w:r>
      <w:r>
        <w:rPr>
          <w:rFonts w:hint="eastAsia"/>
          <w:szCs w:val="21"/>
          <w:highlight w:val="none"/>
        </w:rPr>
        <w:t>无法进行，或者招标文件内容违反国家有关强制性规定的，应当停止评审工作，与</w:t>
      </w:r>
      <w:r>
        <w:rPr>
          <w:rFonts w:hint="eastAsia" w:ascii="宋体" w:hAnsi="宋体"/>
          <w:szCs w:val="21"/>
          <w:highlight w:val="none"/>
        </w:rPr>
        <w:t>采购代理机构</w:t>
      </w:r>
      <w:r>
        <w:rPr>
          <w:rFonts w:hint="eastAsia"/>
          <w:szCs w:val="21"/>
          <w:highlight w:val="none"/>
        </w:rPr>
        <w:t>沟通并作书面记录。经确认后，项目应当修改招标文件，重新组织采购</w:t>
      </w:r>
      <w:r>
        <w:rPr>
          <w:rFonts w:hint="eastAsia"/>
          <w:szCs w:val="21"/>
        </w:rPr>
        <w:t>活动。</w:t>
      </w:r>
    </w:p>
    <w:p>
      <w:pPr>
        <w:ind w:firstLine="420" w:firstLineChars="200"/>
        <w:rPr>
          <w:rFonts w:ascii="宋体" w:hAnsi="宋体"/>
          <w:szCs w:val="21"/>
        </w:rPr>
      </w:pPr>
      <w:r>
        <w:rPr>
          <w:rFonts w:hint="eastAsia" w:ascii="宋体" w:hAnsi="宋体"/>
          <w:szCs w:val="21"/>
        </w:rPr>
        <w:t>33.3对于投标文件中含义不明确、同类问题表述不一致或者有明显文字和计算错误的内容，评审委员会应当以书面形式要求投标人作出必要的澄清、说明或者补正。</w:t>
      </w:r>
    </w:p>
    <w:p>
      <w:pPr>
        <w:ind w:firstLine="420" w:firstLineChars="200"/>
        <w:rPr>
          <w:rFonts w:ascii="宋体" w:hAnsi="宋体"/>
          <w:szCs w:val="21"/>
        </w:rPr>
      </w:pPr>
      <w:r>
        <w:rPr>
          <w:rFonts w:hint="eastAsia" w:ascii="宋体" w:hAnsi="宋体"/>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20" w:firstLineChars="200"/>
        <w:rPr>
          <w:rFonts w:ascii="宋体" w:hAnsi="宋体"/>
          <w:szCs w:val="21"/>
        </w:rPr>
      </w:pPr>
      <w:r>
        <w:rPr>
          <w:rFonts w:hint="eastAsia" w:ascii="宋体" w:hAnsi="宋体"/>
          <w:szCs w:val="21"/>
        </w:rPr>
        <w:t>根据本通用条款第34条，凡属于评审委员会在评审中发现的算术错误进行核实的修改不在此列。</w:t>
      </w:r>
    </w:p>
    <w:p>
      <w:pPr>
        <w:ind w:firstLine="420" w:firstLineChars="200"/>
        <w:rPr>
          <w:rFonts w:ascii="黑体" w:hAnsi="宋体" w:eastAsia="黑体"/>
          <w:szCs w:val="21"/>
        </w:rPr>
      </w:pPr>
      <w:bookmarkStart w:id="76" w:name="_Toc73518151"/>
      <w:bookmarkStart w:id="77" w:name="_Toc73521669"/>
      <w:bookmarkStart w:id="78" w:name="_Toc100052400"/>
      <w:bookmarkStart w:id="79" w:name="_Toc73517673"/>
      <w:bookmarkStart w:id="80" w:name="_Toc73521581"/>
      <w:r>
        <w:rPr>
          <w:rFonts w:hint="eastAsia" w:ascii="黑体" w:hAnsi="宋体" w:eastAsia="黑体"/>
          <w:szCs w:val="21"/>
        </w:rPr>
        <w:t>34．错误的修正</w:t>
      </w:r>
      <w:bookmarkEnd w:id="76"/>
      <w:bookmarkEnd w:id="77"/>
      <w:bookmarkEnd w:id="78"/>
      <w:bookmarkEnd w:id="79"/>
      <w:bookmarkEnd w:id="80"/>
    </w:p>
    <w:p>
      <w:pPr>
        <w:ind w:firstLine="420" w:firstLineChars="200"/>
        <w:rPr>
          <w:rFonts w:ascii="宋体" w:hAnsi="宋体"/>
          <w:szCs w:val="21"/>
        </w:rPr>
      </w:pPr>
      <w:r>
        <w:rPr>
          <w:rFonts w:hint="eastAsia" w:ascii="宋体" w:hAnsi="宋体"/>
          <w:szCs w:val="21"/>
        </w:rPr>
        <w:t>投标文件报价出现前后不一致的，除专用条款另有规定外，按照下列规定修正：</w:t>
      </w:r>
    </w:p>
    <w:p>
      <w:pPr>
        <w:ind w:firstLine="420" w:firstLineChars="200"/>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pPr>
        <w:ind w:firstLine="420" w:firstLineChars="200"/>
        <w:rPr>
          <w:rFonts w:ascii="宋体" w:hAnsi="宋体"/>
          <w:szCs w:val="21"/>
        </w:rPr>
      </w:pPr>
      <w:r>
        <w:rPr>
          <w:rFonts w:hint="eastAsia" w:ascii="宋体" w:hAnsi="宋体"/>
          <w:szCs w:val="21"/>
        </w:rPr>
        <w:t>34.2大写金额和小写金额不一致的，以大写金额为准；</w:t>
      </w:r>
    </w:p>
    <w:p>
      <w:pPr>
        <w:ind w:firstLine="420" w:firstLineChars="200"/>
        <w:rPr>
          <w:rFonts w:ascii="宋体" w:hAnsi="宋体"/>
          <w:szCs w:val="21"/>
        </w:rPr>
      </w:pPr>
      <w:r>
        <w:rPr>
          <w:rFonts w:hint="eastAsia" w:ascii="宋体" w:hAnsi="宋体"/>
          <w:szCs w:val="21"/>
        </w:rPr>
        <w:t>34.3单价金额小数点或者百分比有明显错位，以开标一览表的总价为准，并修改单价；</w:t>
      </w:r>
    </w:p>
    <w:p>
      <w:pPr>
        <w:ind w:firstLine="420" w:firstLineChars="200"/>
        <w:rPr>
          <w:rFonts w:ascii="宋体" w:hAnsi="宋体"/>
          <w:szCs w:val="21"/>
        </w:rPr>
      </w:pPr>
      <w:r>
        <w:rPr>
          <w:rFonts w:hint="eastAsia" w:ascii="宋体" w:hAnsi="宋体"/>
          <w:szCs w:val="21"/>
        </w:rPr>
        <w:t>34.4总价金额与按单价汇总金额不一致的，以单价金额计算结果为准。</w:t>
      </w:r>
    </w:p>
    <w:p>
      <w:pPr>
        <w:ind w:firstLine="420" w:firstLineChars="200"/>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pPr>
        <w:ind w:firstLine="420" w:firstLineChars="200"/>
        <w:rPr>
          <w:rFonts w:ascii="黑体" w:hAnsi="宋体" w:eastAsia="黑体"/>
          <w:szCs w:val="21"/>
        </w:rPr>
      </w:pPr>
      <w:r>
        <w:rPr>
          <w:rFonts w:hint="eastAsia" w:ascii="黑体" w:hAnsi="宋体" w:eastAsia="黑体"/>
          <w:szCs w:val="21"/>
        </w:rPr>
        <w:t>35．投标文件的比较与评价</w:t>
      </w:r>
    </w:p>
    <w:p>
      <w:pPr>
        <w:ind w:firstLine="420" w:firstLineChars="200"/>
        <w:rPr>
          <w:rFonts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20" w:firstLineChars="200"/>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pPr>
        <w:ind w:firstLine="420" w:firstLineChars="200"/>
        <w:rPr>
          <w:rFonts w:ascii="黑体" w:hAnsi="宋体" w:eastAsia="黑体"/>
          <w:szCs w:val="21"/>
        </w:rPr>
      </w:pPr>
      <w:r>
        <w:rPr>
          <w:rFonts w:hint="eastAsia" w:ascii="黑体" w:hAnsi="宋体" w:eastAsia="黑体"/>
          <w:szCs w:val="21"/>
        </w:rPr>
        <w:t>36. 实地考察或资料查验</w:t>
      </w:r>
    </w:p>
    <w:p>
      <w:pPr>
        <w:ind w:firstLine="420" w:firstLineChars="200"/>
        <w:rPr>
          <w:rFonts w:ascii="宋体" w:hAnsi="宋体"/>
          <w:szCs w:val="21"/>
        </w:rPr>
      </w:pPr>
      <w:r>
        <w:rPr>
          <w:rFonts w:hint="eastAsia" w:ascii="宋体" w:hAnsi="宋体"/>
          <w:szCs w:val="21"/>
        </w:rPr>
        <w:t>36.1在评审过程中，评审委员会有权决定是否对本项目投标人进行实地考察或资料查验（原件）。投标人应随时做好接受实地考察或资料查验的准备。</w:t>
      </w:r>
    </w:p>
    <w:p>
      <w:pPr>
        <w:ind w:firstLine="420" w:firstLineChars="200"/>
        <w:rPr>
          <w:rFonts w:ascii="黑体" w:hAnsi="宋体" w:eastAsia="黑体"/>
          <w:szCs w:val="21"/>
        </w:rPr>
      </w:pPr>
      <w:r>
        <w:rPr>
          <w:rFonts w:hint="eastAsia" w:ascii="黑体" w:hAnsi="宋体" w:eastAsia="黑体"/>
          <w:szCs w:val="21"/>
        </w:rPr>
        <w:t>37．评审方法</w:t>
      </w:r>
    </w:p>
    <w:p>
      <w:pPr>
        <w:ind w:firstLine="422" w:firstLineChars="200"/>
        <w:rPr>
          <w:rFonts w:ascii="宋体" w:hAnsi="宋体"/>
          <w:b/>
          <w:bCs/>
          <w:szCs w:val="21"/>
        </w:rPr>
      </w:pPr>
      <w:r>
        <w:rPr>
          <w:rFonts w:hint="eastAsia" w:ascii="宋体" w:hAnsi="宋体"/>
          <w:b/>
          <w:bCs/>
          <w:szCs w:val="21"/>
        </w:rPr>
        <w:t>37.1.1最低价法</w:t>
      </w:r>
    </w:p>
    <w:p>
      <w:pPr>
        <w:ind w:firstLine="420" w:firstLineChars="200"/>
        <w:rPr>
          <w:rFonts w:ascii="ˎ̥" w:hAnsi="ˎ̥"/>
          <w:szCs w:val="21"/>
        </w:rPr>
      </w:pPr>
      <w:bookmarkStart w:id="81" w:name="_Hlk72438142"/>
      <w:r>
        <w:rPr>
          <w:rFonts w:hint="eastAsia" w:ascii="ˎ̥" w:hAnsi="ˎ̥"/>
          <w:szCs w:val="21"/>
        </w:rPr>
        <w:t>最低价法，是指完全满足招标文件实质性要求，按照报价由低到高的顺序，依据招标文件中规定的数量或者比例推荐候选中标供应商。</w:t>
      </w:r>
    </w:p>
    <w:p>
      <w:pPr>
        <w:ind w:firstLine="422" w:firstLineChars="200"/>
        <w:rPr>
          <w:rFonts w:ascii="宋体" w:hAnsi="宋体"/>
          <w:b/>
          <w:bCs/>
          <w:szCs w:val="21"/>
        </w:rPr>
      </w:pPr>
      <w:r>
        <w:rPr>
          <w:rFonts w:hint="eastAsia" w:ascii="宋体" w:hAnsi="宋体"/>
          <w:b/>
          <w:bCs/>
          <w:szCs w:val="21"/>
        </w:rPr>
        <w:t>37.1.2综合评分法</w:t>
      </w:r>
    </w:p>
    <w:p>
      <w:pPr>
        <w:ind w:firstLine="420" w:firstLineChars="200"/>
        <w:rPr>
          <w:rFonts w:ascii="ˎ̥" w:hAnsi="ˎ̥"/>
          <w:szCs w:val="21"/>
        </w:rPr>
      </w:pPr>
      <w:r>
        <w:rPr>
          <w:rFonts w:hint="eastAsia" w:ascii="ˎ̥" w:hAnsi="ˎ̥"/>
          <w:szCs w:val="21"/>
        </w:rPr>
        <w:t>综合评分法，是指在满足招标文件全部实质性要求的前提下，按照招标文件中规定的各项因素进行综合评审，评审总得分排名前列的投标人，作为推荐的候选中标供应商。</w:t>
      </w:r>
      <w:bookmarkEnd w:id="81"/>
      <w:r>
        <w:rPr>
          <w:rFonts w:hint="eastAsia" w:ascii="宋体" w:hAnsi="宋体"/>
          <w:bCs/>
          <w:color w:val="FF0000"/>
          <w:szCs w:val="21"/>
        </w:rPr>
        <w:t xml:space="preserve">  </w:t>
      </w:r>
      <w:r>
        <w:rPr>
          <w:rFonts w:hint="eastAsia" w:ascii="宋体" w:hAnsi="宋体"/>
          <w:bCs/>
          <w:szCs w:val="21"/>
        </w:rPr>
        <w:t xml:space="preserve">                                                                                                                                                                                                                                                                                                                                                                                                                                                                                                                                                                                                                                                                                                                                                                                                                                                                                                                                                                                                                                                                                                                                                                                                                                                                                                                                                                                                                                                                                                                                                                                                                                                                                                                                                                                                                                                                                                                                                                                                                                                                                                                                                                                                                                                                                                                                                                                                                                                                                                                                                                                                                                                                                                                                                                                                                                                                                                                                                                                                                           </w:t>
      </w:r>
    </w:p>
    <w:p>
      <w:pPr>
        <w:ind w:firstLine="422" w:firstLineChars="200"/>
        <w:rPr>
          <w:rFonts w:ascii="宋体" w:hAnsi="宋体"/>
          <w:b/>
          <w:bCs/>
          <w:szCs w:val="21"/>
        </w:rPr>
      </w:pPr>
      <w:r>
        <w:rPr>
          <w:rFonts w:hint="eastAsia" w:ascii="宋体" w:hAnsi="宋体"/>
          <w:b/>
          <w:bCs/>
          <w:szCs w:val="21"/>
        </w:rPr>
        <w:t>37.2 本项目采用的评审方法见本项目招标文件第一册“专用条款”的相关内容。</w:t>
      </w:r>
    </w:p>
    <w:p>
      <w:pPr>
        <w:ind w:firstLine="422" w:firstLineChars="200"/>
        <w:rPr>
          <w:rFonts w:ascii="宋体" w:hAnsi="宋体"/>
          <w:b/>
          <w:bCs/>
          <w:szCs w:val="21"/>
        </w:rPr>
      </w:pPr>
      <w:r>
        <w:rPr>
          <w:rFonts w:hint="eastAsia" w:ascii="宋体" w:hAnsi="宋体"/>
          <w:b/>
          <w:bCs/>
          <w:szCs w:val="21"/>
        </w:rPr>
        <w:t>37.3重新评审的情形</w:t>
      </w:r>
    </w:p>
    <w:p>
      <w:pPr>
        <w:ind w:firstLine="420" w:firstLineChars="200"/>
        <w:rPr>
          <w:rFonts w:ascii="宋体" w:hAnsi="宋体"/>
          <w:b/>
          <w:bCs/>
          <w:szCs w:val="21"/>
        </w:rPr>
      </w:pPr>
      <w:r>
        <w:rPr>
          <w:rFonts w:hint="eastAsia" w:ascii="宋体" w:hAnsi="宋体" w:cs="宋体"/>
          <w:kern w:val="0"/>
          <w:szCs w:val="21"/>
        </w:rPr>
        <w:t>评审结果汇总完成后，除下列情形外，任何人不得修改评审结果：</w:t>
      </w:r>
    </w:p>
    <w:p>
      <w:pPr>
        <w:ind w:firstLine="420" w:firstLineChars="200"/>
        <w:rPr>
          <w:rFonts w:ascii="宋体" w:hAnsi="宋体" w:cs="宋体"/>
          <w:kern w:val="0"/>
          <w:szCs w:val="21"/>
        </w:rPr>
      </w:pPr>
      <w:r>
        <w:rPr>
          <w:rFonts w:hint="eastAsia" w:ascii="宋体" w:hAnsi="宋体" w:cs="宋体"/>
          <w:kern w:val="0"/>
          <w:szCs w:val="21"/>
        </w:rPr>
        <w:t>37.3.1分值汇总计算错误的；</w:t>
      </w:r>
    </w:p>
    <w:p>
      <w:pPr>
        <w:ind w:firstLine="420" w:firstLineChars="200"/>
        <w:rPr>
          <w:rFonts w:ascii="宋体" w:hAnsi="宋体" w:cs="宋体"/>
          <w:kern w:val="0"/>
          <w:szCs w:val="21"/>
        </w:rPr>
      </w:pPr>
      <w:r>
        <w:rPr>
          <w:rFonts w:hint="eastAsia" w:ascii="宋体" w:hAnsi="宋体" w:cs="宋体"/>
          <w:kern w:val="0"/>
          <w:szCs w:val="21"/>
        </w:rPr>
        <w:t>37.3.2分项评分超出评分标准范围的；</w:t>
      </w:r>
    </w:p>
    <w:p>
      <w:pPr>
        <w:ind w:firstLine="420" w:firstLineChars="200"/>
        <w:rPr>
          <w:rFonts w:ascii="宋体" w:hAnsi="宋体" w:cs="宋体"/>
          <w:kern w:val="0"/>
          <w:szCs w:val="21"/>
        </w:rPr>
      </w:pPr>
      <w:r>
        <w:rPr>
          <w:rFonts w:hint="eastAsia" w:ascii="宋体" w:hAnsi="宋体" w:cs="宋体"/>
          <w:kern w:val="0"/>
          <w:szCs w:val="21"/>
        </w:rPr>
        <w:t>37.3.3评审委员会成员对客观评审因素评分不一致的；</w:t>
      </w:r>
    </w:p>
    <w:p>
      <w:pPr>
        <w:ind w:firstLine="420" w:firstLineChars="200"/>
        <w:rPr>
          <w:rFonts w:ascii="宋体" w:hAnsi="宋体" w:cs="宋体"/>
          <w:kern w:val="0"/>
          <w:szCs w:val="21"/>
        </w:rPr>
      </w:pPr>
      <w:r>
        <w:rPr>
          <w:rFonts w:hint="eastAsia" w:ascii="宋体" w:hAnsi="宋体" w:cs="宋体"/>
          <w:kern w:val="0"/>
          <w:szCs w:val="21"/>
        </w:rPr>
        <w:t>37.3.4经评审委员会认定评分畸高、畸低的。</w:t>
      </w:r>
    </w:p>
    <w:p>
      <w:pPr>
        <w:ind w:firstLine="420" w:firstLineChars="200"/>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20" w:firstLineChars="200"/>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pPr>
        <w:ind w:firstLine="422" w:firstLineChars="200"/>
        <w:rPr>
          <w:rFonts w:ascii="宋体" w:hAnsi="宋体"/>
          <w:b/>
          <w:bCs/>
          <w:szCs w:val="21"/>
        </w:rPr>
      </w:pPr>
      <w:r>
        <w:rPr>
          <w:rFonts w:hint="eastAsia" w:ascii="宋体" w:hAnsi="宋体"/>
          <w:b/>
          <w:bCs/>
          <w:szCs w:val="21"/>
        </w:rPr>
        <w:t xml:space="preserve"> 37.4重新组建评审委员会的情形</w:t>
      </w:r>
    </w:p>
    <w:p>
      <w:pPr>
        <w:ind w:firstLine="420" w:firstLineChars="200"/>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pPr>
        <w:ind w:firstLine="420" w:firstLineChars="200"/>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pPr>
        <w:ind w:firstLine="420" w:firstLineChars="200"/>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pPr>
        <w:ind w:firstLine="420" w:firstLineChars="200"/>
        <w:rPr>
          <w:rFonts w:ascii="宋体" w:hAnsi="宋体" w:cs="宋体"/>
          <w:kern w:val="0"/>
          <w:szCs w:val="21"/>
        </w:rPr>
      </w:pPr>
      <w:r>
        <w:rPr>
          <w:rFonts w:hint="eastAsia" w:ascii="宋体" w:hAnsi="宋体" w:cs="宋体"/>
          <w:kern w:val="0"/>
          <w:szCs w:val="21"/>
        </w:rPr>
        <w:t>37.4.3评审委员会及其成员独立评标受到非法干预的；</w:t>
      </w:r>
    </w:p>
    <w:p>
      <w:pPr>
        <w:ind w:firstLine="420" w:firstLineChars="200"/>
        <w:rPr>
          <w:rFonts w:ascii="宋体" w:hAnsi="宋体" w:cs="宋体"/>
          <w:kern w:val="0"/>
          <w:szCs w:val="21"/>
        </w:rPr>
      </w:pPr>
      <w:r>
        <w:rPr>
          <w:rFonts w:hint="eastAsia" w:ascii="宋体" w:hAnsi="宋体" w:cs="宋体"/>
          <w:kern w:val="0"/>
          <w:szCs w:val="21"/>
        </w:rPr>
        <w:t>37.4.4有政府采购法实施条例第七十五条规定的违法行为的。</w:t>
      </w:r>
    </w:p>
    <w:p>
      <w:pPr>
        <w:ind w:firstLine="420" w:firstLineChars="200"/>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pPr>
        <w:ind w:firstLine="411" w:firstLineChars="196"/>
        <w:rPr>
          <w:rFonts w:ascii="宋体" w:hAnsi="宋体"/>
          <w:szCs w:val="21"/>
        </w:rPr>
      </w:pP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定标及公示</w:t>
      </w:r>
    </w:p>
    <w:p>
      <w:pPr>
        <w:ind w:firstLine="420" w:firstLineChars="200"/>
        <w:rPr>
          <w:rFonts w:ascii="黑体" w:hAnsi="宋体" w:eastAsia="黑体"/>
          <w:szCs w:val="21"/>
        </w:rPr>
      </w:pPr>
      <w:r>
        <w:rPr>
          <w:rFonts w:hint="eastAsia" w:ascii="黑体" w:hAnsi="宋体" w:eastAsia="黑体"/>
          <w:szCs w:val="21"/>
        </w:rPr>
        <w:t>38．定标方法</w:t>
      </w:r>
    </w:p>
    <w:p>
      <w:pPr>
        <w:ind w:firstLine="420" w:firstLineChars="200"/>
        <w:rPr>
          <w:rFonts w:ascii="宋体" w:hAnsi="宋体"/>
          <w:szCs w:val="21"/>
        </w:rPr>
      </w:pPr>
      <w:bookmarkStart w:id="82" w:name="_Hlk73782795"/>
      <w:r>
        <w:rPr>
          <w:rFonts w:hint="eastAsia" w:ascii="宋体" w:hAnsi="宋体"/>
          <w:szCs w:val="21"/>
        </w:rPr>
        <w:t>38.1非评定分离项目定标方法</w:t>
      </w:r>
    </w:p>
    <w:p>
      <w:pPr>
        <w:ind w:firstLine="420" w:firstLineChars="200"/>
        <w:rPr>
          <w:rFonts w:ascii="宋体" w:hAnsi="宋体"/>
          <w:szCs w:val="21"/>
          <w:highlight w:val="none"/>
        </w:rPr>
      </w:pPr>
      <w:r>
        <w:rPr>
          <w:rFonts w:hint="eastAsia" w:ascii="宋体" w:hAnsi="宋体"/>
          <w:szCs w:val="21"/>
        </w:rPr>
        <w:t>38.1.1评审委员会依据本项目招标文件所约定的评审方法进行评审</w:t>
      </w:r>
      <w:r>
        <w:rPr>
          <w:rFonts w:hint="eastAsia" w:ascii="宋体" w:hAnsi="宋体"/>
          <w:szCs w:val="21"/>
          <w:highlight w:val="none"/>
        </w:rPr>
        <w:t>和比较，向</w:t>
      </w:r>
      <w:r>
        <w:rPr>
          <w:rFonts w:hint="eastAsia" w:ascii="宋体" w:hAnsi="宋体"/>
          <w:szCs w:val="21"/>
          <w:highlight w:val="none"/>
          <w:lang w:val="en-US" w:eastAsia="zh-CN"/>
        </w:rPr>
        <w:t>采购代理机构</w:t>
      </w:r>
      <w:r>
        <w:rPr>
          <w:rFonts w:hint="eastAsia" w:ascii="宋体" w:hAnsi="宋体"/>
          <w:szCs w:val="21"/>
          <w:highlight w:val="none"/>
        </w:rPr>
        <w:t>提交书面评审报告，并根据评审方法比较评价结果从优到劣进行排序，确定候选中标供应商。</w:t>
      </w:r>
    </w:p>
    <w:p>
      <w:pPr>
        <w:ind w:firstLine="420" w:firstLineChars="200"/>
        <w:rPr>
          <w:rFonts w:ascii="ˎ̥" w:hAnsi="ˎ̥"/>
          <w:szCs w:val="21"/>
        </w:rPr>
      </w:pPr>
      <w:r>
        <w:rPr>
          <w:rFonts w:hint="eastAsia" w:ascii="宋体" w:hAnsi="宋体"/>
          <w:szCs w:val="21"/>
        </w:rPr>
        <w:t>38.1.2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投标人为中标供应商</w:t>
      </w:r>
      <w:r>
        <w:rPr>
          <w:rFonts w:hint="eastAsia" w:ascii="ˎ̥" w:hAnsi="ˎ̥"/>
          <w:szCs w:val="21"/>
        </w:rPr>
        <w:t>。</w:t>
      </w:r>
    </w:p>
    <w:p>
      <w:pPr>
        <w:ind w:firstLine="420" w:firstLineChars="200"/>
        <w:rPr>
          <w:rFonts w:hint="eastAsia" w:ascii="ˎ̥" w:hAnsi="ˎ̥"/>
          <w:szCs w:val="21"/>
        </w:rPr>
      </w:pPr>
      <w:r>
        <w:rPr>
          <w:rFonts w:hint="eastAsia" w:ascii="宋体" w:hAnsi="宋体"/>
          <w:szCs w:val="21"/>
        </w:rPr>
        <w:t>38.1.3采</w:t>
      </w:r>
      <w:r>
        <w:rPr>
          <w:rFonts w:hint="eastAsia" w:ascii="ˎ̥" w:hAnsi="ˎ̥"/>
          <w:szCs w:val="21"/>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pPr>
        <w:ind w:firstLine="420" w:firstLineChars="200"/>
        <w:rPr>
          <w:rFonts w:ascii="宋体" w:hAnsi="宋体"/>
          <w:szCs w:val="21"/>
        </w:rPr>
      </w:pPr>
      <w:r>
        <w:rPr>
          <w:rFonts w:hint="eastAsia" w:ascii="宋体" w:hAnsi="宋体"/>
          <w:szCs w:val="21"/>
        </w:rPr>
        <w:t>38.2评定分离项目定标方法</w:t>
      </w:r>
    </w:p>
    <w:p>
      <w:pPr>
        <w:ind w:firstLine="420" w:firstLineChars="200"/>
        <w:rPr>
          <w:rFonts w:ascii="宋体" w:hAnsi="宋体"/>
          <w:szCs w:val="21"/>
        </w:rPr>
      </w:pPr>
      <w:r>
        <w:rPr>
          <w:rFonts w:hint="eastAsia" w:ascii="宋体" w:hAnsi="宋体"/>
          <w:szCs w:val="21"/>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20" w:firstLineChars="200"/>
        <w:rPr>
          <w:szCs w:val="21"/>
        </w:rPr>
      </w:pPr>
      <w:r>
        <w:rPr>
          <w:rFonts w:hint="eastAsia" w:ascii="宋体" w:hAnsi="宋体"/>
          <w:szCs w:val="21"/>
        </w:rPr>
        <w:t xml:space="preserve">38.2.2 </w:t>
      </w:r>
      <w:bookmarkStart w:id="83" w:name="_Hlk71469733"/>
      <w:r>
        <w:rPr>
          <w:rFonts w:hint="eastAsia"/>
          <w:szCs w:val="21"/>
        </w:rPr>
        <w:t>适用评定分离的采购项目，采用综合评分法评审。</w:t>
      </w:r>
      <w:r>
        <w:rPr>
          <w:rFonts w:hint="eastAsia" w:ascii="宋体" w:hAnsi="宋体"/>
          <w:szCs w:val="21"/>
        </w:rPr>
        <w:t>评审委员会按照评审结果，推荐</w:t>
      </w:r>
      <w:r>
        <w:rPr>
          <w:rFonts w:hint="eastAsia"/>
          <w:szCs w:val="21"/>
        </w:rPr>
        <w:t>三个合格的候选中标供应商。</w:t>
      </w:r>
    </w:p>
    <w:p>
      <w:pPr>
        <w:ind w:firstLine="420" w:firstLineChars="200"/>
        <w:rPr>
          <w:rFonts w:ascii="宋体" w:hAnsi="宋体"/>
          <w:szCs w:val="21"/>
          <w:highlight w:val="none"/>
        </w:rPr>
      </w:pPr>
      <w:r>
        <w:rPr>
          <w:rFonts w:hint="eastAsia" w:ascii="宋体" w:hAnsi="宋体"/>
          <w:szCs w:val="21"/>
        </w:rPr>
        <w:t>38.2</w:t>
      </w:r>
      <w:r>
        <w:rPr>
          <w:rFonts w:hint="eastAsia" w:ascii="宋体" w:hAnsi="宋体"/>
          <w:szCs w:val="21"/>
          <w:highlight w:val="none"/>
        </w:rPr>
        <w:t>.3</w:t>
      </w:r>
      <w:bookmarkStart w:id="84" w:name="_Hlk71469688"/>
      <w:r>
        <w:rPr>
          <w:rFonts w:hint="eastAsia"/>
          <w:szCs w:val="21"/>
          <w:highlight w:val="none"/>
        </w:rPr>
        <w:t>适用评定分离的采购项目，</w:t>
      </w:r>
      <w:r>
        <w:rPr>
          <w:rFonts w:hint="eastAsia" w:ascii="宋体" w:hAnsi="宋体"/>
          <w:szCs w:val="21"/>
          <w:highlight w:val="none"/>
        </w:rPr>
        <w:t>按照自定法确定中标供应商：自定法是指采购人组织定标委员会，由定标委员会在三家候选中标供应商中确定中标供应商。</w:t>
      </w:r>
      <w:bookmarkEnd w:id="83"/>
      <w:bookmarkEnd w:id="84"/>
    </w:p>
    <w:p>
      <w:pPr>
        <w:ind w:firstLine="420" w:firstLineChars="200"/>
        <w:rPr>
          <w:rFonts w:ascii="宋体" w:hAnsi="宋体"/>
          <w:szCs w:val="21"/>
          <w:highlight w:val="none"/>
        </w:rPr>
      </w:pPr>
      <w:r>
        <w:rPr>
          <w:rFonts w:hint="eastAsia" w:ascii="宋体" w:hAnsi="宋体"/>
          <w:szCs w:val="21"/>
          <w:highlight w:val="none"/>
        </w:rPr>
        <w:t>38.2.4</w:t>
      </w:r>
      <w:r>
        <w:rPr>
          <w:rFonts w:hint="eastAsia" w:ascii="宋体" w:hAnsi="宋体"/>
          <w:szCs w:val="21"/>
          <w:highlight w:val="none"/>
          <w:lang w:val="en-US" w:eastAsia="zh-CN"/>
        </w:rPr>
        <w:t>采购代理机构</w:t>
      </w:r>
      <w:r>
        <w:rPr>
          <w:rFonts w:hint="eastAsia"/>
          <w:szCs w:val="21"/>
          <w:highlight w:val="none"/>
        </w:rPr>
        <w:t>应当自评审结束之日起两个工作日内将候选中标供应商名单及其投标文件、评审报告送交采购人</w:t>
      </w:r>
      <w:r>
        <w:rPr>
          <w:rFonts w:hint="eastAsia" w:ascii="宋体" w:hAnsi="宋体"/>
          <w:szCs w:val="21"/>
          <w:highlight w:val="none"/>
        </w:rPr>
        <w:t>。</w:t>
      </w:r>
      <w:r>
        <w:rPr>
          <w:rFonts w:hint="eastAsia"/>
          <w:szCs w:val="21"/>
          <w:highlight w:val="none"/>
        </w:rPr>
        <w:t>采购人应当安排专人对定标过程进行书面记录，形成定标报告，作为采购文件的组成部分存档，并及时将定标结果反馈</w:t>
      </w:r>
      <w:r>
        <w:rPr>
          <w:rFonts w:hint="eastAsia" w:ascii="宋体" w:hAnsi="宋体"/>
          <w:szCs w:val="21"/>
          <w:highlight w:val="none"/>
          <w:lang w:val="en-US" w:eastAsia="zh-CN"/>
        </w:rPr>
        <w:t>采购代理机构</w:t>
      </w:r>
      <w:r>
        <w:rPr>
          <w:rFonts w:hint="eastAsia"/>
          <w:szCs w:val="21"/>
          <w:highlight w:val="none"/>
        </w:rPr>
        <w:t>。具体定标程序及相关要求以参照《深圳市财政局关于印发</w:t>
      </w:r>
      <w:r>
        <w:rPr>
          <w:rFonts w:hint="eastAsia" w:ascii="宋体" w:hAnsi="宋体"/>
          <w:szCs w:val="21"/>
          <w:highlight w:val="none"/>
        </w:rPr>
        <w:t>〈</w:t>
      </w:r>
      <w:r>
        <w:rPr>
          <w:rFonts w:hint="eastAsia"/>
          <w:szCs w:val="21"/>
          <w:highlight w:val="none"/>
        </w:rPr>
        <w:t>深圳市政府采购评标定标分离管理办法</w:t>
      </w:r>
      <w:r>
        <w:rPr>
          <w:rFonts w:hint="eastAsia" w:ascii="宋体" w:hAnsi="宋体"/>
          <w:szCs w:val="21"/>
          <w:highlight w:val="none"/>
        </w:rPr>
        <w:t>〉</w:t>
      </w:r>
      <w:r>
        <w:rPr>
          <w:rFonts w:hint="eastAsia"/>
          <w:szCs w:val="21"/>
          <w:highlight w:val="none"/>
        </w:rPr>
        <w:t>的通知》（深财规【</w:t>
      </w:r>
      <w:r>
        <w:rPr>
          <w:szCs w:val="21"/>
          <w:highlight w:val="none"/>
        </w:rPr>
        <w:t>2020</w:t>
      </w:r>
      <w:r>
        <w:rPr>
          <w:rFonts w:hint="eastAsia"/>
          <w:szCs w:val="21"/>
          <w:highlight w:val="none"/>
        </w:rPr>
        <w:t>】</w:t>
      </w:r>
      <w:r>
        <w:rPr>
          <w:szCs w:val="21"/>
          <w:highlight w:val="none"/>
        </w:rPr>
        <w:t>1</w:t>
      </w:r>
      <w:r>
        <w:rPr>
          <w:rFonts w:hint="eastAsia"/>
          <w:szCs w:val="21"/>
          <w:highlight w:val="none"/>
        </w:rPr>
        <w:t>号）执行。</w:t>
      </w:r>
    </w:p>
    <w:p>
      <w:pPr>
        <w:ind w:firstLine="420" w:firstLineChars="200"/>
        <w:rPr>
          <w:rFonts w:ascii="宋体" w:hAnsi="宋体"/>
          <w:szCs w:val="21"/>
        </w:rPr>
      </w:pPr>
      <w:r>
        <w:rPr>
          <w:rFonts w:hint="eastAsia" w:ascii="宋体" w:hAnsi="宋体"/>
          <w:szCs w:val="21"/>
          <w:highlight w:val="none"/>
        </w:rPr>
        <w:t>说明：采购人及投标供应商应按照上述方法提前做好</w:t>
      </w:r>
      <w:r>
        <w:rPr>
          <w:rFonts w:hint="eastAsia" w:ascii="宋体" w:hAnsi="宋体"/>
          <w:szCs w:val="21"/>
        </w:rPr>
        <w:t>相关准备。</w:t>
      </w:r>
    </w:p>
    <w:p>
      <w:pPr>
        <w:ind w:firstLine="420" w:firstLineChars="200"/>
        <w:rPr>
          <w:rFonts w:ascii="宋体" w:hAnsi="宋体"/>
          <w:szCs w:val="21"/>
        </w:rPr>
      </w:pPr>
      <w:r>
        <w:rPr>
          <w:rFonts w:hint="eastAsia" w:ascii="宋体" w:hAnsi="宋体"/>
          <w:szCs w:val="21"/>
        </w:rPr>
        <w:t>38.3专用条款另有规定的，按专用条款相关要求定标。</w:t>
      </w:r>
      <w:bookmarkEnd w:id="82"/>
    </w:p>
    <w:p>
      <w:pPr>
        <w:ind w:firstLine="420" w:firstLineChars="200"/>
        <w:rPr>
          <w:rFonts w:ascii="黑体" w:hAnsi="宋体" w:eastAsia="黑体"/>
          <w:szCs w:val="21"/>
        </w:rPr>
      </w:pPr>
      <w:r>
        <w:rPr>
          <w:rFonts w:hint="eastAsia" w:ascii="黑体" w:hAnsi="宋体" w:eastAsia="黑体"/>
          <w:szCs w:val="21"/>
        </w:rPr>
        <w:t>39．编写评审报告</w:t>
      </w:r>
    </w:p>
    <w:p>
      <w:pPr>
        <w:ind w:firstLine="420" w:firstLineChars="200"/>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ind w:firstLine="420" w:firstLineChars="200"/>
        <w:rPr>
          <w:rFonts w:ascii="黑体" w:hAnsi="宋体" w:eastAsia="黑体"/>
          <w:szCs w:val="21"/>
        </w:rPr>
      </w:pPr>
      <w:r>
        <w:rPr>
          <w:rFonts w:hint="eastAsia" w:ascii="黑体" w:hAnsi="宋体" w:eastAsia="黑体"/>
          <w:szCs w:val="21"/>
        </w:rPr>
        <w:t>40．中标公告</w:t>
      </w:r>
    </w:p>
    <w:p>
      <w:pPr>
        <w:ind w:firstLine="420" w:firstLineChars="200"/>
        <w:rPr>
          <w:rFonts w:ascii="宋体" w:hAnsi="宋体"/>
          <w:szCs w:val="21"/>
          <w:highlight w:val="none"/>
        </w:rPr>
      </w:pPr>
      <w:r>
        <w:rPr>
          <w:rFonts w:hint="eastAsia" w:ascii="宋体" w:hAnsi="宋体"/>
          <w:szCs w:val="21"/>
        </w:rPr>
        <w:t>40.1</w:t>
      </w:r>
      <w:bookmarkStart w:id="85" w:name="_Hlk72438709"/>
      <w:r>
        <w:rPr>
          <w:rFonts w:hint="eastAsia" w:ascii="宋体" w:hAnsi="宋体"/>
          <w:szCs w:val="21"/>
        </w:rPr>
        <w:t>为体现“公开、公</w:t>
      </w:r>
      <w:r>
        <w:rPr>
          <w:rFonts w:hint="eastAsia" w:ascii="宋体" w:hAnsi="宋体"/>
          <w:szCs w:val="21"/>
          <w:highlight w:val="none"/>
        </w:rPr>
        <w:t>平、公正”的原则，评审结束后经采购人确认（确定）评审结果，</w:t>
      </w:r>
      <w:r>
        <w:rPr>
          <w:rFonts w:hint="eastAsia" w:ascii="宋体" w:hAnsi="宋体"/>
          <w:szCs w:val="21"/>
          <w:highlight w:val="none"/>
          <w:lang w:val="en-US" w:eastAsia="zh-CN"/>
        </w:rPr>
        <w:t>采购代理机构</w:t>
      </w:r>
      <w:r>
        <w:rPr>
          <w:rFonts w:hint="eastAsia" w:ascii="宋体" w:hAnsi="宋体"/>
          <w:szCs w:val="21"/>
          <w:highlight w:val="none"/>
        </w:rPr>
        <w:t>将在深圳交易集团（深圳公共资源交易中心）官网</w:t>
      </w:r>
      <w:r>
        <w:rPr>
          <w:rFonts w:hint="eastAsia" w:ascii="宋体" w:hAnsi="宋体"/>
          <w:b/>
          <w:bCs/>
          <w:szCs w:val="21"/>
          <w:highlight w:val="none"/>
        </w:rPr>
        <w:t>https://www.szexgrp.com/jyfw/zfcg-view.html?id=zfcg</w:t>
      </w:r>
      <w:r>
        <w:rPr>
          <w:rFonts w:hint="eastAsia" w:ascii="宋体" w:hAnsi="宋体"/>
          <w:szCs w:val="21"/>
          <w:highlight w:val="none"/>
        </w:rPr>
        <w:t>上发布中标结果公告。</w:t>
      </w:r>
      <w:bookmarkEnd w:id="85"/>
      <w:bookmarkStart w:id="86" w:name="_Hlk72438751"/>
      <w:r>
        <w:rPr>
          <w:rFonts w:hint="eastAsia" w:ascii="宋体" w:hAnsi="宋体"/>
          <w:szCs w:val="21"/>
          <w:highlight w:val="none"/>
        </w:rPr>
        <w:t>供应商如对评审结果有异议，可在发布公示日期起七个工作日内向采购代理机构提出。监督电话：0755-86500050。若在公示期内未提出质疑，则视为认同该评审结果。</w:t>
      </w:r>
    </w:p>
    <w:bookmarkEnd w:id="86"/>
    <w:p>
      <w:pPr>
        <w:ind w:firstLine="420" w:firstLineChars="200"/>
        <w:rPr>
          <w:rFonts w:ascii="宋体" w:hAnsi="宋体"/>
          <w:szCs w:val="21"/>
          <w:highlight w:val="none"/>
        </w:rPr>
      </w:pPr>
      <w:r>
        <w:rPr>
          <w:rFonts w:hint="eastAsia" w:ascii="宋体" w:hAnsi="宋体"/>
          <w:szCs w:val="21"/>
          <w:highlight w:val="none"/>
        </w:rPr>
        <w:t>40.2质疑、投诉供应商应保证质疑、投诉内容的真实性和可靠性，并承担相应的法律责任。</w:t>
      </w:r>
    </w:p>
    <w:p>
      <w:pPr>
        <w:ind w:firstLine="420" w:firstLineChars="200"/>
        <w:rPr>
          <w:rFonts w:ascii="黑体" w:hAnsi="宋体" w:eastAsia="黑体"/>
          <w:szCs w:val="21"/>
          <w:highlight w:val="none"/>
        </w:rPr>
      </w:pPr>
      <w:r>
        <w:rPr>
          <w:rFonts w:hint="eastAsia" w:ascii="黑体" w:hAnsi="宋体" w:eastAsia="黑体"/>
          <w:szCs w:val="21"/>
          <w:highlight w:val="none"/>
        </w:rPr>
        <w:t>41．中标通知书</w:t>
      </w:r>
    </w:p>
    <w:p>
      <w:pPr>
        <w:ind w:firstLine="420" w:firstLineChars="200"/>
        <w:rPr>
          <w:rFonts w:ascii="宋体" w:hAnsi="宋体"/>
          <w:szCs w:val="21"/>
          <w:highlight w:val="none"/>
        </w:rPr>
      </w:pPr>
      <w:r>
        <w:rPr>
          <w:rFonts w:hint="eastAsia" w:ascii="宋体" w:hAnsi="宋体"/>
          <w:szCs w:val="21"/>
          <w:highlight w:val="none"/>
        </w:rPr>
        <w:t>41.1</w:t>
      </w:r>
      <w:bookmarkStart w:id="87" w:name="_Hlk72438863"/>
      <w:r>
        <w:rPr>
          <w:rFonts w:hint="eastAsia" w:ascii="宋体" w:hAnsi="宋体"/>
          <w:szCs w:val="21"/>
          <w:highlight w:val="none"/>
        </w:rPr>
        <w:t>中标公告公布以后无异常的情况下,中标供应商和采购人可自行在</w:t>
      </w:r>
      <w:r>
        <w:rPr>
          <w:rFonts w:hint="eastAsia" w:ascii="宋体" w:hAnsi="宋体"/>
          <w:b/>
          <w:bCs/>
          <w:szCs w:val="21"/>
          <w:highlight w:val="none"/>
        </w:rPr>
        <w:t>“</w:t>
      </w:r>
      <w:r>
        <w:rPr>
          <w:rFonts w:hint="eastAsia" w:ascii="宋体" w:hAnsi="宋体"/>
          <w:szCs w:val="21"/>
          <w:highlight w:val="none"/>
        </w:rPr>
        <w:t>深圳市自行采购系统（https://trade.szggzy.com/ggzy/center/#/login）</w:t>
      </w:r>
      <w:r>
        <w:rPr>
          <w:rFonts w:hint="eastAsia" w:ascii="宋体" w:hAnsi="宋体"/>
          <w:b/>
          <w:bCs/>
          <w:szCs w:val="21"/>
          <w:highlight w:val="none"/>
        </w:rPr>
        <w:t>”</w:t>
      </w:r>
      <w:r>
        <w:rPr>
          <w:rFonts w:hint="eastAsia" w:ascii="宋体" w:hAnsi="宋体"/>
          <w:szCs w:val="21"/>
          <w:highlight w:val="none"/>
        </w:rPr>
        <w:t>上打印</w:t>
      </w:r>
      <w:r>
        <w:rPr>
          <w:rFonts w:hint="eastAsia" w:ascii="宋体" w:hAnsi="宋体"/>
          <w:b/>
          <w:szCs w:val="21"/>
          <w:highlight w:val="none"/>
        </w:rPr>
        <w:t>《数字中标通知书》</w:t>
      </w:r>
      <w:r>
        <w:rPr>
          <w:rFonts w:hint="eastAsia" w:ascii="宋体" w:hAnsi="宋体"/>
          <w:szCs w:val="21"/>
          <w:highlight w:val="none"/>
        </w:rPr>
        <w:t>。</w:t>
      </w:r>
      <w:bookmarkEnd w:id="87"/>
    </w:p>
    <w:p>
      <w:pPr>
        <w:ind w:firstLine="420" w:firstLineChars="200"/>
        <w:rPr>
          <w:rFonts w:ascii="宋体" w:hAnsi="宋体"/>
          <w:szCs w:val="21"/>
          <w:highlight w:val="none"/>
        </w:rPr>
      </w:pPr>
      <w:r>
        <w:rPr>
          <w:rFonts w:hint="eastAsia" w:ascii="宋体" w:hAnsi="宋体"/>
          <w:szCs w:val="21"/>
          <w:highlight w:val="none"/>
        </w:rPr>
        <w:t>41.2中标通知书是合同的重要组成部分。</w:t>
      </w:r>
    </w:p>
    <w:p>
      <w:pPr>
        <w:ind w:firstLine="420" w:firstLineChars="200"/>
        <w:rPr>
          <w:rFonts w:ascii="宋体" w:hAnsi="宋体"/>
          <w:szCs w:val="21"/>
        </w:rPr>
      </w:pPr>
      <w:bookmarkStart w:id="88" w:name="_Hlk71407340"/>
      <w:r>
        <w:rPr>
          <w:rFonts w:hint="eastAsia" w:ascii="宋体" w:hAnsi="宋体"/>
          <w:szCs w:val="21"/>
          <w:highlight w:val="none"/>
        </w:rPr>
        <w:t>41.3因质疑投诉或其它原因导致项目结果变更或采购终止的，</w:t>
      </w:r>
      <w:r>
        <w:rPr>
          <w:rFonts w:hint="eastAsia" w:ascii="宋体" w:hAnsi="宋体"/>
          <w:szCs w:val="21"/>
          <w:highlight w:val="none"/>
          <w:lang w:val="en-US" w:eastAsia="zh-CN"/>
        </w:rPr>
        <w:t>采购代理机构</w:t>
      </w:r>
      <w:r>
        <w:rPr>
          <w:rFonts w:hint="eastAsia" w:ascii="宋体" w:hAnsi="宋体"/>
          <w:szCs w:val="21"/>
          <w:highlight w:val="none"/>
        </w:rPr>
        <w:t>有权</w:t>
      </w:r>
      <w:r>
        <w:rPr>
          <w:rFonts w:hint="eastAsia" w:ascii="宋体" w:hAnsi="宋体"/>
          <w:szCs w:val="21"/>
        </w:rPr>
        <w:t>吊销中标通知书。</w:t>
      </w:r>
      <w:bookmarkEnd w:id="88"/>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公开招标失败的后续处理</w:t>
      </w:r>
    </w:p>
    <w:p>
      <w:pPr>
        <w:ind w:firstLine="420" w:firstLineChars="200"/>
        <w:rPr>
          <w:rFonts w:ascii="黑体" w:hAnsi="宋体" w:eastAsia="黑体"/>
          <w:szCs w:val="21"/>
        </w:rPr>
      </w:pPr>
      <w:r>
        <w:rPr>
          <w:rFonts w:hint="eastAsia" w:ascii="黑体" w:hAnsi="宋体" w:eastAsia="黑体"/>
          <w:szCs w:val="21"/>
        </w:rPr>
        <w:t>42．公开招标失败的处理</w:t>
      </w:r>
    </w:p>
    <w:p>
      <w:pPr>
        <w:ind w:firstLine="411" w:firstLineChars="196"/>
        <w:rPr>
          <w:rFonts w:ascii="宋体" w:hAnsi="宋体"/>
          <w:highlight w:val="none"/>
        </w:rPr>
      </w:pPr>
      <w:r>
        <w:rPr>
          <w:rFonts w:hint="eastAsia" w:ascii="宋体" w:hAnsi="宋体"/>
          <w:szCs w:val="21"/>
        </w:rPr>
        <w:t>42.1本项目公开招标过程中若由于投标</w:t>
      </w:r>
      <w:r>
        <w:rPr>
          <w:rFonts w:hint="eastAsia" w:ascii="宋体" w:hAnsi="宋体"/>
          <w:szCs w:val="21"/>
          <w:highlight w:val="none"/>
        </w:rPr>
        <w:t>截止后</w:t>
      </w:r>
      <w:r>
        <w:rPr>
          <w:rFonts w:hint="eastAsia" w:ascii="宋体" w:hAnsi="宋体"/>
          <w:highlight w:val="none"/>
        </w:rPr>
        <w:t>实际递交投标文件的供应商数量不足、经</w:t>
      </w:r>
      <w:r>
        <w:rPr>
          <w:rFonts w:hint="eastAsia" w:ascii="宋体" w:hAnsi="宋体"/>
          <w:szCs w:val="21"/>
          <w:highlight w:val="none"/>
        </w:rPr>
        <w:t>评审委员会</w:t>
      </w:r>
      <w:r>
        <w:rPr>
          <w:rFonts w:hint="eastAsia" w:ascii="宋体" w:hAnsi="宋体"/>
          <w:highlight w:val="none"/>
        </w:rPr>
        <w:t>评审对招标文件作实质响应的供应商不足等原因造成公开招标失败，可由</w:t>
      </w:r>
      <w:r>
        <w:rPr>
          <w:rFonts w:hint="eastAsia" w:ascii="宋体" w:hAnsi="宋体"/>
          <w:szCs w:val="21"/>
          <w:highlight w:val="none"/>
          <w:lang w:val="en-US" w:eastAsia="zh-CN"/>
        </w:rPr>
        <w:t>采购代理机构</w:t>
      </w:r>
      <w:r>
        <w:rPr>
          <w:rFonts w:hint="eastAsia" w:ascii="宋体" w:hAnsi="宋体"/>
          <w:highlight w:val="none"/>
        </w:rPr>
        <w:t>重新组织采购。</w:t>
      </w:r>
    </w:p>
    <w:p>
      <w:pPr>
        <w:ind w:firstLine="411" w:firstLineChars="196"/>
        <w:rPr>
          <w:rFonts w:ascii="宋体" w:hAnsi="宋体"/>
          <w:szCs w:val="21"/>
          <w:highlight w:val="none"/>
        </w:rPr>
      </w:pPr>
      <w:r>
        <w:rPr>
          <w:rFonts w:hint="eastAsia" w:ascii="宋体" w:hAnsi="宋体"/>
          <w:szCs w:val="21"/>
          <w:highlight w:val="none"/>
        </w:rPr>
        <w:t>42.2对公开招标失败的项目，评审委员会在出具该项目招标失败结论的同时，可以提出重新采购组织形式的建议，以及进一步完善招标文件的资格、技术、商务要求的修改建议。</w:t>
      </w:r>
    </w:p>
    <w:p>
      <w:pPr>
        <w:ind w:firstLine="411" w:firstLineChars="196"/>
        <w:rPr>
          <w:rFonts w:ascii="宋体" w:hAnsi="宋体"/>
          <w:szCs w:val="21"/>
          <w:highlight w:val="none"/>
        </w:rPr>
      </w:pPr>
      <w:r>
        <w:rPr>
          <w:rFonts w:hint="eastAsia" w:ascii="宋体" w:hAnsi="宋体"/>
          <w:szCs w:val="21"/>
          <w:highlight w:val="none"/>
        </w:rPr>
        <w:t>42.3重新组织采购有以下两种组织形式：</w:t>
      </w:r>
    </w:p>
    <w:p>
      <w:pPr>
        <w:ind w:firstLine="411" w:firstLineChars="196"/>
        <w:rPr>
          <w:rFonts w:ascii="宋体" w:hAnsi="宋体"/>
          <w:highlight w:val="none"/>
        </w:rPr>
      </w:pPr>
      <w:r>
        <w:rPr>
          <w:rFonts w:hint="eastAsia" w:ascii="宋体" w:hAnsi="宋体"/>
          <w:highlight w:val="none"/>
        </w:rPr>
        <w:t>（1）由</w:t>
      </w:r>
      <w:r>
        <w:rPr>
          <w:rFonts w:hint="eastAsia" w:ascii="宋体" w:hAnsi="宋体"/>
          <w:szCs w:val="21"/>
          <w:highlight w:val="none"/>
          <w:lang w:val="en-US" w:eastAsia="zh-CN"/>
        </w:rPr>
        <w:t>采购代理机构</w:t>
      </w:r>
      <w:r>
        <w:rPr>
          <w:rFonts w:hint="eastAsia" w:ascii="宋体" w:hAnsi="宋体"/>
          <w:highlight w:val="none"/>
        </w:rPr>
        <w:t>重新组织公开招标；</w:t>
      </w:r>
    </w:p>
    <w:p>
      <w:pPr>
        <w:ind w:firstLine="411" w:firstLineChars="196"/>
        <w:rPr>
          <w:rFonts w:ascii="宋体" w:hAnsi="宋体"/>
          <w:highlight w:val="none"/>
        </w:rPr>
      </w:pPr>
      <w:r>
        <w:rPr>
          <w:rFonts w:hint="eastAsia" w:ascii="宋体" w:hAnsi="宋体"/>
          <w:highlight w:val="cyan"/>
        </w:rPr>
        <w:t>（2）</w:t>
      </w:r>
      <w:r>
        <w:rPr>
          <w:rFonts w:hint="eastAsia" w:ascii="宋体" w:hAnsi="宋体"/>
          <w:highlight w:val="cyan"/>
          <w:lang w:val="en-US" w:eastAsia="zh-CN"/>
        </w:rPr>
        <w:t>如需要</w:t>
      </w:r>
      <w:r>
        <w:rPr>
          <w:rFonts w:hint="eastAsia" w:ascii="宋体" w:hAnsi="宋体"/>
          <w:highlight w:val="cyan"/>
        </w:rPr>
        <w:t>根据实际情况向采购人主管部门提出非公开招标方式申请</w:t>
      </w:r>
      <w:r>
        <w:rPr>
          <w:rFonts w:hint="eastAsia" w:ascii="宋体" w:hAnsi="宋体"/>
          <w:highlight w:val="cyan"/>
          <w:lang w:val="en-US" w:eastAsia="zh-CN"/>
        </w:rPr>
        <w:t>的</w:t>
      </w:r>
      <w:r>
        <w:rPr>
          <w:rFonts w:hint="eastAsia" w:ascii="宋体" w:hAnsi="宋体"/>
          <w:highlight w:val="cyan"/>
        </w:rPr>
        <w:t>，经</w:t>
      </w:r>
      <w:r>
        <w:rPr>
          <w:rFonts w:hint="eastAsia" w:ascii="宋体" w:hAnsi="宋体"/>
          <w:highlight w:val="none"/>
        </w:rPr>
        <w:t>采购人主管部门批准，公开招标失败采购项目可转为竞争性谈判或单一来源谈判方式采购。</w:t>
      </w:r>
    </w:p>
    <w:p>
      <w:pPr>
        <w:ind w:firstLine="411" w:firstLineChars="196"/>
        <w:rPr>
          <w:rFonts w:ascii="宋体" w:hAnsi="宋体"/>
        </w:rPr>
      </w:pPr>
      <w:r>
        <w:rPr>
          <w:rFonts w:hint="eastAsia" w:ascii="宋体" w:hAnsi="宋体"/>
          <w:highlight w:val="none"/>
        </w:rPr>
        <w:t>42.4公开招标失败的采购项目重新组织公开招标，由</w:t>
      </w:r>
      <w:r>
        <w:rPr>
          <w:rFonts w:hint="eastAsia" w:ascii="宋体" w:hAnsi="宋体"/>
          <w:szCs w:val="21"/>
          <w:highlight w:val="none"/>
          <w:lang w:val="en-US" w:eastAsia="zh-CN"/>
        </w:rPr>
        <w:t>采购代理机构</w:t>
      </w:r>
      <w:r>
        <w:rPr>
          <w:rFonts w:hint="eastAsia" w:ascii="宋体" w:hAnsi="宋体"/>
          <w:highlight w:val="none"/>
        </w:rPr>
        <w:t>重</w:t>
      </w:r>
      <w:r>
        <w:rPr>
          <w:rFonts w:hint="eastAsia" w:ascii="宋体" w:hAnsi="宋体"/>
        </w:rPr>
        <w:t>新按公开招标流程组织采购活动。</w:t>
      </w:r>
    </w:p>
    <w:p>
      <w:pPr>
        <w:ind w:firstLine="420" w:firstLineChars="200"/>
        <w:rPr>
          <w:rFonts w:ascii="黑体" w:hAnsi="宋体" w:eastAsia="黑体"/>
          <w:sz w:val="24"/>
          <w:highlight w:val="cyan"/>
        </w:rPr>
      </w:pPr>
      <w:r>
        <w:rPr>
          <w:rFonts w:hint="eastAsia" w:ascii="宋体" w:hAnsi="宋体"/>
          <w:highlight w:val="cyan"/>
        </w:rPr>
        <w:t>42.5公开招标失败的采购项目转为竞争性谈判或单一来源谈判方式采购的，按规定要求组织自行采购工作。</w:t>
      </w:r>
    </w:p>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89" w:name="_Hlk72439043"/>
      <w:r>
        <w:rPr>
          <w:rFonts w:hint="eastAsia" w:ascii="Cambria" w:hAnsi="Cambria" w:cs="宋体"/>
          <w:b/>
          <w:bCs/>
          <w:sz w:val="28"/>
          <w:szCs w:val="28"/>
        </w:rPr>
        <w:t>合同的授予与备案</w:t>
      </w:r>
      <w:bookmarkEnd w:id="89"/>
    </w:p>
    <w:p>
      <w:pPr>
        <w:ind w:firstLine="420" w:firstLineChars="200"/>
        <w:rPr>
          <w:rFonts w:ascii="黑体" w:hAnsi="宋体" w:eastAsia="黑体"/>
          <w:szCs w:val="21"/>
        </w:rPr>
      </w:pPr>
      <w:bookmarkStart w:id="90" w:name="_Toc73518157"/>
      <w:bookmarkStart w:id="91" w:name="_Toc100052408"/>
      <w:bookmarkStart w:id="92" w:name="_Toc73517679"/>
      <w:bookmarkStart w:id="93" w:name="_Toc73521674"/>
      <w:bookmarkStart w:id="94" w:name="_Toc73521586"/>
      <w:bookmarkStart w:id="95" w:name="_Hlk72439088"/>
      <w:r>
        <w:rPr>
          <w:rFonts w:hint="eastAsia" w:ascii="黑体" w:hAnsi="宋体" w:eastAsia="黑体"/>
          <w:szCs w:val="21"/>
        </w:rPr>
        <w:t>43．合同授予标准</w:t>
      </w:r>
      <w:bookmarkEnd w:id="90"/>
      <w:bookmarkEnd w:id="91"/>
      <w:bookmarkEnd w:id="92"/>
      <w:bookmarkEnd w:id="93"/>
      <w:bookmarkEnd w:id="94"/>
    </w:p>
    <w:p>
      <w:pPr>
        <w:ind w:firstLine="420" w:firstLineChars="200"/>
        <w:rPr>
          <w:rFonts w:ascii="宋体" w:hAnsi="宋体"/>
          <w:szCs w:val="21"/>
        </w:rPr>
      </w:pPr>
      <w:r>
        <w:rPr>
          <w:rFonts w:hint="eastAsia" w:ascii="宋体" w:hAnsi="宋体"/>
          <w:szCs w:val="21"/>
        </w:rPr>
        <w:t>本项目的合同将授予经本招标文件规定评审确定的中标供应商。</w:t>
      </w:r>
    </w:p>
    <w:p>
      <w:pPr>
        <w:ind w:firstLine="420" w:firstLineChars="200"/>
        <w:rPr>
          <w:rFonts w:ascii="黑体" w:hAnsi="宋体" w:eastAsia="黑体"/>
          <w:szCs w:val="21"/>
          <w:highlight w:val="none"/>
        </w:rPr>
      </w:pPr>
      <w:bookmarkStart w:id="96" w:name="_Toc73521675"/>
      <w:bookmarkStart w:id="97" w:name="_Toc100052409"/>
      <w:bookmarkStart w:id="98" w:name="_Toc73521587"/>
      <w:bookmarkStart w:id="99" w:name="_Toc73518158"/>
      <w:bookmarkStart w:id="100" w:name="_Toc73517680"/>
      <w:r>
        <w:rPr>
          <w:rFonts w:hint="eastAsia" w:ascii="黑体" w:hAnsi="宋体" w:eastAsia="黑体"/>
          <w:szCs w:val="21"/>
        </w:rPr>
        <w:t>44．</w:t>
      </w:r>
      <w:bookmarkEnd w:id="96"/>
      <w:bookmarkEnd w:id="97"/>
      <w:bookmarkEnd w:id="98"/>
      <w:bookmarkEnd w:id="99"/>
      <w:bookmarkEnd w:id="100"/>
      <w:r>
        <w:rPr>
          <w:rFonts w:hint="eastAsia" w:ascii="黑体" w:hAnsi="宋体" w:eastAsia="黑体"/>
          <w:szCs w:val="21"/>
          <w:highlight w:val="none"/>
        </w:rPr>
        <w:t>接受和拒绝任何或所有投标的权力</w:t>
      </w:r>
    </w:p>
    <w:p>
      <w:pPr>
        <w:ind w:firstLine="420" w:firstLineChars="200"/>
        <w:rPr>
          <w:rFonts w:ascii="宋体" w:hAnsi="宋体"/>
          <w:szCs w:val="21"/>
          <w:highlight w:val="none"/>
        </w:rPr>
      </w:pPr>
      <w:r>
        <w:rPr>
          <w:rFonts w:hint="eastAsia" w:ascii="宋体" w:hAnsi="宋体"/>
          <w:szCs w:val="21"/>
          <w:highlight w:val="none"/>
          <w:lang w:val="en-US" w:eastAsia="zh-CN"/>
        </w:rPr>
        <w:t>采购代理机构</w:t>
      </w:r>
      <w:r>
        <w:rPr>
          <w:rFonts w:hint="eastAsia" w:ascii="宋体" w:hAnsi="宋体"/>
          <w:szCs w:val="21"/>
          <w:highlight w:val="none"/>
        </w:rPr>
        <w:t>和采购人保留在投标之前任何时候接受或拒绝任何投标或所有投标，以及宣布招标无效的权力，对受影响的投标人不承担任何责任，也无义务向受影响的投标人解释采取这一行动的理由。</w:t>
      </w:r>
    </w:p>
    <w:p>
      <w:pPr>
        <w:ind w:firstLine="420" w:firstLineChars="200"/>
        <w:rPr>
          <w:rFonts w:ascii="黑体" w:hAnsi="宋体" w:eastAsia="黑体"/>
          <w:szCs w:val="21"/>
        </w:rPr>
      </w:pPr>
      <w:bookmarkStart w:id="101" w:name="_Toc73518160"/>
      <w:bookmarkStart w:id="102" w:name="_Toc73521589"/>
      <w:bookmarkStart w:id="103" w:name="_Toc73521677"/>
      <w:bookmarkStart w:id="104" w:name="_Toc73517682"/>
      <w:bookmarkStart w:id="105" w:name="_Toc100052410"/>
      <w:r>
        <w:rPr>
          <w:rFonts w:hint="eastAsia" w:ascii="黑体" w:hAnsi="宋体" w:eastAsia="黑体"/>
          <w:szCs w:val="21"/>
        </w:rPr>
        <w:t>45．合同的签订</w:t>
      </w:r>
      <w:bookmarkEnd w:id="101"/>
      <w:bookmarkEnd w:id="102"/>
      <w:bookmarkEnd w:id="103"/>
      <w:bookmarkEnd w:id="104"/>
      <w:bookmarkEnd w:id="105"/>
    </w:p>
    <w:p>
      <w:pPr>
        <w:ind w:firstLine="420" w:firstLineChars="200"/>
        <w:rPr>
          <w:rFonts w:ascii="宋体" w:hAnsi="宋体"/>
          <w:szCs w:val="21"/>
        </w:rPr>
      </w:pPr>
      <w:r>
        <w:rPr>
          <w:rFonts w:hint="eastAsia" w:ascii="宋体" w:hAnsi="宋体"/>
          <w:szCs w:val="21"/>
        </w:rPr>
        <w:t>45.1中标人将于中标通知书发出之日起十个工作日内，按照采购文件（招标文件和投标文件等）内容与采购人签订采购合同；合同的实质性内容应当符合招标文件的规定；</w:t>
      </w:r>
    </w:p>
    <w:p>
      <w:pPr>
        <w:ind w:firstLine="420" w:firstLineChars="200"/>
        <w:rPr>
          <w:rFonts w:ascii="宋体" w:hAnsi="宋体"/>
          <w:szCs w:val="21"/>
        </w:rPr>
      </w:pPr>
      <w:r>
        <w:rPr>
          <w:rFonts w:hint="eastAsia" w:ascii="宋体" w:hAnsi="宋体"/>
          <w:szCs w:val="21"/>
        </w:rPr>
        <w:t>45.2中标人如不按本通用条款第45.1款的规定与采购人签订合同，</w:t>
      </w:r>
      <w:r>
        <w:rPr>
          <w:rFonts w:hint="eastAsia" w:ascii="宋体" w:hAnsi="宋体" w:cs="宋体"/>
          <w:kern w:val="0"/>
          <w:szCs w:val="21"/>
        </w:rPr>
        <w:t>情节严重的，由同级财政部门记入供应商诚信档案，予以通报</w:t>
      </w:r>
      <w:r>
        <w:rPr>
          <w:rFonts w:hint="eastAsia" w:ascii="宋体" w:hAnsi="宋体"/>
          <w:szCs w:val="21"/>
        </w:rPr>
        <w:t>；</w:t>
      </w:r>
    </w:p>
    <w:p>
      <w:pPr>
        <w:ind w:firstLine="420" w:firstLineChars="200"/>
        <w:rPr>
          <w:rFonts w:ascii="宋体" w:hAnsi="宋体"/>
          <w:szCs w:val="21"/>
        </w:rPr>
      </w:pPr>
      <w:r>
        <w:rPr>
          <w:rFonts w:hint="eastAsia" w:ascii="宋体" w:hAnsi="宋体"/>
          <w:szCs w:val="21"/>
        </w:rPr>
        <w:t>45.3中标人应当按照合同约定履行义务，完成中标项目，不得将中标项目转让（转包）给他人。</w:t>
      </w:r>
    </w:p>
    <w:p>
      <w:pPr>
        <w:ind w:firstLine="420" w:firstLineChars="200"/>
        <w:rPr>
          <w:rFonts w:ascii="黑体" w:hAnsi="宋体" w:eastAsia="黑体"/>
          <w:szCs w:val="21"/>
        </w:rPr>
      </w:pPr>
      <w:bookmarkStart w:id="106" w:name="_Toc73521678"/>
      <w:bookmarkStart w:id="107" w:name="_Toc73518161"/>
      <w:bookmarkStart w:id="108" w:name="_Toc73521590"/>
      <w:bookmarkStart w:id="109" w:name="_Toc100052411"/>
      <w:bookmarkStart w:id="110" w:name="_Toc73517683"/>
      <w:r>
        <w:rPr>
          <w:rFonts w:hint="eastAsia" w:ascii="黑体" w:hAnsi="宋体" w:eastAsia="黑体"/>
          <w:szCs w:val="21"/>
        </w:rPr>
        <w:t>46．履约担保</w:t>
      </w:r>
      <w:bookmarkEnd w:id="106"/>
      <w:bookmarkEnd w:id="107"/>
      <w:bookmarkEnd w:id="108"/>
      <w:bookmarkEnd w:id="109"/>
      <w:bookmarkEnd w:id="110"/>
    </w:p>
    <w:p>
      <w:pPr>
        <w:ind w:firstLine="420" w:firstLineChars="200"/>
        <w:rPr>
          <w:rFonts w:ascii="宋体" w:hAnsi="宋体"/>
          <w:szCs w:val="21"/>
        </w:rPr>
      </w:pPr>
      <w:r>
        <w:rPr>
          <w:rFonts w:hint="eastAsia" w:ascii="宋体" w:hAnsi="宋体"/>
          <w:szCs w:val="21"/>
        </w:rPr>
        <w:t>46.1在签订项目合同的同时，中标人应按“对通用条款的补充内容”中规定的金额向采购人提交履约担保；</w:t>
      </w:r>
    </w:p>
    <w:p>
      <w:pPr>
        <w:ind w:firstLine="420" w:firstLineChars="200"/>
        <w:rPr>
          <w:rFonts w:ascii="宋体" w:hAnsi="宋体"/>
          <w:szCs w:val="21"/>
        </w:rPr>
      </w:pPr>
      <w:r>
        <w:rPr>
          <w:rFonts w:hint="eastAsia" w:ascii="宋体" w:hAnsi="宋体"/>
          <w:szCs w:val="21"/>
        </w:rPr>
        <w:t>46.2，允许供应商自主选择以支票、汇票、本票、保函等非现金方式提交履约担保；</w:t>
      </w:r>
      <w:r>
        <w:rPr>
          <w:rFonts w:hint="eastAsia"/>
          <w:szCs w:val="21"/>
        </w:rPr>
        <w:t>中标人提交履约担保不是合同签订的前提条件，不要求中标人提供除法律、法规明确规定外的其他担保。</w:t>
      </w:r>
    </w:p>
    <w:p>
      <w:pPr>
        <w:ind w:firstLine="420" w:firstLineChars="200"/>
        <w:rPr>
          <w:rFonts w:ascii="黑体" w:hAnsi="宋体" w:eastAsia="黑体"/>
          <w:szCs w:val="21"/>
        </w:rPr>
      </w:pPr>
      <w:r>
        <w:rPr>
          <w:rFonts w:hint="eastAsia" w:ascii="黑体" w:hAnsi="宋体" w:eastAsia="黑体"/>
          <w:szCs w:val="21"/>
        </w:rPr>
        <w:t>47. 合同备案</w:t>
      </w:r>
    </w:p>
    <w:p>
      <w:pPr>
        <w:ind w:firstLine="420" w:firstLineChars="200"/>
        <w:rPr>
          <w:rFonts w:hint="eastAsia" w:ascii="黑体" w:hAnsi="宋体" w:eastAsia="黑体"/>
          <w:szCs w:val="21"/>
          <w:highlight w:val="cyan"/>
          <w:lang w:eastAsia="zh-CN"/>
        </w:rPr>
      </w:pPr>
      <w:r>
        <w:rPr>
          <w:rFonts w:hint="eastAsia" w:ascii="黑体" w:hAnsi="宋体" w:eastAsia="黑体"/>
          <w:szCs w:val="21"/>
          <w:highlight w:val="cyan"/>
        </w:rPr>
        <w:t>自行采购项目，无需办理政府采购合同备案</w:t>
      </w:r>
      <w:r>
        <w:rPr>
          <w:rFonts w:hint="eastAsia" w:ascii="黑体" w:hAnsi="宋体" w:eastAsia="黑体"/>
          <w:szCs w:val="21"/>
          <w:highlight w:val="cyan"/>
          <w:lang w:eastAsia="zh-CN"/>
        </w:rPr>
        <w:t>。</w:t>
      </w:r>
    </w:p>
    <w:p>
      <w:pPr>
        <w:ind w:firstLine="420" w:firstLineChars="200"/>
        <w:rPr>
          <w:rFonts w:ascii="黑体" w:hAnsi="宋体" w:eastAsia="黑体"/>
          <w:szCs w:val="21"/>
        </w:rPr>
      </w:pPr>
      <w:r>
        <w:rPr>
          <w:rFonts w:hint="eastAsia" w:ascii="黑体" w:hAnsi="宋体" w:eastAsia="黑体"/>
          <w:szCs w:val="21"/>
        </w:rPr>
        <w:t>48. 合同变更</w:t>
      </w:r>
    </w:p>
    <w:p>
      <w:pPr>
        <w:ind w:firstLine="420" w:firstLineChars="200"/>
        <w:rPr>
          <w:rFonts w:ascii="宋体" w:hAnsi="宋体"/>
          <w:szCs w:val="21"/>
        </w:rPr>
      </w:pPr>
      <w:r>
        <w:rPr>
          <w:rFonts w:hint="eastAsia" w:ascii="宋体" w:hAnsi="宋体"/>
          <w:szCs w:val="21"/>
        </w:rPr>
        <w:t>合同变更事宜参照《深圳市财政局关于优化政府采购合同备案的通知》（深财发保〔2022〕2号）相关规定，按采购人内控制度执行。</w:t>
      </w:r>
    </w:p>
    <w:p>
      <w:pPr>
        <w:ind w:firstLine="420" w:firstLineChars="200"/>
        <w:rPr>
          <w:rFonts w:ascii="黑体" w:hAnsi="宋体" w:eastAsia="黑体"/>
          <w:szCs w:val="21"/>
        </w:rPr>
      </w:pPr>
      <w:r>
        <w:rPr>
          <w:rFonts w:hint="eastAsia" w:ascii="黑体" w:hAnsi="宋体" w:eastAsia="黑体"/>
          <w:szCs w:val="21"/>
        </w:rPr>
        <w:t>49. 项目验收</w:t>
      </w:r>
    </w:p>
    <w:p>
      <w:pPr>
        <w:widowControl/>
        <w:ind w:firstLine="420" w:firstLineChars="200"/>
        <w:jc w:val="left"/>
        <w:rPr>
          <w:rFonts w:ascii="宋体" w:hAnsi="宋体"/>
          <w:szCs w:val="21"/>
        </w:rPr>
      </w:pPr>
      <w:r>
        <w:rPr>
          <w:rFonts w:hint="eastAsia" w:ascii="宋体" w:hAnsi="宋体"/>
          <w:szCs w:val="21"/>
        </w:rPr>
        <w:t xml:space="preserve">49.1采购人应当按照招标文件和合同规定的标准和方法，及时组织验收。 </w:t>
      </w:r>
    </w:p>
    <w:p>
      <w:pPr>
        <w:ind w:firstLine="420" w:firstLineChars="200"/>
        <w:rPr>
          <w:rFonts w:ascii="黑体" w:hAnsi="宋体" w:eastAsia="黑体"/>
          <w:szCs w:val="21"/>
        </w:rPr>
      </w:pPr>
      <w:r>
        <w:rPr>
          <w:rFonts w:hint="eastAsia" w:ascii="黑体" w:hAnsi="宋体" w:eastAsia="黑体"/>
          <w:szCs w:val="21"/>
        </w:rPr>
        <w:t>50. 宣传</w:t>
      </w:r>
    </w:p>
    <w:p>
      <w:pPr>
        <w:ind w:firstLine="420" w:firstLineChars="200"/>
        <w:rPr>
          <w:rFonts w:ascii="宋体" w:hAnsi="宋体"/>
          <w:szCs w:val="21"/>
        </w:rPr>
      </w:pPr>
      <w:r>
        <w:rPr>
          <w:rFonts w:hint="eastAsia" w:ascii="宋体" w:hAnsi="宋体"/>
          <w:szCs w:val="21"/>
        </w:rPr>
        <w:t>凡与采购活动有关的宣传或广告，若当中提及本项目采购，必须事先将具体对外宣传方案报采购人预算主管部门，并征得其同意。对外市场宣传包括但不限于以下形式：</w:t>
      </w:r>
    </w:p>
    <w:p>
      <w:pPr>
        <w:ind w:firstLine="420" w:firstLineChars="200"/>
        <w:rPr>
          <w:rFonts w:ascii="宋体" w:hAnsi="宋体"/>
          <w:szCs w:val="21"/>
        </w:rPr>
      </w:pPr>
      <w:r>
        <w:rPr>
          <w:rFonts w:hint="eastAsia" w:ascii="宋体" w:hAnsi="宋体"/>
          <w:szCs w:val="21"/>
        </w:rPr>
        <w:t>a.名片、宣传册、广告标语等；</w:t>
      </w:r>
    </w:p>
    <w:p>
      <w:pPr>
        <w:ind w:firstLine="420" w:firstLineChars="200"/>
        <w:rPr>
          <w:rFonts w:ascii="宋体" w:hAnsi="宋体"/>
          <w:szCs w:val="21"/>
        </w:rPr>
      </w:pPr>
      <w:r>
        <w:rPr>
          <w:rFonts w:hint="eastAsia" w:ascii="宋体" w:hAnsi="宋体"/>
          <w:szCs w:val="21"/>
        </w:rPr>
        <w:t>b.案例介绍、推广等；</w:t>
      </w:r>
    </w:p>
    <w:p>
      <w:pPr>
        <w:ind w:firstLine="420" w:firstLineChars="200"/>
        <w:rPr>
          <w:rFonts w:ascii="宋体" w:hAnsi="宋体"/>
          <w:szCs w:val="21"/>
        </w:rPr>
      </w:pPr>
      <w:r>
        <w:rPr>
          <w:rFonts w:hint="eastAsia" w:ascii="宋体" w:hAnsi="宋体"/>
          <w:szCs w:val="21"/>
        </w:rPr>
        <w:t>c.工作人员向其他消费群体宣传。</w:t>
      </w:r>
    </w:p>
    <w:p>
      <w:pPr>
        <w:ind w:firstLine="420" w:firstLineChars="200"/>
        <w:rPr>
          <w:rFonts w:ascii="黑体" w:hAnsi="宋体" w:eastAsia="黑体"/>
          <w:szCs w:val="21"/>
        </w:rPr>
      </w:pPr>
      <w:r>
        <w:rPr>
          <w:rFonts w:hint="eastAsia" w:ascii="黑体" w:hAnsi="宋体" w:eastAsia="黑体"/>
          <w:szCs w:val="21"/>
        </w:rPr>
        <w:t>51. 供应商违法责任</w:t>
      </w:r>
    </w:p>
    <w:p>
      <w:pPr>
        <w:ind w:firstLine="420" w:firstLineChars="200"/>
        <w:rPr>
          <w:rFonts w:ascii="宋体" w:hAnsi="宋体"/>
          <w:szCs w:val="21"/>
        </w:rPr>
      </w:pPr>
      <w:r>
        <w:rPr>
          <w:rFonts w:hint="eastAsia" w:ascii="宋体" w:hAnsi="宋体"/>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20" w:firstLineChars="200"/>
        <w:rPr>
          <w:rFonts w:ascii="宋体" w:hAnsi="宋体"/>
          <w:szCs w:val="21"/>
        </w:rPr>
      </w:pPr>
      <w:r>
        <w:rPr>
          <w:rFonts w:hint="eastAsia" w:ascii="宋体" w:hAnsi="宋体"/>
          <w:szCs w:val="21"/>
        </w:rPr>
        <w:t>（1）在采购活动中应当回避而未回避的；</w:t>
      </w:r>
    </w:p>
    <w:p>
      <w:pPr>
        <w:ind w:firstLine="420" w:firstLineChars="200"/>
        <w:rPr>
          <w:rFonts w:ascii="宋体" w:hAnsi="宋体"/>
          <w:szCs w:val="21"/>
        </w:rPr>
      </w:pPr>
      <w:r>
        <w:rPr>
          <w:rFonts w:hint="eastAsia" w:ascii="宋体" w:hAnsi="宋体"/>
          <w:szCs w:val="21"/>
        </w:rPr>
        <w:t>（2）未按本条例规定签订、履行采购合同，造成严重后果的；</w:t>
      </w:r>
    </w:p>
    <w:p>
      <w:pPr>
        <w:ind w:firstLine="420" w:firstLineChars="200"/>
        <w:rPr>
          <w:rFonts w:ascii="宋体" w:hAnsi="宋体"/>
          <w:szCs w:val="21"/>
        </w:rPr>
      </w:pPr>
      <w:r>
        <w:rPr>
          <w:rFonts w:hint="eastAsia" w:ascii="宋体" w:hAnsi="宋体"/>
          <w:szCs w:val="21"/>
        </w:rPr>
        <w:t>（3）隐瞒真实情况，提供虚假资料的；</w:t>
      </w:r>
    </w:p>
    <w:p>
      <w:pPr>
        <w:ind w:firstLine="420" w:firstLineChars="200"/>
        <w:rPr>
          <w:rFonts w:ascii="宋体" w:hAnsi="宋体"/>
          <w:szCs w:val="21"/>
        </w:rPr>
      </w:pPr>
      <w:r>
        <w:rPr>
          <w:rFonts w:hint="eastAsia" w:ascii="宋体" w:hAnsi="宋体"/>
          <w:szCs w:val="21"/>
        </w:rPr>
        <w:t>（4）以非法手段排斥其他供应商参与竞争的；</w:t>
      </w:r>
    </w:p>
    <w:p>
      <w:pPr>
        <w:ind w:firstLine="420" w:firstLineChars="200"/>
        <w:rPr>
          <w:rFonts w:ascii="宋体" w:hAnsi="宋体"/>
          <w:szCs w:val="21"/>
        </w:rPr>
      </w:pPr>
      <w:r>
        <w:rPr>
          <w:rFonts w:hint="eastAsia" w:ascii="宋体" w:hAnsi="宋体"/>
          <w:szCs w:val="21"/>
        </w:rPr>
        <w:t>（5）与其他采购参加人串通投标的；</w:t>
      </w:r>
    </w:p>
    <w:p>
      <w:pPr>
        <w:ind w:firstLine="420" w:firstLineChars="200"/>
        <w:rPr>
          <w:rFonts w:ascii="宋体" w:hAnsi="宋体"/>
          <w:szCs w:val="21"/>
        </w:rPr>
      </w:pPr>
      <w:r>
        <w:rPr>
          <w:rFonts w:hint="eastAsia" w:ascii="宋体" w:hAnsi="宋体"/>
          <w:szCs w:val="21"/>
        </w:rPr>
        <w:t>（6）恶意投诉的；</w:t>
      </w:r>
    </w:p>
    <w:p>
      <w:pPr>
        <w:ind w:firstLine="420" w:firstLineChars="200"/>
        <w:rPr>
          <w:rFonts w:ascii="宋体" w:hAnsi="宋体"/>
          <w:szCs w:val="21"/>
        </w:rPr>
      </w:pPr>
      <w:r>
        <w:rPr>
          <w:rFonts w:hint="eastAsia" w:ascii="宋体" w:hAnsi="宋体"/>
          <w:szCs w:val="21"/>
        </w:rPr>
        <w:t>（7）向采购项目相关人行贿或者提供其他不当利益的；</w:t>
      </w:r>
    </w:p>
    <w:p>
      <w:pPr>
        <w:ind w:firstLine="420" w:firstLineChars="200"/>
        <w:rPr>
          <w:rFonts w:ascii="宋体" w:hAnsi="宋体"/>
          <w:szCs w:val="21"/>
        </w:rPr>
      </w:pPr>
      <w:r>
        <w:rPr>
          <w:rFonts w:hint="eastAsia" w:ascii="宋体" w:hAnsi="宋体"/>
          <w:szCs w:val="21"/>
        </w:rPr>
        <w:t>（8）阻碍、抗拒主管部门监督检查的；</w:t>
      </w:r>
    </w:p>
    <w:p>
      <w:pPr>
        <w:ind w:firstLine="420" w:firstLineChars="200"/>
        <w:rPr>
          <w:rFonts w:ascii="宋体" w:hAnsi="宋体"/>
          <w:szCs w:val="21"/>
        </w:rPr>
      </w:pPr>
      <w:r>
        <w:rPr>
          <w:rFonts w:hint="eastAsia" w:ascii="宋体" w:hAnsi="宋体"/>
          <w:szCs w:val="21"/>
        </w:rPr>
        <w:t>（9）其他违反本条例规定的行为。</w:t>
      </w:r>
    </w:p>
    <w:p>
      <w:pPr>
        <w:ind w:firstLine="420" w:firstLineChars="200"/>
        <w:rPr>
          <w:rFonts w:ascii="宋体" w:hAnsi="宋体"/>
          <w:szCs w:val="21"/>
          <w:highlight w:val="none"/>
        </w:rPr>
      </w:pPr>
      <w:r>
        <w:rPr>
          <w:rFonts w:hint="eastAsia" w:ascii="宋体" w:hAnsi="宋体"/>
          <w:szCs w:val="21"/>
        </w:rPr>
        <w:t>51</w:t>
      </w:r>
      <w:r>
        <w:rPr>
          <w:rFonts w:hint="eastAsia" w:ascii="宋体" w:hAnsi="宋体"/>
          <w:szCs w:val="21"/>
          <w:highlight w:val="none"/>
        </w:rPr>
        <w:t>.2 根据《深圳市财政局关于调整政府采购投标（响应）保证金管理政策的通知 》（深财购〔2021〕51 号）的要求，供应商在采购活动中出现《深圳经济特区政府采购条例实施细则》第八十条所列情形的，</w:t>
      </w:r>
      <w:bookmarkStart w:id="111" w:name="_Hlk72440769"/>
      <w:r>
        <w:rPr>
          <w:rFonts w:hint="eastAsia" w:ascii="宋体" w:hAnsi="宋体"/>
          <w:szCs w:val="21"/>
          <w:highlight w:val="none"/>
          <w:lang w:val="en-US" w:eastAsia="zh-CN"/>
        </w:rPr>
        <w:t>采购代理机构</w:t>
      </w:r>
      <w:r>
        <w:rPr>
          <w:rFonts w:hint="eastAsia" w:ascii="宋体" w:hAnsi="宋体"/>
          <w:szCs w:val="21"/>
          <w:highlight w:val="none"/>
        </w:rPr>
        <w:t>或采购人不予退还其交纳的谈判保证金，情节严重的，并由主管部门</w:t>
      </w:r>
      <w:bookmarkEnd w:id="111"/>
      <w:r>
        <w:rPr>
          <w:rFonts w:hint="eastAsia" w:ascii="宋体" w:hAnsi="宋体"/>
          <w:szCs w:val="21"/>
          <w:highlight w:val="none"/>
        </w:rPr>
        <w:t>记入供应商诚信档案，予以通报：</w:t>
      </w:r>
    </w:p>
    <w:p>
      <w:pPr>
        <w:ind w:firstLine="420" w:firstLineChars="200"/>
        <w:rPr>
          <w:rFonts w:ascii="宋体" w:hAnsi="宋体"/>
          <w:szCs w:val="21"/>
          <w:highlight w:val="none"/>
        </w:rPr>
      </w:pPr>
      <w:r>
        <w:rPr>
          <w:rFonts w:hint="eastAsia" w:ascii="宋体" w:hAnsi="宋体"/>
          <w:szCs w:val="21"/>
          <w:highlight w:val="none"/>
        </w:rPr>
        <w:t>（1）投标截止后，撤销投标的；</w:t>
      </w:r>
    </w:p>
    <w:p>
      <w:pPr>
        <w:ind w:firstLine="420" w:firstLineChars="200"/>
        <w:rPr>
          <w:rFonts w:ascii="宋体" w:hAnsi="宋体"/>
          <w:szCs w:val="21"/>
          <w:highlight w:val="none"/>
        </w:rPr>
      </w:pPr>
      <w:r>
        <w:rPr>
          <w:rFonts w:hint="eastAsia" w:ascii="宋体" w:hAnsi="宋体"/>
          <w:szCs w:val="21"/>
          <w:highlight w:val="none"/>
        </w:rPr>
        <w:t>（2）中标后无正当理由未在规定期限内签订合同的；</w:t>
      </w:r>
    </w:p>
    <w:p>
      <w:pPr>
        <w:ind w:firstLine="420" w:firstLineChars="200"/>
        <w:rPr>
          <w:rFonts w:ascii="宋体" w:hAnsi="宋体"/>
          <w:szCs w:val="21"/>
          <w:highlight w:val="none"/>
        </w:rPr>
      </w:pPr>
      <w:r>
        <w:rPr>
          <w:rFonts w:hint="eastAsia" w:ascii="宋体" w:hAnsi="宋体"/>
          <w:szCs w:val="21"/>
          <w:highlight w:val="none"/>
        </w:rPr>
        <w:t>（3）将中标项目转让给他人、或者在投标文件中未说明且未经采购人、采购招标机构同意，将中标项目分包给他人的；</w:t>
      </w:r>
    </w:p>
    <w:p>
      <w:pPr>
        <w:ind w:firstLine="420" w:firstLineChars="200"/>
        <w:rPr>
          <w:highlight w:val="none"/>
        </w:rPr>
      </w:pPr>
      <w:r>
        <w:rPr>
          <w:rFonts w:hint="eastAsia" w:ascii="宋体" w:hAnsi="宋体"/>
          <w:szCs w:val="21"/>
          <w:highlight w:val="none"/>
        </w:rPr>
        <w:t>（4）拒绝履行合同义务的。</w:t>
      </w:r>
    </w:p>
    <w:bookmarkEnd w:id="95"/>
    <w:p>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质疑处理</w:t>
      </w:r>
    </w:p>
    <w:p>
      <w:pPr>
        <w:ind w:firstLine="420" w:firstLineChars="200"/>
        <w:rPr>
          <w:rFonts w:ascii="黑体" w:hAnsi="宋体" w:eastAsia="黑体"/>
          <w:szCs w:val="21"/>
        </w:rPr>
      </w:pPr>
      <w:r>
        <w:rPr>
          <w:rFonts w:hint="eastAsia" w:ascii="黑体" w:hAnsi="宋体" w:eastAsia="黑体"/>
          <w:szCs w:val="21"/>
        </w:rPr>
        <w:t>52.质疑提出与答复</w:t>
      </w:r>
    </w:p>
    <w:p>
      <w:pPr>
        <w:ind w:firstLine="420" w:firstLineChars="200"/>
        <w:rPr>
          <w:rFonts w:ascii="宋体" w:hAnsi="宋体"/>
          <w:szCs w:val="21"/>
        </w:rPr>
      </w:pPr>
      <w:r>
        <w:rPr>
          <w:rFonts w:hint="eastAsia" w:ascii="宋体" w:hAnsi="宋体"/>
          <w:szCs w:val="21"/>
        </w:rPr>
        <w:t>52.1提出质疑</w:t>
      </w:r>
    </w:p>
    <w:p>
      <w:pPr>
        <w:ind w:firstLine="420" w:firstLineChars="200"/>
        <w:rPr>
          <w:rFonts w:ascii="宋体" w:hAnsi="宋体"/>
          <w:szCs w:val="21"/>
        </w:rPr>
      </w:pPr>
      <w:r>
        <w:rPr>
          <w:rFonts w:hint="eastAsia" w:ascii="宋体" w:hAnsi="宋体"/>
          <w:szCs w:val="21"/>
        </w:rPr>
        <w:t>参与采购活动的供应商认为自己的权益在采购活动中受到损害的，应当自知道或者应当知道其权益受到损害之日起七个工作日内向采</w:t>
      </w:r>
      <w:r>
        <w:rPr>
          <w:rFonts w:hint="eastAsia" w:ascii="宋体" w:hAnsi="宋体"/>
          <w:szCs w:val="21"/>
          <w:highlight w:val="none"/>
        </w:rPr>
        <w:t>购人、</w:t>
      </w:r>
      <w:r>
        <w:rPr>
          <w:rFonts w:hint="eastAsia" w:ascii="宋体" w:hAnsi="宋体"/>
          <w:szCs w:val="21"/>
          <w:highlight w:val="none"/>
          <w:lang w:val="en-US" w:eastAsia="zh-CN"/>
        </w:rPr>
        <w:t>采购代理机构</w:t>
      </w:r>
      <w:r>
        <w:rPr>
          <w:rFonts w:hint="eastAsia" w:ascii="宋体" w:hAnsi="宋体"/>
          <w:szCs w:val="21"/>
          <w:highlight w:val="none"/>
        </w:rPr>
        <w:t>以书面形式提</w:t>
      </w:r>
      <w:r>
        <w:rPr>
          <w:rFonts w:hint="eastAsia" w:ascii="宋体" w:hAnsi="宋体"/>
          <w:szCs w:val="21"/>
        </w:rPr>
        <w:t>出质疑。</w:t>
      </w:r>
    </w:p>
    <w:p>
      <w:pPr>
        <w:ind w:firstLine="420" w:firstLineChars="200"/>
        <w:rPr>
          <w:rFonts w:ascii="宋体" w:hAnsi="宋体"/>
          <w:szCs w:val="21"/>
        </w:rPr>
      </w:pPr>
      <w:r>
        <w:rPr>
          <w:rFonts w:hint="eastAsia" w:ascii="宋体" w:hAnsi="宋体"/>
          <w:szCs w:val="21"/>
        </w:rPr>
        <w:t>52.2法律依据</w:t>
      </w:r>
    </w:p>
    <w:p>
      <w:pPr>
        <w:ind w:firstLine="420" w:firstLineChars="200"/>
        <w:rPr>
          <w:rFonts w:ascii="宋体" w:hAnsi="宋体"/>
          <w:szCs w:val="21"/>
        </w:rPr>
      </w:pPr>
      <w:r>
        <w:rPr>
          <w:rFonts w:hint="eastAsia" w:ascii="宋体" w:hAnsi="宋体"/>
          <w:szCs w:val="21"/>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20" w:firstLineChars="200"/>
        <w:rPr>
          <w:rFonts w:ascii="宋体" w:hAnsi="宋体"/>
          <w:szCs w:val="21"/>
        </w:rPr>
      </w:pPr>
      <w:r>
        <w:rPr>
          <w:rFonts w:hint="eastAsia" w:ascii="宋体" w:hAnsi="宋体"/>
          <w:szCs w:val="21"/>
        </w:rPr>
        <w:t>52.3质疑条件</w:t>
      </w:r>
    </w:p>
    <w:p>
      <w:pPr>
        <w:ind w:firstLine="420" w:firstLineChars="200"/>
        <w:rPr>
          <w:rFonts w:ascii="宋体" w:hAnsi="宋体"/>
          <w:szCs w:val="21"/>
        </w:rPr>
      </w:pPr>
      <w:r>
        <w:rPr>
          <w:rFonts w:hint="eastAsia" w:ascii="宋体" w:hAnsi="宋体"/>
          <w:szCs w:val="21"/>
        </w:rPr>
        <w:t>52.3.1提出质疑的供应商应当是参与所质疑项目采购活动的供应商；</w:t>
      </w:r>
      <w:bookmarkStart w:id="112" w:name="_Hlk75374941"/>
      <w:r>
        <w:rPr>
          <w:rFonts w:hint="eastAsia" w:ascii="宋体" w:hAnsi="宋体"/>
          <w:szCs w:val="21"/>
        </w:rPr>
        <w:t>以联合体形式参与的，质疑应当由组成联合体的所有成员共同提出</w:t>
      </w:r>
      <w:bookmarkEnd w:id="112"/>
      <w:r>
        <w:rPr>
          <w:rFonts w:hint="eastAsia" w:ascii="宋体" w:hAnsi="宋体"/>
          <w:szCs w:val="21"/>
        </w:rPr>
        <w:t>；</w:t>
      </w:r>
    </w:p>
    <w:p>
      <w:pPr>
        <w:ind w:firstLine="420" w:firstLineChars="200"/>
        <w:rPr>
          <w:rFonts w:hint="eastAsia" w:ascii="宋体" w:hAnsi="宋体"/>
          <w:szCs w:val="21"/>
        </w:rPr>
      </w:pPr>
      <w:r>
        <w:rPr>
          <w:rFonts w:hint="eastAsia" w:ascii="宋体" w:hAnsi="宋体"/>
          <w:szCs w:val="21"/>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ind w:firstLine="420" w:firstLineChars="200"/>
        <w:rPr>
          <w:rFonts w:ascii="宋体" w:hAnsi="宋体"/>
          <w:szCs w:val="21"/>
        </w:rPr>
      </w:pPr>
      <w:r>
        <w:rPr>
          <w:rFonts w:hint="eastAsia" w:ascii="宋体" w:hAnsi="宋体"/>
          <w:szCs w:val="21"/>
        </w:rPr>
        <w:t xml:space="preserve">52.3.3应提交书面质疑函，质疑函应当包括以下内容： </w:t>
      </w:r>
    </w:p>
    <w:p>
      <w:pPr>
        <w:ind w:firstLine="420" w:firstLineChars="200"/>
        <w:rPr>
          <w:rFonts w:ascii="宋体" w:hAnsi="宋体"/>
          <w:szCs w:val="21"/>
        </w:rPr>
      </w:pPr>
      <w:r>
        <w:rPr>
          <w:rFonts w:hint="eastAsia" w:ascii="宋体" w:hAnsi="宋体"/>
          <w:szCs w:val="21"/>
        </w:rPr>
        <w:t>（1）供应商的名称（或者姓名）、地址、邮编、邮箱、联系人及联系电话；</w:t>
      </w:r>
    </w:p>
    <w:p>
      <w:pPr>
        <w:ind w:firstLine="420" w:firstLineChars="200"/>
        <w:rPr>
          <w:rFonts w:ascii="宋体" w:hAnsi="宋体"/>
          <w:szCs w:val="21"/>
        </w:rPr>
      </w:pPr>
      <w:r>
        <w:rPr>
          <w:rFonts w:hint="eastAsia" w:ascii="宋体" w:hAnsi="宋体"/>
          <w:szCs w:val="21"/>
        </w:rPr>
        <w:t>（2）质疑项目的名称、编号；</w:t>
      </w:r>
    </w:p>
    <w:p>
      <w:pPr>
        <w:ind w:firstLine="420" w:firstLineChars="200"/>
        <w:rPr>
          <w:rFonts w:ascii="宋体" w:hAnsi="宋体"/>
          <w:szCs w:val="21"/>
        </w:rPr>
      </w:pPr>
      <w:r>
        <w:rPr>
          <w:rFonts w:hint="eastAsia" w:ascii="宋体" w:hAnsi="宋体"/>
          <w:szCs w:val="21"/>
        </w:rPr>
        <w:t>（3）具体、明确的质疑对象、质疑事项和质疑请求；</w:t>
      </w:r>
    </w:p>
    <w:p>
      <w:pPr>
        <w:ind w:firstLine="420" w:firstLineChars="200"/>
        <w:rPr>
          <w:rFonts w:ascii="宋体" w:hAnsi="宋体"/>
          <w:szCs w:val="21"/>
        </w:rPr>
      </w:pPr>
      <w:r>
        <w:rPr>
          <w:rFonts w:hint="eastAsia" w:ascii="宋体" w:hAnsi="宋体"/>
          <w:szCs w:val="21"/>
        </w:rPr>
        <w:t>（4）因质疑事项而受损害的权益；</w:t>
      </w:r>
    </w:p>
    <w:p>
      <w:pPr>
        <w:ind w:firstLine="420" w:firstLineChars="200"/>
        <w:rPr>
          <w:rFonts w:ascii="宋体" w:hAnsi="宋体"/>
          <w:szCs w:val="21"/>
        </w:rPr>
      </w:pPr>
      <w:r>
        <w:rPr>
          <w:rFonts w:hint="eastAsia" w:ascii="宋体" w:hAnsi="宋体"/>
          <w:szCs w:val="21"/>
        </w:rPr>
        <w:t>（5）事实依据；</w:t>
      </w:r>
    </w:p>
    <w:p>
      <w:pPr>
        <w:ind w:firstLine="420" w:firstLineChars="200"/>
        <w:rPr>
          <w:rFonts w:ascii="宋体" w:hAnsi="宋体"/>
          <w:szCs w:val="21"/>
        </w:rPr>
      </w:pPr>
      <w:r>
        <w:rPr>
          <w:rFonts w:hint="eastAsia" w:ascii="宋体" w:hAnsi="宋体"/>
          <w:szCs w:val="21"/>
        </w:rPr>
        <w:t>（6）必要的法律依据；</w:t>
      </w:r>
    </w:p>
    <w:p>
      <w:pPr>
        <w:ind w:firstLine="420" w:firstLineChars="200"/>
        <w:rPr>
          <w:rFonts w:ascii="宋体" w:hAnsi="宋体"/>
          <w:szCs w:val="21"/>
        </w:rPr>
      </w:pPr>
      <w:r>
        <w:rPr>
          <w:rFonts w:hint="eastAsia" w:ascii="宋体" w:hAnsi="宋体"/>
          <w:szCs w:val="21"/>
        </w:rPr>
        <w:t>（7）提出质疑的日期。</w:t>
      </w:r>
    </w:p>
    <w:p>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pPr>
        <w:ind w:firstLine="420" w:firstLineChars="200"/>
        <w:rPr>
          <w:rFonts w:ascii="宋体" w:hAnsi="宋体"/>
          <w:szCs w:val="21"/>
        </w:rPr>
      </w:pPr>
      <w:r>
        <w:rPr>
          <w:rFonts w:hint="eastAsia" w:ascii="宋体" w:hAnsi="宋体"/>
          <w:szCs w:val="21"/>
        </w:rPr>
        <w:t>52.4提交材料</w:t>
      </w:r>
    </w:p>
    <w:p>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20" w:firstLineChars="200"/>
        <w:rPr>
          <w:rFonts w:ascii="宋体" w:hAnsi="宋体"/>
          <w:szCs w:val="21"/>
        </w:rPr>
      </w:pPr>
      <w:r>
        <w:rPr>
          <w:rFonts w:hint="eastAsia" w:ascii="宋体" w:hAnsi="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20" w:firstLineChars="200"/>
        <w:rPr>
          <w:rFonts w:ascii="宋体" w:hAnsi="宋体"/>
          <w:szCs w:val="21"/>
        </w:rPr>
      </w:pPr>
      <w:r>
        <w:rPr>
          <w:rFonts w:hint="eastAsia" w:ascii="宋体" w:hAnsi="宋体"/>
          <w:szCs w:val="21"/>
        </w:rPr>
        <w:t>52.5收文地点</w:t>
      </w:r>
    </w:p>
    <w:p>
      <w:pPr>
        <w:ind w:firstLine="422" w:firstLineChars="200"/>
        <w:rPr>
          <w:rFonts w:ascii="宋体" w:hAnsi="宋体"/>
          <w:b/>
          <w:bCs/>
          <w:szCs w:val="21"/>
        </w:rPr>
      </w:pPr>
      <w:r>
        <w:rPr>
          <w:rFonts w:hint="eastAsia" w:ascii="宋体" w:hAnsi="宋体"/>
          <w:b/>
          <w:bCs/>
          <w:szCs w:val="21"/>
        </w:rPr>
        <w:t>地址：深圳公共资源交易中心（深圳交易集团有限公司政府采购业务分公司）深圳市南山区沙河西路3185号南山智谷A座（深圳交易集团总部大楼）27楼，质疑咨询电话：0755-</w:t>
      </w:r>
      <w:r>
        <w:rPr>
          <w:rFonts w:hint="eastAsia" w:ascii="宋体" w:hAnsi="宋体"/>
          <w:b/>
        </w:rPr>
        <w:t>86500050</w:t>
      </w:r>
      <w:r>
        <w:rPr>
          <w:rFonts w:hint="eastAsia" w:ascii="宋体" w:hAnsi="宋体"/>
          <w:b/>
          <w:bCs/>
          <w:szCs w:val="21"/>
        </w:rPr>
        <w:t>。</w:t>
      </w:r>
    </w:p>
    <w:p>
      <w:pPr>
        <w:ind w:firstLine="420" w:firstLineChars="200"/>
        <w:rPr>
          <w:rFonts w:ascii="宋体" w:hAnsi="宋体"/>
          <w:szCs w:val="21"/>
        </w:rPr>
      </w:pPr>
      <w:r>
        <w:rPr>
          <w:rFonts w:hint="eastAsia" w:ascii="宋体" w:hAnsi="宋体"/>
          <w:szCs w:val="21"/>
        </w:rPr>
        <w:t>52.6收文办理程序</w:t>
      </w:r>
    </w:p>
    <w:p>
      <w:pPr>
        <w:ind w:firstLine="420" w:firstLineChars="200"/>
        <w:rPr>
          <w:rFonts w:ascii="宋体" w:hAnsi="宋体"/>
          <w:szCs w:val="21"/>
          <w:highlight w:val="none"/>
        </w:rPr>
      </w:pPr>
      <w:r>
        <w:rPr>
          <w:rFonts w:hint="eastAsia" w:ascii="宋体" w:hAnsi="宋体"/>
          <w:szCs w:val="21"/>
        </w:rPr>
        <w:t>52.6.1供应商提交的质疑符合受理条</w:t>
      </w:r>
      <w:r>
        <w:rPr>
          <w:rFonts w:hint="eastAsia" w:ascii="宋体" w:hAnsi="宋体"/>
          <w:szCs w:val="21"/>
          <w:highlight w:val="none"/>
        </w:rPr>
        <w:t>件的，</w:t>
      </w:r>
      <w:r>
        <w:rPr>
          <w:rFonts w:hint="eastAsia" w:ascii="宋体" w:hAnsi="宋体"/>
          <w:szCs w:val="21"/>
          <w:highlight w:val="none"/>
          <w:lang w:val="en-US" w:eastAsia="zh-CN"/>
        </w:rPr>
        <w:t>采购代理机构</w:t>
      </w:r>
      <w:r>
        <w:rPr>
          <w:rFonts w:hint="eastAsia" w:ascii="宋体" w:hAnsi="宋体"/>
          <w:szCs w:val="21"/>
          <w:highlight w:val="none"/>
        </w:rPr>
        <w:t>自收到质疑材料之日起即为受理，应当向供应商出具质疑函收文回执并可以要求其递交质疑的法定代表人（负责人）或者授权代理人签署质疑文书送达地址确认书。</w:t>
      </w:r>
    </w:p>
    <w:p>
      <w:pPr>
        <w:ind w:firstLine="420" w:firstLineChars="200"/>
        <w:rPr>
          <w:rFonts w:ascii="仿宋" w:hAnsi="仿宋" w:eastAsia="仿宋"/>
          <w:szCs w:val="21"/>
          <w:highlight w:val="none"/>
        </w:rPr>
      </w:pPr>
      <w:r>
        <w:rPr>
          <w:rFonts w:hint="eastAsia" w:ascii="宋体" w:hAnsi="宋体"/>
          <w:szCs w:val="21"/>
          <w:highlight w:val="none"/>
        </w:rPr>
        <w:t>52.6.2供应商提交的质疑材料不符合质疑条件的，视情况处理：</w:t>
      </w:r>
    </w:p>
    <w:p>
      <w:pPr>
        <w:ind w:firstLine="420" w:firstLineChars="200"/>
        <w:rPr>
          <w:rFonts w:ascii="宋体" w:hAnsi="宋体"/>
          <w:szCs w:val="21"/>
          <w:highlight w:val="none"/>
        </w:rPr>
      </w:pPr>
      <w:r>
        <w:rPr>
          <w:rFonts w:hint="eastAsia" w:ascii="宋体" w:hAnsi="宋体"/>
          <w:szCs w:val="21"/>
          <w:highlight w:val="none"/>
        </w:rPr>
        <w:t>供应商提交的质疑材料不全或者未按要求签字或者盖章的，</w:t>
      </w:r>
      <w:r>
        <w:rPr>
          <w:rFonts w:hint="eastAsia" w:ascii="宋体" w:hAnsi="宋体"/>
          <w:szCs w:val="21"/>
          <w:highlight w:val="none"/>
          <w:lang w:val="en-US" w:eastAsia="zh-CN"/>
        </w:rPr>
        <w:t>采购代理机构</w:t>
      </w:r>
      <w:r>
        <w:rPr>
          <w:rFonts w:hint="eastAsia" w:ascii="宋体" w:hAnsi="宋体"/>
          <w:szCs w:val="21"/>
          <w:highlight w:val="none"/>
        </w:rPr>
        <w:t>应当一次性告知供应商需补正的内容和补正期限。</w:t>
      </w:r>
    </w:p>
    <w:p>
      <w:pPr>
        <w:ind w:firstLine="420" w:firstLineChars="200"/>
        <w:rPr>
          <w:rFonts w:ascii="宋体" w:hAnsi="宋体"/>
          <w:szCs w:val="21"/>
          <w:highlight w:val="none"/>
        </w:rPr>
      </w:pPr>
      <w:r>
        <w:rPr>
          <w:rFonts w:hint="eastAsia" w:ascii="宋体" w:hAnsi="宋体"/>
          <w:szCs w:val="21"/>
          <w:highlight w:val="none"/>
        </w:rPr>
        <w:t>供应商提交的质疑存在下列情形之一的，不予受理：</w:t>
      </w:r>
    </w:p>
    <w:p>
      <w:pPr>
        <w:ind w:firstLine="420" w:firstLineChars="200"/>
        <w:rPr>
          <w:rFonts w:ascii="宋体" w:hAnsi="宋体"/>
          <w:szCs w:val="21"/>
          <w:highlight w:val="none"/>
        </w:rPr>
      </w:pPr>
      <w:r>
        <w:rPr>
          <w:rFonts w:hint="eastAsia" w:ascii="宋体" w:hAnsi="宋体"/>
          <w:szCs w:val="21"/>
          <w:highlight w:val="none"/>
        </w:rPr>
        <w:t>（1）质疑主体不满足要求的；</w:t>
      </w:r>
    </w:p>
    <w:p>
      <w:pPr>
        <w:ind w:firstLine="420" w:firstLineChars="200"/>
        <w:rPr>
          <w:rFonts w:ascii="宋体" w:hAnsi="宋体"/>
          <w:szCs w:val="21"/>
          <w:highlight w:val="none"/>
        </w:rPr>
      </w:pPr>
      <w:r>
        <w:rPr>
          <w:rFonts w:hint="eastAsia" w:ascii="宋体" w:hAnsi="宋体"/>
          <w:szCs w:val="21"/>
          <w:highlight w:val="none"/>
        </w:rPr>
        <w:t>（2）供应商自身权益未受到损害的；</w:t>
      </w:r>
    </w:p>
    <w:p>
      <w:pPr>
        <w:ind w:firstLine="420" w:firstLineChars="200"/>
        <w:rPr>
          <w:rFonts w:ascii="宋体" w:hAnsi="宋体"/>
          <w:szCs w:val="21"/>
          <w:highlight w:val="none"/>
        </w:rPr>
      </w:pPr>
      <w:r>
        <w:rPr>
          <w:rFonts w:hint="eastAsia" w:ascii="宋体" w:hAnsi="宋体"/>
          <w:szCs w:val="21"/>
          <w:highlight w:val="none"/>
        </w:rPr>
        <w:t>（3）供应商未在法定质疑期限内提出质疑的；</w:t>
      </w:r>
    </w:p>
    <w:p>
      <w:pPr>
        <w:ind w:firstLine="420" w:firstLineChars="200"/>
        <w:rPr>
          <w:rFonts w:ascii="宋体" w:hAnsi="宋体"/>
          <w:szCs w:val="21"/>
          <w:highlight w:val="none"/>
        </w:rPr>
      </w:pPr>
      <w:r>
        <w:rPr>
          <w:rFonts w:hint="eastAsia" w:ascii="宋体" w:hAnsi="宋体"/>
          <w:szCs w:val="21"/>
          <w:highlight w:val="none"/>
        </w:rPr>
        <w:t>（4）质疑材料不全或者未按要求签字或者盖章的情况下，要求补正后，逾期未补正或者补正后仍不符合规定的；</w:t>
      </w:r>
    </w:p>
    <w:p>
      <w:pPr>
        <w:ind w:firstLine="420" w:firstLineChars="200"/>
        <w:rPr>
          <w:rFonts w:ascii="宋体" w:hAnsi="宋体"/>
          <w:szCs w:val="21"/>
          <w:highlight w:val="none"/>
        </w:rPr>
      </w:pPr>
      <w:r>
        <w:rPr>
          <w:rFonts w:hint="eastAsia" w:ascii="宋体" w:hAnsi="宋体"/>
          <w:szCs w:val="21"/>
          <w:highlight w:val="none"/>
        </w:rPr>
        <w:t>（5）其他不符合受理条件情形的。</w:t>
      </w:r>
    </w:p>
    <w:p>
      <w:pPr>
        <w:ind w:firstLine="420" w:firstLineChars="200"/>
        <w:rPr>
          <w:rFonts w:ascii="宋体" w:hAnsi="宋体"/>
          <w:szCs w:val="21"/>
        </w:rPr>
      </w:pPr>
      <w:r>
        <w:rPr>
          <w:rFonts w:hint="eastAsia" w:ascii="宋体" w:hAnsi="宋体"/>
          <w:szCs w:val="21"/>
          <w:highlight w:val="none"/>
        </w:rPr>
        <w:t>质疑事项不予受理的，</w:t>
      </w:r>
      <w:r>
        <w:rPr>
          <w:rFonts w:hint="eastAsia" w:ascii="宋体" w:hAnsi="宋体"/>
          <w:szCs w:val="21"/>
          <w:highlight w:val="none"/>
          <w:lang w:val="en-US" w:eastAsia="zh-CN"/>
        </w:rPr>
        <w:t>采购代理机构</w:t>
      </w:r>
      <w:r>
        <w:rPr>
          <w:rFonts w:hint="eastAsia" w:ascii="宋体" w:hAnsi="宋体"/>
          <w:szCs w:val="21"/>
          <w:highlight w:val="none"/>
        </w:rPr>
        <w:t>应当向供应商出具不符</w:t>
      </w:r>
      <w:r>
        <w:rPr>
          <w:rFonts w:hint="eastAsia" w:ascii="宋体" w:hAnsi="宋体"/>
          <w:szCs w:val="21"/>
        </w:rPr>
        <w:t>合质疑条件告知书。</w:t>
      </w:r>
    </w:p>
    <w:p>
      <w:pPr>
        <w:ind w:firstLine="420" w:firstLineChars="200"/>
        <w:rPr>
          <w:rFonts w:ascii="宋体" w:hAnsi="宋体"/>
          <w:szCs w:val="21"/>
        </w:rPr>
      </w:pPr>
      <w:r>
        <w:rPr>
          <w:rFonts w:hint="eastAsia" w:ascii="宋体" w:hAnsi="宋体"/>
          <w:szCs w:val="21"/>
        </w:rPr>
        <w:t>52.7质疑答复时限</w:t>
      </w:r>
    </w:p>
    <w:p>
      <w:pPr>
        <w:ind w:firstLine="420" w:firstLineChars="200"/>
        <w:rPr>
          <w:rFonts w:ascii="宋体" w:hAnsi="宋体"/>
          <w:szCs w:val="21"/>
        </w:rPr>
      </w:pPr>
      <w:r>
        <w:rPr>
          <w:rFonts w:hint="eastAsia" w:ascii="宋体" w:hAnsi="宋体"/>
          <w:szCs w:val="21"/>
        </w:rPr>
        <w:t>自收文之日起七个工作日内。</w:t>
      </w:r>
    </w:p>
    <w:p>
      <w:pPr>
        <w:ind w:firstLine="420" w:firstLineChars="200"/>
        <w:rPr>
          <w:rFonts w:ascii="宋体" w:hAnsi="宋体"/>
          <w:szCs w:val="21"/>
        </w:rPr>
      </w:pPr>
      <w:r>
        <w:rPr>
          <w:rFonts w:hint="eastAsia" w:ascii="宋体" w:hAnsi="宋体"/>
          <w:szCs w:val="21"/>
        </w:rPr>
        <w:t>52.8投诉</w:t>
      </w:r>
    </w:p>
    <w:p>
      <w:pPr>
        <w:ind w:firstLine="420" w:firstLineChars="200"/>
        <w:rPr>
          <w:rFonts w:ascii="宋体" w:hAnsi="宋体"/>
          <w:szCs w:val="21"/>
        </w:rPr>
      </w:pPr>
      <w:r>
        <w:rPr>
          <w:rFonts w:hint="eastAsia" w:ascii="宋体" w:hAnsi="宋体"/>
          <w:szCs w:val="21"/>
        </w:rPr>
        <w:t>对质疑答复不满意或者未在规定时间内答复的，提出质疑的供应商可以在答复期满后15个工作日内</w:t>
      </w:r>
      <w:r>
        <w:rPr>
          <w:rFonts w:hint="eastAsia" w:ascii="宋体" w:hAnsi="宋体"/>
          <w:szCs w:val="21"/>
          <w:highlight w:val="cyan"/>
        </w:rPr>
        <w:t>向</w:t>
      </w:r>
      <w:r>
        <w:rPr>
          <w:rFonts w:hint="eastAsia" w:ascii="宋体" w:hAnsi="宋体"/>
          <w:szCs w:val="21"/>
          <w:highlight w:val="cyan"/>
          <w:lang w:eastAsia="zh-CN"/>
        </w:rPr>
        <w:t>采购文件第一册专用条款，第二章 对通用条款的补充内容及其他关键信息，一、对通用条款的补充内容中规定的单位</w:t>
      </w:r>
      <w:r>
        <w:rPr>
          <w:rFonts w:hint="eastAsia" w:ascii="宋体" w:hAnsi="宋体"/>
          <w:szCs w:val="21"/>
          <w:highlight w:val="cyan"/>
        </w:rPr>
        <w:t>投诉。</w:t>
      </w:r>
    </w:p>
    <w:p>
      <w:pPr>
        <w:ind w:firstLine="420" w:firstLineChars="200"/>
        <w:rPr>
          <w:rFonts w:ascii="黑体" w:hAnsi="宋体" w:eastAsia="黑体"/>
          <w:szCs w:val="21"/>
        </w:rPr>
      </w:pPr>
      <w:r>
        <w:rPr>
          <w:rFonts w:hint="eastAsia" w:ascii="黑体" w:hAnsi="宋体" w:eastAsia="黑体"/>
          <w:szCs w:val="21"/>
        </w:rPr>
        <w:t>53.质疑后续处理</w:t>
      </w:r>
    </w:p>
    <w:p>
      <w:pPr>
        <w:ind w:firstLine="420" w:firstLineChars="200"/>
        <w:rPr>
          <w:rFonts w:ascii="宋体" w:hAnsi="宋体"/>
          <w:szCs w:val="21"/>
        </w:rPr>
      </w:pPr>
      <w:r>
        <w:rPr>
          <w:rFonts w:hint="eastAsia" w:ascii="宋体" w:hAnsi="宋体"/>
          <w:szCs w:val="21"/>
        </w:rPr>
        <w:t>53.1供应商质疑不成立，或者成立但未对中标、成交结果构成影响的，继续开展采购活动。</w:t>
      </w:r>
    </w:p>
    <w:p>
      <w:pPr>
        <w:ind w:firstLine="420" w:firstLineChars="200"/>
        <w:jc w:val="left"/>
        <w:rPr>
          <w:rFonts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ind w:firstLine="420" w:firstLineChars="200"/>
        <w:jc w:val="left"/>
        <w:rPr>
          <w:szCs w:val="21"/>
        </w:rPr>
      </w:pPr>
      <w:r>
        <w:rPr>
          <w:rFonts w:hint="eastAsia" w:ascii="宋体" w:hAnsi="宋体"/>
          <w:szCs w:val="21"/>
        </w:rPr>
        <w:t>53.3被质疑供应商应配合提供质疑答辩意见,并提供相关证据材料,逾期不作书面答辩的,视同放弃答辩权利,依法承担由此可能产生的不利法律后果。</w:t>
      </w:r>
    </w:p>
    <w:p>
      <w:pPr>
        <w:jc w:val="center"/>
      </w:pPr>
      <w:r>
        <w:t>---- END ----</w:t>
      </w:r>
      <w:bookmarkEnd w:id="59"/>
    </w:p>
    <w:p>
      <w:pPr>
        <w:rPr>
          <w:rFonts w:ascii="宋体" w:hAnsi="宋体"/>
          <w:szCs w:val="21"/>
        </w:rPr>
      </w:pPr>
    </w:p>
    <w:p>
      <w:pPr>
        <w:pStyle w:val="5"/>
        <w:rPr>
          <w:szCs w:val="21"/>
        </w:rPr>
      </w:pPr>
    </w:p>
    <w:sectPr>
      <w:headerReference r:id="rId4" w:type="first"/>
      <w:headerReference r:id="rId3" w:type="default"/>
      <w:footerReference r:id="rId5" w:type="default"/>
      <w:footerReference r:id="rId6" w:type="even"/>
      <w:pgSz w:w="11907" w:h="16840"/>
      <w:pgMar w:top="1361" w:right="1417" w:bottom="1417" w:left="141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D11DF02-871A-4D77-9523-4C471A2C6A1C}"/>
  </w:font>
  <w:font w:name="黑体">
    <w:panose1 w:val="02010609060101010101"/>
    <w:charset w:val="86"/>
    <w:family w:val="auto"/>
    <w:pitch w:val="default"/>
    <w:sig w:usb0="800002BF" w:usb1="38CF7CFA" w:usb2="00000016" w:usb3="00000000" w:csb0="00040001" w:csb1="00000000"/>
    <w:embedRegular r:id="rId2" w:fontKey="{02D01F65-A0AA-4D70-8E55-8912822CD0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67175ECD-BE3A-4F76-9071-72DA5BA14329}"/>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embedRegular r:id="rId4" w:fontKey="{319C525F-4F58-4169-95F4-A5AA9295B80F}"/>
  </w:font>
  <w:font w:name="ˎ̥">
    <w:altName w:val="Times New Roman"/>
    <w:panose1 w:val="00000000000000000000"/>
    <w:charset w:val="00"/>
    <w:family w:val="roman"/>
    <w:pitch w:val="default"/>
    <w:sig w:usb0="00000000" w:usb1="00000000" w:usb2="00000000" w:usb3="00000000" w:csb0="00040001" w:csb1="00000000"/>
    <w:embedRegular r:id="rId5" w:fontKey="{F1A80261-83E2-4A8E-971A-6DD17EE5481C}"/>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6" w:fontKey="{067C1E38-3E9B-4380-9738-9B3A2264FC40}"/>
  </w:font>
  <w:font w:name="Segoe UI Symbol">
    <w:panose1 w:val="020B0502040204020203"/>
    <w:charset w:val="00"/>
    <w:family w:val="swiss"/>
    <w:pitch w:val="default"/>
    <w:sig w:usb0="800001E3" w:usb1="1200FFEF" w:usb2="00040000" w:usb3="04000000" w:csb0="00000001" w:csb1="40000000"/>
    <w:embedRegular r:id="rId7" w:fontKey="{7B7DCA6B-999D-4872-A0ED-EA83289890CD}"/>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center" w:y="1"/>
      <w:rPr>
        <w:rStyle w:val="46"/>
      </w:rPr>
    </w:pPr>
    <w:r>
      <w:t xml:space="preserve">- </w:t>
    </w:r>
    <w:r>
      <w:fldChar w:fldCharType="begin"/>
    </w:r>
    <w:r>
      <w:instrText xml:space="preserve"> PAGE </w:instrText>
    </w:r>
    <w:r>
      <w:fldChar w:fldCharType="separate"/>
    </w:r>
    <w:r>
      <w:t>46</w:t>
    </w:r>
    <w:r>
      <w:fldChar w:fldCharType="end"/>
    </w:r>
    <w:r>
      <w:t xml:space="preserve"> -</w:t>
    </w:r>
  </w:p>
  <w:p>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center" w:y="1"/>
      <w:rPr>
        <w:rStyle w:val="46"/>
      </w:rPr>
    </w:pPr>
    <w:r>
      <w:rPr>
        <w:rStyle w:val="46"/>
      </w:rPr>
      <w:fldChar w:fldCharType="begin"/>
    </w:r>
    <w:r>
      <w:rPr>
        <w:rStyle w:val="46"/>
      </w:rPr>
      <w:instrText xml:space="preserve">PAGE  </w:instrText>
    </w:r>
    <w:r>
      <w:rPr>
        <w:rStyle w:val="46"/>
      </w:rPr>
      <w:fldChar w:fldCharType="separate"/>
    </w:r>
    <w:r>
      <w:rPr>
        <w:rStyle w:val="46"/>
      </w:rPr>
      <w:t>10</w:t>
    </w:r>
    <w:r>
      <w:rPr>
        <w:rStyle w:val="46"/>
      </w:rPr>
      <w:fldChar w:fldCharType="end"/>
    </w:r>
  </w:p>
  <w:p>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BF41D"/>
    <w:multiLevelType w:val="multilevel"/>
    <w:tmpl w:val="A7BBF41D"/>
    <w:lvl w:ilvl="0" w:tentative="0">
      <w:start w:val="2"/>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BB2B9361"/>
    <w:multiLevelType w:val="singleLevel"/>
    <w:tmpl w:val="BB2B9361"/>
    <w:lvl w:ilvl="0" w:tentative="0">
      <w:start w:val="2"/>
      <w:numFmt w:val="chineseCounting"/>
      <w:suff w:val="nothing"/>
      <w:lvlText w:val="%1、"/>
      <w:lvlJc w:val="left"/>
      <w:rPr>
        <w:rFonts w:hint="eastAsia"/>
      </w:rPr>
    </w:lvl>
  </w:abstractNum>
  <w:abstractNum w:abstractNumId="2">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3">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4">
    <w:nsid w:val="0000000B"/>
    <w:multiLevelType w:val="multilevel"/>
    <w:tmpl w:val="0000000B"/>
    <w:lvl w:ilvl="0" w:tentative="0">
      <w:start w:val="1"/>
      <w:numFmt w:val="japaneseCounting"/>
      <w:lvlText w:val="第%1章"/>
      <w:lvlJc w:val="left"/>
      <w:pPr>
        <w:ind w:left="1080" w:hanging="108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2503483"/>
    <w:multiLevelType w:val="multilevel"/>
    <w:tmpl w:val="12503483"/>
    <w:lvl w:ilvl="0" w:tentative="0">
      <w:start w:val="1"/>
      <w:numFmt w:val="bullet"/>
      <w:pStyle w:val="113"/>
      <w:lvlText w:val=""/>
      <w:lvlJc w:val="left"/>
      <w:pPr>
        <w:tabs>
          <w:tab w:val="left" w:pos="420"/>
        </w:tabs>
        <w:ind w:left="420" w:hanging="420"/>
      </w:pPr>
      <w:rPr>
        <w:rFonts w:hint="default" w:ascii="Wingdings" w:hAnsi="Wingdings"/>
      </w:rPr>
    </w:lvl>
    <w:lvl w:ilvl="1" w:tentative="0">
      <w:start w:val="1"/>
      <w:numFmt w:val="bullet"/>
      <w:pStyle w:val="112"/>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160D20D0"/>
    <w:multiLevelType w:val="multilevel"/>
    <w:tmpl w:val="160D20D0"/>
    <w:lvl w:ilvl="0" w:tentative="0">
      <w:start w:val="1"/>
      <w:numFmt w:val="bullet"/>
      <w:pStyle w:val="81"/>
      <w:lvlText w:val=""/>
      <w:lvlJc w:val="left"/>
      <w:pPr>
        <w:tabs>
          <w:tab w:val="left" w:pos="840"/>
        </w:tabs>
        <w:ind w:left="840" w:hanging="420"/>
      </w:pPr>
      <w:rPr>
        <w:rFonts w:hint="default" w:ascii="Wingdings" w:hAnsi="Wingdings"/>
      </w:rPr>
    </w:lvl>
    <w:lvl w:ilvl="1" w:tentative="0">
      <w:start w:val="1"/>
      <w:numFmt w:val="bullet"/>
      <w:pStyle w:val="8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2F395B7B"/>
    <w:multiLevelType w:val="multilevel"/>
    <w:tmpl w:val="2F395B7B"/>
    <w:lvl w:ilvl="0" w:tentative="0">
      <w:start w:val="1"/>
      <w:numFmt w:val="bullet"/>
      <w:pStyle w:val="173"/>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8">
    <w:nsid w:val="7AEF7716"/>
    <w:multiLevelType w:val="multilevel"/>
    <w:tmpl w:val="7AEF7716"/>
    <w:lvl w:ilvl="0" w:tentative="0">
      <w:start w:val="1"/>
      <w:numFmt w:val="chineseCountingThousand"/>
      <w:pStyle w:val="126"/>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C8FFDF2"/>
    <w:multiLevelType w:val="singleLevel"/>
    <w:tmpl w:val="7C8FFDF2"/>
    <w:lvl w:ilvl="0" w:tentative="0">
      <w:start w:val="2"/>
      <w:numFmt w:val="chineseCounting"/>
      <w:suff w:val="nothing"/>
      <w:lvlText w:val="（%1）"/>
      <w:lvlJc w:val="left"/>
      <w:rPr>
        <w:rFonts w:hint="eastAsia"/>
      </w:rPr>
    </w:lvl>
  </w:abstractNum>
  <w:abstractNum w:abstractNumId="10">
    <w:nsid w:val="7F540BA1"/>
    <w:multiLevelType w:val="multilevel"/>
    <w:tmpl w:val="7F540BA1"/>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num>
  <w:num w:numId="2">
    <w:abstractNumId w:val="2"/>
  </w:num>
  <w:num w:numId="3">
    <w:abstractNumId w:val="6"/>
  </w:num>
  <w:num w:numId="4">
    <w:abstractNumId w:val="5"/>
  </w:num>
  <w:num w:numId="5">
    <w:abstractNumId w:val="8"/>
  </w:num>
  <w:num w:numId="6">
    <w:abstractNumId w:val="7"/>
  </w:num>
  <w:num w:numId="7">
    <w:abstractNumId w:val="9"/>
  </w:num>
  <w:num w:numId="8">
    <w:abstractNumId w:val="1"/>
  </w:num>
  <w:num w:numId="9">
    <w:abstractNumId w:val="10"/>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大白熊与小花花">
    <w15:presenceInfo w15:providerId="WPS Office" w15:userId="1883339839"/>
  </w15:person>
  <w15:person w15:author="政府采购业务部吴工">
    <w15:presenceInfo w15:providerId="None" w15:userId="政府采购业务部吴工"/>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jNGZhN2ExYjUxMDkzYzQxZDdkYjEyMWJiYjNmMjIifQ=="/>
  </w:docVars>
  <w:rsids>
    <w:rsidRoot w:val="006C5683"/>
    <w:rsid w:val="00000AD9"/>
    <w:rsid w:val="000041AD"/>
    <w:rsid w:val="000043C0"/>
    <w:rsid w:val="000050CA"/>
    <w:rsid w:val="000051C6"/>
    <w:rsid w:val="00005215"/>
    <w:rsid w:val="00005A10"/>
    <w:rsid w:val="00005D3D"/>
    <w:rsid w:val="00006F7B"/>
    <w:rsid w:val="00007355"/>
    <w:rsid w:val="00007951"/>
    <w:rsid w:val="00007DB0"/>
    <w:rsid w:val="00010063"/>
    <w:rsid w:val="00010102"/>
    <w:rsid w:val="00011EA6"/>
    <w:rsid w:val="00012B21"/>
    <w:rsid w:val="00012CCE"/>
    <w:rsid w:val="0001300F"/>
    <w:rsid w:val="00013262"/>
    <w:rsid w:val="0001480D"/>
    <w:rsid w:val="00014A5C"/>
    <w:rsid w:val="00015388"/>
    <w:rsid w:val="00015BDD"/>
    <w:rsid w:val="00015C88"/>
    <w:rsid w:val="000162DC"/>
    <w:rsid w:val="000169F2"/>
    <w:rsid w:val="00016D97"/>
    <w:rsid w:val="0001716B"/>
    <w:rsid w:val="00017F81"/>
    <w:rsid w:val="00020691"/>
    <w:rsid w:val="000211EA"/>
    <w:rsid w:val="00021953"/>
    <w:rsid w:val="000234B2"/>
    <w:rsid w:val="00025AE4"/>
    <w:rsid w:val="0002684B"/>
    <w:rsid w:val="000269F0"/>
    <w:rsid w:val="00027645"/>
    <w:rsid w:val="00027DAC"/>
    <w:rsid w:val="000300AE"/>
    <w:rsid w:val="000300EE"/>
    <w:rsid w:val="000302B6"/>
    <w:rsid w:val="0003106D"/>
    <w:rsid w:val="00031700"/>
    <w:rsid w:val="00031F6E"/>
    <w:rsid w:val="0003277F"/>
    <w:rsid w:val="00032948"/>
    <w:rsid w:val="00032ACA"/>
    <w:rsid w:val="00032B0A"/>
    <w:rsid w:val="0003315D"/>
    <w:rsid w:val="00033DE7"/>
    <w:rsid w:val="0003541F"/>
    <w:rsid w:val="00035817"/>
    <w:rsid w:val="00035CD1"/>
    <w:rsid w:val="00036A2B"/>
    <w:rsid w:val="000377D2"/>
    <w:rsid w:val="00040D3C"/>
    <w:rsid w:val="00040E5A"/>
    <w:rsid w:val="000417D2"/>
    <w:rsid w:val="00042897"/>
    <w:rsid w:val="00042C84"/>
    <w:rsid w:val="00043739"/>
    <w:rsid w:val="00043A89"/>
    <w:rsid w:val="00045739"/>
    <w:rsid w:val="00046D30"/>
    <w:rsid w:val="000510B6"/>
    <w:rsid w:val="00051133"/>
    <w:rsid w:val="00051EB5"/>
    <w:rsid w:val="00051F3F"/>
    <w:rsid w:val="000521D8"/>
    <w:rsid w:val="00052BC1"/>
    <w:rsid w:val="00053A89"/>
    <w:rsid w:val="00054D1F"/>
    <w:rsid w:val="0005582B"/>
    <w:rsid w:val="00056247"/>
    <w:rsid w:val="00056292"/>
    <w:rsid w:val="00056C11"/>
    <w:rsid w:val="00057302"/>
    <w:rsid w:val="00057332"/>
    <w:rsid w:val="0005785A"/>
    <w:rsid w:val="00057D00"/>
    <w:rsid w:val="00057DC0"/>
    <w:rsid w:val="00060B1F"/>
    <w:rsid w:val="0006267A"/>
    <w:rsid w:val="00062D0D"/>
    <w:rsid w:val="0006335B"/>
    <w:rsid w:val="00063C25"/>
    <w:rsid w:val="00064231"/>
    <w:rsid w:val="000647AF"/>
    <w:rsid w:val="00064892"/>
    <w:rsid w:val="00064C7A"/>
    <w:rsid w:val="00066026"/>
    <w:rsid w:val="000661FF"/>
    <w:rsid w:val="00066537"/>
    <w:rsid w:val="0006660A"/>
    <w:rsid w:val="0006670C"/>
    <w:rsid w:val="00067960"/>
    <w:rsid w:val="0007003A"/>
    <w:rsid w:val="00070210"/>
    <w:rsid w:val="000707BF"/>
    <w:rsid w:val="000722CF"/>
    <w:rsid w:val="0007277D"/>
    <w:rsid w:val="00072C34"/>
    <w:rsid w:val="000734CD"/>
    <w:rsid w:val="00074403"/>
    <w:rsid w:val="00074CF0"/>
    <w:rsid w:val="000750DC"/>
    <w:rsid w:val="00075735"/>
    <w:rsid w:val="0007583C"/>
    <w:rsid w:val="00076057"/>
    <w:rsid w:val="000770EC"/>
    <w:rsid w:val="00081E95"/>
    <w:rsid w:val="00082667"/>
    <w:rsid w:val="00082AD2"/>
    <w:rsid w:val="00083DC6"/>
    <w:rsid w:val="000840D4"/>
    <w:rsid w:val="00084857"/>
    <w:rsid w:val="00084F26"/>
    <w:rsid w:val="0008503C"/>
    <w:rsid w:val="000850AF"/>
    <w:rsid w:val="0008517A"/>
    <w:rsid w:val="000852EB"/>
    <w:rsid w:val="00086539"/>
    <w:rsid w:val="000869D8"/>
    <w:rsid w:val="00086CA6"/>
    <w:rsid w:val="00090213"/>
    <w:rsid w:val="000903AC"/>
    <w:rsid w:val="000904F3"/>
    <w:rsid w:val="00092FC7"/>
    <w:rsid w:val="00093133"/>
    <w:rsid w:val="0009395E"/>
    <w:rsid w:val="00094603"/>
    <w:rsid w:val="000954D5"/>
    <w:rsid w:val="00095723"/>
    <w:rsid w:val="0009618D"/>
    <w:rsid w:val="0009709B"/>
    <w:rsid w:val="000975E3"/>
    <w:rsid w:val="00097B87"/>
    <w:rsid w:val="00097DDA"/>
    <w:rsid w:val="000A1DD1"/>
    <w:rsid w:val="000A21A5"/>
    <w:rsid w:val="000A2A76"/>
    <w:rsid w:val="000A3908"/>
    <w:rsid w:val="000A4C29"/>
    <w:rsid w:val="000A5EA4"/>
    <w:rsid w:val="000A69DB"/>
    <w:rsid w:val="000A6E2B"/>
    <w:rsid w:val="000A79D3"/>
    <w:rsid w:val="000A7F0F"/>
    <w:rsid w:val="000B05E2"/>
    <w:rsid w:val="000B0C99"/>
    <w:rsid w:val="000B0F8B"/>
    <w:rsid w:val="000B2213"/>
    <w:rsid w:val="000B2568"/>
    <w:rsid w:val="000B41BB"/>
    <w:rsid w:val="000B5357"/>
    <w:rsid w:val="000B5853"/>
    <w:rsid w:val="000B5918"/>
    <w:rsid w:val="000B597F"/>
    <w:rsid w:val="000B634D"/>
    <w:rsid w:val="000B7465"/>
    <w:rsid w:val="000B7E42"/>
    <w:rsid w:val="000C14CB"/>
    <w:rsid w:val="000C18BC"/>
    <w:rsid w:val="000C1EE4"/>
    <w:rsid w:val="000C1FF9"/>
    <w:rsid w:val="000C21C4"/>
    <w:rsid w:val="000C4151"/>
    <w:rsid w:val="000C4425"/>
    <w:rsid w:val="000C4B12"/>
    <w:rsid w:val="000C4FCB"/>
    <w:rsid w:val="000C5EA0"/>
    <w:rsid w:val="000C5FA7"/>
    <w:rsid w:val="000C65E4"/>
    <w:rsid w:val="000C7E71"/>
    <w:rsid w:val="000D16AA"/>
    <w:rsid w:val="000D1A7D"/>
    <w:rsid w:val="000D2309"/>
    <w:rsid w:val="000D2CCA"/>
    <w:rsid w:val="000D366B"/>
    <w:rsid w:val="000D38F9"/>
    <w:rsid w:val="000D4664"/>
    <w:rsid w:val="000D5D6B"/>
    <w:rsid w:val="000D62C8"/>
    <w:rsid w:val="000D7A20"/>
    <w:rsid w:val="000E0BFC"/>
    <w:rsid w:val="000E161C"/>
    <w:rsid w:val="000E266E"/>
    <w:rsid w:val="000E2B61"/>
    <w:rsid w:val="000E470B"/>
    <w:rsid w:val="000E4A66"/>
    <w:rsid w:val="000E4DE8"/>
    <w:rsid w:val="000E50F5"/>
    <w:rsid w:val="000E5906"/>
    <w:rsid w:val="000E5E99"/>
    <w:rsid w:val="000E73D9"/>
    <w:rsid w:val="000F0C3B"/>
    <w:rsid w:val="000F0E9F"/>
    <w:rsid w:val="000F151A"/>
    <w:rsid w:val="000F1540"/>
    <w:rsid w:val="000F2065"/>
    <w:rsid w:val="000F256D"/>
    <w:rsid w:val="000F2A88"/>
    <w:rsid w:val="000F2C23"/>
    <w:rsid w:val="000F2D1B"/>
    <w:rsid w:val="000F3658"/>
    <w:rsid w:val="000F3697"/>
    <w:rsid w:val="000F3B37"/>
    <w:rsid w:val="000F3F12"/>
    <w:rsid w:val="000F4478"/>
    <w:rsid w:val="000F565B"/>
    <w:rsid w:val="000F5C6C"/>
    <w:rsid w:val="000F5F3F"/>
    <w:rsid w:val="00100570"/>
    <w:rsid w:val="0010184B"/>
    <w:rsid w:val="00101CE5"/>
    <w:rsid w:val="00101DD0"/>
    <w:rsid w:val="00102555"/>
    <w:rsid w:val="001029C0"/>
    <w:rsid w:val="00102B4B"/>
    <w:rsid w:val="00103AB9"/>
    <w:rsid w:val="00103E80"/>
    <w:rsid w:val="00104CC6"/>
    <w:rsid w:val="001061A4"/>
    <w:rsid w:val="00107187"/>
    <w:rsid w:val="00107272"/>
    <w:rsid w:val="00107D54"/>
    <w:rsid w:val="00110B62"/>
    <w:rsid w:val="001110F0"/>
    <w:rsid w:val="00111581"/>
    <w:rsid w:val="00111CEB"/>
    <w:rsid w:val="00111F8F"/>
    <w:rsid w:val="0011235F"/>
    <w:rsid w:val="0011245C"/>
    <w:rsid w:val="00114BCB"/>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12D1"/>
    <w:rsid w:val="00132FD3"/>
    <w:rsid w:val="00133A61"/>
    <w:rsid w:val="001341E8"/>
    <w:rsid w:val="001362BD"/>
    <w:rsid w:val="0013673A"/>
    <w:rsid w:val="00137F86"/>
    <w:rsid w:val="001410EB"/>
    <w:rsid w:val="00141B41"/>
    <w:rsid w:val="0014335A"/>
    <w:rsid w:val="00143554"/>
    <w:rsid w:val="00143653"/>
    <w:rsid w:val="00143934"/>
    <w:rsid w:val="00143B3A"/>
    <w:rsid w:val="00143E43"/>
    <w:rsid w:val="00143FFC"/>
    <w:rsid w:val="001453B3"/>
    <w:rsid w:val="00146ABB"/>
    <w:rsid w:val="00147338"/>
    <w:rsid w:val="00147A48"/>
    <w:rsid w:val="00150143"/>
    <w:rsid w:val="0015073C"/>
    <w:rsid w:val="001509AB"/>
    <w:rsid w:val="001529F9"/>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C26"/>
    <w:rsid w:val="00164E23"/>
    <w:rsid w:val="0016595F"/>
    <w:rsid w:val="00166A2C"/>
    <w:rsid w:val="00166BF2"/>
    <w:rsid w:val="00166CC3"/>
    <w:rsid w:val="00166F71"/>
    <w:rsid w:val="00167DF2"/>
    <w:rsid w:val="001709DE"/>
    <w:rsid w:val="00170A9E"/>
    <w:rsid w:val="0017121A"/>
    <w:rsid w:val="00171401"/>
    <w:rsid w:val="00171777"/>
    <w:rsid w:val="001719FB"/>
    <w:rsid w:val="00172664"/>
    <w:rsid w:val="0017270B"/>
    <w:rsid w:val="00172B65"/>
    <w:rsid w:val="00172EF5"/>
    <w:rsid w:val="001732E1"/>
    <w:rsid w:val="00175189"/>
    <w:rsid w:val="00175D12"/>
    <w:rsid w:val="0017613E"/>
    <w:rsid w:val="00177167"/>
    <w:rsid w:val="00177F97"/>
    <w:rsid w:val="0018099E"/>
    <w:rsid w:val="00181A71"/>
    <w:rsid w:val="0018261B"/>
    <w:rsid w:val="0018274C"/>
    <w:rsid w:val="001834A7"/>
    <w:rsid w:val="0018373B"/>
    <w:rsid w:val="00183B40"/>
    <w:rsid w:val="00183C79"/>
    <w:rsid w:val="00183C8B"/>
    <w:rsid w:val="00183E75"/>
    <w:rsid w:val="001845CF"/>
    <w:rsid w:val="00185A98"/>
    <w:rsid w:val="001865BB"/>
    <w:rsid w:val="00187518"/>
    <w:rsid w:val="00187743"/>
    <w:rsid w:val="00187CEC"/>
    <w:rsid w:val="0019046F"/>
    <w:rsid w:val="0019096C"/>
    <w:rsid w:val="00191EA7"/>
    <w:rsid w:val="00192164"/>
    <w:rsid w:val="001928BD"/>
    <w:rsid w:val="00193EB7"/>
    <w:rsid w:val="00193F48"/>
    <w:rsid w:val="001944F0"/>
    <w:rsid w:val="00194ACA"/>
    <w:rsid w:val="00194C98"/>
    <w:rsid w:val="00194FB7"/>
    <w:rsid w:val="00196357"/>
    <w:rsid w:val="00196B4E"/>
    <w:rsid w:val="001975A1"/>
    <w:rsid w:val="001A027A"/>
    <w:rsid w:val="001A08E4"/>
    <w:rsid w:val="001A0D2C"/>
    <w:rsid w:val="001A11D8"/>
    <w:rsid w:val="001A12B5"/>
    <w:rsid w:val="001A174B"/>
    <w:rsid w:val="001A1C72"/>
    <w:rsid w:val="001A2976"/>
    <w:rsid w:val="001A3980"/>
    <w:rsid w:val="001A3B1B"/>
    <w:rsid w:val="001A3D2F"/>
    <w:rsid w:val="001A422B"/>
    <w:rsid w:val="001A440A"/>
    <w:rsid w:val="001A47C6"/>
    <w:rsid w:val="001A4A55"/>
    <w:rsid w:val="001A5C6F"/>
    <w:rsid w:val="001A6A4F"/>
    <w:rsid w:val="001A76B7"/>
    <w:rsid w:val="001B015C"/>
    <w:rsid w:val="001B1339"/>
    <w:rsid w:val="001B1B58"/>
    <w:rsid w:val="001B1D3B"/>
    <w:rsid w:val="001B1F55"/>
    <w:rsid w:val="001B2049"/>
    <w:rsid w:val="001B2934"/>
    <w:rsid w:val="001B4A37"/>
    <w:rsid w:val="001B4BB2"/>
    <w:rsid w:val="001B6FAD"/>
    <w:rsid w:val="001C04B2"/>
    <w:rsid w:val="001C13DE"/>
    <w:rsid w:val="001C1FDE"/>
    <w:rsid w:val="001C2063"/>
    <w:rsid w:val="001C21E1"/>
    <w:rsid w:val="001C3426"/>
    <w:rsid w:val="001C4768"/>
    <w:rsid w:val="001C5839"/>
    <w:rsid w:val="001C583F"/>
    <w:rsid w:val="001C6431"/>
    <w:rsid w:val="001C6AF6"/>
    <w:rsid w:val="001C7129"/>
    <w:rsid w:val="001C77E1"/>
    <w:rsid w:val="001C7ADA"/>
    <w:rsid w:val="001D0FD3"/>
    <w:rsid w:val="001D121D"/>
    <w:rsid w:val="001D1C29"/>
    <w:rsid w:val="001D1E1B"/>
    <w:rsid w:val="001D3543"/>
    <w:rsid w:val="001D35FD"/>
    <w:rsid w:val="001D3B85"/>
    <w:rsid w:val="001D3DF1"/>
    <w:rsid w:val="001D4151"/>
    <w:rsid w:val="001D4BB9"/>
    <w:rsid w:val="001D501B"/>
    <w:rsid w:val="001D58E5"/>
    <w:rsid w:val="001D5EAE"/>
    <w:rsid w:val="001E07AA"/>
    <w:rsid w:val="001E0FAB"/>
    <w:rsid w:val="001E1880"/>
    <w:rsid w:val="001E2502"/>
    <w:rsid w:val="001E292F"/>
    <w:rsid w:val="001E351C"/>
    <w:rsid w:val="001E38F8"/>
    <w:rsid w:val="001E474D"/>
    <w:rsid w:val="001E506D"/>
    <w:rsid w:val="001E5194"/>
    <w:rsid w:val="001E5A81"/>
    <w:rsid w:val="001E62FB"/>
    <w:rsid w:val="001E6A0B"/>
    <w:rsid w:val="001E6B23"/>
    <w:rsid w:val="001E77DA"/>
    <w:rsid w:val="001E7A2F"/>
    <w:rsid w:val="001E7AB0"/>
    <w:rsid w:val="001E7DD0"/>
    <w:rsid w:val="001F0349"/>
    <w:rsid w:val="001F077B"/>
    <w:rsid w:val="001F0B74"/>
    <w:rsid w:val="001F2648"/>
    <w:rsid w:val="001F35BF"/>
    <w:rsid w:val="001F41B9"/>
    <w:rsid w:val="001F4BE8"/>
    <w:rsid w:val="001F4EB8"/>
    <w:rsid w:val="001F560A"/>
    <w:rsid w:val="001F5FF7"/>
    <w:rsid w:val="001F6318"/>
    <w:rsid w:val="001F65B1"/>
    <w:rsid w:val="001F6B83"/>
    <w:rsid w:val="001F6F6A"/>
    <w:rsid w:val="001F7595"/>
    <w:rsid w:val="001F7C3B"/>
    <w:rsid w:val="001F7FE7"/>
    <w:rsid w:val="002000B8"/>
    <w:rsid w:val="00200B4C"/>
    <w:rsid w:val="00201D62"/>
    <w:rsid w:val="00203267"/>
    <w:rsid w:val="00203897"/>
    <w:rsid w:val="0020391D"/>
    <w:rsid w:val="00205AE4"/>
    <w:rsid w:val="00205CDC"/>
    <w:rsid w:val="00205F9C"/>
    <w:rsid w:val="002060F7"/>
    <w:rsid w:val="00207BC6"/>
    <w:rsid w:val="00210771"/>
    <w:rsid w:val="00210C22"/>
    <w:rsid w:val="00211885"/>
    <w:rsid w:val="00212ADF"/>
    <w:rsid w:val="00212B9E"/>
    <w:rsid w:val="002134CF"/>
    <w:rsid w:val="00213A60"/>
    <w:rsid w:val="0021429B"/>
    <w:rsid w:val="00215699"/>
    <w:rsid w:val="002159DE"/>
    <w:rsid w:val="00215B1C"/>
    <w:rsid w:val="00215E99"/>
    <w:rsid w:val="002162E6"/>
    <w:rsid w:val="0021667D"/>
    <w:rsid w:val="002166A1"/>
    <w:rsid w:val="002166A6"/>
    <w:rsid w:val="00216BB6"/>
    <w:rsid w:val="002170F0"/>
    <w:rsid w:val="00217BA3"/>
    <w:rsid w:val="0022048B"/>
    <w:rsid w:val="002207F8"/>
    <w:rsid w:val="0022175C"/>
    <w:rsid w:val="00222261"/>
    <w:rsid w:val="00222773"/>
    <w:rsid w:val="00223AB6"/>
    <w:rsid w:val="00223AC8"/>
    <w:rsid w:val="00223C96"/>
    <w:rsid w:val="00224852"/>
    <w:rsid w:val="00225935"/>
    <w:rsid w:val="0022634D"/>
    <w:rsid w:val="00226437"/>
    <w:rsid w:val="0022711A"/>
    <w:rsid w:val="00227512"/>
    <w:rsid w:val="0022766E"/>
    <w:rsid w:val="002278D5"/>
    <w:rsid w:val="00227C13"/>
    <w:rsid w:val="00227D49"/>
    <w:rsid w:val="00227FC7"/>
    <w:rsid w:val="00230C3C"/>
    <w:rsid w:val="00230F66"/>
    <w:rsid w:val="00233A54"/>
    <w:rsid w:val="00234440"/>
    <w:rsid w:val="002347C9"/>
    <w:rsid w:val="00235A73"/>
    <w:rsid w:val="00236E72"/>
    <w:rsid w:val="002411BD"/>
    <w:rsid w:val="00242209"/>
    <w:rsid w:val="00244711"/>
    <w:rsid w:val="00244AE4"/>
    <w:rsid w:val="00245EBE"/>
    <w:rsid w:val="00246305"/>
    <w:rsid w:val="00246C63"/>
    <w:rsid w:val="002472C1"/>
    <w:rsid w:val="00247343"/>
    <w:rsid w:val="002473F4"/>
    <w:rsid w:val="00250600"/>
    <w:rsid w:val="002506E1"/>
    <w:rsid w:val="00250F42"/>
    <w:rsid w:val="00252934"/>
    <w:rsid w:val="00252EBA"/>
    <w:rsid w:val="0025361A"/>
    <w:rsid w:val="002545EF"/>
    <w:rsid w:val="00254B44"/>
    <w:rsid w:val="00254E99"/>
    <w:rsid w:val="00255B9B"/>
    <w:rsid w:val="00256596"/>
    <w:rsid w:val="0025705E"/>
    <w:rsid w:val="0026027A"/>
    <w:rsid w:val="00260533"/>
    <w:rsid w:val="002605CE"/>
    <w:rsid w:val="00261367"/>
    <w:rsid w:val="00261A54"/>
    <w:rsid w:val="00261C21"/>
    <w:rsid w:val="00261D37"/>
    <w:rsid w:val="00262D6B"/>
    <w:rsid w:val="00262ED0"/>
    <w:rsid w:val="00263607"/>
    <w:rsid w:val="002638EE"/>
    <w:rsid w:val="00263F9C"/>
    <w:rsid w:val="00264965"/>
    <w:rsid w:val="00264EB5"/>
    <w:rsid w:val="002656E1"/>
    <w:rsid w:val="00265CFF"/>
    <w:rsid w:val="002662AC"/>
    <w:rsid w:val="00267D21"/>
    <w:rsid w:val="00267F98"/>
    <w:rsid w:val="002707F2"/>
    <w:rsid w:val="00270B4E"/>
    <w:rsid w:val="00271500"/>
    <w:rsid w:val="00272E57"/>
    <w:rsid w:val="002734A9"/>
    <w:rsid w:val="00274663"/>
    <w:rsid w:val="00275641"/>
    <w:rsid w:val="0027569A"/>
    <w:rsid w:val="002767D9"/>
    <w:rsid w:val="0027757E"/>
    <w:rsid w:val="00280184"/>
    <w:rsid w:val="00280F4B"/>
    <w:rsid w:val="00281152"/>
    <w:rsid w:val="002821E9"/>
    <w:rsid w:val="002827D2"/>
    <w:rsid w:val="00282D7B"/>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3CFB"/>
    <w:rsid w:val="00293EB5"/>
    <w:rsid w:val="0029449E"/>
    <w:rsid w:val="0029488D"/>
    <w:rsid w:val="00294E82"/>
    <w:rsid w:val="002951FD"/>
    <w:rsid w:val="0029530C"/>
    <w:rsid w:val="002955E3"/>
    <w:rsid w:val="00296020"/>
    <w:rsid w:val="0029693F"/>
    <w:rsid w:val="002969C6"/>
    <w:rsid w:val="00296F46"/>
    <w:rsid w:val="00296F8A"/>
    <w:rsid w:val="00297AD1"/>
    <w:rsid w:val="00297CCD"/>
    <w:rsid w:val="002A11CE"/>
    <w:rsid w:val="002A13E2"/>
    <w:rsid w:val="002A180F"/>
    <w:rsid w:val="002A199B"/>
    <w:rsid w:val="002A1B36"/>
    <w:rsid w:val="002A211A"/>
    <w:rsid w:val="002A2BC2"/>
    <w:rsid w:val="002A37E6"/>
    <w:rsid w:val="002A409A"/>
    <w:rsid w:val="002A4BFA"/>
    <w:rsid w:val="002A4D7B"/>
    <w:rsid w:val="002A4DFC"/>
    <w:rsid w:val="002A7EEA"/>
    <w:rsid w:val="002B0660"/>
    <w:rsid w:val="002B18D6"/>
    <w:rsid w:val="002B1B98"/>
    <w:rsid w:val="002B22D4"/>
    <w:rsid w:val="002B3259"/>
    <w:rsid w:val="002B3984"/>
    <w:rsid w:val="002B4595"/>
    <w:rsid w:val="002B45EE"/>
    <w:rsid w:val="002B4BF3"/>
    <w:rsid w:val="002B55C8"/>
    <w:rsid w:val="002B5E4B"/>
    <w:rsid w:val="002B660D"/>
    <w:rsid w:val="002B6C0C"/>
    <w:rsid w:val="002B723D"/>
    <w:rsid w:val="002B7969"/>
    <w:rsid w:val="002B7C07"/>
    <w:rsid w:val="002B7D1C"/>
    <w:rsid w:val="002C0031"/>
    <w:rsid w:val="002C0485"/>
    <w:rsid w:val="002C0762"/>
    <w:rsid w:val="002C0C86"/>
    <w:rsid w:val="002C1397"/>
    <w:rsid w:val="002C257A"/>
    <w:rsid w:val="002C2BEC"/>
    <w:rsid w:val="002C30C0"/>
    <w:rsid w:val="002C4F4B"/>
    <w:rsid w:val="002C5836"/>
    <w:rsid w:val="002C6EC0"/>
    <w:rsid w:val="002C7A58"/>
    <w:rsid w:val="002D0356"/>
    <w:rsid w:val="002D07C0"/>
    <w:rsid w:val="002D08AE"/>
    <w:rsid w:val="002D0F98"/>
    <w:rsid w:val="002D18D7"/>
    <w:rsid w:val="002D1DFB"/>
    <w:rsid w:val="002D2F66"/>
    <w:rsid w:val="002D3196"/>
    <w:rsid w:val="002D45BF"/>
    <w:rsid w:val="002D4A85"/>
    <w:rsid w:val="002D4B65"/>
    <w:rsid w:val="002D5AFC"/>
    <w:rsid w:val="002D6162"/>
    <w:rsid w:val="002D64DF"/>
    <w:rsid w:val="002D71EF"/>
    <w:rsid w:val="002D7F4C"/>
    <w:rsid w:val="002E00F3"/>
    <w:rsid w:val="002E242E"/>
    <w:rsid w:val="002E255F"/>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5CC"/>
    <w:rsid w:val="002F7987"/>
    <w:rsid w:val="002F79D4"/>
    <w:rsid w:val="003005C9"/>
    <w:rsid w:val="00300BF3"/>
    <w:rsid w:val="0030143F"/>
    <w:rsid w:val="00301894"/>
    <w:rsid w:val="00301BCD"/>
    <w:rsid w:val="003024C7"/>
    <w:rsid w:val="00302CD4"/>
    <w:rsid w:val="00303636"/>
    <w:rsid w:val="00303ACF"/>
    <w:rsid w:val="00303C6B"/>
    <w:rsid w:val="0030463E"/>
    <w:rsid w:val="003047AB"/>
    <w:rsid w:val="00304ED6"/>
    <w:rsid w:val="0030661C"/>
    <w:rsid w:val="00306D5D"/>
    <w:rsid w:val="00306FF4"/>
    <w:rsid w:val="003074C6"/>
    <w:rsid w:val="0030757F"/>
    <w:rsid w:val="00307A08"/>
    <w:rsid w:val="0031060A"/>
    <w:rsid w:val="00310B78"/>
    <w:rsid w:val="00310EE1"/>
    <w:rsid w:val="003110CD"/>
    <w:rsid w:val="003122B0"/>
    <w:rsid w:val="00312390"/>
    <w:rsid w:val="003138EB"/>
    <w:rsid w:val="0031450D"/>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827"/>
    <w:rsid w:val="00324A1D"/>
    <w:rsid w:val="00324C55"/>
    <w:rsid w:val="003250B4"/>
    <w:rsid w:val="00325607"/>
    <w:rsid w:val="00325742"/>
    <w:rsid w:val="0032631C"/>
    <w:rsid w:val="00327AB3"/>
    <w:rsid w:val="00327F9E"/>
    <w:rsid w:val="00330527"/>
    <w:rsid w:val="0033071E"/>
    <w:rsid w:val="003318A6"/>
    <w:rsid w:val="003321A8"/>
    <w:rsid w:val="00332EB1"/>
    <w:rsid w:val="003331BB"/>
    <w:rsid w:val="00333E63"/>
    <w:rsid w:val="00334044"/>
    <w:rsid w:val="0033497C"/>
    <w:rsid w:val="00334C1F"/>
    <w:rsid w:val="00334FA0"/>
    <w:rsid w:val="00335188"/>
    <w:rsid w:val="00335234"/>
    <w:rsid w:val="003373B8"/>
    <w:rsid w:val="00340402"/>
    <w:rsid w:val="003413F4"/>
    <w:rsid w:val="00342DC1"/>
    <w:rsid w:val="00342EF7"/>
    <w:rsid w:val="003432B6"/>
    <w:rsid w:val="00343F41"/>
    <w:rsid w:val="0034427F"/>
    <w:rsid w:val="00344BF3"/>
    <w:rsid w:val="00345CC1"/>
    <w:rsid w:val="00345EA7"/>
    <w:rsid w:val="0034629D"/>
    <w:rsid w:val="0034652C"/>
    <w:rsid w:val="00346606"/>
    <w:rsid w:val="0034680C"/>
    <w:rsid w:val="00346B62"/>
    <w:rsid w:val="00346E40"/>
    <w:rsid w:val="00346E73"/>
    <w:rsid w:val="00350219"/>
    <w:rsid w:val="00350368"/>
    <w:rsid w:val="0035067B"/>
    <w:rsid w:val="00350B6E"/>
    <w:rsid w:val="00351A4A"/>
    <w:rsid w:val="00351D95"/>
    <w:rsid w:val="00351E32"/>
    <w:rsid w:val="00351FB4"/>
    <w:rsid w:val="00352E52"/>
    <w:rsid w:val="00353860"/>
    <w:rsid w:val="00353C7B"/>
    <w:rsid w:val="00354CD9"/>
    <w:rsid w:val="003556C1"/>
    <w:rsid w:val="00355EEE"/>
    <w:rsid w:val="00356B23"/>
    <w:rsid w:val="003603E5"/>
    <w:rsid w:val="00360494"/>
    <w:rsid w:val="00360C00"/>
    <w:rsid w:val="00360E7E"/>
    <w:rsid w:val="00361935"/>
    <w:rsid w:val="0036239D"/>
    <w:rsid w:val="003626AE"/>
    <w:rsid w:val="003632AA"/>
    <w:rsid w:val="0036508D"/>
    <w:rsid w:val="003651C8"/>
    <w:rsid w:val="0036548D"/>
    <w:rsid w:val="00366321"/>
    <w:rsid w:val="003669F1"/>
    <w:rsid w:val="00366F10"/>
    <w:rsid w:val="003700A3"/>
    <w:rsid w:val="003706AA"/>
    <w:rsid w:val="00370B40"/>
    <w:rsid w:val="00371C15"/>
    <w:rsid w:val="003720AD"/>
    <w:rsid w:val="00372CDF"/>
    <w:rsid w:val="0037330D"/>
    <w:rsid w:val="00373411"/>
    <w:rsid w:val="00373D40"/>
    <w:rsid w:val="00373F52"/>
    <w:rsid w:val="003741F6"/>
    <w:rsid w:val="00374A29"/>
    <w:rsid w:val="00374DD6"/>
    <w:rsid w:val="00374FA4"/>
    <w:rsid w:val="003756C6"/>
    <w:rsid w:val="00375EF9"/>
    <w:rsid w:val="00375EFF"/>
    <w:rsid w:val="00376E35"/>
    <w:rsid w:val="003773E4"/>
    <w:rsid w:val="00377F6C"/>
    <w:rsid w:val="00380094"/>
    <w:rsid w:val="00380256"/>
    <w:rsid w:val="0038165D"/>
    <w:rsid w:val="003817CA"/>
    <w:rsid w:val="00381812"/>
    <w:rsid w:val="00382BE9"/>
    <w:rsid w:val="00382D6B"/>
    <w:rsid w:val="00383071"/>
    <w:rsid w:val="00383BBC"/>
    <w:rsid w:val="0038418D"/>
    <w:rsid w:val="003849DF"/>
    <w:rsid w:val="00384F0A"/>
    <w:rsid w:val="00385444"/>
    <w:rsid w:val="00385717"/>
    <w:rsid w:val="00385F39"/>
    <w:rsid w:val="00386070"/>
    <w:rsid w:val="003863FD"/>
    <w:rsid w:val="003900A5"/>
    <w:rsid w:val="00390941"/>
    <w:rsid w:val="00390C0A"/>
    <w:rsid w:val="003917AD"/>
    <w:rsid w:val="00391FAB"/>
    <w:rsid w:val="00392539"/>
    <w:rsid w:val="00392677"/>
    <w:rsid w:val="00393431"/>
    <w:rsid w:val="00393633"/>
    <w:rsid w:val="003939C4"/>
    <w:rsid w:val="00393B41"/>
    <w:rsid w:val="003945E2"/>
    <w:rsid w:val="00394981"/>
    <w:rsid w:val="003953A8"/>
    <w:rsid w:val="003958E6"/>
    <w:rsid w:val="00395D76"/>
    <w:rsid w:val="00396F7B"/>
    <w:rsid w:val="00396FA3"/>
    <w:rsid w:val="00397077"/>
    <w:rsid w:val="0039788E"/>
    <w:rsid w:val="00397BCF"/>
    <w:rsid w:val="00397F0D"/>
    <w:rsid w:val="003A0DC3"/>
    <w:rsid w:val="003A1CF5"/>
    <w:rsid w:val="003A2812"/>
    <w:rsid w:val="003A2D0C"/>
    <w:rsid w:val="003A3304"/>
    <w:rsid w:val="003A3551"/>
    <w:rsid w:val="003A38F0"/>
    <w:rsid w:val="003A443D"/>
    <w:rsid w:val="003A4708"/>
    <w:rsid w:val="003A4BAB"/>
    <w:rsid w:val="003A6A5A"/>
    <w:rsid w:val="003A72E9"/>
    <w:rsid w:val="003B06AD"/>
    <w:rsid w:val="003B06B9"/>
    <w:rsid w:val="003B0979"/>
    <w:rsid w:val="003B1033"/>
    <w:rsid w:val="003B15E9"/>
    <w:rsid w:val="003B175A"/>
    <w:rsid w:val="003B2FC6"/>
    <w:rsid w:val="003B3231"/>
    <w:rsid w:val="003B357A"/>
    <w:rsid w:val="003B4714"/>
    <w:rsid w:val="003B499C"/>
    <w:rsid w:val="003B4CCD"/>
    <w:rsid w:val="003B522D"/>
    <w:rsid w:val="003B53D4"/>
    <w:rsid w:val="003B599F"/>
    <w:rsid w:val="003B7298"/>
    <w:rsid w:val="003C0036"/>
    <w:rsid w:val="003C0FF8"/>
    <w:rsid w:val="003C18C4"/>
    <w:rsid w:val="003C4333"/>
    <w:rsid w:val="003C43DA"/>
    <w:rsid w:val="003C4FD5"/>
    <w:rsid w:val="003C5585"/>
    <w:rsid w:val="003C5740"/>
    <w:rsid w:val="003C57DD"/>
    <w:rsid w:val="003C582B"/>
    <w:rsid w:val="003C614D"/>
    <w:rsid w:val="003C77E9"/>
    <w:rsid w:val="003C7C63"/>
    <w:rsid w:val="003D152F"/>
    <w:rsid w:val="003D19EE"/>
    <w:rsid w:val="003D2333"/>
    <w:rsid w:val="003D2374"/>
    <w:rsid w:val="003D2B3A"/>
    <w:rsid w:val="003D3241"/>
    <w:rsid w:val="003D4419"/>
    <w:rsid w:val="003D4804"/>
    <w:rsid w:val="003D5413"/>
    <w:rsid w:val="003D73E4"/>
    <w:rsid w:val="003D7685"/>
    <w:rsid w:val="003D7E9A"/>
    <w:rsid w:val="003E0366"/>
    <w:rsid w:val="003E100C"/>
    <w:rsid w:val="003E1678"/>
    <w:rsid w:val="003E2C1D"/>
    <w:rsid w:val="003E2FFE"/>
    <w:rsid w:val="003E37AA"/>
    <w:rsid w:val="003E37BB"/>
    <w:rsid w:val="003E3871"/>
    <w:rsid w:val="003E411A"/>
    <w:rsid w:val="003E4310"/>
    <w:rsid w:val="003E47DE"/>
    <w:rsid w:val="003E4FFA"/>
    <w:rsid w:val="003E6E11"/>
    <w:rsid w:val="003E72DC"/>
    <w:rsid w:val="003E7BA8"/>
    <w:rsid w:val="003F04B3"/>
    <w:rsid w:val="003F0536"/>
    <w:rsid w:val="003F10D3"/>
    <w:rsid w:val="003F1548"/>
    <w:rsid w:val="003F2B3D"/>
    <w:rsid w:val="003F2EDF"/>
    <w:rsid w:val="003F3105"/>
    <w:rsid w:val="003F3BBA"/>
    <w:rsid w:val="003F3C44"/>
    <w:rsid w:val="003F4091"/>
    <w:rsid w:val="003F4172"/>
    <w:rsid w:val="003F4249"/>
    <w:rsid w:val="003F4E3B"/>
    <w:rsid w:val="003F5086"/>
    <w:rsid w:val="003F5108"/>
    <w:rsid w:val="003F57AA"/>
    <w:rsid w:val="003F5D2C"/>
    <w:rsid w:val="003F64BC"/>
    <w:rsid w:val="003F6CAF"/>
    <w:rsid w:val="003F7679"/>
    <w:rsid w:val="003F78A0"/>
    <w:rsid w:val="004001D3"/>
    <w:rsid w:val="00400C13"/>
    <w:rsid w:val="00400F3A"/>
    <w:rsid w:val="00401A86"/>
    <w:rsid w:val="00401E65"/>
    <w:rsid w:val="00402311"/>
    <w:rsid w:val="0040239F"/>
    <w:rsid w:val="00402C97"/>
    <w:rsid w:val="00403364"/>
    <w:rsid w:val="00403411"/>
    <w:rsid w:val="004038BE"/>
    <w:rsid w:val="0040415C"/>
    <w:rsid w:val="00404AA4"/>
    <w:rsid w:val="00404C61"/>
    <w:rsid w:val="004050C9"/>
    <w:rsid w:val="004051F0"/>
    <w:rsid w:val="00406314"/>
    <w:rsid w:val="00406376"/>
    <w:rsid w:val="00406389"/>
    <w:rsid w:val="004063C0"/>
    <w:rsid w:val="0040682D"/>
    <w:rsid w:val="00406896"/>
    <w:rsid w:val="00411B37"/>
    <w:rsid w:val="004125ED"/>
    <w:rsid w:val="00412B4D"/>
    <w:rsid w:val="00413B39"/>
    <w:rsid w:val="00413D4D"/>
    <w:rsid w:val="0041450E"/>
    <w:rsid w:val="0041456E"/>
    <w:rsid w:val="00414BE5"/>
    <w:rsid w:val="00415370"/>
    <w:rsid w:val="00415781"/>
    <w:rsid w:val="00415F31"/>
    <w:rsid w:val="00416485"/>
    <w:rsid w:val="00416D6F"/>
    <w:rsid w:val="00416F40"/>
    <w:rsid w:val="00417769"/>
    <w:rsid w:val="004177B0"/>
    <w:rsid w:val="00417F0D"/>
    <w:rsid w:val="00417FE4"/>
    <w:rsid w:val="0042049A"/>
    <w:rsid w:val="00421795"/>
    <w:rsid w:val="00421EF2"/>
    <w:rsid w:val="00422668"/>
    <w:rsid w:val="00423C6D"/>
    <w:rsid w:val="00425141"/>
    <w:rsid w:val="004252CD"/>
    <w:rsid w:val="0042602D"/>
    <w:rsid w:val="00427004"/>
    <w:rsid w:val="0042772E"/>
    <w:rsid w:val="00430CF3"/>
    <w:rsid w:val="00431AC1"/>
    <w:rsid w:val="00431DE1"/>
    <w:rsid w:val="004329C9"/>
    <w:rsid w:val="00432B89"/>
    <w:rsid w:val="00432CD5"/>
    <w:rsid w:val="00433CDB"/>
    <w:rsid w:val="00435D29"/>
    <w:rsid w:val="00435E5A"/>
    <w:rsid w:val="004363FA"/>
    <w:rsid w:val="004364CC"/>
    <w:rsid w:val="00436829"/>
    <w:rsid w:val="00436C29"/>
    <w:rsid w:val="00437141"/>
    <w:rsid w:val="004405B0"/>
    <w:rsid w:val="00441905"/>
    <w:rsid w:val="00441FF9"/>
    <w:rsid w:val="0044382F"/>
    <w:rsid w:val="00443B96"/>
    <w:rsid w:val="00443E1D"/>
    <w:rsid w:val="004442EB"/>
    <w:rsid w:val="0044447B"/>
    <w:rsid w:val="00444A7F"/>
    <w:rsid w:val="00444FA3"/>
    <w:rsid w:val="00446553"/>
    <w:rsid w:val="004466DA"/>
    <w:rsid w:val="00446A92"/>
    <w:rsid w:val="00446CEB"/>
    <w:rsid w:val="00447664"/>
    <w:rsid w:val="00447719"/>
    <w:rsid w:val="0045016B"/>
    <w:rsid w:val="004501B4"/>
    <w:rsid w:val="0045082F"/>
    <w:rsid w:val="00450C00"/>
    <w:rsid w:val="0045135E"/>
    <w:rsid w:val="004522E5"/>
    <w:rsid w:val="00452434"/>
    <w:rsid w:val="0045273C"/>
    <w:rsid w:val="00452C53"/>
    <w:rsid w:val="004539C7"/>
    <w:rsid w:val="00453F8A"/>
    <w:rsid w:val="00454597"/>
    <w:rsid w:val="004548E6"/>
    <w:rsid w:val="0045543A"/>
    <w:rsid w:val="00455880"/>
    <w:rsid w:val="00455D1D"/>
    <w:rsid w:val="004561F9"/>
    <w:rsid w:val="0045637C"/>
    <w:rsid w:val="004569A3"/>
    <w:rsid w:val="00456A7F"/>
    <w:rsid w:val="004578ED"/>
    <w:rsid w:val="00457B0C"/>
    <w:rsid w:val="004611B6"/>
    <w:rsid w:val="004615A1"/>
    <w:rsid w:val="00461997"/>
    <w:rsid w:val="00462CE0"/>
    <w:rsid w:val="00463F8B"/>
    <w:rsid w:val="004649AD"/>
    <w:rsid w:val="004650E7"/>
    <w:rsid w:val="0046687B"/>
    <w:rsid w:val="004674FB"/>
    <w:rsid w:val="00470418"/>
    <w:rsid w:val="004704DA"/>
    <w:rsid w:val="004704EA"/>
    <w:rsid w:val="00470567"/>
    <w:rsid w:val="0047056A"/>
    <w:rsid w:val="0047071D"/>
    <w:rsid w:val="00471464"/>
    <w:rsid w:val="004727C4"/>
    <w:rsid w:val="00473579"/>
    <w:rsid w:val="00474E5A"/>
    <w:rsid w:val="004754AE"/>
    <w:rsid w:val="0047558F"/>
    <w:rsid w:val="0047561A"/>
    <w:rsid w:val="00475FD5"/>
    <w:rsid w:val="0047770B"/>
    <w:rsid w:val="00477AFC"/>
    <w:rsid w:val="00477EA3"/>
    <w:rsid w:val="004812F4"/>
    <w:rsid w:val="0048231B"/>
    <w:rsid w:val="00482BD9"/>
    <w:rsid w:val="004838D4"/>
    <w:rsid w:val="004845AC"/>
    <w:rsid w:val="00484C31"/>
    <w:rsid w:val="004850AC"/>
    <w:rsid w:val="00485E3C"/>
    <w:rsid w:val="00486F09"/>
    <w:rsid w:val="004877FB"/>
    <w:rsid w:val="00487B3A"/>
    <w:rsid w:val="004906DB"/>
    <w:rsid w:val="00490B57"/>
    <w:rsid w:val="00490C0F"/>
    <w:rsid w:val="00491FF2"/>
    <w:rsid w:val="004925EE"/>
    <w:rsid w:val="00492735"/>
    <w:rsid w:val="004945E8"/>
    <w:rsid w:val="004946D8"/>
    <w:rsid w:val="00494FC9"/>
    <w:rsid w:val="00495228"/>
    <w:rsid w:val="004963B6"/>
    <w:rsid w:val="00497252"/>
    <w:rsid w:val="0049795E"/>
    <w:rsid w:val="004A1808"/>
    <w:rsid w:val="004A2013"/>
    <w:rsid w:val="004A201B"/>
    <w:rsid w:val="004A2B7A"/>
    <w:rsid w:val="004A2DA3"/>
    <w:rsid w:val="004A3EB3"/>
    <w:rsid w:val="004A4377"/>
    <w:rsid w:val="004A4A51"/>
    <w:rsid w:val="004A57EB"/>
    <w:rsid w:val="004A5824"/>
    <w:rsid w:val="004A59D3"/>
    <w:rsid w:val="004A6D7C"/>
    <w:rsid w:val="004A6F11"/>
    <w:rsid w:val="004A74DD"/>
    <w:rsid w:val="004A7855"/>
    <w:rsid w:val="004B00D1"/>
    <w:rsid w:val="004B0B57"/>
    <w:rsid w:val="004B1245"/>
    <w:rsid w:val="004B1278"/>
    <w:rsid w:val="004B1CAB"/>
    <w:rsid w:val="004B2FF9"/>
    <w:rsid w:val="004B3506"/>
    <w:rsid w:val="004B36ED"/>
    <w:rsid w:val="004B3D73"/>
    <w:rsid w:val="004B40DB"/>
    <w:rsid w:val="004B47BC"/>
    <w:rsid w:val="004B4EF6"/>
    <w:rsid w:val="004B612E"/>
    <w:rsid w:val="004B623B"/>
    <w:rsid w:val="004B6554"/>
    <w:rsid w:val="004B6B22"/>
    <w:rsid w:val="004B6C50"/>
    <w:rsid w:val="004B77CB"/>
    <w:rsid w:val="004C0DA0"/>
    <w:rsid w:val="004C38BA"/>
    <w:rsid w:val="004C3E02"/>
    <w:rsid w:val="004C422D"/>
    <w:rsid w:val="004C4CEB"/>
    <w:rsid w:val="004C5CBA"/>
    <w:rsid w:val="004C60AC"/>
    <w:rsid w:val="004C6C09"/>
    <w:rsid w:val="004C6EA3"/>
    <w:rsid w:val="004C7C1E"/>
    <w:rsid w:val="004D000F"/>
    <w:rsid w:val="004D055D"/>
    <w:rsid w:val="004D0842"/>
    <w:rsid w:val="004D1240"/>
    <w:rsid w:val="004D133B"/>
    <w:rsid w:val="004D49EE"/>
    <w:rsid w:val="004D4AE0"/>
    <w:rsid w:val="004D4C0B"/>
    <w:rsid w:val="004D512D"/>
    <w:rsid w:val="004D6042"/>
    <w:rsid w:val="004D62C0"/>
    <w:rsid w:val="004D69FC"/>
    <w:rsid w:val="004D77BD"/>
    <w:rsid w:val="004D77DE"/>
    <w:rsid w:val="004D7BF4"/>
    <w:rsid w:val="004D7C92"/>
    <w:rsid w:val="004E0356"/>
    <w:rsid w:val="004E0D46"/>
    <w:rsid w:val="004E295C"/>
    <w:rsid w:val="004E38B2"/>
    <w:rsid w:val="004E3936"/>
    <w:rsid w:val="004E4277"/>
    <w:rsid w:val="004E490B"/>
    <w:rsid w:val="004E57F7"/>
    <w:rsid w:val="004E5D9C"/>
    <w:rsid w:val="004E6707"/>
    <w:rsid w:val="004E6985"/>
    <w:rsid w:val="004E6B8E"/>
    <w:rsid w:val="004E7DEE"/>
    <w:rsid w:val="004F0543"/>
    <w:rsid w:val="004F126D"/>
    <w:rsid w:val="004F22C9"/>
    <w:rsid w:val="004F2385"/>
    <w:rsid w:val="004F326E"/>
    <w:rsid w:val="004F3A97"/>
    <w:rsid w:val="004F486D"/>
    <w:rsid w:val="004F5591"/>
    <w:rsid w:val="004F5D14"/>
    <w:rsid w:val="004F68DC"/>
    <w:rsid w:val="004F7FAD"/>
    <w:rsid w:val="00500F7A"/>
    <w:rsid w:val="005012AD"/>
    <w:rsid w:val="005016E5"/>
    <w:rsid w:val="00501A56"/>
    <w:rsid w:val="00501ACA"/>
    <w:rsid w:val="00502317"/>
    <w:rsid w:val="005027BB"/>
    <w:rsid w:val="00503415"/>
    <w:rsid w:val="005037E1"/>
    <w:rsid w:val="00503B5C"/>
    <w:rsid w:val="0050456A"/>
    <w:rsid w:val="005068E1"/>
    <w:rsid w:val="005077C5"/>
    <w:rsid w:val="00507F3A"/>
    <w:rsid w:val="0051168A"/>
    <w:rsid w:val="005117D2"/>
    <w:rsid w:val="005118A6"/>
    <w:rsid w:val="005122F4"/>
    <w:rsid w:val="0051292D"/>
    <w:rsid w:val="005131DC"/>
    <w:rsid w:val="00513ADB"/>
    <w:rsid w:val="0051405F"/>
    <w:rsid w:val="0051444F"/>
    <w:rsid w:val="005148C5"/>
    <w:rsid w:val="005156A6"/>
    <w:rsid w:val="00516393"/>
    <w:rsid w:val="005179A5"/>
    <w:rsid w:val="00520B4F"/>
    <w:rsid w:val="00524AD7"/>
    <w:rsid w:val="005254FD"/>
    <w:rsid w:val="005268A9"/>
    <w:rsid w:val="0052720F"/>
    <w:rsid w:val="00527421"/>
    <w:rsid w:val="005275C4"/>
    <w:rsid w:val="00527D36"/>
    <w:rsid w:val="00531076"/>
    <w:rsid w:val="00531393"/>
    <w:rsid w:val="00531D28"/>
    <w:rsid w:val="005328A8"/>
    <w:rsid w:val="0053385A"/>
    <w:rsid w:val="00533920"/>
    <w:rsid w:val="00534F16"/>
    <w:rsid w:val="00535141"/>
    <w:rsid w:val="00535324"/>
    <w:rsid w:val="005363B4"/>
    <w:rsid w:val="0053712D"/>
    <w:rsid w:val="00537DA5"/>
    <w:rsid w:val="005403F4"/>
    <w:rsid w:val="00541136"/>
    <w:rsid w:val="00541C39"/>
    <w:rsid w:val="0054216F"/>
    <w:rsid w:val="00542F18"/>
    <w:rsid w:val="005439C6"/>
    <w:rsid w:val="00544853"/>
    <w:rsid w:val="00544CA5"/>
    <w:rsid w:val="005450E2"/>
    <w:rsid w:val="005459FD"/>
    <w:rsid w:val="00545B19"/>
    <w:rsid w:val="005462D7"/>
    <w:rsid w:val="005470DD"/>
    <w:rsid w:val="005476CE"/>
    <w:rsid w:val="00547BCB"/>
    <w:rsid w:val="0055035F"/>
    <w:rsid w:val="005507FD"/>
    <w:rsid w:val="005511C0"/>
    <w:rsid w:val="005518FE"/>
    <w:rsid w:val="0055232C"/>
    <w:rsid w:val="0055278E"/>
    <w:rsid w:val="005533E8"/>
    <w:rsid w:val="00553C8A"/>
    <w:rsid w:val="00555488"/>
    <w:rsid w:val="0055549A"/>
    <w:rsid w:val="00555B18"/>
    <w:rsid w:val="00555C9C"/>
    <w:rsid w:val="0055641F"/>
    <w:rsid w:val="00556A4D"/>
    <w:rsid w:val="00556B00"/>
    <w:rsid w:val="00556E87"/>
    <w:rsid w:val="00557319"/>
    <w:rsid w:val="0055764E"/>
    <w:rsid w:val="00560528"/>
    <w:rsid w:val="0056081F"/>
    <w:rsid w:val="00561923"/>
    <w:rsid w:val="005622F8"/>
    <w:rsid w:val="0056310A"/>
    <w:rsid w:val="00563236"/>
    <w:rsid w:val="0056336F"/>
    <w:rsid w:val="005636C6"/>
    <w:rsid w:val="00565366"/>
    <w:rsid w:val="00565AF7"/>
    <w:rsid w:val="005663EB"/>
    <w:rsid w:val="00570C34"/>
    <w:rsid w:val="00571020"/>
    <w:rsid w:val="0057189C"/>
    <w:rsid w:val="005719D3"/>
    <w:rsid w:val="00571BD2"/>
    <w:rsid w:val="00571CD7"/>
    <w:rsid w:val="00571D59"/>
    <w:rsid w:val="00572338"/>
    <w:rsid w:val="00572E3E"/>
    <w:rsid w:val="005732E0"/>
    <w:rsid w:val="005738F7"/>
    <w:rsid w:val="0057420B"/>
    <w:rsid w:val="005756C1"/>
    <w:rsid w:val="0057593B"/>
    <w:rsid w:val="0057799B"/>
    <w:rsid w:val="00580280"/>
    <w:rsid w:val="00580B9E"/>
    <w:rsid w:val="0058135A"/>
    <w:rsid w:val="00583358"/>
    <w:rsid w:val="00583726"/>
    <w:rsid w:val="005839BF"/>
    <w:rsid w:val="00584058"/>
    <w:rsid w:val="005844A5"/>
    <w:rsid w:val="005846B4"/>
    <w:rsid w:val="0058483F"/>
    <w:rsid w:val="005850E5"/>
    <w:rsid w:val="005851E0"/>
    <w:rsid w:val="00585571"/>
    <w:rsid w:val="005856F9"/>
    <w:rsid w:val="00585B91"/>
    <w:rsid w:val="00586BF1"/>
    <w:rsid w:val="00587DC4"/>
    <w:rsid w:val="005903E4"/>
    <w:rsid w:val="005907D5"/>
    <w:rsid w:val="005913EE"/>
    <w:rsid w:val="00592461"/>
    <w:rsid w:val="00592B29"/>
    <w:rsid w:val="00592B43"/>
    <w:rsid w:val="00592F2B"/>
    <w:rsid w:val="005950D6"/>
    <w:rsid w:val="0059519C"/>
    <w:rsid w:val="00595524"/>
    <w:rsid w:val="00597221"/>
    <w:rsid w:val="005974F3"/>
    <w:rsid w:val="0059751C"/>
    <w:rsid w:val="00597919"/>
    <w:rsid w:val="005A034E"/>
    <w:rsid w:val="005A0A5B"/>
    <w:rsid w:val="005A0B9F"/>
    <w:rsid w:val="005A0EFC"/>
    <w:rsid w:val="005A1692"/>
    <w:rsid w:val="005A286E"/>
    <w:rsid w:val="005A28BD"/>
    <w:rsid w:val="005A3DC0"/>
    <w:rsid w:val="005A44E7"/>
    <w:rsid w:val="005A5337"/>
    <w:rsid w:val="005A5D8E"/>
    <w:rsid w:val="005A63D8"/>
    <w:rsid w:val="005A6CC1"/>
    <w:rsid w:val="005A7C14"/>
    <w:rsid w:val="005A7C48"/>
    <w:rsid w:val="005A7DBE"/>
    <w:rsid w:val="005A7E1A"/>
    <w:rsid w:val="005B0476"/>
    <w:rsid w:val="005B0DE9"/>
    <w:rsid w:val="005B1482"/>
    <w:rsid w:val="005B152C"/>
    <w:rsid w:val="005B1C64"/>
    <w:rsid w:val="005B1DE8"/>
    <w:rsid w:val="005B2590"/>
    <w:rsid w:val="005B25BC"/>
    <w:rsid w:val="005B2807"/>
    <w:rsid w:val="005B3606"/>
    <w:rsid w:val="005B3BFF"/>
    <w:rsid w:val="005B3DCC"/>
    <w:rsid w:val="005B3E08"/>
    <w:rsid w:val="005B49B6"/>
    <w:rsid w:val="005B56EE"/>
    <w:rsid w:val="005B672C"/>
    <w:rsid w:val="005B747D"/>
    <w:rsid w:val="005B7733"/>
    <w:rsid w:val="005B7A22"/>
    <w:rsid w:val="005C0602"/>
    <w:rsid w:val="005C0D5D"/>
    <w:rsid w:val="005C0D70"/>
    <w:rsid w:val="005C191A"/>
    <w:rsid w:val="005C2AA9"/>
    <w:rsid w:val="005C330D"/>
    <w:rsid w:val="005C40C7"/>
    <w:rsid w:val="005C4114"/>
    <w:rsid w:val="005C4B98"/>
    <w:rsid w:val="005C4EFF"/>
    <w:rsid w:val="005C4F43"/>
    <w:rsid w:val="005D0189"/>
    <w:rsid w:val="005D0B55"/>
    <w:rsid w:val="005D160D"/>
    <w:rsid w:val="005D356C"/>
    <w:rsid w:val="005D4A04"/>
    <w:rsid w:val="005D4ABA"/>
    <w:rsid w:val="005D4CF7"/>
    <w:rsid w:val="005D5347"/>
    <w:rsid w:val="005D5CC5"/>
    <w:rsid w:val="005D5F31"/>
    <w:rsid w:val="005D5FE6"/>
    <w:rsid w:val="005D61EA"/>
    <w:rsid w:val="005D6759"/>
    <w:rsid w:val="005D787B"/>
    <w:rsid w:val="005E031D"/>
    <w:rsid w:val="005E03AC"/>
    <w:rsid w:val="005E04B5"/>
    <w:rsid w:val="005E0D5C"/>
    <w:rsid w:val="005E12BE"/>
    <w:rsid w:val="005E191A"/>
    <w:rsid w:val="005E2C81"/>
    <w:rsid w:val="005E384C"/>
    <w:rsid w:val="005E4D3C"/>
    <w:rsid w:val="005E7158"/>
    <w:rsid w:val="005E7ECB"/>
    <w:rsid w:val="005E7F63"/>
    <w:rsid w:val="005F0C00"/>
    <w:rsid w:val="005F1037"/>
    <w:rsid w:val="005F2BF8"/>
    <w:rsid w:val="005F2EA8"/>
    <w:rsid w:val="005F4E3A"/>
    <w:rsid w:val="005F5573"/>
    <w:rsid w:val="005F5D1D"/>
    <w:rsid w:val="005F60C9"/>
    <w:rsid w:val="005F64C6"/>
    <w:rsid w:val="005F6F05"/>
    <w:rsid w:val="006008F1"/>
    <w:rsid w:val="00601714"/>
    <w:rsid w:val="00601735"/>
    <w:rsid w:val="00601A07"/>
    <w:rsid w:val="00602BD2"/>
    <w:rsid w:val="00604980"/>
    <w:rsid w:val="00605BDB"/>
    <w:rsid w:val="0060614D"/>
    <w:rsid w:val="00607C27"/>
    <w:rsid w:val="00607E54"/>
    <w:rsid w:val="0061005A"/>
    <w:rsid w:val="006101C5"/>
    <w:rsid w:val="00610871"/>
    <w:rsid w:val="00610E48"/>
    <w:rsid w:val="0061160D"/>
    <w:rsid w:val="0061286C"/>
    <w:rsid w:val="00612E83"/>
    <w:rsid w:val="00613C47"/>
    <w:rsid w:val="00615086"/>
    <w:rsid w:val="00615B0A"/>
    <w:rsid w:val="00615D40"/>
    <w:rsid w:val="00616201"/>
    <w:rsid w:val="00616225"/>
    <w:rsid w:val="00616917"/>
    <w:rsid w:val="0061705E"/>
    <w:rsid w:val="00617A8B"/>
    <w:rsid w:val="00620C43"/>
    <w:rsid w:val="00621904"/>
    <w:rsid w:val="00622248"/>
    <w:rsid w:val="00622FEA"/>
    <w:rsid w:val="0062344F"/>
    <w:rsid w:val="00623CDF"/>
    <w:rsid w:val="00623DB1"/>
    <w:rsid w:val="00623DB4"/>
    <w:rsid w:val="006245F3"/>
    <w:rsid w:val="00624DBE"/>
    <w:rsid w:val="00625450"/>
    <w:rsid w:val="0062624F"/>
    <w:rsid w:val="006319C1"/>
    <w:rsid w:val="006319CA"/>
    <w:rsid w:val="00632D91"/>
    <w:rsid w:val="00633B3E"/>
    <w:rsid w:val="00634B64"/>
    <w:rsid w:val="00634EC0"/>
    <w:rsid w:val="006351C3"/>
    <w:rsid w:val="0063627F"/>
    <w:rsid w:val="0063642A"/>
    <w:rsid w:val="0063736E"/>
    <w:rsid w:val="006376C4"/>
    <w:rsid w:val="006378DC"/>
    <w:rsid w:val="0064009E"/>
    <w:rsid w:val="006403E7"/>
    <w:rsid w:val="00642D72"/>
    <w:rsid w:val="006443CB"/>
    <w:rsid w:val="006448B8"/>
    <w:rsid w:val="00644F80"/>
    <w:rsid w:val="00645874"/>
    <w:rsid w:val="006458E5"/>
    <w:rsid w:val="00646E5D"/>
    <w:rsid w:val="006472B4"/>
    <w:rsid w:val="00650B30"/>
    <w:rsid w:val="00650F81"/>
    <w:rsid w:val="00650FC7"/>
    <w:rsid w:val="006531B0"/>
    <w:rsid w:val="00653C24"/>
    <w:rsid w:val="00653D68"/>
    <w:rsid w:val="00654275"/>
    <w:rsid w:val="0065446D"/>
    <w:rsid w:val="00654894"/>
    <w:rsid w:val="00656067"/>
    <w:rsid w:val="00657381"/>
    <w:rsid w:val="0065746B"/>
    <w:rsid w:val="00660693"/>
    <w:rsid w:val="00660D86"/>
    <w:rsid w:val="006611D6"/>
    <w:rsid w:val="00661918"/>
    <w:rsid w:val="006623F6"/>
    <w:rsid w:val="00662A5A"/>
    <w:rsid w:val="0066335C"/>
    <w:rsid w:val="006636D0"/>
    <w:rsid w:val="00663834"/>
    <w:rsid w:val="006647D7"/>
    <w:rsid w:val="00664F1B"/>
    <w:rsid w:val="006653D7"/>
    <w:rsid w:val="00665BFF"/>
    <w:rsid w:val="006665BA"/>
    <w:rsid w:val="00666A4F"/>
    <w:rsid w:val="00666B7F"/>
    <w:rsid w:val="00666DEC"/>
    <w:rsid w:val="00667477"/>
    <w:rsid w:val="00670094"/>
    <w:rsid w:val="006703D9"/>
    <w:rsid w:val="00670ADE"/>
    <w:rsid w:val="006714B8"/>
    <w:rsid w:val="00671C51"/>
    <w:rsid w:val="00672DFC"/>
    <w:rsid w:val="00672F5B"/>
    <w:rsid w:val="00673BD7"/>
    <w:rsid w:val="00673DEE"/>
    <w:rsid w:val="006744F6"/>
    <w:rsid w:val="006745F8"/>
    <w:rsid w:val="00674E69"/>
    <w:rsid w:val="0067553E"/>
    <w:rsid w:val="00675A33"/>
    <w:rsid w:val="0067602A"/>
    <w:rsid w:val="00676070"/>
    <w:rsid w:val="006763ED"/>
    <w:rsid w:val="00676433"/>
    <w:rsid w:val="0067720F"/>
    <w:rsid w:val="0067738E"/>
    <w:rsid w:val="00677F23"/>
    <w:rsid w:val="00680936"/>
    <w:rsid w:val="00680BBE"/>
    <w:rsid w:val="00680D8C"/>
    <w:rsid w:val="00680D99"/>
    <w:rsid w:val="00680E4E"/>
    <w:rsid w:val="006821B2"/>
    <w:rsid w:val="00682725"/>
    <w:rsid w:val="00682A1B"/>
    <w:rsid w:val="00682D73"/>
    <w:rsid w:val="00682ED3"/>
    <w:rsid w:val="006843F8"/>
    <w:rsid w:val="006846E8"/>
    <w:rsid w:val="0068541E"/>
    <w:rsid w:val="00685E9D"/>
    <w:rsid w:val="00685EBD"/>
    <w:rsid w:val="0068605C"/>
    <w:rsid w:val="006861AC"/>
    <w:rsid w:val="006861C3"/>
    <w:rsid w:val="0068639D"/>
    <w:rsid w:val="00686AF3"/>
    <w:rsid w:val="00690F1F"/>
    <w:rsid w:val="006915BD"/>
    <w:rsid w:val="00691A6B"/>
    <w:rsid w:val="00692582"/>
    <w:rsid w:val="00692592"/>
    <w:rsid w:val="00692A2F"/>
    <w:rsid w:val="0069322C"/>
    <w:rsid w:val="00693652"/>
    <w:rsid w:val="006939E7"/>
    <w:rsid w:val="00693D3E"/>
    <w:rsid w:val="006942F7"/>
    <w:rsid w:val="006956FB"/>
    <w:rsid w:val="00695BC7"/>
    <w:rsid w:val="006969AD"/>
    <w:rsid w:val="00696F7B"/>
    <w:rsid w:val="0069796F"/>
    <w:rsid w:val="006A01FB"/>
    <w:rsid w:val="006A1093"/>
    <w:rsid w:val="006A1D3D"/>
    <w:rsid w:val="006A2150"/>
    <w:rsid w:val="006A2216"/>
    <w:rsid w:val="006A241D"/>
    <w:rsid w:val="006A3288"/>
    <w:rsid w:val="006A43E6"/>
    <w:rsid w:val="006A4442"/>
    <w:rsid w:val="006A4AEE"/>
    <w:rsid w:val="006A526F"/>
    <w:rsid w:val="006A70BE"/>
    <w:rsid w:val="006A7934"/>
    <w:rsid w:val="006B0001"/>
    <w:rsid w:val="006B04AF"/>
    <w:rsid w:val="006B059F"/>
    <w:rsid w:val="006B0939"/>
    <w:rsid w:val="006B0A56"/>
    <w:rsid w:val="006B2048"/>
    <w:rsid w:val="006B20A6"/>
    <w:rsid w:val="006B32D5"/>
    <w:rsid w:val="006B342E"/>
    <w:rsid w:val="006B3812"/>
    <w:rsid w:val="006B3B80"/>
    <w:rsid w:val="006B6870"/>
    <w:rsid w:val="006B6F32"/>
    <w:rsid w:val="006B7130"/>
    <w:rsid w:val="006B73CC"/>
    <w:rsid w:val="006B7695"/>
    <w:rsid w:val="006B7C0F"/>
    <w:rsid w:val="006C0176"/>
    <w:rsid w:val="006C2994"/>
    <w:rsid w:val="006C35EC"/>
    <w:rsid w:val="006C4150"/>
    <w:rsid w:val="006C4382"/>
    <w:rsid w:val="006C5683"/>
    <w:rsid w:val="006C5E33"/>
    <w:rsid w:val="006C5E48"/>
    <w:rsid w:val="006C6434"/>
    <w:rsid w:val="006C6984"/>
    <w:rsid w:val="006C6CD8"/>
    <w:rsid w:val="006C70BB"/>
    <w:rsid w:val="006C7528"/>
    <w:rsid w:val="006C7EB1"/>
    <w:rsid w:val="006D013F"/>
    <w:rsid w:val="006D017F"/>
    <w:rsid w:val="006D08BD"/>
    <w:rsid w:val="006D0F8E"/>
    <w:rsid w:val="006D1414"/>
    <w:rsid w:val="006D1416"/>
    <w:rsid w:val="006D1D3F"/>
    <w:rsid w:val="006D253B"/>
    <w:rsid w:val="006D325A"/>
    <w:rsid w:val="006D407B"/>
    <w:rsid w:val="006D4242"/>
    <w:rsid w:val="006D44E6"/>
    <w:rsid w:val="006D45F0"/>
    <w:rsid w:val="006D4C8F"/>
    <w:rsid w:val="006D52A0"/>
    <w:rsid w:val="006D57CB"/>
    <w:rsid w:val="006D5819"/>
    <w:rsid w:val="006D5E6F"/>
    <w:rsid w:val="006D693F"/>
    <w:rsid w:val="006D6CDD"/>
    <w:rsid w:val="006D7604"/>
    <w:rsid w:val="006D765E"/>
    <w:rsid w:val="006E03D1"/>
    <w:rsid w:val="006E0455"/>
    <w:rsid w:val="006E150D"/>
    <w:rsid w:val="006E3289"/>
    <w:rsid w:val="006E33E4"/>
    <w:rsid w:val="006E4238"/>
    <w:rsid w:val="006E5F01"/>
    <w:rsid w:val="006E5F88"/>
    <w:rsid w:val="006E7404"/>
    <w:rsid w:val="006E7A36"/>
    <w:rsid w:val="006E7B97"/>
    <w:rsid w:val="006F12C8"/>
    <w:rsid w:val="006F1DE7"/>
    <w:rsid w:val="006F1EA3"/>
    <w:rsid w:val="006F2627"/>
    <w:rsid w:val="006F2BF8"/>
    <w:rsid w:val="006F31E2"/>
    <w:rsid w:val="006F3568"/>
    <w:rsid w:val="006F40AD"/>
    <w:rsid w:val="006F4A5F"/>
    <w:rsid w:val="006F4D7B"/>
    <w:rsid w:val="006F524D"/>
    <w:rsid w:val="006F6360"/>
    <w:rsid w:val="006F6436"/>
    <w:rsid w:val="006F65C5"/>
    <w:rsid w:val="006F687A"/>
    <w:rsid w:val="006F68EF"/>
    <w:rsid w:val="006F6D38"/>
    <w:rsid w:val="006F6D4C"/>
    <w:rsid w:val="006F6E67"/>
    <w:rsid w:val="006F7157"/>
    <w:rsid w:val="006F78E0"/>
    <w:rsid w:val="00701210"/>
    <w:rsid w:val="00702428"/>
    <w:rsid w:val="00702B1B"/>
    <w:rsid w:val="00702ED6"/>
    <w:rsid w:val="007032B3"/>
    <w:rsid w:val="00703C62"/>
    <w:rsid w:val="00704164"/>
    <w:rsid w:val="007044BF"/>
    <w:rsid w:val="00706388"/>
    <w:rsid w:val="00706A58"/>
    <w:rsid w:val="00707517"/>
    <w:rsid w:val="007078ED"/>
    <w:rsid w:val="00710187"/>
    <w:rsid w:val="007110E1"/>
    <w:rsid w:val="007115CE"/>
    <w:rsid w:val="00711B18"/>
    <w:rsid w:val="00714394"/>
    <w:rsid w:val="00714ED6"/>
    <w:rsid w:val="007151B7"/>
    <w:rsid w:val="007153FC"/>
    <w:rsid w:val="00715E8D"/>
    <w:rsid w:val="0071648F"/>
    <w:rsid w:val="00716D8A"/>
    <w:rsid w:val="00717854"/>
    <w:rsid w:val="00720CCE"/>
    <w:rsid w:val="00721C26"/>
    <w:rsid w:val="00721F7E"/>
    <w:rsid w:val="00722C0F"/>
    <w:rsid w:val="00722E29"/>
    <w:rsid w:val="00723ECB"/>
    <w:rsid w:val="00724606"/>
    <w:rsid w:val="00724A36"/>
    <w:rsid w:val="00724A60"/>
    <w:rsid w:val="00724E85"/>
    <w:rsid w:val="00725113"/>
    <w:rsid w:val="0072525D"/>
    <w:rsid w:val="00725A26"/>
    <w:rsid w:val="00726E8A"/>
    <w:rsid w:val="00727047"/>
    <w:rsid w:val="00727C5E"/>
    <w:rsid w:val="00734510"/>
    <w:rsid w:val="00734887"/>
    <w:rsid w:val="00736530"/>
    <w:rsid w:val="007365B6"/>
    <w:rsid w:val="007373C8"/>
    <w:rsid w:val="007401E2"/>
    <w:rsid w:val="00740205"/>
    <w:rsid w:val="00740D67"/>
    <w:rsid w:val="007411E5"/>
    <w:rsid w:val="00741605"/>
    <w:rsid w:val="00742AD3"/>
    <w:rsid w:val="00742F72"/>
    <w:rsid w:val="00743319"/>
    <w:rsid w:val="007436F2"/>
    <w:rsid w:val="0074436D"/>
    <w:rsid w:val="007446DA"/>
    <w:rsid w:val="007462C2"/>
    <w:rsid w:val="00746772"/>
    <w:rsid w:val="00746951"/>
    <w:rsid w:val="00746F65"/>
    <w:rsid w:val="00746FFF"/>
    <w:rsid w:val="007472C3"/>
    <w:rsid w:val="0074791E"/>
    <w:rsid w:val="0075028E"/>
    <w:rsid w:val="00750948"/>
    <w:rsid w:val="0075115D"/>
    <w:rsid w:val="00751A33"/>
    <w:rsid w:val="00751F77"/>
    <w:rsid w:val="00752C5F"/>
    <w:rsid w:val="00753890"/>
    <w:rsid w:val="007555DF"/>
    <w:rsid w:val="007569DC"/>
    <w:rsid w:val="00756D6A"/>
    <w:rsid w:val="0075711E"/>
    <w:rsid w:val="007579F2"/>
    <w:rsid w:val="007602CB"/>
    <w:rsid w:val="00761434"/>
    <w:rsid w:val="00761FD5"/>
    <w:rsid w:val="007620C9"/>
    <w:rsid w:val="00762372"/>
    <w:rsid w:val="00762BB6"/>
    <w:rsid w:val="0076341D"/>
    <w:rsid w:val="0076446D"/>
    <w:rsid w:val="007647EF"/>
    <w:rsid w:val="0076542B"/>
    <w:rsid w:val="00765DD8"/>
    <w:rsid w:val="00766B33"/>
    <w:rsid w:val="00766D36"/>
    <w:rsid w:val="007671DC"/>
    <w:rsid w:val="00767607"/>
    <w:rsid w:val="00767ACD"/>
    <w:rsid w:val="00767C0D"/>
    <w:rsid w:val="00767E70"/>
    <w:rsid w:val="007705B5"/>
    <w:rsid w:val="00770B08"/>
    <w:rsid w:val="007720B8"/>
    <w:rsid w:val="0077247C"/>
    <w:rsid w:val="0077270D"/>
    <w:rsid w:val="00773874"/>
    <w:rsid w:val="007738D5"/>
    <w:rsid w:val="00774B47"/>
    <w:rsid w:val="00775D3B"/>
    <w:rsid w:val="0077615A"/>
    <w:rsid w:val="00777483"/>
    <w:rsid w:val="007806A0"/>
    <w:rsid w:val="00782346"/>
    <w:rsid w:val="007828DB"/>
    <w:rsid w:val="007838CD"/>
    <w:rsid w:val="007840F3"/>
    <w:rsid w:val="00784EC7"/>
    <w:rsid w:val="00785491"/>
    <w:rsid w:val="007858C0"/>
    <w:rsid w:val="00785C4E"/>
    <w:rsid w:val="00786128"/>
    <w:rsid w:val="00786550"/>
    <w:rsid w:val="0078679A"/>
    <w:rsid w:val="007871FE"/>
    <w:rsid w:val="007902AD"/>
    <w:rsid w:val="00790606"/>
    <w:rsid w:val="007908ED"/>
    <w:rsid w:val="00790F74"/>
    <w:rsid w:val="007912E8"/>
    <w:rsid w:val="00792288"/>
    <w:rsid w:val="00792447"/>
    <w:rsid w:val="007928C6"/>
    <w:rsid w:val="007929C0"/>
    <w:rsid w:val="007951F4"/>
    <w:rsid w:val="00795BF6"/>
    <w:rsid w:val="0079694C"/>
    <w:rsid w:val="00796F99"/>
    <w:rsid w:val="00797AF9"/>
    <w:rsid w:val="00797FBD"/>
    <w:rsid w:val="007A0187"/>
    <w:rsid w:val="007A19AC"/>
    <w:rsid w:val="007A2640"/>
    <w:rsid w:val="007A268F"/>
    <w:rsid w:val="007A4A53"/>
    <w:rsid w:val="007A4C93"/>
    <w:rsid w:val="007A4E17"/>
    <w:rsid w:val="007A5936"/>
    <w:rsid w:val="007A5AC6"/>
    <w:rsid w:val="007A6A01"/>
    <w:rsid w:val="007A7D0A"/>
    <w:rsid w:val="007A7F6D"/>
    <w:rsid w:val="007B04A8"/>
    <w:rsid w:val="007B0799"/>
    <w:rsid w:val="007B0FBD"/>
    <w:rsid w:val="007B1BAF"/>
    <w:rsid w:val="007B2393"/>
    <w:rsid w:val="007B2FE8"/>
    <w:rsid w:val="007B30DB"/>
    <w:rsid w:val="007B30F2"/>
    <w:rsid w:val="007B35F7"/>
    <w:rsid w:val="007B4DD5"/>
    <w:rsid w:val="007B4F72"/>
    <w:rsid w:val="007B5148"/>
    <w:rsid w:val="007B5A16"/>
    <w:rsid w:val="007B64D8"/>
    <w:rsid w:val="007B660D"/>
    <w:rsid w:val="007B7219"/>
    <w:rsid w:val="007C03FE"/>
    <w:rsid w:val="007C0E04"/>
    <w:rsid w:val="007C17D3"/>
    <w:rsid w:val="007C1E98"/>
    <w:rsid w:val="007C1FA2"/>
    <w:rsid w:val="007C2823"/>
    <w:rsid w:val="007C2827"/>
    <w:rsid w:val="007C3536"/>
    <w:rsid w:val="007C3A26"/>
    <w:rsid w:val="007C4032"/>
    <w:rsid w:val="007C4CE1"/>
    <w:rsid w:val="007C537A"/>
    <w:rsid w:val="007C563F"/>
    <w:rsid w:val="007C57D1"/>
    <w:rsid w:val="007C6B3E"/>
    <w:rsid w:val="007C6F13"/>
    <w:rsid w:val="007C7130"/>
    <w:rsid w:val="007C74E5"/>
    <w:rsid w:val="007C7DAB"/>
    <w:rsid w:val="007C7F57"/>
    <w:rsid w:val="007D0348"/>
    <w:rsid w:val="007D0E43"/>
    <w:rsid w:val="007D13E7"/>
    <w:rsid w:val="007D153B"/>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BF"/>
    <w:rsid w:val="007E12DC"/>
    <w:rsid w:val="007E1760"/>
    <w:rsid w:val="007E21FB"/>
    <w:rsid w:val="007E3B9D"/>
    <w:rsid w:val="007E3EE9"/>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0A0"/>
    <w:rsid w:val="007F2A15"/>
    <w:rsid w:val="007F2D90"/>
    <w:rsid w:val="007F321F"/>
    <w:rsid w:val="007F3D9B"/>
    <w:rsid w:val="007F3F6F"/>
    <w:rsid w:val="007F48A9"/>
    <w:rsid w:val="007F4A1F"/>
    <w:rsid w:val="007F4E28"/>
    <w:rsid w:val="007F4E6E"/>
    <w:rsid w:val="007F4F82"/>
    <w:rsid w:val="007F6D96"/>
    <w:rsid w:val="007F7CFA"/>
    <w:rsid w:val="0080033E"/>
    <w:rsid w:val="00801D7A"/>
    <w:rsid w:val="008020F2"/>
    <w:rsid w:val="00802462"/>
    <w:rsid w:val="008036FC"/>
    <w:rsid w:val="00803F74"/>
    <w:rsid w:val="00804653"/>
    <w:rsid w:val="00804C48"/>
    <w:rsid w:val="0080505A"/>
    <w:rsid w:val="00805478"/>
    <w:rsid w:val="00806639"/>
    <w:rsid w:val="008066AC"/>
    <w:rsid w:val="00806A84"/>
    <w:rsid w:val="008073A4"/>
    <w:rsid w:val="00807C6C"/>
    <w:rsid w:val="00807C7A"/>
    <w:rsid w:val="008101E4"/>
    <w:rsid w:val="008115ED"/>
    <w:rsid w:val="00811A42"/>
    <w:rsid w:val="0081254B"/>
    <w:rsid w:val="008132BB"/>
    <w:rsid w:val="0081340B"/>
    <w:rsid w:val="00813788"/>
    <w:rsid w:val="00813F40"/>
    <w:rsid w:val="00814FED"/>
    <w:rsid w:val="00815822"/>
    <w:rsid w:val="00815B93"/>
    <w:rsid w:val="00815BA2"/>
    <w:rsid w:val="00816585"/>
    <w:rsid w:val="00816AD2"/>
    <w:rsid w:val="00817364"/>
    <w:rsid w:val="00817BB4"/>
    <w:rsid w:val="00817E4F"/>
    <w:rsid w:val="00820667"/>
    <w:rsid w:val="00820F5B"/>
    <w:rsid w:val="00821021"/>
    <w:rsid w:val="00821251"/>
    <w:rsid w:val="008214BB"/>
    <w:rsid w:val="00821B58"/>
    <w:rsid w:val="00822136"/>
    <w:rsid w:val="00822D4E"/>
    <w:rsid w:val="00822FBA"/>
    <w:rsid w:val="0082398C"/>
    <w:rsid w:val="00824FAD"/>
    <w:rsid w:val="00824FF1"/>
    <w:rsid w:val="00825196"/>
    <w:rsid w:val="008256AC"/>
    <w:rsid w:val="00826173"/>
    <w:rsid w:val="00826F4C"/>
    <w:rsid w:val="008302D6"/>
    <w:rsid w:val="008305FD"/>
    <w:rsid w:val="00831573"/>
    <w:rsid w:val="008318E5"/>
    <w:rsid w:val="00833946"/>
    <w:rsid w:val="00833C51"/>
    <w:rsid w:val="008349A6"/>
    <w:rsid w:val="00835271"/>
    <w:rsid w:val="00835679"/>
    <w:rsid w:val="008360DF"/>
    <w:rsid w:val="008365D4"/>
    <w:rsid w:val="0083731C"/>
    <w:rsid w:val="008377DA"/>
    <w:rsid w:val="00837BD7"/>
    <w:rsid w:val="008403A7"/>
    <w:rsid w:val="00840591"/>
    <w:rsid w:val="0084119A"/>
    <w:rsid w:val="00841F21"/>
    <w:rsid w:val="00842991"/>
    <w:rsid w:val="008429B0"/>
    <w:rsid w:val="00843900"/>
    <w:rsid w:val="00844C5B"/>
    <w:rsid w:val="00845083"/>
    <w:rsid w:val="0084581F"/>
    <w:rsid w:val="00845898"/>
    <w:rsid w:val="00845A15"/>
    <w:rsid w:val="0084632F"/>
    <w:rsid w:val="00851810"/>
    <w:rsid w:val="00852528"/>
    <w:rsid w:val="008541F1"/>
    <w:rsid w:val="008543F7"/>
    <w:rsid w:val="008545DC"/>
    <w:rsid w:val="00854A7E"/>
    <w:rsid w:val="00854A98"/>
    <w:rsid w:val="00855209"/>
    <w:rsid w:val="00855B06"/>
    <w:rsid w:val="00856B95"/>
    <w:rsid w:val="00856D1A"/>
    <w:rsid w:val="00857D29"/>
    <w:rsid w:val="0086161C"/>
    <w:rsid w:val="0086225C"/>
    <w:rsid w:val="008629A8"/>
    <w:rsid w:val="00863225"/>
    <w:rsid w:val="00863ADA"/>
    <w:rsid w:val="00864BF6"/>
    <w:rsid w:val="00865266"/>
    <w:rsid w:val="00865BAA"/>
    <w:rsid w:val="008677CB"/>
    <w:rsid w:val="0087056E"/>
    <w:rsid w:val="00870CB6"/>
    <w:rsid w:val="00870CC5"/>
    <w:rsid w:val="00870DD7"/>
    <w:rsid w:val="008737AE"/>
    <w:rsid w:val="00873F17"/>
    <w:rsid w:val="00873FEA"/>
    <w:rsid w:val="0087419B"/>
    <w:rsid w:val="00874592"/>
    <w:rsid w:val="008750AF"/>
    <w:rsid w:val="008751C1"/>
    <w:rsid w:val="00876C1B"/>
    <w:rsid w:val="00876E70"/>
    <w:rsid w:val="008804E1"/>
    <w:rsid w:val="00880ABB"/>
    <w:rsid w:val="00880E30"/>
    <w:rsid w:val="008815B6"/>
    <w:rsid w:val="008818F6"/>
    <w:rsid w:val="00881D45"/>
    <w:rsid w:val="008829F8"/>
    <w:rsid w:val="0088398E"/>
    <w:rsid w:val="00885182"/>
    <w:rsid w:val="0088647E"/>
    <w:rsid w:val="00887E02"/>
    <w:rsid w:val="00890382"/>
    <w:rsid w:val="0089046A"/>
    <w:rsid w:val="00891106"/>
    <w:rsid w:val="008916CB"/>
    <w:rsid w:val="0089189B"/>
    <w:rsid w:val="00892833"/>
    <w:rsid w:val="00893479"/>
    <w:rsid w:val="0089375D"/>
    <w:rsid w:val="008943CB"/>
    <w:rsid w:val="008946B9"/>
    <w:rsid w:val="008960A2"/>
    <w:rsid w:val="00896376"/>
    <w:rsid w:val="00896E62"/>
    <w:rsid w:val="008979BC"/>
    <w:rsid w:val="008A056E"/>
    <w:rsid w:val="008A0882"/>
    <w:rsid w:val="008A10C1"/>
    <w:rsid w:val="008A181A"/>
    <w:rsid w:val="008A1A6F"/>
    <w:rsid w:val="008A1C47"/>
    <w:rsid w:val="008A2289"/>
    <w:rsid w:val="008A26F5"/>
    <w:rsid w:val="008A3766"/>
    <w:rsid w:val="008A3F08"/>
    <w:rsid w:val="008A4F66"/>
    <w:rsid w:val="008A525C"/>
    <w:rsid w:val="008A5290"/>
    <w:rsid w:val="008A593A"/>
    <w:rsid w:val="008A6A60"/>
    <w:rsid w:val="008A6B89"/>
    <w:rsid w:val="008A6C5A"/>
    <w:rsid w:val="008A6CCA"/>
    <w:rsid w:val="008B1417"/>
    <w:rsid w:val="008B1B85"/>
    <w:rsid w:val="008B1B8C"/>
    <w:rsid w:val="008B2170"/>
    <w:rsid w:val="008B25B1"/>
    <w:rsid w:val="008B2C59"/>
    <w:rsid w:val="008B2DF3"/>
    <w:rsid w:val="008B353B"/>
    <w:rsid w:val="008B3761"/>
    <w:rsid w:val="008B376A"/>
    <w:rsid w:val="008B444E"/>
    <w:rsid w:val="008B569F"/>
    <w:rsid w:val="008B71B6"/>
    <w:rsid w:val="008B7220"/>
    <w:rsid w:val="008C0669"/>
    <w:rsid w:val="008C08A5"/>
    <w:rsid w:val="008C1DD7"/>
    <w:rsid w:val="008C26FA"/>
    <w:rsid w:val="008C36BB"/>
    <w:rsid w:val="008C38A4"/>
    <w:rsid w:val="008C4566"/>
    <w:rsid w:val="008C46B6"/>
    <w:rsid w:val="008C46C3"/>
    <w:rsid w:val="008C522A"/>
    <w:rsid w:val="008C5E71"/>
    <w:rsid w:val="008C64E3"/>
    <w:rsid w:val="008C6A8B"/>
    <w:rsid w:val="008C7409"/>
    <w:rsid w:val="008C77F7"/>
    <w:rsid w:val="008D00EA"/>
    <w:rsid w:val="008D0D1E"/>
    <w:rsid w:val="008D1175"/>
    <w:rsid w:val="008D13C7"/>
    <w:rsid w:val="008D1627"/>
    <w:rsid w:val="008D1DA0"/>
    <w:rsid w:val="008D284E"/>
    <w:rsid w:val="008D3E1A"/>
    <w:rsid w:val="008D4D90"/>
    <w:rsid w:val="008D4ED3"/>
    <w:rsid w:val="008D54BF"/>
    <w:rsid w:val="008D5DC6"/>
    <w:rsid w:val="008D6A11"/>
    <w:rsid w:val="008E0D4B"/>
    <w:rsid w:val="008E1A5C"/>
    <w:rsid w:val="008E1C27"/>
    <w:rsid w:val="008E1E54"/>
    <w:rsid w:val="008E2057"/>
    <w:rsid w:val="008E264D"/>
    <w:rsid w:val="008E2DA6"/>
    <w:rsid w:val="008E31EC"/>
    <w:rsid w:val="008E3512"/>
    <w:rsid w:val="008E3C88"/>
    <w:rsid w:val="008E4E17"/>
    <w:rsid w:val="008E5337"/>
    <w:rsid w:val="008E610D"/>
    <w:rsid w:val="008E6F8D"/>
    <w:rsid w:val="008E78F2"/>
    <w:rsid w:val="008E7B12"/>
    <w:rsid w:val="008F022C"/>
    <w:rsid w:val="008F0377"/>
    <w:rsid w:val="008F0E38"/>
    <w:rsid w:val="008F2A60"/>
    <w:rsid w:val="008F310D"/>
    <w:rsid w:val="008F3758"/>
    <w:rsid w:val="008F3888"/>
    <w:rsid w:val="008F3A90"/>
    <w:rsid w:val="008F3B22"/>
    <w:rsid w:val="008F43C7"/>
    <w:rsid w:val="008F4823"/>
    <w:rsid w:val="008F551B"/>
    <w:rsid w:val="008F606D"/>
    <w:rsid w:val="008F6597"/>
    <w:rsid w:val="008F7150"/>
    <w:rsid w:val="008F71CC"/>
    <w:rsid w:val="008F721C"/>
    <w:rsid w:val="008F757D"/>
    <w:rsid w:val="00900662"/>
    <w:rsid w:val="00900BFF"/>
    <w:rsid w:val="00901953"/>
    <w:rsid w:val="00901DF8"/>
    <w:rsid w:val="00902166"/>
    <w:rsid w:val="00902A0C"/>
    <w:rsid w:val="009040A1"/>
    <w:rsid w:val="009043AA"/>
    <w:rsid w:val="0090473B"/>
    <w:rsid w:val="0090487F"/>
    <w:rsid w:val="00904A1E"/>
    <w:rsid w:val="00905282"/>
    <w:rsid w:val="0090574B"/>
    <w:rsid w:val="00905908"/>
    <w:rsid w:val="00905F22"/>
    <w:rsid w:val="00906C96"/>
    <w:rsid w:val="009075A4"/>
    <w:rsid w:val="009101AF"/>
    <w:rsid w:val="00910400"/>
    <w:rsid w:val="00911808"/>
    <w:rsid w:val="00911DF3"/>
    <w:rsid w:val="00912F37"/>
    <w:rsid w:val="009131C8"/>
    <w:rsid w:val="009145FB"/>
    <w:rsid w:val="00914811"/>
    <w:rsid w:val="00915283"/>
    <w:rsid w:val="00915786"/>
    <w:rsid w:val="00917141"/>
    <w:rsid w:val="0091746C"/>
    <w:rsid w:val="00917D06"/>
    <w:rsid w:val="009207DB"/>
    <w:rsid w:val="00921879"/>
    <w:rsid w:val="00922024"/>
    <w:rsid w:val="00922A45"/>
    <w:rsid w:val="009233CE"/>
    <w:rsid w:val="00923C3F"/>
    <w:rsid w:val="00924853"/>
    <w:rsid w:val="009252E0"/>
    <w:rsid w:val="00925501"/>
    <w:rsid w:val="00926982"/>
    <w:rsid w:val="00926B5A"/>
    <w:rsid w:val="00926D4C"/>
    <w:rsid w:val="009270C4"/>
    <w:rsid w:val="00931743"/>
    <w:rsid w:val="00931AF8"/>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1D3B"/>
    <w:rsid w:val="00942120"/>
    <w:rsid w:val="009425F7"/>
    <w:rsid w:val="00943827"/>
    <w:rsid w:val="00943BC0"/>
    <w:rsid w:val="00943E23"/>
    <w:rsid w:val="00944BF0"/>
    <w:rsid w:val="00944F29"/>
    <w:rsid w:val="00946136"/>
    <w:rsid w:val="00946CD9"/>
    <w:rsid w:val="00947046"/>
    <w:rsid w:val="00947A00"/>
    <w:rsid w:val="009505F4"/>
    <w:rsid w:val="00951216"/>
    <w:rsid w:val="0095279B"/>
    <w:rsid w:val="00953006"/>
    <w:rsid w:val="0095316C"/>
    <w:rsid w:val="00954282"/>
    <w:rsid w:val="00954427"/>
    <w:rsid w:val="009545B9"/>
    <w:rsid w:val="009564ED"/>
    <w:rsid w:val="00956CA2"/>
    <w:rsid w:val="00960310"/>
    <w:rsid w:val="00960385"/>
    <w:rsid w:val="0096079B"/>
    <w:rsid w:val="00960CA9"/>
    <w:rsid w:val="00961D3A"/>
    <w:rsid w:val="0096218D"/>
    <w:rsid w:val="00964509"/>
    <w:rsid w:val="00964525"/>
    <w:rsid w:val="0096501B"/>
    <w:rsid w:val="0096627F"/>
    <w:rsid w:val="0096662B"/>
    <w:rsid w:val="009666AF"/>
    <w:rsid w:val="00966D65"/>
    <w:rsid w:val="00967180"/>
    <w:rsid w:val="0096797D"/>
    <w:rsid w:val="00967B7F"/>
    <w:rsid w:val="00970704"/>
    <w:rsid w:val="00970B65"/>
    <w:rsid w:val="00971127"/>
    <w:rsid w:val="0097119E"/>
    <w:rsid w:val="00971E87"/>
    <w:rsid w:val="00971EB0"/>
    <w:rsid w:val="0097272C"/>
    <w:rsid w:val="009734B8"/>
    <w:rsid w:val="00973514"/>
    <w:rsid w:val="009741E7"/>
    <w:rsid w:val="00974EEC"/>
    <w:rsid w:val="00975B47"/>
    <w:rsid w:val="00975C75"/>
    <w:rsid w:val="00975E5B"/>
    <w:rsid w:val="0097681E"/>
    <w:rsid w:val="00977506"/>
    <w:rsid w:val="0098177A"/>
    <w:rsid w:val="00982633"/>
    <w:rsid w:val="00983583"/>
    <w:rsid w:val="00983EFD"/>
    <w:rsid w:val="009855B0"/>
    <w:rsid w:val="009859A8"/>
    <w:rsid w:val="00985A7D"/>
    <w:rsid w:val="00986257"/>
    <w:rsid w:val="0098658A"/>
    <w:rsid w:val="00986861"/>
    <w:rsid w:val="00987CBC"/>
    <w:rsid w:val="00990E34"/>
    <w:rsid w:val="00991EB0"/>
    <w:rsid w:val="0099212B"/>
    <w:rsid w:val="0099245F"/>
    <w:rsid w:val="009928FA"/>
    <w:rsid w:val="009937B4"/>
    <w:rsid w:val="009940B6"/>
    <w:rsid w:val="00994B5F"/>
    <w:rsid w:val="00995768"/>
    <w:rsid w:val="00996326"/>
    <w:rsid w:val="00996B7D"/>
    <w:rsid w:val="00996F95"/>
    <w:rsid w:val="009976A3"/>
    <w:rsid w:val="00997745"/>
    <w:rsid w:val="00997EA5"/>
    <w:rsid w:val="009A07D5"/>
    <w:rsid w:val="009A1BC9"/>
    <w:rsid w:val="009A1FE7"/>
    <w:rsid w:val="009A28D9"/>
    <w:rsid w:val="009A2967"/>
    <w:rsid w:val="009A36B7"/>
    <w:rsid w:val="009A3720"/>
    <w:rsid w:val="009A42CF"/>
    <w:rsid w:val="009A44E8"/>
    <w:rsid w:val="009A4A49"/>
    <w:rsid w:val="009A581E"/>
    <w:rsid w:val="009A679E"/>
    <w:rsid w:val="009B0460"/>
    <w:rsid w:val="009B1DA5"/>
    <w:rsid w:val="009B1E1D"/>
    <w:rsid w:val="009B2602"/>
    <w:rsid w:val="009B28FD"/>
    <w:rsid w:val="009B2AD6"/>
    <w:rsid w:val="009B3172"/>
    <w:rsid w:val="009B32D0"/>
    <w:rsid w:val="009B4575"/>
    <w:rsid w:val="009B45C7"/>
    <w:rsid w:val="009B461D"/>
    <w:rsid w:val="009B5594"/>
    <w:rsid w:val="009B59ED"/>
    <w:rsid w:val="009B6EE8"/>
    <w:rsid w:val="009B729E"/>
    <w:rsid w:val="009B7498"/>
    <w:rsid w:val="009C0191"/>
    <w:rsid w:val="009C264B"/>
    <w:rsid w:val="009C34F1"/>
    <w:rsid w:val="009C381A"/>
    <w:rsid w:val="009C3B80"/>
    <w:rsid w:val="009C3D84"/>
    <w:rsid w:val="009C42E2"/>
    <w:rsid w:val="009C48C6"/>
    <w:rsid w:val="009C5D76"/>
    <w:rsid w:val="009C5DFB"/>
    <w:rsid w:val="009C5FDE"/>
    <w:rsid w:val="009C6C92"/>
    <w:rsid w:val="009C7B1D"/>
    <w:rsid w:val="009C7F10"/>
    <w:rsid w:val="009C7FF8"/>
    <w:rsid w:val="009D03F1"/>
    <w:rsid w:val="009D07CE"/>
    <w:rsid w:val="009D0921"/>
    <w:rsid w:val="009D101B"/>
    <w:rsid w:val="009D118E"/>
    <w:rsid w:val="009D1CF4"/>
    <w:rsid w:val="009D2A26"/>
    <w:rsid w:val="009D2C21"/>
    <w:rsid w:val="009D380F"/>
    <w:rsid w:val="009D57A7"/>
    <w:rsid w:val="009D6546"/>
    <w:rsid w:val="009D65EE"/>
    <w:rsid w:val="009D6FE7"/>
    <w:rsid w:val="009E0393"/>
    <w:rsid w:val="009E04BB"/>
    <w:rsid w:val="009E0525"/>
    <w:rsid w:val="009E05A9"/>
    <w:rsid w:val="009E1370"/>
    <w:rsid w:val="009E20A6"/>
    <w:rsid w:val="009E233F"/>
    <w:rsid w:val="009E2F30"/>
    <w:rsid w:val="009E323A"/>
    <w:rsid w:val="009E328B"/>
    <w:rsid w:val="009E396A"/>
    <w:rsid w:val="009E4130"/>
    <w:rsid w:val="009E441E"/>
    <w:rsid w:val="009E6122"/>
    <w:rsid w:val="009E6DD0"/>
    <w:rsid w:val="009E6DEE"/>
    <w:rsid w:val="009E6E87"/>
    <w:rsid w:val="009E700C"/>
    <w:rsid w:val="009E7491"/>
    <w:rsid w:val="009F082A"/>
    <w:rsid w:val="009F0BD9"/>
    <w:rsid w:val="009F12B4"/>
    <w:rsid w:val="009F33FA"/>
    <w:rsid w:val="009F347C"/>
    <w:rsid w:val="009F4A46"/>
    <w:rsid w:val="009F4D19"/>
    <w:rsid w:val="009F54D7"/>
    <w:rsid w:val="009F6619"/>
    <w:rsid w:val="009F68FF"/>
    <w:rsid w:val="009F6FEE"/>
    <w:rsid w:val="009F768E"/>
    <w:rsid w:val="009F7F88"/>
    <w:rsid w:val="00A00E77"/>
    <w:rsid w:val="00A01A4C"/>
    <w:rsid w:val="00A01C1F"/>
    <w:rsid w:val="00A01C98"/>
    <w:rsid w:val="00A04B6F"/>
    <w:rsid w:val="00A054CB"/>
    <w:rsid w:val="00A05DF4"/>
    <w:rsid w:val="00A05E8F"/>
    <w:rsid w:val="00A0690B"/>
    <w:rsid w:val="00A06A54"/>
    <w:rsid w:val="00A0787D"/>
    <w:rsid w:val="00A10423"/>
    <w:rsid w:val="00A10498"/>
    <w:rsid w:val="00A10A6F"/>
    <w:rsid w:val="00A118B4"/>
    <w:rsid w:val="00A129C6"/>
    <w:rsid w:val="00A14BDD"/>
    <w:rsid w:val="00A15A52"/>
    <w:rsid w:val="00A16698"/>
    <w:rsid w:val="00A1706F"/>
    <w:rsid w:val="00A1721D"/>
    <w:rsid w:val="00A17791"/>
    <w:rsid w:val="00A17A42"/>
    <w:rsid w:val="00A17F01"/>
    <w:rsid w:val="00A20EDD"/>
    <w:rsid w:val="00A210DB"/>
    <w:rsid w:val="00A21667"/>
    <w:rsid w:val="00A220FB"/>
    <w:rsid w:val="00A223A5"/>
    <w:rsid w:val="00A22536"/>
    <w:rsid w:val="00A244A1"/>
    <w:rsid w:val="00A24BC5"/>
    <w:rsid w:val="00A2504C"/>
    <w:rsid w:val="00A26747"/>
    <w:rsid w:val="00A26E5D"/>
    <w:rsid w:val="00A276A6"/>
    <w:rsid w:val="00A276FF"/>
    <w:rsid w:val="00A30164"/>
    <w:rsid w:val="00A30C82"/>
    <w:rsid w:val="00A31A01"/>
    <w:rsid w:val="00A31B33"/>
    <w:rsid w:val="00A321B3"/>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2310"/>
    <w:rsid w:val="00A4350C"/>
    <w:rsid w:val="00A43644"/>
    <w:rsid w:val="00A4383B"/>
    <w:rsid w:val="00A44BB6"/>
    <w:rsid w:val="00A45734"/>
    <w:rsid w:val="00A45B90"/>
    <w:rsid w:val="00A461B1"/>
    <w:rsid w:val="00A462F7"/>
    <w:rsid w:val="00A46659"/>
    <w:rsid w:val="00A46F1A"/>
    <w:rsid w:val="00A47029"/>
    <w:rsid w:val="00A477C3"/>
    <w:rsid w:val="00A50299"/>
    <w:rsid w:val="00A5067A"/>
    <w:rsid w:val="00A533D5"/>
    <w:rsid w:val="00A53A31"/>
    <w:rsid w:val="00A53C68"/>
    <w:rsid w:val="00A5510E"/>
    <w:rsid w:val="00A559F4"/>
    <w:rsid w:val="00A56308"/>
    <w:rsid w:val="00A56547"/>
    <w:rsid w:val="00A57079"/>
    <w:rsid w:val="00A570E0"/>
    <w:rsid w:val="00A606A0"/>
    <w:rsid w:val="00A6077B"/>
    <w:rsid w:val="00A60A60"/>
    <w:rsid w:val="00A61263"/>
    <w:rsid w:val="00A614AD"/>
    <w:rsid w:val="00A61886"/>
    <w:rsid w:val="00A61E92"/>
    <w:rsid w:val="00A621AB"/>
    <w:rsid w:val="00A62757"/>
    <w:rsid w:val="00A639E0"/>
    <w:rsid w:val="00A63D89"/>
    <w:rsid w:val="00A64368"/>
    <w:rsid w:val="00A64393"/>
    <w:rsid w:val="00A647EC"/>
    <w:rsid w:val="00A6526E"/>
    <w:rsid w:val="00A65DA4"/>
    <w:rsid w:val="00A66E04"/>
    <w:rsid w:val="00A67194"/>
    <w:rsid w:val="00A671B3"/>
    <w:rsid w:val="00A6735F"/>
    <w:rsid w:val="00A676F1"/>
    <w:rsid w:val="00A67968"/>
    <w:rsid w:val="00A7040E"/>
    <w:rsid w:val="00A70D5A"/>
    <w:rsid w:val="00A71E1C"/>
    <w:rsid w:val="00A734F2"/>
    <w:rsid w:val="00A73DEE"/>
    <w:rsid w:val="00A74254"/>
    <w:rsid w:val="00A74678"/>
    <w:rsid w:val="00A75AEA"/>
    <w:rsid w:val="00A75EA3"/>
    <w:rsid w:val="00A76063"/>
    <w:rsid w:val="00A767EB"/>
    <w:rsid w:val="00A771BF"/>
    <w:rsid w:val="00A77299"/>
    <w:rsid w:val="00A803C1"/>
    <w:rsid w:val="00A805F1"/>
    <w:rsid w:val="00A815B6"/>
    <w:rsid w:val="00A81953"/>
    <w:rsid w:val="00A82067"/>
    <w:rsid w:val="00A827C9"/>
    <w:rsid w:val="00A83BF3"/>
    <w:rsid w:val="00A85B31"/>
    <w:rsid w:val="00A860FD"/>
    <w:rsid w:val="00A861F3"/>
    <w:rsid w:val="00A866EA"/>
    <w:rsid w:val="00A86C48"/>
    <w:rsid w:val="00A90DB1"/>
    <w:rsid w:val="00A9147B"/>
    <w:rsid w:val="00A9177F"/>
    <w:rsid w:val="00A91BA8"/>
    <w:rsid w:val="00A91EF1"/>
    <w:rsid w:val="00A91EF2"/>
    <w:rsid w:val="00A9325C"/>
    <w:rsid w:val="00A93680"/>
    <w:rsid w:val="00A9430B"/>
    <w:rsid w:val="00A94483"/>
    <w:rsid w:val="00A94529"/>
    <w:rsid w:val="00A94C42"/>
    <w:rsid w:val="00A959CA"/>
    <w:rsid w:val="00A96FC6"/>
    <w:rsid w:val="00A971AF"/>
    <w:rsid w:val="00A97A16"/>
    <w:rsid w:val="00A97B61"/>
    <w:rsid w:val="00A97C2E"/>
    <w:rsid w:val="00A97CE3"/>
    <w:rsid w:val="00A97E0C"/>
    <w:rsid w:val="00AA01DA"/>
    <w:rsid w:val="00AA0925"/>
    <w:rsid w:val="00AA11BA"/>
    <w:rsid w:val="00AA182B"/>
    <w:rsid w:val="00AA2394"/>
    <w:rsid w:val="00AA2D62"/>
    <w:rsid w:val="00AA2E2C"/>
    <w:rsid w:val="00AA2E90"/>
    <w:rsid w:val="00AA3077"/>
    <w:rsid w:val="00AA36B9"/>
    <w:rsid w:val="00AA375B"/>
    <w:rsid w:val="00AA38AF"/>
    <w:rsid w:val="00AA41DE"/>
    <w:rsid w:val="00AA450C"/>
    <w:rsid w:val="00AA4B62"/>
    <w:rsid w:val="00AA571A"/>
    <w:rsid w:val="00AA5EB3"/>
    <w:rsid w:val="00AA6916"/>
    <w:rsid w:val="00AB022F"/>
    <w:rsid w:val="00AB110E"/>
    <w:rsid w:val="00AB11CF"/>
    <w:rsid w:val="00AB1287"/>
    <w:rsid w:val="00AB1CE8"/>
    <w:rsid w:val="00AB2470"/>
    <w:rsid w:val="00AB3EC9"/>
    <w:rsid w:val="00AB3FCD"/>
    <w:rsid w:val="00AB43FC"/>
    <w:rsid w:val="00AB4506"/>
    <w:rsid w:val="00AB5190"/>
    <w:rsid w:val="00AB5513"/>
    <w:rsid w:val="00AB6DFC"/>
    <w:rsid w:val="00AB6E0F"/>
    <w:rsid w:val="00AB7354"/>
    <w:rsid w:val="00AB75DD"/>
    <w:rsid w:val="00AB7C46"/>
    <w:rsid w:val="00AC071C"/>
    <w:rsid w:val="00AC2076"/>
    <w:rsid w:val="00AC3637"/>
    <w:rsid w:val="00AC3D4F"/>
    <w:rsid w:val="00AC3D5B"/>
    <w:rsid w:val="00AC3DB7"/>
    <w:rsid w:val="00AC4699"/>
    <w:rsid w:val="00AC57CD"/>
    <w:rsid w:val="00AC59DF"/>
    <w:rsid w:val="00AC63A8"/>
    <w:rsid w:val="00AC72C7"/>
    <w:rsid w:val="00AC7899"/>
    <w:rsid w:val="00AD13D6"/>
    <w:rsid w:val="00AD2C42"/>
    <w:rsid w:val="00AD4087"/>
    <w:rsid w:val="00AD5BEE"/>
    <w:rsid w:val="00AD6466"/>
    <w:rsid w:val="00AD6A21"/>
    <w:rsid w:val="00AD6BE0"/>
    <w:rsid w:val="00AD752F"/>
    <w:rsid w:val="00AE05DD"/>
    <w:rsid w:val="00AE0C8D"/>
    <w:rsid w:val="00AE0E2A"/>
    <w:rsid w:val="00AE1131"/>
    <w:rsid w:val="00AE1411"/>
    <w:rsid w:val="00AE2071"/>
    <w:rsid w:val="00AE2330"/>
    <w:rsid w:val="00AE27D6"/>
    <w:rsid w:val="00AE3354"/>
    <w:rsid w:val="00AE55BC"/>
    <w:rsid w:val="00AE56D1"/>
    <w:rsid w:val="00AE5A99"/>
    <w:rsid w:val="00AE62E7"/>
    <w:rsid w:val="00AE686D"/>
    <w:rsid w:val="00AE6B27"/>
    <w:rsid w:val="00AE77AC"/>
    <w:rsid w:val="00AF0DC0"/>
    <w:rsid w:val="00AF0F96"/>
    <w:rsid w:val="00AF17E4"/>
    <w:rsid w:val="00AF1CE6"/>
    <w:rsid w:val="00AF21D7"/>
    <w:rsid w:val="00AF282C"/>
    <w:rsid w:val="00AF28EB"/>
    <w:rsid w:val="00AF31BA"/>
    <w:rsid w:val="00AF36B6"/>
    <w:rsid w:val="00AF42CB"/>
    <w:rsid w:val="00AF4803"/>
    <w:rsid w:val="00AF4D10"/>
    <w:rsid w:val="00AF58CB"/>
    <w:rsid w:val="00AF5DB8"/>
    <w:rsid w:val="00AF7217"/>
    <w:rsid w:val="00AF726F"/>
    <w:rsid w:val="00AF783F"/>
    <w:rsid w:val="00B00506"/>
    <w:rsid w:val="00B005E2"/>
    <w:rsid w:val="00B00673"/>
    <w:rsid w:val="00B00AE7"/>
    <w:rsid w:val="00B00ED5"/>
    <w:rsid w:val="00B02315"/>
    <w:rsid w:val="00B02BF0"/>
    <w:rsid w:val="00B034DD"/>
    <w:rsid w:val="00B03AB4"/>
    <w:rsid w:val="00B04C3C"/>
    <w:rsid w:val="00B05B91"/>
    <w:rsid w:val="00B06ED4"/>
    <w:rsid w:val="00B077CC"/>
    <w:rsid w:val="00B07A28"/>
    <w:rsid w:val="00B07C8A"/>
    <w:rsid w:val="00B1123F"/>
    <w:rsid w:val="00B11A4E"/>
    <w:rsid w:val="00B13397"/>
    <w:rsid w:val="00B1400D"/>
    <w:rsid w:val="00B144AA"/>
    <w:rsid w:val="00B147C9"/>
    <w:rsid w:val="00B15BB2"/>
    <w:rsid w:val="00B1666B"/>
    <w:rsid w:val="00B16B5D"/>
    <w:rsid w:val="00B16CEE"/>
    <w:rsid w:val="00B16EBE"/>
    <w:rsid w:val="00B20655"/>
    <w:rsid w:val="00B20BD6"/>
    <w:rsid w:val="00B21443"/>
    <w:rsid w:val="00B21D0E"/>
    <w:rsid w:val="00B22C57"/>
    <w:rsid w:val="00B23C76"/>
    <w:rsid w:val="00B23EEE"/>
    <w:rsid w:val="00B25E1E"/>
    <w:rsid w:val="00B267F7"/>
    <w:rsid w:val="00B27298"/>
    <w:rsid w:val="00B27384"/>
    <w:rsid w:val="00B276E4"/>
    <w:rsid w:val="00B27A6D"/>
    <w:rsid w:val="00B309F9"/>
    <w:rsid w:val="00B30DAD"/>
    <w:rsid w:val="00B31593"/>
    <w:rsid w:val="00B31782"/>
    <w:rsid w:val="00B34709"/>
    <w:rsid w:val="00B34F80"/>
    <w:rsid w:val="00B36928"/>
    <w:rsid w:val="00B37293"/>
    <w:rsid w:val="00B4076A"/>
    <w:rsid w:val="00B413EB"/>
    <w:rsid w:val="00B4253E"/>
    <w:rsid w:val="00B426B6"/>
    <w:rsid w:val="00B42C20"/>
    <w:rsid w:val="00B43AD9"/>
    <w:rsid w:val="00B443D5"/>
    <w:rsid w:val="00B44482"/>
    <w:rsid w:val="00B4498A"/>
    <w:rsid w:val="00B44CAB"/>
    <w:rsid w:val="00B45012"/>
    <w:rsid w:val="00B450D9"/>
    <w:rsid w:val="00B45D36"/>
    <w:rsid w:val="00B46FF2"/>
    <w:rsid w:val="00B539EB"/>
    <w:rsid w:val="00B53D7D"/>
    <w:rsid w:val="00B54B76"/>
    <w:rsid w:val="00B55AE3"/>
    <w:rsid w:val="00B560E5"/>
    <w:rsid w:val="00B576E1"/>
    <w:rsid w:val="00B6088D"/>
    <w:rsid w:val="00B608F1"/>
    <w:rsid w:val="00B60A96"/>
    <w:rsid w:val="00B60F79"/>
    <w:rsid w:val="00B617E2"/>
    <w:rsid w:val="00B6252C"/>
    <w:rsid w:val="00B62653"/>
    <w:rsid w:val="00B62819"/>
    <w:rsid w:val="00B62CBE"/>
    <w:rsid w:val="00B62EFD"/>
    <w:rsid w:val="00B63999"/>
    <w:rsid w:val="00B63B4A"/>
    <w:rsid w:val="00B63DA0"/>
    <w:rsid w:val="00B64F8D"/>
    <w:rsid w:val="00B6533C"/>
    <w:rsid w:val="00B6731A"/>
    <w:rsid w:val="00B673CA"/>
    <w:rsid w:val="00B678A4"/>
    <w:rsid w:val="00B70316"/>
    <w:rsid w:val="00B70903"/>
    <w:rsid w:val="00B70930"/>
    <w:rsid w:val="00B7108D"/>
    <w:rsid w:val="00B7117A"/>
    <w:rsid w:val="00B7128A"/>
    <w:rsid w:val="00B713F0"/>
    <w:rsid w:val="00B71BD7"/>
    <w:rsid w:val="00B72053"/>
    <w:rsid w:val="00B72B7F"/>
    <w:rsid w:val="00B73D1E"/>
    <w:rsid w:val="00B74530"/>
    <w:rsid w:val="00B74E4D"/>
    <w:rsid w:val="00B75D3F"/>
    <w:rsid w:val="00B75D4C"/>
    <w:rsid w:val="00B76F2C"/>
    <w:rsid w:val="00B774EE"/>
    <w:rsid w:val="00B77723"/>
    <w:rsid w:val="00B77863"/>
    <w:rsid w:val="00B80008"/>
    <w:rsid w:val="00B801AC"/>
    <w:rsid w:val="00B809E2"/>
    <w:rsid w:val="00B815D3"/>
    <w:rsid w:val="00B81BB3"/>
    <w:rsid w:val="00B8270D"/>
    <w:rsid w:val="00B827E7"/>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8E8"/>
    <w:rsid w:val="00B94BE5"/>
    <w:rsid w:val="00B9556B"/>
    <w:rsid w:val="00B96069"/>
    <w:rsid w:val="00B968F3"/>
    <w:rsid w:val="00B96E78"/>
    <w:rsid w:val="00BA0A76"/>
    <w:rsid w:val="00BA11A9"/>
    <w:rsid w:val="00BA30C2"/>
    <w:rsid w:val="00BA31C6"/>
    <w:rsid w:val="00BA4B0A"/>
    <w:rsid w:val="00BA699B"/>
    <w:rsid w:val="00BA76AB"/>
    <w:rsid w:val="00BA7A5F"/>
    <w:rsid w:val="00BB0225"/>
    <w:rsid w:val="00BB0423"/>
    <w:rsid w:val="00BB0F8B"/>
    <w:rsid w:val="00BB1D73"/>
    <w:rsid w:val="00BB2CE4"/>
    <w:rsid w:val="00BB3C27"/>
    <w:rsid w:val="00BB4008"/>
    <w:rsid w:val="00BB42D2"/>
    <w:rsid w:val="00BB5449"/>
    <w:rsid w:val="00BB5C00"/>
    <w:rsid w:val="00BB6ECF"/>
    <w:rsid w:val="00BB74B3"/>
    <w:rsid w:val="00BB777A"/>
    <w:rsid w:val="00BB7E0B"/>
    <w:rsid w:val="00BC0560"/>
    <w:rsid w:val="00BC06FE"/>
    <w:rsid w:val="00BC1765"/>
    <w:rsid w:val="00BC1FD6"/>
    <w:rsid w:val="00BC25D7"/>
    <w:rsid w:val="00BC320C"/>
    <w:rsid w:val="00BC43C2"/>
    <w:rsid w:val="00BC464D"/>
    <w:rsid w:val="00BC4883"/>
    <w:rsid w:val="00BC5454"/>
    <w:rsid w:val="00BC5F7F"/>
    <w:rsid w:val="00BC74EE"/>
    <w:rsid w:val="00BC777E"/>
    <w:rsid w:val="00BC7E23"/>
    <w:rsid w:val="00BD219A"/>
    <w:rsid w:val="00BD2C42"/>
    <w:rsid w:val="00BD2EF9"/>
    <w:rsid w:val="00BD2F1D"/>
    <w:rsid w:val="00BD3997"/>
    <w:rsid w:val="00BD5081"/>
    <w:rsid w:val="00BD5D7E"/>
    <w:rsid w:val="00BD62E5"/>
    <w:rsid w:val="00BD68BB"/>
    <w:rsid w:val="00BD6EF9"/>
    <w:rsid w:val="00BD754C"/>
    <w:rsid w:val="00BD78C6"/>
    <w:rsid w:val="00BD7F54"/>
    <w:rsid w:val="00BE01E1"/>
    <w:rsid w:val="00BE0849"/>
    <w:rsid w:val="00BE15DA"/>
    <w:rsid w:val="00BE19AD"/>
    <w:rsid w:val="00BE1B2F"/>
    <w:rsid w:val="00BE369C"/>
    <w:rsid w:val="00BE4FBC"/>
    <w:rsid w:val="00BE5338"/>
    <w:rsid w:val="00BE534A"/>
    <w:rsid w:val="00BE5A5B"/>
    <w:rsid w:val="00BE5B7C"/>
    <w:rsid w:val="00BE61C4"/>
    <w:rsid w:val="00BE72FD"/>
    <w:rsid w:val="00BE733C"/>
    <w:rsid w:val="00BE73D4"/>
    <w:rsid w:val="00BE791F"/>
    <w:rsid w:val="00BE7AF2"/>
    <w:rsid w:val="00BF1EF8"/>
    <w:rsid w:val="00BF25A9"/>
    <w:rsid w:val="00BF2DE5"/>
    <w:rsid w:val="00BF39B7"/>
    <w:rsid w:val="00BF4111"/>
    <w:rsid w:val="00BF486D"/>
    <w:rsid w:val="00BF4C49"/>
    <w:rsid w:val="00BF4D1A"/>
    <w:rsid w:val="00BF5168"/>
    <w:rsid w:val="00BF5A5B"/>
    <w:rsid w:val="00BF6338"/>
    <w:rsid w:val="00BF6D56"/>
    <w:rsid w:val="00BF7CE1"/>
    <w:rsid w:val="00C00D03"/>
    <w:rsid w:val="00C00D9C"/>
    <w:rsid w:val="00C01DFC"/>
    <w:rsid w:val="00C02513"/>
    <w:rsid w:val="00C0270E"/>
    <w:rsid w:val="00C0282B"/>
    <w:rsid w:val="00C03C4E"/>
    <w:rsid w:val="00C044E4"/>
    <w:rsid w:val="00C047A4"/>
    <w:rsid w:val="00C05013"/>
    <w:rsid w:val="00C053B5"/>
    <w:rsid w:val="00C067AD"/>
    <w:rsid w:val="00C067E0"/>
    <w:rsid w:val="00C071C7"/>
    <w:rsid w:val="00C0773D"/>
    <w:rsid w:val="00C1025D"/>
    <w:rsid w:val="00C110C7"/>
    <w:rsid w:val="00C11733"/>
    <w:rsid w:val="00C12CC1"/>
    <w:rsid w:val="00C12D93"/>
    <w:rsid w:val="00C12EE2"/>
    <w:rsid w:val="00C13103"/>
    <w:rsid w:val="00C139DE"/>
    <w:rsid w:val="00C13B55"/>
    <w:rsid w:val="00C13CB8"/>
    <w:rsid w:val="00C14CD4"/>
    <w:rsid w:val="00C151CE"/>
    <w:rsid w:val="00C15BBB"/>
    <w:rsid w:val="00C16078"/>
    <w:rsid w:val="00C16439"/>
    <w:rsid w:val="00C20336"/>
    <w:rsid w:val="00C206DC"/>
    <w:rsid w:val="00C2092E"/>
    <w:rsid w:val="00C20F37"/>
    <w:rsid w:val="00C211AE"/>
    <w:rsid w:val="00C213FD"/>
    <w:rsid w:val="00C21C42"/>
    <w:rsid w:val="00C22441"/>
    <w:rsid w:val="00C23520"/>
    <w:rsid w:val="00C23FE1"/>
    <w:rsid w:val="00C24AE3"/>
    <w:rsid w:val="00C24F88"/>
    <w:rsid w:val="00C25082"/>
    <w:rsid w:val="00C2570A"/>
    <w:rsid w:val="00C25B91"/>
    <w:rsid w:val="00C265D4"/>
    <w:rsid w:val="00C26DC6"/>
    <w:rsid w:val="00C27447"/>
    <w:rsid w:val="00C275FC"/>
    <w:rsid w:val="00C2772B"/>
    <w:rsid w:val="00C3030F"/>
    <w:rsid w:val="00C30615"/>
    <w:rsid w:val="00C30715"/>
    <w:rsid w:val="00C30D84"/>
    <w:rsid w:val="00C3131B"/>
    <w:rsid w:val="00C317A7"/>
    <w:rsid w:val="00C31B0E"/>
    <w:rsid w:val="00C33383"/>
    <w:rsid w:val="00C33614"/>
    <w:rsid w:val="00C33AEC"/>
    <w:rsid w:val="00C35493"/>
    <w:rsid w:val="00C35C8E"/>
    <w:rsid w:val="00C361E9"/>
    <w:rsid w:val="00C3671E"/>
    <w:rsid w:val="00C36B1D"/>
    <w:rsid w:val="00C36EED"/>
    <w:rsid w:val="00C3742C"/>
    <w:rsid w:val="00C37661"/>
    <w:rsid w:val="00C37F81"/>
    <w:rsid w:val="00C410D2"/>
    <w:rsid w:val="00C411E0"/>
    <w:rsid w:val="00C41363"/>
    <w:rsid w:val="00C42209"/>
    <w:rsid w:val="00C429D5"/>
    <w:rsid w:val="00C42A78"/>
    <w:rsid w:val="00C42AD9"/>
    <w:rsid w:val="00C42DC9"/>
    <w:rsid w:val="00C437D6"/>
    <w:rsid w:val="00C45897"/>
    <w:rsid w:val="00C4601D"/>
    <w:rsid w:val="00C470F6"/>
    <w:rsid w:val="00C47B1C"/>
    <w:rsid w:val="00C504EF"/>
    <w:rsid w:val="00C509D2"/>
    <w:rsid w:val="00C51CCA"/>
    <w:rsid w:val="00C52FDA"/>
    <w:rsid w:val="00C53131"/>
    <w:rsid w:val="00C54473"/>
    <w:rsid w:val="00C55693"/>
    <w:rsid w:val="00C55945"/>
    <w:rsid w:val="00C55D94"/>
    <w:rsid w:val="00C55DCB"/>
    <w:rsid w:val="00C55FBB"/>
    <w:rsid w:val="00C56DCE"/>
    <w:rsid w:val="00C57582"/>
    <w:rsid w:val="00C5787F"/>
    <w:rsid w:val="00C608EF"/>
    <w:rsid w:val="00C60E9C"/>
    <w:rsid w:val="00C612BB"/>
    <w:rsid w:val="00C612BF"/>
    <w:rsid w:val="00C61338"/>
    <w:rsid w:val="00C6207E"/>
    <w:rsid w:val="00C62A28"/>
    <w:rsid w:val="00C6324D"/>
    <w:rsid w:val="00C64FAE"/>
    <w:rsid w:val="00C653CC"/>
    <w:rsid w:val="00C65B09"/>
    <w:rsid w:val="00C66344"/>
    <w:rsid w:val="00C66EDC"/>
    <w:rsid w:val="00C674F7"/>
    <w:rsid w:val="00C67D05"/>
    <w:rsid w:val="00C714EE"/>
    <w:rsid w:val="00C731E1"/>
    <w:rsid w:val="00C7335A"/>
    <w:rsid w:val="00C741A7"/>
    <w:rsid w:val="00C745D7"/>
    <w:rsid w:val="00C74DFB"/>
    <w:rsid w:val="00C74F7C"/>
    <w:rsid w:val="00C75F87"/>
    <w:rsid w:val="00C7702A"/>
    <w:rsid w:val="00C773C8"/>
    <w:rsid w:val="00C773CE"/>
    <w:rsid w:val="00C806B8"/>
    <w:rsid w:val="00C80A25"/>
    <w:rsid w:val="00C80E5E"/>
    <w:rsid w:val="00C81C07"/>
    <w:rsid w:val="00C82930"/>
    <w:rsid w:val="00C82C9E"/>
    <w:rsid w:val="00C83945"/>
    <w:rsid w:val="00C83DB7"/>
    <w:rsid w:val="00C83EE2"/>
    <w:rsid w:val="00C841BF"/>
    <w:rsid w:val="00C84BF3"/>
    <w:rsid w:val="00C8531E"/>
    <w:rsid w:val="00C85560"/>
    <w:rsid w:val="00C85A50"/>
    <w:rsid w:val="00C85B6C"/>
    <w:rsid w:val="00C85ECE"/>
    <w:rsid w:val="00C85F1C"/>
    <w:rsid w:val="00C86BFE"/>
    <w:rsid w:val="00C86D8A"/>
    <w:rsid w:val="00C86FF3"/>
    <w:rsid w:val="00C8757D"/>
    <w:rsid w:val="00C87E2F"/>
    <w:rsid w:val="00C900B0"/>
    <w:rsid w:val="00C900ED"/>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1AC8"/>
    <w:rsid w:val="00CA1FB0"/>
    <w:rsid w:val="00CA24D1"/>
    <w:rsid w:val="00CA381C"/>
    <w:rsid w:val="00CA39CC"/>
    <w:rsid w:val="00CA403D"/>
    <w:rsid w:val="00CA4743"/>
    <w:rsid w:val="00CA4818"/>
    <w:rsid w:val="00CA57FE"/>
    <w:rsid w:val="00CA5FF6"/>
    <w:rsid w:val="00CA6F32"/>
    <w:rsid w:val="00CA735E"/>
    <w:rsid w:val="00CA7BEE"/>
    <w:rsid w:val="00CB01B1"/>
    <w:rsid w:val="00CB0B34"/>
    <w:rsid w:val="00CB0EE0"/>
    <w:rsid w:val="00CB138F"/>
    <w:rsid w:val="00CB13CF"/>
    <w:rsid w:val="00CB13E0"/>
    <w:rsid w:val="00CB2343"/>
    <w:rsid w:val="00CB2F02"/>
    <w:rsid w:val="00CB387F"/>
    <w:rsid w:val="00CB44CC"/>
    <w:rsid w:val="00CB4506"/>
    <w:rsid w:val="00CB4522"/>
    <w:rsid w:val="00CB4741"/>
    <w:rsid w:val="00CB7145"/>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34A5"/>
    <w:rsid w:val="00CD42CF"/>
    <w:rsid w:val="00CD4BF8"/>
    <w:rsid w:val="00CD52CD"/>
    <w:rsid w:val="00CD58F5"/>
    <w:rsid w:val="00CD644F"/>
    <w:rsid w:val="00CD64D2"/>
    <w:rsid w:val="00CD6525"/>
    <w:rsid w:val="00CD652E"/>
    <w:rsid w:val="00CD68DD"/>
    <w:rsid w:val="00CD6A0A"/>
    <w:rsid w:val="00CD6EF2"/>
    <w:rsid w:val="00CD786B"/>
    <w:rsid w:val="00CD7B8B"/>
    <w:rsid w:val="00CE01F8"/>
    <w:rsid w:val="00CE08BB"/>
    <w:rsid w:val="00CE0D51"/>
    <w:rsid w:val="00CE1657"/>
    <w:rsid w:val="00CE24B9"/>
    <w:rsid w:val="00CE2ADD"/>
    <w:rsid w:val="00CE2B04"/>
    <w:rsid w:val="00CE2C27"/>
    <w:rsid w:val="00CE2C87"/>
    <w:rsid w:val="00CE3E8B"/>
    <w:rsid w:val="00CE47DC"/>
    <w:rsid w:val="00CE5298"/>
    <w:rsid w:val="00CE5322"/>
    <w:rsid w:val="00CE58EB"/>
    <w:rsid w:val="00CE69E4"/>
    <w:rsid w:val="00CF0041"/>
    <w:rsid w:val="00CF02F9"/>
    <w:rsid w:val="00CF0D4B"/>
    <w:rsid w:val="00CF2605"/>
    <w:rsid w:val="00CF2804"/>
    <w:rsid w:val="00CF35B2"/>
    <w:rsid w:val="00CF38D4"/>
    <w:rsid w:val="00CF395A"/>
    <w:rsid w:val="00CF3D4C"/>
    <w:rsid w:val="00CF5C07"/>
    <w:rsid w:val="00CF5CFC"/>
    <w:rsid w:val="00D00655"/>
    <w:rsid w:val="00D00AF5"/>
    <w:rsid w:val="00D00E75"/>
    <w:rsid w:val="00D01917"/>
    <w:rsid w:val="00D01EBC"/>
    <w:rsid w:val="00D03DE1"/>
    <w:rsid w:val="00D03EDD"/>
    <w:rsid w:val="00D03EEF"/>
    <w:rsid w:val="00D03F69"/>
    <w:rsid w:val="00D04F08"/>
    <w:rsid w:val="00D050BB"/>
    <w:rsid w:val="00D07087"/>
    <w:rsid w:val="00D074CA"/>
    <w:rsid w:val="00D07A1B"/>
    <w:rsid w:val="00D07ACD"/>
    <w:rsid w:val="00D07DE3"/>
    <w:rsid w:val="00D07E2A"/>
    <w:rsid w:val="00D07EA6"/>
    <w:rsid w:val="00D11582"/>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7BC"/>
    <w:rsid w:val="00D21820"/>
    <w:rsid w:val="00D21F48"/>
    <w:rsid w:val="00D2255E"/>
    <w:rsid w:val="00D226B9"/>
    <w:rsid w:val="00D23437"/>
    <w:rsid w:val="00D2372E"/>
    <w:rsid w:val="00D2373E"/>
    <w:rsid w:val="00D239F4"/>
    <w:rsid w:val="00D2459A"/>
    <w:rsid w:val="00D248D9"/>
    <w:rsid w:val="00D24CD7"/>
    <w:rsid w:val="00D259E0"/>
    <w:rsid w:val="00D27131"/>
    <w:rsid w:val="00D27DDD"/>
    <w:rsid w:val="00D31AD0"/>
    <w:rsid w:val="00D31B9E"/>
    <w:rsid w:val="00D31BBD"/>
    <w:rsid w:val="00D3214E"/>
    <w:rsid w:val="00D3251C"/>
    <w:rsid w:val="00D32658"/>
    <w:rsid w:val="00D34E83"/>
    <w:rsid w:val="00D35189"/>
    <w:rsid w:val="00D352D0"/>
    <w:rsid w:val="00D35F44"/>
    <w:rsid w:val="00D3701D"/>
    <w:rsid w:val="00D37354"/>
    <w:rsid w:val="00D404B1"/>
    <w:rsid w:val="00D40C33"/>
    <w:rsid w:val="00D4104F"/>
    <w:rsid w:val="00D41EE5"/>
    <w:rsid w:val="00D4313E"/>
    <w:rsid w:val="00D43988"/>
    <w:rsid w:val="00D4707E"/>
    <w:rsid w:val="00D47238"/>
    <w:rsid w:val="00D4761E"/>
    <w:rsid w:val="00D4762C"/>
    <w:rsid w:val="00D47867"/>
    <w:rsid w:val="00D47EAF"/>
    <w:rsid w:val="00D50B2A"/>
    <w:rsid w:val="00D5132A"/>
    <w:rsid w:val="00D51517"/>
    <w:rsid w:val="00D52D7F"/>
    <w:rsid w:val="00D52FE8"/>
    <w:rsid w:val="00D53034"/>
    <w:rsid w:val="00D53103"/>
    <w:rsid w:val="00D541A8"/>
    <w:rsid w:val="00D54E13"/>
    <w:rsid w:val="00D54F79"/>
    <w:rsid w:val="00D55A05"/>
    <w:rsid w:val="00D562A8"/>
    <w:rsid w:val="00D56D22"/>
    <w:rsid w:val="00D5724E"/>
    <w:rsid w:val="00D60210"/>
    <w:rsid w:val="00D61A9F"/>
    <w:rsid w:val="00D61EDD"/>
    <w:rsid w:val="00D628AF"/>
    <w:rsid w:val="00D6294B"/>
    <w:rsid w:val="00D62A4A"/>
    <w:rsid w:val="00D62A88"/>
    <w:rsid w:val="00D654F8"/>
    <w:rsid w:val="00D66697"/>
    <w:rsid w:val="00D6732B"/>
    <w:rsid w:val="00D676B3"/>
    <w:rsid w:val="00D6787A"/>
    <w:rsid w:val="00D67ACA"/>
    <w:rsid w:val="00D67F69"/>
    <w:rsid w:val="00D71103"/>
    <w:rsid w:val="00D71213"/>
    <w:rsid w:val="00D713E4"/>
    <w:rsid w:val="00D72BF9"/>
    <w:rsid w:val="00D72FAD"/>
    <w:rsid w:val="00D7314F"/>
    <w:rsid w:val="00D73259"/>
    <w:rsid w:val="00D73AF1"/>
    <w:rsid w:val="00D73E64"/>
    <w:rsid w:val="00D74504"/>
    <w:rsid w:val="00D74639"/>
    <w:rsid w:val="00D74926"/>
    <w:rsid w:val="00D74E38"/>
    <w:rsid w:val="00D75449"/>
    <w:rsid w:val="00D770D5"/>
    <w:rsid w:val="00D809B7"/>
    <w:rsid w:val="00D81004"/>
    <w:rsid w:val="00D812A9"/>
    <w:rsid w:val="00D813B0"/>
    <w:rsid w:val="00D8141C"/>
    <w:rsid w:val="00D81A57"/>
    <w:rsid w:val="00D82664"/>
    <w:rsid w:val="00D8269A"/>
    <w:rsid w:val="00D82962"/>
    <w:rsid w:val="00D82A4C"/>
    <w:rsid w:val="00D83A65"/>
    <w:rsid w:val="00D846CF"/>
    <w:rsid w:val="00D85498"/>
    <w:rsid w:val="00D85683"/>
    <w:rsid w:val="00D86320"/>
    <w:rsid w:val="00D86D21"/>
    <w:rsid w:val="00D86D72"/>
    <w:rsid w:val="00D8772B"/>
    <w:rsid w:val="00D90114"/>
    <w:rsid w:val="00D90679"/>
    <w:rsid w:val="00D90F20"/>
    <w:rsid w:val="00D90F8A"/>
    <w:rsid w:val="00D91621"/>
    <w:rsid w:val="00D916E9"/>
    <w:rsid w:val="00D9180B"/>
    <w:rsid w:val="00D925BC"/>
    <w:rsid w:val="00D929B7"/>
    <w:rsid w:val="00D9330D"/>
    <w:rsid w:val="00D94EB6"/>
    <w:rsid w:val="00D95111"/>
    <w:rsid w:val="00D954B6"/>
    <w:rsid w:val="00D9553A"/>
    <w:rsid w:val="00D958D2"/>
    <w:rsid w:val="00D95A4C"/>
    <w:rsid w:val="00D95C5C"/>
    <w:rsid w:val="00D9623F"/>
    <w:rsid w:val="00D964B0"/>
    <w:rsid w:val="00D96B91"/>
    <w:rsid w:val="00D9740F"/>
    <w:rsid w:val="00D97545"/>
    <w:rsid w:val="00D9770C"/>
    <w:rsid w:val="00D977A2"/>
    <w:rsid w:val="00D9787B"/>
    <w:rsid w:val="00D97BA1"/>
    <w:rsid w:val="00D97F28"/>
    <w:rsid w:val="00DA09FC"/>
    <w:rsid w:val="00DA28A7"/>
    <w:rsid w:val="00DA2BB0"/>
    <w:rsid w:val="00DA2BCC"/>
    <w:rsid w:val="00DA2FCA"/>
    <w:rsid w:val="00DA348E"/>
    <w:rsid w:val="00DA373A"/>
    <w:rsid w:val="00DA456A"/>
    <w:rsid w:val="00DA5162"/>
    <w:rsid w:val="00DA59D2"/>
    <w:rsid w:val="00DA5A9C"/>
    <w:rsid w:val="00DA5F60"/>
    <w:rsid w:val="00DA60A9"/>
    <w:rsid w:val="00DA6E30"/>
    <w:rsid w:val="00DA6E9D"/>
    <w:rsid w:val="00DA6FF3"/>
    <w:rsid w:val="00DA7525"/>
    <w:rsid w:val="00DB1595"/>
    <w:rsid w:val="00DB2329"/>
    <w:rsid w:val="00DB297D"/>
    <w:rsid w:val="00DB2B7E"/>
    <w:rsid w:val="00DB2BA7"/>
    <w:rsid w:val="00DB2F6C"/>
    <w:rsid w:val="00DB345D"/>
    <w:rsid w:val="00DB53A2"/>
    <w:rsid w:val="00DB5719"/>
    <w:rsid w:val="00DB624E"/>
    <w:rsid w:val="00DB7C6B"/>
    <w:rsid w:val="00DC02EA"/>
    <w:rsid w:val="00DC0860"/>
    <w:rsid w:val="00DC1309"/>
    <w:rsid w:val="00DC1343"/>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2547"/>
    <w:rsid w:val="00DD3316"/>
    <w:rsid w:val="00DD3E02"/>
    <w:rsid w:val="00DD5654"/>
    <w:rsid w:val="00DD594C"/>
    <w:rsid w:val="00DD5E57"/>
    <w:rsid w:val="00DD5E97"/>
    <w:rsid w:val="00DD5F57"/>
    <w:rsid w:val="00DD60E3"/>
    <w:rsid w:val="00DD667B"/>
    <w:rsid w:val="00DD7F9B"/>
    <w:rsid w:val="00DE18A9"/>
    <w:rsid w:val="00DE2E1E"/>
    <w:rsid w:val="00DE3385"/>
    <w:rsid w:val="00DE3503"/>
    <w:rsid w:val="00DE396F"/>
    <w:rsid w:val="00DE3CA1"/>
    <w:rsid w:val="00DE4007"/>
    <w:rsid w:val="00DE4638"/>
    <w:rsid w:val="00DE4651"/>
    <w:rsid w:val="00DE47B6"/>
    <w:rsid w:val="00DE534A"/>
    <w:rsid w:val="00DE55FD"/>
    <w:rsid w:val="00DE7265"/>
    <w:rsid w:val="00DE7525"/>
    <w:rsid w:val="00DF2247"/>
    <w:rsid w:val="00DF225E"/>
    <w:rsid w:val="00DF2353"/>
    <w:rsid w:val="00DF387D"/>
    <w:rsid w:val="00DF3AB2"/>
    <w:rsid w:val="00DF5784"/>
    <w:rsid w:val="00DF58B8"/>
    <w:rsid w:val="00DF5FF8"/>
    <w:rsid w:val="00DF6EE5"/>
    <w:rsid w:val="00E0077B"/>
    <w:rsid w:val="00E00898"/>
    <w:rsid w:val="00E01BEF"/>
    <w:rsid w:val="00E029E1"/>
    <w:rsid w:val="00E03634"/>
    <w:rsid w:val="00E050B6"/>
    <w:rsid w:val="00E0557E"/>
    <w:rsid w:val="00E05D14"/>
    <w:rsid w:val="00E0628E"/>
    <w:rsid w:val="00E06460"/>
    <w:rsid w:val="00E073CF"/>
    <w:rsid w:val="00E074A3"/>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5D99"/>
    <w:rsid w:val="00E174FE"/>
    <w:rsid w:val="00E17ECD"/>
    <w:rsid w:val="00E17F53"/>
    <w:rsid w:val="00E20354"/>
    <w:rsid w:val="00E207DB"/>
    <w:rsid w:val="00E21F5A"/>
    <w:rsid w:val="00E234C7"/>
    <w:rsid w:val="00E24EC1"/>
    <w:rsid w:val="00E25124"/>
    <w:rsid w:val="00E25A4F"/>
    <w:rsid w:val="00E261F8"/>
    <w:rsid w:val="00E26B25"/>
    <w:rsid w:val="00E26BD5"/>
    <w:rsid w:val="00E26E25"/>
    <w:rsid w:val="00E27DF3"/>
    <w:rsid w:val="00E3110A"/>
    <w:rsid w:val="00E319CB"/>
    <w:rsid w:val="00E319DC"/>
    <w:rsid w:val="00E324AD"/>
    <w:rsid w:val="00E3342D"/>
    <w:rsid w:val="00E33683"/>
    <w:rsid w:val="00E33734"/>
    <w:rsid w:val="00E34AA9"/>
    <w:rsid w:val="00E368F3"/>
    <w:rsid w:val="00E36A4F"/>
    <w:rsid w:val="00E37D5F"/>
    <w:rsid w:val="00E40942"/>
    <w:rsid w:val="00E4125E"/>
    <w:rsid w:val="00E41E22"/>
    <w:rsid w:val="00E4239D"/>
    <w:rsid w:val="00E429A0"/>
    <w:rsid w:val="00E42D39"/>
    <w:rsid w:val="00E4337B"/>
    <w:rsid w:val="00E4483E"/>
    <w:rsid w:val="00E44CD4"/>
    <w:rsid w:val="00E45B91"/>
    <w:rsid w:val="00E46804"/>
    <w:rsid w:val="00E46C57"/>
    <w:rsid w:val="00E47A7B"/>
    <w:rsid w:val="00E513EE"/>
    <w:rsid w:val="00E5176B"/>
    <w:rsid w:val="00E51813"/>
    <w:rsid w:val="00E527C9"/>
    <w:rsid w:val="00E528BA"/>
    <w:rsid w:val="00E53497"/>
    <w:rsid w:val="00E534DF"/>
    <w:rsid w:val="00E537A9"/>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964"/>
    <w:rsid w:val="00E64EEE"/>
    <w:rsid w:val="00E663AD"/>
    <w:rsid w:val="00E66F49"/>
    <w:rsid w:val="00E67F4F"/>
    <w:rsid w:val="00E721A9"/>
    <w:rsid w:val="00E727F8"/>
    <w:rsid w:val="00E73549"/>
    <w:rsid w:val="00E73EB9"/>
    <w:rsid w:val="00E74861"/>
    <w:rsid w:val="00E748DD"/>
    <w:rsid w:val="00E74EC9"/>
    <w:rsid w:val="00E750A5"/>
    <w:rsid w:val="00E75733"/>
    <w:rsid w:val="00E75A9D"/>
    <w:rsid w:val="00E76B19"/>
    <w:rsid w:val="00E80CF7"/>
    <w:rsid w:val="00E81581"/>
    <w:rsid w:val="00E81B8E"/>
    <w:rsid w:val="00E81ED7"/>
    <w:rsid w:val="00E82742"/>
    <w:rsid w:val="00E82FC0"/>
    <w:rsid w:val="00E8369B"/>
    <w:rsid w:val="00E8377F"/>
    <w:rsid w:val="00E83850"/>
    <w:rsid w:val="00E85244"/>
    <w:rsid w:val="00E86159"/>
    <w:rsid w:val="00E86741"/>
    <w:rsid w:val="00E86DCB"/>
    <w:rsid w:val="00E87AE4"/>
    <w:rsid w:val="00E90C1F"/>
    <w:rsid w:val="00E9124A"/>
    <w:rsid w:val="00E91A8F"/>
    <w:rsid w:val="00E9222C"/>
    <w:rsid w:val="00E92AA5"/>
    <w:rsid w:val="00E9314A"/>
    <w:rsid w:val="00E9558B"/>
    <w:rsid w:val="00E957C5"/>
    <w:rsid w:val="00E95D1B"/>
    <w:rsid w:val="00E9735C"/>
    <w:rsid w:val="00EA233A"/>
    <w:rsid w:val="00EA234B"/>
    <w:rsid w:val="00EA267F"/>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1EAC"/>
    <w:rsid w:val="00EB2216"/>
    <w:rsid w:val="00EB27D1"/>
    <w:rsid w:val="00EB33F4"/>
    <w:rsid w:val="00EB3B9C"/>
    <w:rsid w:val="00EB3CFC"/>
    <w:rsid w:val="00EB4C04"/>
    <w:rsid w:val="00EB5513"/>
    <w:rsid w:val="00EB55AF"/>
    <w:rsid w:val="00EB57BD"/>
    <w:rsid w:val="00EB623E"/>
    <w:rsid w:val="00EB6502"/>
    <w:rsid w:val="00EB6787"/>
    <w:rsid w:val="00EB7271"/>
    <w:rsid w:val="00EB7D9C"/>
    <w:rsid w:val="00EC1076"/>
    <w:rsid w:val="00EC1406"/>
    <w:rsid w:val="00EC1526"/>
    <w:rsid w:val="00EC16C0"/>
    <w:rsid w:val="00EC1B26"/>
    <w:rsid w:val="00EC1E52"/>
    <w:rsid w:val="00EC23F3"/>
    <w:rsid w:val="00EC2677"/>
    <w:rsid w:val="00EC2AB5"/>
    <w:rsid w:val="00EC36F2"/>
    <w:rsid w:val="00EC46CC"/>
    <w:rsid w:val="00EC4856"/>
    <w:rsid w:val="00EC4B79"/>
    <w:rsid w:val="00EC4F33"/>
    <w:rsid w:val="00EC5115"/>
    <w:rsid w:val="00EC74BA"/>
    <w:rsid w:val="00EC79C5"/>
    <w:rsid w:val="00EC7E82"/>
    <w:rsid w:val="00EC7E91"/>
    <w:rsid w:val="00ED0B81"/>
    <w:rsid w:val="00ED166B"/>
    <w:rsid w:val="00ED172E"/>
    <w:rsid w:val="00ED1A64"/>
    <w:rsid w:val="00ED28DD"/>
    <w:rsid w:val="00ED2E31"/>
    <w:rsid w:val="00ED3133"/>
    <w:rsid w:val="00ED35A0"/>
    <w:rsid w:val="00ED43A6"/>
    <w:rsid w:val="00ED468B"/>
    <w:rsid w:val="00ED4965"/>
    <w:rsid w:val="00ED5F66"/>
    <w:rsid w:val="00ED69B3"/>
    <w:rsid w:val="00ED6FB9"/>
    <w:rsid w:val="00ED7371"/>
    <w:rsid w:val="00ED7E2F"/>
    <w:rsid w:val="00ED7EA8"/>
    <w:rsid w:val="00EE02A3"/>
    <w:rsid w:val="00EE0650"/>
    <w:rsid w:val="00EE1313"/>
    <w:rsid w:val="00EE1F82"/>
    <w:rsid w:val="00EE2126"/>
    <w:rsid w:val="00EE3363"/>
    <w:rsid w:val="00EE4C7E"/>
    <w:rsid w:val="00EE556D"/>
    <w:rsid w:val="00EE5E81"/>
    <w:rsid w:val="00EE6184"/>
    <w:rsid w:val="00EE641E"/>
    <w:rsid w:val="00EE7A2C"/>
    <w:rsid w:val="00EF09D3"/>
    <w:rsid w:val="00EF108A"/>
    <w:rsid w:val="00EF1240"/>
    <w:rsid w:val="00EF1F75"/>
    <w:rsid w:val="00EF2240"/>
    <w:rsid w:val="00EF3069"/>
    <w:rsid w:val="00EF31A5"/>
    <w:rsid w:val="00EF3700"/>
    <w:rsid w:val="00EF3EB5"/>
    <w:rsid w:val="00EF4939"/>
    <w:rsid w:val="00EF57B9"/>
    <w:rsid w:val="00EF57DF"/>
    <w:rsid w:val="00EF6556"/>
    <w:rsid w:val="00EF71DF"/>
    <w:rsid w:val="00F0252E"/>
    <w:rsid w:val="00F02BAD"/>
    <w:rsid w:val="00F0319D"/>
    <w:rsid w:val="00F036B0"/>
    <w:rsid w:val="00F0441A"/>
    <w:rsid w:val="00F07063"/>
    <w:rsid w:val="00F11635"/>
    <w:rsid w:val="00F12D86"/>
    <w:rsid w:val="00F131AA"/>
    <w:rsid w:val="00F131FD"/>
    <w:rsid w:val="00F1350B"/>
    <w:rsid w:val="00F13B05"/>
    <w:rsid w:val="00F13B5A"/>
    <w:rsid w:val="00F13BAF"/>
    <w:rsid w:val="00F13EA5"/>
    <w:rsid w:val="00F13EED"/>
    <w:rsid w:val="00F14263"/>
    <w:rsid w:val="00F15AF2"/>
    <w:rsid w:val="00F162CA"/>
    <w:rsid w:val="00F1673D"/>
    <w:rsid w:val="00F1674C"/>
    <w:rsid w:val="00F17C70"/>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318"/>
    <w:rsid w:val="00F32D63"/>
    <w:rsid w:val="00F34012"/>
    <w:rsid w:val="00F343A3"/>
    <w:rsid w:val="00F34C99"/>
    <w:rsid w:val="00F3531A"/>
    <w:rsid w:val="00F36350"/>
    <w:rsid w:val="00F36E97"/>
    <w:rsid w:val="00F4173F"/>
    <w:rsid w:val="00F41DB0"/>
    <w:rsid w:val="00F42D15"/>
    <w:rsid w:val="00F439BB"/>
    <w:rsid w:val="00F43CEB"/>
    <w:rsid w:val="00F449D7"/>
    <w:rsid w:val="00F461AE"/>
    <w:rsid w:val="00F467F9"/>
    <w:rsid w:val="00F4703C"/>
    <w:rsid w:val="00F50A96"/>
    <w:rsid w:val="00F5184D"/>
    <w:rsid w:val="00F51B88"/>
    <w:rsid w:val="00F51CB2"/>
    <w:rsid w:val="00F526F5"/>
    <w:rsid w:val="00F534D3"/>
    <w:rsid w:val="00F5421D"/>
    <w:rsid w:val="00F55022"/>
    <w:rsid w:val="00F55184"/>
    <w:rsid w:val="00F560C9"/>
    <w:rsid w:val="00F568B1"/>
    <w:rsid w:val="00F56A91"/>
    <w:rsid w:val="00F5704A"/>
    <w:rsid w:val="00F57FA7"/>
    <w:rsid w:val="00F60DF3"/>
    <w:rsid w:val="00F62057"/>
    <w:rsid w:val="00F6264B"/>
    <w:rsid w:val="00F62837"/>
    <w:rsid w:val="00F6290C"/>
    <w:rsid w:val="00F64433"/>
    <w:rsid w:val="00F646C8"/>
    <w:rsid w:val="00F66721"/>
    <w:rsid w:val="00F6773C"/>
    <w:rsid w:val="00F67988"/>
    <w:rsid w:val="00F67C01"/>
    <w:rsid w:val="00F70909"/>
    <w:rsid w:val="00F70D66"/>
    <w:rsid w:val="00F7114B"/>
    <w:rsid w:val="00F714BE"/>
    <w:rsid w:val="00F71D85"/>
    <w:rsid w:val="00F721EF"/>
    <w:rsid w:val="00F72AAF"/>
    <w:rsid w:val="00F72AC2"/>
    <w:rsid w:val="00F72F17"/>
    <w:rsid w:val="00F731F6"/>
    <w:rsid w:val="00F73923"/>
    <w:rsid w:val="00F73D91"/>
    <w:rsid w:val="00F74168"/>
    <w:rsid w:val="00F742F1"/>
    <w:rsid w:val="00F7470C"/>
    <w:rsid w:val="00F74942"/>
    <w:rsid w:val="00F75B33"/>
    <w:rsid w:val="00F76037"/>
    <w:rsid w:val="00F76171"/>
    <w:rsid w:val="00F761E0"/>
    <w:rsid w:val="00F76832"/>
    <w:rsid w:val="00F76B53"/>
    <w:rsid w:val="00F7761D"/>
    <w:rsid w:val="00F77724"/>
    <w:rsid w:val="00F77839"/>
    <w:rsid w:val="00F77AF3"/>
    <w:rsid w:val="00F77CE6"/>
    <w:rsid w:val="00F77DD1"/>
    <w:rsid w:val="00F77E8E"/>
    <w:rsid w:val="00F8023F"/>
    <w:rsid w:val="00F81349"/>
    <w:rsid w:val="00F82021"/>
    <w:rsid w:val="00F82080"/>
    <w:rsid w:val="00F82566"/>
    <w:rsid w:val="00F82A7B"/>
    <w:rsid w:val="00F8476C"/>
    <w:rsid w:val="00F84D67"/>
    <w:rsid w:val="00F850A1"/>
    <w:rsid w:val="00F855B8"/>
    <w:rsid w:val="00F85CBD"/>
    <w:rsid w:val="00F86B84"/>
    <w:rsid w:val="00F905B8"/>
    <w:rsid w:val="00F91164"/>
    <w:rsid w:val="00F9181F"/>
    <w:rsid w:val="00F91D47"/>
    <w:rsid w:val="00F92B0F"/>
    <w:rsid w:val="00F9354E"/>
    <w:rsid w:val="00F941FC"/>
    <w:rsid w:val="00F96365"/>
    <w:rsid w:val="00F96D24"/>
    <w:rsid w:val="00F97093"/>
    <w:rsid w:val="00F97FF3"/>
    <w:rsid w:val="00FA0091"/>
    <w:rsid w:val="00FA0426"/>
    <w:rsid w:val="00FA0DC9"/>
    <w:rsid w:val="00FA1AA9"/>
    <w:rsid w:val="00FA2C8B"/>
    <w:rsid w:val="00FA2CE3"/>
    <w:rsid w:val="00FA3E0C"/>
    <w:rsid w:val="00FA4F9B"/>
    <w:rsid w:val="00FA4FBA"/>
    <w:rsid w:val="00FA5580"/>
    <w:rsid w:val="00FA655A"/>
    <w:rsid w:val="00FA69C3"/>
    <w:rsid w:val="00FA6AAC"/>
    <w:rsid w:val="00FA6CBC"/>
    <w:rsid w:val="00FA6D48"/>
    <w:rsid w:val="00FA7027"/>
    <w:rsid w:val="00FA7206"/>
    <w:rsid w:val="00FA7EC0"/>
    <w:rsid w:val="00FB1729"/>
    <w:rsid w:val="00FB2DB8"/>
    <w:rsid w:val="00FB30A2"/>
    <w:rsid w:val="00FB429B"/>
    <w:rsid w:val="00FB5119"/>
    <w:rsid w:val="00FB6970"/>
    <w:rsid w:val="00FB6AEE"/>
    <w:rsid w:val="00FC02BF"/>
    <w:rsid w:val="00FC072E"/>
    <w:rsid w:val="00FC1C02"/>
    <w:rsid w:val="00FC3497"/>
    <w:rsid w:val="00FC4323"/>
    <w:rsid w:val="00FC51AE"/>
    <w:rsid w:val="00FC550A"/>
    <w:rsid w:val="00FC551E"/>
    <w:rsid w:val="00FC5790"/>
    <w:rsid w:val="00FC5C41"/>
    <w:rsid w:val="00FC6275"/>
    <w:rsid w:val="00FD039F"/>
    <w:rsid w:val="00FD053B"/>
    <w:rsid w:val="00FD0AF0"/>
    <w:rsid w:val="00FD0D5E"/>
    <w:rsid w:val="00FD1234"/>
    <w:rsid w:val="00FD18F3"/>
    <w:rsid w:val="00FD194F"/>
    <w:rsid w:val="00FD1995"/>
    <w:rsid w:val="00FD2333"/>
    <w:rsid w:val="00FD25C9"/>
    <w:rsid w:val="00FD25E1"/>
    <w:rsid w:val="00FD31B5"/>
    <w:rsid w:val="00FD5688"/>
    <w:rsid w:val="00FD5725"/>
    <w:rsid w:val="00FD5E1C"/>
    <w:rsid w:val="00FD5F36"/>
    <w:rsid w:val="00FD7F6B"/>
    <w:rsid w:val="00FE0948"/>
    <w:rsid w:val="00FE0E33"/>
    <w:rsid w:val="00FE1880"/>
    <w:rsid w:val="00FE2032"/>
    <w:rsid w:val="00FE2B7B"/>
    <w:rsid w:val="00FE3256"/>
    <w:rsid w:val="00FE3990"/>
    <w:rsid w:val="00FE3B9B"/>
    <w:rsid w:val="00FE3F8E"/>
    <w:rsid w:val="00FE47ED"/>
    <w:rsid w:val="00FE5101"/>
    <w:rsid w:val="00FE61DC"/>
    <w:rsid w:val="00FE67D0"/>
    <w:rsid w:val="00FE689B"/>
    <w:rsid w:val="00FE79CE"/>
    <w:rsid w:val="00FE7E56"/>
    <w:rsid w:val="00FF02D0"/>
    <w:rsid w:val="00FF081E"/>
    <w:rsid w:val="00FF1406"/>
    <w:rsid w:val="00FF145C"/>
    <w:rsid w:val="00FF26EE"/>
    <w:rsid w:val="00FF28EC"/>
    <w:rsid w:val="00FF47A3"/>
    <w:rsid w:val="00FF4B3F"/>
    <w:rsid w:val="00FF4B43"/>
    <w:rsid w:val="00FF574F"/>
    <w:rsid w:val="00FF6146"/>
    <w:rsid w:val="00FF7956"/>
    <w:rsid w:val="01415CD2"/>
    <w:rsid w:val="01453A14"/>
    <w:rsid w:val="014D28C9"/>
    <w:rsid w:val="01687703"/>
    <w:rsid w:val="017D31AE"/>
    <w:rsid w:val="01826A17"/>
    <w:rsid w:val="018C1643"/>
    <w:rsid w:val="01AF0E8E"/>
    <w:rsid w:val="01B70F10"/>
    <w:rsid w:val="021967E1"/>
    <w:rsid w:val="021B4775"/>
    <w:rsid w:val="02671768"/>
    <w:rsid w:val="03062D2F"/>
    <w:rsid w:val="030D7E3E"/>
    <w:rsid w:val="03192A63"/>
    <w:rsid w:val="03231B33"/>
    <w:rsid w:val="03321D76"/>
    <w:rsid w:val="0334205E"/>
    <w:rsid w:val="033755DF"/>
    <w:rsid w:val="034321D6"/>
    <w:rsid w:val="034856A5"/>
    <w:rsid w:val="037E320E"/>
    <w:rsid w:val="03BE7AAE"/>
    <w:rsid w:val="03D07714"/>
    <w:rsid w:val="03D80B70"/>
    <w:rsid w:val="03F236B0"/>
    <w:rsid w:val="03F3534A"/>
    <w:rsid w:val="041B280B"/>
    <w:rsid w:val="041F679F"/>
    <w:rsid w:val="04212517"/>
    <w:rsid w:val="045F4DED"/>
    <w:rsid w:val="046248DD"/>
    <w:rsid w:val="04A86794"/>
    <w:rsid w:val="04AB5476"/>
    <w:rsid w:val="04C74740"/>
    <w:rsid w:val="04D550AF"/>
    <w:rsid w:val="04E470A0"/>
    <w:rsid w:val="05031C1C"/>
    <w:rsid w:val="05157BA2"/>
    <w:rsid w:val="05237BC9"/>
    <w:rsid w:val="05834B0B"/>
    <w:rsid w:val="05D11D1B"/>
    <w:rsid w:val="05D435B9"/>
    <w:rsid w:val="05EB2641"/>
    <w:rsid w:val="05EF21A1"/>
    <w:rsid w:val="05FA7789"/>
    <w:rsid w:val="05FE0636"/>
    <w:rsid w:val="060774EA"/>
    <w:rsid w:val="060A2B37"/>
    <w:rsid w:val="060C4B01"/>
    <w:rsid w:val="06141C07"/>
    <w:rsid w:val="06224324"/>
    <w:rsid w:val="062C51A3"/>
    <w:rsid w:val="062E2CC9"/>
    <w:rsid w:val="067D4F9E"/>
    <w:rsid w:val="06A72A7B"/>
    <w:rsid w:val="06D53145"/>
    <w:rsid w:val="070B300A"/>
    <w:rsid w:val="07230354"/>
    <w:rsid w:val="075229E7"/>
    <w:rsid w:val="0757624F"/>
    <w:rsid w:val="078608E3"/>
    <w:rsid w:val="079E5C2C"/>
    <w:rsid w:val="07AF301F"/>
    <w:rsid w:val="07D93108"/>
    <w:rsid w:val="07FB6BDB"/>
    <w:rsid w:val="080D690E"/>
    <w:rsid w:val="08204893"/>
    <w:rsid w:val="08444A26"/>
    <w:rsid w:val="086F7E62"/>
    <w:rsid w:val="08A059D4"/>
    <w:rsid w:val="08C07E24"/>
    <w:rsid w:val="08C276F9"/>
    <w:rsid w:val="08CB2A51"/>
    <w:rsid w:val="08E27D9B"/>
    <w:rsid w:val="09095DE2"/>
    <w:rsid w:val="09300B06"/>
    <w:rsid w:val="093A1D5C"/>
    <w:rsid w:val="09905A49"/>
    <w:rsid w:val="0992531D"/>
    <w:rsid w:val="099512B1"/>
    <w:rsid w:val="09AB2883"/>
    <w:rsid w:val="09AD65FB"/>
    <w:rsid w:val="09B5725D"/>
    <w:rsid w:val="09E55D95"/>
    <w:rsid w:val="09EA6F07"/>
    <w:rsid w:val="09F07824"/>
    <w:rsid w:val="0A287A2F"/>
    <w:rsid w:val="0A375EC4"/>
    <w:rsid w:val="0A40746F"/>
    <w:rsid w:val="0A5371A2"/>
    <w:rsid w:val="0A5B1BB3"/>
    <w:rsid w:val="0A6D18E6"/>
    <w:rsid w:val="0A786C09"/>
    <w:rsid w:val="0A9926DB"/>
    <w:rsid w:val="0AAC0660"/>
    <w:rsid w:val="0AC57974"/>
    <w:rsid w:val="0AE147AE"/>
    <w:rsid w:val="0AE778EA"/>
    <w:rsid w:val="0AFD2C6A"/>
    <w:rsid w:val="0B0104DC"/>
    <w:rsid w:val="0B093D05"/>
    <w:rsid w:val="0B362BF0"/>
    <w:rsid w:val="0B5C3E34"/>
    <w:rsid w:val="0B60651B"/>
    <w:rsid w:val="0B835865"/>
    <w:rsid w:val="0B9340C0"/>
    <w:rsid w:val="0BA94BA0"/>
    <w:rsid w:val="0BB26C18"/>
    <w:rsid w:val="0BB43C70"/>
    <w:rsid w:val="0BBF2615"/>
    <w:rsid w:val="0BDE0CED"/>
    <w:rsid w:val="0BDF6813"/>
    <w:rsid w:val="0C060244"/>
    <w:rsid w:val="0C2801BA"/>
    <w:rsid w:val="0C8C699B"/>
    <w:rsid w:val="0CB87790"/>
    <w:rsid w:val="0CBA3508"/>
    <w:rsid w:val="0CC779D3"/>
    <w:rsid w:val="0D054058"/>
    <w:rsid w:val="0D1077DD"/>
    <w:rsid w:val="0D32334D"/>
    <w:rsid w:val="0D470B14"/>
    <w:rsid w:val="0D4B4161"/>
    <w:rsid w:val="0D4F196D"/>
    <w:rsid w:val="0D646E2A"/>
    <w:rsid w:val="0D7F3E0A"/>
    <w:rsid w:val="0DAD6BC9"/>
    <w:rsid w:val="0DE16873"/>
    <w:rsid w:val="0DEE2D3E"/>
    <w:rsid w:val="0DF04D08"/>
    <w:rsid w:val="0E146C48"/>
    <w:rsid w:val="0E3966AF"/>
    <w:rsid w:val="0E455054"/>
    <w:rsid w:val="0E4A266A"/>
    <w:rsid w:val="0E4D3F08"/>
    <w:rsid w:val="0E567261"/>
    <w:rsid w:val="0EAA135B"/>
    <w:rsid w:val="0EB36461"/>
    <w:rsid w:val="0ECD6BB9"/>
    <w:rsid w:val="0F1D7D7F"/>
    <w:rsid w:val="0F3F1AA3"/>
    <w:rsid w:val="0F474DFC"/>
    <w:rsid w:val="0F5170F1"/>
    <w:rsid w:val="0F56503F"/>
    <w:rsid w:val="0F7F6343"/>
    <w:rsid w:val="0F8C280E"/>
    <w:rsid w:val="0FD7617F"/>
    <w:rsid w:val="0FDF64A1"/>
    <w:rsid w:val="0FE34B24"/>
    <w:rsid w:val="0FF860F6"/>
    <w:rsid w:val="10042CED"/>
    <w:rsid w:val="10156CA8"/>
    <w:rsid w:val="10247488"/>
    <w:rsid w:val="10294501"/>
    <w:rsid w:val="102A1CBB"/>
    <w:rsid w:val="106043C7"/>
    <w:rsid w:val="107C061C"/>
    <w:rsid w:val="10944070"/>
    <w:rsid w:val="109C2F25"/>
    <w:rsid w:val="10BF7A6B"/>
    <w:rsid w:val="10E2302E"/>
    <w:rsid w:val="10E5667A"/>
    <w:rsid w:val="10E87F18"/>
    <w:rsid w:val="10ED3781"/>
    <w:rsid w:val="10F863AD"/>
    <w:rsid w:val="110A60E1"/>
    <w:rsid w:val="111451B1"/>
    <w:rsid w:val="11205904"/>
    <w:rsid w:val="113676AF"/>
    <w:rsid w:val="114415F3"/>
    <w:rsid w:val="114A0BD3"/>
    <w:rsid w:val="114A387E"/>
    <w:rsid w:val="11543BAC"/>
    <w:rsid w:val="115630D4"/>
    <w:rsid w:val="117417AC"/>
    <w:rsid w:val="117D2D56"/>
    <w:rsid w:val="11A5684D"/>
    <w:rsid w:val="11C4082F"/>
    <w:rsid w:val="11C95F9C"/>
    <w:rsid w:val="11D32976"/>
    <w:rsid w:val="11D861DF"/>
    <w:rsid w:val="11DC5CCF"/>
    <w:rsid w:val="12042B30"/>
    <w:rsid w:val="120E7E09"/>
    <w:rsid w:val="1218482D"/>
    <w:rsid w:val="122B630F"/>
    <w:rsid w:val="123478B9"/>
    <w:rsid w:val="123D4E07"/>
    <w:rsid w:val="12443874"/>
    <w:rsid w:val="124949E7"/>
    <w:rsid w:val="124B075F"/>
    <w:rsid w:val="125735A8"/>
    <w:rsid w:val="126A5144"/>
    <w:rsid w:val="126E2D03"/>
    <w:rsid w:val="12957C2C"/>
    <w:rsid w:val="12D60970"/>
    <w:rsid w:val="12DC3AAD"/>
    <w:rsid w:val="13201BEB"/>
    <w:rsid w:val="13765CAF"/>
    <w:rsid w:val="13CC58CF"/>
    <w:rsid w:val="13F74556"/>
    <w:rsid w:val="13FB7F63"/>
    <w:rsid w:val="140E7C96"/>
    <w:rsid w:val="1424570B"/>
    <w:rsid w:val="143F2545"/>
    <w:rsid w:val="144B713C"/>
    <w:rsid w:val="145C4EA5"/>
    <w:rsid w:val="148A7C64"/>
    <w:rsid w:val="14A16D5C"/>
    <w:rsid w:val="14AF76CB"/>
    <w:rsid w:val="14B85A81"/>
    <w:rsid w:val="14BF71E2"/>
    <w:rsid w:val="14D07641"/>
    <w:rsid w:val="14D94748"/>
    <w:rsid w:val="14D964F6"/>
    <w:rsid w:val="14ED3D4F"/>
    <w:rsid w:val="14F72E20"/>
    <w:rsid w:val="14F75F2A"/>
    <w:rsid w:val="14F90946"/>
    <w:rsid w:val="151469B7"/>
    <w:rsid w:val="152850C5"/>
    <w:rsid w:val="155618F4"/>
    <w:rsid w:val="156D4E90"/>
    <w:rsid w:val="15956C4F"/>
    <w:rsid w:val="159F2DAC"/>
    <w:rsid w:val="15CE1DD3"/>
    <w:rsid w:val="1609105D"/>
    <w:rsid w:val="16331C36"/>
    <w:rsid w:val="163360DA"/>
    <w:rsid w:val="1635775C"/>
    <w:rsid w:val="16493207"/>
    <w:rsid w:val="168C1346"/>
    <w:rsid w:val="16A668AC"/>
    <w:rsid w:val="16B25250"/>
    <w:rsid w:val="16B94475"/>
    <w:rsid w:val="16BF34C9"/>
    <w:rsid w:val="16CF5E02"/>
    <w:rsid w:val="16D01B7A"/>
    <w:rsid w:val="16E15B36"/>
    <w:rsid w:val="16F74B8C"/>
    <w:rsid w:val="1706559C"/>
    <w:rsid w:val="17123F41"/>
    <w:rsid w:val="171C091C"/>
    <w:rsid w:val="17375756"/>
    <w:rsid w:val="174C1F50"/>
    <w:rsid w:val="178070FD"/>
    <w:rsid w:val="17853B61"/>
    <w:rsid w:val="179606CE"/>
    <w:rsid w:val="17BE3B06"/>
    <w:rsid w:val="17CA481C"/>
    <w:rsid w:val="17E21B65"/>
    <w:rsid w:val="17E70F2A"/>
    <w:rsid w:val="18381785"/>
    <w:rsid w:val="186500A0"/>
    <w:rsid w:val="186B1B5B"/>
    <w:rsid w:val="18722EE9"/>
    <w:rsid w:val="189015C1"/>
    <w:rsid w:val="1890336F"/>
    <w:rsid w:val="18B76B4E"/>
    <w:rsid w:val="18E40145"/>
    <w:rsid w:val="18EE0096"/>
    <w:rsid w:val="19006747"/>
    <w:rsid w:val="19212219"/>
    <w:rsid w:val="192B12EA"/>
    <w:rsid w:val="19341F4D"/>
    <w:rsid w:val="19404D95"/>
    <w:rsid w:val="195048A6"/>
    <w:rsid w:val="19662322"/>
    <w:rsid w:val="19866520"/>
    <w:rsid w:val="19B17A41"/>
    <w:rsid w:val="19BD0194"/>
    <w:rsid w:val="19CF1C75"/>
    <w:rsid w:val="19E05415"/>
    <w:rsid w:val="19E35721"/>
    <w:rsid w:val="19EA2F53"/>
    <w:rsid w:val="19EA6260"/>
    <w:rsid w:val="1A4474E8"/>
    <w:rsid w:val="1A7F369B"/>
    <w:rsid w:val="1A8E1B30"/>
    <w:rsid w:val="1A96278C"/>
    <w:rsid w:val="1AAB26E2"/>
    <w:rsid w:val="1AD339E7"/>
    <w:rsid w:val="1AFB05F2"/>
    <w:rsid w:val="1B0B72D0"/>
    <w:rsid w:val="1B100797"/>
    <w:rsid w:val="1B2304CB"/>
    <w:rsid w:val="1B245FF1"/>
    <w:rsid w:val="1B9E5DA3"/>
    <w:rsid w:val="1BB90E2F"/>
    <w:rsid w:val="1BCE272A"/>
    <w:rsid w:val="1BCF2401"/>
    <w:rsid w:val="1C13053F"/>
    <w:rsid w:val="1C24274C"/>
    <w:rsid w:val="1C2A3ADB"/>
    <w:rsid w:val="1C3B7A96"/>
    <w:rsid w:val="1C672639"/>
    <w:rsid w:val="1C6F7740"/>
    <w:rsid w:val="1C7B7E93"/>
    <w:rsid w:val="1C850D11"/>
    <w:rsid w:val="1CA7512B"/>
    <w:rsid w:val="1CA92C52"/>
    <w:rsid w:val="1CB533A4"/>
    <w:rsid w:val="1CC17F9B"/>
    <w:rsid w:val="1CD22DC8"/>
    <w:rsid w:val="1CD81789"/>
    <w:rsid w:val="1CFF2872"/>
    <w:rsid w:val="1D083E1C"/>
    <w:rsid w:val="1D1327C1"/>
    <w:rsid w:val="1D2B1804"/>
    <w:rsid w:val="1DAD49C3"/>
    <w:rsid w:val="1DE008F5"/>
    <w:rsid w:val="1DEF28E6"/>
    <w:rsid w:val="1E0068A1"/>
    <w:rsid w:val="1E3173A3"/>
    <w:rsid w:val="1E334EC9"/>
    <w:rsid w:val="1E3950C5"/>
    <w:rsid w:val="1E4808ED"/>
    <w:rsid w:val="1E766B63"/>
    <w:rsid w:val="1E8A0861"/>
    <w:rsid w:val="1E984D2C"/>
    <w:rsid w:val="1E9B3AFC"/>
    <w:rsid w:val="1EAC6A29"/>
    <w:rsid w:val="1EB53B30"/>
    <w:rsid w:val="1F182311"/>
    <w:rsid w:val="1F43738D"/>
    <w:rsid w:val="1F536EA5"/>
    <w:rsid w:val="1F7237CF"/>
    <w:rsid w:val="1F7E03C6"/>
    <w:rsid w:val="1F8E612F"/>
    <w:rsid w:val="1F9000F9"/>
    <w:rsid w:val="1FAB6CE1"/>
    <w:rsid w:val="1FE46AA9"/>
    <w:rsid w:val="1FF468DA"/>
    <w:rsid w:val="1FF70178"/>
    <w:rsid w:val="201A79C2"/>
    <w:rsid w:val="20322F5E"/>
    <w:rsid w:val="20476A09"/>
    <w:rsid w:val="2063580D"/>
    <w:rsid w:val="207B2B57"/>
    <w:rsid w:val="20C55B80"/>
    <w:rsid w:val="20C75D9C"/>
    <w:rsid w:val="20DD736E"/>
    <w:rsid w:val="20EA55E7"/>
    <w:rsid w:val="210E39CB"/>
    <w:rsid w:val="21132D8F"/>
    <w:rsid w:val="211F1734"/>
    <w:rsid w:val="212E1977"/>
    <w:rsid w:val="21696E53"/>
    <w:rsid w:val="217001E2"/>
    <w:rsid w:val="218E68BA"/>
    <w:rsid w:val="21A67760"/>
    <w:rsid w:val="21F77FBB"/>
    <w:rsid w:val="21F91F85"/>
    <w:rsid w:val="21FC7CC7"/>
    <w:rsid w:val="220646A2"/>
    <w:rsid w:val="22123047"/>
    <w:rsid w:val="22146DBF"/>
    <w:rsid w:val="22396826"/>
    <w:rsid w:val="225C42C2"/>
    <w:rsid w:val="22DD3655"/>
    <w:rsid w:val="22E26EBD"/>
    <w:rsid w:val="22E67766"/>
    <w:rsid w:val="22F4099F"/>
    <w:rsid w:val="23286980"/>
    <w:rsid w:val="23486984"/>
    <w:rsid w:val="234C07DB"/>
    <w:rsid w:val="23621DAC"/>
    <w:rsid w:val="237F295E"/>
    <w:rsid w:val="23AA1DA8"/>
    <w:rsid w:val="23E7405F"/>
    <w:rsid w:val="23ED1676"/>
    <w:rsid w:val="23F30C56"/>
    <w:rsid w:val="23F41E93"/>
    <w:rsid w:val="23FF13A9"/>
    <w:rsid w:val="2403533D"/>
    <w:rsid w:val="24172B97"/>
    <w:rsid w:val="242751B3"/>
    <w:rsid w:val="242E1C8E"/>
    <w:rsid w:val="245E4A59"/>
    <w:rsid w:val="246833F2"/>
    <w:rsid w:val="24771887"/>
    <w:rsid w:val="25184241"/>
    <w:rsid w:val="25292B82"/>
    <w:rsid w:val="253909CD"/>
    <w:rsid w:val="25457290"/>
    <w:rsid w:val="256C2A6E"/>
    <w:rsid w:val="257638ED"/>
    <w:rsid w:val="25B54415"/>
    <w:rsid w:val="25CD5C03"/>
    <w:rsid w:val="25E22D55"/>
    <w:rsid w:val="260E1D77"/>
    <w:rsid w:val="260E7FC9"/>
    <w:rsid w:val="26284DDB"/>
    <w:rsid w:val="262D48F3"/>
    <w:rsid w:val="268B33C8"/>
    <w:rsid w:val="269B7AAF"/>
    <w:rsid w:val="26BE554B"/>
    <w:rsid w:val="26E825C8"/>
    <w:rsid w:val="26EA4592"/>
    <w:rsid w:val="27127645"/>
    <w:rsid w:val="272F01F7"/>
    <w:rsid w:val="27BA5D13"/>
    <w:rsid w:val="27BD1CA7"/>
    <w:rsid w:val="27BF3329"/>
    <w:rsid w:val="27D72D69"/>
    <w:rsid w:val="27E45486"/>
    <w:rsid w:val="27E6278A"/>
    <w:rsid w:val="284321AC"/>
    <w:rsid w:val="28771E56"/>
    <w:rsid w:val="28A16ED3"/>
    <w:rsid w:val="28C768EF"/>
    <w:rsid w:val="28DD6E23"/>
    <w:rsid w:val="28F90ABD"/>
    <w:rsid w:val="2903193C"/>
    <w:rsid w:val="29422464"/>
    <w:rsid w:val="29564161"/>
    <w:rsid w:val="29785E86"/>
    <w:rsid w:val="29C70BBB"/>
    <w:rsid w:val="2A31206B"/>
    <w:rsid w:val="2A36061B"/>
    <w:rsid w:val="2A614B6C"/>
    <w:rsid w:val="2A720B27"/>
    <w:rsid w:val="2A830F86"/>
    <w:rsid w:val="2AA35184"/>
    <w:rsid w:val="2ACE1AD5"/>
    <w:rsid w:val="2AD52E64"/>
    <w:rsid w:val="2B177920"/>
    <w:rsid w:val="2B193698"/>
    <w:rsid w:val="2B2D2CA0"/>
    <w:rsid w:val="2B481888"/>
    <w:rsid w:val="2B9C7E34"/>
    <w:rsid w:val="2BA7222F"/>
    <w:rsid w:val="2BA96061"/>
    <w:rsid w:val="2BC74EA2"/>
    <w:rsid w:val="2BC90C1A"/>
    <w:rsid w:val="2C29790B"/>
    <w:rsid w:val="2CA174A1"/>
    <w:rsid w:val="2CED6C3A"/>
    <w:rsid w:val="2D0C788F"/>
    <w:rsid w:val="2D295F9A"/>
    <w:rsid w:val="2D314CC9"/>
    <w:rsid w:val="2D35408E"/>
    <w:rsid w:val="2D3E73E6"/>
    <w:rsid w:val="2D510EC7"/>
    <w:rsid w:val="2D8F19F0"/>
    <w:rsid w:val="2DA21723"/>
    <w:rsid w:val="2DCF003E"/>
    <w:rsid w:val="2DE03FF9"/>
    <w:rsid w:val="2E0E0B66"/>
    <w:rsid w:val="2E2959A0"/>
    <w:rsid w:val="2E2B27AB"/>
    <w:rsid w:val="2E627104"/>
    <w:rsid w:val="2E642E7C"/>
    <w:rsid w:val="2E903C71"/>
    <w:rsid w:val="2E921DA5"/>
    <w:rsid w:val="2E9372BE"/>
    <w:rsid w:val="2EA65243"/>
    <w:rsid w:val="2EB55486"/>
    <w:rsid w:val="2EB84F76"/>
    <w:rsid w:val="2EBB09DD"/>
    <w:rsid w:val="2EC97183"/>
    <w:rsid w:val="2EDF69A7"/>
    <w:rsid w:val="2F0B32F8"/>
    <w:rsid w:val="2F0D0E1E"/>
    <w:rsid w:val="2F320885"/>
    <w:rsid w:val="2F34284F"/>
    <w:rsid w:val="2F603644"/>
    <w:rsid w:val="2F904782"/>
    <w:rsid w:val="2FCD4A51"/>
    <w:rsid w:val="2FE34275"/>
    <w:rsid w:val="2FF43D8C"/>
    <w:rsid w:val="30006A18"/>
    <w:rsid w:val="30045057"/>
    <w:rsid w:val="302C5C1C"/>
    <w:rsid w:val="302D729E"/>
    <w:rsid w:val="303A20E7"/>
    <w:rsid w:val="30667B76"/>
    <w:rsid w:val="307410C2"/>
    <w:rsid w:val="30B26121"/>
    <w:rsid w:val="30D75B88"/>
    <w:rsid w:val="30E327D8"/>
    <w:rsid w:val="31102E48"/>
    <w:rsid w:val="311C359A"/>
    <w:rsid w:val="31376626"/>
    <w:rsid w:val="313C5E2A"/>
    <w:rsid w:val="31701B38"/>
    <w:rsid w:val="31813D45"/>
    <w:rsid w:val="319A0963"/>
    <w:rsid w:val="31A812D2"/>
    <w:rsid w:val="31AD68E8"/>
    <w:rsid w:val="31DB5204"/>
    <w:rsid w:val="32170BF7"/>
    <w:rsid w:val="322F72FD"/>
    <w:rsid w:val="323668DE"/>
    <w:rsid w:val="324E1E79"/>
    <w:rsid w:val="325B6344"/>
    <w:rsid w:val="32A1591F"/>
    <w:rsid w:val="32C043F9"/>
    <w:rsid w:val="32CA640C"/>
    <w:rsid w:val="32D3412D"/>
    <w:rsid w:val="32FF3174"/>
    <w:rsid w:val="33044C2E"/>
    <w:rsid w:val="33052E4F"/>
    <w:rsid w:val="33150BE9"/>
    <w:rsid w:val="33264BA4"/>
    <w:rsid w:val="33694A91"/>
    <w:rsid w:val="33707BCD"/>
    <w:rsid w:val="339E0BDF"/>
    <w:rsid w:val="33CD330B"/>
    <w:rsid w:val="33DE547F"/>
    <w:rsid w:val="34060532"/>
    <w:rsid w:val="340F5638"/>
    <w:rsid w:val="341D7D55"/>
    <w:rsid w:val="343B642D"/>
    <w:rsid w:val="3474193F"/>
    <w:rsid w:val="347656B7"/>
    <w:rsid w:val="348E3839"/>
    <w:rsid w:val="34A43FD3"/>
    <w:rsid w:val="34CC3529"/>
    <w:rsid w:val="34CC52D7"/>
    <w:rsid w:val="34D523DE"/>
    <w:rsid w:val="34EE16F2"/>
    <w:rsid w:val="34FF745B"/>
    <w:rsid w:val="35373099"/>
    <w:rsid w:val="354B08F2"/>
    <w:rsid w:val="3566572C"/>
    <w:rsid w:val="359A53D6"/>
    <w:rsid w:val="35AF558A"/>
    <w:rsid w:val="35B20971"/>
    <w:rsid w:val="35C46889"/>
    <w:rsid w:val="35CB1A33"/>
    <w:rsid w:val="36080591"/>
    <w:rsid w:val="364A5420"/>
    <w:rsid w:val="3667175C"/>
    <w:rsid w:val="366C4FC4"/>
    <w:rsid w:val="366E68DA"/>
    <w:rsid w:val="36806379"/>
    <w:rsid w:val="373D24BC"/>
    <w:rsid w:val="374B4BD9"/>
    <w:rsid w:val="376637C1"/>
    <w:rsid w:val="376712E7"/>
    <w:rsid w:val="377D6D5D"/>
    <w:rsid w:val="37D42E21"/>
    <w:rsid w:val="37F012DD"/>
    <w:rsid w:val="37FA3B07"/>
    <w:rsid w:val="37FC4126"/>
    <w:rsid w:val="3801173C"/>
    <w:rsid w:val="380D1E8F"/>
    <w:rsid w:val="38125841"/>
    <w:rsid w:val="384A6C3F"/>
    <w:rsid w:val="38926838"/>
    <w:rsid w:val="38AA5930"/>
    <w:rsid w:val="38AC5B4C"/>
    <w:rsid w:val="38AD5420"/>
    <w:rsid w:val="38B844F1"/>
    <w:rsid w:val="38C70290"/>
    <w:rsid w:val="38CA4224"/>
    <w:rsid w:val="393435C0"/>
    <w:rsid w:val="39534219"/>
    <w:rsid w:val="396E2E01"/>
    <w:rsid w:val="39B76556"/>
    <w:rsid w:val="39BA7DF4"/>
    <w:rsid w:val="39C26CA9"/>
    <w:rsid w:val="39D0586A"/>
    <w:rsid w:val="3A0472C2"/>
    <w:rsid w:val="3A085004"/>
    <w:rsid w:val="3A17143A"/>
    <w:rsid w:val="3A1F5EA9"/>
    <w:rsid w:val="3A2F2590"/>
    <w:rsid w:val="3A4B6C9E"/>
    <w:rsid w:val="3A5C0EAC"/>
    <w:rsid w:val="3A5F274A"/>
    <w:rsid w:val="3A660185"/>
    <w:rsid w:val="3B331C0C"/>
    <w:rsid w:val="3B5129DA"/>
    <w:rsid w:val="3B660234"/>
    <w:rsid w:val="3B762441"/>
    <w:rsid w:val="3BB05953"/>
    <w:rsid w:val="3BC1190E"/>
    <w:rsid w:val="3BDD4E74"/>
    <w:rsid w:val="3BE92C13"/>
    <w:rsid w:val="3BF16943"/>
    <w:rsid w:val="3BF70E8C"/>
    <w:rsid w:val="3C254167"/>
    <w:rsid w:val="3C54617F"/>
    <w:rsid w:val="3CD613E9"/>
    <w:rsid w:val="3CDB69FF"/>
    <w:rsid w:val="3CE5162C"/>
    <w:rsid w:val="3CEA279F"/>
    <w:rsid w:val="3D171F98"/>
    <w:rsid w:val="3D4C3459"/>
    <w:rsid w:val="3D540560"/>
    <w:rsid w:val="3D673DEF"/>
    <w:rsid w:val="3D9C10CD"/>
    <w:rsid w:val="3DB37034"/>
    <w:rsid w:val="3DC6005E"/>
    <w:rsid w:val="3DCE75E8"/>
    <w:rsid w:val="3DF02037"/>
    <w:rsid w:val="3DF633C5"/>
    <w:rsid w:val="3E021D6A"/>
    <w:rsid w:val="3E2672E7"/>
    <w:rsid w:val="3E734A16"/>
    <w:rsid w:val="3E7A3FF6"/>
    <w:rsid w:val="3E80785E"/>
    <w:rsid w:val="3EA64DEB"/>
    <w:rsid w:val="3ECB6600"/>
    <w:rsid w:val="3EDE4585"/>
    <w:rsid w:val="3EDE6333"/>
    <w:rsid w:val="3F1C50AD"/>
    <w:rsid w:val="3F367F1D"/>
    <w:rsid w:val="3F5C54AA"/>
    <w:rsid w:val="3F634A8A"/>
    <w:rsid w:val="3F6820A1"/>
    <w:rsid w:val="3F7171A7"/>
    <w:rsid w:val="3F7D78FA"/>
    <w:rsid w:val="3F830C89"/>
    <w:rsid w:val="3F892743"/>
    <w:rsid w:val="3FA34647"/>
    <w:rsid w:val="3FE23C01"/>
    <w:rsid w:val="400022D9"/>
    <w:rsid w:val="4013200C"/>
    <w:rsid w:val="40532D51"/>
    <w:rsid w:val="40580367"/>
    <w:rsid w:val="40BC26A4"/>
    <w:rsid w:val="40CA3013"/>
    <w:rsid w:val="40E340D5"/>
    <w:rsid w:val="40F2256A"/>
    <w:rsid w:val="40F63E08"/>
    <w:rsid w:val="410127AD"/>
    <w:rsid w:val="411529FB"/>
    <w:rsid w:val="41362456"/>
    <w:rsid w:val="413B5CBF"/>
    <w:rsid w:val="415C79E3"/>
    <w:rsid w:val="41652D3C"/>
    <w:rsid w:val="41676AB4"/>
    <w:rsid w:val="41CA2D0D"/>
    <w:rsid w:val="41CA7043"/>
    <w:rsid w:val="41CF23DC"/>
    <w:rsid w:val="41DB399D"/>
    <w:rsid w:val="41E41EB2"/>
    <w:rsid w:val="41E77BF5"/>
    <w:rsid w:val="41F61BE6"/>
    <w:rsid w:val="42073DF3"/>
    <w:rsid w:val="4218267E"/>
    <w:rsid w:val="421E187C"/>
    <w:rsid w:val="4246491B"/>
    <w:rsid w:val="4250579A"/>
    <w:rsid w:val="42707BEA"/>
    <w:rsid w:val="427B20EB"/>
    <w:rsid w:val="428611BC"/>
    <w:rsid w:val="42A11473"/>
    <w:rsid w:val="42B86E9B"/>
    <w:rsid w:val="42CD2946"/>
    <w:rsid w:val="42F500EF"/>
    <w:rsid w:val="4315253F"/>
    <w:rsid w:val="433230F1"/>
    <w:rsid w:val="4353255E"/>
    <w:rsid w:val="43664B49"/>
    <w:rsid w:val="436A288B"/>
    <w:rsid w:val="438F22F2"/>
    <w:rsid w:val="43931DE2"/>
    <w:rsid w:val="439711A6"/>
    <w:rsid w:val="439B2A45"/>
    <w:rsid w:val="43B458B4"/>
    <w:rsid w:val="43B9736F"/>
    <w:rsid w:val="43F16B09"/>
    <w:rsid w:val="44316195"/>
    <w:rsid w:val="443A04B0"/>
    <w:rsid w:val="446077EA"/>
    <w:rsid w:val="44676DCB"/>
    <w:rsid w:val="446C43E1"/>
    <w:rsid w:val="44827761"/>
    <w:rsid w:val="448B4867"/>
    <w:rsid w:val="449F0313"/>
    <w:rsid w:val="44A26055"/>
    <w:rsid w:val="44AC2A30"/>
    <w:rsid w:val="44B02520"/>
    <w:rsid w:val="44D73F50"/>
    <w:rsid w:val="45322F35"/>
    <w:rsid w:val="454B2248"/>
    <w:rsid w:val="454C7069"/>
    <w:rsid w:val="455530C7"/>
    <w:rsid w:val="45596713"/>
    <w:rsid w:val="45886FF9"/>
    <w:rsid w:val="458F0387"/>
    <w:rsid w:val="45905EAD"/>
    <w:rsid w:val="45D40490"/>
    <w:rsid w:val="45E17242"/>
    <w:rsid w:val="46030B23"/>
    <w:rsid w:val="462211FB"/>
    <w:rsid w:val="462F3918"/>
    <w:rsid w:val="465313B5"/>
    <w:rsid w:val="465515D1"/>
    <w:rsid w:val="46583362"/>
    <w:rsid w:val="465E7D59"/>
    <w:rsid w:val="46634A89"/>
    <w:rsid w:val="466C2476"/>
    <w:rsid w:val="466E2692"/>
    <w:rsid w:val="469D0882"/>
    <w:rsid w:val="46A2058E"/>
    <w:rsid w:val="46B05036"/>
    <w:rsid w:val="46BE3798"/>
    <w:rsid w:val="46C95B1B"/>
    <w:rsid w:val="46F506BE"/>
    <w:rsid w:val="47022DDB"/>
    <w:rsid w:val="471843AC"/>
    <w:rsid w:val="47462CC7"/>
    <w:rsid w:val="4764220C"/>
    <w:rsid w:val="4780267D"/>
    <w:rsid w:val="47833F1C"/>
    <w:rsid w:val="479E48B1"/>
    <w:rsid w:val="47B6656B"/>
    <w:rsid w:val="47CF7161"/>
    <w:rsid w:val="48360F8E"/>
    <w:rsid w:val="483F42E6"/>
    <w:rsid w:val="488F68F0"/>
    <w:rsid w:val="48A00AFD"/>
    <w:rsid w:val="48DF3CF4"/>
    <w:rsid w:val="48E1539E"/>
    <w:rsid w:val="48FF3A76"/>
    <w:rsid w:val="490E670B"/>
    <w:rsid w:val="49155047"/>
    <w:rsid w:val="492C413F"/>
    <w:rsid w:val="492E7EB7"/>
    <w:rsid w:val="494D47E1"/>
    <w:rsid w:val="49521DF7"/>
    <w:rsid w:val="49867CF3"/>
    <w:rsid w:val="49A81A17"/>
    <w:rsid w:val="49F76548"/>
    <w:rsid w:val="4A1E7F2C"/>
    <w:rsid w:val="4A2512BA"/>
    <w:rsid w:val="4A25750C"/>
    <w:rsid w:val="4A325785"/>
    <w:rsid w:val="4A6E0EB3"/>
    <w:rsid w:val="4A8907BB"/>
    <w:rsid w:val="4A8A3813"/>
    <w:rsid w:val="4A9D52F4"/>
    <w:rsid w:val="4AC40AD3"/>
    <w:rsid w:val="4AF34F14"/>
    <w:rsid w:val="4B110B90"/>
    <w:rsid w:val="4B1F21AD"/>
    <w:rsid w:val="4B2E05DC"/>
    <w:rsid w:val="4B3D2633"/>
    <w:rsid w:val="4B63653E"/>
    <w:rsid w:val="4B7D0C82"/>
    <w:rsid w:val="4B9A1834"/>
    <w:rsid w:val="4BA12BC2"/>
    <w:rsid w:val="4BF47196"/>
    <w:rsid w:val="4C123AC0"/>
    <w:rsid w:val="4C2149E6"/>
    <w:rsid w:val="4C251A45"/>
    <w:rsid w:val="4C2F4672"/>
    <w:rsid w:val="4C3103EA"/>
    <w:rsid w:val="4C43011D"/>
    <w:rsid w:val="4C650094"/>
    <w:rsid w:val="4C6A56AA"/>
    <w:rsid w:val="4C8C73CE"/>
    <w:rsid w:val="4CA961D2"/>
    <w:rsid w:val="4CBE77A4"/>
    <w:rsid w:val="4CD60F91"/>
    <w:rsid w:val="4D043409"/>
    <w:rsid w:val="4D07739D"/>
    <w:rsid w:val="4D16138E"/>
    <w:rsid w:val="4D1F46E6"/>
    <w:rsid w:val="4D317F76"/>
    <w:rsid w:val="4D3637DE"/>
    <w:rsid w:val="4D3B2BA3"/>
    <w:rsid w:val="4D6E5660"/>
    <w:rsid w:val="4D7A7B6F"/>
    <w:rsid w:val="4D986247"/>
    <w:rsid w:val="4DAD0AEE"/>
    <w:rsid w:val="4DBC1F35"/>
    <w:rsid w:val="4DC96B69"/>
    <w:rsid w:val="4DE33966"/>
    <w:rsid w:val="4DF711BF"/>
    <w:rsid w:val="4E067654"/>
    <w:rsid w:val="4E2A50F1"/>
    <w:rsid w:val="4E375A60"/>
    <w:rsid w:val="4E5008D0"/>
    <w:rsid w:val="4E524648"/>
    <w:rsid w:val="4E65437B"/>
    <w:rsid w:val="4E683E6B"/>
    <w:rsid w:val="4E8135B3"/>
    <w:rsid w:val="4E8D38D2"/>
    <w:rsid w:val="4E93713A"/>
    <w:rsid w:val="4EC45545"/>
    <w:rsid w:val="4F267444"/>
    <w:rsid w:val="4F4026F2"/>
    <w:rsid w:val="4F652159"/>
    <w:rsid w:val="4F7A3E56"/>
    <w:rsid w:val="4F870321"/>
    <w:rsid w:val="4F8E7901"/>
    <w:rsid w:val="4F9D5D96"/>
    <w:rsid w:val="4FB530E0"/>
    <w:rsid w:val="4FBF7ABB"/>
    <w:rsid w:val="4FDD43E5"/>
    <w:rsid w:val="4FE13ED5"/>
    <w:rsid w:val="4FE65048"/>
    <w:rsid w:val="4FE85264"/>
    <w:rsid w:val="502A587C"/>
    <w:rsid w:val="50395ABF"/>
    <w:rsid w:val="503C40AD"/>
    <w:rsid w:val="50834F8C"/>
    <w:rsid w:val="508D27A6"/>
    <w:rsid w:val="51165E00"/>
    <w:rsid w:val="5167040A"/>
    <w:rsid w:val="51C15D6C"/>
    <w:rsid w:val="51C4760A"/>
    <w:rsid w:val="51E952C3"/>
    <w:rsid w:val="5268443A"/>
    <w:rsid w:val="527821A3"/>
    <w:rsid w:val="52C8137C"/>
    <w:rsid w:val="52D23FA9"/>
    <w:rsid w:val="52E066C6"/>
    <w:rsid w:val="52F263F9"/>
    <w:rsid w:val="53083749"/>
    <w:rsid w:val="5334431C"/>
    <w:rsid w:val="53373E0C"/>
    <w:rsid w:val="535B75CD"/>
    <w:rsid w:val="536410A5"/>
    <w:rsid w:val="53803A05"/>
    <w:rsid w:val="539179C0"/>
    <w:rsid w:val="53A94D0A"/>
    <w:rsid w:val="53CC27A6"/>
    <w:rsid w:val="53CE29C2"/>
    <w:rsid w:val="53D0673A"/>
    <w:rsid w:val="53D578AD"/>
    <w:rsid w:val="53E53868"/>
    <w:rsid w:val="53EC4BF7"/>
    <w:rsid w:val="53F51CFD"/>
    <w:rsid w:val="542645AC"/>
    <w:rsid w:val="54280D1A"/>
    <w:rsid w:val="54420CBA"/>
    <w:rsid w:val="544B5DC1"/>
    <w:rsid w:val="545C7FCE"/>
    <w:rsid w:val="5474356A"/>
    <w:rsid w:val="5486329D"/>
    <w:rsid w:val="548E5CAE"/>
    <w:rsid w:val="54971006"/>
    <w:rsid w:val="54A35BFD"/>
    <w:rsid w:val="54AF6350"/>
    <w:rsid w:val="54D9161F"/>
    <w:rsid w:val="54F46459"/>
    <w:rsid w:val="552923C2"/>
    <w:rsid w:val="555869E7"/>
    <w:rsid w:val="556F1F83"/>
    <w:rsid w:val="55A35789"/>
    <w:rsid w:val="55B84EAE"/>
    <w:rsid w:val="55DD6EED"/>
    <w:rsid w:val="562C1C22"/>
    <w:rsid w:val="56382C47"/>
    <w:rsid w:val="56496330"/>
    <w:rsid w:val="567D5FDA"/>
    <w:rsid w:val="56C02A96"/>
    <w:rsid w:val="57014E5D"/>
    <w:rsid w:val="57623B4D"/>
    <w:rsid w:val="57723665"/>
    <w:rsid w:val="57EF1159"/>
    <w:rsid w:val="57FD3876"/>
    <w:rsid w:val="581F1A3E"/>
    <w:rsid w:val="583D3C73"/>
    <w:rsid w:val="584B45E2"/>
    <w:rsid w:val="588C0756"/>
    <w:rsid w:val="589715D5"/>
    <w:rsid w:val="58C85C32"/>
    <w:rsid w:val="58E42340"/>
    <w:rsid w:val="58F76517"/>
    <w:rsid w:val="58FF717A"/>
    <w:rsid w:val="59012EF2"/>
    <w:rsid w:val="59142C25"/>
    <w:rsid w:val="59171178"/>
    <w:rsid w:val="595E20F3"/>
    <w:rsid w:val="597638E0"/>
    <w:rsid w:val="597933D0"/>
    <w:rsid w:val="597B2CA5"/>
    <w:rsid w:val="597B4491"/>
    <w:rsid w:val="59A57D21"/>
    <w:rsid w:val="59A9411B"/>
    <w:rsid w:val="59AF0332"/>
    <w:rsid w:val="59D16D68"/>
    <w:rsid w:val="59D92725"/>
    <w:rsid w:val="59F34F31"/>
    <w:rsid w:val="5A056A12"/>
    <w:rsid w:val="5A144EA7"/>
    <w:rsid w:val="5A1D1FAE"/>
    <w:rsid w:val="5A470DD9"/>
    <w:rsid w:val="5A494B51"/>
    <w:rsid w:val="5A4E03B9"/>
    <w:rsid w:val="5A5D05FC"/>
    <w:rsid w:val="5A731BCE"/>
    <w:rsid w:val="5A9B6510"/>
    <w:rsid w:val="5ABF6998"/>
    <w:rsid w:val="5ACE14FA"/>
    <w:rsid w:val="5B0D2022"/>
    <w:rsid w:val="5B386973"/>
    <w:rsid w:val="5B411CCC"/>
    <w:rsid w:val="5B5315B3"/>
    <w:rsid w:val="5B9242D5"/>
    <w:rsid w:val="5BBC1352"/>
    <w:rsid w:val="5BC30933"/>
    <w:rsid w:val="5BD62414"/>
    <w:rsid w:val="5C1B17B8"/>
    <w:rsid w:val="5C2C64D8"/>
    <w:rsid w:val="5C3A25B5"/>
    <w:rsid w:val="5C423F4D"/>
    <w:rsid w:val="5C6706D6"/>
    <w:rsid w:val="5C8A1451"/>
    <w:rsid w:val="5C983B6D"/>
    <w:rsid w:val="5CB84210"/>
    <w:rsid w:val="5CCB5CF1"/>
    <w:rsid w:val="5CE35E2B"/>
    <w:rsid w:val="5D0A42CB"/>
    <w:rsid w:val="5D2D075A"/>
    <w:rsid w:val="5D4810F0"/>
    <w:rsid w:val="5DB20C5F"/>
    <w:rsid w:val="5DB76275"/>
    <w:rsid w:val="5DE057CC"/>
    <w:rsid w:val="5DED1C97"/>
    <w:rsid w:val="5DED7EE9"/>
    <w:rsid w:val="5DFB0858"/>
    <w:rsid w:val="5E0E058B"/>
    <w:rsid w:val="5E1D07CE"/>
    <w:rsid w:val="5E385608"/>
    <w:rsid w:val="5E40626B"/>
    <w:rsid w:val="5E4E4E2C"/>
    <w:rsid w:val="5EAA5DDA"/>
    <w:rsid w:val="5EC155FD"/>
    <w:rsid w:val="5ED8763C"/>
    <w:rsid w:val="5EDD61AF"/>
    <w:rsid w:val="5EE035AA"/>
    <w:rsid w:val="5EF86B45"/>
    <w:rsid w:val="5F0B6879"/>
    <w:rsid w:val="5F0E70B0"/>
    <w:rsid w:val="5F313E05"/>
    <w:rsid w:val="5F3D4E58"/>
    <w:rsid w:val="5F6D308F"/>
    <w:rsid w:val="5F881C77"/>
    <w:rsid w:val="5FB54A36"/>
    <w:rsid w:val="5FD50C35"/>
    <w:rsid w:val="5FD72BFF"/>
    <w:rsid w:val="5FFC7D0A"/>
    <w:rsid w:val="5FFE1F39"/>
    <w:rsid w:val="5FFE3589"/>
    <w:rsid w:val="60003F04"/>
    <w:rsid w:val="60200102"/>
    <w:rsid w:val="60365B77"/>
    <w:rsid w:val="60515EE8"/>
    <w:rsid w:val="606A75CF"/>
    <w:rsid w:val="60736193"/>
    <w:rsid w:val="60795A64"/>
    <w:rsid w:val="608B14A0"/>
    <w:rsid w:val="60CC028A"/>
    <w:rsid w:val="61135EB8"/>
    <w:rsid w:val="611A0FF5"/>
    <w:rsid w:val="61250170"/>
    <w:rsid w:val="61475B62"/>
    <w:rsid w:val="615564D1"/>
    <w:rsid w:val="615C785F"/>
    <w:rsid w:val="61603C1A"/>
    <w:rsid w:val="6166423A"/>
    <w:rsid w:val="6171498D"/>
    <w:rsid w:val="617C1CB0"/>
    <w:rsid w:val="61910E2C"/>
    <w:rsid w:val="61A03FBA"/>
    <w:rsid w:val="61CD42B9"/>
    <w:rsid w:val="61E67129"/>
    <w:rsid w:val="61F07FA8"/>
    <w:rsid w:val="622D6B06"/>
    <w:rsid w:val="62324D67"/>
    <w:rsid w:val="623C4F9B"/>
    <w:rsid w:val="62467BC8"/>
    <w:rsid w:val="62487DE4"/>
    <w:rsid w:val="62801AF3"/>
    <w:rsid w:val="62854069"/>
    <w:rsid w:val="628E2F58"/>
    <w:rsid w:val="62946B85"/>
    <w:rsid w:val="62A241F2"/>
    <w:rsid w:val="62A3501A"/>
    <w:rsid w:val="62C0797A"/>
    <w:rsid w:val="62D13935"/>
    <w:rsid w:val="63251ED3"/>
    <w:rsid w:val="63331D15"/>
    <w:rsid w:val="63676048"/>
    <w:rsid w:val="63892462"/>
    <w:rsid w:val="63984453"/>
    <w:rsid w:val="63B03E93"/>
    <w:rsid w:val="63BD3EBA"/>
    <w:rsid w:val="63C416EC"/>
    <w:rsid w:val="63D27752"/>
    <w:rsid w:val="63DF2082"/>
    <w:rsid w:val="63FD1B44"/>
    <w:rsid w:val="64220BB4"/>
    <w:rsid w:val="64267CB1"/>
    <w:rsid w:val="64C25C2B"/>
    <w:rsid w:val="64C95594"/>
    <w:rsid w:val="64D8544F"/>
    <w:rsid w:val="64F40429"/>
    <w:rsid w:val="64F97173"/>
    <w:rsid w:val="651D7306"/>
    <w:rsid w:val="651E6376"/>
    <w:rsid w:val="6530528B"/>
    <w:rsid w:val="656C3DE9"/>
    <w:rsid w:val="65842EE1"/>
    <w:rsid w:val="658A426F"/>
    <w:rsid w:val="65B0017A"/>
    <w:rsid w:val="65D025CA"/>
    <w:rsid w:val="65DC2D1D"/>
    <w:rsid w:val="660D7080"/>
    <w:rsid w:val="66263F98"/>
    <w:rsid w:val="6658788B"/>
    <w:rsid w:val="66886A01"/>
    <w:rsid w:val="66A852F5"/>
    <w:rsid w:val="66B21CD0"/>
    <w:rsid w:val="66FD119D"/>
    <w:rsid w:val="6707201B"/>
    <w:rsid w:val="67281F92"/>
    <w:rsid w:val="67297071"/>
    <w:rsid w:val="672A3F5C"/>
    <w:rsid w:val="672E75A8"/>
    <w:rsid w:val="6739419F"/>
    <w:rsid w:val="675B2367"/>
    <w:rsid w:val="67694A84"/>
    <w:rsid w:val="67786A75"/>
    <w:rsid w:val="677F7E04"/>
    <w:rsid w:val="67BD6B7E"/>
    <w:rsid w:val="67E1648C"/>
    <w:rsid w:val="6808604B"/>
    <w:rsid w:val="681D761D"/>
    <w:rsid w:val="682B1D3A"/>
    <w:rsid w:val="68336E40"/>
    <w:rsid w:val="68492AD2"/>
    <w:rsid w:val="689A0C6D"/>
    <w:rsid w:val="68B83154"/>
    <w:rsid w:val="68C83A2C"/>
    <w:rsid w:val="68E5013A"/>
    <w:rsid w:val="68F0088D"/>
    <w:rsid w:val="68F71C1C"/>
    <w:rsid w:val="691722BE"/>
    <w:rsid w:val="692C7B17"/>
    <w:rsid w:val="694110E9"/>
    <w:rsid w:val="69431305"/>
    <w:rsid w:val="69581096"/>
    <w:rsid w:val="69584DB0"/>
    <w:rsid w:val="69A9410F"/>
    <w:rsid w:val="69AD360D"/>
    <w:rsid w:val="69CF4947"/>
    <w:rsid w:val="6A1F767C"/>
    <w:rsid w:val="6A217DF6"/>
    <w:rsid w:val="6A371DEF"/>
    <w:rsid w:val="6A4E1D0F"/>
    <w:rsid w:val="6A5437CA"/>
    <w:rsid w:val="6A70612A"/>
    <w:rsid w:val="6A9736B6"/>
    <w:rsid w:val="6A9811DC"/>
    <w:rsid w:val="6A9C0CCD"/>
    <w:rsid w:val="6AB44268"/>
    <w:rsid w:val="6B100175"/>
    <w:rsid w:val="6B122952"/>
    <w:rsid w:val="6B37721A"/>
    <w:rsid w:val="6B431148"/>
    <w:rsid w:val="6B6F1F3D"/>
    <w:rsid w:val="6B9919CE"/>
    <w:rsid w:val="6BAF67DE"/>
    <w:rsid w:val="6BC73B27"/>
    <w:rsid w:val="6BDB6090"/>
    <w:rsid w:val="6BEB3CFE"/>
    <w:rsid w:val="6BF07522"/>
    <w:rsid w:val="6C044D7B"/>
    <w:rsid w:val="6C07661A"/>
    <w:rsid w:val="6C2E1DF8"/>
    <w:rsid w:val="6C515AE7"/>
    <w:rsid w:val="6C662F7C"/>
    <w:rsid w:val="6C6B4119"/>
    <w:rsid w:val="6C804AB4"/>
    <w:rsid w:val="6C9F2CF6"/>
    <w:rsid w:val="6CB73B9C"/>
    <w:rsid w:val="6CD43218"/>
    <w:rsid w:val="6CDC7AA6"/>
    <w:rsid w:val="6CE4695B"/>
    <w:rsid w:val="6CE55CB0"/>
    <w:rsid w:val="6D154D66"/>
    <w:rsid w:val="6D194857"/>
    <w:rsid w:val="6D4F64CA"/>
    <w:rsid w:val="6D5238C5"/>
    <w:rsid w:val="6D655CEE"/>
    <w:rsid w:val="6D9C0FE4"/>
    <w:rsid w:val="6DCA5B51"/>
    <w:rsid w:val="6DE55656"/>
    <w:rsid w:val="6DFB0400"/>
    <w:rsid w:val="6E261BA7"/>
    <w:rsid w:val="6E5A3E2A"/>
    <w:rsid w:val="6E657628"/>
    <w:rsid w:val="6E8B52E0"/>
    <w:rsid w:val="6EF74724"/>
    <w:rsid w:val="6F176B74"/>
    <w:rsid w:val="6F35349E"/>
    <w:rsid w:val="6F5778B8"/>
    <w:rsid w:val="6F5E29F5"/>
    <w:rsid w:val="6F806E0F"/>
    <w:rsid w:val="6FB24AEE"/>
    <w:rsid w:val="6FB62831"/>
    <w:rsid w:val="6FBB1BF5"/>
    <w:rsid w:val="6FC54822"/>
    <w:rsid w:val="6FD902CD"/>
    <w:rsid w:val="6FE4739E"/>
    <w:rsid w:val="6FED5B27"/>
    <w:rsid w:val="70691651"/>
    <w:rsid w:val="70903082"/>
    <w:rsid w:val="709D754D"/>
    <w:rsid w:val="70A00DEB"/>
    <w:rsid w:val="70AE175A"/>
    <w:rsid w:val="70BA3537"/>
    <w:rsid w:val="70BF3836"/>
    <w:rsid w:val="70C26FB3"/>
    <w:rsid w:val="70D07922"/>
    <w:rsid w:val="70F3716D"/>
    <w:rsid w:val="710D6480"/>
    <w:rsid w:val="713C23EC"/>
    <w:rsid w:val="714B246D"/>
    <w:rsid w:val="71502811"/>
    <w:rsid w:val="71844269"/>
    <w:rsid w:val="71900E5F"/>
    <w:rsid w:val="719E357C"/>
    <w:rsid w:val="71A05546"/>
    <w:rsid w:val="71A5490B"/>
    <w:rsid w:val="71AB5C99"/>
    <w:rsid w:val="72192C03"/>
    <w:rsid w:val="721D6DF3"/>
    <w:rsid w:val="722241AD"/>
    <w:rsid w:val="72536115"/>
    <w:rsid w:val="725E2D0C"/>
    <w:rsid w:val="727A7B45"/>
    <w:rsid w:val="72C963D7"/>
    <w:rsid w:val="72D51220"/>
    <w:rsid w:val="72FB055A"/>
    <w:rsid w:val="73245D03"/>
    <w:rsid w:val="732E2E41"/>
    <w:rsid w:val="73375A36"/>
    <w:rsid w:val="734B14E2"/>
    <w:rsid w:val="73552361"/>
    <w:rsid w:val="73571C35"/>
    <w:rsid w:val="735E1215"/>
    <w:rsid w:val="73762E92"/>
    <w:rsid w:val="737F118B"/>
    <w:rsid w:val="738467A2"/>
    <w:rsid w:val="73AF7CC3"/>
    <w:rsid w:val="73D03795"/>
    <w:rsid w:val="73D94D40"/>
    <w:rsid w:val="7403605F"/>
    <w:rsid w:val="740873D3"/>
    <w:rsid w:val="743326A2"/>
    <w:rsid w:val="746565D3"/>
    <w:rsid w:val="74827185"/>
    <w:rsid w:val="74992ED5"/>
    <w:rsid w:val="749F1AE5"/>
    <w:rsid w:val="74B75416"/>
    <w:rsid w:val="74D6302D"/>
    <w:rsid w:val="74F636CF"/>
    <w:rsid w:val="74FA6D1C"/>
    <w:rsid w:val="751050E8"/>
    <w:rsid w:val="75151DA7"/>
    <w:rsid w:val="75422471"/>
    <w:rsid w:val="75575F1C"/>
    <w:rsid w:val="7568637B"/>
    <w:rsid w:val="75DC28C5"/>
    <w:rsid w:val="76326989"/>
    <w:rsid w:val="7657019E"/>
    <w:rsid w:val="766905FD"/>
    <w:rsid w:val="766C1E9B"/>
    <w:rsid w:val="766C3C49"/>
    <w:rsid w:val="768865A9"/>
    <w:rsid w:val="768C6099"/>
    <w:rsid w:val="76A96C4B"/>
    <w:rsid w:val="76BD26F7"/>
    <w:rsid w:val="76E47C83"/>
    <w:rsid w:val="773D3837"/>
    <w:rsid w:val="774626EC"/>
    <w:rsid w:val="77736FF8"/>
    <w:rsid w:val="778E7BEF"/>
    <w:rsid w:val="779C67B0"/>
    <w:rsid w:val="779D7E32"/>
    <w:rsid w:val="77D01FB6"/>
    <w:rsid w:val="77F9150C"/>
    <w:rsid w:val="780103C1"/>
    <w:rsid w:val="780879A1"/>
    <w:rsid w:val="78105060"/>
    <w:rsid w:val="781520BE"/>
    <w:rsid w:val="782567A5"/>
    <w:rsid w:val="784576F8"/>
    <w:rsid w:val="78564BB1"/>
    <w:rsid w:val="785901FD"/>
    <w:rsid w:val="78767A5E"/>
    <w:rsid w:val="787B63C5"/>
    <w:rsid w:val="788F3C1F"/>
    <w:rsid w:val="78E0447A"/>
    <w:rsid w:val="78E75809"/>
    <w:rsid w:val="78F61EF0"/>
    <w:rsid w:val="79004B1D"/>
    <w:rsid w:val="79030169"/>
    <w:rsid w:val="794744F9"/>
    <w:rsid w:val="79515378"/>
    <w:rsid w:val="798017B9"/>
    <w:rsid w:val="79960562"/>
    <w:rsid w:val="79FA5A10"/>
    <w:rsid w:val="7A1C14E2"/>
    <w:rsid w:val="7A2307C6"/>
    <w:rsid w:val="7A54626B"/>
    <w:rsid w:val="7AA00365"/>
    <w:rsid w:val="7AA240DD"/>
    <w:rsid w:val="7ABB6F4D"/>
    <w:rsid w:val="7AD85D51"/>
    <w:rsid w:val="7AE83ABA"/>
    <w:rsid w:val="7AFB1A3F"/>
    <w:rsid w:val="7B607AF4"/>
    <w:rsid w:val="7B705F89"/>
    <w:rsid w:val="7B821819"/>
    <w:rsid w:val="7BA23C69"/>
    <w:rsid w:val="7BAC2D3A"/>
    <w:rsid w:val="7BC10593"/>
    <w:rsid w:val="7BDF4EBD"/>
    <w:rsid w:val="7BF02C60"/>
    <w:rsid w:val="7C050DEC"/>
    <w:rsid w:val="7C06244A"/>
    <w:rsid w:val="7C411B8B"/>
    <w:rsid w:val="7C8B294F"/>
    <w:rsid w:val="7C8D66C7"/>
    <w:rsid w:val="7C923CDE"/>
    <w:rsid w:val="7CAF663E"/>
    <w:rsid w:val="7CE54755"/>
    <w:rsid w:val="7D0050EB"/>
    <w:rsid w:val="7D1868D9"/>
    <w:rsid w:val="7D39684F"/>
    <w:rsid w:val="7D586CD5"/>
    <w:rsid w:val="7D6C452F"/>
    <w:rsid w:val="7D6E64F9"/>
    <w:rsid w:val="7D7D498E"/>
    <w:rsid w:val="7D8F021D"/>
    <w:rsid w:val="7D9341B1"/>
    <w:rsid w:val="7DA0242A"/>
    <w:rsid w:val="7DBF6D54"/>
    <w:rsid w:val="7DDA593C"/>
    <w:rsid w:val="7DE642E1"/>
    <w:rsid w:val="7DF3182D"/>
    <w:rsid w:val="7DFD76C5"/>
    <w:rsid w:val="7DFF53A3"/>
    <w:rsid w:val="7E062BD5"/>
    <w:rsid w:val="7E1A3F8B"/>
    <w:rsid w:val="7E413C0D"/>
    <w:rsid w:val="7E4159BB"/>
    <w:rsid w:val="7E5356EF"/>
    <w:rsid w:val="7E816BC7"/>
    <w:rsid w:val="7E9C0E44"/>
    <w:rsid w:val="7E9E4BBC"/>
    <w:rsid w:val="7E9F26E2"/>
    <w:rsid w:val="7ECA59B1"/>
    <w:rsid w:val="7EED78F1"/>
    <w:rsid w:val="7F052E8D"/>
    <w:rsid w:val="7F0D7F93"/>
    <w:rsid w:val="7F1C1F84"/>
    <w:rsid w:val="7F54171E"/>
    <w:rsid w:val="7F587460"/>
    <w:rsid w:val="7F6776A3"/>
    <w:rsid w:val="7F6C2EA6"/>
    <w:rsid w:val="7F7818B1"/>
    <w:rsid w:val="7F8B6823"/>
    <w:rsid w:val="7FD52A46"/>
    <w:rsid w:val="7FD558D4"/>
    <w:rsid w:val="7FEC7BA9"/>
    <w:rsid w:val="7FFB29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qFormat="1" w:unhideWhenUsed="0" w:uiPriority="0" w:semiHidden="0" w:name="HTML Preformatted"/>
    <w:lsdException w:qFormat="1" w:uiPriority="0" w:name="HTML Sample"/>
    <w:lsdException w:qFormat="1" w:uiPriority="0" w:name="HTML Typewriter"/>
    <w:lsdException w:qFormat="1"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62"/>
    <w:autoRedefine/>
    <w:qFormat/>
    <w:uiPriority w:val="0"/>
    <w:pPr>
      <w:spacing w:before="340" w:after="330" w:line="360" w:lineRule="auto"/>
      <w:jc w:val="center"/>
      <w:outlineLvl w:val="0"/>
    </w:pPr>
    <w:rPr>
      <w:rFonts w:eastAsia="黑体"/>
      <w:kern w:val="44"/>
      <w:szCs w:val="44"/>
    </w:rPr>
  </w:style>
  <w:style w:type="paragraph" w:styleId="5">
    <w:name w:val="heading 2"/>
    <w:basedOn w:val="3"/>
    <w:next w:val="4"/>
    <w:link w:val="77"/>
    <w:qFormat/>
    <w:uiPriority w:val="0"/>
    <w:pPr>
      <w:adjustRightInd w:val="0"/>
      <w:jc w:val="center"/>
      <w:textAlignment w:val="baseline"/>
      <w:outlineLvl w:val="1"/>
    </w:pPr>
    <w:rPr>
      <w:kern w:val="0"/>
      <w:sz w:val="24"/>
      <w:szCs w:val="20"/>
    </w:rPr>
  </w:style>
  <w:style w:type="paragraph" w:styleId="3">
    <w:name w:val="heading 3"/>
    <w:basedOn w:val="4"/>
    <w:next w:val="1"/>
    <w:link w:val="61"/>
    <w:autoRedefine/>
    <w:qFormat/>
    <w:uiPriority w:val="9"/>
    <w:pPr>
      <w:spacing w:before="260" w:after="260" w:line="240" w:lineRule="auto"/>
      <w:outlineLvl w:val="2"/>
    </w:pPr>
    <w:rPr>
      <w:rFonts w:ascii="宋体" w:hAnsi="宋体" w:eastAsia="宋体"/>
      <w:szCs w:val="32"/>
    </w:rPr>
  </w:style>
  <w:style w:type="paragraph" w:styleId="4">
    <w:name w:val="heading 4"/>
    <w:basedOn w:val="1"/>
    <w:next w:val="1"/>
    <w:link w:val="59"/>
    <w:autoRedefine/>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6"/>
    <w:autoRedefine/>
    <w:qFormat/>
    <w:uiPriority w:val="0"/>
    <w:pPr>
      <w:keepNext/>
      <w:keepLines/>
      <w:spacing w:before="280" w:after="290" w:line="376" w:lineRule="auto"/>
      <w:outlineLvl w:val="4"/>
    </w:pPr>
    <w:rPr>
      <w:b/>
      <w:sz w:val="28"/>
      <w:szCs w:val="20"/>
    </w:rPr>
  </w:style>
  <w:style w:type="paragraph" w:styleId="8">
    <w:name w:val="heading 6"/>
    <w:basedOn w:val="1"/>
    <w:next w:val="7"/>
    <w:link w:val="89"/>
    <w:autoRedefine/>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link w:val="90"/>
    <w:autoRedefine/>
    <w:qFormat/>
    <w:uiPriority w:val="0"/>
    <w:pPr>
      <w:keepNext/>
      <w:keepLines/>
      <w:spacing w:before="240" w:after="64" w:line="320" w:lineRule="auto"/>
      <w:outlineLvl w:val="6"/>
    </w:pPr>
    <w:rPr>
      <w:b/>
      <w:sz w:val="24"/>
      <w:szCs w:val="20"/>
    </w:rPr>
  </w:style>
  <w:style w:type="paragraph" w:styleId="10">
    <w:name w:val="heading 8"/>
    <w:basedOn w:val="1"/>
    <w:next w:val="7"/>
    <w:link w:val="91"/>
    <w:autoRedefine/>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link w:val="92"/>
    <w:autoRedefine/>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autoRedefine/>
    <w:semiHidden/>
    <w:unhideWhenUsed/>
    <w:qFormat/>
    <w:uiPriority w:val="1"/>
  </w:style>
  <w:style w:type="table" w:default="1" w:styleId="42">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Normal Indent"/>
    <w:basedOn w:val="1"/>
    <w:link w:val="63"/>
    <w:autoRedefine/>
    <w:qFormat/>
    <w:uiPriority w:val="0"/>
    <w:pPr>
      <w:ind w:firstLine="420"/>
    </w:pPr>
    <w:rPr>
      <w:szCs w:val="20"/>
    </w:rPr>
  </w:style>
  <w:style w:type="paragraph" w:styleId="12">
    <w:name w:val="toc 7"/>
    <w:basedOn w:val="1"/>
    <w:next w:val="1"/>
    <w:autoRedefine/>
    <w:semiHidden/>
    <w:qFormat/>
    <w:uiPriority w:val="0"/>
    <w:pPr>
      <w:ind w:left="1260"/>
      <w:jc w:val="left"/>
    </w:pPr>
    <w:rPr>
      <w:szCs w:val="21"/>
    </w:rPr>
  </w:style>
  <w:style w:type="paragraph" w:styleId="13">
    <w:name w:val="caption"/>
    <w:basedOn w:val="1"/>
    <w:next w:val="1"/>
    <w:autoRedefine/>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autoRedefine/>
    <w:qFormat/>
    <w:uiPriority w:val="0"/>
    <w:pPr>
      <w:numPr>
        <w:ilvl w:val="0"/>
        <w:numId w:val="1"/>
      </w:numPr>
    </w:pPr>
    <w:rPr>
      <w:szCs w:val="20"/>
    </w:rPr>
  </w:style>
  <w:style w:type="paragraph" w:styleId="15">
    <w:name w:val="Document Map"/>
    <w:basedOn w:val="1"/>
    <w:autoRedefine/>
    <w:semiHidden/>
    <w:qFormat/>
    <w:uiPriority w:val="0"/>
    <w:pPr>
      <w:shd w:val="clear" w:color="auto" w:fill="000080"/>
    </w:pPr>
  </w:style>
  <w:style w:type="paragraph" w:styleId="16">
    <w:name w:val="annotation text"/>
    <w:basedOn w:val="1"/>
    <w:link w:val="190"/>
    <w:autoRedefine/>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104"/>
    <w:autoRedefine/>
    <w:qFormat/>
    <w:uiPriority w:val="0"/>
    <w:pPr>
      <w:spacing w:after="120"/>
    </w:pPr>
    <w:rPr>
      <w:sz w:val="16"/>
      <w:szCs w:val="16"/>
    </w:rPr>
  </w:style>
  <w:style w:type="paragraph" w:styleId="18">
    <w:name w:val="Body Text"/>
    <w:basedOn w:val="1"/>
    <w:next w:val="19"/>
    <w:link w:val="98"/>
    <w:autoRedefine/>
    <w:qFormat/>
    <w:uiPriority w:val="0"/>
    <w:pPr>
      <w:spacing w:line="360" w:lineRule="auto"/>
    </w:pPr>
    <w:rPr>
      <w:b/>
      <w:bCs/>
      <w:sz w:val="24"/>
    </w:rPr>
  </w:style>
  <w:style w:type="paragraph" w:styleId="19">
    <w:name w:val="Body Text 2"/>
    <w:basedOn w:val="1"/>
    <w:link w:val="102"/>
    <w:autoRedefine/>
    <w:qFormat/>
    <w:uiPriority w:val="0"/>
    <w:pPr>
      <w:spacing w:line="360" w:lineRule="auto"/>
    </w:pPr>
    <w:rPr>
      <w:sz w:val="24"/>
    </w:rPr>
  </w:style>
  <w:style w:type="paragraph" w:styleId="20">
    <w:name w:val="Body Text Indent"/>
    <w:basedOn w:val="1"/>
    <w:link w:val="85"/>
    <w:autoRedefine/>
    <w:qFormat/>
    <w:uiPriority w:val="0"/>
    <w:pPr>
      <w:spacing w:line="360" w:lineRule="auto"/>
      <w:ind w:firstLine="420" w:firstLineChars="200"/>
    </w:pPr>
  </w:style>
  <w:style w:type="paragraph" w:styleId="21">
    <w:name w:val="toc 5"/>
    <w:basedOn w:val="1"/>
    <w:next w:val="1"/>
    <w:autoRedefine/>
    <w:semiHidden/>
    <w:qFormat/>
    <w:uiPriority w:val="0"/>
    <w:pPr>
      <w:ind w:left="840"/>
      <w:jc w:val="left"/>
    </w:pPr>
    <w:rPr>
      <w:szCs w:val="21"/>
    </w:rPr>
  </w:style>
  <w:style w:type="paragraph" w:styleId="22">
    <w:name w:val="toc 3"/>
    <w:basedOn w:val="1"/>
    <w:next w:val="1"/>
    <w:autoRedefine/>
    <w:semiHidden/>
    <w:qFormat/>
    <w:uiPriority w:val="0"/>
    <w:pPr>
      <w:ind w:left="420"/>
      <w:jc w:val="left"/>
    </w:pPr>
    <w:rPr>
      <w:i/>
      <w:iCs/>
    </w:rPr>
  </w:style>
  <w:style w:type="paragraph" w:styleId="23">
    <w:name w:val="Plain Text"/>
    <w:basedOn w:val="1"/>
    <w:link w:val="96"/>
    <w:autoRedefine/>
    <w:qFormat/>
    <w:uiPriority w:val="0"/>
    <w:rPr>
      <w:rFonts w:ascii="宋体" w:hAnsi="Courier New"/>
      <w:szCs w:val="20"/>
    </w:rPr>
  </w:style>
  <w:style w:type="paragraph" w:styleId="24">
    <w:name w:val="toc 8"/>
    <w:basedOn w:val="1"/>
    <w:next w:val="1"/>
    <w:autoRedefine/>
    <w:semiHidden/>
    <w:qFormat/>
    <w:uiPriority w:val="0"/>
    <w:pPr>
      <w:ind w:left="1470"/>
      <w:jc w:val="left"/>
    </w:pPr>
    <w:rPr>
      <w:szCs w:val="21"/>
    </w:rPr>
  </w:style>
  <w:style w:type="paragraph" w:styleId="25">
    <w:name w:val="Date"/>
    <w:basedOn w:val="1"/>
    <w:next w:val="1"/>
    <w:link w:val="94"/>
    <w:autoRedefine/>
    <w:qFormat/>
    <w:uiPriority w:val="0"/>
    <w:rPr>
      <w:rFonts w:ascii="宋体" w:hAnsi="Courier New"/>
      <w:sz w:val="32"/>
      <w:szCs w:val="20"/>
    </w:rPr>
  </w:style>
  <w:style w:type="paragraph" w:styleId="26">
    <w:name w:val="Body Text Indent 2"/>
    <w:basedOn w:val="1"/>
    <w:link w:val="99"/>
    <w:autoRedefine/>
    <w:qFormat/>
    <w:uiPriority w:val="0"/>
    <w:pPr>
      <w:spacing w:beforeLines="50" w:afterLines="50" w:line="120" w:lineRule="auto"/>
      <w:ind w:firstLine="840" w:firstLineChars="400"/>
      <w:jc w:val="left"/>
    </w:pPr>
    <w:rPr>
      <w:rFonts w:ascii="宋体" w:hAnsi="宋体"/>
    </w:rPr>
  </w:style>
  <w:style w:type="paragraph" w:styleId="27">
    <w:name w:val="Balloon Text"/>
    <w:basedOn w:val="1"/>
    <w:link w:val="105"/>
    <w:autoRedefine/>
    <w:semiHidden/>
    <w:qFormat/>
    <w:uiPriority w:val="99"/>
    <w:rPr>
      <w:sz w:val="18"/>
      <w:szCs w:val="18"/>
    </w:rPr>
  </w:style>
  <w:style w:type="paragraph" w:styleId="28">
    <w:name w:val="footer"/>
    <w:basedOn w:val="1"/>
    <w:link w:val="103"/>
    <w:autoRedefine/>
    <w:qFormat/>
    <w:uiPriority w:val="0"/>
    <w:pPr>
      <w:tabs>
        <w:tab w:val="center" w:pos="4153"/>
        <w:tab w:val="right" w:pos="8306"/>
      </w:tabs>
      <w:snapToGrid w:val="0"/>
      <w:jc w:val="left"/>
    </w:pPr>
    <w:rPr>
      <w:sz w:val="18"/>
      <w:szCs w:val="18"/>
    </w:rPr>
  </w:style>
  <w:style w:type="paragraph" w:styleId="29">
    <w:name w:val="header"/>
    <w:basedOn w:val="1"/>
    <w:link w:val="100"/>
    <w:autoRedefine/>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autoRedefine/>
    <w:semiHidden/>
    <w:qFormat/>
    <w:uiPriority w:val="0"/>
    <w:pPr>
      <w:spacing w:before="120" w:after="120"/>
      <w:jc w:val="left"/>
    </w:pPr>
    <w:rPr>
      <w:b/>
      <w:bCs/>
      <w:caps/>
    </w:rPr>
  </w:style>
  <w:style w:type="paragraph" w:styleId="31">
    <w:name w:val="toc 4"/>
    <w:basedOn w:val="1"/>
    <w:next w:val="1"/>
    <w:autoRedefine/>
    <w:semiHidden/>
    <w:qFormat/>
    <w:uiPriority w:val="0"/>
    <w:pPr>
      <w:ind w:left="630"/>
      <w:jc w:val="left"/>
    </w:pPr>
    <w:rPr>
      <w:szCs w:val="21"/>
    </w:rPr>
  </w:style>
  <w:style w:type="paragraph" w:styleId="32">
    <w:name w:val="toc 6"/>
    <w:basedOn w:val="1"/>
    <w:next w:val="1"/>
    <w:autoRedefine/>
    <w:semiHidden/>
    <w:qFormat/>
    <w:uiPriority w:val="0"/>
    <w:pPr>
      <w:ind w:left="1050"/>
      <w:jc w:val="left"/>
    </w:pPr>
    <w:rPr>
      <w:szCs w:val="21"/>
    </w:rPr>
  </w:style>
  <w:style w:type="paragraph" w:styleId="33">
    <w:name w:val="Body Text Indent 3"/>
    <w:basedOn w:val="1"/>
    <w:link w:val="101"/>
    <w:autoRedefine/>
    <w:qFormat/>
    <w:uiPriority w:val="0"/>
    <w:pPr>
      <w:spacing w:line="360" w:lineRule="auto"/>
      <w:ind w:firstLine="482" w:firstLineChars="200"/>
    </w:pPr>
    <w:rPr>
      <w:rFonts w:ascii="宋体"/>
      <w:b/>
      <w:bCs/>
      <w:sz w:val="24"/>
    </w:rPr>
  </w:style>
  <w:style w:type="paragraph" w:styleId="34">
    <w:name w:val="toc 2"/>
    <w:basedOn w:val="1"/>
    <w:next w:val="1"/>
    <w:autoRedefine/>
    <w:semiHidden/>
    <w:qFormat/>
    <w:uiPriority w:val="0"/>
    <w:pPr>
      <w:tabs>
        <w:tab w:val="right" w:leader="dot" w:pos="8296"/>
      </w:tabs>
      <w:ind w:left="210"/>
      <w:jc w:val="left"/>
    </w:pPr>
    <w:rPr>
      <w:smallCaps/>
    </w:rPr>
  </w:style>
  <w:style w:type="paragraph" w:styleId="35">
    <w:name w:val="toc 9"/>
    <w:basedOn w:val="1"/>
    <w:next w:val="1"/>
    <w:autoRedefine/>
    <w:semiHidden/>
    <w:qFormat/>
    <w:uiPriority w:val="0"/>
    <w:pPr>
      <w:ind w:left="1680"/>
      <w:jc w:val="left"/>
    </w:pPr>
    <w:rPr>
      <w:szCs w:val="21"/>
    </w:rPr>
  </w:style>
  <w:style w:type="paragraph" w:styleId="36">
    <w:name w:val="HTML Preformatted"/>
    <w:basedOn w:val="1"/>
    <w:link w:val="95"/>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link w:val="196"/>
    <w:autoRedefine/>
    <w:qFormat/>
    <w:uiPriority w:val="99"/>
    <w:pPr>
      <w:spacing w:before="0" w:beforeAutospacing="1" w:after="0" w:afterAutospacing="1"/>
      <w:ind w:left="0" w:right="0"/>
      <w:jc w:val="left"/>
    </w:pPr>
    <w:rPr>
      <w:kern w:val="0"/>
      <w:sz w:val="24"/>
      <w:lang w:val="en-US" w:eastAsia="zh-CN" w:bidi="ar"/>
    </w:rPr>
  </w:style>
  <w:style w:type="paragraph" w:styleId="38">
    <w:name w:val="index 1"/>
    <w:basedOn w:val="1"/>
    <w:next w:val="1"/>
    <w:autoRedefine/>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link w:val="93"/>
    <w:autoRedefine/>
    <w:qFormat/>
    <w:uiPriority w:val="0"/>
    <w:pPr>
      <w:spacing w:before="240" w:after="60"/>
      <w:jc w:val="center"/>
      <w:outlineLvl w:val="0"/>
    </w:pPr>
    <w:rPr>
      <w:rFonts w:ascii="Arial" w:hAnsi="Arial" w:eastAsia="隶书" w:cs="Arial"/>
      <w:b/>
      <w:bCs/>
      <w:sz w:val="32"/>
      <w:szCs w:val="32"/>
    </w:rPr>
  </w:style>
  <w:style w:type="paragraph" w:styleId="40">
    <w:name w:val="annotation subject"/>
    <w:basedOn w:val="16"/>
    <w:next w:val="16"/>
    <w:link w:val="191"/>
    <w:autoRedefine/>
    <w:qFormat/>
    <w:uiPriority w:val="99"/>
    <w:pPr>
      <w:autoSpaceDE/>
      <w:autoSpaceDN/>
      <w:adjustRightInd/>
      <w:textAlignment w:val="auto"/>
    </w:pPr>
    <w:rPr>
      <w:rFonts w:ascii="Times New Roman"/>
      <w:b/>
      <w:bCs/>
      <w:kern w:val="2"/>
      <w:sz w:val="21"/>
      <w:szCs w:val="24"/>
    </w:rPr>
  </w:style>
  <w:style w:type="paragraph" w:styleId="41">
    <w:name w:val="Body Text First Indent"/>
    <w:basedOn w:val="18"/>
    <w:link w:val="136"/>
    <w:autoRedefine/>
    <w:qFormat/>
    <w:uiPriority w:val="0"/>
    <w:pPr>
      <w:spacing w:after="120" w:line="240" w:lineRule="auto"/>
      <w:ind w:firstLine="420" w:firstLineChars="100"/>
    </w:pPr>
    <w:rPr>
      <w:sz w:val="21"/>
    </w:rPr>
  </w:style>
  <w:style w:type="table" w:styleId="43">
    <w:name w:val="Table Grid"/>
    <w:basedOn w:val="42"/>
    <w:autoRedefine/>
    <w:qFormat/>
    <w:uiPriority w:val="39"/>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45">
    <w:name w:val="Strong"/>
    <w:autoRedefine/>
    <w:qFormat/>
    <w:uiPriority w:val="0"/>
    <w:rPr>
      <w:b/>
      <w:bCs/>
    </w:rPr>
  </w:style>
  <w:style w:type="character" w:styleId="46">
    <w:name w:val="page number"/>
    <w:basedOn w:val="44"/>
    <w:autoRedefine/>
    <w:qFormat/>
    <w:uiPriority w:val="0"/>
  </w:style>
  <w:style w:type="character" w:styleId="47">
    <w:name w:val="FollowedHyperlink"/>
    <w:autoRedefine/>
    <w:qFormat/>
    <w:uiPriority w:val="0"/>
    <w:rPr>
      <w:color w:val="800080"/>
      <w:u w:val="single"/>
    </w:rPr>
  </w:style>
  <w:style w:type="character" w:styleId="48">
    <w:name w:val="Emphasis"/>
    <w:basedOn w:val="44"/>
    <w:autoRedefine/>
    <w:qFormat/>
    <w:uiPriority w:val="0"/>
  </w:style>
  <w:style w:type="character" w:styleId="49">
    <w:name w:val="HTML Definition"/>
    <w:basedOn w:val="44"/>
    <w:semiHidden/>
    <w:unhideWhenUsed/>
    <w:qFormat/>
    <w:uiPriority w:val="0"/>
  </w:style>
  <w:style w:type="character" w:styleId="50">
    <w:name w:val="HTML Typewriter"/>
    <w:basedOn w:val="44"/>
    <w:autoRedefine/>
    <w:semiHidden/>
    <w:unhideWhenUsed/>
    <w:qFormat/>
    <w:uiPriority w:val="0"/>
    <w:rPr>
      <w:rFonts w:hint="default" w:ascii="monospace" w:hAnsi="monospace" w:eastAsia="monospace" w:cs="monospace"/>
      <w:sz w:val="20"/>
    </w:rPr>
  </w:style>
  <w:style w:type="character" w:styleId="51">
    <w:name w:val="HTML Acronym"/>
    <w:basedOn w:val="44"/>
    <w:autoRedefine/>
    <w:semiHidden/>
    <w:unhideWhenUsed/>
    <w:qFormat/>
    <w:uiPriority w:val="0"/>
  </w:style>
  <w:style w:type="character" w:styleId="52">
    <w:name w:val="HTML Variable"/>
    <w:basedOn w:val="44"/>
    <w:autoRedefine/>
    <w:semiHidden/>
    <w:unhideWhenUsed/>
    <w:qFormat/>
    <w:uiPriority w:val="0"/>
  </w:style>
  <w:style w:type="character" w:styleId="53">
    <w:name w:val="Hyperlink"/>
    <w:autoRedefine/>
    <w:qFormat/>
    <w:uiPriority w:val="0"/>
    <w:rPr>
      <w:color w:val="0000FF"/>
      <w:u w:val="single"/>
    </w:rPr>
  </w:style>
  <w:style w:type="character" w:styleId="54">
    <w:name w:val="HTML Code"/>
    <w:basedOn w:val="44"/>
    <w:autoRedefine/>
    <w:semiHidden/>
    <w:unhideWhenUsed/>
    <w:qFormat/>
    <w:uiPriority w:val="0"/>
    <w:rPr>
      <w:rFonts w:hint="default" w:ascii="monospace" w:hAnsi="monospace" w:eastAsia="monospace" w:cs="monospace"/>
      <w:sz w:val="20"/>
    </w:rPr>
  </w:style>
  <w:style w:type="character" w:styleId="55">
    <w:name w:val="annotation reference"/>
    <w:basedOn w:val="44"/>
    <w:autoRedefine/>
    <w:qFormat/>
    <w:uiPriority w:val="99"/>
    <w:rPr>
      <w:sz w:val="21"/>
      <w:szCs w:val="21"/>
    </w:rPr>
  </w:style>
  <w:style w:type="character" w:styleId="56">
    <w:name w:val="HTML Cite"/>
    <w:basedOn w:val="44"/>
    <w:autoRedefine/>
    <w:semiHidden/>
    <w:unhideWhenUsed/>
    <w:qFormat/>
    <w:uiPriority w:val="0"/>
  </w:style>
  <w:style w:type="character" w:styleId="57">
    <w:name w:val="HTML Keyboard"/>
    <w:basedOn w:val="44"/>
    <w:autoRedefine/>
    <w:semiHidden/>
    <w:unhideWhenUsed/>
    <w:qFormat/>
    <w:uiPriority w:val="0"/>
    <w:rPr>
      <w:rFonts w:hint="default" w:ascii="monospace" w:hAnsi="monospace" w:eastAsia="monospace" w:cs="monospace"/>
      <w:sz w:val="20"/>
    </w:rPr>
  </w:style>
  <w:style w:type="character" w:styleId="58">
    <w:name w:val="HTML Sample"/>
    <w:basedOn w:val="44"/>
    <w:autoRedefine/>
    <w:semiHidden/>
    <w:unhideWhenUsed/>
    <w:qFormat/>
    <w:uiPriority w:val="0"/>
    <w:rPr>
      <w:rFonts w:ascii="monospace" w:hAnsi="monospace" w:eastAsia="monospace" w:cs="monospace"/>
    </w:rPr>
  </w:style>
  <w:style w:type="character" w:customStyle="1" w:styleId="59">
    <w:name w:val="标题 4 Char"/>
    <w:link w:val="4"/>
    <w:autoRedefine/>
    <w:qFormat/>
    <w:uiPriority w:val="9"/>
    <w:rPr>
      <w:rFonts w:ascii="Arial" w:hAnsi="Arial" w:eastAsia="黑体"/>
      <w:b/>
      <w:bCs/>
      <w:kern w:val="2"/>
      <w:sz w:val="28"/>
      <w:szCs w:val="28"/>
      <w:lang w:val="en-US" w:eastAsia="zh-CN" w:bidi="ar-SA"/>
    </w:rPr>
  </w:style>
  <w:style w:type="paragraph" w:customStyle="1" w:styleId="60">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1">
    <w:name w:val="标题 3 Char1"/>
    <w:link w:val="3"/>
    <w:autoRedefine/>
    <w:qFormat/>
    <w:uiPriority w:val="9"/>
    <w:rPr>
      <w:rFonts w:ascii="宋体" w:hAnsi="宋体" w:eastAsia="宋体"/>
      <w:b/>
      <w:bCs/>
      <w:kern w:val="2"/>
      <w:sz w:val="28"/>
      <w:szCs w:val="32"/>
      <w:lang w:val="en-US" w:eastAsia="zh-CN" w:bidi="ar-SA"/>
    </w:rPr>
  </w:style>
  <w:style w:type="character" w:customStyle="1" w:styleId="62">
    <w:name w:val="标题 1 Char"/>
    <w:link w:val="2"/>
    <w:qFormat/>
    <w:uiPriority w:val="0"/>
    <w:rPr>
      <w:rFonts w:ascii="宋体" w:hAnsi="宋体" w:eastAsia="黑体"/>
      <w:b/>
      <w:bCs/>
      <w:kern w:val="44"/>
      <w:sz w:val="28"/>
      <w:szCs w:val="44"/>
      <w:lang w:val="en-US" w:eastAsia="zh-CN" w:bidi="ar-SA"/>
    </w:rPr>
  </w:style>
  <w:style w:type="character" w:customStyle="1" w:styleId="63">
    <w:name w:val="正文缩进 Char"/>
    <w:link w:val="7"/>
    <w:autoRedefine/>
    <w:qFormat/>
    <w:uiPriority w:val="0"/>
    <w:rPr>
      <w:rFonts w:eastAsia="宋体"/>
      <w:kern w:val="2"/>
      <w:sz w:val="21"/>
      <w:lang w:val="en-US" w:eastAsia="zh-CN" w:bidi="ar-SA"/>
    </w:rPr>
  </w:style>
  <w:style w:type="character" w:customStyle="1" w:styleId="64">
    <w:name w:val="标题 3 Char"/>
    <w:autoRedefine/>
    <w:qFormat/>
    <w:uiPriority w:val="0"/>
    <w:rPr>
      <w:rFonts w:ascii="黑体" w:eastAsia="黑体"/>
      <w:bCs/>
      <w:sz w:val="30"/>
    </w:rPr>
  </w:style>
  <w:style w:type="paragraph" w:customStyle="1" w:styleId="65">
    <w:name w:val="样式41"/>
    <w:basedOn w:val="1"/>
    <w:autoRedefine/>
    <w:qFormat/>
    <w:uiPriority w:val="0"/>
    <w:pPr>
      <w:numPr>
        <w:ilvl w:val="0"/>
        <w:numId w:val="2"/>
      </w:numPr>
      <w:tabs>
        <w:tab w:val="left" w:pos="945"/>
      </w:tabs>
      <w:spacing w:line="360" w:lineRule="auto"/>
    </w:pPr>
    <w:rPr>
      <w:b/>
      <w:color w:val="000000"/>
      <w:sz w:val="24"/>
      <w:szCs w:val="20"/>
    </w:rPr>
  </w:style>
  <w:style w:type="paragraph" w:customStyle="1" w:styleId="66">
    <w:name w:val="图"/>
    <w:basedOn w:val="1"/>
    <w:autoRedefine/>
    <w:qFormat/>
    <w:uiPriority w:val="0"/>
    <w:pPr>
      <w:keepNext/>
      <w:adjustRightInd w:val="0"/>
      <w:snapToGrid w:val="0"/>
      <w:spacing w:before="60" w:after="60" w:line="300" w:lineRule="auto"/>
      <w:jc w:val="center"/>
    </w:pPr>
    <w:rPr>
      <w:spacing w:val="20"/>
      <w:kern w:val="0"/>
      <w:sz w:val="24"/>
      <w:szCs w:val="20"/>
    </w:rPr>
  </w:style>
  <w:style w:type="paragraph" w:customStyle="1" w:styleId="67">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8">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1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Char Char Char Char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1">
    <w:name w:val="Table Contents"/>
    <w:basedOn w:val="1"/>
    <w:autoRedefine/>
    <w:qFormat/>
    <w:uiPriority w:val="0"/>
    <w:pPr>
      <w:suppressAutoHyphens/>
      <w:autoSpaceDE w:val="0"/>
      <w:spacing w:after="120"/>
      <w:jc w:val="left"/>
    </w:pPr>
    <w:rPr>
      <w:rFonts w:ascii="Helvetica" w:hAnsi="Helvetica"/>
      <w:kern w:val="1"/>
      <w:sz w:val="20"/>
      <w:szCs w:val="20"/>
    </w:rPr>
  </w:style>
  <w:style w:type="paragraph" w:customStyle="1" w:styleId="72">
    <w:name w:val="自定义正文"/>
    <w:basedOn w:val="1"/>
    <w:autoRedefine/>
    <w:qFormat/>
    <w:uiPriority w:val="0"/>
    <w:pPr>
      <w:spacing w:afterLines="50"/>
      <w:ind w:left="600" w:leftChars="600"/>
    </w:pPr>
  </w:style>
  <w:style w:type="paragraph" w:customStyle="1" w:styleId="73">
    <w:name w:val="Char Char Char Char Char"/>
    <w:basedOn w:val="1"/>
    <w:autoRedefine/>
    <w:qFormat/>
    <w:uiPriority w:val="0"/>
    <w:rPr>
      <w:rFonts w:ascii="Tahoma" w:hAnsi="Tahoma"/>
      <w:sz w:val="24"/>
      <w:szCs w:val="20"/>
    </w:rPr>
  </w:style>
  <w:style w:type="paragraph" w:customStyle="1" w:styleId="74">
    <w:name w:val="小标题 1"/>
    <w:basedOn w:val="1"/>
    <w:autoRedefine/>
    <w:qFormat/>
    <w:uiPriority w:val="0"/>
    <w:pPr>
      <w:autoSpaceDE w:val="0"/>
      <w:autoSpaceDN w:val="0"/>
      <w:adjustRightInd w:val="0"/>
      <w:spacing w:line="360" w:lineRule="atLeast"/>
    </w:pPr>
    <w:rPr>
      <w:rFonts w:ascii="文鼎粗黑" w:eastAsia="文鼎粗黑"/>
      <w:kern w:val="0"/>
      <w:sz w:val="22"/>
      <w:szCs w:val="20"/>
    </w:rPr>
  </w:style>
  <w:style w:type="paragraph" w:customStyle="1" w:styleId="75">
    <w:name w:val="Char Char"/>
    <w:basedOn w:val="1"/>
    <w:autoRedefine/>
    <w:qFormat/>
    <w:uiPriority w:val="0"/>
    <w:rPr>
      <w:rFonts w:ascii="Tahoma" w:hAnsi="Tahoma"/>
      <w:sz w:val="24"/>
      <w:szCs w:val="20"/>
    </w:rPr>
  </w:style>
  <w:style w:type="paragraph" w:customStyle="1" w:styleId="76">
    <w:name w:val="È±Ê¡ÎÄ±¾"/>
    <w:basedOn w:val="1"/>
    <w:autoRedefine/>
    <w:qFormat/>
    <w:uiPriority w:val="0"/>
    <w:pPr>
      <w:widowControl/>
      <w:overflowPunct w:val="0"/>
      <w:autoSpaceDE w:val="0"/>
      <w:autoSpaceDN w:val="0"/>
      <w:adjustRightInd w:val="0"/>
      <w:jc w:val="left"/>
      <w:textAlignment w:val="baseline"/>
    </w:pPr>
    <w:rPr>
      <w:kern w:val="0"/>
      <w:sz w:val="24"/>
      <w:szCs w:val="20"/>
    </w:rPr>
  </w:style>
  <w:style w:type="character" w:customStyle="1" w:styleId="77">
    <w:name w:val="标题 2 Char"/>
    <w:link w:val="5"/>
    <w:autoRedefine/>
    <w:qFormat/>
    <w:uiPriority w:val="0"/>
    <w:rPr>
      <w:rFonts w:ascii="宋体" w:hAnsi="宋体" w:eastAsia="宋体"/>
      <w:b/>
      <w:bCs/>
      <w:sz w:val="24"/>
      <w:lang w:val="en-US" w:eastAsia="zh-CN" w:bidi="ar-SA"/>
    </w:rPr>
  </w:style>
  <w:style w:type="paragraph" w:customStyle="1" w:styleId="78">
    <w:name w:val="Char Char Char Char Char Char1 Char"/>
    <w:basedOn w:val="1"/>
    <w:autoRedefine/>
    <w:qFormat/>
    <w:uiPriority w:val="0"/>
    <w:pPr>
      <w:widowControl/>
      <w:spacing w:after="160" w:line="240" w:lineRule="exact"/>
      <w:jc w:val="left"/>
    </w:pPr>
    <w:rPr>
      <w:rFonts w:ascii="Verdana" w:hAnsi="Verdana"/>
      <w:kern w:val="0"/>
      <w:szCs w:val="20"/>
      <w:lang w:eastAsia="en-US"/>
    </w:rPr>
  </w:style>
  <w:style w:type="paragraph" w:styleId="79">
    <w:name w:val="List Paragraph"/>
    <w:basedOn w:val="1"/>
    <w:autoRedefine/>
    <w:qFormat/>
    <w:uiPriority w:val="34"/>
    <w:pPr>
      <w:ind w:firstLine="420" w:firstLineChars="200"/>
    </w:pPr>
    <w:rPr>
      <w:rFonts w:ascii="Calibri" w:hAnsi="Calibri"/>
      <w:szCs w:val="22"/>
    </w:rPr>
  </w:style>
  <w:style w:type="paragraph" w:customStyle="1" w:styleId="80">
    <w:name w:val="USE 1"/>
    <w:basedOn w:val="1"/>
    <w:autoRedefine/>
    <w:qFormat/>
    <w:uiPriority w:val="0"/>
    <w:pPr>
      <w:spacing w:line="200" w:lineRule="atLeast"/>
      <w:jc w:val="left"/>
    </w:pPr>
    <w:rPr>
      <w:rFonts w:ascii="宋体" w:hAnsi="宋体"/>
      <w:b/>
      <w:sz w:val="24"/>
      <w:szCs w:val="28"/>
    </w:rPr>
  </w:style>
  <w:style w:type="paragraph" w:customStyle="1" w:styleId="81">
    <w:name w:val="RFI text from 3rd Level"/>
    <w:basedOn w:val="1"/>
    <w:autoRedefine/>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82">
    <w:name w:val="正文文字缩进项目"/>
    <w:basedOn w:val="20"/>
    <w:autoRedefine/>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83">
    <w:name w:val="样式 标题 2 + 段前: 13 磅 段后: 13 磅 行距: 单倍行距"/>
    <w:basedOn w:val="5"/>
    <w:autoRedefine/>
    <w:qFormat/>
    <w:uiPriority w:val="0"/>
    <w:pPr>
      <w:adjustRightInd/>
      <w:jc w:val="both"/>
      <w:textAlignment w:val="auto"/>
    </w:pPr>
    <w:rPr>
      <w:rFonts w:ascii="Cambria" w:hAnsi="Cambria" w:cs="宋体"/>
      <w:kern w:val="2"/>
      <w:sz w:val="32"/>
    </w:rPr>
  </w:style>
  <w:style w:type="character" w:customStyle="1" w:styleId="84">
    <w:name w:val="H4 Char2"/>
    <w:autoRedefine/>
    <w:qFormat/>
    <w:uiPriority w:val="0"/>
    <w:rPr>
      <w:rFonts w:ascii="Arial" w:hAnsi="Arial" w:eastAsia="黑体"/>
      <w:b/>
      <w:bCs/>
      <w:kern w:val="2"/>
      <w:sz w:val="28"/>
      <w:szCs w:val="28"/>
      <w:lang w:val="en-US" w:eastAsia="zh-CN" w:bidi="ar-SA"/>
    </w:rPr>
  </w:style>
  <w:style w:type="character" w:customStyle="1" w:styleId="85">
    <w:name w:val="正文文本缩进 Char"/>
    <w:link w:val="20"/>
    <w:autoRedefine/>
    <w:qFormat/>
    <w:uiPriority w:val="0"/>
    <w:rPr>
      <w:rFonts w:eastAsia="宋体"/>
      <w:kern w:val="2"/>
      <w:sz w:val="21"/>
      <w:szCs w:val="24"/>
      <w:lang w:val="en-US" w:eastAsia="zh-CN" w:bidi="ar-SA"/>
    </w:rPr>
  </w:style>
  <w:style w:type="character" w:customStyle="1" w:styleId="86">
    <w:name w:val="标题 5 Char"/>
    <w:link w:val="6"/>
    <w:autoRedefine/>
    <w:qFormat/>
    <w:uiPriority w:val="0"/>
    <w:rPr>
      <w:rFonts w:eastAsia="宋体"/>
      <w:b/>
      <w:kern w:val="2"/>
      <w:sz w:val="28"/>
      <w:lang w:val="en-US" w:eastAsia="zh-CN" w:bidi="ar-SA"/>
    </w:rPr>
  </w:style>
  <w:style w:type="character" w:customStyle="1" w:styleId="87">
    <w:name w:val="第*章 Char"/>
    <w:autoRedefine/>
    <w:qFormat/>
    <w:uiPriority w:val="0"/>
    <w:rPr>
      <w:rFonts w:ascii="Arial" w:hAnsi="Arial" w:eastAsia="黑体"/>
      <w:b/>
      <w:bCs/>
      <w:kern w:val="2"/>
      <w:sz w:val="32"/>
      <w:szCs w:val="32"/>
    </w:rPr>
  </w:style>
  <w:style w:type="character" w:customStyle="1" w:styleId="88">
    <w:name w:val="章标题1 Char"/>
    <w:autoRedefine/>
    <w:qFormat/>
    <w:uiPriority w:val="0"/>
    <w:rPr>
      <w:rFonts w:eastAsia="宋体"/>
      <w:b/>
      <w:bCs/>
      <w:kern w:val="2"/>
      <w:sz w:val="32"/>
      <w:szCs w:val="32"/>
      <w:lang w:val="en-US" w:eastAsia="zh-CN" w:bidi="ar-SA"/>
    </w:rPr>
  </w:style>
  <w:style w:type="character" w:customStyle="1" w:styleId="89">
    <w:name w:val="标题 6 Char"/>
    <w:link w:val="8"/>
    <w:autoRedefine/>
    <w:qFormat/>
    <w:uiPriority w:val="0"/>
    <w:rPr>
      <w:rFonts w:ascii="Arial" w:hAnsi="Arial" w:eastAsia="黑体"/>
      <w:b/>
      <w:kern w:val="2"/>
      <w:sz w:val="24"/>
      <w:lang w:val="en-US" w:eastAsia="zh-CN" w:bidi="ar-SA"/>
    </w:rPr>
  </w:style>
  <w:style w:type="character" w:customStyle="1" w:styleId="90">
    <w:name w:val="标题 7 Char"/>
    <w:link w:val="9"/>
    <w:autoRedefine/>
    <w:qFormat/>
    <w:uiPriority w:val="0"/>
    <w:rPr>
      <w:rFonts w:eastAsia="宋体"/>
      <w:b/>
      <w:kern w:val="2"/>
      <w:sz w:val="24"/>
      <w:lang w:val="en-US" w:eastAsia="zh-CN" w:bidi="ar-SA"/>
    </w:rPr>
  </w:style>
  <w:style w:type="character" w:customStyle="1" w:styleId="91">
    <w:name w:val="标题 8 Char"/>
    <w:link w:val="10"/>
    <w:autoRedefine/>
    <w:qFormat/>
    <w:uiPriority w:val="0"/>
    <w:rPr>
      <w:rFonts w:ascii="Arial" w:hAnsi="Arial" w:eastAsia="黑体"/>
      <w:kern w:val="2"/>
      <w:sz w:val="24"/>
      <w:lang w:val="en-US" w:eastAsia="zh-CN" w:bidi="ar-SA"/>
    </w:rPr>
  </w:style>
  <w:style w:type="character" w:customStyle="1" w:styleId="92">
    <w:name w:val="标题 9 Char"/>
    <w:link w:val="11"/>
    <w:autoRedefine/>
    <w:qFormat/>
    <w:uiPriority w:val="0"/>
    <w:rPr>
      <w:rFonts w:ascii="Arial" w:hAnsi="Arial" w:eastAsia="黑体"/>
      <w:kern w:val="2"/>
      <w:sz w:val="21"/>
      <w:lang w:val="en-US" w:eastAsia="zh-CN" w:bidi="ar-SA"/>
    </w:rPr>
  </w:style>
  <w:style w:type="character" w:customStyle="1" w:styleId="93">
    <w:name w:val="标题 Char"/>
    <w:link w:val="39"/>
    <w:autoRedefine/>
    <w:qFormat/>
    <w:uiPriority w:val="0"/>
    <w:rPr>
      <w:rFonts w:ascii="Arial" w:hAnsi="Arial" w:eastAsia="隶书" w:cs="Arial"/>
      <w:b/>
      <w:bCs/>
      <w:kern w:val="2"/>
      <w:sz w:val="32"/>
      <w:szCs w:val="32"/>
      <w:lang w:val="en-US" w:eastAsia="zh-CN" w:bidi="ar-SA"/>
    </w:rPr>
  </w:style>
  <w:style w:type="character" w:customStyle="1" w:styleId="94">
    <w:name w:val="日期 Char"/>
    <w:link w:val="25"/>
    <w:autoRedefine/>
    <w:qFormat/>
    <w:uiPriority w:val="0"/>
    <w:rPr>
      <w:rFonts w:ascii="宋体" w:hAnsi="Courier New" w:eastAsia="宋体"/>
      <w:kern w:val="2"/>
      <w:sz w:val="32"/>
      <w:lang w:val="en-US" w:eastAsia="zh-CN" w:bidi="ar-SA"/>
    </w:rPr>
  </w:style>
  <w:style w:type="character" w:customStyle="1" w:styleId="95">
    <w:name w:val="HTML 预设格式 Char"/>
    <w:link w:val="36"/>
    <w:autoRedefine/>
    <w:qFormat/>
    <w:uiPriority w:val="0"/>
    <w:rPr>
      <w:rFonts w:ascii="Arial Unicode MS" w:hAnsi="Arial Unicode MS" w:eastAsia="Arial Unicode MS"/>
      <w:color w:val="000000"/>
      <w:lang w:val="en-US" w:eastAsia="zh-CN" w:bidi="ar-SA"/>
    </w:rPr>
  </w:style>
  <w:style w:type="character" w:customStyle="1" w:styleId="96">
    <w:name w:val="纯文本 Char"/>
    <w:link w:val="23"/>
    <w:autoRedefine/>
    <w:qFormat/>
    <w:uiPriority w:val="0"/>
    <w:rPr>
      <w:rFonts w:ascii="宋体" w:hAnsi="Courier New" w:eastAsia="宋体"/>
      <w:kern w:val="2"/>
      <w:sz w:val="21"/>
      <w:lang w:val="en-US" w:eastAsia="zh-CN" w:bidi="ar-SA"/>
    </w:rPr>
  </w:style>
  <w:style w:type="character" w:customStyle="1" w:styleId="97">
    <w:name w:val="正文文字首行缩进 Char"/>
    <w:autoRedefine/>
    <w:qFormat/>
    <w:uiPriority w:val="0"/>
    <w:rPr>
      <w:kern w:val="2"/>
      <w:sz w:val="21"/>
      <w:szCs w:val="24"/>
    </w:rPr>
  </w:style>
  <w:style w:type="character" w:customStyle="1" w:styleId="98">
    <w:name w:val="正文文本 Char"/>
    <w:link w:val="18"/>
    <w:autoRedefine/>
    <w:qFormat/>
    <w:uiPriority w:val="0"/>
    <w:rPr>
      <w:rFonts w:eastAsia="宋体"/>
      <w:b/>
      <w:bCs/>
      <w:kern w:val="2"/>
      <w:sz w:val="24"/>
      <w:szCs w:val="24"/>
      <w:lang w:val="en-US" w:eastAsia="zh-CN" w:bidi="ar-SA"/>
    </w:rPr>
  </w:style>
  <w:style w:type="character" w:customStyle="1" w:styleId="99">
    <w:name w:val="正文文本缩进 2 Char"/>
    <w:link w:val="26"/>
    <w:autoRedefine/>
    <w:qFormat/>
    <w:uiPriority w:val="0"/>
    <w:rPr>
      <w:rFonts w:ascii="宋体" w:hAnsi="宋体" w:eastAsia="宋体"/>
      <w:kern w:val="2"/>
      <w:sz w:val="21"/>
      <w:szCs w:val="24"/>
      <w:lang w:val="en-US" w:eastAsia="zh-CN" w:bidi="ar-SA"/>
    </w:rPr>
  </w:style>
  <w:style w:type="character" w:customStyle="1" w:styleId="100">
    <w:name w:val="页眉 Char"/>
    <w:link w:val="29"/>
    <w:autoRedefine/>
    <w:qFormat/>
    <w:uiPriority w:val="99"/>
    <w:rPr>
      <w:rFonts w:eastAsia="宋体"/>
      <w:kern w:val="2"/>
      <w:sz w:val="18"/>
      <w:szCs w:val="18"/>
      <w:lang w:val="en-US" w:eastAsia="zh-CN" w:bidi="ar-SA"/>
    </w:rPr>
  </w:style>
  <w:style w:type="character" w:customStyle="1" w:styleId="101">
    <w:name w:val="正文文本缩进 3 Char"/>
    <w:link w:val="33"/>
    <w:qFormat/>
    <w:uiPriority w:val="0"/>
    <w:rPr>
      <w:rFonts w:ascii="宋体" w:eastAsia="宋体"/>
      <w:b/>
      <w:bCs/>
      <w:kern w:val="2"/>
      <w:sz w:val="24"/>
      <w:szCs w:val="24"/>
      <w:lang w:val="en-US" w:eastAsia="zh-CN" w:bidi="ar-SA"/>
    </w:rPr>
  </w:style>
  <w:style w:type="character" w:customStyle="1" w:styleId="102">
    <w:name w:val="正文文本 2 Char"/>
    <w:link w:val="19"/>
    <w:autoRedefine/>
    <w:qFormat/>
    <w:uiPriority w:val="0"/>
    <w:rPr>
      <w:rFonts w:eastAsia="宋体"/>
      <w:kern w:val="2"/>
      <w:sz w:val="24"/>
      <w:szCs w:val="24"/>
      <w:lang w:val="en-US" w:eastAsia="zh-CN" w:bidi="ar-SA"/>
    </w:rPr>
  </w:style>
  <w:style w:type="character" w:customStyle="1" w:styleId="103">
    <w:name w:val="页脚 Char"/>
    <w:link w:val="28"/>
    <w:qFormat/>
    <w:uiPriority w:val="0"/>
    <w:rPr>
      <w:rFonts w:eastAsia="宋体"/>
      <w:kern w:val="2"/>
      <w:sz w:val="18"/>
      <w:szCs w:val="18"/>
      <w:lang w:val="en-US" w:eastAsia="zh-CN" w:bidi="ar-SA"/>
    </w:rPr>
  </w:style>
  <w:style w:type="character" w:customStyle="1" w:styleId="104">
    <w:name w:val="正文文本 3 Char"/>
    <w:link w:val="17"/>
    <w:autoRedefine/>
    <w:qFormat/>
    <w:uiPriority w:val="0"/>
    <w:rPr>
      <w:rFonts w:eastAsia="宋体"/>
      <w:kern w:val="2"/>
      <w:sz w:val="16"/>
      <w:szCs w:val="16"/>
      <w:lang w:val="en-US" w:eastAsia="zh-CN" w:bidi="ar-SA"/>
    </w:rPr>
  </w:style>
  <w:style w:type="character" w:customStyle="1" w:styleId="105">
    <w:name w:val="批注框文本 Char"/>
    <w:link w:val="27"/>
    <w:autoRedefine/>
    <w:semiHidden/>
    <w:qFormat/>
    <w:uiPriority w:val="99"/>
    <w:rPr>
      <w:rFonts w:eastAsia="宋体"/>
      <w:kern w:val="2"/>
      <w:sz w:val="18"/>
      <w:szCs w:val="18"/>
      <w:lang w:val="en-US" w:eastAsia="zh-CN" w:bidi="ar-SA"/>
    </w:rPr>
  </w:style>
  <w:style w:type="paragraph" w:customStyle="1" w:styleId="106">
    <w:name w:val="样式1"/>
    <w:basedOn w:val="39"/>
    <w:autoRedefine/>
    <w:qFormat/>
    <w:uiPriority w:val="0"/>
    <w:pPr>
      <w:spacing w:before="120" w:after="120"/>
    </w:pPr>
    <w:rPr>
      <w:rFonts w:eastAsia="黑体"/>
      <w:b w:val="0"/>
      <w:sz w:val="30"/>
      <w:szCs w:val="21"/>
    </w:rPr>
  </w:style>
  <w:style w:type="paragraph" w:customStyle="1" w:styleId="107">
    <w:name w:val="样式2"/>
    <w:basedOn w:val="39"/>
    <w:next w:val="106"/>
    <w:autoRedefine/>
    <w:qFormat/>
    <w:uiPriority w:val="0"/>
    <w:pPr>
      <w:spacing w:before="120" w:after="120"/>
    </w:pPr>
    <w:rPr>
      <w:rFonts w:eastAsia="黑体"/>
      <w:b w:val="0"/>
      <w:sz w:val="30"/>
      <w:szCs w:val="30"/>
    </w:rPr>
  </w:style>
  <w:style w:type="character" w:customStyle="1" w:styleId="108">
    <w:name w:val="标题 3 Char Char"/>
    <w:qFormat/>
    <w:uiPriority w:val="0"/>
    <w:rPr>
      <w:rFonts w:eastAsia="宋体"/>
      <w:b/>
      <w:bCs/>
      <w:kern w:val="2"/>
      <w:sz w:val="32"/>
      <w:szCs w:val="32"/>
      <w:lang w:val="en-US" w:eastAsia="zh-CN" w:bidi="ar-SA"/>
    </w:rPr>
  </w:style>
  <w:style w:type="paragraph" w:customStyle="1" w:styleId="109">
    <w:name w:val="Char Char Char Char Char Char1 Char Char Char Char Char Char Char Char Char Char Char Char Char"/>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10">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11">
    <w:name w:val="--规划正文"/>
    <w:basedOn w:val="1"/>
    <w:autoRedefine/>
    <w:qFormat/>
    <w:uiPriority w:val="0"/>
    <w:pPr>
      <w:spacing w:line="360" w:lineRule="auto"/>
      <w:ind w:firstLine="200" w:firstLineChars="200"/>
    </w:pPr>
    <w:rPr>
      <w:szCs w:val="20"/>
    </w:rPr>
  </w:style>
  <w:style w:type="paragraph" w:customStyle="1" w:styleId="112">
    <w:name w:val="设计依据"/>
    <w:basedOn w:val="1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13">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14">
    <w:name w:val="样式4"/>
    <w:basedOn w:val="1"/>
    <w:qFormat/>
    <w:uiPriority w:val="0"/>
    <w:pPr>
      <w:tabs>
        <w:tab w:val="left" w:pos="842"/>
      </w:tabs>
      <w:spacing w:line="360" w:lineRule="auto"/>
      <w:ind w:left="842" w:hanging="420"/>
    </w:pPr>
    <w:rPr>
      <w:sz w:val="24"/>
    </w:rPr>
  </w:style>
  <w:style w:type="paragraph" w:customStyle="1" w:styleId="115">
    <w:name w:val="文字"/>
    <w:basedOn w:val="1"/>
    <w:qFormat/>
    <w:uiPriority w:val="0"/>
    <w:pPr>
      <w:tabs>
        <w:tab w:val="left" w:pos="8520"/>
      </w:tabs>
      <w:spacing w:line="312" w:lineRule="auto"/>
      <w:ind w:right="-210" w:firstLine="556"/>
    </w:pPr>
    <w:rPr>
      <w:rFonts w:ascii="宋体"/>
      <w:sz w:val="28"/>
      <w:szCs w:val="20"/>
    </w:rPr>
  </w:style>
  <w:style w:type="paragraph" w:customStyle="1" w:styleId="116">
    <w:name w:val="--规划-表格-居左"/>
    <w:basedOn w:val="111"/>
    <w:qFormat/>
    <w:uiPriority w:val="0"/>
    <w:pPr>
      <w:spacing w:line="240" w:lineRule="auto"/>
      <w:ind w:firstLine="0" w:firstLineChars="0"/>
    </w:pPr>
    <w:rPr>
      <w:sz w:val="20"/>
    </w:rPr>
  </w:style>
  <w:style w:type="paragraph" w:customStyle="1" w:styleId="117">
    <w:name w:val="--规划-表格-居中"/>
    <w:basedOn w:val="111"/>
    <w:autoRedefine/>
    <w:qFormat/>
    <w:uiPriority w:val="0"/>
    <w:pPr>
      <w:spacing w:line="240" w:lineRule="auto"/>
      <w:ind w:firstLine="0" w:firstLineChars="0"/>
      <w:jc w:val="center"/>
    </w:pPr>
    <w:rPr>
      <w:sz w:val="20"/>
    </w:rPr>
  </w:style>
  <w:style w:type="paragraph" w:customStyle="1" w:styleId="118">
    <w:name w:val="--编号内缩进"/>
    <w:basedOn w:val="1"/>
    <w:autoRedefine/>
    <w:qFormat/>
    <w:uiPriority w:val="0"/>
    <w:pPr>
      <w:spacing w:line="360" w:lineRule="auto"/>
      <w:ind w:left="420" w:firstLine="200" w:firstLineChars="200"/>
    </w:pPr>
    <w:rPr>
      <w:szCs w:val="21"/>
    </w:rPr>
  </w:style>
  <w:style w:type="paragraph" w:customStyle="1" w:styleId="119">
    <w:name w:val="--规划-题注"/>
    <w:basedOn w:val="1"/>
    <w:next w:val="111"/>
    <w:qFormat/>
    <w:uiPriority w:val="0"/>
    <w:pPr>
      <w:spacing w:line="360" w:lineRule="auto"/>
      <w:jc w:val="center"/>
    </w:pPr>
    <w:rPr>
      <w:rFonts w:eastAsia="黑体"/>
    </w:rPr>
  </w:style>
  <w:style w:type="paragraph" w:customStyle="1" w:styleId="120">
    <w:name w:val="--规划-图和表"/>
    <w:next w:val="111"/>
    <w:autoRedefine/>
    <w:qFormat/>
    <w:uiPriority w:val="0"/>
    <w:pPr>
      <w:jc w:val="center"/>
    </w:pPr>
    <w:rPr>
      <w:rFonts w:ascii="Times New Roman" w:hAnsi="Times New Roman" w:eastAsia="宋体" w:cs="Times New Roman"/>
      <w:kern w:val="2"/>
      <w:sz w:val="21"/>
      <w:lang w:val="en-US" w:eastAsia="zh-CN" w:bidi="ar-SA"/>
    </w:rPr>
  </w:style>
  <w:style w:type="paragraph" w:customStyle="1" w:styleId="121">
    <w:name w:val="--规划-小标题"/>
    <w:basedOn w:val="1"/>
    <w:next w:val="111"/>
    <w:autoRedefine/>
    <w:qFormat/>
    <w:uiPriority w:val="0"/>
    <w:pPr>
      <w:keepNext/>
      <w:keepLines/>
      <w:spacing w:line="360" w:lineRule="auto"/>
      <w:outlineLvl w:val="4"/>
    </w:pPr>
    <w:rPr>
      <w:rFonts w:eastAsia="黑体"/>
    </w:rPr>
  </w:style>
  <w:style w:type="paragraph" w:customStyle="1" w:styleId="122">
    <w:name w:val="--规划正文 Char"/>
    <w:basedOn w:val="1"/>
    <w:autoRedefine/>
    <w:qFormat/>
    <w:uiPriority w:val="0"/>
    <w:pPr>
      <w:spacing w:line="360" w:lineRule="auto"/>
      <w:ind w:firstLine="200" w:firstLineChars="200"/>
    </w:pPr>
    <w:rPr>
      <w:sz w:val="24"/>
    </w:rPr>
  </w:style>
  <w:style w:type="paragraph" w:customStyle="1" w:styleId="123">
    <w:name w:val="缺省文本"/>
    <w:basedOn w:val="1"/>
    <w:autoRedefine/>
    <w:qFormat/>
    <w:uiPriority w:val="0"/>
    <w:pPr>
      <w:autoSpaceDE w:val="0"/>
      <w:autoSpaceDN w:val="0"/>
      <w:adjustRightInd w:val="0"/>
      <w:jc w:val="left"/>
    </w:pPr>
    <w:rPr>
      <w:kern w:val="0"/>
    </w:rPr>
  </w:style>
  <w:style w:type="paragraph" w:customStyle="1" w:styleId="124">
    <w:name w:val="封面文档标题"/>
    <w:basedOn w:val="1"/>
    <w:autoRedefine/>
    <w:qFormat/>
    <w:uiPriority w:val="0"/>
    <w:pPr>
      <w:autoSpaceDE w:val="0"/>
      <w:autoSpaceDN w:val="0"/>
      <w:adjustRightInd w:val="0"/>
      <w:spacing w:line="360" w:lineRule="auto"/>
      <w:jc w:val="center"/>
    </w:pPr>
    <w:rPr>
      <w:rFonts w:ascii="Arial" w:hAnsi="Arial"/>
      <w:b/>
      <w:kern w:val="0"/>
      <w:sz w:val="56"/>
    </w:rPr>
  </w:style>
  <w:style w:type="character" w:customStyle="1" w:styleId="125">
    <w:name w:val="--规划正文 Char Char"/>
    <w:autoRedefine/>
    <w:qFormat/>
    <w:uiPriority w:val="0"/>
    <w:rPr>
      <w:rFonts w:eastAsia="宋体"/>
      <w:kern w:val="2"/>
      <w:sz w:val="24"/>
      <w:szCs w:val="24"/>
      <w:lang w:val="en-US" w:eastAsia="zh-CN" w:bidi="ar-SA"/>
    </w:rPr>
  </w:style>
  <w:style w:type="paragraph" w:customStyle="1" w:styleId="126">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27">
    <w:name w:val="--规划正文 Char1"/>
    <w:autoRedefine/>
    <w:qFormat/>
    <w:uiPriority w:val="0"/>
    <w:rPr>
      <w:rFonts w:eastAsia="宋体"/>
      <w:kern w:val="2"/>
      <w:sz w:val="21"/>
      <w:lang w:val="en-US" w:eastAsia="zh-CN" w:bidi="ar-SA"/>
    </w:rPr>
  </w:style>
  <w:style w:type="paragraph" w:customStyle="1" w:styleId="128">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9">
    <w:name w:val="列表项目"/>
    <w:basedOn w:val="1"/>
    <w:autoRedefine/>
    <w:qFormat/>
    <w:uiPriority w:val="0"/>
    <w:pPr>
      <w:tabs>
        <w:tab w:val="left" w:pos="420"/>
        <w:tab w:val="left" w:pos="1080"/>
      </w:tabs>
      <w:spacing w:line="288" w:lineRule="auto"/>
      <w:ind w:left="1080" w:hanging="360"/>
    </w:pPr>
    <w:rPr>
      <w:sz w:val="24"/>
      <w:szCs w:val="20"/>
    </w:rPr>
  </w:style>
  <w:style w:type="character" w:customStyle="1" w:styleId="130">
    <w:name w:val="content1"/>
    <w:autoRedefine/>
    <w:qFormat/>
    <w:uiPriority w:val="0"/>
    <w:rPr>
      <w:rFonts w:hint="default" w:ascii="??" w:hAnsi="??"/>
      <w:sz w:val="16"/>
      <w:szCs w:val="16"/>
      <w:u w:val="none"/>
    </w:rPr>
  </w:style>
  <w:style w:type="character" w:customStyle="1" w:styleId="131">
    <w:name w:val="unnamed4"/>
    <w:basedOn w:val="44"/>
    <w:autoRedefine/>
    <w:qFormat/>
    <w:uiPriority w:val="0"/>
  </w:style>
  <w:style w:type="character" w:customStyle="1" w:styleId="132">
    <w:name w:val="font2"/>
    <w:basedOn w:val="44"/>
    <w:autoRedefine/>
    <w:qFormat/>
    <w:uiPriority w:val="0"/>
  </w:style>
  <w:style w:type="character" w:customStyle="1" w:styleId="133">
    <w:name w:val="font41"/>
    <w:qFormat/>
    <w:uiPriority w:val="0"/>
    <w:rPr>
      <w:color w:val="000000"/>
      <w:spacing w:val="260"/>
      <w:sz w:val="18"/>
      <w:szCs w:val="18"/>
      <w:u w:val="none"/>
    </w:rPr>
  </w:style>
  <w:style w:type="paragraph" w:customStyle="1" w:styleId="134">
    <w:name w:val="正文(首行缩进)"/>
    <w:autoRedefine/>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35">
    <w:name w:val="xl72"/>
    <w:basedOn w:val="1"/>
    <w:autoRedefine/>
    <w:qFormat/>
    <w:uiPriority w:val="0"/>
    <w:pPr>
      <w:widowControl/>
      <w:spacing w:before="100" w:beforeAutospacing="1" w:after="100" w:afterAutospacing="1"/>
      <w:jc w:val="left"/>
    </w:pPr>
    <w:rPr>
      <w:rFonts w:ascii="宋体" w:hAnsi="宋体"/>
      <w:b/>
      <w:bCs/>
      <w:kern w:val="0"/>
      <w:sz w:val="28"/>
      <w:szCs w:val="28"/>
    </w:rPr>
  </w:style>
  <w:style w:type="character" w:customStyle="1" w:styleId="136">
    <w:name w:val="正文首行缩进 Char"/>
    <w:link w:val="41"/>
    <w:autoRedefine/>
    <w:qFormat/>
    <w:uiPriority w:val="0"/>
    <w:rPr>
      <w:rFonts w:eastAsia="宋体"/>
      <w:b/>
      <w:bCs/>
      <w:kern w:val="2"/>
      <w:sz w:val="21"/>
      <w:szCs w:val="24"/>
      <w:lang w:val="en-US" w:eastAsia="zh-CN" w:bidi="ar-SA"/>
    </w:rPr>
  </w:style>
  <w:style w:type="paragraph" w:customStyle="1" w:styleId="137">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8">
    <w:name w:val="汉议细等线简8"/>
    <w:autoRedefine/>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9">
    <w:name w:val="汉仪细等线简9BOLD"/>
    <w:basedOn w:val="1"/>
    <w:autoRedefine/>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40">
    <w:name w:val="mode"/>
    <w:basedOn w:val="44"/>
    <w:qFormat/>
    <w:uiPriority w:val="0"/>
  </w:style>
  <w:style w:type="paragraph" w:customStyle="1" w:styleId="141">
    <w:name w:val="9"/>
    <w:basedOn w:val="1"/>
    <w:next w:val="7"/>
    <w:autoRedefine/>
    <w:qFormat/>
    <w:uiPriority w:val="0"/>
    <w:pPr>
      <w:autoSpaceDE w:val="0"/>
      <w:autoSpaceDN w:val="0"/>
      <w:adjustRightInd w:val="0"/>
      <w:ind w:firstLine="420"/>
      <w:jc w:val="left"/>
      <w:textAlignment w:val="baseline"/>
    </w:pPr>
    <w:rPr>
      <w:rFonts w:ascii="宋体"/>
      <w:kern w:val="0"/>
      <w:sz w:val="34"/>
      <w:szCs w:val="20"/>
    </w:rPr>
  </w:style>
  <w:style w:type="character" w:customStyle="1" w:styleId="142">
    <w:name w:val="unnamed3"/>
    <w:basedOn w:val="44"/>
    <w:qFormat/>
    <w:uiPriority w:val="0"/>
  </w:style>
  <w:style w:type="paragraph" w:customStyle="1" w:styleId="143">
    <w:name w:val="8"/>
    <w:basedOn w:val="1"/>
    <w:next w:val="20"/>
    <w:autoRedefine/>
    <w:qFormat/>
    <w:uiPriority w:val="0"/>
    <w:pPr>
      <w:spacing w:after="120"/>
      <w:ind w:left="420" w:leftChars="200"/>
    </w:pPr>
  </w:style>
  <w:style w:type="paragraph" w:customStyle="1" w:styleId="144">
    <w:name w:val="7"/>
    <w:basedOn w:val="1"/>
    <w:autoRedefine/>
    <w:qFormat/>
    <w:uiPriority w:val="0"/>
    <w:pPr>
      <w:autoSpaceDE w:val="0"/>
      <w:autoSpaceDN w:val="0"/>
      <w:adjustRightInd w:val="0"/>
      <w:spacing w:line="270" w:lineRule="atLeast"/>
      <w:jc w:val="left"/>
    </w:pPr>
    <w:rPr>
      <w:rFonts w:ascii="宋体"/>
      <w:kern w:val="0"/>
      <w:sz w:val="18"/>
      <w:szCs w:val="18"/>
    </w:rPr>
  </w:style>
  <w:style w:type="paragraph" w:customStyle="1" w:styleId="145">
    <w:name w:val="00"/>
    <w:basedOn w:val="1"/>
    <w:autoRedefine/>
    <w:qFormat/>
    <w:uiPriority w:val="0"/>
    <w:pPr>
      <w:autoSpaceDE w:val="0"/>
      <w:autoSpaceDN w:val="0"/>
      <w:adjustRightInd w:val="0"/>
      <w:jc w:val="left"/>
    </w:pPr>
    <w:rPr>
      <w:rFonts w:ascii="黑体" w:eastAsia="黑体"/>
      <w:b/>
      <w:bCs/>
      <w:kern w:val="0"/>
      <w:sz w:val="20"/>
      <w:szCs w:val="20"/>
    </w:rPr>
  </w:style>
  <w:style w:type="paragraph" w:customStyle="1" w:styleId="146">
    <w:name w:val="5"/>
    <w:basedOn w:val="1"/>
    <w:autoRedefine/>
    <w:qFormat/>
    <w:uiPriority w:val="0"/>
    <w:pPr>
      <w:autoSpaceDE w:val="0"/>
      <w:autoSpaceDN w:val="0"/>
      <w:adjustRightInd w:val="0"/>
      <w:jc w:val="left"/>
    </w:pPr>
    <w:rPr>
      <w:rFonts w:ascii="宋体"/>
      <w:b/>
      <w:bCs/>
      <w:kern w:val="0"/>
      <w:sz w:val="18"/>
      <w:szCs w:val="18"/>
    </w:rPr>
  </w:style>
  <w:style w:type="paragraph" w:customStyle="1" w:styleId="147">
    <w:name w:val="6"/>
    <w:basedOn w:val="146"/>
    <w:qFormat/>
    <w:uiPriority w:val="0"/>
    <w:pPr>
      <w:spacing w:line="270" w:lineRule="atLeast"/>
      <w:jc w:val="both"/>
    </w:pPr>
    <w:rPr>
      <w:b w:val="0"/>
      <w:bCs w:val="0"/>
    </w:rPr>
  </w:style>
  <w:style w:type="paragraph" w:customStyle="1" w:styleId="148">
    <w:name w:val="产品描述"/>
    <w:autoRedefine/>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9">
    <w:name w:val="姜文清定义的正文"/>
    <w:basedOn w:val="1"/>
    <w:autoRedefine/>
    <w:qFormat/>
    <w:uiPriority w:val="0"/>
    <w:pPr>
      <w:spacing w:line="240" w:lineRule="atLeast"/>
      <w:ind w:firstLine="567"/>
    </w:pPr>
    <w:rPr>
      <w:szCs w:val="20"/>
    </w:rPr>
  </w:style>
  <w:style w:type="paragraph" w:customStyle="1" w:styleId="150">
    <w:name w:val="Default"/>
    <w:autoRedefine/>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51">
    <w:name w:val="CM2"/>
    <w:basedOn w:val="150"/>
    <w:next w:val="150"/>
    <w:qFormat/>
    <w:uiPriority w:val="0"/>
    <w:pPr>
      <w:spacing w:line="200" w:lineRule="atLeast"/>
    </w:pPr>
    <w:rPr>
      <w:rFonts w:ascii="Arial" w:hAnsi="Arial" w:eastAsia="宋体" w:cs="Times New Roman"/>
      <w:color w:val="auto"/>
    </w:rPr>
  </w:style>
  <w:style w:type="paragraph" w:customStyle="1" w:styleId="152">
    <w:name w:val="Normal Paragraph"/>
    <w:basedOn w:val="1"/>
    <w:autoRedefine/>
    <w:qFormat/>
    <w:uiPriority w:val="0"/>
    <w:pPr>
      <w:widowControl/>
      <w:spacing w:before="120" w:line="360" w:lineRule="auto"/>
      <w:ind w:firstLine="425"/>
    </w:pPr>
    <w:rPr>
      <w:kern w:val="0"/>
      <w:sz w:val="24"/>
    </w:rPr>
  </w:style>
  <w:style w:type="character" w:customStyle="1" w:styleId="153">
    <w:name w:val="blue"/>
    <w:basedOn w:val="44"/>
    <w:autoRedefine/>
    <w:qFormat/>
    <w:uiPriority w:val="0"/>
  </w:style>
  <w:style w:type="paragraph" w:customStyle="1" w:styleId="154">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55">
    <w:name w:val="font"/>
    <w:basedOn w:val="44"/>
    <w:qFormat/>
    <w:uiPriority w:val="0"/>
  </w:style>
  <w:style w:type="character" w:customStyle="1" w:styleId="156">
    <w:name w:val="font11"/>
    <w:autoRedefine/>
    <w:qFormat/>
    <w:uiPriority w:val="0"/>
    <w:rPr>
      <w:rFonts w:hint="default" w:ascii="ˎ̥" w:hAnsi="ˎ̥"/>
    </w:rPr>
  </w:style>
  <w:style w:type="paragraph" w:customStyle="1" w:styleId="157">
    <w:name w:val="a14"/>
    <w:basedOn w:val="1"/>
    <w:autoRedefine/>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8">
    <w:name w:val="proddescription"/>
    <w:basedOn w:val="44"/>
    <w:autoRedefine/>
    <w:qFormat/>
    <w:uiPriority w:val="0"/>
  </w:style>
  <w:style w:type="character" w:customStyle="1" w:styleId="159">
    <w:name w:val="prodheadlines"/>
    <w:basedOn w:val="44"/>
    <w:autoRedefine/>
    <w:qFormat/>
    <w:uiPriority w:val="0"/>
  </w:style>
  <w:style w:type="character" w:customStyle="1" w:styleId="160">
    <w:name w:val="text"/>
    <w:basedOn w:val="44"/>
    <w:qFormat/>
    <w:uiPriority w:val="0"/>
  </w:style>
  <w:style w:type="paragraph" w:customStyle="1" w:styleId="161">
    <w:name w:val="text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62">
    <w:name w:val="z-窗体顶端1"/>
    <w:basedOn w:val="1"/>
    <w:next w:val="1"/>
    <w:autoRedefine/>
    <w:hidden/>
    <w:qFormat/>
    <w:uiPriority w:val="0"/>
    <w:pPr>
      <w:widowControl/>
      <w:pBdr>
        <w:bottom w:val="single" w:color="auto" w:sz="6" w:space="1"/>
      </w:pBdr>
      <w:jc w:val="center"/>
    </w:pPr>
    <w:rPr>
      <w:rFonts w:ascii="Arial" w:hAnsi="Arial" w:cs="Arial"/>
      <w:vanish/>
      <w:kern w:val="0"/>
      <w:sz w:val="16"/>
      <w:szCs w:val="16"/>
    </w:rPr>
  </w:style>
  <w:style w:type="paragraph" w:customStyle="1" w:styleId="163">
    <w:name w:val="z-窗体底端1"/>
    <w:basedOn w:val="1"/>
    <w:next w:val="1"/>
    <w:autoRedefine/>
    <w:hidden/>
    <w:qFormat/>
    <w:uiPriority w:val="0"/>
    <w:pPr>
      <w:widowControl/>
      <w:pBdr>
        <w:top w:val="single" w:color="auto" w:sz="6" w:space="1"/>
      </w:pBdr>
      <w:jc w:val="center"/>
    </w:pPr>
    <w:rPr>
      <w:rFonts w:ascii="Arial" w:hAnsi="Arial" w:cs="Arial"/>
      <w:vanish/>
      <w:kern w:val="0"/>
      <w:sz w:val="16"/>
      <w:szCs w:val="16"/>
    </w:rPr>
  </w:style>
  <w:style w:type="paragraph" w:customStyle="1" w:styleId="164">
    <w:name w:val="正文样式"/>
    <w:basedOn w:val="1"/>
    <w:autoRedefine/>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65">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6">
    <w:name w:val="段落正文"/>
    <w:basedOn w:val="23"/>
    <w:autoRedefine/>
    <w:qFormat/>
    <w:uiPriority w:val="0"/>
    <w:pPr>
      <w:ind w:firstLine="560" w:firstLineChars="200"/>
    </w:pPr>
    <w:rPr>
      <w:sz w:val="28"/>
    </w:rPr>
  </w:style>
  <w:style w:type="character" w:customStyle="1" w:styleId="167">
    <w:name w:val="gray6"/>
    <w:basedOn w:val="44"/>
    <w:qFormat/>
    <w:uiPriority w:val="0"/>
  </w:style>
  <w:style w:type="character" w:customStyle="1" w:styleId="168">
    <w:name w:val="style9"/>
    <w:basedOn w:val="44"/>
    <w:autoRedefine/>
    <w:qFormat/>
    <w:uiPriority w:val="0"/>
  </w:style>
  <w:style w:type="paragraph" w:customStyle="1" w:styleId="169">
    <w:name w:val="2册标题4"/>
    <w:basedOn w:val="1"/>
    <w:next w:val="1"/>
    <w:autoRedefine/>
    <w:qFormat/>
    <w:uiPriority w:val="0"/>
    <w:pPr>
      <w:spacing w:beforeLines="50" w:afterLines="50" w:line="300" w:lineRule="auto"/>
      <w:ind w:left="420" w:leftChars="200"/>
      <w:outlineLvl w:val="3"/>
    </w:pPr>
    <w:rPr>
      <w:rFonts w:ascii="Arial" w:hAnsi="Arial" w:eastAsia="幼圆" w:cs="Arial"/>
      <w:b/>
      <w:sz w:val="24"/>
    </w:rPr>
  </w:style>
  <w:style w:type="character" w:customStyle="1" w:styleId="170">
    <w:name w:val="grame"/>
    <w:basedOn w:val="44"/>
    <w:autoRedefine/>
    <w:qFormat/>
    <w:uiPriority w:val="0"/>
  </w:style>
  <w:style w:type="paragraph" w:customStyle="1" w:styleId="171">
    <w:name w:val="style2"/>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72">
    <w:name w:val="Char1"/>
    <w:basedOn w:val="1"/>
    <w:autoRedefine/>
    <w:qFormat/>
    <w:uiPriority w:val="0"/>
    <w:pPr>
      <w:jc w:val="left"/>
    </w:pPr>
    <w:rPr>
      <w:rFonts w:ascii="Tahoma" w:hAnsi="Tahoma"/>
      <w:sz w:val="24"/>
      <w:szCs w:val="20"/>
    </w:rPr>
  </w:style>
  <w:style w:type="paragraph" w:customStyle="1" w:styleId="173">
    <w:name w:val="编号1"/>
    <w:basedOn w:val="1"/>
    <w:autoRedefine/>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74">
    <w:name w:val="Char Char Char Char Char Char Char Char Char Char Char Char Char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175">
    <w:name w:val="font0"/>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176">
    <w:name w:val="font5"/>
    <w:basedOn w:val="1"/>
    <w:autoRedefine/>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7">
    <w:name w:val="font6"/>
    <w:basedOn w:val="1"/>
    <w:autoRedefine/>
    <w:qFormat/>
    <w:uiPriority w:val="0"/>
    <w:pPr>
      <w:widowControl/>
      <w:spacing w:before="100" w:beforeAutospacing="1" w:after="100" w:afterAutospacing="1"/>
      <w:jc w:val="left"/>
    </w:pPr>
    <w:rPr>
      <w:kern w:val="0"/>
      <w:sz w:val="24"/>
    </w:rPr>
  </w:style>
  <w:style w:type="paragraph" w:customStyle="1" w:styleId="178">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9">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80">
    <w:name w:val="表格字"/>
    <w:basedOn w:val="1"/>
    <w:autoRedefine/>
    <w:qFormat/>
    <w:uiPriority w:val="0"/>
    <w:pPr>
      <w:adjustRightInd w:val="0"/>
      <w:jc w:val="center"/>
    </w:pPr>
    <w:rPr>
      <w:rFonts w:ascii="宋体"/>
      <w:sz w:val="24"/>
      <w:szCs w:val="20"/>
    </w:rPr>
  </w:style>
  <w:style w:type="character" w:customStyle="1" w:styleId="181">
    <w:name w:val="样式 小三 加粗"/>
    <w:autoRedefine/>
    <w:qFormat/>
    <w:uiPriority w:val="0"/>
    <w:rPr>
      <w:rFonts w:eastAsia="宋体"/>
      <w:b/>
      <w:bCs/>
      <w:sz w:val="32"/>
    </w:rPr>
  </w:style>
  <w:style w:type="paragraph" w:customStyle="1" w:styleId="182">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83">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84">
    <w:name w:val="Char Char Char"/>
    <w:basedOn w:val="1"/>
    <w:autoRedefine/>
    <w:qFormat/>
    <w:uiPriority w:val="0"/>
    <w:rPr>
      <w:rFonts w:ascii="Tahoma" w:hAnsi="Tahoma"/>
      <w:sz w:val="24"/>
      <w:szCs w:val="20"/>
    </w:rPr>
  </w:style>
  <w:style w:type="paragraph" w:customStyle="1" w:styleId="185">
    <w:name w:val="Char2"/>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6">
    <w:name w:val="info4"/>
    <w:basedOn w:val="44"/>
    <w:autoRedefine/>
    <w:qFormat/>
    <w:uiPriority w:val="0"/>
  </w:style>
  <w:style w:type="paragraph" w:customStyle="1" w:styleId="187">
    <w:name w:val="缩进正文"/>
    <w:basedOn w:val="1"/>
    <w:link w:val="188"/>
    <w:autoRedefine/>
    <w:qFormat/>
    <w:uiPriority w:val="0"/>
    <w:pPr>
      <w:ind w:firstLine="560" w:firstLineChars="200"/>
    </w:pPr>
    <w:rPr>
      <w:rFonts w:eastAsia="仿宋_GB2312" w:cs="宋体"/>
      <w:sz w:val="28"/>
      <w:szCs w:val="20"/>
    </w:rPr>
  </w:style>
  <w:style w:type="character" w:customStyle="1" w:styleId="188">
    <w:name w:val="缩进正文 Char"/>
    <w:link w:val="187"/>
    <w:autoRedefine/>
    <w:qFormat/>
    <w:uiPriority w:val="0"/>
    <w:rPr>
      <w:rFonts w:eastAsia="仿宋_GB2312" w:cs="宋体"/>
      <w:kern w:val="2"/>
      <w:sz w:val="28"/>
      <w:lang w:val="en-US" w:eastAsia="zh-CN" w:bidi="ar-SA"/>
    </w:rPr>
  </w:style>
  <w:style w:type="paragraph" w:customStyle="1" w:styleId="189">
    <w:name w:val="列出段落1"/>
    <w:basedOn w:val="1"/>
    <w:autoRedefine/>
    <w:qFormat/>
    <w:uiPriority w:val="0"/>
    <w:pPr>
      <w:ind w:firstLine="420" w:firstLineChars="200"/>
    </w:pPr>
    <w:rPr>
      <w:rFonts w:ascii="Calibri" w:hAnsi="Calibri" w:cs="Calibri"/>
      <w:szCs w:val="21"/>
    </w:rPr>
  </w:style>
  <w:style w:type="character" w:customStyle="1" w:styleId="190">
    <w:name w:val="批注文字 Char"/>
    <w:basedOn w:val="44"/>
    <w:link w:val="16"/>
    <w:autoRedefine/>
    <w:qFormat/>
    <w:uiPriority w:val="99"/>
    <w:rPr>
      <w:rFonts w:ascii="宋体"/>
      <w:sz w:val="34"/>
    </w:rPr>
  </w:style>
  <w:style w:type="character" w:customStyle="1" w:styleId="191">
    <w:name w:val="批注主题 Char"/>
    <w:basedOn w:val="190"/>
    <w:link w:val="40"/>
    <w:autoRedefine/>
    <w:qFormat/>
    <w:uiPriority w:val="99"/>
    <w:rPr>
      <w:rFonts w:ascii="宋体"/>
      <w:sz w:val="34"/>
    </w:rPr>
  </w:style>
  <w:style w:type="paragraph" w:customStyle="1" w:styleId="192">
    <w:name w:val="评价"/>
    <w:basedOn w:val="1"/>
    <w:autoRedefine/>
    <w:qFormat/>
    <w:uiPriority w:val="0"/>
    <w:pPr>
      <w:spacing w:afterLines="20"/>
      <w:ind w:firstLine="1446" w:firstLineChars="200"/>
    </w:pPr>
    <w:rPr>
      <w:rFonts w:ascii="Calibri" w:hAnsi="Calibri"/>
      <w:sz w:val="24"/>
    </w:rPr>
  </w:style>
  <w:style w:type="paragraph" w:customStyle="1" w:styleId="193">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94">
    <w:name w:val="alt-edited1"/>
    <w:autoRedefine/>
    <w:qFormat/>
    <w:uiPriority w:val="0"/>
    <w:rPr>
      <w:color w:val="4D90F0"/>
    </w:rPr>
  </w:style>
  <w:style w:type="character" w:customStyle="1" w:styleId="195">
    <w:name w:val="body text Char1"/>
    <w:autoRedefine/>
    <w:qFormat/>
    <w:uiPriority w:val="0"/>
    <w:rPr>
      <w:rFonts w:eastAsia="宋体"/>
      <w:kern w:val="2"/>
      <w:sz w:val="21"/>
      <w:lang w:val="en-US" w:eastAsia="zh-CN" w:bidi="ar-SA"/>
    </w:rPr>
  </w:style>
  <w:style w:type="character" w:customStyle="1" w:styleId="196">
    <w:name w:val="普通(网站) Char"/>
    <w:link w:val="37"/>
    <w:autoRedefine/>
    <w:qFormat/>
    <w:uiPriority w:val="0"/>
    <w:rPr>
      <w:kern w:val="2"/>
      <w:sz w:val="24"/>
      <w:szCs w:val="24"/>
    </w:rPr>
  </w:style>
  <w:style w:type="character" w:customStyle="1" w:styleId="197">
    <w:name w:val="批注文字 Char1"/>
    <w:autoRedefine/>
    <w:qFormat/>
    <w:uiPriority w:val="99"/>
    <w:rPr>
      <w:rFonts w:ascii="宋体"/>
      <w:sz w:val="34"/>
    </w:rPr>
  </w:style>
  <w:style w:type="character" w:customStyle="1" w:styleId="198">
    <w:name w:val="正文缩进 Char1"/>
    <w:autoRedefine/>
    <w:qFormat/>
    <w:uiPriority w:val="0"/>
    <w:rPr>
      <w:rFonts w:eastAsia="宋体"/>
      <w:kern w:val="2"/>
      <w:sz w:val="21"/>
      <w:lang w:val="en-US" w:eastAsia="zh-CN" w:bidi="ar-SA"/>
    </w:rPr>
  </w:style>
  <w:style w:type="character" w:customStyle="1" w:styleId="199">
    <w:name w:val="layui-this"/>
    <w:basedOn w:val="44"/>
    <w:autoRedefine/>
    <w:qFormat/>
    <w:uiPriority w:val="0"/>
    <w:rPr>
      <w:bdr w:val="single" w:color="EEEEEE" w:sz="4" w:space="0"/>
      <w:shd w:val="clear" w:color="auto" w:fill="FFFFFF"/>
    </w:rPr>
  </w:style>
  <w:style w:type="character" w:customStyle="1" w:styleId="200">
    <w:name w:val="first-child"/>
    <w:basedOn w:val="44"/>
    <w:autoRedefine/>
    <w:qFormat/>
    <w:uiPriority w:val="0"/>
  </w:style>
  <w:style w:type="paragraph" w:customStyle="1" w:styleId="201">
    <w:name w:val="修订2"/>
    <w:autoRedefine/>
    <w:hidden/>
    <w:semiHidden/>
    <w:qFormat/>
    <w:uiPriority w:val="99"/>
    <w:rPr>
      <w:rFonts w:ascii="Times New Roman" w:hAnsi="Times New Roman" w:eastAsia="宋体" w:cs="Times New Roman"/>
      <w:kern w:val="2"/>
      <w:sz w:val="21"/>
      <w:szCs w:val="24"/>
      <w:lang w:val="en-US" w:eastAsia="zh-CN" w:bidi="ar-SA"/>
    </w:rPr>
  </w:style>
  <w:style w:type="table" w:customStyle="1" w:styleId="202">
    <w:name w:val="网格型1"/>
    <w:basedOn w:val="42"/>
    <w:autoRedefine/>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03">
    <w:name w:val="msonospacing"/>
    <w:basedOn w:val="1"/>
    <w:autoRedefine/>
    <w:qFormat/>
    <w:uiPriority w:val="0"/>
    <w:rPr>
      <w:rFonts w:ascii="Calibri" w:hAnsi="Calibri"/>
      <w:szCs w:val="22"/>
    </w:rPr>
  </w:style>
  <w:style w:type="paragraph" w:styleId="204">
    <w:name w:val="No Spacing"/>
    <w:autoRedefine/>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1A89-930E-4F08-8F9E-78D97BC26B6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1922</Words>
  <Characters>1922</Characters>
  <Lines>360</Lines>
  <Paragraphs>101</Paragraphs>
  <TotalTime>2</TotalTime>
  <ScaleCrop>false</ScaleCrop>
  <LinksUpToDate>false</LinksUpToDate>
  <CharactersWithSpaces>1926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2025-03-12T09:13:00Z</dcterms:created>
  <dc:creator>thsware</dc:creator>
  <cp:lastModifiedBy>封雨轩</cp:lastModifiedBy>
  <cp:lastPrinted>2021-05-09T08:02:00Z</cp:lastPrinted>
  <dcterms:modified xsi:type="dcterms:W3CDTF">2025-10-30T09:39:42Z</dcterms:modified>
  <dc:title>招  标　文　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CE14408C20F04EA085AB96CDA11407A0_13</vt:lpwstr>
  </property>
  <property fmtid="{D5CDD505-2E9C-101B-9397-08002B2CF9AE}" pid="4" name="KSOTemplateDocerSaveRecord">
    <vt:lpwstr>eyJoZGlkIjoiMjk5YTc0NzhhNjg4MmI0MTE1YWVjOTUzM2VlYjMwMTYiLCJ1c2VySWQiOiIyMTc0OTU0NzIifQ==</vt:lpwstr>
  </property>
</Properties>
</file>