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rPr>
          <w:rFonts w:hint="eastAsia"/>
        </w:rPr>
      </w:pPr>
    </w:p>
    <w:tbl>
      <w:tblPr>
        <w:tblStyle w:val="7"/>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4097" w:hRule="atLeast"/>
          <w:tblCellSpacing w:w="7" w:type="dxa"/>
          <w:jc w:val="center"/>
        </w:trPr>
        <w:tc>
          <w:tcPr>
            <w:tcW w:w="0" w:type="auto"/>
            <w:shd w:val="clear" w:color="auto" w:fill="FFFFFF"/>
          </w:tcPr>
          <w:tbl>
            <w:tblPr>
              <w:tblStyle w:val="7"/>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widowControl/>
                    <w:spacing w:line="460" w:lineRule="exact"/>
                    <w:jc w:val="center"/>
                    <w:rPr>
                      <w:sz w:val="20"/>
                      <w:szCs w:val="20"/>
                    </w:rPr>
                  </w:pPr>
                  <w:r>
                    <w:rPr>
                      <w:rFonts w:hint="eastAsia" w:ascii="黑体" w:hAnsi="黑体" w:eastAsia="黑体" w:cs="黑体"/>
                      <w:b/>
                      <w:bCs/>
                      <w:color w:val="0000FF"/>
                      <w:kern w:val="0"/>
                      <w:sz w:val="48"/>
                      <w:szCs w:val="48"/>
                      <w:lang w:bidi="ar"/>
                    </w:rPr>
                    <w:t>采购项目信息公开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7"/>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7"/>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13"/>
                          <w:gridCol w:w="689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pPr>
                                <w:pStyle w:val="6"/>
                                <w:widowControl/>
                                <w:spacing w:beforeAutospacing="0" w:afterAutospacing="0"/>
                                <w:rPr>
                                  <w:rFonts w:ascii="CESI仿宋-GB2312" w:hAnsi="CESI仿宋-GB2312" w:eastAsia="CESI仿宋-GB2312" w:cs="CESI仿宋-GB2312"/>
                                </w:rPr>
                              </w:pPr>
                              <w:r>
                                <w:rPr>
                                  <w:rFonts w:hint="eastAsia" w:ascii="CESI仿宋-GB2312" w:hAnsi="CESI仿宋-GB2312" w:eastAsia="CESI仿宋-GB2312" w:cs="CESI仿宋-GB2312"/>
                                  <w:lang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keepLines/>
                                <w:adjustRightInd w:val="0"/>
                                <w:spacing w:line="380" w:lineRule="exact"/>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项目名称：大鹏</w:t>
                              </w:r>
                              <w:r>
                                <w:rPr>
                                  <w:rFonts w:ascii="CESI仿宋-GB2312" w:hAnsi="CESI仿宋-GB2312" w:eastAsia="CESI仿宋-GB2312" w:cs="CESI仿宋-GB2312"/>
                                  <w:kern w:val="0"/>
                                  <w:sz w:val="24"/>
                                  <w:lang w:bidi="ar"/>
                                </w:rPr>
                                <w:t>文体中心运营管理项目（</w:t>
                              </w:r>
                              <w:r>
                                <w:rPr>
                                  <w:rFonts w:hint="eastAsia" w:ascii="CESI仿宋-GB2312" w:hAnsi="CESI仿宋-GB2312" w:eastAsia="CESI仿宋-GB2312" w:cs="CESI仿宋-GB2312"/>
                                  <w:kern w:val="0"/>
                                  <w:sz w:val="24"/>
                                  <w:lang w:bidi="ar"/>
                                </w:rPr>
                                <w:t>2025</w:t>
                              </w:r>
                              <w:r>
                                <w:rPr>
                                  <w:rFonts w:ascii="CESI仿宋-GB2312" w:hAnsi="CESI仿宋-GB2312" w:eastAsia="CESI仿宋-GB2312" w:cs="CESI仿宋-GB2312"/>
                                  <w:kern w:val="0"/>
                                  <w:sz w:val="24"/>
                                  <w:lang w:bidi="ar"/>
                                </w:rPr>
                                <w:t>-2026</w:t>
                              </w:r>
                              <w:r>
                                <w:rPr>
                                  <w:rFonts w:hint="eastAsia" w:ascii="CESI仿宋-GB2312" w:hAnsi="CESI仿宋-GB2312" w:eastAsia="CESI仿宋-GB2312" w:cs="CESI仿宋-GB2312"/>
                                  <w:kern w:val="0"/>
                                  <w:sz w:val="24"/>
                                  <w:lang w:bidi="ar"/>
                                </w:rPr>
                                <w:t>年</w:t>
                              </w:r>
                              <w:r>
                                <w:rPr>
                                  <w:rFonts w:ascii="CESI仿宋-GB2312" w:hAnsi="CESI仿宋-GB2312" w:eastAsia="CESI仿宋-GB2312" w:cs="CESI仿宋-GB2312"/>
                                  <w:kern w:val="0"/>
                                  <w:sz w:val="24"/>
                                  <w:lang w:bidi="ar"/>
                                </w:rPr>
                                <w:t>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578" w:type="dxa"/>
                              <w:vMerge w:val="restart"/>
                              <w:shd w:val="clear" w:color="auto" w:fill="auto"/>
                              <w:vAlign w:val="center"/>
                            </w:tcPr>
                            <w:p>
                              <w:pPr>
                                <w:keepNext/>
                                <w:keepLines/>
                                <w:adjustRightInd w:val="0"/>
                                <w:spacing w:line="380" w:lineRule="exact"/>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 xml:space="preserve">实施购买前公开的信息 </w:t>
                              </w:r>
                            </w:p>
                          </w:tc>
                          <w:tc>
                            <w:tcPr>
                              <w:tcW w:w="6933" w:type="dxa"/>
                              <w:shd w:val="clear" w:color="auto" w:fill="auto"/>
                              <w:vAlign w:val="center"/>
                            </w:tcPr>
                            <w:p>
                              <w:pPr>
                                <w:keepNext/>
                                <w:keepLines/>
                                <w:adjustRightInd w:val="0"/>
                                <w:spacing w:line="380" w:lineRule="exact"/>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服务标准和要求：</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为提升公共文化服务质量，拟委托专业机构运营大鹏文体中心，</w:t>
                              </w:r>
                              <w:r>
                                <w:rPr>
                                  <w:rFonts w:ascii="CESI仿宋-GB2312" w:hAnsi="CESI仿宋-GB2312" w:eastAsia="CESI仿宋-GB2312" w:cs="CESI仿宋-GB2312"/>
                                  <w:kern w:val="0"/>
                                  <w:sz w:val="24"/>
                                  <w:lang w:bidi="ar"/>
                                </w:rPr>
                                <w:t>时间</w:t>
                              </w:r>
                              <w:r>
                                <w:rPr>
                                  <w:rFonts w:hint="eastAsia" w:ascii="CESI仿宋-GB2312" w:hAnsi="CESI仿宋-GB2312" w:eastAsia="CESI仿宋-GB2312" w:cs="CESI仿宋-GB2312"/>
                                  <w:kern w:val="0"/>
                                  <w:sz w:val="24"/>
                                  <w:lang w:bidi="ar"/>
                                </w:rPr>
                                <w:t>为</w:t>
                              </w:r>
                              <w:r>
                                <w:rPr>
                                  <w:rFonts w:ascii="CESI仿宋-GB2312" w:hAnsi="CESI仿宋-GB2312" w:eastAsia="CESI仿宋-GB2312" w:cs="CESI仿宋-GB2312"/>
                                  <w:kern w:val="0"/>
                                  <w:sz w:val="24"/>
                                  <w:lang w:bidi="ar"/>
                                </w:rPr>
                                <w:t>期壹年</w:t>
                              </w:r>
                              <w:r>
                                <w:rPr>
                                  <w:rFonts w:hint="eastAsia" w:ascii="CESI仿宋-GB2312" w:hAnsi="CESI仿宋-GB2312" w:eastAsia="CESI仿宋-GB2312" w:cs="CESI仿宋-GB2312"/>
                                  <w:kern w:val="0"/>
                                  <w:sz w:val="24"/>
                                  <w:lang w:bidi="ar"/>
                                </w:rPr>
                                <w:t>。运营重点包括：</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ascii="CESI仿宋-GB2312" w:hAnsi="CESI仿宋-GB2312" w:eastAsia="CESI仿宋-GB2312" w:cs="CESI仿宋-GB2312"/>
                                  <w:kern w:val="0"/>
                                  <w:sz w:val="24"/>
                                  <w:lang w:bidi="ar"/>
                                </w:rPr>
                                <w:t>1.</w:t>
                              </w:r>
                              <w:r>
                                <w:rPr>
                                  <w:rFonts w:hint="eastAsia" w:ascii="CESI仿宋-GB2312" w:hAnsi="CESI仿宋-GB2312" w:eastAsia="CESI仿宋-GB2312" w:cs="CESI仿宋-GB2312"/>
                                  <w:kern w:val="0"/>
                                  <w:sz w:val="24"/>
                                  <w:lang w:bidi="ar"/>
                                </w:rPr>
                                <w:t>公共空间管理：场馆全年正常开放，</w:t>
                              </w:r>
                              <w:r>
                                <w:rPr>
                                  <w:rFonts w:ascii="CESI仿宋-GB2312" w:hAnsi="CESI仿宋-GB2312" w:eastAsia="CESI仿宋-GB2312" w:cs="CESI仿宋-GB2312"/>
                                  <w:kern w:val="0"/>
                                  <w:sz w:val="24"/>
                                  <w:lang w:bidi="ar"/>
                                </w:rPr>
                                <w:t>配备工作人员不少于</w:t>
                              </w:r>
                              <w:r>
                                <w:rPr>
                                  <w:rFonts w:hint="eastAsia" w:ascii="CESI仿宋-GB2312" w:hAnsi="CESI仿宋-GB2312" w:eastAsia="CESI仿宋-GB2312" w:cs="CESI仿宋-GB2312"/>
                                  <w:kern w:val="0"/>
                                  <w:sz w:val="24"/>
                                  <w:lang w:bidi="ar"/>
                                </w:rPr>
                                <w:t>3</w:t>
                              </w:r>
                              <w:r>
                                <w:rPr>
                                  <w:rFonts w:ascii="CESI仿宋-GB2312" w:hAnsi="CESI仿宋-GB2312" w:eastAsia="CESI仿宋-GB2312" w:cs="CESI仿宋-GB2312"/>
                                  <w:kern w:val="0"/>
                                  <w:sz w:val="24"/>
                                  <w:lang w:bidi="ar"/>
                                </w:rPr>
                                <w:t>人</w:t>
                              </w:r>
                              <w:r>
                                <w:rPr>
                                  <w:rFonts w:hint="eastAsia" w:ascii="CESI仿宋-GB2312" w:hAnsi="CESI仿宋-GB2312" w:eastAsia="CESI仿宋-GB2312" w:cs="CESI仿宋-GB2312"/>
                                  <w:kern w:val="0"/>
                                  <w:sz w:val="24"/>
                                  <w:lang w:bidi="ar"/>
                                </w:rPr>
                                <w:t>负责场馆日常运营</w:t>
                              </w:r>
                              <w:r>
                                <w:rPr>
                                  <w:rFonts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bidi="ar"/>
                                </w:rPr>
                                <w:t>大专以上学历</w:t>
                              </w:r>
                              <w:r>
                                <w:rPr>
                                  <w:rFonts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bidi="ar"/>
                                </w:rPr>
                                <w:t>4</w:t>
                              </w:r>
                              <w:r>
                                <w:rPr>
                                  <w:rFonts w:ascii="CESI仿宋-GB2312" w:hAnsi="CESI仿宋-GB2312" w:eastAsia="CESI仿宋-GB2312" w:cs="CESI仿宋-GB2312"/>
                                  <w:kern w:val="0"/>
                                  <w:sz w:val="24"/>
                                  <w:lang w:bidi="ar"/>
                                </w:rPr>
                                <w:t>5周岁以下</w:t>
                              </w:r>
                              <w:r>
                                <w:rPr>
                                  <w:rFonts w:hint="eastAsia" w:ascii="CESI仿宋-GB2312" w:hAnsi="CESI仿宋-GB2312" w:eastAsia="CESI仿宋-GB2312" w:cs="CESI仿宋-GB2312"/>
                                  <w:kern w:val="0"/>
                                  <w:sz w:val="24"/>
                                  <w:lang w:bidi="ar"/>
                                </w:rPr>
                                <w:t>；负责场馆无线网络、直饮水、安全、活动设施保洁及维修维护等基础保障；体育场地免费预约，文体室提供优惠文化服务。</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2.公共文化项目：至少4种公益艺术培训，每项目不少于30课时/45分钟，且有1-2个成果参与展演。</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3.惠民文体工程：整合资源，为各群体提供服务，每年至少1场特殊群体活动。</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4</w:t>
                              </w:r>
                              <w:r>
                                <w:rPr>
                                  <w:rFonts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bidi="ar"/>
                                </w:rPr>
                                <w:t>服务内容公示：提前公示开放信息及服务项目，规范公示栏，及时发布闭馆通知。</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5</w:t>
                              </w:r>
                              <w:r>
                                <w:rPr>
                                  <w:rFonts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bidi="ar"/>
                                </w:rPr>
                                <w:t>宣传服务：强化“线上+线下”宣传，全年至少20期板报。</w:t>
                              </w:r>
                            </w:p>
                            <w:p>
                              <w:pPr>
                                <w:keepNext/>
                                <w:keepLines/>
                                <w:adjustRightInd w:val="0"/>
                                <w:spacing w:line="380" w:lineRule="exact"/>
                                <w:ind w:firstLine="480" w:firstLineChars="200"/>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6</w:t>
                              </w:r>
                              <w:r>
                                <w:rPr>
                                  <w:rFonts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bidi="ar"/>
                                </w:rPr>
                                <w:t>延伸服务：结合实际情况，可设咖啡吧书吧等，提供轻食饮料，满足个性化需求；可开设优惠文艺培训及文化服务；将50%以上的纯利润用于本场馆日常维护、设备维修、开展公益活动。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8" w:type="dxa"/>
                              <w:vMerge w:val="continue"/>
                              <w:shd w:val="clear" w:color="auto" w:fill="auto"/>
                              <w:vAlign w:val="center"/>
                            </w:tcPr>
                            <w:p>
                              <w:pPr>
                                <w:keepNext/>
                                <w:keepLines/>
                                <w:adjustRightInd w:val="0"/>
                                <w:spacing w:line="380" w:lineRule="exact"/>
                                <w:textAlignment w:val="baseline"/>
                                <w:outlineLvl w:val="1"/>
                                <w:rPr>
                                  <w:rFonts w:ascii="CESI仿宋-GB2312" w:hAnsi="CESI仿宋-GB2312" w:eastAsia="CESI仿宋-GB2312" w:cs="CESI仿宋-GB2312"/>
                                  <w:kern w:val="0"/>
                                  <w:sz w:val="24"/>
                                  <w:lang w:bidi="ar"/>
                                </w:rPr>
                              </w:pPr>
                            </w:p>
                          </w:tc>
                          <w:tc>
                            <w:tcPr>
                              <w:tcW w:w="6933" w:type="dxa"/>
                              <w:shd w:val="clear" w:color="auto" w:fill="auto"/>
                              <w:vAlign w:val="center"/>
                            </w:tcPr>
                            <w:p>
                              <w:pPr>
                                <w:keepNext/>
                                <w:keepLines/>
                                <w:adjustRightInd w:val="0"/>
                                <w:spacing w:line="380" w:lineRule="exact"/>
                                <w:textAlignment w:val="baseline"/>
                                <w:outlineLvl w:val="1"/>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项目预算金额：¥</w:t>
                              </w:r>
                              <w:r>
                                <w:rPr>
                                  <w:rFonts w:ascii="CESI仿宋-GB2312" w:hAnsi="CESI仿宋-GB2312" w:eastAsia="CESI仿宋-GB2312" w:cs="CESI仿宋-GB2312"/>
                                  <w:kern w:val="0"/>
                                  <w:sz w:val="24"/>
                                  <w:lang w:bidi="ar"/>
                                </w:rPr>
                                <w:t>19</w:t>
                              </w:r>
                              <w:r>
                                <w:rPr>
                                  <w:rFonts w:hint="eastAsia" w:ascii="CESI仿宋-GB2312" w:hAnsi="CESI仿宋-GB2312" w:eastAsia="CESI仿宋-GB2312" w:cs="CESI仿宋-GB2312"/>
                                  <w:kern w:val="0"/>
                                  <w:sz w:val="24"/>
                                  <w:lang w:val="en-US" w:eastAsia="zh-CN" w:bidi="ar"/>
                                </w:rPr>
                                <w:t>7</w:t>
                              </w:r>
                              <w:r>
                                <w:rPr>
                                  <w:rFonts w:hint="eastAsia" w:ascii="CESI仿宋-GB2312" w:hAnsi="CESI仿宋-GB2312" w:eastAsia="CESI仿宋-GB2312" w:cs="CESI仿宋-GB2312"/>
                                  <w:kern w:val="0"/>
                                  <w:sz w:val="24"/>
                                  <w:lang w:bidi="ar"/>
                                </w:rPr>
                                <w:t>,</w:t>
                              </w:r>
                              <w:r>
                                <w:rPr>
                                  <w:rFonts w:hint="eastAsia" w:ascii="CESI仿宋-GB2312" w:hAnsi="CESI仿宋-GB2312" w:eastAsia="CESI仿宋-GB2312" w:cs="CESI仿宋-GB2312"/>
                                  <w:kern w:val="0"/>
                                  <w:sz w:val="24"/>
                                  <w:lang w:val="en-US" w:eastAsia="zh-CN" w:bidi="ar"/>
                                </w:rPr>
                                <w:t>0</w:t>
                              </w:r>
                              <w:r>
                                <w:rPr>
                                  <w:rFonts w:hint="eastAsia" w:ascii="CESI仿宋-GB2312" w:hAnsi="CESI仿宋-GB2312" w:eastAsia="CESI仿宋-GB2312" w:cs="CESI仿宋-GB2312"/>
                                  <w:kern w:val="0"/>
                                  <w:sz w:val="24"/>
                                  <w:lang w:bidi="ar"/>
                                </w:rPr>
                                <w:t>00.00元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8" w:type="dxa"/>
                              <w:vMerge w:val="continue"/>
                              <w:shd w:val="clear" w:color="auto" w:fill="auto"/>
                              <w:vAlign w:val="center"/>
                            </w:tcPr>
                            <w:p>
                              <w:pPr>
                                <w:spacing w:line="380" w:lineRule="exact"/>
                                <w:rPr>
                                  <w:rFonts w:ascii="CESI仿宋-GB2312" w:hAnsi="CESI仿宋-GB2312" w:eastAsia="CESI仿宋-GB2312" w:cs="CESI仿宋-GB2312"/>
                                  <w:sz w:val="24"/>
                                </w:rPr>
                              </w:pPr>
                            </w:p>
                          </w:tc>
                          <w:tc>
                            <w:tcPr>
                              <w:tcW w:w="6933" w:type="dxa"/>
                              <w:shd w:val="clear" w:color="auto" w:fill="auto"/>
                              <w:vAlign w:val="center"/>
                            </w:tcPr>
                            <w:p>
                              <w:pPr>
                                <w:widowControl/>
                                <w:spacing w:line="380" w:lineRule="exact"/>
                                <w:jc w:val="left"/>
                                <w:rPr>
                                  <w:rFonts w:ascii="CESI仿宋-GB2312" w:hAnsi="CESI仿宋-GB2312" w:eastAsia="CESI仿宋-GB2312" w:cs="CESI仿宋-GB2312"/>
                                  <w:sz w:val="24"/>
                                </w:rPr>
                              </w:pPr>
                              <w:r>
                                <w:rPr>
                                  <w:rFonts w:hint="eastAsia" w:ascii="CESI仿宋-GB2312" w:hAnsi="CESI仿宋-GB2312" w:eastAsia="CESI仿宋-GB2312" w:cs="CESI仿宋-GB2312"/>
                                  <w:kern w:val="0"/>
                                  <w:sz w:val="24"/>
                                  <w:lang w:bidi="ar"/>
                                </w:rPr>
                                <w:t>采购方式：询</w:t>
                              </w:r>
                              <w:r>
                                <w:rPr>
                                  <w:rFonts w:ascii="CESI仿宋-GB2312" w:hAnsi="CESI仿宋-GB2312" w:eastAsia="CESI仿宋-GB2312" w:cs="CESI仿宋-GB2312"/>
                                  <w:kern w:val="0"/>
                                  <w:sz w:val="24"/>
                                  <w:lang w:bidi="ar"/>
                                </w:rPr>
                                <w:t>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8" w:type="dxa"/>
                              <w:vMerge w:val="continue"/>
                              <w:shd w:val="clear" w:color="auto" w:fill="auto"/>
                              <w:vAlign w:val="center"/>
                            </w:tcPr>
                            <w:p>
                              <w:pPr>
                                <w:spacing w:line="380" w:lineRule="exact"/>
                                <w:rPr>
                                  <w:rFonts w:ascii="CESI仿宋-GB2312" w:hAnsi="CESI仿宋-GB2312" w:eastAsia="CESI仿宋-GB2312" w:cs="CESI仿宋-GB2312"/>
                                  <w:sz w:val="24"/>
                                </w:rPr>
                              </w:pPr>
                            </w:p>
                          </w:tc>
                          <w:tc>
                            <w:tcPr>
                              <w:tcW w:w="6933" w:type="dxa"/>
                              <w:shd w:val="clear" w:color="auto" w:fill="auto"/>
                              <w:vAlign w:val="center"/>
                            </w:tcPr>
                            <w:p>
                              <w:pPr>
                                <w:widowControl/>
                                <w:spacing w:line="380" w:lineRule="exact"/>
                                <w:jc w:val="left"/>
                                <w:rPr>
                                  <w:rFonts w:ascii="CESI仿宋-GB2312" w:hAnsi="CESI仿宋-GB2312" w:eastAsia="CESI仿宋-GB2312" w:cs="CESI仿宋-GB2312"/>
                                  <w:kern w:val="0"/>
                                  <w:sz w:val="24"/>
                                  <w:lang w:bidi="ar"/>
                                </w:rPr>
                              </w:pPr>
                              <w:r>
                                <w:rPr>
                                  <w:rFonts w:hint="eastAsia" w:ascii="CESI仿宋-GB2312" w:hAnsi="CESI仿宋-GB2312" w:eastAsia="CESI仿宋-GB2312" w:cs="CESI仿宋-GB2312"/>
                                  <w:kern w:val="0"/>
                                  <w:sz w:val="24"/>
                                  <w:lang w:bidi="ar"/>
                                </w:rPr>
                                <w:t>评审方法：最</w:t>
                              </w:r>
                              <w:r>
                                <w:rPr>
                                  <w:rFonts w:ascii="CESI仿宋-GB2312" w:hAnsi="CESI仿宋-GB2312" w:eastAsia="CESI仿宋-GB2312" w:cs="CESI仿宋-GB2312"/>
                                  <w:kern w:val="0"/>
                                  <w:sz w:val="24"/>
                                  <w:lang w:bidi="ar"/>
                                </w:rPr>
                                <w:t>低</w:t>
                              </w:r>
                              <w:r>
                                <w:rPr>
                                  <w:rFonts w:hint="eastAsia" w:ascii="CESI仿宋-GB2312" w:hAnsi="CESI仿宋-GB2312" w:eastAsia="CESI仿宋-GB2312" w:cs="CESI仿宋-GB2312"/>
                                  <w:kern w:val="0"/>
                                  <w:sz w:val="24"/>
                                  <w:lang w:bidi="ar"/>
                                </w:rPr>
                                <w:t>评标</w:t>
                              </w:r>
                              <w:r>
                                <w:rPr>
                                  <w:rFonts w:ascii="CESI仿宋-GB2312" w:hAnsi="CESI仿宋-GB2312" w:eastAsia="CESI仿宋-GB2312" w:cs="CESI仿宋-GB2312"/>
                                  <w:kern w:val="0"/>
                                  <w:sz w:val="24"/>
                                  <w:lang w:bidi="ar"/>
                                </w:rPr>
                                <w:t>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pPr>
                                <w:widowControl/>
                                <w:spacing w:line="380" w:lineRule="exact"/>
                                <w:jc w:val="left"/>
                                <w:rPr>
                                  <w:rFonts w:ascii="CESI仿宋-GB2312" w:hAnsi="CESI仿宋-GB2312" w:eastAsia="CESI仿宋-GB2312" w:cs="CESI仿宋-GB2312"/>
                                  <w:sz w:val="24"/>
                                </w:rPr>
                              </w:pPr>
                              <w:r>
                                <w:rPr>
                                  <w:rFonts w:hint="eastAsia" w:ascii="CESI仿宋-GB2312" w:hAnsi="CESI仿宋-GB2312" w:eastAsia="CESI仿宋-GB2312" w:cs="CESI仿宋-GB2312"/>
                                  <w:kern w:val="0"/>
                                  <w:sz w:val="24"/>
                                  <w:lang w:bidi="ar"/>
                                </w:rPr>
                                <w:t xml:space="preserve">经本单位确认，上述公告信息真实、合规。 </w:t>
                              </w:r>
                            </w:p>
                            <w:p>
                              <w:pPr>
                                <w:pStyle w:val="6"/>
                                <w:widowControl/>
                                <w:spacing w:beforeAutospacing="0" w:afterAutospacing="0" w:line="380" w:lineRule="exact"/>
                                <w:rPr>
                                  <w:rFonts w:ascii="CESI仿宋-GB2312" w:hAnsi="CESI仿宋-GB2312" w:eastAsia="CESI仿宋-GB2312" w:cs="CESI仿宋-GB2312"/>
                                  <w:color w:val="000000"/>
                                </w:rPr>
                              </w:pPr>
                              <w:r>
                                <w:rPr>
                                  <w:rFonts w:hint="eastAsia" w:ascii="CESI仿宋-GB2312" w:hAnsi="CESI仿宋-GB2312" w:eastAsia="CESI仿宋-GB2312" w:cs="CESI仿宋-GB2312"/>
                                </w:rPr>
                                <w:t>单位名称：深圳市大鹏新区大鹏办事处城市建设发展服务中心</w:t>
                              </w:r>
                            </w:p>
                            <w:p>
                              <w:pPr>
                                <w:pStyle w:val="6"/>
                                <w:widowControl/>
                                <w:spacing w:beforeAutospacing="0" w:afterAutospacing="0" w:line="380" w:lineRule="exact"/>
                                <w:rPr>
                                  <w:rFonts w:ascii="CESI仿宋-GB2312" w:hAnsi="CESI仿宋-GB2312" w:eastAsia="CESI仿宋-GB2312" w:cs="CESI仿宋-GB2312"/>
                                </w:rPr>
                              </w:pPr>
                              <w:r>
                                <w:rPr>
                                  <w:rFonts w:hint="eastAsia" w:ascii="CESI仿宋-GB2312" w:hAnsi="CESI仿宋-GB2312" w:eastAsia="CESI仿宋-GB2312" w:cs="CESI仿宋-GB2312"/>
                                </w:rPr>
                                <w:t>地址： 深圳市大鹏新区大鹏办事处人民</w:t>
                              </w:r>
                              <w:r>
                                <w:rPr>
                                  <w:rFonts w:ascii="CESI仿宋-GB2312" w:hAnsi="CESI仿宋-GB2312" w:eastAsia="CESI仿宋-GB2312" w:cs="CESI仿宋-GB2312"/>
                                </w:rPr>
                                <w:t>路</w:t>
                              </w:r>
                              <w:r>
                                <w:rPr>
                                  <w:rFonts w:hint="eastAsia" w:ascii="CESI仿宋-GB2312" w:hAnsi="CESI仿宋-GB2312" w:eastAsia="CESI仿宋-GB2312" w:cs="CESI仿宋-GB2312"/>
                                </w:rPr>
                                <w:t>37号</w:t>
                              </w:r>
                            </w:p>
                            <w:p>
                              <w:pPr>
                                <w:pStyle w:val="6"/>
                                <w:widowControl/>
                                <w:spacing w:beforeAutospacing="0" w:afterAutospacing="0" w:line="380" w:lineRule="exact"/>
                                <w:rPr>
                                  <w:rFonts w:ascii="CESI仿宋-GB2312" w:hAnsi="CESI仿宋-GB2312" w:eastAsia="CESI仿宋-GB2312" w:cs="CESI仿宋-GB2312"/>
                                </w:rPr>
                              </w:pPr>
                              <w:r>
                                <w:rPr>
                                  <w:rFonts w:hint="eastAsia" w:ascii="CESI仿宋-GB2312" w:hAnsi="CESI仿宋-GB2312" w:eastAsia="CESI仿宋-GB2312" w:cs="CESI仿宋-GB2312"/>
                                </w:rPr>
                                <w:t>联系人：黄</w:t>
                              </w:r>
                              <w:r>
                                <w:rPr>
                                  <w:rFonts w:ascii="CESI仿宋-GB2312" w:hAnsi="CESI仿宋-GB2312" w:eastAsia="CESI仿宋-GB2312" w:cs="CESI仿宋-GB2312"/>
                                </w:rPr>
                                <w:t>工</w:t>
                              </w:r>
                            </w:p>
                            <w:p>
                              <w:pPr>
                                <w:pStyle w:val="6"/>
                                <w:widowControl/>
                                <w:spacing w:beforeAutospacing="0" w:afterAutospacing="0" w:line="380" w:lineRule="exact"/>
                                <w:rPr>
                                  <w:rFonts w:ascii="CESI仿宋-GB2312" w:hAnsi="CESI仿宋-GB2312" w:eastAsia="CESI仿宋-GB2312" w:cs="CESI仿宋-GB2312"/>
                                </w:rPr>
                              </w:pPr>
                              <w:r>
                                <w:rPr>
                                  <w:rFonts w:hint="eastAsia" w:ascii="CESI仿宋-GB2312" w:hAnsi="CESI仿宋-GB2312" w:eastAsia="CESI仿宋-GB2312" w:cs="CESI仿宋-GB2312"/>
                                </w:rPr>
                                <w:t xml:space="preserve">联系电话： </w:t>
                              </w:r>
                              <w:r>
                                <w:rPr>
                                  <w:rFonts w:ascii="CESI仿宋-GB2312" w:hAnsi="CESI仿宋-GB2312" w:eastAsia="CESI仿宋-GB2312" w:cs="CESI仿宋-GB2312"/>
                                </w:rPr>
                                <w:t>0755-89263422</w:t>
                              </w:r>
                            </w:p>
                            <w:p>
                              <w:pPr>
                                <w:pStyle w:val="6"/>
                                <w:widowControl/>
                                <w:spacing w:beforeAutospacing="0" w:afterAutospacing="0" w:line="380" w:lineRule="exact"/>
                                <w:rPr>
                                  <w:rFonts w:ascii="CESI仿宋-GB2312" w:hAnsi="CESI仿宋-GB2312" w:eastAsia="CESI仿宋-GB2312" w:cs="CESI仿宋-GB2312"/>
                                </w:rPr>
                              </w:pPr>
                              <w:r>
                                <w:rPr>
                                  <w:rFonts w:hint="eastAsia" w:ascii="CESI仿宋-GB2312" w:hAnsi="CESI仿宋-GB2312" w:eastAsia="CESI仿宋-GB2312" w:cs="CESI仿宋-GB2312"/>
                                </w:rPr>
                                <w:t>公告期：2025年3月</w:t>
                              </w:r>
                              <w:r>
                                <w:rPr>
                                  <w:rFonts w:ascii="CESI仿宋-GB2312" w:hAnsi="CESI仿宋-GB2312" w:eastAsia="CESI仿宋-GB2312" w:cs="CESI仿宋-GB2312"/>
                                </w:rPr>
                                <w:t>1</w:t>
                              </w:r>
                              <w:r>
                                <w:rPr>
                                  <w:rFonts w:hint="eastAsia" w:ascii="CESI仿宋-GB2312" w:hAnsi="CESI仿宋-GB2312" w:eastAsia="CESI仿宋-GB2312" w:cs="CESI仿宋-GB2312"/>
                                  <w:lang w:val="en-US" w:eastAsia="zh-CN"/>
                                </w:rPr>
                                <w:t>3</w:t>
                              </w:r>
                              <w:r>
                                <w:rPr>
                                  <w:rFonts w:hint="eastAsia" w:ascii="CESI仿宋-GB2312" w:hAnsi="CESI仿宋-GB2312" w:eastAsia="CESI仿宋-GB2312" w:cs="CESI仿宋-GB2312"/>
                                </w:rPr>
                                <w:t>日至2025年3月</w:t>
                              </w:r>
                              <w:r>
                                <w:rPr>
                                  <w:rFonts w:ascii="CESI仿宋-GB2312" w:hAnsi="CESI仿宋-GB2312" w:eastAsia="CESI仿宋-GB2312" w:cs="CESI仿宋-GB2312"/>
                                </w:rPr>
                                <w:t>1</w:t>
                              </w:r>
                              <w:r>
                                <w:rPr>
                                  <w:rFonts w:hint="eastAsia" w:ascii="CESI仿宋-GB2312" w:hAnsi="CESI仿宋-GB2312" w:eastAsia="CESI仿宋-GB2312" w:cs="CESI仿宋-GB2312"/>
                                  <w:lang w:val="en-US" w:eastAsia="zh-CN"/>
                                </w:rPr>
                                <w:t>8</w:t>
                              </w:r>
                              <w:r>
                                <w:rPr>
                                  <w:rFonts w:hint="eastAsia" w:ascii="CESI仿宋-GB2312" w:hAnsi="CESI仿宋-GB2312" w:eastAsia="CESI仿宋-GB2312" w:cs="CESI仿宋-GB2312"/>
                                </w:rPr>
                                <w:t>日</w:t>
                              </w:r>
                            </w:p>
                            <w:p>
                              <w:pPr>
                                <w:pStyle w:val="6"/>
                                <w:widowControl/>
                                <w:spacing w:beforeAutospacing="0" w:afterAutospacing="0" w:line="380" w:lineRule="exact"/>
                                <w:ind w:right="120"/>
                                <w:jc w:val="right"/>
                                <w:rPr>
                                  <w:rFonts w:ascii="CESI仿宋-GB2312" w:hAnsi="CESI仿宋-GB2312" w:eastAsia="CESI仿宋-GB2312" w:cs="CESI仿宋-GB2312"/>
                                </w:rPr>
                              </w:pPr>
                              <w:r>
                                <w:rPr>
                                  <w:rFonts w:hint="eastAsia" w:ascii="CESI仿宋-GB2312" w:hAnsi="CESI仿宋-GB2312" w:eastAsia="CESI仿宋-GB2312" w:cs="CESI仿宋-GB2312"/>
                                </w:rPr>
                                <w:t>公告日期：2025年3月</w:t>
                              </w:r>
                              <w:r>
                                <w:rPr>
                                  <w:rFonts w:ascii="CESI仿宋-GB2312" w:hAnsi="CESI仿宋-GB2312" w:eastAsia="CESI仿宋-GB2312" w:cs="CESI仿宋-GB2312"/>
                                </w:rPr>
                                <w:t>1</w:t>
                              </w:r>
                              <w:r>
                                <w:rPr>
                                  <w:rFonts w:hint="eastAsia" w:ascii="CESI仿宋-GB2312" w:hAnsi="CESI仿宋-GB2312" w:eastAsia="CESI仿宋-GB2312" w:cs="CESI仿宋-GB2312"/>
                                  <w:lang w:val="en-US" w:eastAsia="zh-CN"/>
                                </w:rPr>
                                <w:t>3</w:t>
                              </w:r>
                              <w:bookmarkStart w:id="0" w:name="_GoBack"/>
                              <w:bookmarkEnd w:id="0"/>
                              <w:r>
                                <w:rPr>
                                  <w:rFonts w:hint="eastAsia" w:ascii="CESI仿宋-GB2312" w:hAnsi="CESI仿宋-GB2312" w:eastAsia="CESI仿宋-GB2312" w:cs="CESI仿宋-GB2312"/>
                                </w:rPr>
                                <w:t>日</w:t>
                              </w:r>
                            </w:p>
                          </w:tc>
                        </w:tr>
                      </w:tbl>
                      <w:p>
                        <w:pPr>
                          <w:widowControl/>
                          <w:spacing w:line="460" w:lineRule="exact"/>
                          <w:rPr>
                            <w:sz w:val="20"/>
                            <w:szCs w:val="20"/>
                          </w:rPr>
                        </w:pPr>
                      </w:p>
                    </w:tc>
                  </w:tr>
                </w:tbl>
                <w:p>
                  <w:pPr>
                    <w:spacing w:line="460" w:lineRule="exact"/>
                    <w:jc w:val="center"/>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widowControl/>
                    <w:pBdr>
                      <w:bottom w:val="dashed" w:color="000000" w:sz="4" w:space="0"/>
                    </w:pBdr>
                    <w:spacing w:line="460" w:lineRule="exact"/>
                    <w:jc w:val="center"/>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spacing w:line="460" w:lineRule="exact"/>
              <w:rPr>
                <w:vanish/>
                <w:sz w:val="24"/>
              </w:rPr>
            </w:pPr>
          </w:p>
          <w:p>
            <w:pPr>
              <w:widowControl/>
              <w:spacing w:line="460" w:lineRule="exact"/>
              <w:jc w:val="left"/>
            </w:pPr>
          </w:p>
        </w:tc>
      </w:tr>
    </w:tbl>
    <w:p>
      <w:pPr>
        <w:widowControl/>
        <w:spacing w:line="460" w:lineRule="exact"/>
        <w:ind w:left="400"/>
        <w:jc w:val="left"/>
        <w:rPr>
          <w:rFonts w:ascii="宋体" w:hAnsi="宋体" w:eastAsia="宋体" w:cs="宋体"/>
          <w:kern w:val="0"/>
          <w:sz w:val="24"/>
          <w:lang w:bidi="ar"/>
        </w:rPr>
      </w:pPr>
      <w:r>
        <w:rPr>
          <w:rFonts w:ascii="宋体" w:hAnsi="宋体" w:eastAsia="宋体" w:cs="宋体"/>
          <w:kern w:val="0"/>
          <w:sz w:val="24"/>
          <w:lang w:bidi="ar"/>
        </w:rPr>
        <w:t>备注：</w:t>
      </w:r>
    </w:p>
    <w:p>
      <w:pPr>
        <w:widowControl/>
        <w:spacing w:line="460" w:lineRule="exact"/>
        <w:ind w:left="400"/>
        <w:jc w:val="left"/>
        <w:rPr>
          <w:rFonts w:ascii="宋体" w:hAnsi="宋体" w:eastAsia="宋体" w:cs="宋体"/>
          <w:kern w:val="0"/>
          <w:sz w:val="24"/>
          <w:lang w:bidi="ar"/>
        </w:rPr>
      </w:pPr>
      <w:r>
        <w:rPr>
          <w:rFonts w:ascii="宋体" w:hAnsi="宋体" w:eastAsia="宋体" w:cs="宋体"/>
          <w:kern w:val="0"/>
          <w:sz w:val="24"/>
          <w:lang w:bidi="ar"/>
        </w:rPr>
        <w:t>一、根据《深圳市大鹏新区政府购买服务负面清单（试行）》所列示的项目，在购买服务实施前，采购单位应在政府采购主管部门指定的网站公告项目名称、服务标准和要求、购买预算等内容，公告时间不少于5个工作日，但以下项目除外：</w:t>
      </w:r>
    </w:p>
    <w:p>
      <w:pPr>
        <w:widowControl/>
        <w:spacing w:line="460" w:lineRule="exact"/>
        <w:ind w:left="400"/>
        <w:jc w:val="left"/>
        <w:rPr>
          <w:rFonts w:ascii="宋体" w:hAnsi="宋体" w:eastAsia="宋体" w:cs="宋体"/>
          <w:kern w:val="0"/>
          <w:sz w:val="24"/>
          <w:lang w:bidi="ar"/>
        </w:rPr>
      </w:pPr>
      <w:r>
        <w:rPr>
          <w:rFonts w:ascii="宋体" w:hAnsi="宋体" w:eastAsia="宋体" w:cs="宋体"/>
          <w:kern w:val="0"/>
          <w:sz w:val="24"/>
          <w:lang w:bidi="ar"/>
        </w:rPr>
        <w:t>1.《深圳市大鹏新区政府购买服务负面清单（试行）》所规定的项目；</w:t>
      </w:r>
    </w:p>
    <w:p>
      <w:pPr>
        <w:widowControl/>
        <w:spacing w:line="460" w:lineRule="exact"/>
        <w:ind w:left="400"/>
        <w:jc w:val="left"/>
        <w:rPr>
          <w:rFonts w:ascii="宋体" w:hAnsi="宋体" w:eastAsia="宋体" w:cs="宋体"/>
          <w:kern w:val="0"/>
          <w:sz w:val="24"/>
          <w:lang w:bidi="ar"/>
        </w:rPr>
      </w:pPr>
      <w:r>
        <w:rPr>
          <w:rFonts w:ascii="宋体" w:hAnsi="宋体" w:eastAsia="宋体" w:cs="宋体"/>
          <w:kern w:val="0"/>
          <w:sz w:val="24"/>
          <w:lang w:bidi="ar"/>
        </w:rPr>
        <w:t>2.涉及国家秘密或商业秘密的项目；</w:t>
      </w:r>
    </w:p>
    <w:p>
      <w:pPr>
        <w:widowControl/>
        <w:spacing w:line="460" w:lineRule="exact"/>
        <w:ind w:left="400"/>
        <w:jc w:val="left"/>
        <w:rPr>
          <w:rFonts w:ascii="宋体" w:hAnsi="宋体" w:eastAsia="宋体" w:cs="宋体"/>
          <w:kern w:val="0"/>
          <w:sz w:val="24"/>
          <w:lang w:bidi="ar"/>
        </w:rPr>
      </w:pPr>
      <w:r>
        <w:rPr>
          <w:rFonts w:ascii="宋体" w:hAnsi="宋体" w:eastAsia="宋体" w:cs="宋体"/>
          <w:kern w:val="0"/>
          <w:sz w:val="24"/>
          <w:lang w:bidi="ar"/>
        </w:rPr>
        <w:t>3.已经纳入政府采购管理的集中采购项目和自行采购项目（该类项目遵照政府采购有关法律法规和规章的规定进行信息公告）。</w:t>
      </w:r>
    </w:p>
    <w:p>
      <w:pPr>
        <w:widowControl/>
        <w:spacing w:line="460" w:lineRule="exact"/>
        <w:ind w:left="400"/>
        <w:jc w:val="left"/>
      </w:pPr>
      <w:r>
        <w:rPr>
          <w:rFonts w:ascii="宋体" w:hAnsi="宋体" w:eastAsia="宋体" w:cs="宋体"/>
          <w:kern w:val="0"/>
          <w:sz w:val="24"/>
          <w:lang w:bidi="ar"/>
        </w:rPr>
        <w:t xml:space="preserve">二、对公告内容如有疑问或异议，采购单位负责受理并解答。 </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172A27"/>
    <w:rsid w:val="0023351A"/>
    <w:rsid w:val="00336943"/>
    <w:rsid w:val="0035581A"/>
    <w:rsid w:val="003E15C5"/>
    <w:rsid w:val="00406A3D"/>
    <w:rsid w:val="005158F7"/>
    <w:rsid w:val="0066490B"/>
    <w:rsid w:val="007402D1"/>
    <w:rsid w:val="00830768"/>
    <w:rsid w:val="008961B8"/>
    <w:rsid w:val="008B36C1"/>
    <w:rsid w:val="009A2699"/>
    <w:rsid w:val="009F2629"/>
    <w:rsid w:val="00A9452D"/>
    <w:rsid w:val="00B3126F"/>
    <w:rsid w:val="00C51665"/>
    <w:rsid w:val="00C65770"/>
    <w:rsid w:val="00CB72E6"/>
    <w:rsid w:val="00D169CE"/>
    <w:rsid w:val="00D2594F"/>
    <w:rsid w:val="00D47802"/>
    <w:rsid w:val="00E54AD1"/>
    <w:rsid w:val="00EA555D"/>
    <w:rsid w:val="00F87622"/>
    <w:rsid w:val="00F9104A"/>
    <w:rsid w:val="086C3106"/>
    <w:rsid w:val="09145391"/>
    <w:rsid w:val="0E4B38EF"/>
    <w:rsid w:val="10273974"/>
    <w:rsid w:val="15C31E2E"/>
    <w:rsid w:val="17727372"/>
    <w:rsid w:val="18ED422F"/>
    <w:rsid w:val="1AC37EFD"/>
    <w:rsid w:val="25A45D43"/>
    <w:rsid w:val="31701474"/>
    <w:rsid w:val="32F72511"/>
    <w:rsid w:val="331B48E2"/>
    <w:rsid w:val="357E573E"/>
    <w:rsid w:val="35BE66E1"/>
    <w:rsid w:val="38251B3D"/>
    <w:rsid w:val="392B5B2F"/>
    <w:rsid w:val="39B567E6"/>
    <w:rsid w:val="39FF430C"/>
    <w:rsid w:val="3BDF330A"/>
    <w:rsid w:val="3CB9151E"/>
    <w:rsid w:val="3EEFCA1F"/>
    <w:rsid w:val="4D1D1702"/>
    <w:rsid w:val="4E263888"/>
    <w:rsid w:val="507E7984"/>
    <w:rsid w:val="51EE1D5E"/>
    <w:rsid w:val="53FD28AF"/>
    <w:rsid w:val="56704D31"/>
    <w:rsid w:val="58D30FF4"/>
    <w:rsid w:val="5BBB4CF4"/>
    <w:rsid w:val="5F7F168E"/>
    <w:rsid w:val="5FC8573D"/>
    <w:rsid w:val="68E53471"/>
    <w:rsid w:val="6C406247"/>
    <w:rsid w:val="6FA712A1"/>
    <w:rsid w:val="718819E9"/>
    <w:rsid w:val="75FA2D3D"/>
    <w:rsid w:val="77FF3E5A"/>
    <w:rsid w:val="78161991"/>
    <w:rsid w:val="7AF7B2DB"/>
    <w:rsid w:val="7E8C432D"/>
    <w:rsid w:val="7E9F3490"/>
    <w:rsid w:val="7EEBEFF1"/>
    <w:rsid w:val="7F3E25F9"/>
    <w:rsid w:val="7FF60E65"/>
    <w:rsid w:val="7FFA293C"/>
    <w:rsid w:val="7FFEF643"/>
    <w:rsid w:val="BF8B2A73"/>
    <w:rsid w:val="BFD70F23"/>
    <w:rsid w:val="CEF9360C"/>
    <w:rsid w:val="DAEC83F5"/>
    <w:rsid w:val="DB7DC1E3"/>
    <w:rsid w:val="DCFE13E0"/>
    <w:rsid w:val="DD3F0203"/>
    <w:rsid w:val="EBDD0ABC"/>
    <w:rsid w:val="EDDA676B"/>
    <w:rsid w:val="F49B4DB9"/>
    <w:rsid w:val="F6A7170F"/>
    <w:rsid w:val="F6FAB9C4"/>
    <w:rsid w:val="F9DFD26F"/>
    <w:rsid w:val="FB0ED1A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cs="宋体"/>
      <w:sz w:val="28"/>
      <w:szCs w:val="28"/>
    </w:rPr>
  </w:style>
  <w:style w:type="paragraph" w:styleId="3">
    <w:name w:val="Balloon Text"/>
    <w:basedOn w:val="1"/>
    <w:link w:val="13"/>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800080"/>
      <w:sz w:val="20"/>
      <w:szCs w:val="20"/>
      <w:u w:val="single"/>
    </w:rPr>
  </w:style>
  <w:style w:type="character" w:styleId="10">
    <w:name w:val="Hyperlink"/>
    <w:basedOn w:val="8"/>
    <w:qFormat/>
    <w:uiPriority w:val="0"/>
    <w:rPr>
      <w:color w:val="0000FF"/>
      <w:sz w:val="20"/>
      <w:szCs w:val="20"/>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143</Words>
  <Characters>818</Characters>
  <Lines>6</Lines>
  <Paragraphs>1</Paragraphs>
  <TotalTime>5</TotalTime>
  <ScaleCrop>false</ScaleCrop>
  <LinksUpToDate>false</LinksUpToDate>
  <CharactersWithSpaces>960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2025-03-11T09:26:00Z</dcterms:created>
  <dc:creator>1</dc:creator>
  <cp:lastModifiedBy>廖玉泉</cp:lastModifiedBy>
  <cp:lastPrinted>2025-03-11T09:39:00Z</cp:lastPrinted>
  <dcterms:modified xsi:type="dcterms:W3CDTF">2025-03-13T10:14:34Z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1310529BA40FF8BE8AC68D67245119C8</vt:lpwstr>
  </property>
</Properties>
</file>