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8887D">
      <w:pPr>
        <w:pStyle w:val="3"/>
        <w:spacing w:line="360" w:lineRule="auto"/>
        <w:jc w:val="center"/>
        <w:rPr>
          <w:rFonts w:hint="eastAsia"/>
          <w:bCs w:val="0"/>
          <w:szCs w:val="28"/>
        </w:rPr>
      </w:pPr>
      <w:r>
        <w:rPr>
          <w:rFonts w:hint="eastAsia" w:ascii="宋体" w:hAnsi="宋体" w:cs="宋体"/>
          <w:b/>
          <w:bCs/>
          <w:kern w:val="0"/>
          <w:sz w:val="44"/>
          <w:szCs w:val="28"/>
          <w:lang w:val="en-US" w:eastAsia="zh-CN" w:bidi="ar-SA"/>
        </w:rPr>
        <w:t xml:space="preserve">  大湾区人文、社科评论定制资料服务采购的采购公告</w:t>
      </w:r>
    </w:p>
    <w:p w14:paraId="0E15434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DFB1E9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大湾区人文、社科评论定制资料服务采购</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（北京时间）前提交应答文件（报价）。</w:t>
      </w:r>
    </w:p>
    <w:p w14:paraId="5FA20C5E">
      <w:pPr>
        <w:adjustRightInd w:val="0"/>
        <w:snapToGrid w:val="0"/>
        <w:spacing w:line="360" w:lineRule="auto"/>
        <w:ind w:firstLine="420" w:firstLineChars="200"/>
        <w:jc w:val="left"/>
        <w:rPr>
          <w:rFonts w:ascii="宋体" w:hAnsi="宋体" w:cs="Arial Unicode MS"/>
          <w:snapToGrid w:val="0"/>
          <w:kern w:val="0"/>
          <w:szCs w:val="21"/>
        </w:rPr>
      </w:pPr>
    </w:p>
    <w:p w14:paraId="6A44EBA6">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2FA5DE5">
      <w:pPr>
        <w:pStyle w:val="2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SZZZ2025-TQC0014</w:t>
      </w:r>
    </w:p>
    <w:p w14:paraId="03C55FC1">
      <w:pPr>
        <w:pStyle w:val="2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大湾区人文、社科评论定制资料服务采购</w:t>
      </w:r>
    </w:p>
    <w:p w14:paraId="2260AB02">
      <w:pPr>
        <w:pStyle w:val="2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5FEF87B1">
      <w:pPr>
        <w:pStyle w:val="2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4、预算金额：人民币40万元</w:t>
      </w:r>
    </w:p>
    <w:p w14:paraId="2C9CBC49">
      <w:pPr>
        <w:pStyle w:val="2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5、最高限价：人民币40万元</w:t>
      </w:r>
    </w:p>
    <w:p w14:paraId="5301E3EC">
      <w:pPr>
        <w:pStyle w:val="2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9"/>
        <w:tblW w:w="8788"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708"/>
        <w:gridCol w:w="3261"/>
        <w:gridCol w:w="708"/>
        <w:gridCol w:w="709"/>
        <w:gridCol w:w="2552"/>
        <w:gridCol w:w="850"/>
      </w:tblGrid>
      <w:tr w14:paraId="04FDFFFE">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216288A">
            <w:pPr>
              <w:pStyle w:val="17"/>
              <w:spacing w:before="0" w:beforeAutospacing="0" w:after="0" w:afterAutospacing="0" w:line="360" w:lineRule="auto"/>
              <w:jc w:val="center"/>
              <w:rPr>
                <w:sz w:val="21"/>
              </w:rPr>
            </w:pPr>
            <w:r>
              <w:rPr>
                <w:rFonts w:hint="eastAsia"/>
                <w:sz w:val="21"/>
              </w:rPr>
              <w:t>序号</w:t>
            </w:r>
          </w:p>
        </w:tc>
        <w:tc>
          <w:tcPr>
            <w:tcW w:w="326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4D24F7F">
            <w:pPr>
              <w:pStyle w:val="17"/>
              <w:spacing w:line="360" w:lineRule="auto"/>
              <w:jc w:val="center"/>
              <w:rPr>
                <w:sz w:val="21"/>
              </w:rPr>
            </w:pPr>
            <w:r>
              <w:rPr>
                <w:sz w:val="21"/>
              </w:rPr>
              <w:t>标的名称</w:t>
            </w:r>
          </w:p>
        </w:tc>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E47C104">
            <w:pPr>
              <w:pStyle w:val="17"/>
              <w:spacing w:before="0" w:beforeAutospacing="0" w:after="0" w:afterAutospacing="0" w:line="360" w:lineRule="auto"/>
              <w:jc w:val="center"/>
              <w:rPr>
                <w:sz w:val="21"/>
              </w:rPr>
            </w:pPr>
            <w:r>
              <w:rPr>
                <w:sz w:val="21"/>
              </w:rPr>
              <w:t>数量</w:t>
            </w:r>
          </w:p>
        </w:tc>
        <w:tc>
          <w:tcPr>
            <w:tcW w:w="709"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25705E3">
            <w:pPr>
              <w:pStyle w:val="17"/>
              <w:spacing w:before="0" w:beforeAutospacing="0" w:after="0" w:afterAutospacing="0" w:line="360" w:lineRule="auto"/>
              <w:jc w:val="center"/>
              <w:rPr>
                <w:sz w:val="21"/>
              </w:rPr>
            </w:pPr>
            <w:r>
              <w:rPr>
                <w:sz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7ECC4D6">
            <w:pPr>
              <w:pStyle w:val="17"/>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4F12505">
            <w:pPr>
              <w:pStyle w:val="17"/>
              <w:spacing w:before="0" w:beforeAutospacing="0" w:after="0" w:afterAutospacing="0" w:line="360" w:lineRule="auto"/>
              <w:jc w:val="center"/>
              <w:rPr>
                <w:sz w:val="21"/>
              </w:rPr>
            </w:pPr>
            <w:r>
              <w:rPr>
                <w:sz w:val="21"/>
              </w:rPr>
              <w:t>备注</w:t>
            </w:r>
          </w:p>
        </w:tc>
      </w:tr>
      <w:tr w14:paraId="3F801CEE">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noWrap w:val="0"/>
            <w:vAlign w:val="center"/>
          </w:tcPr>
          <w:p w14:paraId="4C35F5FC">
            <w:pPr>
              <w:spacing w:line="360" w:lineRule="auto"/>
              <w:jc w:val="center"/>
              <w:rPr>
                <w:rFonts w:ascii="宋体" w:hAnsi="宋体" w:cs="Arial Unicode MS"/>
                <w:snapToGrid w:val="0"/>
                <w:kern w:val="0"/>
                <w:szCs w:val="18"/>
              </w:rPr>
            </w:pPr>
            <w:r>
              <w:rPr>
                <w:rFonts w:hint="eastAsia" w:ascii="宋体" w:hAnsi="宋体"/>
                <w:snapToGrid w:val="0"/>
              </w:rPr>
              <w:t>1</w:t>
            </w:r>
          </w:p>
        </w:tc>
        <w:tc>
          <w:tcPr>
            <w:tcW w:w="3261" w:type="dxa"/>
            <w:tcBorders>
              <w:top w:val="outset" w:color="AAAAAA" w:sz="6" w:space="0"/>
              <w:left w:val="outset" w:color="AAAAAA" w:sz="6" w:space="0"/>
              <w:bottom w:val="outset" w:color="AAAAAA" w:sz="6" w:space="0"/>
              <w:right w:val="outset" w:color="AAAAAA" w:sz="6" w:space="0"/>
            </w:tcBorders>
            <w:noWrap w:val="0"/>
            <w:vAlign w:val="center"/>
          </w:tcPr>
          <w:p w14:paraId="6476ED39">
            <w:pPr>
              <w:spacing w:line="360" w:lineRule="auto"/>
              <w:jc w:val="center"/>
              <w:rPr>
                <w:rFonts w:hint="eastAsia" w:ascii="宋体" w:hAnsi="宋体" w:eastAsia="宋体" w:cs="Arial Unicode MS"/>
                <w:snapToGrid w:val="0"/>
                <w:kern w:val="0"/>
                <w:szCs w:val="18"/>
                <w:lang w:eastAsia="zh-CN"/>
              </w:rPr>
            </w:pPr>
            <w:r>
              <w:rPr>
                <w:rFonts w:hint="eastAsia" w:ascii="宋体" w:hAnsi="宋体"/>
                <w:snapToGrid w:val="0"/>
                <w:lang w:eastAsia="zh-CN"/>
              </w:rPr>
              <w:t>大湾区人文、社科评论定制资料服务采购</w:t>
            </w:r>
          </w:p>
        </w:tc>
        <w:tc>
          <w:tcPr>
            <w:tcW w:w="708" w:type="dxa"/>
            <w:tcBorders>
              <w:top w:val="outset" w:color="AAAAAA" w:sz="6" w:space="0"/>
              <w:left w:val="outset" w:color="AAAAAA" w:sz="6" w:space="0"/>
              <w:bottom w:val="outset" w:color="AAAAAA" w:sz="6" w:space="0"/>
              <w:right w:val="outset" w:color="AAAAAA" w:sz="6" w:space="0"/>
            </w:tcBorders>
            <w:noWrap w:val="0"/>
            <w:vAlign w:val="center"/>
          </w:tcPr>
          <w:p w14:paraId="6EEA49DE">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709" w:type="dxa"/>
            <w:tcBorders>
              <w:top w:val="outset" w:color="AAAAAA" w:sz="6" w:space="0"/>
              <w:left w:val="outset" w:color="AAAAAA" w:sz="6" w:space="0"/>
              <w:bottom w:val="outset" w:color="AAAAAA" w:sz="6" w:space="0"/>
              <w:right w:val="outset" w:color="AAAAAA" w:sz="6" w:space="0"/>
            </w:tcBorders>
            <w:noWrap w:val="0"/>
            <w:vAlign w:val="center"/>
          </w:tcPr>
          <w:p w14:paraId="5FB1084D">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2552" w:type="dxa"/>
            <w:tcBorders>
              <w:top w:val="outset" w:color="AAAAAA" w:sz="6" w:space="0"/>
              <w:left w:val="outset" w:color="AAAAAA" w:sz="6" w:space="0"/>
              <w:bottom w:val="outset" w:color="AAAAAA" w:sz="6" w:space="0"/>
              <w:right w:val="outset" w:color="AAAAAA" w:sz="6" w:space="0"/>
            </w:tcBorders>
            <w:noWrap w:val="0"/>
            <w:vAlign w:val="center"/>
          </w:tcPr>
          <w:p w14:paraId="3A07CC8B">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850" w:type="dxa"/>
            <w:tcBorders>
              <w:top w:val="outset" w:color="AAAAAA" w:sz="6" w:space="0"/>
              <w:left w:val="outset" w:color="AAAAAA" w:sz="6" w:space="0"/>
              <w:bottom w:val="outset" w:color="AAAAAA" w:sz="6" w:space="0"/>
              <w:right w:val="outset" w:color="AAAAAA" w:sz="6" w:space="0"/>
            </w:tcBorders>
            <w:noWrap w:val="0"/>
            <w:vAlign w:val="center"/>
          </w:tcPr>
          <w:p w14:paraId="058CFF1C">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4A8E1AEB">
      <w:pPr>
        <w:pStyle w:val="25"/>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5FD80CDB">
      <w:pPr>
        <w:pStyle w:val="2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66997C3B">
      <w:pPr>
        <w:pStyle w:val="2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5C97A27">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F9F1003">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12628C9F">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28C110BA">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4C2641EE">
      <w:pPr>
        <w:pStyle w:val="2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（1）供应商须为采购单位推荐的供应商；</w:t>
      </w:r>
    </w:p>
    <w:p w14:paraId="142BEC5C">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38F0601A">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6353BAD3">
      <w:pPr>
        <w:pStyle w:val="2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2B5FFDCE">
      <w:pPr>
        <w:pStyle w:val="2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29998D3F">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684CFF9B">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2DCD4A3">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223FF7F7">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21AD940">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0550ED9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E2997D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53B126C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5419D452">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6AD660E6">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92D4EDB">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A4A5137">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992F311">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E83BE08">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6CF81890">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1720D90C">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1E6919AB">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0EA2E60">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35393625"/>
      <w:bookmarkStart w:id="1" w:name="_Toc28359084"/>
      <w:bookmarkStart w:id="2" w:name="_Toc28359007"/>
      <w:bookmarkStart w:id="3" w:name="_Toc35393794"/>
      <w:r>
        <w:rPr>
          <w:rFonts w:hint="eastAsia" w:ascii="宋体" w:hAnsi="宋体" w:eastAsia="宋体"/>
          <w:b/>
          <w:snapToGrid w:val="0"/>
          <w:color w:val="auto"/>
          <w:sz w:val="21"/>
          <w:szCs w:val="21"/>
        </w:rPr>
        <w:t>五、公告期限</w:t>
      </w:r>
      <w:bookmarkEnd w:id="0"/>
      <w:bookmarkEnd w:id="1"/>
      <w:bookmarkEnd w:id="2"/>
      <w:bookmarkEnd w:id="3"/>
    </w:p>
    <w:p w14:paraId="131AC18B">
      <w:pPr>
        <w:pStyle w:val="25"/>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6</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17</w:t>
      </w:r>
      <w:r>
        <w:rPr>
          <w:rFonts w:hint="eastAsia" w:ascii="宋体" w:hAnsi="宋体" w:eastAsia="宋体" w:cs="Times New Roman"/>
          <w:color w:val="auto"/>
          <w:kern w:val="2"/>
          <w:sz w:val="21"/>
          <w:szCs w:val="21"/>
        </w:rPr>
        <w:t>日至</w:t>
      </w: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6</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20</w:t>
      </w:r>
      <w:r>
        <w:rPr>
          <w:rFonts w:hint="eastAsia" w:ascii="宋体" w:hAnsi="宋体" w:eastAsia="宋体" w:cs="Times New Roman"/>
          <w:color w:val="auto"/>
          <w:kern w:val="2"/>
          <w:sz w:val="21"/>
          <w:szCs w:val="21"/>
        </w:rPr>
        <w:t>日</w:t>
      </w:r>
    </w:p>
    <w:p w14:paraId="5B35292E">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7435BE62">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795"/>
      <w:bookmarkStart w:id="5" w:name="_Toc35393626"/>
      <w:r>
        <w:rPr>
          <w:rFonts w:hint="eastAsia" w:ascii="宋体" w:hAnsi="宋体" w:eastAsia="宋体"/>
          <w:b/>
          <w:snapToGrid w:val="0"/>
          <w:color w:val="auto"/>
          <w:sz w:val="21"/>
          <w:szCs w:val="21"/>
        </w:rPr>
        <w:t>六、其他补充事宜</w:t>
      </w:r>
      <w:bookmarkEnd w:id="4"/>
      <w:bookmarkEnd w:id="5"/>
    </w:p>
    <w:p w14:paraId="56AE808D">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5529550">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0291A34">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E8BD3ED">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3BDFAF1">
      <w:pPr>
        <w:pStyle w:val="2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1EF6A2E">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35393796"/>
      <w:bookmarkStart w:id="8" w:name="_Toc28359085"/>
      <w:bookmarkStart w:id="9" w:name="_Toc35393627"/>
      <w:bookmarkStart w:id="10" w:name="_Toc28359008"/>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46BB5335">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AE1C714">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名称：深中国人民大学深圳研究院（社会科学高等研究院（深圳））</w:t>
      </w:r>
    </w:p>
    <w:p w14:paraId="514A8995">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地址：深圳市宝安区新安街道宝兴路88号星通大厦22层、23层</w:t>
      </w:r>
    </w:p>
    <w:p w14:paraId="1A3D0E78">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联系方式：赖女士  0755-27789965 </w:t>
      </w:r>
    </w:p>
    <w:p w14:paraId="271D28CF">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5950826">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2914CCF">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56C752E">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先生，0755-83026699</w:t>
      </w:r>
    </w:p>
    <w:p w14:paraId="2DE673B3">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5769563">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w:t>
      </w:r>
      <w:bookmarkStart w:id="11" w:name="_GoBack"/>
      <w:bookmarkEnd w:id="11"/>
    </w:p>
    <w:p w14:paraId="2D9AC636">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B9E313F">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3F6F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C25274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6</w:t>
      </w:r>
      <w:r>
        <w:rPr>
          <w:rFonts w:hint="eastAsia"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1F9304D"/>
    <w:rsid w:val="09EB52D6"/>
    <w:rsid w:val="0BC47CAF"/>
    <w:rsid w:val="1C671CF0"/>
    <w:rsid w:val="1DB77652"/>
    <w:rsid w:val="1EB624A3"/>
    <w:rsid w:val="1F3F45E1"/>
    <w:rsid w:val="1FDF11F1"/>
    <w:rsid w:val="23121900"/>
    <w:rsid w:val="23346AC5"/>
    <w:rsid w:val="2620489B"/>
    <w:rsid w:val="2E373DD9"/>
    <w:rsid w:val="3DA7411B"/>
    <w:rsid w:val="3DE418E4"/>
    <w:rsid w:val="4055648B"/>
    <w:rsid w:val="40B808E3"/>
    <w:rsid w:val="4B230784"/>
    <w:rsid w:val="4CDF1A2F"/>
    <w:rsid w:val="4D2E0903"/>
    <w:rsid w:val="502F27EE"/>
    <w:rsid w:val="54573D45"/>
    <w:rsid w:val="66961FB9"/>
    <w:rsid w:val="6BDC1503"/>
    <w:rsid w:val="79DE34B4"/>
    <w:rsid w:val="7A4821E3"/>
    <w:rsid w:val="7FAB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460" w:after="450" w:line="360" w:lineRule="auto"/>
      <w:jc w:val="center"/>
      <w:outlineLvl w:val="0"/>
    </w:pPr>
    <w:rPr>
      <w:rFonts w:eastAsiaTheme="minorEastAsia"/>
      <w:kern w:val="44"/>
      <w:sz w:val="44"/>
      <w:szCs w:val="28"/>
    </w:rPr>
  </w:style>
  <w:style w:type="paragraph" w:styleId="2">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next w:val="7"/>
    <w:qFormat/>
    <w:uiPriority w:val="0"/>
    <w:pPr>
      <w:ind w:firstLine="420" w:firstLineChars="200"/>
    </w:pPr>
  </w:style>
  <w:style w:type="paragraph" w:styleId="7">
    <w:name w:val="Body Text"/>
    <w:basedOn w:val="1"/>
    <w:next w:val="8"/>
    <w:qFormat/>
    <w:uiPriority w:val="0"/>
    <w:pPr>
      <w:spacing w:after="120"/>
    </w:pPr>
  </w:style>
  <w:style w:type="paragraph" w:styleId="8">
    <w:name w:val="Title"/>
    <w:basedOn w:val="1"/>
    <w:next w:val="1"/>
    <w:qFormat/>
    <w:uiPriority w:val="0"/>
    <w:pPr>
      <w:spacing w:before="240" w:after="60"/>
      <w:jc w:val="center"/>
      <w:outlineLvl w:val="0"/>
    </w:pPr>
    <w:rPr>
      <w:rFonts w:ascii="Arial" w:hAnsi="Arial" w:eastAsia="隶书"/>
      <w:b/>
      <w:bCs/>
      <w:sz w:val="32"/>
      <w:szCs w:val="32"/>
    </w:rPr>
  </w:style>
  <w:style w:type="paragraph" w:styleId="9">
    <w:name w:val="annotation text"/>
    <w:basedOn w:val="1"/>
    <w:link w:val="24"/>
    <w:autoRedefine/>
    <w:qFormat/>
    <w:uiPriority w:val="99"/>
    <w:pPr>
      <w:jc w:val="left"/>
    </w:pPr>
  </w:style>
  <w:style w:type="paragraph" w:styleId="10">
    <w:name w:val="Body Text Indent"/>
    <w:basedOn w:val="1"/>
    <w:next w:val="11"/>
    <w:qFormat/>
    <w:uiPriority w:val="0"/>
    <w:pPr>
      <w:ind w:firstLine="540"/>
    </w:pPr>
    <w:rPr>
      <w:sz w:val="28"/>
      <w:szCs w:val="20"/>
    </w:rPr>
  </w:style>
  <w:style w:type="paragraph" w:styleId="11">
    <w:name w:val="Body Text First Indent 2"/>
    <w:basedOn w:val="10"/>
    <w:qFormat/>
    <w:uiPriority w:val="0"/>
    <w:pPr>
      <w:spacing w:after="160" w:line="360" w:lineRule="auto"/>
      <w:ind w:firstLine="480" w:firstLineChars="200"/>
    </w:pPr>
    <w:rPr>
      <w:kern w:val="0"/>
      <w:sz w:val="24"/>
    </w:rPr>
  </w:style>
  <w:style w:type="paragraph" w:styleId="12">
    <w:name w:val="Plain Text"/>
    <w:basedOn w:val="1"/>
    <w:autoRedefine/>
    <w:qFormat/>
    <w:uiPriority w:val="0"/>
    <w:rPr>
      <w:rFonts w:ascii="宋体" w:hAnsi="Courier New"/>
      <w:szCs w:val="20"/>
    </w:rPr>
  </w:style>
  <w:style w:type="paragraph" w:styleId="13">
    <w:name w:val="Balloon Text"/>
    <w:basedOn w:val="1"/>
    <w:link w:val="26"/>
    <w:autoRedefine/>
    <w:semiHidden/>
    <w:unhideWhenUsed/>
    <w:qFormat/>
    <w:uiPriority w:val="99"/>
    <w:rPr>
      <w:sz w:val="18"/>
      <w:szCs w:val="18"/>
    </w:rPr>
  </w:style>
  <w:style w:type="paragraph" w:styleId="14">
    <w:name w:val="footer"/>
    <w:basedOn w:val="1"/>
    <w:link w:val="28"/>
    <w:autoRedefine/>
    <w:semiHidden/>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rPr>
      <w:sz w:val="28"/>
      <w:szCs w:val="20"/>
    </w:rPr>
  </w:style>
  <w:style w:type="paragraph" w:styleId="17">
    <w:name w:val="Normal (Web)"/>
    <w:basedOn w:val="1"/>
    <w:qFormat/>
    <w:uiPriority w:val="0"/>
    <w:pPr>
      <w:widowControl/>
      <w:spacing w:before="100" w:beforeAutospacing="1" w:after="100" w:afterAutospacing="1"/>
      <w:jc w:val="left"/>
    </w:pPr>
    <w:rPr>
      <w:kern w:val="0"/>
      <w:sz w:val="24"/>
    </w:rPr>
  </w:style>
  <w:style w:type="paragraph" w:styleId="18">
    <w:name w:val="annotation subject"/>
    <w:basedOn w:val="9"/>
    <w:next w:val="9"/>
    <w:link w:val="29"/>
    <w:autoRedefine/>
    <w:semiHidden/>
    <w:unhideWhenUsed/>
    <w:qFormat/>
    <w:uiPriority w:val="99"/>
    <w:rPr>
      <w:b/>
      <w:bCs/>
    </w:rPr>
  </w:style>
  <w:style w:type="character" w:styleId="21">
    <w:name w:val="Hyperlink"/>
    <w:qFormat/>
    <w:uiPriority w:val="0"/>
    <w:rPr>
      <w:color w:val="0000FF"/>
      <w:u w:val="single"/>
    </w:rPr>
  </w:style>
  <w:style w:type="character" w:styleId="22">
    <w:name w:val="annotation reference"/>
    <w:autoRedefine/>
    <w:qFormat/>
    <w:uiPriority w:val="99"/>
    <w:rPr>
      <w:sz w:val="21"/>
      <w:szCs w:val="21"/>
    </w:rPr>
  </w:style>
  <w:style w:type="paragraph" w:customStyle="1" w:styleId="23">
    <w:name w:val="表格文字"/>
    <w:basedOn w:val="1"/>
    <w:autoRedefine/>
    <w:qFormat/>
    <w:uiPriority w:val="0"/>
    <w:pPr>
      <w:spacing w:before="25" w:after="25"/>
      <w:jc w:val="left"/>
    </w:pPr>
    <w:rPr>
      <w:bCs/>
      <w:spacing w:val="10"/>
      <w:kern w:val="0"/>
      <w:sz w:val="24"/>
    </w:rPr>
  </w:style>
  <w:style w:type="character" w:customStyle="1" w:styleId="24">
    <w:name w:val="批注文字 Char"/>
    <w:basedOn w:val="20"/>
    <w:link w:val="9"/>
    <w:autoRedefine/>
    <w:qFormat/>
    <w:uiPriority w:val="99"/>
    <w:rPr>
      <w:rFonts w:ascii="Times New Roman" w:hAnsi="Times New Roman" w:eastAsia="宋体" w:cs="Times New Roman"/>
      <w:szCs w:val="24"/>
    </w:rPr>
  </w:style>
  <w:style w:type="paragraph" w:customStyle="1" w:styleId="2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6">
    <w:name w:val="批注框文本 Char"/>
    <w:basedOn w:val="20"/>
    <w:link w:val="13"/>
    <w:autoRedefine/>
    <w:semiHidden/>
    <w:qFormat/>
    <w:uiPriority w:val="99"/>
    <w:rPr>
      <w:rFonts w:ascii="Times New Roman" w:hAnsi="Times New Roman" w:eastAsia="宋体" w:cs="Times New Roman"/>
      <w:sz w:val="18"/>
      <w:szCs w:val="18"/>
    </w:rPr>
  </w:style>
  <w:style w:type="character" w:customStyle="1" w:styleId="27">
    <w:name w:val="页眉 Char"/>
    <w:basedOn w:val="20"/>
    <w:link w:val="15"/>
    <w:autoRedefine/>
    <w:semiHidden/>
    <w:qFormat/>
    <w:uiPriority w:val="99"/>
    <w:rPr>
      <w:rFonts w:ascii="Times New Roman" w:hAnsi="Times New Roman" w:eastAsia="宋体" w:cs="Times New Roman"/>
      <w:sz w:val="18"/>
      <w:szCs w:val="18"/>
    </w:rPr>
  </w:style>
  <w:style w:type="character" w:customStyle="1" w:styleId="28">
    <w:name w:val="页脚 Char"/>
    <w:basedOn w:val="20"/>
    <w:link w:val="14"/>
    <w:autoRedefine/>
    <w:semiHidden/>
    <w:qFormat/>
    <w:uiPriority w:val="99"/>
    <w:rPr>
      <w:rFonts w:ascii="Times New Roman" w:hAnsi="Times New Roman" w:eastAsia="宋体" w:cs="Times New Roman"/>
      <w:sz w:val="18"/>
      <w:szCs w:val="18"/>
    </w:rPr>
  </w:style>
  <w:style w:type="character" w:customStyle="1" w:styleId="29">
    <w:name w:val="批注主题 Char"/>
    <w:basedOn w:val="24"/>
    <w:link w:val="18"/>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1653</Words>
  <Characters>1834</Characters>
  <Lines>15</Lines>
  <Paragraphs>4</Paragraphs>
  <TotalTime>0</TotalTime>
  <ScaleCrop>false</ScaleCrop>
  <LinksUpToDate>false</LinksUpToDate>
  <CharactersWithSpaces>1845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2025-06-17T11:49:18Z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