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pPr>
    </w:p>
    <w:tbl>
      <w:tblPr>
        <w:tblStyle w:val="6"/>
        <w:tblW w:w="9645" w:type="dxa"/>
        <w:jc w:val="center"/>
        <w:tblCellSpacing w:w="7" w:type="dxa"/>
        <w:shd w:val="clear" w:color="auto" w:fill="000000"/>
        <w:tblLayout w:type="autofit"/>
        <w:tblCellMar>
          <w:top w:w="0" w:type="dxa"/>
          <w:left w:w="0" w:type="dxa"/>
          <w:bottom w:w="0" w:type="dxa"/>
          <w:right w:w="0" w:type="dxa"/>
        </w:tblCellMar>
      </w:tblPr>
      <w:tblGrid>
        <w:gridCol w:w="9645"/>
      </w:tblGrid>
      <w:tr>
        <w:tblPrEx>
          <w:shd w:val="clear" w:color="auto" w:fill="000000"/>
          <w:tblCellMar>
            <w:top w:w="0" w:type="dxa"/>
            <w:left w:w="0" w:type="dxa"/>
            <w:bottom w:w="0" w:type="dxa"/>
            <w:right w:w="0" w:type="dxa"/>
          </w:tblCellMar>
        </w:tblPrEx>
        <w:trPr>
          <w:trHeight w:val="9078" w:hRule="atLeast"/>
          <w:tblCellSpacing w:w="7" w:type="dxa"/>
          <w:jc w:val="center"/>
        </w:trPr>
        <w:tc>
          <w:tcPr>
            <w:tcW w:w="0" w:type="auto"/>
            <w:shd w:val="clear" w:color="auto" w:fill="FFFFFF"/>
          </w:tcPr>
          <w:tbl>
            <w:tblPr>
              <w:tblStyle w:val="6"/>
              <w:tblW w:w="4900" w:type="pct"/>
              <w:jc w:val="center"/>
              <w:tblCellSpacing w:w="0" w:type="dxa"/>
              <w:shd w:val="clear" w:color="auto" w:fill="FFFFFF"/>
              <w:tblLayout w:type="autofit"/>
              <w:tblCellMar>
                <w:top w:w="0" w:type="dxa"/>
                <w:left w:w="0" w:type="dxa"/>
                <w:bottom w:w="0" w:type="dxa"/>
                <w:right w:w="0" w:type="dxa"/>
              </w:tblCellMar>
            </w:tblPr>
            <w:tblGrid>
              <w:gridCol w:w="9425"/>
            </w:tblGrid>
            <w:tr>
              <w:tblPrEx>
                <w:tblCellMar>
                  <w:top w:w="0" w:type="dxa"/>
                  <w:left w:w="0" w:type="dxa"/>
                  <w:bottom w:w="0" w:type="dxa"/>
                  <w:right w:w="0" w:type="dxa"/>
                </w:tblCellMar>
              </w:tblPrEx>
              <w:trPr>
                <w:trHeight w:val="600" w:hRule="atLeast"/>
                <w:tblCellSpacing w:w="0" w:type="dxa"/>
                <w:jc w:val="center"/>
              </w:trPr>
              <w:tc>
                <w:tcPr>
                  <w:tcW w:w="0" w:type="auto"/>
                  <w:shd w:val="clear" w:color="auto" w:fill="FFFFFF"/>
                  <w:vAlign w:val="bottom"/>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sz w:val="20"/>
                      <w:szCs w:val="20"/>
                    </w:rPr>
                  </w:pPr>
                  <w:r>
                    <w:rPr>
                      <w:rFonts w:hint="eastAsia" w:ascii="黑体" w:hAnsi="黑体" w:eastAsia="黑体" w:cs="黑体"/>
                      <w:b/>
                      <w:bCs/>
                      <w:color w:val="0000FF"/>
                      <w:kern w:val="0"/>
                      <w:sz w:val="48"/>
                      <w:szCs w:val="48"/>
                      <w:lang w:eastAsia="zh-CN" w:bidi="ar"/>
                    </w:rPr>
                    <w:t>采购</w:t>
                  </w:r>
                  <w:r>
                    <w:rPr>
                      <w:rFonts w:hint="eastAsia" w:ascii="黑体" w:hAnsi="黑体" w:eastAsia="黑体" w:cs="黑体"/>
                      <w:b/>
                      <w:bCs/>
                      <w:color w:val="0000FF"/>
                      <w:kern w:val="0"/>
                      <w:sz w:val="48"/>
                      <w:szCs w:val="48"/>
                      <w:lang w:bidi="ar"/>
                    </w:rPr>
                    <w:t>项目信息公开</w:t>
                  </w: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bottom"/>
                </w:tcPr>
                <w:tbl>
                  <w:tblPr>
                    <w:tblStyle w:val="6"/>
                    <w:tblW w:w="5000" w:type="pct"/>
                    <w:jc w:val="center"/>
                    <w:tblCellSpacing w:w="0" w:type="dxa"/>
                    <w:tblLayout w:type="autofit"/>
                    <w:tblCellMar>
                      <w:top w:w="75" w:type="dxa"/>
                      <w:left w:w="75" w:type="dxa"/>
                      <w:bottom w:w="75" w:type="dxa"/>
                      <w:right w:w="75" w:type="dxa"/>
                    </w:tblCellMar>
                  </w:tblPr>
                  <w:tblGrid>
                    <w:gridCol w:w="9425"/>
                  </w:tblGrid>
                  <w:tr>
                    <w:tblPrEx>
                      <w:tblCellMar>
                        <w:top w:w="75" w:type="dxa"/>
                        <w:left w:w="75" w:type="dxa"/>
                        <w:bottom w:w="75" w:type="dxa"/>
                        <w:right w:w="75" w:type="dxa"/>
                      </w:tblCellMar>
                    </w:tblPrEx>
                    <w:trPr>
                      <w:tblCellSpacing w:w="0" w:type="dxa"/>
                      <w:jc w:val="center"/>
                    </w:trPr>
                    <w:tc>
                      <w:tcPr>
                        <w:tcW w:w="0" w:type="auto"/>
                        <w:shd w:val="clear" w:color="auto" w:fill="auto"/>
                        <w:vAlign w:val="center"/>
                      </w:tcPr>
                      <w:tbl>
                        <w:tblPr>
                          <w:tblStyle w:val="6"/>
                          <w:tblpPr w:leftFromText="180" w:rightFromText="180" w:vertAnchor="text" w:horzAnchor="page" w:tblpX="652" w:tblpY="514"/>
                          <w:tblOverlap w:val="never"/>
                          <w:tblW w:w="851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615"/>
                          <w:gridCol w:w="689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1081" w:hRule="atLeast"/>
                          </w:trPr>
                          <w:tc>
                            <w:tcPr>
                              <w:tcW w:w="0" w:type="auto"/>
                              <w:gridSpan w:val="2"/>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val="en-US" w:eastAsia="zh-CN" w:bidi="ar"/>
                                </w:rPr>
                                <w:t>根据深圳市大鹏新区发展和财政局关于做好自行采购信息化管理试点工作的通知要求，现将本项目有关情况向社会公开: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项目名称：</w:t>
                              </w:r>
                              <w:r>
                                <w:rPr>
                                  <w:rFonts w:hint="eastAsia" w:ascii="仿宋" w:hAnsi="仿宋" w:eastAsia="仿宋" w:cs="仿宋"/>
                                  <w:sz w:val="28"/>
                                  <w:szCs w:val="28"/>
                                  <w:lang w:val="en-US" w:eastAsia="zh-CN"/>
                                </w:rPr>
                                <w:t>石桥头居民小组监控采购项目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5" w:hRule="atLeast"/>
                          </w:trPr>
                          <w:tc>
                            <w:tcPr>
                              <w:tcW w:w="1578" w:type="dxa"/>
                              <w:vMerge w:val="restart"/>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 xml:space="preserve">实施购买前公开的信息 </w:t>
                              </w:r>
                            </w:p>
                          </w:tc>
                          <w:tc>
                            <w:tcPr>
                              <w:tcW w:w="6933" w:type="dxa"/>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服务标准和要求：1、需要供应商提供预算方案，需自行前往布新社区了解。</w:t>
                              </w:r>
                              <w:bookmarkStart w:id="0" w:name="_GoBack"/>
                              <w:bookmarkEnd w:id="0"/>
                            </w:p>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2、安装地点为布新社区辖区。</w:t>
                              </w:r>
                            </w:p>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 w:eastAsia="zh-CN" w:bidi="ar"/>
                                </w:rPr>
                              </w:pPr>
                              <w:r>
                                <w:rPr>
                                  <w:rFonts w:hint="eastAsia" w:ascii="CESI仿宋-GB2312" w:hAnsi="CESI仿宋-GB2312" w:eastAsia="CESI仿宋-GB2312" w:cs="CESI仿宋-GB2312"/>
                                  <w:kern w:val="0"/>
                                  <w:sz w:val="24"/>
                                  <w:szCs w:val="24"/>
                                  <w:lang w:val="en-US" w:eastAsia="zh-CN" w:bidi="ar"/>
                                </w:rPr>
                                <w:t>3、供应商设计制作的物品其名称、品种、型号、规格、质量等，均应符合国家、地方及行业有关规范及要求，并能满足采购人现场实际的要求。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0" w:hRule="atLeast"/>
                          </w:trPr>
                          <w:tc>
                            <w:tcPr>
                              <w:tcW w:w="1578" w:type="dxa"/>
                              <w:vMerge w:val="continue"/>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p>
                          </w:tc>
                          <w:tc>
                            <w:tcPr>
                              <w:tcW w:w="6933" w:type="dxa"/>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项目预算金额：¥</w:t>
                              </w:r>
                              <w:r>
                                <w:rPr>
                                  <w:rFonts w:hint="eastAsia" w:ascii="仿宋_GB2312" w:hAnsi="仿宋_GB2312" w:eastAsia="仿宋_GB2312" w:cs="仿宋_GB2312"/>
                                  <w:color w:val="auto"/>
                                  <w:sz w:val="28"/>
                                  <w:szCs w:val="28"/>
                                  <w:highlight w:val="none"/>
                                </w:rPr>
                                <w:t>196</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041</w:t>
                              </w:r>
                              <w:r>
                                <w:rPr>
                                  <w:rFonts w:hint="eastAsia" w:ascii="仿宋_GB2312" w:hAnsi="仿宋_GB2312" w:eastAsia="仿宋_GB2312" w:cs="仿宋_GB2312"/>
                                  <w:color w:val="auto"/>
                                  <w:sz w:val="28"/>
                                  <w:szCs w:val="28"/>
                                  <w:highlight w:val="none"/>
                                  <w:lang w:val="en-US" w:eastAsia="zh-CN"/>
                                </w:rPr>
                                <w:t>.00</w:t>
                              </w:r>
                              <w:r>
                                <w:rPr>
                                  <w:rFonts w:hint="eastAsia" w:ascii="CESI仿宋-GB2312" w:hAnsi="CESI仿宋-GB2312" w:eastAsia="CESI仿宋-GB2312" w:cs="CESI仿宋-GB2312"/>
                                  <w:kern w:val="0"/>
                                  <w:sz w:val="24"/>
                                  <w:szCs w:val="24"/>
                                  <w:lang w:val="en-US" w:eastAsia="zh-CN" w:bidi="ar"/>
                                </w:rPr>
                                <w:t>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09" w:hRule="atLeast"/>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eastAsia="zh-CN" w:bidi="ar"/>
                                </w:rPr>
                                <w:t>采购方式：</w:t>
                              </w:r>
                              <w:r>
                                <w:rPr>
                                  <w:rFonts w:hint="eastAsia" w:ascii="仿宋_GB2312" w:hAnsi="仿宋_GB2312" w:eastAsia="仿宋_GB2312" w:cs="仿宋_GB2312"/>
                                  <w:color w:val="auto"/>
                                  <w:sz w:val="28"/>
                                  <w:szCs w:val="28"/>
                                </w:rPr>
                                <w:t>询价采购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98" w:hRule="atLeast"/>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kern w:val="0"/>
                                  <w:sz w:val="24"/>
                                  <w:szCs w:val="24"/>
                                  <w:lang w:eastAsia="zh-CN" w:bidi="ar"/>
                                </w:rPr>
                              </w:pPr>
                              <w:r>
                                <w:rPr>
                                  <w:rFonts w:hint="eastAsia" w:ascii="CESI仿宋-GB2312" w:hAnsi="CESI仿宋-GB2312" w:eastAsia="CESI仿宋-GB2312" w:cs="CESI仿宋-GB2312"/>
                                  <w:kern w:val="0"/>
                                  <w:sz w:val="24"/>
                                  <w:szCs w:val="24"/>
                                  <w:lang w:eastAsia="zh-CN" w:bidi="ar"/>
                                </w:rPr>
                                <w:t>评审方法：</w:t>
                              </w:r>
                              <w:r>
                                <w:rPr>
                                  <w:rFonts w:hint="eastAsia" w:ascii="仿宋_GB2312" w:hAnsi="仿宋_GB2312" w:eastAsia="仿宋_GB2312" w:cs="仿宋_GB2312"/>
                                  <w:color w:val="auto"/>
                                  <w:sz w:val="28"/>
                                  <w:szCs w:val="28"/>
                                </w:rPr>
                                <w:t>最低价评价法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001" w:hRule="atLeast"/>
                          </w:trPr>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bidi="ar"/>
                                </w:rPr>
                                <w:t xml:space="preserve">经本单位确认，上述公告信息真实、合规。 </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color w:val="000000"/>
                                  <w:sz w:val="24"/>
                                  <w:szCs w:val="24"/>
                                  <w:lang w:eastAsia="zh-CN"/>
                                </w:rPr>
                              </w:pPr>
                              <w:r>
                                <w:rPr>
                                  <w:rFonts w:hint="eastAsia" w:ascii="CESI仿宋-GB2312" w:hAnsi="CESI仿宋-GB2312" w:eastAsia="CESI仿宋-GB2312" w:cs="CESI仿宋-GB2312"/>
                                  <w:sz w:val="24"/>
                                  <w:szCs w:val="24"/>
                                </w:rPr>
                                <w:t>单位名称：</w:t>
                              </w:r>
                              <w:r>
                                <w:rPr>
                                  <w:rFonts w:hint="eastAsia" w:ascii="仿宋_GB2312" w:hAnsi="仿宋" w:eastAsia="仿宋_GB2312" w:cs="仿宋"/>
                                  <w:color w:val="auto"/>
                                  <w:kern w:val="2"/>
                                  <w:sz w:val="28"/>
                                  <w:szCs w:val="28"/>
                                  <w:u w:val="none"/>
                                </w:rPr>
                                <w:t>大鹏新区</w:t>
                              </w:r>
                              <w:r>
                                <w:rPr>
                                  <w:rFonts w:hint="eastAsia" w:ascii="仿宋_GB2312" w:hAnsi="仿宋" w:eastAsia="仿宋_GB2312" w:cs="仿宋"/>
                                  <w:color w:val="auto"/>
                                  <w:kern w:val="2"/>
                                  <w:sz w:val="28"/>
                                  <w:szCs w:val="28"/>
                                  <w:u w:val="none"/>
                                  <w:lang w:eastAsia="zh-CN"/>
                                </w:rPr>
                                <w:t>大鹏办事处</w:t>
                              </w:r>
                              <w:r>
                                <w:rPr>
                                  <w:rFonts w:hint="eastAsia" w:ascii="仿宋_GB2312" w:hAnsi="仿宋" w:eastAsia="仿宋_GB2312" w:cs="仿宋"/>
                                  <w:color w:val="auto"/>
                                  <w:kern w:val="2"/>
                                  <w:sz w:val="28"/>
                                  <w:szCs w:val="28"/>
                                  <w:u w:val="none"/>
                                </w:rPr>
                                <w:t>布新社区工作站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地址：</w:t>
                              </w:r>
                              <w:r>
                                <w:rPr>
                                  <w:rFonts w:hint="eastAsia" w:ascii="仿宋_GB2312" w:hAnsi="仿宋" w:eastAsia="仿宋_GB2312" w:cs="仿宋"/>
                                  <w:color w:val="auto"/>
                                  <w:kern w:val="2"/>
                                  <w:sz w:val="28"/>
                                  <w:szCs w:val="28"/>
                                  <w:u w:val="none"/>
                                </w:rPr>
                                <w:t>大鹏新区</w:t>
                              </w:r>
                              <w:r>
                                <w:rPr>
                                  <w:rFonts w:hint="eastAsia" w:ascii="仿宋_GB2312" w:hAnsi="仿宋" w:eastAsia="仿宋_GB2312" w:cs="仿宋"/>
                                  <w:color w:val="auto"/>
                                  <w:kern w:val="2"/>
                                  <w:sz w:val="28"/>
                                  <w:szCs w:val="28"/>
                                  <w:u w:val="none"/>
                                  <w:lang w:eastAsia="zh-CN"/>
                                </w:rPr>
                                <w:t>大鹏办事处</w:t>
                              </w:r>
                              <w:r>
                                <w:rPr>
                                  <w:rFonts w:hint="eastAsia" w:ascii="仿宋_GB2312" w:hAnsi="仿宋" w:eastAsia="仿宋_GB2312" w:cs="仿宋"/>
                                  <w:color w:val="auto"/>
                                  <w:kern w:val="2"/>
                                  <w:sz w:val="28"/>
                                  <w:szCs w:val="28"/>
                                  <w:u w:val="none"/>
                                </w:rPr>
                                <w:t>布新</w:t>
                              </w:r>
                              <w:r>
                                <w:rPr>
                                  <w:rFonts w:hint="eastAsia" w:ascii="仿宋_GB2312" w:hAnsi="仿宋" w:eastAsia="仿宋_GB2312" w:cs="仿宋"/>
                                  <w:color w:val="auto"/>
                                  <w:kern w:val="2"/>
                                  <w:sz w:val="28"/>
                                  <w:szCs w:val="28"/>
                                  <w:u w:val="none"/>
                                  <w:lang w:eastAsia="zh-CN"/>
                                </w:rPr>
                                <w:t>路</w:t>
                              </w:r>
                              <w:r>
                                <w:rPr>
                                  <w:rFonts w:hint="eastAsia" w:ascii="仿宋_GB2312" w:hAnsi="仿宋" w:eastAsia="仿宋_GB2312" w:cs="仿宋"/>
                                  <w:color w:val="auto"/>
                                  <w:kern w:val="2"/>
                                  <w:sz w:val="28"/>
                                  <w:szCs w:val="28"/>
                                  <w:u w:val="none"/>
                                  <w:lang w:val="en-US" w:eastAsia="zh-CN"/>
                                </w:rPr>
                                <w:t>33号206室</w:t>
                              </w:r>
                              <w:r>
                                <w:rPr>
                                  <w:rFonts w:hint="eastAsia" w:ascii="CESI仿宋-GB2312" w:hAnsi="CESI仿宋-GB2312" w:eastAsia="CESI仿宋-GB2312" w:cs="CESI仿宋-GB2312"/>
                                  <w:sz w:val="24"/>
                                  <w:szCs w:val="24"/>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联系人：</w:t>
                              </w:r>
                              <w:r>
                                <w:rPr>
                                  <w:rFonts w:hint="eastAsia" w:ascii="CESI仿宋-GB2312" w:hAnsi="CESI仿宋-GB2312" w:eastAsia="CESI仿宋-GB2312" w:cs="CESI仿宋-GB2312"/>
                                  <w:sz w:val="24"/>
                                  <w:szCs w:val="24"/>
                                  <w:lang w:eastAsia="zh-CN"/>
                                </w:rPr>
                                <w:t>袁小姐</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联系电话：</w:t>
                              </w:r>
                              <w:r>
                                <w:rPr>
                                  <w:rFonts w:hint="eastAsia" w:ascii="CESI仿宋-GB2312" w:hAnsi="CESI仿宋-GB2312" w:eastAsia="CESI仿宋-GB2312" w:cs="CESI仿宋-GB2312"/>
                                  <w:sz w:val="24"/>
                                  <w:szCs w:val="24"/>
                                  <w:lang w:val="en-US" w:eastAsia="zh-CN"/>
                                </w:rPr>
                                <w:t>84305821</w:t>
                              </w:r>
                              <w:r>
                                <w:rPr>
                                  <w:rFonts w:hint="eastAsia" w:ascii="CESI仿宋-GB2312" w:hAnsi="CESI仿宋-GB2312" w:eastAsia="CESI仿宋-GB2312" w:cs="CESI仿宋-GB2312"/>
                                  <w:sz w:val="24"/>
                                  <w:szCs w:val="24"/>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eastAsia="zh-CN"/>
                                </w:rPr>
                                <w:t>公告期：</w:t>
                              </w:r>
                              <w:r>
                                <w:rPr>
                                  <w:rFonts w:hint="eastAsia" w:ascii="CESI仿宋-GB2312" w:hAnsi="CESI仿宋-GB2312" w:eastAsia="CESI仿宋-GB2312" w:cs="CESI仿宋-GB2312"/>
                                  <w:sz w:val="24"/>
                                  <w:szCs w:val="24"/>
                                </w:rPr>
                                <w:t>202</w:t>
                              </w: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 年</w:t>
                              </w:r>
                              <w:r>
                                <w:rPr>
                                  <w:rFonts w:hint="eastAsia" w:ascii="CESI仿宋-GB2312" w:hAnsi="CESI仿宋-GB2312" w:eastAsia="CESI仿宋-GB2312" w:cs="CESI仿宋-GB2312"/>
                                  <w:sz w:val="24"/>
                                  <w:szCs w:val="24"/>
                                  <w:lang w:val="en-US" w:eastAsia="zh-CN"/>
                                </w:rPr>
                                <w:t>6</w:t>
                              </w:r>
                              <w:r>
                                <w:rPr>
                                  <w:rFonts w:hint="eastAsia" w:ascii="CESI仿宋-GB2312" w:hAnsi="CESI仿宋-GB2312" w:eastAsia="CESI仿宋-GB2312" w:cs="CESI仿宋-GB2312"/>
                                  <w:sz w:val="24"/>
                                  <w:szCs w:val="24"/>
                                </w:rPr>
                                <w:t>月</w:t>
                              </w:r>
                              <w:r>
                                <w:rPr>
                                  <w:rFonts w:hint="eastAsia" w:ascii="CESI仿宋-GB2312" w:hAnsi="CESI仿宋-GB2312" w:eastAsia="CESI仿宋-GB2312" w:cs="CESI仿宋-GB2312"/>
                                  <w:sz w:val="24"/>
                                  <w:szCs w:val="24"/>
                                  <w:lang w:val="en-US" w:eastAsia="zh-CN"/>
                                </w:rPr>
                                <w:t>10</w:t>
                              </w:r>
                              <w:r>
                                <w:rPr>
                                  <w:rFonts w:hint="eastAsia" w:ascii="CESI仿宋-GB2312" w:hAnsi="CESI仿宋-GB2312" w:eastAsia="CESI仿宋-GB2312" w:cs="CESI仿宋-GB2312"/>
                                  <w:sz w:val="24"/>
                                  <w:szCs w:val="24"/>
                                </w:rPr>
                                <w:t>日</w:t>
                              </w:r>
                              <w:r>
                                <w:rPr>
                                  <w:rFonts w:hint="eastAsia" w:ascii="CESI仿宋-GB2312" w:hAnsi="CESI仿宋-GB2312" w:eastAsia="CESI仿宋-GB2312" w:cs="CESI仿宋-GB2312"/>
                                  <w:sz w:val="24"/>
                                  <w:szCs w:val="24"/>
                                  <w:lang w:val="en-US" w:eastAsia="zh-CN"/>
                                </w:rPr>
                                <w:t>-</w:t>
                              </w:r>
                              <w:r>
                                <w:rPr>
                                  <w:rFonts w:hint="eastAsia" w:ascii="CESI仿宋-GB2312" w:hAnsi="CESI仿宋-GB2312" w:eastAsia="CESI仿宋-GB2312" w:cs="CESI仿宋-GB2312"/>
                                  <w:sz w:val="24"/>
                                  <w:szCs w:val="24"/>
                                </w:rPr>
                                <w:t>202</w:t>
                              </w: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 年</w:t>
                              </w:r>
                              <w:r>
                                <w:rPr>
                                  <w:rFonts w:hint="eastAsia" w:ascii="CESI仿宋-GB2312" w:hAnsi="CESI仿宋-GB2312" w:eastAsia="CESI仿宋-GB2312" w:cs="CESI仿宋-GB2312"/>
                                  <w:sz w:val="24"/>
                                  <w:szCs w:val="24"/>
                                  <w:lang w:val="en-US" w:eastAsia="zh-CN"/>
                                </w:rPr>
                                <w:t>6</w:t>
                              </w:r>
                              <w:r>
                                <w:rPr>
                                  <w:rFonts w:hint="eastAsia" w:ascii="CESI仿宋-GB2312" w:hAnsi="CESI仿宋-GB2312" w:eastAsia="CESI仿宋-GB2312" w:cs="CESI仿宋-GB2312"/>
                                  <w:sz w:val="24"/>
                                  <w:szCs w:val="24"/>
                                </w:rPr>
                                <w:t>月</w:t>
                              </w:r>
                              <w:r>
                                <w:rPr>
                                  <w:rFonts w:hint="eastAsia" w:ascii="CESI仿宋-GB2312" w:hAnsi="CESI仿宋-GB2312" w:eastAsia="CESI仿宋-GB2312" w:cs="CESI仿宋-GB2312"/>
                                  <w:sz w:val="24"/>
                                  <w:szCs w:val="24"/>
                                  <w:lang w:val="en-US" w:eastAsia="zh-CN"/>
                                </w:rPr>
                                <w:t>15</w:t>
                              </w:r>
                              <w:r>
                                <w:rPr>
                                  <w:rFonts w:hint="eastAsia" w:ascii="CESI仿宋-GB2312" w:hAnsi="CESI仿宋-GB2312" w:eastAsia="CESI仿宋-GB2312" w:cs="CESI仿宋-GB2312"/>
                                  <w:sz w:val="24"/>
                                  <w:szCs w:val="24"/>
                                </w:rPr>
                                <w:t>日</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公告日期：202</w:t>
                              </w: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 年</w:t>
                              </w:r>
                              <w:r>
                                <w:rPr>
                                  <w:rFonts w:hint="eastAsia" w:ascii="CESI仿宋-GB2312" w:hAnsi="CESI仿宋-GB2312" w:eastAsia="CESI仿宋-GB2312" w:cs="CESI仿宋-GB2312"/>
                                  <w:sz w:val="24"/>
                                  <w:szCs w:val="24"/>
                                  <w:lang w:val="en-US" w:eastAsia="zh-CN"/>
                                </w:rPr>
                                <w:t>6</w:t>
                              </w:r>
                              <w:r>
                                <w:rPr>
                                  <w:rFonts w:hint="eastAsia" w:ascii="CESI仿宋-GB2312" w:hAnsi="CESI仿宋-GB2312" w:eastAsia="CESI仿宋-GB2312" w:cs="CESI仿宋-GB2312"/>
                                  <w:sz w:val="24"/>
                                  <w:szCs w:val="24"/>
                                </w:rPr>
                                <w:t>月</w:t>
                              </w:r>
                              <w:r>
                                <w:rPr>
                                  <w:rFonts w:hint="eastAsia" w:ascii="CESI仿宋-GB2312" w:hAnsi="CESI仿宋-GB2312" w:eastAsia="CESI仿宋-GB2312" w:cs="CESI仿宋-GB2312"/>
                                  <w:sz w:val="24"/>
                                  <w:szCs w:val="24"/>
                                  <w:lang w:val="en-US" w:eastAsia="zh-CN"/>
                                </w:rPr>
                                <w:t>10</w:t>
                              </w:r>
                              <w:r>
                                <w:rPr>
                                  <w:rFonts w:hint="eastAsia" w:ascii="CESI仿宋-GB2312" w:hAnsi="CESI仿宋-GB2312" w:eastAsia="CESI仿宋-GB2312" w:cs="CESI仿宋-GB2312"/>
                                  <w:sz w:val="24"/>
                                  <w:szCs w:val="24"/>
                                </w:rPr>
                                <w:t>日</w:t>
                              </w:r>
                            </w:p>
                          </w:tc>
                        </w:tr>
                      </w:tbl>
                      <w:p>
                        <w:pPr>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sz w:val="20"/>
                            <w:szCs w:val="20"/>
                          </w:rPr>
                        </w:pPr>
                      </w:p>
                    </w:tc>
                  </w:tr>
                </w:tbl>
                <w:p>
                  <w:pPr>
                    <w:keepNext w:val="0"/>
                    <w:keepLines w:val="0"/>
                    <w:pageBreakBefore w:val="0"/>
                    <w:kinsoku/>
                    <w:wordWrap/>
                    <w:overflowPunct/>
                    <w:topLinePunct w:val="0"/>
                    <w:autoSpaceDE/>
                    <w:autoSpaceDN/>
                    <w:bidi w:val="0"/>
                    <w:adjustRightInd/>
                    <w:snapToGrid/>
                    <w:spacing w:beforeAutospacing="0" w:afterAutospacing="0" w:line="460" w:lineRule="exact"/>
                    <w:jc w:val="center"/>
                    <w:textAlignment w:val="auto"/>
                    <w:rPr>
                      <w:sz w:val="20"/>
                      <w:szCs w:val="20"/>
                    </w:rPr>
                  </w:pPr>
                </w:p>
              </w:tc>
            </w:tr>
            <w:tr>
              <w:tblPrEx>
                <w:shd w:val="clear" w:color="auto" w:fill="FFFFFF"/>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p>
                  <w:pPr>
                    <w:keepNext w:val="0"/>
                    <w:keepLines w:val="0"/>
                    <w:pageBreakBefore w:val="0"/>
                    <w:widowControl/>
                    <w:pBdr>
                      <w:bottom w:val="dashed" w:color="000000" w:sz="4" w:space="0"/>
                    </w:pBdr>
                    <w:kinsoku/>
                    <w:wordWrap/>
                    <w:overflowPunct/>
                    <w:topLinePunct w:val="0"/>
                    <w:autoSpaceDE/>
                    <w:autoSpaceDN/>
                    <w:bidi w:val="0"/>
                    <w:adjustRightInd/>
                    <w:snapToGrid/>
                    <w:spacing w:beforeAutospacing="0" w:afterAutospacing="0" w:line="460" w:lineRule="exact"/>
                    <w:jc w:val="center"/>
                    <w:textAlignment w:val="auto"/>
                  </w:pPr>
                  <w:r>
                    <w:rPr>
                      <w:sz w:val="24"/>
                    </w:rPr>
                    <w:pict>
                      <v:rect id="_x0000_i1025" o:spt="1" style="height:1.5pt;width:464.6pt;" fillcolor="#A0A0A0" filled="t" stroked="f" coordsize="21600,21600" o:hr="t" o:hrstd="t" o:hrpct="980" o:hralign="center">
                        <v:path/>
                        <v:fill on="t" focussize="0,0"/>
                        <v:stroke on="f"/>
                        <v:imagedata o:title=""/>
                        <o:lock v:ext="edit"/>
                        <w10:wrap type="none"/>
                        <w10:anchorlock/>
                      </v:rect>
                    </w:pict>
                  </w:r>
                </w:p>
              </w:tc>
            </w:tr>
          </w:tbl>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vanish/>
                <w:sz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pPr>
          </w:p>
        </w:tc>
      </w:tr>
    </w:tbl>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备注：</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一、根据《深圳市大鹏新区政府购买服务负面清单（试行）》所列示的项目，在购买服务实施前，采购单位应在政府采购主管部门指定的网站公告项目名称、服务标准和要求、购买预算等内容，公告时间不少于5个工作日，但以下项目除外：</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1.《深圳市大鹏新区政府购买服务负面清单（试行）》所规定的项目；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2.涉及国家秘密或商业秘密的项目；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3.已经纳入政府采购管理的集中采购项目和自行采购项目（该类项目遵照政府采购有关法律法规和规章的规定进行信息公告）。</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pPr>
      <w:r>
        <w:rPr>
          <w:rFonts w:ascii="宋体" w:hAnsi="宋体" w:eastAsia="宋体" w:cs="宋体"/>
          <w:kern w:val="0"/>
          <w:sz w:val="24"/>
          <w:lang w:bidi="ar"/>
        </w:rPr>
        <w:t xml:space="preserve">二、对公告内容如有疑问或异议，采购单位负责受理并解答。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f9ee1980-cfd6-4ac4-9f5b-d6088b41065f"/>
  </w:docVars>
  <w:rsids>
    <w:rsidRoot w:val="00172A27"/>
    <w:rsid w:val="0013012E"/>
    <w:rsid w:val="003E15C5"/>
    <w:rsid w:val="005158F7"/>
    <w:rsid w:val="0066490B"/>
    <w:rsid w:val="007402D1"/>
    <w:rsid w:val="00830768"/>
    <w:rsid w:val="009A2699"/>
    <w:rsid w:val="009F2629"/>
    <w:rsid w:val="00A9452D"/>
    <w:rsid w:val="00B3126F"/>
    <w:rsid w:val="00C51665"/>
    <w:rsid w:val="00D169CE"/>
    <w:rsid w:val="00D2594F"/>
    <w:rsid w:val="00D47802"/>
    <w:rsid w:val="00EA555D"/>
    <w:rsid w:val="00F87622"/>
    <w:rsid w:val="086C3106"/>
    <w:rsid w:val="09145391"/>
    <w:rsid w:val="0E4B38EF"/>
    <w:rsid w:val="10273974"/>
    <w:rsid w:val="15C31E2E"/>
    <w:rsid w:val="17727372"/>
    <w:rsid w:val="18ED422F"/>
    <w:rsid w:val="1AC37EFD"/>
    <w:rsid w:val="1F1C0195"/>
    <w:rsid w:val="25A45D43"/>
    <w:rsid w:val="31701474"/>
    <w:rsid w:val="32F72511"/>
    <w:rsid w:val="331B48E2"/>
    <w:rsid w:val="357E573E"/>
    <w:rsid w:val="35BE66E1"/>
    <w:rsid w:val="38251B3D"/>
    <w:rsid w:val="392B5B2F"/>
    <w:rsid w:val="39B567E6"/>
    <w:rsid w:val="39FF430C"/>
    <w:rsid w:val="3BDF330A"/>
    <w:rsid w:val="3EEFCA1F"/>
    <w:rsid w:val="4D1D1702"/>
    <w:rsid w:val="4E263888"/>
    <w:rsid w:val="507E7984"/>
    <w:rsid w:val="51EE1D5E"/>
    <w:rsid w:val="53FD28AF"/>
    <w:rsid w:val="56704D31"/>
    <w:rsid w:val="58D30FF4"/>
    <w:rsid w:val="5BBB4CF4"/>
    <w:rsid w:val="5F7F168E"/>
    <w:rsid w:val="5FC8573D"/>
    <w:rsid w:val="65831B4C"/>
    <w:rsid w:val="68E53471"/>
    <w:rsid w:val="6C406247"/>
    <w:rsid w:val="6FA712A1"/>
    <w:rsid w:val="718819E9"/>
    <w:rsid w:val="75FA2D3D"/>
    <w:rsid w:val="77FF3E5A"/>
    <w:rsid w:val="78161991"/>
    <w:rsid w:val="7AF7B2DB"/>
    <w:rsid w:val="7AFF1D93"/>
    <w:rsid w:val="7E8C432D"/>
    <w:rsid w:val="7EEBEFF1"/>
    <w:rsid w:val="7F3E25F9"/>
    <w:rsid w:val="7FF60E65"/>
    <w:rsid w:val="7FFA293C"/>
    <w:rsid w:val="7FFEF643"/>
    <w:rsid w:val="BF8B2A73"/>
    <w:rsid w:val="BFD70F23"/>
    <w:rsid w:val="CEF9360C"/>
    <w:rsid w:val="DAEC83F5"/>
    <w:rsid w:val="DB7DC1E3"/>
    <w:rsid w:val="DCFE13E0"/>
    <w:rsid w:val="DD3F0203"/>
    <w:rsid w:val="EBDD0ABC"/>
    <w:rsid w:val="EDDA676B"/>
    <w:rsid w:val="F49B4DB9"/>
    <w:rsid w:val="F6A7170F"/>
    <w:rsid w:val="F6FAB9C4"/>
    <w:rsid w:val="F9DFD26F"/>
    <w:rsid w:val="FBAF3214"/>
    <w:rsid w:val="FD766683"/>
    <w:rsid w:val="FFF752E5"/>
    <w:rsid w:val="FFFF8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cs="宋体"/>
      <w:sz w:val="28"/>
      <w:szCs w:val="2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800080"/>
      <w:sz w:val="20"/>
      <w:szCs w:val="20"/>
      <w:u w:val="single"/>
    </w:rPr>
  </w:style>
  <w:style w:type="character" w:styleId="9">
    <w:name w:val="Hyperlink"/>
    <w:basedOn w:val="7"/>
    <w:qFormat/>
    <w:uiPriority w:val="0"/>
    <w:rPr>
      <w:color w:val="0000FF"/>
      <w:sz w:val="20"/>
      <w:szCs w:val="20"/>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558</Words>
  <Characters>584</Characters>
  <Lines>26</Lines>
  <Paragraphs>34</Paragraphs>
  <TotalTime>0</TotalTime>
  <ScaleCrop>false</ScaleCrop>
  <LinksUpToDate>false</LinksUpToDate>
  <CharactersWithSpaces>633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2022-04-05T01:02:00Z</dcterms:created>
  <dc:creator>1</dc:creator>
  <cp:lastModifiedBy>廖玉泉</cp:lastModifiedBy>
  <dcterms:modified xsi:type="dcterms:W3CDTF">2025-06-10T15:51:47Z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1310529BA40FF8BE8AC68D67245119C8</vt:lpwstr>
  </property>
  <property fmtid="{D5CDD505-2E9C-101B-9397-08002B2CF9AE}" pid="4" name="KSOTemplateDocerSaveRecord">
    <vt:lpwstr>eyJoZGlkIjoiMzU1NWYyMTU0YTY5NzQwYmIyZWM3OWE2MWZmYmI0NGIifQ==</vt:lpwstr>
  </property>
</Properties>
</file>