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ind w:right="1760"/>
        <w:rPr>
          <w:rFonts w:ascii="仿宋" w:hAnsi="仿宋" w:eastAsia="仿宋"/>
          <w:sz w:val="32"/>
          <w:szCs w:val="44"/>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contextualSpacing/>
        <w:jc w:val="center"/>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（202</w:t>
      </w:r>
      <w:r>
        <w:rPr>
          <w:rFonts w:hint="eastAsia" w:ascii="宋体" w:hAnsi="宋体" w:eastAsia="宋体"/>
          <w:color w:val="auto"/>
          <w:szCs w:val="21"/>
          <w:highlight w:val="none"/>
          <w:shd w:val="clear" w:color="auto" w:fill="auto"/>
          <w:lang w:val="en-US" w:eastAsia="zh-CN"/>
        </w:rPr>
        <w:t>5</w:t>
      </w:r>
      <w:r>
        <w:rPr>
          <w:rFonts w:hint="eastAsia" w:ascii="宋体" w:hAnsi="宋体" w:eastAsia="宋体"/>
          <w:color w:val="auto"/>
          <w:szCs w:val="21"/>
          <w:highlight w:val="none"/>
          <w:shd w:val="clear" w:color="auto" w:fill="auto"/>
        </w:rPr>
        <w:t>年范本）</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lang w:eastAsia="zh-CN"/>
        </w:rPr>
        <w:t>深燃大厦等物业2026年度防雷定期检测</w:t>
      </w:r>
      <w:r>
        <w:rPr>
          <w:rFonts w:hint="eastAsia" w:ascii="宋体" w:hAnsi="宋体" w:eastAsia="宋体" w:cs="仿宋_GB2312"/>
          <w:b/>
          <w:color w:val="0070C0"/>
          <w:sz w:val="28"/>
          <w:szCs w:val="28"/>
          <w:u w:val="single"/>
        </w:rPr>
        <w:t>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lang w:eastAsia="zh-CN"/>
        </w:rPr>
        <w:t>WW-26-011</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b/>
          <w:color w:val="0070C0"/>
          <w:sz w:val="28"/>
          <w:szCs w:val="28"/>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深圳市燃气集团股份有限公司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5</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2"/>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hint="default" w:ascii="宋体" w:hAnsi="宋体" w:eastAsia="宋体" w:cs="仿宋_GB2312"/>
          <w:color w:val="0070C0"/>
          <w:szCs w:val="21"/>
          <w:lang w:val="en-US" w:eastAsia="zh-CN"/>
        </w:rPr>
      </w:pPr>
      <w:r>
        <w:rPr>
          <w:rFonts w:hint="eastAsia" w:ascii="宋体" w:hAnsi="宋体" w:eastAsia="宋体" w:cs="仿宋_GB2312"/>
          <w:color w:val="0070C0"/>
          <w:szCs w:val="21"/>
        </w:rPr>
        <w:t xml:space="preserve">第一章 </w:t>
      </w:r>
      <w:r>
        <w:rPr>
          <w:rFonts w:hint="eastAsia" w:ascii="宋体" w:hAnsi="宋体" w:eastAsia="宋体" w:cs="仿宋_GB2312"/>
          <w:color w:val="0070C0"/>
          <w:szCs w:val="21"/>
          <w:lang w:val="en-US" w:eastAsia="zh-CN"/>
        </w:rPr>
        <w:t>采购公告</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pStyle w:val="2"/>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bookmarkStart w:id="9" w:name="_GoBack"/>
      <w:bookmarkEnd w:id="9"/>
    </w:p>
    <w:p>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pPr>
        <w:rPr>
          <w:rFonts w:hint="default" w:ascii="宋体" w:hAnsi="宋体" w:eastAsia="宋体"/>
          <w:szCs w:val="21"/>
          <w:lang w:val="en-US" w:eastAsia="zh-CN"/>
        </w:rPr>
      </w:pPr>
      <w:r>
        <w:rPr>
          <w:rFonts w:hint="eastAsia" w:ascii="宋体" w:hAnsi="宋体" w:eastAsia="宋体"/>
          <w:color w:val="0070C0"/>
          <w:szCs w:val="21"/>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70C0"/>
          <w:szCs w:val="21"/>
          <w:u w:val="single"/>
          <w:lang w:eastAsia="zh-CN"/>
        </w:rPr>
        <w:t>深燃大厦等物业2026年度防雷定期检测</w:t>
      </w:r>
      <w:r>
        <w:rPr>
          <w:rFonts w:hint="eastAsia" w:ascii="宋体" w:hAnsi="宋体" w:eastAsia="宋体"/>
          <w:color w:val="0070C0"/>
          <w:szCs w:val="21"/>
          <w:u w:val="single"/>
        </w:rPr>
        <w:t>项目</w:t>
      </w:r>
      <w:r>
        <w:rPr>
          <w:rFonts w:hint="eastAsia" w:ascii="宋体" w:hAnsi="宋体" w:eastAsia="宋体"/>
          <w:szCs w:val="21"/>
        </w:rPr>
        <w:t>（项目编号：</w:t>
      </w:r>
      <w:r>
        <w:rPr>
          <w:rFonts w:hint="eastAsia" w:ascii="宋体" w:hAnsi="宋体" w:eastAsia="宋体"/>
          <w:color w:val="0070C0"/>
          <w:szCs w:val="21"/>
          <w:u w:val="single"/>
          <w:lang w:val="en-US" w:eastAsia="zh-CN"/>
        </w:rPr>
        <w:t>WW-26-011</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olor w:val="0070C0"/>
          <w:szCs w:val="21"/>
          <w:u w:val="single"/>
        </w:rPr>
        <w:t>深圳市燃气集团股份有限公司，</w:t>
      </w:r>
      <w:r>
        <w:rPr>
          <w:rFonts w:hint="eastAsia" w:ascii="宋体" w:hAnsi="宋体" w:eastAsia="宋体"/>
          <w:szCs w:val="21"/>
        </w:rPr>
        <w:t>资金来源为</w:t>
      </w:r>
      <w:r>
        <w:rPr>
          <w:rFonts w:hint="eastAsia" w:ascii="宋体" w:hAnsi="宋体" w:eastAsia="宋体"/>
          <w:color w:val="0070C0"/>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"https://ygcg.szexgrp.com/）和本项目采购文件。" </w:instrText>
      </w:r>
      <w:r>
        <w:rPr>
          <w:rFonts w:hint="eastAsia" w:ascii="宋体" w:hAnsi="宋体" w:eastAsia="宋体"/>
          <w:color w:val="0070C0"/>
          <w:szCs w:val="21"/>
          <w:u w:val="single"/>
        </w:rPr>
        <w:fldChar w:fldCharType="separate"/>
      </w:r>
      <w:r>
        <w:rPr>
          <w:rStyle w:val="15"/>
          <w:rFonts w:hint="eastAsia" w:ascii="宋体" w:hAnsi="宋体" w:eastAsia="宋体"/>
          <w:color w:val="0070C0"/>
          <w:szCs w:val="21"/>
        </w:rPr>
        <w:t>https://ygcg.szexgrp.com/</w:t>
      </w:r>
      <w:r>
        <w:rPr>
          <w:rStyle w:val="15"/>
          <w:rFonts w:hint="eastAsia" w:ascii="宋体" w:hAnsi="宋体" w:eastAsia="宋体"/>
          <w:szCs w:val="21"/>
          <w:lang w:val="en-US" w:eastAsia="zh-CN"/>
        </w:rPr>
        <w:t>）和本项目采购文件。</w:t>
      </w:r>
      <w:r>
        <w:rPr>
          <w:rFonts w:hint="eastAsia" w:ascii="宋体" w:hAnsi="宋体" w:eastAsia="宋体"/>
          <w:color w:val="0070C0"/>
          <w:szCs w:val="21"/>
          <w:u w:val="single"/>
        </w:rPr>
        <w:fldChar w:fldCharType="end"/>
      </w:r>
    </w:p>
    <w:p>
      <w:pPr>
        <w:pStyle w:val="5"/>
        <w:rPr>
          <w:rFonts w:hint="eastAsia" w:ascii="宋体" w:hAnsi="宋体" w:eastAsia="宋体" w:cstheme="minorBidi"/>
          <w:color w:val="auto"/>
          <w:kern w:val="2"/>
          <w:sz w:val="21"/>
          <w:szCs w:val="21"/>
          <w:u w:val="none"/>
          <w:lang w:val="en-US" w:eastAsia="zh-CN"/>
        </w:rPr>
      </w:pPr>
      <w:r>
        <w:rPr>
          <w:rFonts w:hint="eastAsia" w:ascii="宋体" w:hAnsi="宋体" w:eastAsia="宋体" w:cstheme="minorBidi"/>
          <w:color w:val="auto"/>
          <w:kern w:val="2"/>
          <w:sz w:val="21"/>
          <w:szCs w:val="21"/>
          <w:u w:val="none"/>
          <w:lang w:val="en-US" w:eastAsia="zh-CN"/>
        </w:rPr>
        <w:t>深圳市深燃物业服务有限公司为深圳市燃气集团股份有限公司全资子公司，受深圳市燃气集团股份有限公司委托作为采购人开展本项目采购工作，采购范围详见第五章项目采购需求，具体业务事宜(含合同)以深圳市燃气集团股份有限公司为主体实施。</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0070C0"/>
          <w:sz w:val="21"/>
          <w:szCs w:val="21"/>
          <w:highlight w:val="none"/>
          <w:lang w:val="en-US" w:eastAsia="zh-CN"/>
        </w:rPr>
        <w:t>25个工作日。</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s="仿宋_GB2312"/>
          <w:color w:val="0070C0"/>
          <w:sz w:val="21"/>
          <w:szCs w:val="21"/>
          <w:highlight w:val="none"/>
          <w:lang w:val="en-US" w:eastAsia="zh-CN"/>
        </w:rPr>
        <w:t>深圳市内13处物业点。</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（1）深燃大厦：福田区梅坳一路268号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（2）深燃大厦员工食堂：福田区梅坳一路268号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（3）文体中心：福田区梅坳一路与梅坳八路交汇处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（4）学习与发展中心：福田区梅村路2号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（5）宝安大楼及附楼：宝安区兴业路8号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（6）龙岗大楼：龙岗区龙城街道回龙埔21号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（7）留仙洞办公楼：南山区沙河西路3013号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（8）景田综合楼：福田区莲花路2032号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（9）盐田综合楼：盐田区北山道312号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（10）松岗综合楼：宝安区松岗街道田园路与芙蓉路交汇处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（11）松岭物业点：福田区松岭路7号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（12）罗芳综合楼：罗湖区经二路11号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s="仿宋_GB2312"/>
          <w:color w:val="0070C0"/>
          <w:sz w:val="21"/>
          <w:szCs w:val="21"/>
          <w:highlight w:val="none"/>
          <w:lang w:val="en-US" w:eastAsia="zh-CN"/>
        </w:rPr>
        <w:t>（13）石岩天然气抢险服务中心：宝安区石岩街道办黄蜂岭工业大道与同辉路交汇处东南侧</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s="仿宋_GB2312"/>
          <w:color w:val="0070C0"/>
          <w:sz w:val="21"/>
          <w:szCs w:val="21"/>
          <w:highlight w:val="none"/>
          <w:lang w:val="en-US" w:eastAsia="zh-CN"/>
        </w:rPr>
        <w:t>7.15万元人民币（含税）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2.响应人具备如下资质：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u w:val="single"/>
          <w:lang w:val="en-US" w:eastAsia="zh-CN"/>
        </w:rPr>
        <w:t>雷电防护装置检测资质证甲级资质</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val="en-US" w:eastAsia="zh-CN"/>
        </w:rPr>
        <w:t>证明材料：提供气象部门颁发的有效期内的“雷电防护装置检测资质证甲级资质”，复印件加盖响应人单位公章。具体格式详见第六章响应文件格式 A3。</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none"/>
          <w:u w:val="none"/>
          <w:lang w:val="en-US" w:eastAsia="zh-CN"/>
        </w:rPr>
      </w:pPr>
      <w:bookmarkStart w:id="0" w:name="OLE_LINK11"/>
      <w:r>
        <w:rPr>
          <w:rFonts w:hint="eastAsia" w:ascii="宋体" w:hAnsi="宋体" w:eastAsia="宋体"/>
          <w:b/>
          <w:bCs/>
          <w:color w:val="0070C0"/>
          <w:szCs w:val="21"/>
          <w:highlight w:val="none"/>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0070C0"/>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3.近2年内（从采购公告发布之日起倒算）供应商有无正当理由放弃</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8.被列入</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1.上述证明材料要求，评审委员会可在截标评审当日查询复核，如与响应人递交信息不一致，以评审委员会最后评审结果为准。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采购文件获取地点：1.</w:t>
      </w:r>
      <w:r>
        <w:rPr>
          <w:rFonts w:hint="eastAsia" w:ascii="宋体" w:hAnsi="宋体" w:eastAsia="宋体" w:cs="仿宋_GB2312"/>
          <w:color w:val="auto"/>
          <w:sz w:val="21"/>
          <w:szCs w:val="21"/>
          <w:highlight w:val="none"/>
        </w:rPr>
        <w:t>以电子邮件形式发放</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供应商发邮件到指定账号</w:t>
      </w:r>
      <w:r>
        <w:rPr>
          <w:rFonts w:hint="eastAsia" w:ascii="宋体" w:hAnsi="宋体" w:eastAsia="宋体" w:cs="仿宋_GB2312"/>
          <w:color w:val="0070C0"/>
          <w:sz w:val="21"/>
          <w:szCs w:val="21"/>
          <w:highlight w:val="none"/>
        </w:rPr>
        <w:t>（账号：</w:t>
      </w:r>
      <w:r>
        <w:rPr>
          <w:rFonts w:hint="eastAsia" w:ascii="宋体" w:hAnsi="宋体" w:eastAsia="宋体"/>
          <w:color w:val="0070C0"/>
          <w:sz w:val="21"/>
          <w:szCs w:val="21"/>
          <w:highlight w:val="none"/>
          <w:u w:val="single"/>
        </w:rPr>
        <w:t>fangxf@szgas.com.cn</w:t>
      </w:r>
      <w:r>
        <w:rPr>
          <w:rFonts w:hint="eastAsia" w:ascii="宋体" w:hAnsi="宋体" w:eastAsia="宋体" w:cs="仿宋_GB2312"/>
          <w:color w:val="0070C0"/>
          <w:sz w:val="21"/>
          <w:szCs w:val="21"/>
          <w:highlight w:val="none"/>
        </w:rPr>
        <w:t>）</w:t>
      </w:r>
      <w:r>
        <w:rPr>
          <w:rFonts w:hint="eastAsia" w:ascii="宋体" w:hAnsi="宋体" w:eastAsia="宋体" w:cs="仿宋_GB2312"/>
          <w:color w:val="auto"/>
          <w:sz w:val="21"/>
          <w:szCs w:val="21"/>
          <w:highlight w:val="none"/>
          <w:lang w:val="en-US" w:eastAsia="zh-CN"/>
        </w:rPr>
        <w:t>申领采购文件；2.详见深圳阳光采购平台公告信息（附件）</w:t>
      </w:r>
      <w:r>
        <w:rPr>
          <w:rFonts w:hint="eastAsia" w:ascii="宋体" w:hAnsi="宋体" w:eastAsia="宋体" w:cs="仿宋_GB2312"/>
          <w:color w:val="auto"/>
          <w:sz w:val="21"/>
          <w:szCs w:val="21"/>
          <w:highlight w:val="none"/>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8" w:firstLineChars="200"/>
        <w:contextualSpacing/>
        <w:jc w:val="both"/>
        <w:textAlignment w:val="auto"/>
        <w:rPr>
          <w:rFonts w:hint="default" w:ascii="宋体" w:hAnsi="宋体" w:eastAsia="宋体"/>
          <w:b w:val="0"/>
          <w:bCs w:val="0"/>
          <w:szCs w:val="21"/>
          <w:highlight w:val="yellow"/>
          <w:u w:val="none"/>
          <w:lang w:val="en-US" w:eastAsia="zh-CN"/>
        </w:rPr>
      </w:pPr>
      <w:r>
        <w:rPr>
          <w:rFonts w:hint="eastAsia" w:ascii="宋体" w:hAnsi="宋体"/>
          <w:spacing w:val="2"/>
          <w:szCs w:val="21"/>
          <w:highlight w:val="none"/>
        </w:rPr>
        <w:t>响应人</w:t>
      </w:r>
      <w:r>
        <w:rPr>
          <w:rFonts w:hint="eastAsia" w:ascii="宋体" w:hAnsi="宋体"/>
          <w:spacing w:val="2"/>
          <w:szCs w:val="21"/>
          <w:highlight w:val="none"/>
          <w:lang w:val="en-US" w:eastAsia="zh-CN"/>
        </w:rPr>
        <w:t>可</w:t>
      </w:r>
      <w:r>
        <w:rPr>
          <w:rFonts w:hint="eastAsia" w:ascii="宋体" w:hAnsi="宋体" w:eastAsia="宋体"/>
          <w:szCs w:val="21"/>
          <w:highlight w:val="none"/>
        </w:rPr>
        <w:t>通过</w:t>
      </w:r>
      <w:r>
        <w:rPr>
          <w:rFonts w:hint="eastAsia" w:ascii="宋体" w:hAnsi="宋体" w:eastAsia="宋体"/>
          <w:color w:val="0070C0"/>
          <w:szCs w:val="21"/>
          <w:highlight w:val="none"/>
        </w:rPr>
        <w:t>现场递交</w:t>
      </w:r>
      <w:r>
        <w:rPr>
          <w:rFonts w:hint="eastAsia" w:ascii="宋体" w:hAnsi="宋体" w:eastAsia="宋体"/>
          <w:color w:val="0070C0"/>
          <w:szCs w:val="21"/>
          <w:highlight w:val="none"/>
          <w:lang w:val="en-US" w:eastAsia="zh-CN"/>
        </w:rPr>
        <w:t>或快递寄送</w:t>
      </w:r>
      <w:r>
        <w:rPr>
          <w:rFonts w:hint="eastAsia" w:ascii="宋体" w:hAnsi="宋体" w:eastAsia="宋体"/>
          <w:color w:val="0070C0"/>
          <w:szCs w:val="21"/>
          <w:highlight w:val="none"/>
        </w:rPr>
        <w:t>的方式递交响应文件</w:t>
      </w:r>
      <w:r>
        <w:rPr>
          <w:rFonts w:hint="eastAsia" w:ascii="宋体" w:hAnsi="宋体" w:eastAsia="宋体" w:cstheme="minorBidi"/>
          <w:color w:val="0070C0"/>
          <w:szCs w:val="21"/>
          <w:highlight w:val="none"/>
          <w:u w:val="none"/>
          <w:lang w:val="en-US" w:eastAsia="zh-CN"/>
        </w:rPr>
        <w:t>。</w:t>
      </w:r>
      <w:r>
        <w:rPr>
          <w:rFonts w:hint="eastAsia" w:ascii="宋体" w:hAnsi="宋体"/>
          <w:bCs/>
          <w:highlight w:val="none"/>
        </w:rPr>
        <w:t>如</w:t>
      </w:r>
      <w:r>
        <w:rPr>
          <w:rFonts w:hint="eastAsia" w:ascii="宋体" w:hAnsi="宋体"/>
          <w:spacing w:val="2"/>
          <w:szCs w:val="21"/>
          <w:highlight w:val="none"/>
          <w:lang w:val="en-US" w:eastAsia="zh-CN"/>
        </w:rPr>
        <w:t>响应</w:t>
      </w:r>
      <w:r>
        <w:rPr>
          <w:rFonts w:hint="eastAsia" w:ascii="宋体" w:hAnsi="宋体"/>
          <w:spacing w:val="2"/>
          <w:szCs w:val="21"/>
          <w:highlight w:val="none"/>
        </w:rPr>
        <w:t>人</w:t>
      </w:r>
      <w:r>
        <w:rPr>
          <w:rFonts w:hint="eastAsia" w:ascii="宋体" w:hAnsi="宋体"/>
          <w:bCs/>
          <w:highlight w:val="none"/>
        </w:rPr>
        <w:t>通过快递方式寄送纸质</w:t>
      </w:r>
      <w:r>
        <w:rPr>
          <w:rFonts w:hint="eastAsia" w:ascii="宋体" w:hAnsi="宋体"/>
          <w:bCs/>
          <w:highlight w:val="none"/>
          <w:lang w:val="en-US" w:eastAsia="zh-CN"/>
        </w:rPr>
        <w:t>响应</w:t>
      </w:r>
      <w:r>
        <w:rPr>
          <w:rFonts w:hint="eastAsia" w:ascii="宋体" w:hAnsi="宋体"/>
          <w:bCs/>
          <w:highlight w:val="none"/>
        </w:rPr>
        <w:t>文件务必</w:t>
      </w:r>
      <w:r>
        <w:rPr>
          <w:rFonts w:hint="eastAsia" w:ascii="宋体" w:hAnsi="宋体"/>
          <w:bCs/>
          <w:highlight w:val="none"/>
          <w:lang w:val="en-US" w:eastAsia="zh-CN"/>
        </w:rPr>
        <w:t>慎重选择快递单位且充分预留寄送时间</w:t>
      </w:r>
      <w:r>
        <w:rPr>
          <w:rFonts w:hint="eastAsia" w:ascii="宋体" w:hAnsi="宋体"/>
          <w:bCs/>
          <w:highlight w:val="none"/>
        </w:rPr>
        <w:t>，并在送达后与收件人确认。</w:t>
      </w:r>
      <w:r>
        <w:rPr>
          <w:rFonts w:hint="eastAsia" w:ascii="宋体" w:hAnsi="宋体"/>
          <w:bCs/>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none"/>
        </w:rPr>
        <w:t>邮寄地址即文件递交地址，收件人：</w:t>
      </w:r>
      <w:r>
        <w:rPr>
          <w:rFonts w:hint="eastAsia" w:ascii="宋体" w:hAnsi="宋体" w:eastAsia="宋体" w:cstheme="minorBidi"/>
          <w:color w:val="0070C0"/>
          <w:szCs w:val="21"/>
          <w:highlight w:val="none"/>
          <w:u w:val="none"/>
          <w:lang w:val="en-US" w:eastAsia="zh-CN"/>
        </w:rPr>
        <w:t>方旭峰，联系电话：13510505801</w:t>
      </w:r>
      <w:r>
        <w:rPr>
          <w:rFonts w:hint="eastAsia" w:ascii="宋体" w:hAnsi="宋体"/>
          <w:bCs/>
          <w:highlight w:val="none"/>
          <w:lang w:val="en-US" w:eastAsia="zh-CN"/>
        </w:rPr>
        <w:t>。</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eastAsia="宋体"/>
          <w:color w:val="0070C0"/>
          <w:szCs w:val="21"/>
          <w:u w:val="single"/>
          <w:lang w:val="en-US" w:eastAsia="zh-CN"/>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00FF"/>
          <w:szCs w:val="21"/>
          <w:lang w:val="en-US" w:eastAsia="zh-CN"/>
        </w:rPr>
      </w:pPr>
      <w:r>
        <w:rPr>
          <w:rFonts w:hint="eastAsia" w:ascii="宋体" w:hAnsi="宋体" w:eastAsia="宋体" w:cs="仿宋_GB2312"/>
          <w:szCs w:val="21"/>
        </w:rPr>
        <w:t>地  址：</w:t>
      </w:r>
      <w:r>
        <w:rPr>
          <w:rFonts w:hint="eastAsia" w:ascii="宋体" w:hAnsi="宋体" w:eastAsia="宋体"/>
          <w:color w:val="0070C0"/>
          <w:szCs w:val="21"/>
          <w:u w:val="single"/>
          <w:lang w:val="en-US" w:eastAsia="zh-CN"/>
        </w:rPr>
        <w:t>深圳市福田区梅坳一路268号深燃大厦</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lang w:eastAsia="zh-CN"/>
        </w:rPr>
      </w:pPr>
      <w:r>
        <w:rPr>
          <w:rFonts w:hint="eastAsia" w:ascii="宋体" w:hAnsi="宋体" w:eastAsia="宋体" w:cs="仿宋_GB2312"/>
          <w:szCs w:val="21"/>
        </w:rPr>
        <w:t>联系人：</w:t>
      </w:r>
      <w:r>
        <w:rPr>
          <w:rFonts w:hint="eastAsia" w:ascii="宋体" w:hAnsi="宋体" w:eastAsia="宋体"/>
          <w:color w:val="0070C0"/>
          <w:szCs w:val="21"/>
          <w:u w:val="single"/>
          <w:lang w:val="en-US" w:eastAsia="zh-CN"/>
        </w:rPr>
        <w:t>汤钧</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话：0755-</w:t>
      </w:r>
      <w:r>
        <w:rPr>
          <w:rFonts w:ascii="宋体" w:hAnsi="宋体" w:eastAsia="宋体"/>
          <w:color w:val="0070C0"/>
          <w:szCs w:val="21"/>
          <w:u w:val="single"/>
        </w:rPr>
        <w:t>8866</w:t>
      </w:r>
      <w:r>
        <w:rPr>
          <w:rFonts w:hint="eastAsia" w:ascii="宋体" w:hAnsi="宋体" w:eastAsia="宋体"/>
          <w:color w:val="0070C0"/>
          <w:szCs w:val="21"/>
          <w:u w:val="single"/>
          <w:lang w:val="en-US" w:eastAsia="zh-CN"/>
        </w:rPr>
        <w:t>0751</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邮  箱：</w:t>
      </w:r>
      <w:r>
        <w:rPr>
          <w:rFonts w:hint="eastAsia" w:ascii="宋体" w:hAnsi="宋体" w:eastAsia="宋体"/>
          <w:color w:val="0070C0"/>
          <w:szCs w:val="21"/>
          <w:u w:val="single"/>
        </w:rPr>
        <w:t>tangjun1@szgas.com.cn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single"/>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hint="eastAsia" w:ascii="宋体" w:hAnsi="宋体" w:eastAsia="宋体"/>
          <w:color w:val="0070C0"/>
          <w:szCs w:val="21"/>
          <w:u w:val="single"/>
        </w:rPr>
        <w:t>202</w:t>
      </w:r>
      <w:r>
        <w:rPr>
          <w:rFonts w:hint="eastAsia" w:ascii="宋体" w:hAnsi="宋体" w:eastAsia="宋体"/>
          <w:color w:val="0070C0"/>
          <w:szCs w:val="21"/>
          <w:u w:val="single"/>
          <w:lang w:val="en-US" w:eastAsia="zh-CN"/>
        </w:rPr>
        <w:t>6</w:t>
      </w:r>
      <w:r>
        <w:rPr>
          <w:rFonts w:hint="eastAsia" w:ascii="宋体" w:hAnsi="宋体" w:eastAsia="宋体"/>
          <w:color w:val="0070C0"/>
          <w:szCs w:val="21"/>
          <w:u w:val="single"/>
        </w:rPr>
        <w:t>年</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月x日</w:t>
      </w:r>
      <w:r>
        <w:rPr>
          <w:rFonts w:ascii="黑体" w:hAnsi="黑体" w:eastAsia="黑体" w:cs="Times New Roman"/>
          <w:b/>
          <w:sz w:val="28"/>
          <w:szCs w:val="28"/>
        </w:rPr>
        <w:br w:type="page"/>
      </w:r>
    </w:p>
    <w:p>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0"/>
        <w:gridCol w:w="6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6%</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0070C0"/>
                <w:szCs w:val="21"/>
                <w:highlight w:val="none"/>
                <w:u w:val="single"/>
                <w:lang w:val="en-US" w:eastAsia="zh-CN"/>
              </w:rPr>
              <w:t>零</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6"/>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val="en-US" w:eastAsia="zh-CN"/>
              </w:rPr>
              <w:t>无</w:t>
            </w:r>
          </w:p>
        </w:tc>
      </w:tr>
    </w:tbl>
    <w:p>
      <w:pPr>
        <w:rPr>
          <w:rFonts w:hint="eastAsia" w:ascii="宋体" w:hAnsi="宋体" w:eastAsia="宋体"/>
          <w:sz w:val="24"/>
          <w:szCs w:val="24"/>
        </w:rPr>
      </w:pPr>
    </w:p>
    <w:p>
      <w:pPr>
        <w:rPr>
          <w:rFonts w:hint="eastAsia" w:ascii="宋体" w:hAnsi="宋体" w:eastAsia="宋体"/>
          <w:sz w:val="24"/>
          <w:szCs w:val="24"/>
        </w:rPr>
      </w:pPr>
    </w:p>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2"/>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存在采购公告（采购邀请函）第四（四）款规定情形的，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3"/>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pPr>
        <w:pStyle w:val="6"/>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pPr>
        <w:pStyle w:val="6"/>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6"/>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3"/>
        <w:spacing w:before="0" w:after="0" w:line="360" w:lineRule="auto"/>
        <w:contextualSpacing/>
        <w:jc w:val="center"/>
        <w:rPr>
          <w:rFonts w:hint="default"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t>三、详细评审【询价（最低价）适用】</w:t>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1.评</w:t>
      </w:r>
      <w:r>
        <w:rPr>
          <w:rFonts w:hint="eastAsia" w:ascii="宋体" w:hAnsi="宋体" w:eastAsia="宋体"/>
          <w:sz w:val="21"/>
          <w:szCs w:val="21"/>
          <w:lang w:val="en-US" w:eastAsia="zh-CN"/>
        </w:rPr>
        <w:t>审</w:t>
      </w:r>
      <w:r>
        <w:rPr>
          <w:rFonts w:hint="eastAsia" w:ascii="宋体" w:hAnsi="宋体" w:eastAsia="宋体"/>
          <w:sz w:val="21"/>
          <w:szCs w:val="21"/>
        </w:rPr>
        <w:t>方法</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本项目采用</w:t>
      </w:r>
      <w:r>
        <w:rPr>
          <w:rFonts w:hint="eastAsia" w:ascii="宋体" w:hAnsi="宋体" w:eastAsia="宋体"/>
          <w:szCs w:val="21"/>
          <w:lang w:val="en-US" w:eastAsia="zh-CN"/>
        </w:rPr>
        <w:t>经评审的</w:t>
      </w:r>
      <w:r>
        <w:rPr>
          <w:rFonts w:hint="eastAsia" w:ascii="宋体" w:hAnsi="宋体" w:eastAsia="宋体"/>
          <w:szCs w:val="21"/>
        </w:rPr>
        <w:t>最低价法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按照经评审的</w:t>
      </w:r>
      <w:r>
        <w:rPr>
          <w:rFonts w:hint="eastAsia" w:ascii="宋体" w:hAnsi="宋体" w:eastAsia="宋体"/>
          <w:szCs w:val="21"/>
          <w:lang w:val="en-US" w:eastAsia="zh-CN"/>
        </w:rPr>
        <w:t>报</w:t>
      </w:r>
      <w:r>
        <w:rPr>
          <w:rFonts w:hint="eastAsia" w:ascii="宋体" w:hAnsi="宋体" w:eastAsia="宋体"/>
          <w:szCs w:val="21"/>
        </w:rPr>
        <w:t>价由低到高的顺序推荐</w:t>
      </w:r>
      <w:r>
        <w:rPr>
          <w:rFonts w:hint="eastAsia" w:ascii="宋体" w:hAnsi="宋体" w:eastAsia="宋体"/>
          <w:szCs w:val="21"/>
          <w:lang w:val="en-US" w:eastAsia="zh-CN"/>
        </w:rPr>
        <w:t>成交</w:t>
      </w:r>
      <w:r>
        <w:rPr>
          <w:rFonts w:hint="eastAsia" w:ascii="宋体" w:hAnsi="宋体" w:eastAsia="宋体"/>
          <w:szCs w:val="21"/>
        </w:rPr>
        <w:t>候选人，但报价低于其成本的除外。若出现报价相同且影响</w:t>
      </w:r>
      <w:r>
        <w:rPr>
          <w:rFonts w:hint="eastAsia" w:ascii="宋体" w:hAnsi="宋体" w:eastAsia="宋体"/>
          <w:szCs w:val="21"/>
          <w:lang w:val="en-US" w:eastAsia="zh-CN"/>
        </w:rPr>
        <w:t>成交</w:t>
      </w:r>
      <w:r>
        <w:rPr>
          <w:rFonts w:hint="eastAsia" w:ascii="宋体" w:hAnsi="宋体" w:eastAsia="宋体"/>
          <w:szCs w:val="21"/>
        </w:rPr>
        <w:t>候选人推荐的情形，则采用抽签的方法确定候选人的排序。</w:t>
      </w:r>
    </w:p>
    <w:p>
      <w:pPr>
        <w:adjustRightInd w:val="0"/>
        <w:snapToGrid w:val="0"/>
        <w:spacing w:line="360" w:lineRule="auto"/>
        <w:ind w:firstLine="420" w:firstLineChars="200"/>
      </w:pPr>
      <w:r>
        <w:rPr>
          <w:rFonts w:hint="eastAsia" w:ascii="宋体" w:hAnsi="宋体" w:eastAsia="宋体"/>
          <w:szCs w:val="21"/>
          <w:lang w:val="en-US" w:eastAsia="zh-CN"/>
        </w:rPr>
        <w:t>若</w:t>
      </w:r>
      <w:r>
        <w:rPr>
          <w:rFonts w:ascii="宋体" w:hAnsi="宋体" w:eastAsia="宋体"/>
          <w:szCs w:val="21"/>
        </w:rPr>
        <w:t>发现</w:t>
      </w:r>
      <w:r>
        <w:rPr>
          <w:rFonts w:hint="eastAsia" w:ascii="宋体" w:hAnsi="宋体" w:eastAsia="宋体"/>
          <w:szCs w:val="21"/>
          <w:lang w:val="en-US" w:eastAsia="zh-CN"/>
        </w:rPr>
        <w:t>响应</w:t>
      </w:r>
      <w:r>
        <w:rPr>
          <w:rFonts w:ascii="宋体" w:hAnsi="宋体" w:eastAsia="宋体"/>
          <w:szCs w:val="21"/>
        </w:rPr>
        <w:t>人的报价明显低于其他</w:t>
      </w:r>
      <w:r>
        <w:rPr>
          <w:rFonts w:hint="eastAsia" w:ascii="宋体" w:hAnsi="宋体" w:eastAsia="宋体"/>
          <w:szCs w:val="21"/>
          <w:lang w:val="en-US" w:eastAsia="zh-CN"/>
        </w:rPr>
        <w:t>响应</w:t>
      </w:r>
      <w:r>
        <w:rPr>
          <w:rFonts w:ascii="宋体" w:hAnsi="宋体" w:eastAsia="宋体"/>
          <w:szCs w:val="21"/>
        </w:rPr>
        <w:t>报价，使得其</w:t>
      </w:r>
      <w:r>
        <w:rPr>
          <w:rFonts w:hint="eastAsia" w:ascii="宋体" w:hAnsi="宋体" w:eastAsia="宋体"/>
          <w:szCs w:val="21"/>
          <w:lang w:val="en-US" w:eastAsia="zh-CN"/>
        </w:rPr>
        <w:t>响应</w:t>
      </w:r>
      <w:r>
        <w:rPr>
          <w:rFonts w:ascii="宋体" w:hAnsi="宋体" w:eastAsia="宋体"/>
          <w:szCs w:val="21"/>
        </w:rPr>
        <w:t>报价可能低于其成本的，应当要求该</w:t>
      </w:r>
      <w:r>
        <w:rPr>
          <w:rFonts w:hint="eastAsia" w:ascii="宋体" w:hAnsi="宋体" w:eastAsia="宋体"/>
          <w:szCs w:val="21"/>
          <w:lang w:val="en-US" w:eastAsia="zh-CN"/>
        </w:rPr>
        <w:t>响应</w:t>
      </w:r>
      <w:r>
        <w:rPr>
          <w:rFonts w:ascii="宋体" w:hAnsi="宋体" w:eastAsia="宋体"/>
          <w:szCs w:val="21"/>
        </w:rPr>
        <w:t>人作出书面说明并提供相应的证明材料。</w:t>
      </w:r>
      <w:r>
        <w:rPr>
          <w:rFonts w:hint="eastAsia" w:ascii="宋体" w:hAnsi="宋体" w:eastAsia="宋体"/>
          <w:szCs w:val="21"/>
          <w:lang w:val="en-US" w:eastAsia="zh-CN"/>
        </w:rPr>
        <w:t>响应</w:t>
      </w:r>
      <w:r>
        <w:rPr>
          <w:rFonts w:ascii="宋体" w:hAnsi="宋体" w:eastAsia="宋体"/>
          <w:szCs w:val="21"/>
        </w:rPr>
        <w:t>人不能合理说明或者不能提供相应证明材料的，</w:t>
      </w:r>
      <w:r>
        <w:rPr>
          <w:rFonts w:hint="eastAsia" w:ascii="宋体" w:hAnsi="宋体" w:eastAsia="宋体"/>
          <w:szCs w:val="21"/>
          <w:lang w:val="en-US" w:eastAsia="zh-CN"/>
        </w:rPr>
        <w:t>可以</w:t>
      </w:r>
      <w:r>
        <w:rPr>
          <w:rFonts w:ascii="宋体" w:hAnsi="宋体" w:eastAsia="宋体"/>
          <w:szCs w:val="21"/>
        </w:rPr>
        <w:t>认定该</w:t>
      </w:r>
      <w:r>
        <w:rPr>
          <w:rFonts w:hint="eastAsia" w:ascii="宋体" w:hAnsi="宋体" w:eastAsia="宋体"/>
          <w:szCs w:val="21"/>
          <w:lang w:val="en-US" w:eastAsia="zh-CN"/>
        </w:rPr>
        <w:t>响应</w:t>
      </w:r>
      <w:r>
        <w:rPr>
          <w:rFonts w:ascii="宋体" w:hAnsi="宋体" w:eastAsia="宋体"/>
          <w:szCs w:val="21"/>
        </w:rPr>
        <w:t>人以低于成本报价竞标，并否决其</w:t>
      </w:r>
      <w:r>
        <w:rPr>
          <w:rFonts w:hint="eastAsia" w:ascii="宋体" w:hAnsi="宋体" w:eastAsia="宋体"/>
          <w:szCs w:val="21"/>
          <w:lang w:val="en-US" w:eastAsia="zh-CN"/>
        </w:rPr>
        <w:t>响应文件</w:t>
      </w:r>
      <w:r>
        <w:rPr>
          <w:rFonts w:ascii="宋体" w:hAnsi="宋体" w:eastAsia="宋体"/>
          <w:szCs w:val="21"/>
        </w:rPr>
        <w:t>。</w:t>
      </w:r>
    </w:p>
    <w:p>
      <w:pPr>
        <w:pStyle w:val="3"/>
        <w:spacing w:before="0" w:after="0" w:line="360" w:lineRule="auto"/>
        <w:ind w:firstLine="422" w:firstLineChars="200"/>
        <w:contextualSpacing/>
        <w:rPr>
          <w:rFonts w:ascii="宋体" w:hAnsi="宋体" w:eastAsia="宋体"/>
          <w:szCs w:val="21"/>
        </w:rPr>
      </w:pPr>
      <w:r>
        <w:rPr>
          <w:rFonts w:ascii="宋体" w:hAnsi="宋体" w:eastAsia="宋体"/>
          <w:sz w:val="21"/>
          <w:szCs w:val="21"/>
        </w:rPr>
        <w:t>2.</w:t>
      </w:r>
      <w:r>
        <w:rPr>
          <w:rFonts w:hint="eastAsia" w:ascii="宋体" w:hAnsi="宋体" w:eastAsia="宋体"/>
          <w:sz w:val="21"/>
          <w:szCs w:val="21"/>
          <w:lang w:val="en-US" w:eastAsia="zh-CN"/>
        </w:rPr>
        <w:t>成交</w:t>
      </w:r>
      <w:r>
        <w:rPr>
          <w:rFonts w:ascii="宋体" w:hAnsi="宋体" w:eastAsia="宋体"/>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候选人，经评审的</w:t>
      </w:r>
      <w:r>
        <w:rPr>
          <w:rFonts w:hint="eastAsia" w:ascii="宋体" w:hAnsi="宋体" w:eastAsia="宋体"/>
          <w:color w:val="0070C0"/>
          <w:szCs w:val="21"/>
          <w:lang w:val="en-US" w:eastAsia="zh-CN"/>
        </w:rPr>
        <w:t>响应报</w:t>
      </w:r>
      <w:r>
        <w:rPr>
          <w:rFonts w:hint="eastAsia" w:ascii="宋体" w:hAnsi="宋体" w:eastAsia="宋体"/>
          <w:color w:val="0070C0"/>
          <w:szCs w:val="21"/>
        </w:rPr>
        <w:t>价最低的，推荐为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w:t>
      </w:r>
    </w:p>
    <w:p>
      <w:pPr>
        <w:pStyle w:val="5"/>
        <w:rPr>
          <w:rFonts w:hint="eastAsia" w:ascii="宋体" w:hAnsi="宋体" w:eastAsia="宋体" w:cs="宋体"/>
          <w:color w:val="000000"/>
          <w:kern w:val="0"/>
          <w:sz w:val="21"/>
          <w:szCs w:val="21"/>
          <w:lang w:val="en-US" w:eastAsia="zh-CN" w:bidi="ar-SA"/>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候选人，经评审的</w:t>
      </w:r>
      <w:r>
        <w:rPr>
          <w:rFonts w:hint="eastAsia" w:ascii="宋体" w:hAnsi="宋体" w:eastAsia="宋体"/>
          <w:color w:val="0070C0"/>
          <w:szCs w:val="21"/>
          <w:lang w:val="en-US" w:eastAsia="zh-CN"/>
        </w:rPr>
        <w:t>报</w:t>
      </w:r>
      <w:r>
        <w:rPr>
          <w:rFonts w:hint="eastAsia" w:ascii="宋体" w:hAnsi="宋体" w:eastAsia="宋体"/>
          <w:color w:val="0070C0"/>
          <w:szCs w:val="21"/>
        </w:rPr>
        <w:t>价由低到高的顺序，排名第一至第</w:t>
      </w:r>
      <w:r>
        <w:rPr>
          <w:rFonts w:hint="eastAsia" w:ascii="宋体" w:hAnsi="宋体" w:eastAsia="宋体"/>
          <w:color w:val="0070C0"/>
          <w:szCs w:val="21"/>
          <w:u w:val="single"/>
        </w:rPr>
        <w:t>N</w:t>
      </w:r>
      <w:r>
        <w:rPr>
          <w:rFonts w:hint="eastAsia" w:ascii="宋体" w:hAnsi="宋体" w:eastAsia="宋体"/>
          <w:color w:val="0070C0"/>
          <w:szCs w:val="21"/>
        </w:rPr>
        <w:t>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候选人，各</w:t>
      </w:r>
      <w:r>
        <w:rPr>
          <w:rFonts w:hint="eastAsia" w:ascii="宋体" w:hAnsi="宋体" w:eastAsia="宋体"/>
          <w:color w:val="0070C0"/>
          <w:szCs w:val="21"/>
          <w:lang w:val="en-US" w:eastAsia="zh-CN"/>
        </w:rPr>
        <w:t>成交</w:t>
      </w:r>
      <w:r>
        <w:rPr>
          <w:rFonts w:hint="eastAsia" w:ascii="宋体" w:hAnsi="宋体" w:eastAsia="宋体"/>
          <w:color w:val="0070C0"/>
          <w:szCs w:val="21"/>
        </w:rPr>
        <w:t>候选人份额计算原则按</w:t>
      </w:r>
      <w:r>
        <w:rPr>
          <w:rFonts w:hint="eastAsia" w:ascii="宋体" w:hAnsi="宋体" w:eastAsia="宋体"/>
          <w:color w:val="0070C0"/>
          <w:szCs w:val="21"/>
          <w:lang w:val="en-US" w:eastAsia="zh-CN"/>
        </w:rPr>
        <w:t>响应</w:t>
      </w:r>
      <w:r>
        <w:rPr>
          <w:rFonts w:hint="eastAsia" w:ascii="宋体" w:hAnsi="宋体" w:eastAsia="宋体"/>
          <w:color w:val="0070C0"/>
          <w:szCs w:val="21"/>
        </w:rPr>
        <w:t>人须知前附表规定确</w:t>
      </w:r>
      <w:r>
        <w:rPr>
          <w:rFonts w:hint="eastAsia" w:ascii="宋体" w:hAnsi="宋体" w:eastAsia="宋体"/>
          <w:color w:val="0070C0"/>
          <w:szCs w:val="21"/>
          <w:u w:val="none"/>
        </w:rPr>
        <w:t>定。</w:t>
      </w:r>
    </w:p>
    <w:p>
      <w:pPr>
        <w:pStyle w:val="3"/>
        <w:spacing w:before="0" w:after="0" w:line="360" w:lineRule="auto"/>
        <w:contextualSpacing/>
        <w:jc w:val="center"/>
        <w:rPr>
          <w:rFonts w:hint="default" w:ascii="宋体" w:hAnsi="宋体" w:eastAsia="宋体" w:cstheme="majorBidi"/>
          <w:b/>
          <w:bCs/>
          <w:kern w:val="2"/>
          <w:sz w:val="21"/>
          <w:szCs w:val="21"/>
          <w:lang w:val="en-US" w:eastAsia="zh-CN" w:bidi="ar-SA"/>
        </w:rPr>
      </w:pPr>
    </w:p>
    <w:p>
      <w:pPr>
        <w:rPr>
          <w:rFonts w:hint="default" w:ascii="宋体" w:hAnsi="宋体" w:eastAsia="宋体" w:cstheme="majorBidi"/>
          <w:b/>
          <w:bCs/>
          <w:kern w:val="2"/>
          <w:sz w:val="21"/>
          <w:szCs w:val="21"/>
          <w:lang w:val="en-US" w:eastAsia="zh-CN" w:bidi="ar-SA"/>
        </w:rPr>
      </w:pPr>
      <w:r>
        <w:rPr>
          <w:rFonts w:hint="default" w:ascii="宋体" w:hAnsi="宋体" w:eastAsia="宋体" w:cstheme="majorBidi"/>
          <w:b/>
          <w:bCs/>
          <w:kern w:val="2"/>
          <w:sz w:val="21"/>
          <w:szCs w:val="21"/>
          <w:lang w:val="en-US" w:eastAsia="zh-CN" w:bidi="ar-SA"/>
        </w:rPr>
        <w:br w:type="page"/>
      </w:r>
    </w:p>
    <w:p>
      <w:pPr>
        <w:pStyle w:val="3"/>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pStyle w:val="2"/>
        <w:spacing w:before="0" w:after="0" w:line="360" w:lineRule="auto"/>
        <w:contextualSpacing/>
        <w:jc w:val="center"/>
        <w:rPr>
          <w:rFonts w:hint="eastAsia" w:ascii="黑体" w:hAnsi="黑体" w:eastAsia="黑体"/>
          <w:color w:val="0070C0"/>
          <w:sz w:val="28"/>
          <w:szCs w:val="28"/>
        </w:rPr>
      </w:pPr>
    </w:p>
    <w:p>
      <w:pPr>
        <w:adjustRightInd w:val="0"/>
        <w:snapToGrid w:val="0"/>
        <w:ind w:firstLine="4480" w:firstLineChars="1400"/>
        <w:outlineLvl w:val="1"/>
        <w:rPr>
          <w:rFonts w:hint="eastAsia" w:ascii="仿宋" w:hAnsi="仿宋" w:eastAsia="仿宋"/>
          <w:sz w:val="32"/>
          <w:szCs w:val="32"/>
        </w:rPr>
      </w:pPr>
    </w:p>
    <w:p>
      <w:pPr>
        <w:adjustRightInd w:val="0"/>
        <w:snapToGrid w:val="0"/>
        <w:ind w:firstLine="4480" w:firstLineChars="1400"/>
        <w:outlineLvl w:val="1"/>
        <w:rPr>
          <w:rFonts w:hint="default" w:ascii="仿宋" w:hAnsi="仿宋" w:eastAsia="仿宋"/>
          <w:sz w:val="32"/>
          <w:szCs w:val="32"/>
          <w:lang w:val="en-US" w:eastAsia="zh-CN"/>
        </w:rPr>
      </w:pPr>
      <w:r>
        <w:rPr>
          <w:rFonts w:hint="eastAsia" w:ascii="仿宋" w:hAnsi="仿宋" w:eastAsia="仿宋"/>
          <w:sz w:val="32"/>
          <w:szCs w:val="32"/>
        </w:rPr>
        <w:t>甲方合同编号：</w:t>
      </w:r>
      <w:r>
        <w:rPr>
          <w:rFonts w:ascii="仿宋" w:hAnsi="仿宋" w:eastAsia="仿宋"/>
          <w:sz w:val="32"/>
          <w:szCs w:val="32"/>
        </w:rPr>
        <w:t>YG-0</w:t>
      </w:r>
      <w:r>
        <w:rPr>
          <w:rFonts w:hint="eastAsia" w:ascii="仿宋" w:hAnsi="仿宋" w:eastAsia="仿宋"/>
          <w:sz w:val="32"/>
          <w:szCs w:val="32"/>
          <w:lang w:val="en-US" w:eastAsia="zh-CN"/>
        </w:rPr>
        <w:t>26</w:t>
      </w:r>
      <w:r>
        <w:rPr>
          <w:rFonts w:ascii="仿宋" w:hAnsi="仿宋" w:eastAsia="仿宋"/>
          <w:sz w:val="32"/>
          <w:szCs w:val="32"/>
        </w:rPr>
        <w:t>-</w:t>
      </w:r>
      <w:r>
        <w:rPr>
          <w:rFonts w:hint="eastAsia" w:ascii="仿宋" w:hAnsi="仿宋" w:eastAsia="仿宋"/>
          <w:sz w:val="32"/>
          <w:szCs w:val="32"/>
        </w:rPr>
        <w:t>0</w:t>
      </w:r>
      <w:r>
        <w:rPr>
          <w:rFonts w:hint="eastAsia" w:ascii="仿宋" w:hAnsi="仿宋" w:eastAsia="仿宋"/>
          <w:sz w:val="32"/>
          <w:szCs w:val="32"/>
          <w:lang w:val="en-US" w:eastAsia="zh-CN"/>
        </w:rPr>
        <w:t>**</w:t>
      </w:r>
    </w:p>
    <w:p>
      <w:pPr>
        <w:widowControl/>
        <w:ind w:firstLine="4480" w:firstLineChars="1400"/>
        <w:rPr>
          <w:rFonts w:ascii="仿宋" w:hAnsi="仿宋" w:eastAsia="仿宋"/>
          <w:sz w:val="32"/>
          <w:szCs w:val="32"/>
        </w:rPr>
      </w:pPr>
      <w:r>
        <w:rPr>
          <w:rFonts w:hint="eastAsia" w:ascii="仿宋" w:hAnsi="仿宋" w:eastAsia="仿宋"/>
          <w:sz w:val="32"/>
          <w:szCs w:val="32"/>
        </w:rPr>
        <w:t>乙方合同编号：</w:t>
      </w:r>
    </w:p>
    <w:p>
      <w:pPr>
        <w:widowControl/>
        <w:jc w:val="center"/>
        <w:rPr>
          <w:rFonts w:ascii="Arial Unicode MS" w:eastAsia="Arial Unicode MS"/>
          <w:sz w:val="72"/>
          <w:szCs w:val="72"/>
        </w:rPr>
      </w:pPr>
    </w:p>
    <w:p>
      <w:pPr>
        <w:widowControl/>
        <w:jc w:val="center"/>
        <w:rPr>
          <w:rFonts w:hint="eastAsia" w:ascii="Arial Unicode MS" w:eastAsia="Arial Unicode MS"/>
          <w:sz w:val="72"/>
          <w:szCs w:val="72"/>
          <w:lang w:val="en-US" w:eastAsia="zh-CN"/>
        </w:rPr>
      </w:pPr>
    </w:p>
    <w:p>
      <w:pPr>
        <w:widowControl/>
        <w:jc w:val="center"/>
        <w:rPr>
          <w:rFonts w:hint="eastAsia" w:ascii="黑体" w:hAnsi="宋体" w:eastAsia="黑体" w:cs="Times New Roman"/>
          <w:sz w:val="52"/>
          <w:szCs w:val="52"/>
          <w:lang w:eastAsia="zh-CN"/>
        </w:rPr>
      </w:pPr>
      <w:r>
        <w:rPr>
          <w:rFonts w:hint="eastAsia" w:ascii="黑体" w:hAnsi="宋体" w:eastAsia="黑体" w:cs="Times New Roman"/>
          <w:sz w:val="52"/>
          <w:szCs w:val="52"/>
          <w:lang w:eastAsia="zh-CN"/>
        </w:rPr>
        <w:t>深圳燃气外围物业202</w:t>
      </w:r>
      <w:r>
        <w:rPr>
          <w:rFonts w:hint="eastAsia" w:ascii="黑体" w:hAnsi="宋体" w:eastAsia="黑体" w:cs="Times New Roman"/>
          <w:sz w:val="52"/>
          <w:szCs w:val="52"/>
          <w:lang w:val="en-US" w:eastAsia="zh-CN"/>
        </w:rPr>
        <w:t>6</w:t>
      </w:r>
      <w:r>
        <w:rPr>
          <w:rFonts w:hint="eastAsia" w:ascii="黑体" w:hAnsi="宋体" w:eastAsia="黑体" w:cs="Times New Roman"/>
          <w:sz w:val="52"/>
          <w:szCs w:val="52"/>
          <w:lang w:eastAsia="zh-CN"/>
        </w:rPr>
        <w:t>年度</w:t>
      </w:r>
    </w:p>
    <w:p>
      <w:pPr>
        <w:widowControl/>
        <w:jc w:val="center"/>
        <w:rPr>
          <w:rFonts w:ascii="宋体" w:hAnsi="宋体" w:eastAsia="宋体"/>
          <w:b/>
          <w:sz w:val="72"/>
          <w:szCs w:val="72"/>
        </w:rPr>
      </w:pPr>
      <w:r>
        <w:rPr>
          <w:rFonts w:hint="eastAsia" w:ascii="黑体" w:hAnsi="宋体" w:eastAsia="黑体" w:cs="Times New Roman"/>
          <w:sz w:val="52"/>
          <w:szCs w:val="52"/>
          <w:lang w:eastAsia="zh-CN"/>
        </w:rPr>
        <w:t>防雷定期检测服务合同</w:t>
      </w:r>
    </w:p>
    <w:p>
      <w:pPr>
        <w:widowControl/>
        <w:jc w:val="center"/>
        <w:rPr>
          <w:rFonts w:ascii="Arial Unicode MS" w:eastAsia="Arial Unicode MS"/>
          <w:sz w:val="72"/>
          <w:szCs w:val="72"/>
        </w:rPr>
      </w:pPr>
    </w:p>
    <w:p>
      <w:pPr>
        <w:widowControl/>
        <w:jc w:val="center"/>
        <w:rPr>
          <w:rFonts w:ascii="Arial Unicode MS" w:eastAsia="Arial Unicode MS"/>
          <w:sz w:val="72"/>
          <w:szCs w:val="72"/>
        </w:rPr>
      </w:pP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1280" w:firstLineChars="400"/>
        <w:jc w:val="left"/>
        <w:textAlignment w:val="auto"/>
        <w:rPr>
          <w:rFonts w:hint="eastAsia" w:ascii="仿宋" w:hAnsi="仿宋" w:eastAsia="仿宋" w:cs="Times New Roman"/>
          <w:sz w:val="32"/>
          <w:szCs w:val="32"/>
          <w:u w:val="single"/>
        </w:rPr>
      </w:pPr>
      <w:r>
        <w:rPr>
          <w:rFonts w:hint="eastAsia" w:ascii="仿宋" w:hAnsi="仿宋" w:eastAsia="仿宋" w:cs="Times New Roman"/>
          <w:sz w:val="32"/>
          <w:szCs w:val="32"/>
          <w:lang w:val="en-US" w:eastAsia="zh-CN"/>
        </w:rPr>
        <w:t>甲方</w:t>
      </w:r>
      <w:r>
        <w:rPr>
          <w:rFonts w:hint="eastAsia" w:ascii="仿宋" w:hAnsi="仿宋" w:eastAsia="仿宋" w:cs="Times New Roman"/>
          <w:sz w:val="32"/>
          <w:szCs w:val="32"/>
        </w:rPr>
        <w:t>：</w:t>
      </w:r>
      <w:r>
        <w:rPr>
          <w:rFonts w:hint="eastAsia" w:ascii="仿宋" w:hAnsi="仿宋" w:eastAsia="仿宋" w:cs="Times New Roman"/>
          <w:sz w:val="32"/>
          <w:szCs w:val="32"/>
          <w:u w:val="single"/>
        </w:rPr>
        <w:t>深圳市燃气集团股份有限公司</w:t>
      </w: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1280" w:firstLineChars="400"/>
        <w:jc w:val="left"/>
        <w:textAlignment w:val="auto"/>
        <w:rPr>
          <w:rFonts w:ascii="Arial Unicode MS" w:eastAsia="Arial Unicode MS"/>
          <w:sz w:val="44"/>
        </w:rPr>
      </w:pPr>
      <w:r>
        <w:rPr>
          <w:rFonts w:hint="eastAsia" w:ascii="仿宋" w:hAnsi="仿宋" w:eastAsia="仿宋" w:cs="Times New Roman"/>
          <w:sz w:val="32"/>
          <w:szCs w:val="32"/>
          <w:lang w:val="en-US" w:eastAsia="zh-CN"/>
        </w:rPr>
        <w:t>乙方</w:t>
      </w:r>
      <w:r>
        <w:rPr>
          <w:rFonts w:hint="eastAsia" w:ascii="仿宋" w:hAnsi="仿宋" w:eastAsia="仿宋" w:cs="Times New Roman"/>
          <w:sz w:val="32"/>
          <w:szCs w:val="32"/>
        </w:rPr>
        <w:t>：</w:t>
      </w:r>
      <w:r>
        <w:rPr>
          <w:rFonts w:hint="eastAsia" w:ascii="仿宋" w:hAnsi="仿宋" w:eastAsia="仿宋" w:cs="Times New Roman"/>
          <w:sz w:val="32"/>
          <w:szCs w:val="32"/>
          <w:u w:val="single"/>
          <w:lang w:val="en-US" w:eastAsia="zh-CN"/>
        </w:rPr>
        <w:t>**</w:t>
      </w:r>
      <w:r>
        <w:rPr>
          <w:rFonts w:hint="eastAsia" w:ascii="仿宋" w:hAnsi="仿宋" w:eastAsia="仿宋" w:cs="Times New Roman"/>
          <w:sz w:val="32"/>
          <w:szCs w:val="32"/>
          <w:u w:val="single"/>
        </w:rPr>
        <w:t>公司</w:t>
      </w:r>
      <w:r>
        <w:rPr>
          <w:rFonts w:ascii="Arial Unicode MS" w:eastAsia="Arial Unicode MS"/>
          <w:sz w:val="44"/>
        </w:rPr>
        <w:br w:type="page"/>
      </w:r>
    </w:p>
    <w:p>
      <w:pPr>
        <w:spacing w:before="0" w:after="0" w:line="360" w:lineRule="auto"/>
        <w:contextualSpacing/>
        <w:jc w:val="center"/>
        <w:rPr>
          <w:rFonts w:hint="eastAsia" w:ascii="仿宋" w:hAnsi="仿宋" w:eastAsia="仿宋"/>
          <w:spacing w:val="-6"/>
          <w:sz w:val="44"/>
          <w:szCs w:val="44"/>
          <w:lang w:eastAsia="zh-CN"/>
        </w:rPr>
      </w:pPr>
      <w:r>
        <w:rPr>
          <w:rFonts w:hint="eastAsia" w:ascii="仿宋" w:hAnsi="仿宋" w:eastAsia="仿宋"/>
          <w:spacing w:val="-6"/>
          <w:sz w:val="44"/>
          <w:szCs w:val="44"/>
          <w:lang w:eastAsia="zh-CN"/>
        </w:rPr>
        <w:t>深燃大厦等物业202</w:t>
      </w:r>
      <w:r>
        <w:rPr>
          <w:rFonts w:hint="eastAsia" w:ascii="仿宋" w:hAnsi="仿宋" w:eastAsia="仿宋"/>
          <w:spacing w:val="-6"/>
          <w:sz w:val="44"/>
          <w:szCs w:val="44"/>
          <w:lang w:val="en-US" w:eastAsia="zh-CN"/>
        </w:rPr>
        <w:t>6</w:t>
      </w:r>
      <w:r>
        <w:rPr>
          <w:rFonts w:hint="eastAsia" w:ascii="仿宋" w:hAnsi="仿宋" w:eastAsia="仿宋"/>
          <w:spacing w:val="-6"/>
          <w:sz w:val="44"/>
          <w:szCs w:val="44"/>
          <w:lang w:eastAsia="zh-CN"/>
        </w:rPr>
        <w:t>年度</w:t>
      </w:r>
    </w:p>
    <w:p>
      <w:pPr>
        <w:spacing w:before="0" w:after="0" w:line="360" w:lineRule="auto"/>
        <w:contextualSpacing/>
        <w:jc w:val="center"/>
        <w:rPr>
          <w:rFonts w:hint="eastAsia" w:ascii="黑体" w:hAnsi="黑体" w:eastAsia="黑体"/>
          <w:sz w:val="28"/>
          <w:szCs w:val="28"/>
        </w:rPr>
      </w:pPr>
      <w:r>
        <w:rPr>
          <w:rFonts w:hint="eastAsia" w:ascii="仿宋" w:hAnsi="仿宋" w:eastAsia="仿宋"/>
          <w:spacing w:val="-6"/>
          <w:sz w:val="44"/>
          <w:szCs w:val="44"/>
          <w:lang w:eastAsia="zh-CN"/>
        </w:rPr>
        <w:t>防雷定期检测服务合同</w:t>
      </w:r>
    </w:p>
    <w:p>
      <w:pPr>
        <w:spacing w:line="560" w:lineRule="exact"/>
        <w:ind w:firstLine="640" w:firstLineChars="200"/>
        <w:rPr>
          <w:rFonts w:ascii="仿宋" w:hAnsi="仿宋" w:eastAsia="仿宋"/>
          <w:sz w:val="32"/>
          <w:szCs w:val="32"/>
        </w:rPr>
      </w:pPr>
    </w:p>
    <w:p>
      <w:pPr>
        <w:spacing w:line="560" w:lineRule="exact"/>
        <w:rPr>
          <w:rFonts w:ascii="仿宋" w:hAnsi="仿宋" w:eastAsia="仿宋"/>
          <w:sz w:val="32"/>
          <w:szCs w:val="32"/>
          <w:u w:val="single"/>
        </w:rPr>
      </w:pPr>
      <w:r>
        <w:rPr>
          <w:rFonts w:hint="eastAsia" w:ascii="仿宋" w:hAnsi="仿宋" w:eastAsia="仿宋"/>
          <w:bCs/>
          <w:sz w:val="32"/>
          <w:szCs w:val="32"/>
        </w:rPr>
        <w:t>甲方：</w:t>
      </w:r>
      <w:r>
        <w:rPr>
          <w:rFonts w:hint="eastAsia" w:ascii="仿宋" w:hAnsi="仿宋" w:eastAsia="仿宋"/>
          <w:sz w:val="32"/>
          <w:szCs w:val="32"/>
          <w:u w:val="single"/>
        </w:rPr>
        <w:t>深圳市燃气集团股份有限公司</w:t>
      </w:r>
    </w:p>
    <w:p>
      <w:pPr>
        <w:spacing w:line="560" w:lineRule="exact"/>
        <w:rPr>
          <w:rFonts w:ascii="仿宋" w:hAnsi="仿宋" w:eastAsia="仿宋"/>
          <w:sz w:val="32"/>
          <w:szCs w:val="32"/>
        </w:rPr>
      </w:pPr>
      <w:r>
        <w:rPr>
          <w:rFonts w:hint="eastAsia" w:ascii="仿宋" w:hAnsi="仿宋" w:eastAsia="仿宋"/>
          <w:sz w:val="32"/>
          <w:szCs w:val="32"/>
        </w:rPr>
        <w:t>住所：</w:t>
      </w:r>
      <w:r>
        <w:rPr>
          <w:rFonts w:hint="eastAsia" w:ascii="仿宋" w:hAnsi="仿宋" w:eastAsia="仿宋"/>
          <w:sz w:val="32"/>
          <w:szCs w:val="32"/>
          <w:u w:val="single"/>
        </w:rPr>
        <w:t>深圳市福田区梅坳一路268号</w:t>
      </w:r>
    </w:p>
    <w:p>
      <w:pPr>
        <w:spacing w:line="560" w:lineRule="exact"/>
        <w:rPr>
          <w:rFonts w:ascii="仿宋" w:hAnsi="仿宋" w:eastAsia="仿宋"/>
          <w:sz w:val="32"/>
          <w:szCs w:val="32"/>
          <w:u w:val="single"/>
        </w:rPr>
      </w:pPr>
      <w:r>
        <w:rPr>
          <w:rFonts w:hint="eastAsia" w:ascii="仿宋" w:hAnsi="仿宋" w:eastAsia="仿宋"/>
          <w:sz w:val="32"/>
          <w:szCs w:val="32"/>
        </w:rPr>
        <w:t>统一社会信用代码：</w:t>
      </w:r>
      <w:r>
        <w:rPr>
          <w:rFonts w:hint="eastAsia" w:ascii="仿宋" w:hAnsi="仿宋" w:eastAsia="仿宋"/>
          <w:sz w:val="32"/>
          <w:szCs w:val="32"/>
          <w:u w:val="single"/>
        </w:rPr>
        <w:t>91440300192408392D</w:t>
      </w:r>
    </w:p>
    <w:p>
      <w:pPr>
        <w:spacing w:line="560" w:lineRule="exact"/>
        <w:rPr>
          <w:rFonts w:ascii="仿宋" w:hAnsi="仿宋" w:eastAsia="仿宋"/>
          <w:sz w:val="32"/>
          <w:szCs w:val="32"/>
        </w:rPr>
      </w:pPr>
      <w:r>
        <w:rPr>
          <w:rFonts w:hint="eastAsia" w:ascii="仿宋" w:hAnsi="仿宋" w:eastAsia="仿宋"/>
          <w:sz w:val="32"/>
          <w:szCs w:val="32"/>
        </w:rPr>
        <w:t>法定代表人（负责人）：</w:t>
      </w:r>
      <w:r>
        <w:rPr>
          <w:rFonts w:hint="eastAsia" w:ascii="仿宋" w:hAnsi="仿宋" w:eastAsia="仿宋"/>
          <w:sz w:val="32"/>
          <w:szCs w:val="32"/>
          <w:u w:val="single"/>
        </w:rPr>
        <w:t>王文杰</w:t>
      </w:r>
    </w:p>
    <w:p>
      <w:pPr>
        <w:spacing w:line="560" w:lineRule="exact"/>
        <w:rPr>
          <w:rFonts w:ascii="仿宋" w:hAnsi="仿宋" w:eastAsia="仿宋"/>
          <w:sz w:val="32"/>
          <w:szCs w:val="32"/>
          <w:u w:val="single"/>
        </w:rPr>
      </w:pPr>
      <w:r>
        <w:rPr>
          <w:rFonts w:hint="eastAsia" w:ascii="仿宋" w:hAnsi="仿宋" w:eastAsia="仿宋"/>
          <w:sz w:val="32"/>
          <w:szCs w:val="32"/>
        </w:rPr>
        <w:t>联系人：</w:t>
      </w:r>
      <w:r>
        <w:rPr>
          <w:rFonts w:hint="eastAsia" w:ascii="仿宋" w:hAnsi="仿宋" w:eastAsia="仿宋"/>
          <w:sz w:val="32"/>
          <w:szCs w:val="32"/>
          <w:u w:val="single"/>
        </w:rPr>
        <w:t>**</w:t>
      </w:r>
      <w:r>
        <w:rPr>
          <w:rFonts w:hint="eastAsia" w:ascii="仿宋" w:hAnsi="仿宋" w:eastAsia="仿宋"/>
          <w:sz w:val="32"/>
          <w:szCs w:val="32"/>
        </w:rPr>
        <w:t xml:space="preserve">              联系信息：</w:t>
      </w:r>
      <w:r>
        <w:rPr>
          <w:rFonts w:hint="eastAsia" w:ascii="仿宋" w:hAnsi="仿宋" w:eastAsia="仿宋"/>
          <w:sz w:val="32"/>
          <w:szCs w:val="32"/>
          <w:u w:val="single"/>
        </w:rPr>
        <w:t>0755-**</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w:t>
      </w:r>
      <w:r>
        <w:rPr>
          <w:rFonts w:hint="eastAsia" w:ascii="仿宋" w:hAnsi="仿宋" w:eastAsia="仿宋" w:cs="Times New Roman"/>
          <w:sz w:val="32"/>
          <w:szCs w:val="32"/>
          <w:u w:val="single"/>
        </w:rPr>
        <w:t>**公司</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住所：</w:t>
      </w:r>
      <w:r>
        <w:rPr>
          <w:rFonts w:hint="eastAsia" w:ascii="仿宋" w:hAnsi="仿宋" w:eastAsia="仿宋" w:cs="Times New Roman"/>
          <w:sz w:val="32"/>
          <w:szCs w:val="32"/>
          <w:u w:val="single"/>
        </w:rPr>
        <w:t>**</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统一社会信用代码：</w:t>
      </w:r>
      <w:r>
        <w:rPr>
          <w:rFonts w:hint="eastAsia" w:ascii="仿宋" w:hAnsi="仿宋" w:eastAsia="仿宋" w:cs="Times New Roman"/>
          <w:sz w:val="32"/>
          <w:szCs w:val="32"/>
          <w:u w:val="single"/>
        </w:rPr>
        <w:t>**</w:t>
      </w:r>
    </w:p>
    <w:p>
      <w:pPr>
        <w:spacing w:line="560" w:lineRule="exact"/>
        <w:rPr>
          <w:rFonts w:hint="eastAsia" w:ascii="仿宋" w:hAnsi="仿宋" w:eastAsia="仿宋" w:cs="Times New Roman"/>
          <w:sz w:val="32"/>
          <w:szCs w:val="32"/>
          <w:u w:val="single"/>
        </w:rPr>
      </w:pPr>
      <w:r>
        <w:rPr>
          <w:rFonts w:hint="eastAsia" w:ascii="仿宋" w:hAnsi="仿宋" w:eastAsia="仿宋" w:cs="Times New Roman"/>
          <w:sz w:val="32"/>
          <w:szCs w:val="32"/>
        </w:rPr>
        <w:t>法定代表人（负责人）：</w:t>
      </w:r>
      <w:r>
        <w:rPr>
          <w:rFonts w:hint="eastAsia" w:ascii="仿宋" w:hAnsi="仿宋" w:eastAsia="仿宋" w:cs="Times New Roman"/>
          <w:sz w:val="32"/>
          <w:szCs w:val="32"/>
          <w:u w:val="single"/>
        </w:rPr>
        <w:t>**</w:t>
      </w:r>
    </w:p>
    <w:p>
      <w:pPr>
        <w:spacing w:line="560" w:lineRule="exact"/>
        <w:rPr>
          <w:rFonts w:hint="default" w:ascii="仿宋" w:hAnsi="仿宋" w:eastAsia="仿宋"/>
          <w:sz w:val="32"/>
          <w:szCs w:val="32"/>
          <w:lang w:val="en-US" w:eastAsia="zh-CN"/>
        </w:rPr>
      </w:pPr>
      <w:r>
        <w:rPr>
          <w:rFonts w:hint="eastAsia" w:ascii="仿宋" w:hAnsi="仿宋" w:eastAsia="仿宋" w:cs="Times New Roman"/>
          <w:sz w:val="32"/>
          <w:szCs w:val="32"/>
        </w:rPr>
        <w:t>联系人：</w:t>
      </w:r>
      <w:r>
        <w:rPr>
          <w:rFonts w:hint="eastAsia" w:ascii="仿宋" w:hAnsi="仿宋" w:eastAsia="仿宋" w:cs="Times New Roman"/>
          <w:sz w:val="32"/>
          <w:szCs w:val="32"/>
          <w:u w:val="single"/>
        </w:rPr>
        <w:t>**</w:t>
      </w:r>
      <w:r>
        <w:rPr>
          <w:rFonts w:hint="eastAsia" w:ascii="仿宋" w:hAnsi="仿宋" w:eastAsia="仿宋" w:cs="Times New Roman"/>
          <w:sz w:val="32"/>
          <w:szCs w:val="32"/>
        </w:rPr>
        <w:t xml:space="preserve">            联系信息：</w:t>
      </w:r>
      <w:r>
        <w:rPr>
          <w:rFonts w:hint="eastAsia" w:ascii="仿宋" w:hAnsi="仿宋" w:eastAsia="仿宋" w:cs="Times New Roman"/>
          <w:sz w:val="32"/>
          <w:szCs w:val="32"/>
          <w:u w:val="single"/>
        </w:rPr>
        <w:t>0755-**</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根据《中华人民共和国民法典》、《中华人民共和国气象法》及其他有关法律、法规，遵循平等、自愿、公平和诚信的原则，就甲方委托乙方提供防雷定期检测服务，双方协商一致，制定本合同。</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第一条  项目概况</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w:t>
      </w:r>
      <w:r>
        <w:rPr>
          <w:rFonts w:hint="eastAsia" w:ascii="仿宋" w:hAnsi="仿宋" w:eastAsia="仿宋"/>
          <w:sz w:val="32"/>
          <w:szCs w:val="32"/>
          <w:lang w:val="en-US" w:eastAsia="zh-CN"/>
        </w:rPr>
        <w:t>项目</w:t>
      </w:r>
      <w:r>
        <w:rPr>
          <w:rFonts w:hint="eastAsia" w:ascii="仿宋" w:hAnsi="仿宋" w:eastAsia="仿宋"/>
          <w:sz w:val="32"/>
          <w:szCs w:val="32"/>
        </w:rPr>
        <w:t>地址</w:t>
      </w:r>
    </w:p>
    <w:tbl>
      <w:tblPr>
        <w:tblStyle w:val="13"/>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3628"/>
        <w:gridCol w:w="1474"/>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kern w:val="0"/>
                <w:sz w:val="24"/>
                <w:szCs w:val="20"/>
              </w:rPr>
              <w:t>序号</w:t>
            </w: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kern w:val="0"/>
                <w:sz w:val="24"/>
                <w:szCs w:val="20"/>
              </w:rPr>
              <w:t>物业名称</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检测面积</w:t>
            </w:r>
          </w:p>
        </w:tc>
        <w:tc>
          <w:tcPr>
            <w:tcW w:w="2891"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bookmarkStart w:id="7" w:name="OLE_LINK1" w:colFirst="1" w:colLast="1"/>
            <w:r>
              <w:rPr>
                <w:rFonts w:hint="eastAsia" w:ascii="仿宋" w:hAnsi="仿宋" w:eastAsia="仿宋"/>
                <w:kern w:val="0"/>
                <w:sz w:val="24"/>
                <w:szCs w:val="20"/>
              </w:rPr>
              <w:t>1</w:t>
            </w: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sz w:val="24"/>
                <w:szCs w:val="24"/>
              </w:rPr>
              <w:t>89003.09㎡</w:t>
            </w:r>
          </w:p>
        </w:tc>
        <w:tc>
          <w:tcPr>
            <w:tcW w:w="289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r>
              <w:rPr>
                <w:rFonts w:hint="eastAsia" w:ascii="仿宋" w:hAnsi="仿宋" w:eastAsia="仿宋"/>
                <w:sz w:val="24"/>
                <w:szCs w:val="24"/>
              </w:rPr>
              <w:t>福田区梅坳一路268号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rPr>
            </w:pP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深燃大厦院内附属建筑</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1220.06</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kern w:val="0"/>
                <w:sz w:val="24"/>
                <w:szCs w:val="20"/>
              </w:rPr>
              <w:t>2</w:t>
            </w: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cstheme="minorBidi"/>
                <w:kern w:val="0"/>
                <w:sz w:val="24"/>
                <w:szCs w:val="20"/>
                <w:lang w:val="en-US" w:eastAsia="zh-CN" w:bidi="ar-SA"/>
              </w:rPr>
            </w:pPr>
            <w:r>
              <w:rPr>
                <w:rFonts w:hint="eastAsia" w:ascii="仿宋" w:hAnsi="仿宋" w:eastAsia="仿宋"/>
                <w:kern w:val="0"/>
                <w:sz w:val="24"/>
                <w:szCs w:val="20"/>
                <w:lang w:val="en-US" w:eastAsia="zh-CN"/>
              </w:rPr>
              <w:t>深燃大厦员工食堂</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r>
              <w:rPr>
                <w:rFonts w:hint="eastAsia" w:ascii="仿宋" w:hAnsi="仿宋" w:eastAsia="仿宋"/>
                <w:sz w:val="24"/>
                <w:szCs w:val="24"/>
              </w:rPr>
              <w:t>2452.82㎡</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深燃大厦员工食堂院内附属建筑</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6.25</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kern w:val="0"/>
                <w:sz w:val="24"/>
                <w:szCs w:val="20"/>
              </w:rPr>
              <w:t>3</w:t>
            </w: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r>
              <w:rPr>
                <w:rFonts w:hint="eastAsia" w:ascii="仿宋" w:hAnsi="仿宋" w:eastAsia="仿宋"/>
                <w:kern w:val="0"/>
                <w:sz w:val="24"/>
                <w:szCs w:val="20"/>
              </w:rPr>
              <w:t>文体中心</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3500</w:t>
            </w:r>
            <w:r>
              <w:rPr>
                <w:rFonts w:hint="eastAsia" w:ascii="仿宋" w:hAnsi="仿宋" w:eastAsia="仿宋"/>
                <w:sz w:val="24"/>
                <w:szCs w:val="24"/>
              </w:rPr>
              <w:t>㎡</w:t>
            </w:r>
          </w:p>
        </w:tc>
        <w:tc>
          <w:tcPr>
            <w:tcW w:w="289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福田区梅坳一路与梅坳八路交汇处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rPr>
            </w:pP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kern w:val="0"/>
                <w:sz w:val="24"/>
                <w:szCs w:val="20"/>
              </w:rPr>
            </w:pPr>
            <w:r>
              <w:rPr>
                <w:rFonts w:hint="eastAsia" w:ascii="仿宋" w:hAnsi="仿宋" w:eastAsia="仿宋"/>
                <w:kern w:val="0"/>
                <w:sz w:val="24"/>
                <w:szCs w:val="20"/>
              </w:rPr>
              <w:t>文体中心院内附属建筑</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44.5</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kern w:val="0"/>
                <w:sz w:val="24"/>
                <w:szCs w:val="20"/>
              </w:rPr>
              <w:t>4</w:t>
            </w: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学习与发展中心</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sz w:val="24"/>
                <w:szCs w:val="24"/>
              </w:rPr>
              <w:t>4455.55㎡</w:t>
            </w:r>
          </w:p>
        </w:tc>
        <w:tc>
          <w:tcPr>
            <w:tcW w:w="289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r>
              <w:rPr>
                <w:rFonts w:hint="eastAsia" w:ascii="仿宋" w:hAnsi="仿宋" w:eastAsia="仿宋"/>
                <w:sz w:val="24"/>
                <w:szCs w:val="24"/>
              </w:rPr>
              <w:t>福田区梅村路2号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rPr>
            </w:pP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学习与发展中心</w:t>
            </w:r>
            <w:r>
              <w:rPr>
                <w:rFonts w:hint="eastAsia" w:ascii="仿宋" w:hAnsi="仿宋" w:eastAsia="仿宋"/>
                <w:kern w:val="0"/>
                <w:sz w:val="24"/>
                <w:szCs w:val="20"/>
              </w:rPr>
              <w:t>院内附属建筑</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38.25</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hint="eastAsia" w:ascii="仿宋" w:hAnsi="仿宋" w:eastAsia="仿宋"/>
                <w:kern w:val="0"/>
                <w:sz w:val="24"/>
                <w:szCs w:val="20"/>
              </w:rPr>
              <w:t>5</w:t>
            </w:r>
          </w:p>
        </w:tc>
        <w:tc>
          <w:tcPr>
            <w:tcW w:w="362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default" w:ascii="仿宋" w:hAnsi="仿宋" w:eastAsia="仿宋"/>
                <w:kern w:val="0"/>
                <w:sz w:val="24"/>
                <w:szCs w:val="20"/>
                <w:lang w:val="en-US" w:eastAsia="zh-CN"/>
              </w:rPr>
            </w:pPr>
            <w:r>
              <w:rPr>
                <w:rFonts w:hint="eastAsia" w:ascii="仿宋" w:hAnsi="仿宋" w:eastAsia="仿宋"/>
                <w:kern w:val="0"/>
                <w:sz w:val="24"/>
                <w:szCs w:val="20"/>
                <w:lang w:val="en-US" w:eastAsia="zh-CN"/>
              </w:rPr>
              <w:t>宝安大楼</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r>
              <w:rPr>
                <w:rFonts w:ascii="仿宋" w:hAnsi="仿宋" w:eastAsia="仿宋"/>
                <w:sz w:val="24"/>
                <w:szCs w:val="24"/>
              </w:rPr>
              <w:t>28346.7</w:t>
            </w:r>
            <w:r>
              <w:rPr>
                <w:rFonts w:hint="eastAsia" w:ascii="仿宋" w:hAnsi="仿宋" w:eastAsia="仿宋"/>
                <w:sz w:val="24"/>
                <w:szCs w:val="24"/>
              </w:rPr>
              <w:t>㎡</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宝安区兴业路8号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rPr>
            </w:pPr>
          </w:p>
        </w:tc>
        <w:tc>
          <w:tcPr>
            <w:tcW w:w="3628" w:type="dxa"/>
            <w:vAlign w:val="center"/>
          </w:tcPr>
          <w:p>
            <w:pPr>
              <w:spacing w:line="300" w:lineRule="exact"/>
              <w:jc w:val="left"/>
              <w:rPr>
                <w:rFonts w:hint="eastAsia" w:ascii="仿宋" w:hAnsi="仿宋" w:eastAsia="仿宋"/>
                <w:kern w:val="0"/>
                <w:sz w:val="24"/>
                <w:szCs w:val="20"/>
                <w:lang w:val="en-US" w:eastAsia="zh-CN"/>
              </w:rPr>
            </w:pPr>
            <w:r>
              <w:rPr>
                <w:rFonts w:hint="eastAsia" w:ascii="仿宋" w:hAnsi="仿宋" w:eastAsia="仿宋"/>
                <w:sz w:val="24"/>
                <w:szCs w:val="24"/>
              </w:rPr>
              <w:t>宝安大楼附楼</w:t>
            </w:r>
          </w:p>
        </w:tc>
        <w:tc>
          <w:tcPr>
            <w:tcW w:w="1474" w:type="dxa"/>
            <w:vAlign w:val="center"/>
          </w:tcPr>
          <w:p>
            <w:pPr>
              <w:spacing w:line="300" w:lineRule="exact"/>
              <w:jc w:val="center"/>
              <w:rPr>
                <w:rFonts w:ascii="仿宋" w:hAnsi="仿宋" w:eastAsia="仿宋"/>
                <w:sz w:val="24"/>
                <w:szCs w:val="24"/>
              </w:rPr>
            </w:pPr>
            <w:r>
              <w:rPr>
                <w:rFonts w:ascii="仿宋" w:hAnsi="仿宋" w:eastAsia="仿宋"/>
                <w:sz w:val="24"/>
                <w:szCs w:val="24"/>
              </w:rPr>
              <w:t>2098.86</w:t>
            </w:r>
            <w:r>
              <w:rPr>
                <w:rFonts w:hint="eastAsia" w:ascii="仿宋" w:hAnsi="仿宋" w:eastAsia="仿宋"/>
                <w:sz w:val="24"/>
                <w:szCs w:val="24"/>
              </w:rPr>
              <w:t>㎡</w:t>
            </w:r>
          </w:p>
        </w:tc>
        <w:tc>
          <w:tcPr>
            <w:tcW w:w="2891" w:type="dxa"/>
            <w:vMerge w:val="continue"/>
            <w:vAlign w:val="center"/>
          </w:tcPr>
          <w:p>
            <w:pPr>
              <w:spacing w:line="300" w:lineRule="exact"/>
              <w:jc w:val="left"/>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c>
          <w:tcPr>
            <w:tcW w:w="3628" w:type="dxa"/>
            <w:vAlign w:val="center"/>
          </w:tcPr>
          <w:p>
            <w:pPr>
              <w:spacing w:line="300" w:lineRule="exact"/>
              <w:jc w:val="left"/>
              <w:rPr>
                <w:rFonts w:hint="default" w:ascii="仿宋" w:hAnsi="仿宋" w:eastAsia="仿宋" w:cstheme="minorBidi"/>
                <w:kern w:val="2"/>
                <w:sz w:val="24"/>
                <w:szCs w:val="24"/>
                <w:lang w:val="en-US" w:eastAsia="zh-CN" w:bidi="ar-SA"/>
              </w:rPr>
            </w:pPr>
            <w:r>
              <w:rPr>
                <w:rFonts w:hint="eastAsia" w:ascii="仿宋" w:hAnsi="仿宋" w:eastAsia="仿宋"/>
                <w:kern w:val="0"/>
                <w:sz w:val="24"/>
                <w:szCs w:val="20"/>
                <w:lang w:val="en-US" w:eastAsia="zh-CN"/>
              </w:rPr>
              <w:t>宝安大楼</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129.68</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lang w:val="en-US" w:eastAsia="zh-CN"/>
              </w:rPr>
            </w:pPr>
            <w:r>
              <w:rPr>
                <w:rFonts w:hint="eastAsia" w:ascii="仿宋" w:hAnsi="仿宋" w:eastAsia="仿宋"/>
                <w:kern w:val="0"/>
                <w:sz w:val="24"/>
                <w:szCs w:val="20"/>
                <w:lang w:val="en-US" w:eastAsia="zh-CN"/>
              </w:rPr>
              <w:t>6</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龙岗大楼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hint="eastAsia" w:ascii="仿宋" w:hAnsi="仿宋" w:eastAsia="仿宋"/>
                <w:sz w:val="24"/>
                <w:szCs w:val="24"/>
              </w:rPr>
              <w:t>7642.2㎡</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龙岗区龙城街道回龙埔21号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kern w:val="0"/>
                <w:sz w:val="24"/>
                <w:szCs w:val="20"/>
              </w:rPr>
            </w:pPr>
          </w:p>
        </w:tc>
        <w:tc>
          <w:tcPr>
            <w:tcW w:w="3628" w:type="dxa"/>
            <w:vAlign w:val="center"/>
          </w:tcPr>
          <w:p>
            <w:pPr>
              <w:spacing w:line="300" w:lineRule="exact"/>
              <w:jc w:val="left"/>
              <w:rPr>
                <w:rFonts w:hint="eastAsia" w:ascii="仿宋" w:hAnsi="仿宋" w:eastAsia="仿宋"/>
                <w:sz w:val="24"/>
                <w:szCs w:val="24"/>
              </w:rPr>
            </w:pPr>
            <w:r>
              <w:rPr>
                <w:rFonts w:hint="eastAsia" w:ascii="仿宋" w:hAnsi="仿宋" w:eastAsia="仿宋"/>
                <w:sz w:val="24"/>
                <w:szCs w:val="24"/>
              </w:rPr>
              <w:t>龙岗大楼</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15</w:t>
            </w:r>
            <w:r>
              <w:rPr>
                <w:rFonts w:hint="eastAsia" w:ascii="仿宋" w:hAnsi="仿宋" w:eastAsia="仿宋"/>
                <w:sz w:val="24"/>
                <w:szCs w:val="24"/>
              </w:rPr>
              <w:t>㎡</w:t>
            </w:r>
          </w:p>
        </w:tc>
        <w:tc>
          <w:tcPr>
            <w:tcW w:w="2891" w:type="dxa"/>
            <w:vMerge w:val="continue"/>
            <w:vAlign w:val="center"/>
          </w:tcPr>
          <w:p>
            <w:pPr>
              <w:spacing w:line="300" w:lineRule="exact"/>
              <w:jc w:val="left"/>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kern w:val="0"/>
                <w:sz w:val="24"/>
                <w:szCs w:val="20"/>
              </w:rPr>
              <w:t>7</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留仙洞办公楼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3262</w:t>
            </w:r>
            <w:r>
              <w:rPr>
                <w:rFonts w:hint="eastAsia" w:ascii="仿宋" w:hAnsi="仿宋" w:eastAsia="仿宋"/>
                <w:sz w:val="24"/>
                <w:szCs w:val="24"/>
              </w:rPr>
              <w:t>㎡</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南山区沙河西路3013号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sz w:val="24"/>
                <w:szCs w:val="24"/>
              </w:rPr>
            </w:pPr>
            <w:r>
              <w:rPr>
                <w:rFonts w:hint="eastAsia" w:ascii="仿宋" w:hAnsi="仿宋" w:eastAsia="仿宋"/>
                <w:sz w:val="24"/>
                <w:szCs w:val="24"/>
              </w:rPr>
              <w:t>留仙洞办公楼</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371.45</w:t>
            </w:r>
            <w:r>
              <w:rPr>
                <w:rFonts w:hint="eastAsia" w:ascii="仿宋" w:hAnsi="仿宋" w:eastAsia="仿宋"/>
                <w:sz w:val="24"/>
                <w:szCs w:val="24"/>
              </w:rPr>
              <w:t>㎡</w:t>
            </w:r>
          </w:p>
        </w:tc>
        <w:tc>
          <w:tcPr>
            <w:tcW w:w="2891" w:type="dxa"/>
            <w:vMerge w:val="continue"/>
            <w:vAlign w:val="center"/>
          </w:tcPr>
          <w:p>
            <w:pPr>
              <w:spacing w:line="300" w:lineRule="exact"/>
              <w:jc w:val="left"/>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kern w:val="0"/>
                <w:sz w:val="24"/>
                <w:szCs w:val="20"/>
                <w:lang w:val="en-US" w:eastAsia="zh-CN"/>
              </w:rPr>
              <w:t>8</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景田综合楼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5382</w:t>
            </w:r>
            <w:r>
              <w:rPr>
                <w:rFonts w:hint="eastAsia" w:ascii="仿宋" w:hAnsi="仿宋" w:eastAsia="仿宋"/>
                <w:sz w:val="24"/>
                <w:szCs w:val="24"/>
              </w:rPr>
              <w:t>㎡</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福田区莲花路2032号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sz w:val="24"/>
                <w:szCs w:val="24"/>
              </w:rPr>
            </w:pPr>
            <w:r>
              <w:rPr>
                <w:rFonts w:hint="eastAsia" w:ascii="仿宋" w:hAnsi="仿宋" w:eastAsia="仿宋"/>
                <w:sz w:val="24"/>
                <w:szCs w:val="24"/>
              </w:rPr>
              <w:t>景田综合楼</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12.24</w:t>
            </w:r>
            <w:r>
              <w:rPr>
                <w:rFonts w:hint="eastAsia" w:ascii="仿宋" w:hAnsi="仿宋" w:eastAsia="仿宋"/>
                <w:sz w:val="24"/>
                <w:szCs w:val="24"/>
              </w:rPr>
              <w:t>㎡</w:t>
            </w:r>
          </w:p>
        </w:tc>
        <w:tc>
          <w:tcPr>
            <w:tcW w:w="2891" w:type="dxa"/>
            <w:vMerge w:val="continue"/>
            <w:vAlign w:val="center"/>
          </w:tcPr>
          <w:p>
            <w:pPr>
              <w:spacing w:line="300" w:lineRule="exact"/>
              <w:jc w:val="left"/>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kern w:val="0"/>
                <w:sz w:val="24"/>
                <w:szCs w:val="20"/>
                <w:lang w:val="en-US" w:eastAsia="zh-CN"/>
              </w:rPr>
              <w:t>9</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盐田综合楼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1283</w:t>
            </w:r>
            <w:r>
              <w:rPr>
                <w:rFonts w:hint="eastAsia" w:ascii="仿宋" w:hAnsi="仿宋" w:eastAsia="仿宋"/>
                <w:sz w:val="24"/>
                <w:szCs w:val="24"/>
              </w:rPr>
              <w:t>㎡</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盐田区北山道</w:t>
            </w:r>
            <w:r>
              <w:rPr>
                <w:rFonts w:hint="eastAsia" w:ascii="仿宋" w:hAnsi="仿宋" w:eastAsia="仿宋"/>
                <w:sz w:val="24"/>
                <w:szCs w:val="24"/>
                <w:lang w:val="en-US" w:eastAsia="zh-CN"/>
              </w:rPr>
              <w:t>3</w:t>
            </w:r>
            <w:r>
              <w:rPr>
                <w:rFonts w:hint="eastAsia" w:ascii="仿宋" w:hAnsi="仿宋" w:eastAsia="仿宋"/>
                <w:sz w:val="24"/>
                <w:szCs w:val="24"/>
              </w:rPr>
              <w:t>1</w:t>
            </w:r>
            <w:r>
              <w:rPr>
                <w:rFonts w:hint="eastAsia" w:ascii="仿宋" w:hAnsi="仿宋" w:eastAsia="仿宋"/>
                <w:sz w:val="24"/>
                <w:szCs w:val="24"/>
                <w:lang w:val="en-US" w:eastAsia="zh-CN"/>
              </w:rPr>
              <w:t>2</w:t>
            </w:r>
            <w:r>
              <w:rPr>
                <w:rFonts w:hint="eastAsia" w:ascii="仿宋" w:hAnsi="仿宋" w:eastAsia="仿宋"/>
                <w:sz w:val="24"/>
                <w:szCs w:val="24"/>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sz w:val="24"/>
                <w:szCs w:val="24"/>
              </w:rPr>
            </w:pPr>
            <w:r>
              <w:rPr>
                <w:rFonts w:hint="eastAsia" w:ascii="仿宋" w:hAnsi="仿宋" w:eastAsia="仿宋"/>
                <w:sz w:val="24"/>
                <w:szCs w:val="24"/>
              </w:rPr>
              <w:t>盐田综合楼</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16.4</w:t>
            </w:r>
            <w:r>
              <w:rPr>
                <w:rFonts w:hint="eastAsia" w:ascii="仿宋" w:hAnsi="仿宋" w:eastAsia="仿宋"/>
                <w:sz w:val="24"/>
                <w:szCs w:val="24"/>
              </w:rPr>
              <w:t>㎡</w:t>
            </w:r>
          </w:p>
        </w:tc>
        <w:tc>
          <w:tcPr>
            <w:tcW w:w="2891" w:type="dxa"/>
            <w:vMerge w:val="continue"/>
            <w:vAlign w:val="center"/>
          </w:tcPr>
          <w:p>
            <w:pPr>
              <w:spacing w:line="300" w:lineRule="exact"/>
              <w:jc w:val="left"/>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kern w:val="0"/>
                <w:sz w:val="24"/>
                <w:szCs w:val="20"/>
                <w:lang w:val="en-US" w:eastAsia="zh-CN"/>
              </w:rPr>
              <w:t>10</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松岗综合楼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1282.5</w:t>
            </w:r>
            <w:r>
              <w:rPr>
                <w:rFonts w:hint="eastAsia" w:ascii="仿宋" w:hAnsi="仿宋" w:eastAsia="仿宋"/>
                <w:sz w:val="24"/>
                <w:szCs w:val="24"/>
              </w:rPr>
              <w:t>㎡</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宝安区松岗街道田园路与芙蓉路交汇处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sz w:val="24"/>
                <w:szCs w:val="24"/>
              </w:rPr>
            </w:pPr>
            <w:r>
              <w:rPr>
                <w:rFonts w:hint="eastAsia" w:ascii="仿宋" w:hAnsi="仿宋" w:eastAsia="仿宋"/>
                <w:sz w:val="24"/>
                <w:szCs w:val="24"/>
              </w:rPr>
              <w:t>松岗综合楼</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13.25</w:t>
            </w:r>
            <w:r>
              <w:rPr>
                <w:rFonts w:hint="eastAsia" w:ascii="仿宋" w:hAnsi="仿宋" w:eastAsia="仿宋"/>
                <w:sz w:val="24"/>
                <w:szCs w:val="24"/>
              </w:rPr>
              <w:t>㎡</w:t>
            </w:r>
          </w:p>
        </w:tc>
        <w:tc>
          <w:tcPr>
            <w:tcW w:w="2891" w:type="dxa"/>
            <w:vMerge w:val="continue"/>
            <w:vAlign w:val="center"/>
          </w:tcPr>
          <w:p>
            <w:pPr>
              <w:spacing w:line="300" w:lineRule="exact"/>
              <w:jc w:val="left"/>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kern w:val="0"/>
                <w:sz w:val="24"/>
                <w:szCs w:val="20"/>
                <w:lang w:val="en-US" w:eastAsia="zh-CN"/>
              </w:rPr>
              <w:t>11</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松岭综合楼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2174.5</w:t>
            </w:r>
            <w:r>
              <w:rPr>
                <w:rFonts w:hint="eastAsia" w:ascii="仿宋" w:hAnsi="仿宋" w:eastAsia="仿宋"/>
                <w:sz w:val="24"/>
                <w:szCs w:val="24"/>
              </w:rPr>
              <w:t>㎡</w:t>
            </w:r>
          </w:p>
        </w:tc>
        <w:tc>
          <w:tcPr>
            <w:tcW w:w="2891" w:type="dxa"/>
            <w:vMerge w:val="restart"/>
            <w:vAlign w:val="center"/>
          </w:tcPr>
          <w:p>
            <w:pPr>
              <w:spacing w:line="300" w:lineRule="exact"/>
              <w:jc w:val="left"/>
              <w:rPr>
                <w:rFonts w:hint="default" w:ascii="仿宋" w:hAnsi="仿宋" w:eastAsia="仿宋"/>
                <w:kern w:val="0"/>
                <w:sz w:val="24"/>
                <w:szCs w:val="20"/>
                <w:lang w:val="en-US"/>
              </w:rPr>
            </w:pPr>
            <w:r>
              <w:rPr>
                <w:rFonts w:hint="eastAsia" w:ascii="仿宋" w:hAnsi="仿宋" w:eastAsia="仿宋"/>
                <w:sz w:val="24"/>
                <w:szCs w:val="24"/>
              </w:rPr>
              <w:t>福田区松岭路</w:t>
            </w:r>
            <w:r>
              <w:rPr>
                <w:rFonts w:hint="eastAsia" w:ascii="仿宋" w:hAnsi="仿宋" w:eastAsia="仿宋"/>
                <w:sz w:val="24"/>
                <w:szCs w:val="24"/>
                <w:lang w:val="en-US" w:eastAsia="zh-CN"/>
              </w:rPr>
              <w:t>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松岭小五楼</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hint="eastAsia" w:ascii="仿宋" w:hAnsi="仿宋" w:eastAsia="仿宋"/>
                <w:sz w:val="24"/>
                <w:szCs w:val="24"/>
              </w:rPr>
              <w:t>900㎡</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sz w:val="24"/>
                <w:szCs w:val="24"/>
              </w:rPr>
            </w:pPr>
            <w:r>
              <w:rPr>
                <w:rFonts w:hint="eastAsia" w:ascii="仿宋" w:hAnsi="仿宋" w:eastAsia="仿宋"/>
                <w:sz w:val="24"/>
                <w:szCs w:val="24"/>
              </w:rPr>
              <w:t>松岭小三楼</w:t>
            </w:r>
          </w:p>
        </w:tc>
        <w:tc>
          <w:tcPr>
            <w:tcW w:w="1474" w:type="dxa"/>
            <w:vAlign w:val="center"/>
          </w:tcPr>
          <w:p>
            <w:pPr>
              <w:spacing w:line="300" w:lineRule="exact"/>
              <w:jc w:val="center"/>
              <w:rPr>
                <w:rFonts w:hint="eastAsia" w:ascii="仿宋" w:hAnsi="仿宋" w:eastAsia="仿宋"/>
                <w:sz w:val="24"/>
                <w:szCs w:val="24"/>
              </w:rPr>
            </w:pPr>
            <w:r>
              <w:rPr>
                <w:rFonts w:hint="eastAsia" w:ascii="仿宋" w:hAnsi="仿宋" w:eastAsia="仿宋"/>
                <w:sz w:val="24"/>
                <w:szCs w:val="24"/>
              </w:rPr>
              <w:t>600㎡</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松岭小区</w:t>
            </w:r>
          </w:p>
        </w:tc>
        <w:tc>
          <w:tcPr>
            <w:tcW w:w="1474" w:type="dxa"/>
            <w:vAlign w:val="center"/>
          </w:tcPr>
          <w:p>
            <w:pPr>
              <w:spacing w:line="300" w:lineRule="exact"/>
              <w:jc w:val="center"/>
              <w:rPr>
                <w:rFonts w:hint="eastAsia"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620</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default" w:ascii="仿宋" w:hAnsi="仿宋" w:eastAsia="仿宋" w:cstheme="minorBidi"/>
                <w:kern w:val="2"/>
                <w:sz w:val="24"/>
                <w:szCs w:val="24"/>
                <w:lang w:val="en-US" w:eastAsia="zh-CN" w:bidi="ar-SA"/>
              </w:rPr>
            </w:pPr>
            <w:r>
              <w:rPr>
                <w:rFonts w:hint="eastAsia" w:ascii="仿宋" w:hAnsi="仿宋" w:eastAsia="仿宋"/>
                <w:kern w:val="0"/>
                <w:sz w:val="24"/>
                <w:szCs w:val="20"/>
                <w:lang w:val="en-US" w:eastAsia="zh-CN"/>
              </w:rPr>
              <w:t>松岭物业点</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321.54</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cstheme="minorBidi"/>
                <w:kern w:val="0"/>
                <w:sz w:val="24"/>
                <w:szCs w:val="20"/>
                <w:lang w:val="en-US" w:eastAsia="zh-CN" w:bidi="ar-SA"/>
              </w:rPr>
              <w:t>12</w:t>
            </w: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sz w:val="24"/>
                <w:szCs w:val="24"/>
              </w:rPr>
              <w:t>罗芳综合楼A栋</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4543.01</w:t>
            </w:r>
            <w:r>
              <w:rPr>
                <w:rFonts w:hint="eastAsia" w:ascii="仿宋" w:hAnsi="仿宋" w:eastAsia="仿宋"/>
                <w:sz w:val="24"/>
                <w:szCs w:val="24"/>
              </w:rPr>
              <w:t>㎡</w:t>
            </w:r>
          </w:p>
        </w:tc>
        <w:tc>
          <w:tcPr>
            <w:tcW w:w="2891" w:type="dxa"/>
            <w:vMerge w:val="restart"/>
            <w:vAlign w:val="center"/>
          </w:tcPr>
          <w:p>
            <w:pPr>
              <w:spacing w:line="300" w:lineRule="exact"/>
              <w:jc w:val="left"/>
              <w:rPr>
                <w:rFonts w:ascii="仿宋" w:hAnsi="仿宋" w:eastAsia="仿宋"/>
                <w:kern w:val="0"/>
                <w:sz w:val="24"/>
                <w:szCs w:val="20"/>
              </w:rPr>
            </w:pPr>
            <w:r>
              <w:rPr>
                <w:rFonts w:hint="eastAsia" w:ascii="仿宋" w:hAnsi="仿宋" w:eastAsia="仿宋"/>
                <w:sz w:val="24"/>
                <w:szCs w:val="24"/>
              </w:rPr>
              <w:t>罗湖区经二路11号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cstheme="minorBidi"/>
                <w:kern w:val="2"/>
                <w:sz w:val="24"/>
                <w:szCs w:val="24"/>
                <w:lang w:val="en-US" w:eastAsia="zh-CN" w:bidi="ar-SA"/>
              </w:rPr>
            </w:pPr>
            <w:r>
              <w:rPr>
                <w:rFonts w:hint="eastAsia" w:ascii="仿宋" w:hAnsi="仿宋" w:eastAsia="仿宋"/>
                <w:sz w:val="24"/>
                <w:szCs w:val="24"/>
              </w:rPr>
              <w:t>罗芳综合楼B栋</w:t>
            </w:r>
          </w:p>
        </w:tc>
        <w:tc>
          <w:tcPr>
            <w:tcW w:w="1474" w:type="dxa"/>
            <w:vAlign w:val="center"/>
          </w:tcPr>
          <w:p>
            <w:pPr>
              <w:spacing w:line="300" w:lineRule="exact"/>
              <w:jc w:val="center"/>
              <w:rPr>
                <w:rFonts w:ascii="仿宋" w:hAnsi="仿宋" w:eastAsia="仿宋" w:cstheme="minorBidi"/>
                <w:kern w:val="2"/>
                <w:sz w:val="24"/>
                <w:szCs w:val="24"/>
                <w:lang w:val="en-US" w:eastAsia="zh-CN" w:bidi="ar-SA"/>
              </w:rPr>
            </w:pPr>
            <w:r>
              <w:rPr>
                <w:rFonts w:ascii="仿宋" w:hAnsi="仿宋" w:eastAsia="仿宋"/>
                <w:sz w:val="24"/>
                <w:szCs w:val="24"/>
              </w:rPr>
              <w:t>2499.52</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p>
        </w:tc>
        <w:tc>
          <w:tcPr>
            <w:tcW w:w="3628" w:type="dxa"/>
            <w:vAlign w:val="center"/>
          </w:tcPr>
          <w:p>
            <w:pPr>
              <w:spacing w:line="300" w:lineRule="exact"/>
              <w:jc w:val="left"/>
              <w:rPr>
                <w:rFonts w:ascii="仿宋" w:hAnsi="仿宋" w:eastAsia="仿宋" w:cstheme="minorBidi"/>
                <w:kern w:val="2"/>
                <w:sz w:val="24"/>
                <w:szCs w:val="24"/>
                <w:lang w:val="en-US" w:eastAsia="zh-CN" w:bidi="ar-SA"/>
              </w:rPr>
            </w:pPr>
            <w:r>
              <w:rPr>
                <w:rFonts w:hint="eastAsia" w:ascii="仿宋" w:hAnsi="仿宋" w:eastAsia="仿宋"/>
                <w:kern w:val="0"/>
                <w:sz w:val="24"/>
                <w:szCs w:val="20"/>
                <w:lang w:val="en-US" w:eastAsia="zh-CN"/>
              </w:rPr>
              <w:t>罗芳物业点</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603.56</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仿宋" w:hAnsi="仿宋" w:eastAsia="仿宋"/>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theme="minorBidi"/>
                <w:kern w:val="0"/>
                <w:sz w:val="24"/>
                <w:szCs w:val="20"/>
                <w:lang w:val="en-US" w:eastAsia="zh-CN" w:bidi="ar-SA"/>
              </w:rPr>
            </w:pPr>
            <w:r>
              <w:rPr>
                <w:rFonts w:hint="eastAsia" w:ascii="仿宋" w:hAnsi="仿宋" w:eastAsia="仿宋" w:cstheme="minorBidi"/>
                <w:kern w:val="0"/>
                <w:sz w:val="24"/>
                <w:szCs w:val="20"/>
                <w:lang w:val="en-US" w:eastAsia="zh-CN" w:bidi="ar-SA"/>
              </w:rPr>
              <w:t>13</w:t>
            </w:r>
          </w:p>
        </w:tc>
        <w:tc>
          <w:tcPr>
            <w:tcW w:w="3628" w:type="dxa"/>
            <w:vAlign w:val="center"/>
          </w:tcPr>
          <w:p>
            <w:pPr>
              <w:spacing w:line="300" w:lineRule="exact"/>
              <w:jc w:val="left"/>
              <w:rPr>
                <w:rFonts w:hint="default" w:ascii="仿宋" w:hAnsi="仿宋" w:eastAsia="仿宋"/>
                <w:sz w:val="24"/>
                <w:szCs w:val="24"/>
                <w:lang w:val="en-US" w:eastAsia="zh-CN"/>
              </w:rPr>
            </w:pPr>
            <w:r>
              <w:rPr>
                <w:rFonts w:hint="eastAsia" w:ascii="仿宋" w:hAnsi="仿宋" w:eastAsia="仿宋"/>
                <w:sz w:val="24"/>
                <w:szCs w:val="24"/>
                <w:lang w:val="en-US" w:eastAsia="zh-CN"/>
              </w:rPr>
              <w:t>石岩天然气抢险服务中心</w:t>
            </w:r>
          </w:p>
        </w:tc>
        <w:tc>
          <w:tcPr>
            <w:tcW w:w="1474" w:type="dxa"/>
            <w:vAlign w:val="center"/>
          </w:tcPr>
          <w:p>
            <w:pPr>
              <w:spacing w:line="300" w:lineRule="exact"/>
              <w:jc w:val="center"/>
              <w:rPr>
                <w:rFonts w:ascii="仿宋" w:hAnsi="仿宋" w:eastAsia="仿宋"/>
                <w:sz w:val="24"/>
                <w:szCs w:val="24"/>
              </w:rPr>
            </w:pPr>
            <w:r>
              <w:rPr>
                <w:rFonts w:hint="eastAsia" w:ascii="仿宋" w:hAnsi="仿宋" w:eastAsia="仿宋"/>
                <w:sz w:val="24"/>
                <w:szCs w:val="24"/>
                <w:lang w:val="en-US" w:eastAsia="zh-CN"/>
              </w:rPr>
              <w:t>3490.04</w:t>
            </w:r>
            <w:r>
              <w:rPr>
                <w:rFonts w:hint="eastAsia" w:ascii="仿宋" w:hAnsi="仿宋" w:eastAsia="仿宋"/>
                <w:sz w:val="24"/>
                <w:szCs w:val="24"/>
              </w:rPr>
              <w:t>㎡</w:t>
            </w:r>
          </w:p>
        </w:tc>
        <w:tc>
          <w:tcPr>
            <w:tcW w:w="2891"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 w:hAnsi="仿宋" w:eastAsia="仿宋"/>
                <w:kern w:val="0"/>
                <w:sz w:val="24"/>
                <w:szCs w:val="20"/>
              </w:rPr>
            </w:pPr>
            <w:r>
              <w:rPr>
                <w:rFonts w:hint="eastAsia" w:ascii="仿宋" w:hAnsi="仿宋" w:eastAsia="仿宋"/>
                <w:kern w:val="0"/>
                <w:sz w:val="24"/>
                <w:szCs w:val="20"/>
              </w:rPr>
              <w:t>宝安区石岩街道办黄蜂岭工业大道与同辉路交汇处东南侧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theme="minorBidi"/>
                <w:kern w:val="0"/>
                <w:sz w:val="24"/>
                <w:szCs w:val="20"/>
                <w:lang w:val="en-US" w:eastAsia="zh-CN" w:bidi="ar-SA"/>
              </w:rPr>
            </w:pPr>
          </w:p>
        </w:tc>
        <w:tc>
          <w:tcPr>
            <w:tcW w:w="3628" w:type="dxa"/>
            <w:vAlign w:val="center"/>
          </w:tcPr>
          <w:p>
            <w:pPr>
              <w:spacing w:line="300" w:lineRule="exact"/>
              <w:jc w:val="left"/>
              <w:rPr>
                <w:rFonts w:hint="eastAsia" w:ascii="仿宋" w:hAnsi="仿宋" w:eastAsia="仿宋"/>
                <w:sz w:val="24"/>
                <w:szCs w:val="24"/>
                <w:lang w:val="en-US" w:eastAsia="zh-CN"/>
              </w:rPr>
            </w:pPr>
            <w:r>
              <w:rPr>
                <w:rFonts w:hint="eastAsia" w:ascii="仿宋" w:hAnsi="仿宋" w:eastAsia="仿宋"/>
                <w:sz w:val="24"/>
                <w:szCs w:val="24"/>
                <w:lang w:val="en-US" w:eastAsia="zh-CN"/>
              </w:rPr>
              <w:t>石岩天然气抢险服务中心</w:t>
            </w:r>
            <w:r>
              <w:rPr>
                <w:rFonts w:hint="eastAsia" w:ascii="仿宋" w:hAnsi="仿宋" w:eastAsia="仿宋"/>
                <w:kern w:val="0"/>
                <w:sz w:val="24"/>
                <w:szCs w:val="20"/>
              </w:rPr>
              <w:t>院内附属建筑</w:t>
            </w:r>
          </w:p>
        </w:tc>
        <w:tc>
          <w:tcPr>
            <w:tcW w:w="1474" w:type="dxa"/>
            <w:vAlign w:val="center"/>
          </w:tcPr>
          <w:p>
            <w:pPr>
              <w:spacing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6</w:t>
            </w:r>
            <w:r>
              <w:rPr>
                <w:rFonts w:hint="eastAsia" w:ascii="仿宋" w:hAnsi="仿宋" w:eastAsia="仿宋"/>
                <w:sz w:val="24"/>
                <w:szCs w:val="24"/>
              </w:rPr>
              <w:t>㎡</w:t>
            </w:r>
          </w:p>
        </w:tc>
        <w:tc>
          <w:tcPr>
            <w:tcW w:w="2891"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kern w:val="0"/>
                <w:sz w:val="24"/>
                <w:szCs w:val="20"/>
              </w:rPr>
            </w:pPr>
          </w:p>
        </w:tc>
      </w:tr>
      <w:bookmarkEnd w:id="7"/>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详见附件2项目清单。</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二、甲方因实际业务需要可增加或减少服务项目内容，须提前5个工作日通知乙方，检测费用按照本合同的项目单价进行计算确认。</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三</w:t>
      </w:r>
      <w:r>
        <w:rPr>
          <w:rFonts w:hint="eastAsia" w:ascii="仿宋" w:hAnsi="仿宋" w:eastAsia="仿宋"/>
          <w:sz w:val="32"/>
          <w:szCs w:val="32"/>
        </w:rPr>
        <w:t>、服务周期：</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0</w:t>
      </w:r>
      <w:r>
        <w:rPr>
          <w:rFonts w:hint="eastAsia" w:ascii="仿宋" w:hAnsi="仿宋" w:eastAsia="仿宋"/>
          <w:sz w:val="32"/>
          <w:szCs w:val="32"/>
        </w:rPr>
        <w:t>个工作日</w:t>
      </w:r>
      <w:r>
        <w:rPr>
          <w:rFonts w:hint="eastAsia" w:ascii="仿宋" w:hAnsi="仿宋" w:eastAsia="仿宋"/>
          <w:sz w:val="32"/>
          <w:szCs w:val="32"/>
          <w:lang w:val="en-US" w:eastAsia="zh-CN"/>
        </w:rPr>
        <w:t>内</w:t>
      </w:r>
      <w:r>
        <w:rPr>
          <w:rFonts w:hint="eastAsia" w:ascii="仿宋" w:hAnsi="仿宋" w:eastAsia="仿宋"/>
          <w:sz w:val="32"/>
          <w:szCs w:val="32"/>
        </w:rPr>
        <w:t>（依据工程量大小来定）完成服务范围内所有防雷检测服务。</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、服务方式：</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服务包干，</w:t>
      </w:r>
      <w:r>
        <w:rPr>
          <w:rFonts w:hint="eastAsia" w:ascii="仿宋" w:hAnsi="仿宋" w:eastAsia="仿宋" w:cs="Times New Roman"/>
          <w:sz w:val="32"/>
          <w:szCs w:val="32"/>
        </w:rPr>
        <w:t>包括人工服务、技术支持、</w:t>
      </w:r>
      <w:r>
        <w:rPr>
          <w:rFonts w:hint="eastAsia" w:ascii="仿宋" w:hAnsi="仿宋" w:eastAsia="仿宋"/>
          <w:sz w:val="32"/>
          <w:szCs w:val="32"/>
        </w:rPr>
        <w:t>合同规定的检测承包范围内的所有检测内容及检测材料。</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五</w:t>
      </w:r>
      <w:r>
        <w:rPr>
          <w:rFonts w:hint="eastAsia" w:ascii="仿宋" w:hAnsi="仿宋" w:eastAsia="仿宋"/>
          <w:sz w:val="32"/>
          <w:szCs w:val="32"/>
        </w:rPr>
        <w:t>、检测依据与检测项目：</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1.检测依据：</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（1）《建筑物雷电防护装置检测技术规范》（GB/T 21431</w:t>
      </w:r>
      <w:r>
        <w:rPr>
          <w:rFonts w:hint="eastAsia" w:ascii="仿宋" w:hAnsi="仿宋" w:eastAsia="仿宋"/>
          <w:sz w:val="32"/>
          <w:szCs w:val="32"/>
          <w:lang w:val="en-US" w:eastAsia="zh-CN"/>
        </w:rPr>
        <w:t>-</w:t>
      </w:r>
      <w:r>
        <w:rPr>
          <w:rFonts w:hint="eastAsia" w:ascii="仿宋" w:hAnsi="仿宋" w:eastAsia="仿宋"/>
          <w:sz w:val="32"/>
          <w:szCs w:val="32"/>
        </w:rPr>
        <w:t>2023）；</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（2）《建筑物防雷设计规范》（GB 50057</w:t>
      </w:r>
      <w:r>
        <w:rPr>
          <w:rFonts w:hint="eastAsia" w:ascii="仿宋" w:hAnsi="仿宋" w:eastAsia="仿宋"/>
          <w:sz w:val="32"/>
          <w:szCs w:val="32"/>
          <w:lang w:val="en-US" w:eastAsia="zh-CN"/>
        </w:rPr>
        <w:t>-</w:t>
      </w:r>
      <w:r>
        <w:rPr>
          <w:rFonts w:hint="eastAsia" w:ascii="仿宋" w:hAnsi="仿宋" w:eastAsia="仿宋"/>
          <w:sz w:val="32"/>
          <w:szCs w:val="32"/>
        </w:rPr>
        <w:t>20</w:t>
      </w:r>
      <w:r>
        <w:rPr>
          <w:rFonts w:hint="eastAsia" w:ascii="仿宋" w:hAnsi="仿宋" w:eastAsia="仿宋"/>
          <w:sz w:val="32"/>
          <w:szCs w:val="32"/>
          <w:lang w:val="en-US" w:eastAsia="zh-CN"/>
        </w:rPr>
        <w:t>10</w:t>
      </w:r>
      <w:r>
        <w:rPr>
          <w:rFonts w:hint="eastAsia" w:ascii="仿宋" w:hAnsi="仿宋" w:eastAsia="仿宋"/>
          <w:sz w:val="32"/>
          <w:szCs w:val="32"/>
        </w:rPr>
        <w:t>）；</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（3）其他相关规范。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2.检测项目：</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（1）防直击雷检测；</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（2）等电位、防雷电波侵入检测；</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（3）低压配电系统检测</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六</w:t>
      </w:r>
      <w:r>
        <w:rPr>
          <w:rFonts w:hint="eastAsia" w:ascii="仿宋" w:hAnsi="仿宋" w:eastAsia="仿宋"/>
          <w:sz w:val="32"/>
          <w:szCs w:val="32"/>
        </w:rPr>
        <w:t>、检测结果的交付：</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检测工作完成后</w:t>
      </w:r>
      <w:r>
        <w:rPr>
          <w:rFonts w:hint="eastAsia" w:ascii="仿宋" w:hAnsi="仿宋" w:eastAsia="仿宋"/>
          <w:sz w:val="32"/>
          <w:szCs w:val="32"/>
          <w:u w:val="single"/>
        </w:rPr>
        <w:t>5</w:t>
      </w:r>
      <w:r>
        <w:rPr>
          <w:rFonts w:hint="eastAsia" w:ascii="仿宋" w:hAnsi="仿宋" w:eastAsia="仿宋"/>
          <w:sz w:val="32"/>
          <w:szCs w:val="32"/>
        </w:rPr>
        <w:t>个工作日内出具《深圳市建筑物防雷装置安全检测报告》，并以书面形式转交甲方。</w:t>
      </w:r>
    </w:p>
    <w:p>
      <w:pPr>
        <w:spacing w:line="560" w:lineRule="exact"/>
        <w:ind w:firstLine="643" w:firstLineChars="200"/>
        <w:rPr>
          <w:rFonts w:ascii="仿宋" w:hAnsi="仿宋" w:eastAsia="仿宋"/>
          <w:b/>
          <w:sz w:val="32"/>
          <w:szCs w:val="32"/>
        </w:rPr>
      </w:pPr>
      <w:r>
        <w:rPr>
          <w:rFonts w:hint="eastAsia" w:ascii="仿宋" w:hAnsi="仿宋" w:eastAsia="仿宋" w:cs="Times New Roman"/>
          <w:b/>
          <w:snapToGrid w:val="0"/>
          <w:kern w:val="0"/>
          <w:sz w:val="32"/>
          <w:szCs w:val="32"/>
        </w:rPr>
        <w:t xml:space="preserve">第二条  </w:t>
      </w:r>
      <w:r>
        <w:rPr>
          <w:rFonts w:hint="eastAsia" w:ascii="仿宋" w:hAnsi="仿宋" w:eastAsia="仿宋"/>
          <w:b/>
          <w:sz w:val="32"/>
          <w:szCs w:val="32"/>
        </w:rPr>
        <w:t>合同金额及支付方式</w:t>
      </w:r>
    </w:p>
    <w:p>
      <w:pPr>
        <w:spacing w:line="560" w:lineRule="exact"/>
        <w:ind w:firstLine="640" w:firstLineChars="200"/>
        <w:rPr>
          <w:rFonts w:ascii="仿宋" w:hAnsi="仿宋" w:eastAsia="仿宋"/>
          <w:color w:val="auto"/>
          <w:sz w:val="32"/>
          <w:szCs w:val="32"/>
          <w:u w:val="single"/>
        </w:rPr>
      </w:pPr>
      <w:r>
        <w:rPr>
          <w:rFonts w:hint="eastAsia" w:ascii="仿宋" w:hAnsi="仿宋" w:eastAsia="仿宋"/>
          <w:sz w:val="32"/>
          <w:szCs w:val="32"/>
        </w:rPr>
        <w:t>一、合同总金额为人民币：</w:t>
      </w:r>
      <w:r>
        <w:rPr>
          <w:rFonts w:hint="eastAsia" w:ascii="仿宋" w:hAnsi="仿宋" w:eastAsia="仿宋" w:cs="Times New Roman"/>
          <w:sz w:val="32"/>
          <w:szCs w:val="32"/>
          <w:u w:val="single"/>
        </w:rPr>
        <w:t>**</w:t>
      </w:r>
      <w:r>
        <w:rPr>
          <w:rFonts w:hint="eastAsia" w:ascii="仿宋" w:hAnsi="仿宋" w:eastAsia="仿宋"/>
          <w:color w:val="auto"/>
          <w:sz w:val="32"/>
          <w:szCs w:val="32"/>
          <w:u w:val="single"/>
        </w:rPr>
        <w:t>（即￥</w:t>
      </w:r>
      <w:r>
        <w:rPr>
          <w:rFonts w:hint="eastAsia" w:ascii="仿宋" w:hAnsi="仿宋" w:eastAsia="仿宋" w:cs="Times New Roman"/>
          <w:sz w:val="32"/>
          <w:szCs w:val="32"/>
          <w:u w:val="single"/>
        </w:rPr>
        <w:t>**</w:t>
      </w:r>
      <w:r>
        <w:rPr>
          <w:rFonts w:hint="eastAsia" w:ascii="仿宋" w:hAnsi="仿宋" w:eastAsia="仿宋"/>
          <w:color w:val="auto"/>
          <w:sz w:val="32"/>
          <w:szCs w:val="32"/>
          <w:u w:val="single"/>
        </w:rPr>
        <w:t>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注：本合同价含税率为</w:t>
      </w:r>
      <w:r>
        <w:rPr>
          <w:rFonts w:hint="eastAsia" w:ascii="仿宋" w:hAnsi="仿宋" w:eastAsia="仿宋"/>
          <w:sz w:val="32"/>
          <w:szCs w:val="32"/>
          <w:lang w:val="en-US" w:eastAsia="zh-CN"/>
        </w:rPr>
        <w:t>6</w:t>
      </w:r>
      <w:r>
        <w:rPr>
          <w:rFonts w:hint="eastAsia" w:ascii="仿宋" w:hAnsi="仿宋" w:eastAsia="仿宋"/>
          <w:sz w:val="32"/>
          <w:szCs w:val="32"/>
        </w:rPr>
        <w:t>%的增值税，如开票税率下降，应按税率差额对应金额，减少原合同总价。</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二</w:t>
      </w:r>
      <w:r>
        <w:rPr>
          <w:rFonts w:hint="eastAsia" w:ascii="仿宋" w:hAnsi="仿宋" w:eastAsia="仿宋"/>
          <w:sz w:val="32"/>
          <w:szCs w:val="32"/>
        </w:rPr>
        <w:t>、结算方式：</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hint="eastAsia" w:ascii="仿宋" w:hAnsi="仿宋" w:eastAsia="仿宋"/>
          <w:sz w:val="32"/>
          <w:szCs w:val="32"/>
        </w:rPr>
        <w:t>完成合同约定的全部防雷定期检测，甲方收到乙方出具的《深圳市建筑物防雷装置安全检测报告》后向乙方支付全部合同价款，</w:t>
      </w:r>
      <w:r>
        <w:rPr>
          <w:rFonts w:hint="eastAsia" w:ascii="仿宋" w:hAnsi="仿宋" w:eastAsia="仿宋"/>
          <w:color w:val="auto"/>
          <w:sz w:val="32"/>
          <w:szCs w:val="32"/>
        </w:rPr>
        <w:t>即</w:t>
      </w:r>
      <w:r>
        <w:rPr>
          <w:rFonts w:hint="eastAsia" w:ascii="仿宋" w:hAnsi="仿宋" w:eastAsia="仿宋"/>
          <w:color w:val="auto"/>
          <w:sz w:val="32"/>
          <w:szCs w:val="32"/>
          <w:u w:val="single"/>
        </w:rPr>
        <w:t>￥</w:t>
      </w:r>
      <w:r>
        <w:rPr>
          <w:rFonts w:hint="eastAsia" w:ascii="仿宋" w:hAnsi="仿宋" w:eastAsia="仿宋"/>
          <w:color w:val="auto"/>
          <w:sz w:val="32"/>
          <w:szCs w:val="32"/>
          <w:u w:val="single"/>
          <w:lang w:val="en-US" w:eastAsia="zh-CN"/>
        </w:rPr>
        <w:t>*</w:t>
      </w:r>
      <w:r>
        <w:rPr>
          <w:rFonts w:hint="eastAsia" w:ascii="仿宋" w:hAnsi="仿宋" w:eastAsia="仿宋"/>
          <w:color w:val="auto"/>
          <w:sz w:val="32"/>
          <w:szCs w:val="32"/>
          <w:u w:val="single"/>
        </w:rPr>
        <w:t>元</w:t>
      </w:r>
      <w:r>
        <w:rPr>
          <w:rFonts w:hint="eastAsia" w:ascii="仿宋" w:hAnsi="仿宋" w:eastAsia="仿宋"/>
          <w:color w:val="auto"/>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color w:val="auto"/>
          <w:sz w:val="32"/>
          <w:szCs w:val="32"/>
        </w:rPr>
        <w:t>2.</w:t>
      </w:r>
      <w:r>
        <w:rPr>
          <w:rFonts w:hint="eastAsia" w:ascii="仿宋" w:hAnsi="仿宋" w:eastAsia="仿宋" w:cs="Times New Roman"/>
          <w:snapToGrid w:val="0"/>
          <w:kern w:val="0"/>
          <w:sz w:val="32"/>
          <w:szCs w:val="32"/>
        </w:rPr>
        <w:t>甲方向乙方支付合同款前，乙方应提前向甲方开具税率为</w:t>
      </w:r>
      <w:r>
        <w:rPr>
          <w:rFonts w:hint="eastAsia" w:ascii="仿宋" w:hAnsi="仿宋" w:eastAsia="仿宋" w:cs="Times New Roman"/>
          <w:snapToGrid w:val="0"/>
          <w:kern w:val="0"/>
          <w:sz w:val="32"/>
          <w:szCs w:val="32"/>
          <w:lang w:val="en-US" w:eastAsia="zh-CN"/>
        </w:rPr>
        <w:t>6</w:t>
      </w:r>
      <w:r>
        <w:rPr>
          <w:rFonts w:hint="eastAsia" w:ascii="仿宋" w:hAnsi="仿宋" w:eastAsia="仿宋" w:cs="Times New Roman"/>
          <w:snapToGrid w:val="0"/>
          <w:kern w:val="0"/>
          <w:sz w:val="32"/>
          <w:szCs w:val="32"/>
        </w:rPr>
        <w:t>%的等额增值税专用发票。甲方在未收到乙方开具的等额增值税发票前不予支付任何费用，且不承担一切责任。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、甲方开票信息：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账户名称：深圳市燃气集团股份有限公司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电话：0755-88660049</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开户银行：平安银行深圳江苏大厦支行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银行账号：11002881574901</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纳税人识别号：91440300192408392D</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五</w:t>
      </w:r>
      <w:r>
        <w:rPr>
          <w:rFonts w:hint="eastAsia" w:ascii="仿宋" w:hAnsi="仿宋" w:eastAsia="仿宋"/>
          <w:sz w:val="32"/>
          <w:szCs w:val="32"/>
        </w:rPr>
        <w:t>、乙方收款信息：</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账户名称：</w:t>
      </w:r>
      <w:r>
        <w:rPr>
          <w:rFonts w:hint="eastAsia" w:ascii="仿宋" w:hAnsi="仿宋" w:eastAsia="仿宋"/>
          <w:sz w:val="32"/>
          <w:szCs w:val="32"/>
          <w:lang w:eastAsia="zh-CN"/>
        </w:rPr>
        <w:t>**公司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电话</w:t>
      </w:r>
      <w:r>
        <w:rPr>
          <w:rFonts w:hint="eastAsia" w:ascii="仿宋" w:hAnsi="仿宋" w:eastAsia="仿宋"/>
          <w:sz w:val="32"/>
          <w:szCs w:val="32"/>
          <w:lang w:eastAsia="zh-CN"/>
        </w:rPr>
        <w:t>：</w:t>
      </w:r>
      <w:r>
        <w:rPr>
          <w:rFonts w:hint="eastAsia" w:ascii="仿宋" w:hAnsi="仿宋" w:eastAsia="仿宋"/>
          <w:sz w:val="32"/>
          <w:szCs w:val="32"/>
          <w:lang w:val="en-US" w:eastAsia="zh-CN"/>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开户银行：</w:t>
      </w:r>
      <w:r>
        <w:rPr>
          <w:rFonts w:hint="eastAsia" w:ascii="仿宋" w:hAnsi="仿宋" w:eastAsia="仿宋"/>
          <w:sz w:val="32"/>
          <w:szCs w:val="32"/>
          <w:lang w:val="en-US" w:eastAsia="zh-CN"/>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银行账号：</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纳税人识别号：</w:t>
      </w:r>
      <w:r>
        <w:rPr>
          <w:rFonts w:hint="eastAsia" w:ascii="仿宋" w:hAnsi="仿宋" w:eastAsia="仿宋"/>
          <w:sz w:val="32"/>
          <w:szCs w:val="32"/>
          <w:lang w:val="en-US" w:eastAsia="zh-CN"/>
        </w:rPr>
        <w:t>**</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三</w:t>
      </w:r>
      <w:r>
        <w:rPr>
          <w:rFonts w:hint="eastAsia" w:ascii="仿宋" w:hAnsi="仿宋" w:eastAsia="仿宋"/>
          <w:b/>
          <w:sz w:val="32"/>
          <w:szCs w:val="32"/>
        </w:rPr>
        <w:t>条  甲方权利和义务</w:t>
      </w:r>
    </w:p>
    <w:p>
      <w:pPr>
        <w:spacing w:line="560" w:lineRule="exact"/>
        <w:ind w:left="-61" w:leftChars="-29" w:firstLine="640" w:firstLineChars="200"/>
        <w:rPr>
          <w:rFonts w:hint="eastAsia" w:ascii="仿宋" w:hAnsi="仿宋" w:eastAsia="仿宋"/>
          <w:sz w:val="32"/>
          <w:szCs w:val="32"/>
        </w:rPr>
      </w:pPr>
      <w:r>
        <w:rPr>
          <w:rFonts w:hint="eastAsia" w:ascii="仿宋" w:hAnsi="仿宋" w:eastAsia="仿宋"/>
          <w:sz w:val="32"/>
          <w:szCs w:val="32"/>
        </w:rPr>
        <w:t>一、检测前甲方需向乙方提供服务范围内的图纸等相关资料，甲方应确保提供资料的真实性、准确性、完整性。</w:t>
      </w:r>
    </w:p>
    <w:p>
      <w:pPr>
        <w:spacing w:line="560" w:lineRule="exact"/>
        <w:ind w:left="-61" w:leftChars="-29" w:firstLine="640" w:firstLineChars="200"/>
        <w:rPr>
          <w:rFonts w:hint="eastAsia" w:ascii="仿宋" w:hAnsi="仿宋" w:eastAsia="仿宋"/>
          <w:sz w:val="32"/>
          <w:szCs w:val="32"/>
        </w:rPr>
      </w:pPr>
      <w:r>
        <w:rPr>
          <w:rFonts w:hint="eastAsia" w:ascii="仿宋" w:hAnsi="仿宋" w:eastAsia="仿宋"/>
          <w:sz w:val="32"/>
          <w:szCs w:val="32"/>
        </w:rPr>
        <w:t>二、检测时甲方应指派相关人员进行协同工作，提供方便的检测条件，包括但不限于：提供上屋面爬梯、相关钥匙、检测场地照明等。</w:t>
      </w:r>
    </w:p>
    <w:p>
      <w:pPr>
        <w:spacing w:line="560" w:lineRule="exact"/>
        <w:ind w:left="-61" w:leftChars="-29" w:firstLine="640" w:firstLineChars="200"/>
        <w:rPr>
          <w:rFonts w:hint="eastAsia" w:ascii="仿宋" w:hAnsi="仿宋" w:eastAsia="仿宋"/>
          <w:sz w:val="32"/>
          <w:szCs w:val="32"/>
        </w:rPr>
      </w:pPr>
      <w:r>
        <w:rPr>
          <w:rFonts w:hint="eastAsia" w:ascii="仿宋" w:hAnsi="仿宋" w:eastAsia="仿宋"/>
          <w:sz w:val="32"/>
          <w:szCs w:val="32"/>
        </w:rPr>
        <w:t>三、甲方对其提供资料的完整性、准确性、时效性和合法性负责。</w:t>
      </w:r>
    </w:p>
    <w:p>
      <w:pPr>
        <w:spacing w:line="560" w:lineRule="exact"/>
        <w:ind w:left="-61" w:leftChars="-29" w:firstLine="640" w:firstLineChars="200"/>
        <w:rPr>
          <w:rFonts w:hint="eastAsia" w:ascii="仿宋" w:hAnsi="仿宋" w:eastAsia="仿宋"/>
          <w:sz w:val="32"/>
          <w:szCs w:val="32"/>
        </w:rPr>
      </w:pPr>
      <w:r>
        <w:rPr>
          <w:rFonts w:hint="eastAsia" w:ascii="仿宋" w:hAnsi="仿宋" w:eastAsia="仿宋"/>
          <w:sz w:val="32"/>
          <w:szCs w:val="32"/>
        </w:rPr>
        <w:t>四、甲方有权对乙方检测服务工作进行督促，有权对乙方的检测质量进行验收，对服务质量进行考评。</w:t>
      </w:r>
    </w:p>
    <w:p>
      <w:pPr>
        <w:tabs>
          <w:tab w:val="left" w:pos="0"/>
          <w:tab w:val="left" w:pos="1320"/>
        </w:tabs>
        <w:snapToGrid w:val="0"/>
        <w:spacing w:line="560" w:lineRule="exact"/>
        <w:ind w:firstLine="640" w:firstLineChars="200"/>
        <w:jc w:val="left"/>
        <w:rPr>
          <w:rFonts w:ascii="仿宋" w:hAnsi="仿宋" w:eastAsia="仿宋" w:cs="Times New Roman"/>
          <w:sz w:val="32"/>
          <w:szCs w:val="32"/>
        </w:rPr>
      </w:pPr>
      <w:r>
        <w:rPr>
          <w:rFonts w:hint="eastAsia" w:ascii="仿宋" w:hAnsi="仿宋" w:eastAsia="仿宋"/>
          <w:sz w:val="32"/>
          <w:szCs w:val="32"/>
        </w:rPr>
        <w:t>五、</w:t>
      </w:r>
      <w:r>
        <w:rPr>
          <w:rFonts w:hint="eastAsia" w:ascii="仿宋" w:hAnsi="仿宋" w:eastAsia="仿宋" w:cs="Times New Roman"/>
          <w:sz w:val="32"/>
          <w:szCs w:val="32"/>
        </w:rPr>
        <w:t>甲方应保证乙方工作人员在甲方工作场所的环境安全，但由于乙方工作人员未有效落实防护措施、操作失误或自身原因造成的意外伤害或事故由乙方承担全部责任，与甲方无关。</w:t>
      </w:r>
    </w:p>
    <w:p>
      <w:pPr>
        <w:spacing w:line="5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lang w:val="en-US" w:eastAsia="zh-CN"/>
        </w:rPr>
        <w:t>六</w:t>
      </w:r>
      <w:r>
        <w:rPr>
          <w:rFonts w:hint="eastAsia" w:ascii="仿宋" w:hAnsi="仿宋" w:eastAsia="仿宋" w:cs="Times New Roman"/>
          <w:sz w:val="32"/>
          <w:szCs w:val="32"/>
        </w:rPr>
        <w:t>、甲方有权要求和乙方签订安全责任书，乙方必须严格遵守责任书内容。</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七、</w:t>
      </w:r>
      <w:r>
        <w:rPr>
          <w:rFonts w:hint="eastAsia" w:ascii="仿宋" w:hAnsi="仿宋" w:eastAsia="仿宋"/>
          <w:sz w:val="32"/>
          <w:szCs w:val="32"/>
        </w:rPr>
        <w:t>甲方按照合同约定按时支付合同价款。</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四</w:t>
      </w:r>
      <w:r>
        <w:rPr>
          <w:rFonts w:hint="eastAsia" w:ascii="仿宋" w:hAnsi="仿宋" w:eastAsia="仿宋"/>
          <w:b/>
          <w:sz w:val="32"/>
          <w:szCs w:val="32"/>
        </w:rPr>
        <w:t>条  乙方权利和义务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一、服务范围内的所有防雷装置经乙方检测合格的，由乙方按合同约定要求向甲方出具真实、有效的防雷检测报告壹式贰份，并对检测报告的内容以及检测结果负法律责任。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经乙方检测不合格的，乙方不予出具任何该工程项目合格的检测报告，甲方应自行整改，未在乙方完成检测之日起半年内整改至合格的，乙方有权按甲方实际检测结果出具检测报告，同时不影响甲方按本合同约定的价款支付给乙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三、乙方技术人员应严格遵守甲方的各项管理规定，认真做好防雷装置检测工作。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四、乙方保证不向任何甲方允许范围之外的第三方扩散、转移甲方提交的图纸、资料等，因乙方违反本条给甲方造成损失的，乙方应负相关责任。</w:t>
      </w:r>
    </w:p>
    <w:p>
      <w:pPr>
        <w:ind w:firstLine="640" w:firstLineChars="200"/>
        <w:rPr>
          <w:rFonts w:hint="eastAsia" w:ascii="仿宋" w:hAnsi="仿宋" w:eastAsia="仿宋"/>
          <w:sz w:val="32"/>
          <w:szCs w:val="32"/>
        </w:rPr>
      </w:pPr>
      <w:r>
        <w:rPr>
          <w:rFonts w:hint="eastAsia" w:ascii="仿宋" w:hAnsi="仿宋" w:eastAsia="仿宋"/>
          <w:sz w:val="32"/>
          <w:szCs w:val="32"/>
        </w:rPr>
        <w:t>五、乙方在检测工作中应严格遵守防雷检测安全规则，落实现场安全防护措施，保证现场安全。除因甲方原因导致发生安全事故的，其它一切责任由乙方承担。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六、乙方承诺严格按照《建筑物雷电防护装置检测技术规范》（GB/T 21431</w:t>
      </w:r>
      <w:r>
        <w:rPr>
          <w:rFonts w:hint="eastAsia" w:ascii="仿宋" w:hAnsi="仿宋" w:eastAsia="仿宋"/>
          <w:sz w:val="32"/>
          <w:szCs w:val="32"/>
          <w:lang w:val="en-US" w:eastAsia="zh-CN"/>
        </w:rPr>
        <w:t>-</w:t>
      </w:r>
      <w:r>
        <w:rPr>
          <w:rFonts w:hint="eastAsia" w:ascii="仿宋" w:hAnsi="仿宋" w:eastAsia="仿宋"/>
          <w:sz w:val="32"/>
          <w:szCs w:val="32"/>
        </w:rPr>
        <w:t>2023）及相关防雷检测技术规定，对合同所包含建筑物的所有防雷设施进行检测，确保检测质量，并对出具的检测报告真实有效性质保一年，如因检测不符合相关国家规范造成甲方损失，由乙方承担全部责任并赔偿甲方全部损失。</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七、乙方</w:t>
      </w:r>
      <w:r>
        <w:rPr>
          <w:rFonts w:hint="eastAsia" w:ascii="仿宋" w:hAnsi="仿宋" w:eastAsia="仿宋"/>
          <w:sz w:val="32"/>
          <w:szCs w:val="32"/>
          <w:lang w:val="en-US" w:eastAsia="zh-CN"/>
        </w:rPr>
        <w:t>应按响应时编制的人员配置</w:t>
      </w:r>
      <w:r>
        <w:rPr>
          <w:rFonts w:hint="eastAsia" w:ascii="仿宋" w:hAnsi="仿宋" w:eastAsia="仿宋"/>
          <w:sz w:val="32"/>
          <w:szCs w:val="32"/>
        </w:rPr>
        <w:t>派出的</w:t>
      </w:r>
      <w:r>
        <w:rPr>
          <w:rFonts w:hint="eastAsia" w:ascii="仿宋" w:hAnsi="仿宋" w:eastAsia="仿宋"/>
          <w:sz w:val="32"/>
          <w:szCs w:val="32"/>
          <w:lang w:val="en-US" w:eastAsia="zh-CN"/>
        </w:rPr>
        <w:t>检测</w:t>
      </w:r>
      <w:r>
        <w:rPr>
          <w:rFonts w:ascii="仿宋" w:hAnsi="仿宋" w:eastAsia="仿宋"/>
          <w:sz w:val="32"/>
          <w:szCs w:val="32"/>
        </w:rPr>
        <w:t>人员</w:t>
      </w:r>
      <w:r>
        <w:rPr>
          <w:rFonts w:hint="eastAsia" w:ascii="仿宋" w:hAnsi="仿宋" w:eastAsia="仿宋"/>
          <w:sz w:val="32"/>
          <w:szCs w:val="32"/>
          <w:lang w:eastAsia="zh-CN"/>
        </w:rPr>
        <w:t>，</w:t>
      </w:r>
      <w:r>
        <w:rPr>
          <w:rFonts w:hint="eastAsia" w:ascii="仿宋" w:hAnsi="仿宋" w:eastAsia="仿宋"/>
          <w:sz w:val="32"/>
          <w:szCs w:val="32"/>
          <w:lang w:val="en-US" w:eastAsia="zh-CN"/>
        </w:rPr>
        <w:t>同时所派出的人员</w:t>
      </w:r>
      <w:r>
        <w:rPr>
          <w:rFonts w:hint="eastAsia" w:ascii="仿宋" w:hAnsi="仿宋" w:eastAsia="仿宋"/>
          <w:sz w:val="32"/>
          <w:szCs w:val="32"/>
        </w:rPr>
        <w:t>必须是乙方的在职员工，须为公司员工缴纳社保及购买意外险，按照</w:t>
      </w:r>
      <w:r>
        <w:rPr>
          <w:rFonts w:ascii="仿宋" w:hAnsi="仿宋" w:eastAsia="仿宋"/>
          <w:sz w:val="32"/>
          <w:szCs w:val="32"/>
        </w:rPr>
        <w:t>相关要求做到持证上岗</w:t>
      </w:r>
      <w:r>
        <w:rPr>
          <w:rFonts w:hint="eastAsia" w:ascii="仿宋" w:hAnsi="仿宋" w:eastAsia="仿宋"/>
          <w:sz w:val="32"/>
          <w:szCs w:val="32"/>
          <w:lang w:eastAsia="zh-CN"/>
        </w:rPr>
        <w:t>，并做好个人防护措施（包括但不限于安全防护措施）。</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八、</w:t>
      </w:r>
      <w:r>
        <w:rPr>
          <w:rFonts w:hint="eastAsia" w:ascii="仿宋" w:hAnsi="仿宋" w:eastAsia="仿宋"/>
          <w:sz w:val="32"/>
          <w:szCs w:val="32"/>
        </w:rPr>
        <w:t>乙方确保具备行业技术服务资格并完善相关资料。</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五</w:t>
      </w:r>
      <w:r>
        <w:rPr>
          <w:rFonts w:hint="eastAsia" w:ascii="仿宋" w:hAnsi="仿宋" w:eastAsia="仿宋"/>
          <w:b/>
          <w:sz w:val="32"/>
          <w:szCs w:val="32"/>
        </w:rPr>
        <w:t>条  违约责任</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一、服务周期内，乙方须完成本防雷检测承包范围内的所有检测，由于乙方原因造成的合同周期延误的，每延误一天，乙方应向甲方支付违约金</w:t>
      </w:r>
      <w:r>
        <w:rPr>
          <w:rFonts w:hint="eastAsia" w:ascii="仿宋" w:hAnsi="仿宋" w:eastAsia="仿宋"/>
          <w:sz w:val="32"/>
          <w:szCs w:val="32"/>
          <w:u w:val="single"/>
        </w:rPr>
        <w:t>￥1</w:t>
      </w:r>
      <w:r>
        <w:rPr>
          <w:rFonts w:hint="eastAsia" w:ascii="仿宋" w:hAnsi="仿宋" w:eastAsia="仿宋"/>
          <w:sz w:val="32"/>
          <w:szCs w:val="32"/>
          <w:u w:val="single"/>
          <w:lang w:val="en-US" w:eastAsia="zh-CN"/>
        </w:rPr>
        <w:t>,</w:t>
      </w:r>
      <w:r>
        <w:rPr>
          <w:rFonts w:hint="eastAsia" w:ascii="仿宋" w:hAnsi="仿宋" w:eastAsia="仿宋"/>
          <w:sz w:val="32"/>
          <w:szCs w:val="32"/>
          <w:u w:val="single"/>
        </w:rPr>
        <w:t>000</w:t>
      </w:r>
      <w:r>
        <w:rPr>
          <w:rFonts w:hint="eastAsia" w:ascii="仿宋" w:hAnsi="仿宋" w:eastAsia="仿宋"/>
          <w:sz w:val="32"/>
          <w:szCs w:val="32"/>
          <w:u w:val="single"/>
          <w:lang w:val="en-US" w:eastAsia="zh-CN"/>
        </w:rPr>
        <w:t>.00</w:t>
      </w:r>
      <w:r>
        <w:rPr>
          <w:rFonts w:hint="eastAsia" w:ascii="仿宋" w:hAnsi="仿宋" w:eastAsia="仿宋"/>
          <w:sz w:val="32"/>
          <w:szCs w:val="32"/>
          <w:u w:val="single"/>
        </w:rPr>
        <w:t>元</w:t>
      </w:r>
      <w:r>
        <w:rPr>
          <w:rFonts w:hint="eastAsia" w:ascii="仿宋" w:hAnsi="仿宋" w:eastAsia="仿宋"/>
          <w:sz w:val="32"/>
          <w:szCs w:val="32"/>
        </w:rPr>
        <w:t>，并承担甲方因工期延误造成的损失。延期超过30日的，甲方有权解除合同，由此造成的全部责任由乙方承担。</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二、乙方逾期出具检测报告的，每逾期一天应按合同总价款的</w:t>
      </w:r>
      <w:r>
        <w:rPr>
          <w:rFonts w:hint="eastAsia" w:ascii="仿宋" w:hAnsi="仿宋" w:eastAsia="仿宋"/>
          <w:sz w:val="32"/>
          <w:szCs w:val="32"/>
          <w:u w:val="single"/>
        </w:rPr>
        <w:t>5‰</w:t>
      </w:r>
      <w:r>
        <w:rPr>
          <w:rFonts w:hint="eastAsia" w:ascii="仿宋" w:hAnsi="仿宋" w:eastAsia="仿宋"/>
          <w:sz w:val="32"/>
          <w:szCs w:val="32"/>
        </w:rPr>
        <w:t>承担违约金，违约金总额不超过合同总价款的</w:t>
      </w:r>
      <w:r>
        <w:rPr>
          <w:rFonts w:hint="eastAsia" w:ascii="仿宋" w:hAnsi="仿宋" w:eastAsia="仿宋"/>
          <w:sz w:val="32"/>
          <w:szCs w:val="32"/>
          <w:u w:val="single"/>
        </w:rPr>
        <w:t>10%</w:t>
      </w:r>
      <w:r>
        <w:rPr>
          <w:rFonts w:hint="eastAsia" w:ascii="仿宋" w:hAnsi="仿宋" w:eastAsia="仿宋"/>
          <w:sz w:val="32"/>
          <w:szCs w:val="32"/>
        </w:rPr>
        <w:t>。</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三、乙方未按照《建筑物雷电防护装置检测技术规范》（GB/T 21431</w:t>
      </w:r>
      <w:r>
        <w:rPr>
          <w:rFonts w:hint="eastAsia" w:ascii="仿宋" w:hAnsi="仿宋" w:eastAsia="仿宋"/>
          <w:sz w:val="32"/>
          <w:szCs w:val="32"/>
          <w:lang w:val="en-US" w:eastAsia="zh-CN"/>
        </w:rPr>
        <w:t>-</w:t>
      </w:r>
      <w:r>
        <w:rPr>
          <w:rFonts w:hint="eastAsia" w:ascii="仿宋" w:hAnsi="仿宋" w:eastAsia="仿宋"/>
          <w:sz w:val="32"/>
          <w:szCs w:val="32"/>
        </w:rPr>
        <w:t>2023）及相关防雷检测技术规定，对合同所包含建筑物的所有防雷设施进行检测或出具的检测报告存在问题的甲方有权终止本合同，并不予支付任何费用。</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四、本合同签订后，甲方未按合同条款约定随意解除本合同的，应向乙方支付合同总价款的</w:t>
      </w:r>
      <w:r>
        <w:rPr>
          <w:rFonts w:hint="eastAsia" w:ascii="仿宋" w:hAnsi="仿宋" w:eastAsia="仿宋"/>
          <w:sz w:val="32"/>
          <w:szCs w:val="32"/>
          <w:u w:val="single"/>
        </w:rPr>
        <w:t>10%</w:t>
      </w:r>
      <w:r>
        <w:rPr>
          <w:rFonts w:hint="eastAsia" w:ascii="仿宋" w:hAnsi="仿宋" w:eastAsia="仿宋"/>
          <w:sz w:val="32"/>
          <w:szCs w:val="32"/>
        </w:rPr>
        <w:t>作为违约金，并赔偿由此给乙方造成的直接损失。</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因甲方未提供或未按照乙方要求提供必要的便利条件包括但不限于未提供或提供的资料的真实性、准确性、完整性、合法合规性存在瑕疵等而产生的乙方检测失误、未按期完工等一切后果应由甲方承担，乙方不因此承担违约责任，乙方有权解除合同并要求甲方赔偿乙方由此产生的直接损失。</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六</w:t>
      </w:r>
      <w:r>
        <w:rPr>
          <w:rFonts w:hint="eastAsia" w:ascii="仿宋" w:hAnsi="仿宋" w:eastAsia="仿宋"/>
          <w:b/>
          <w:sz w:val="32"/>
          <w:szCs w:val="32"/>
        </w:rPr>
        <w:t>条  商业秘密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任何一方对于在业务活动和签约过程中知悉的对方的商业秘密和其他不适宜公开和对外披露的信息和资料，未经保密信息所有人或有权人书面同意，对方负有严格的保密义务，不得对外公开、披露或允许其他任何单位或个人复制或阅读，或者向第三人复述保密信息的内容，或者以其他任何方式自行或允许第三人使用或传播保密信息。经保密信息所有人或有权人同意使用的，仅能在允许的范围和地域内并按照约定的用途正常使用，超出约定范围或地域使用或者以非法方式使用的，均属于违约行为。本合同约定的保密义务的有效期限为</w:t>
      </w:r>
      <w:r>
        <w:rPr>
          <w:rFonts w:hint="eastAsia" w:ascii="仿宋" w:hAnsi="仿宋" w:eastAsia="仿宋"/>
          <w:sz w:val="32"/>
          <w:szCs w:val="32"/>
          <w:u w:val="single"/>
        </w:rPr>
        <w:t>5</w:t>
      </w:r>
      <w:r>
        <w:rPr>
          <w:rFonts w:hint="eastAsia" w:ascii="仿宋" w:hAnsi="仿宋" w:eastAsia="仿宋"/>
          <w:sz w:val="32"/>
          <w:szCs w:val="32"/>
        </w:rPr>
        <w:t>年，从该当事人实际接受保密信息之日的次日开始计算。</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七</w:t>
      </w:r>
      <w:r>
        <w:rPr>
          <w:rFonts w:hint="eastAsia" w:ascii="仿宋" w:hAnsi="仿宋" w:eastAsia="仿宋"/>
          <w:b/>
          <w:sz w:val="32"/>
          <w:szCs w:val="32"/>
        </w:rPr>
        <w:t>条  不可抗力对本合同造成影响时的约定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一、本合同所称的不可抗力，是指地震、台风、水灾、火灾、战争以及其它本合同各方不能预见、并且对其发生和后果不能防止或避免且不可克服的客观情况。</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二、因不可抗力不能履行合同的，根据不可抗力的影响，受影响方部分或全部免除责任，但法律另有规定的除外。迟延履行合同后发生不可抗力的，不能免除责任。</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八</w:t>
      </w:r>
      <w:r>
        <w:rPr>
          <w:rFonts w:hint="eastAsia" w:ascii="仿宋" w:hAnsi="仿宋" w:eastAsia="仿宋"/>
          <w:b/>
          <w:sz w:val="32"/>
          <w:szCs w:val="32"/>
        </w:rPr>
        <w:t>条  其他事项</w:t>
      </w:r>
    </w:p>
    <w:p>
      <w:pPr>
        <w:spacing w:line="560" w:lineRule="exac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二、本合同附件包括：</w:t>
      </w:r>
      <w:r>
        <w:rPr>
          <w:rFonts w:hint="eastAsia" w:ascii="仿宋" w:hAnsi="仿宋" w:eastAsia="仿宋" w:cs="Times New Roman"/>
          <w:sz w:val="32"/>
          <w:szCs w:val="32"/>
          <w:lang w:val="en-US" w:eastAsia="zh-CN"/>
        </w:rPr>
        <w:t>1.安全管理责任书；2.项目清单</w:t>
      </w:r>
      <w:r>
        <w:rPr>
          <w:rFonts w:hint="eastAsia" w:ascii="仿宋" w:hAnsi="仿宋" w:eastAsia="仿宋" w:cs="Times New Roman"/>
          <w:sz w:val="32"/>
          <w:szCs w:val="32"/>
        </w:rPr>
        <w:t>。</w:t>
      </w:r>
    </w:p>
    <w:p>
      <w:pPr>
        <w:spacing w:line="560" w:lineRule="exact"/>
        <w:ind w:left="-61" w:leftChars="-29" w:firstLine="640" w:firstLineChars="200"/>
        <w:rPr>
          <w:rFonts w:hint="eastAsia" w:ascii="仿宋" w:hAnsi="仿宋" w:eastAsia="仿宋" w:cs="Times New Roman"/>
          <w:sz w:val="32"/>
          <w:szCs w:val="32"/>
        </w:rPr>
      </w:pPr>
      <w:r>
        <w:rPr>
          <w:rFonts w:hint="eastAsia" w:ascii="仿宋" w:hAnsi="仿宋" w:eastAsia="仿宋" w:cs="Times New Roman"/>
          <w:sz w:val="32"/>
          <w:szCs w:val="32"/>
        </w:rPr>
        <w:t>三、本合同经双方签字并盖章后生效,履行完约定的义务后终止。</w:t>
      </w:r>
    </w:p>
    <w:p>
      <w:pPr>
        <w:spacing w:line="560" w:lineRule="exact"/>
        <w:ind w:left="-61" w:leftChars="-29" w:firstLine="640" w:firstLineChars="200"/>
        <w:rPr>
          <w:rFonts w:hint="eastAsia" w:ascii="仿宋" w:hAnsi="仿宋" w:eastAsia="仿宋" w:cs="Times New Roman"/>
          <w:sz w:val="32"/>
          <w:szCs w:val="32"/>
        </w:rPr>
      </w:pPr>
      <w:r>
        <w:rPr>
          <w:rFonts w:hint="eastAsia" w:ascii="仿宋" w:hAnsi="仿宋" w:eastAsia="仿宋" w:cs="Times New Roman"/>
          <w:sz w:val="32"/>
          <w:szCs w:val="32"/>
        </w:rPr>
        <w:t>四、对于本合同的未尽事宜以及变更事宜，应经双方协商一致并签订书面补充协议或变更协议。</w:t>
      </w:r>
    </w:p>
    <w:p>
      <w:pPr>
        <w:spacing w:line="560" w:lineRule="exact"/>
        <w:ind w:left="-61" w:leftChars="-29" w:firstLine="640" w:firstLineChars="200"/>
        <w:rPr>
          <w:rFonts w:hint="eastAsia" w:ascii="仿宋" w:hAnsi="仿宋" w:eastAsia="仿宋" w:cs="Times New Roman"/>
          <w:sz w:val="32"/>
          <w:szCs w:val="32"/>
        </w:rPr>
      </w:pPr>
      <w:r>
        <w:rPr>
          <w:rFonts w:hint="eastAsia" w:ascii="仿宋" w:hAnsi="仿宋" w:eastAsia="仿宋" w:cs="Times New Roman"/>
          <w:sz w:val="32"/>
          <w:szCs w:val="32"/>
        </w:rPr>
        <w:t>五、与本合同有关的所有通知、文件等依照合同首部的联系信息送达对方。该联系信息还可作为合同发生纠纷进入诉讼程序（包括调解）、执行程序后的送达地址。如有变更，一方应提前书面通知对方。</w:t>
      </w:r>
    </w:p>
    <w:p>
      <w:pPr>
        <w:spacing w:line="560" w:lineRule="exact"/>
        <w:ind w:left="-61" w:leftChars="-29" w:firstLine="640" w:firstLineChars="200"/>
        <w:rPr>
          <w:rFonts w:hint="eastAsia" w:ascii="仿宋" w:hAnsi="仿宋" w:eastAsia="仿宋"/>
          <w:b/>
          <w:sz w:val="32"/>
          <w:szCs w:val="32"/>
        </w:rPr>
      </w:pPr>
      <w:r>
        <w:rPr>
          <w:rFonts w:hint="eastAsia" w:ascii="仿宋" w:hAnsi="仿宋" w:eastAsia="仿宋" w:cs="Times New Roman"/>
          <w:sz w:val="32"/>
          <w:szCs w:val="32"/>
        </w:rPr>
        <w:t>六、本合同一式肆份，甲方执贰份，乙方执贰份，均具有同等法律效力。</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以下无正文</w:t>
      </w:r>
      <w:r>
        <w:rPr>
          <w:rFonts w:ascii="仿宋" w:hAnsi="仿宋" w:eastAsia="仿宋"/>
          <w:sz w:val="32"/>
        </w:rPr>
        <w:br w:type="page"/>
      </w: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widowControl/>
        <w:jc w:val="center"/>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甲方（盖章）：深圳市燃气集团股份有限公司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hint="eastAsia" w:ascii="仿宋" w:hAnsi="仿宋" w:eastAsia="仿宋"/>
          <w:sz w:val="32"/>
          <w:szCs w:val="32"/>
          <w:lang w:eastAsia="zh-CN"/>
        </w:rPr>
      </w:pPr>
      <w:r>
        <w:rPr>
          <w:rFonts w:hint="eastAsia" w:ascii="仿宋" w:hAnsi="仿宋" w:eastAsia="仿宋"/>
          <w:sz w:val="32"/>
          <w:szCs w:val="32"/>
        </w:rPr>
        <w:t>乙方（盖章）：**公司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hint="eastAsia"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widowControl/>
        <w:jc w:val="left"/>
        <w:rPr>
          <w:rFonts w:ascii="宋体" w:hAnsi="宋体"/>
          <w:b/>
          <w:sz w:val="36"/>
          <w:szCs w:val="36"/>
          <w:bdr w:val="single" w:color="auto" w:sz="4" w:space="0"/>
        </w:rPr>
      </w:pPr>
      <w:r>
        <w:rPr>
          <w:rFonts w:ascii="宋体" w:hAnsi="宋体"/>
          <w:b/>
          <w:sz w:val="36"/>
          <w:szCs w:val="36"/>
          <w:bdr w:val="single" w:color="auto" w:sz="4" w:space="0"/>
        </w:rPr>
        <w:br w:type="page"/>
      </w:r>
    </w:p>
    <w:p>
      <w:pPr>
        <w:widowControl/>
        <w:spacing w:line="560" w:lineRule="exact"/>
        <w:jc w:val="left"/>
        <w:rPr>
          <w:rFonts w:ascii="黑体" w:hAnsi="黑体" w:eastAsia="黑体"/>
          <w:b/>
          <w:bCs/>
          <w:sz w:val="32"/>
          <w:szCs w:val="32"/>
        </w:rPr>
      </w:pPr>
      <w:r>
        <w:rPr>
          <w:rFonts w:hint="eastAsia" w:ascii="黑体" w:hAnsi="黑体" w:eastAsia="黑体"/>
          <w:b w:val="0"/>
          <w:bCs w:val="0"/>
          <w:sz w:val="32"/>
          <w:szCs w:val="32"/>
        </w:rPr>
        <w:t>附件</w:t>
      </w:r>
      <w:r>
        <w:rPr>
          <w:rFonts w:hint="eastAsia" w:ascii="黑体" w:hAnsi="黑体" w:eastAsia="黑体"/>
          <w:b w:val="0"/>
          <w:bCs w:val="0"/>
          <w:sz w:val="32"/>
          <w:szCs w:val="32"/>
          <w:lang w:val="en-US" w:eastAsia="zh-CN"/>
        </w:rPr>
        <w:t>1</w:t>
      </w:r>
      <w:r>
        <w:rPr>
          <w:rFonts w:hint="eastAsia" w:ascii="黑体" w:hAnsi="黑体" w:eastAsia="黑体"/>
          <w:b w:val="0"/>
          <w:bCs w:val="0"/>
          <w:sz w:val="32"/>
          <w:szCs w:val="32"/>
        </w:rPr>
        <w:t>：</w:t>
      </w:r>
    </w:p>
    <w:p>
      <w:pPr>
        <w:widowControl/>
        <w:spacing w:line="560" w:lineRule="exact"/>
        <w:jc w:val="center"/>
        <w:rPr>
          <w:rFonts w:ascii="宋体" w:hAnsi="宋体" w:eastAsia="宋体"/>
          <w:b/>
          <w:sz w:val="44"/>
        </w:rPr>
      </w:pPr>
      <w:r>
        <w:rPr>
          <w:rFonts w:hint="eastAsia" w:ascii="宋体" w:hAnsi="宋体" w:eastAsia="宋体"/>
          <w:b/>
          <w:kern w:val="0"/>
          <w:sz w:val="44"/>
        </w:rPr>
        <w:t>安全</w:t>
      </w:r>
      <w:r>
        <w:rPr>
          <w:rFonts w:hint="eastAsia" w:ascii="宋体" w:hAnsi="宋体" w:eastAsia="宋体"/>
          <w:b/>
          <w:kern w:val="0"/>
          <w:sz w:val="44"/>
          <w:lang w:val="en-US" w:eastAsia="zh-CN"/>
        </w:rPr>
        <w:t>管理</w:t>
      </w:r>
      <w:r>
        <w:rPr>
          <w:rFonts w:hint="eastAsia" w:ascii="宋体" w:hAnsi="宋体" w:eastAsia="宋体"/>
          <w:b/>
          <w:kern w:val="0"/>
          <w:sz w:val="44"/>
        </w:rPr>
        <w:t>责任书</w:t>
      </w:r>
    </w:p>
    <w:p>
      <w:pPr>
        <w:spacing w:before="100" w:beforeAutospacing="1" w:line="560" w:lineRule="exact"/>
        <w:ind w:firstLine="640" w:firstLineChars="200"/>
        <w:rPr>
          <w:rFonts w:ascii="仿宋" w:hAnsi="仿宋" w:eastAsia="仿宋"/>
          <w:sz w:val="32"/>
          <w:szCs w:val="32"/>
        </w:rPr>
      </w:pPr>
      <w:r>
        <w:rPr>
          <w:rFonts w:hint="eastAsia" w:ascii="仿宋" w:hAnsi="仿宋" w:eastAsia="仿宋"/>
          <w:sz w:val="32"/>
          <w:szCs w:val="32"/>
        </w:rPr>
        <w:t>甲方(全称):</w:t>
      </w:r>
      <w:r>
        <w:rPr>
          <w:rFonts w:hint="eastAsia" w:ascii="仿宋" w:hAnsi="仿宋" w:eastAsia="仿宋"/>
          <w:sz w:val="32"/>
          <w:szCs w:val="32"/>
          <w:u w:val="single"/>
        </w:rPr>
        <w:t>深圳市燃气集团股份有限公司</w:t>
      </w:r>
    </w:p>
    <w:p>
      <w:pPr>
        <w:spacing w:after="100" w:afterAutospacing="1" w:line="560" w:lineRule="exact"/>
        <w:ind w:firstLine="640" w:firstLineChars="200"/>
        <w:rPr>
          <w:rFonts w:hint="eastAsia" w:ascii="仿宋" w:hAnsi="仿宋" w:eastAsia="仿宋"/>
          <w:sz w:val="32"/>
          <w:szCs w:val="32"/>
          <w:u w:val="single"/>
          <w:lang w:eastAsia="zh-CN"/>
        </w:rPr>
      </w:pPr>
      <w:r>
        <w:rPr>
          <w:rFonts w:hint="eastAsia" w:ascii="仿宋" w:hAnsi="仿宋" w:eastAsia="仿宋"/>
          <w:sz w:val="32"/>
          <w:szCs w:val="32"/>
        </w:rPr>
        <w:t>乙方(全称):</w:t>
      </w:r>
      <w:r>
        <w:rPr>
          <w:rFonts w:hint="eastAsia" w:ascii="仿宋" w:hAnsi="仿宋" w:eastAsia="仿宋"/>
          <w:sz w:val="32"/>
          <w:szCs w:val="32"/>
          <w:u w:val="single"/>
          <w:lang w:val="en-US" w:eastAsia="zh-CN"/>
        </w:rPr>
        <w:t>**</w:t>
      </w:r>
      <w:r>
        <w:rPr>
          <w:rFonts w:hint="eastAsia" w:ascii="仿宋" w:hAnsi="仿宋" w:eastAsia="仿宋"/>
          <w:sz w:val="32"/>
          <w:szCs w:val="32"/>
          <w:u w:val="single"/>
          <w:lang w:eastAsia="zh-CN"/>
        </w:rPr>
        <w:t>公司</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为贯彻“安全第一，预防为主，综合治理”的方针，加强安全管理</w:t>
      </w:r>
      <w:r>
        <w:rPr>
          <w:rFonts w:hint="eastAsia" w:ascii="仿宋" w:hAnsi="仿宋" w:eastAsia="仿宋" w:cs="Times New Roman"/>
          <w:sz w:val="32"/>
          <w:szCs w:val="32"/>
          <w:lang w:val="en-US" w:eastAsia="zh-CN"/>
        </w:rPr>
        <w:t>工作</w:t>
      </w:r>
      <w:r>
        <w:rPr>
          <w:rFonts w:hint="eastAsia" w:ascii="仿宋" w:hAnsi="仿宋" w:eastAsia="仿宋" w:cs="Times New Roman"/>
          <w:sz w:val="32"/>
          <w:szCs w:val="32"/>
        </w:rPr>
        <w:t>，明确双方的安全管理</w:t>
      </w:r>
      <w:r>
        <w:rPr>
          <w:rFonts w:hint="eastAsia" w:ascii="仿宋" w:hAnsi="仿宋" w:eastAsia="仿宋" w:cs="Times New Roman"/>
          <w:sz w:val="32"/>
          <w:szCs w:val="32"/>
          <w:lang w:val="en-US" w:eastAsia="zh-CN"/>
        </w:rPr>
        <w:t>职责</w:t>
      </w:r>
      <w:r>
        <w:rPr>
          <w:rFonts w:hint="eastAsia" w:ascii="仿宋" w:hAnsi="仿宋" w:eastAsia="仿宋" w:cs="Times New Roman"/>
          <w:sz w:val="32"/>
          <w:szCs w:val="32"/>
        </w:rPr>
        <w:t>，确保乙方在甲方检查及</w:t>
      </w:r>
      <w:r>
        <w:rPr>
          <w:rFonts w:hint="eastAsia" w:ascii="仿宋" w:hAnsi="仿宋" w:eastAsia="仿宋" w:cs="Times New Roman"/>
          <w:sz w:val="32"/>
          <w:szCs w:val="32"/>
          <w:lang w:val="en-US" w:eastAsia="zh-CN"/>
        </w:rPr>
        <w:t>项目实施</w:t>
      </w:r>
      <w:r>
        <w:rPr>
          <w:rFonts w:hint="eastAsia" w:ascii="仿宋" w:hAnsi="仿宋" w:eastAsia="仿宋" w:cs="Times New Roman"/>
          <w:sz w:val="32"/>
          <w:szCs w:val="32"/>
        </w:rPr>
        <w:t>过程中的人身、财产和设备安全，根据国家有关法律法规，经双方协商一致，制定本责任书。</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一、甲方安全管理责任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甲方负责乙方作业的监督管理责任，具体履行以下安全管理责任：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1.甲方指派专人负责与乙方对接维保工作事宜，由现场物业管理单位跟进作业进度，对接人员核实作业结果并签字确认。</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2.督促乙方遵守法律法规要求及甲方的安全管理规定，做好作业前准备，作业过程中的现场管理以及作业完成后的现场恢复。</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3.甲方接受乙方对在维保过程中提出的有关合理的要求，并给予积极协调解决。</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4.认真核对乙方维保作业中提出的隐患及整改措施，及时组织整改。</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5.督促乙方做好作业的应急处置工作，配合乙方处置作业中的紧急事件。</w:t>
      </w:r>
    </w:p>
    <w:p>
      <w:pPr>
        <w:widowControl/>
        <w:spacing w:line="560" w:lineRule="exac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rPr>
        <w:t>6.组织或配合有关部门做好本项维保工作中事故的调查和上报工作。</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二、乙方安全管理责任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乙方作为</w:t>
      </w:r>
      <w:r>
        <w:rPr>
          <w:rFonts w:hint="eastAsia" w:ascii="仿宋" w:hAnsi="仿宋" w:eastAsia="仿宋" w:cs="Times New Roman"/>
          <w:sz w:val="32"/>
          <w:szCs w:val="32"/>
          <w:lang w:val="en-US" w:eastAsia="zh-CN"/>
        </w:rPr>
        <w:t>本项目</w:t>
      </w:r>
      <w:r>
        <w:rPr>
          <w:rFonts w:hint="eastAsia" w:ascii="仿宋" w:hAnsi="仿宋" w:eastAsia="仿宋" w:cs="Times New Roman"/>
          <w:sz w:val="32"/>
          <w:szCs w:val="32"/>
        </w:rPr>
        <w:t>的承包单位，是</w:t>
      </w:r>
      <w:r>
        <w:rPr>
          <w:rFonts w:hint="eastAsia" w:ascii="仿宋" w:hAnsi="仿宋" w:eastAsia="仿宋" w:cs="Times New Roman"/>
          <w:sz w:val="32"/>
          <w:szCs w:val="32"/>
          <w:lang w:val="en-US" w:eastAsia="zh-CN"/>
        </w:rPr>
        <w:t>本项目</w:t>
      </w:r>
      <w:r>
        <w:rPr>
          <w:rFonts w:hint="eastAsia" w:ascii="仿宋" w:hAnsi="仿宋" w:eastAsia="仿宋" w:cs="Times New Roman"/>
          <w:sz w:val="32"/>
          <w:szCs w:val="32"/>
        </w:rPr>
        <w:t>的责任主体，具体履行以下安全管理责任：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1.向甲方报备的公司相关资料（营业执照，公司、人员资质证书等）应真实、合法、有效。</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2.乙方在实施维保过程中禁止从事合同约定事项以外的其他事宜。</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3.乙方应针对合同维保事项制定相应的安全管理制度、作业流程和应急处置预案。</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4.乙方的现场作业人员应为备案人员，作业过程中应严格遵守相关法律法规、制度和作业流程，服从甲方的现场监督管理要求。</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5.乙方应严格管理为甲方配备的作业人员，进行必要的岗位培训，同时按国家有关规定，为作业人员办理相关保险。</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6.作业人员应按时对指定设施、设备开展维保作业，发现隐患如实记录，并以书面报告的形式提出改进措施通知甲方。</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7.乙方不得擅自使用与作业无关的甲方设施、设备；不得擅自拆除、变更甲方设施、设备及标识。</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8.乙方作业过程中需使用电、气、水等，应事先与甲方指派负责人取得联系，不得私拉乱接。中断作业或遇故障应立即切断有关开关。</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9.乙方作业过程中应做到工完、料尽、场地清，确保安全文明施工。</w:t>
      </w:r>
    </w:p>
    <w:p>
      <w:pPr>
        <w:widowControl/>
        <w:spacing w:line="560" w:lineRule="exac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rPr>
        <w:t>10.乙方应对因工作需要临时引进的第三方的各项安全事项负责。</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三、违约责任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1.合同履约当中由于双方未履行上述安全职责造成对方或第三方人身伤害、财产损失的，由责任方承担相应责任，并赔偿对方或第三方因此造成的全部损失。</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2.乙方违反上述安全职责，甲方有权要求乙方进行整改，如整改不到位的，甲方有权解除合同，由此产生的一切损失由乙方承担，构成犯罪的追究其法律责任。</w:t>
      </w:r>
    </w:p>
    <w:p>
      <w:pPr>
        <w:widowControl/>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3.甲方有权对乙方的维保现场进行安全监督、检查，对违章、违纪行为有权制止、纠正或按合同要求进行处罚。</w:t>
      </w:r>
    </w:p>
    <w:p>
      <w:pPr>
        <w:widowControl/>
        <w:spacing w:line="560" w:lineRule="exac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rPr>
        <w:t>4.乙方工作人员在甲方区域内作业过程中，一年内累计发生</w:t>
      </w:r>
      <w:r>
        <w:rPr>
          <w:rFonts w:hint="eastAsia" w:ascii="仿宋" w:hAnsi="仿宋" w:eastAsia="仿宋" w:cs="Times New Roman"/>
          <w:sz w:val="32"/>
          <w:szCs w:val="32"/>
          <w:u w:val="single"/>
        </w:rPr>
        <w:t>3</w:t>
      </w:r>
      <w:r>
        <w:rPr>
          <w:rFonts w:hint="eastAsia" w:ascii="仿宋" w:hAnsi="仿宋" w:eastAsia="仿宋" w:cs="Times New Roman"/>
          <w:sz w:val="32"/>
          <w:szCs w:val="32"/>
        </w:rPr>
        <w:t>次以上（含3次）一般性违规行为的，禁止该员工一年内从事甲方项目作业资格（自发生违规行为之日起计算）；发生威胁自身生命及对甲方财产及人身安全构成重大威胁的违规行为的，禁止该员工终身在甲方项目从事任何作业活动。</w:t>
      </w:r>
    </w:p>
    <w:p>
      <w:pPr>
        <w:spacing w:line="560" w:lineRule="exact"/>
        <w:rPr>
          <w:rFonts w:hint="default" w:ascii="仿宋" w:hAnsi="仿宋" w:eastAsia="仿宋"/>
          <w:sz w:val="32"/>
          <w:szCs w:val="32"/>
          <w:lang w:val="en-US" w:eastAsia="zh-CN"/>
        </w:rPr>
      </w:pPr>
      <w:r>
        <w:rPr>
          <w:rFonts w:hint="eastAsia" w:ascii="仿宋" w:hAnsi="仿宋" w:eastAsia="仿宋" w:cs="Times New Roman"/>
          <w:sz w:val="32"/>
          <w:szCs w:val="32"/>
        </w:rPr>
        <w:t>四、本《安全管理责任书》作为</w:t>
      </w:r>
      <w:r>
        <w:rPr>
          <w:rFonts w:hint="eastAsia" w:ascii="仿宋" w:hAnsi="仿宋" w:eastAsia="仿宋" w:cs="Times New Roman"/>
          <w:sz w:val="32"/>
          <w:szCs w:val="32"/>
          <w:lang w:val="en-US" w:eastAsia="zh-CN"/>
        </w:rPr>
        <w:t>服务合同</w:t>
      </w:r>
      <w:r>
        <w:rPr>
          <w:rFonts w:hint="eastAsia" w:ascii="仿宋" w:hAnsi="仿宋" w:eastAsia="仿宋" w:cs="Times New Roman"/>
          <w:sz w:val="32"/>
          <w:szCs w:val="32"/>
        </w:rPr>
        <w:t>附件，与合同具有同等法律效力。</w:t>
      </w:r>
    </w:p>
    <w:p>
      <w:pPr>
        <w:widowControl/>
        <w:spacing w:line="560" w:lineRule="exact"/>
        <w:jc w:val="left"/>
        <w:rPr>
          <w:rFonts w:ascii="黑体" w:hAnsi="黑体" w:eastAsia="黑体"/>
          <w:b/>
          <w:bCs/>
          <w:color w:val="auto"/>
          <w:sz w:val="32"/>
          <w:szCs w:val="32"/>
        </w:rPr>
      </w:pPr>
      <w:r>
        <w:rPr>
          <w:rFonts w:ascii="Arial Unicode MS" w:eastAsia="Arial Unicode MS"/>
          <w:sz w:val="44"/>
        </w:rPr>
        <w:br w:type="page"/>
      </w:r>
      <w:r>
        <w:rPr>
          <w:rFonts w:hint="eastAsia" w:ascii="黑体" w:hAnsi="黑体" w:eastAsia="黑体"/>
          <w:b w:val="0"/>
          <w:bCs w:val="0"/>
          <w:color w:val="auto"/>
          <w:sz w:val="32"/>
          <w:szCs w:val="32"/>
        </w:rPr>
        <w:t>附件</w:t>
      </w:r>
      <w:r>
        <w:rPr>
          <w:rFonts w:hint="eastAsia" w:ascii="黑体" w:hAnsi="黑体" w:eastAsia="黑体"/>
          <w:b w:val="0"/>
          <w:bCs w:val="0"/>
          <w:color w:val="auto"/>
          <w:sz w:val="32"/>
          <w:szCs w:val="32"/>
          <w:lang w:val="en-US" w:eastAsia="zh-CN"/>
        </w:rPr>
        <w:t>2</w:t>
      </w:r>
      <w:r>
        <w:rPr>
          <w:rFonts w:hint="eastAsia" w:ascii="黑体" w:hAnsi="黑体" w:eastAsia="黑体"/>
          <w:b w:val="0"/>
          <w:bCs w:val="0"/>
          <w:color w:val="auto"/>
          <w:sz w:val="32"/>
          <w:szCs w:val="32"/>
        </w:rPr>
        <w:t>：</w:t>
      </w:r>
    </w:p>
    <w:p>
      <w:pPr>
        <w:widowControl/>
        <w:spacing w:line="560" w:lineRule="exact"/>
        <w:jc w:val="center"/>
        <w:rPr>
          <w:rFonts w:hint="eastAsia" w:ascii="宋体" w:hAnsi="宋体" w:eastAsia="宋体"/>
          <w:b/>
          <w:color w:val="auto"/>
          <w:kern w:val="0"/>
          <w:sz w:val="44"/>
          <w:lang w:val="en-US" w:eastAsia="zh-CN"/>
        </w:rPr>
      </w:pPr>
      <w:r>
        <w:rPr>
          <w:rFonts w:hint="eastAsia" w:ascii="宋体" w:hAnsi="宋体" w:eastAsia="宋体"/>
          <w:b/>
          <w:color w:val="auto"/>
          <w:kern w:val="0"/>
          <w:sz w:val="44"/>
          <w:lang w:val="en-US" w:eastAsia="zh-CN"/>
        </w:rPr>
        <w:t>深燃大厦等物业2026年度</w:t>
      </w:r>
    </w:p>
    <w:p>
      <w:pPr>
        <w:widowControl/>
        <w:spacing w:line="560" w:lineRule="exact"/>
        <w:jc w:val="center"/>
        <w:rPr>
          <w:rFonts w:hint="default" w:ascii="仿宋" w:hAnsi="仿宋" w:eastAsia="仿宋" w:cs="Times New Roman"/>
          <w:sz w:val="32"/>
          <w:szCs w:val="32"/>
          <w:lang w:val="en-US" w:eastAsia="zh-CN"/>
        </w:rPr>
      </w:pPr>
      <w:r>
        <w:rPr>
          <w:rFonts w:hint="eastAsia" w:ascii="宋体" w:hAnsi="宋体" w:eastAsia="宋体"/>
          <w:b/>
          <w:color w:val="auto"/>
          <w:kern w:val="0"/>
          <w:sz w:val="44"/>
          <w:lang w:val="en-US" w:eastAsia="zh-CN"/>
        </w:rPr>
        <w:t>防雷定期检测项目</w:t>
      </w:r>
      <w:r>
        <w:rPr>
          <w:rFonts w:hint="eastAsia" w:ascii="宋体" w:hAnsi="宋体" w:eastAsia="宋体"/>
          <w:b/>
          <w:kern w:val="0"/>
          <w:sz w:val="44"/>
          <w:lang w:val="en-US" w:eastAsia="zh-CN"/>
        </w:rPr>
        <w:t>清单</w:t>
      </w:r>
    </w:p>
    <w:tbl>
      <w:tblPr>
        <w:tblStyle w:val="13"/>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814"/>
        <w:gridCol w:w="369"/>
        <w:gridCol w:w="2183"/>
        <w:gridCol w:w="147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物业名称</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检测面积</w:t>
            </w:r>
          </w:p>
        </w:tc>
        <w:tc>
          <w:tcPr>
            <w:tcW w:w="226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深燃大厦</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sz w:val="21"/>
                <w:szCs w:val="21"/>
              </w:rPr>
              <w:t>89003.09㎡</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sz w:val="21"/>
                <w:szCs w:val="21"/>
              </w:rPr>
              <w:t>福田区梅坳一路268号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181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深燃大厦</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院内附属建筑</w:t>
            </w: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大厦南侧1#楼梯间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大厦北侧2#楼梯间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食堂3#楼梯间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27.52</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设备区4#楼梯间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17.28</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正门1#岗亭（含警务室）</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82.11</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正门车道出入口2#岗亭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5.1</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后门4#岗亭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后门车道入口5#岗亭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后门车道出口6#岗亭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4.5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大厦西侧9#岗亭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垃圾房</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27.36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三联供设备区南侧</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486.08</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三联供设备区东北侧</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360</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三联供设备区西北侧</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100.11</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深燃大厦员工食堂</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sz w:val="21"/>
                <w:szCs w:val="21"/>
              </w:rPr>
              <w:t>2452.82㎡</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181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深燃大厦员工食堂院内附属建筑</w:t>
            </w: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出入口7#岗亭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6.25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文体中心</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3500</w:t>
            </w:r>
            <w:r>
              <w:rPr>
                <w:rFonts w:hint="eastAsia" w:ascii="宋体" w:hAnsi="宋体" w:eastAsia="宋体" w:cs="宋体"/>
                <w:sz w:val="21"/>
                <w:szCs w:val="21"/>
              </w:rPr>
              <w:t>㎡</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福田区梅坳一路与梅坳八路交汇处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文体中心</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院内附属建筑</w:t>
            </w: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出入口8#岗亭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叉车充电房</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38.5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学习与发展中心</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sz w:val="21"/>
                <w:szCs w:val="21"/>
              </w:rPr>
              <w:t>4455.55㎡</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sz w:val="21"/>
                <w:szCs w:val="21"/>
              </w:rPr>
              <w:t>福田区梅村路2号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学习与发展中心</w:t>
            </w:r>
            <w:r>
              <w:rPr>
                <w:rFonts w:hint="eastAsia" w:ascii="宋体" w:hAnsi="宋体" w:eastAsia="宋体" w:cs="宋体"/>
                <w:kern w:val="0"/>
                <w:sz w:val="21"/>
                <w:szCs w:val="21"/>
              </w:rPr>
              <w:t>院内附属建筑</w:t>
            </w: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sz w:val="18"/>
                <w:szCs w:val="18"/>
              </w:rPr>
              <w:t>出入口岗亭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10.25㎡</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sz w:val="18"/>
                <w:szCs w:val="18"/>
              </w:rPr>
              <w:t>水泵房</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28㎡</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宝安大楼</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sz w:val="21"/>
                <w:szCs w:val="21"/>
              </w:rPr>
              <w:t>28346.7㎡</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宝安区兴业路8号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4366" w:type="dxa"/>
            <w:gridSpan w:val="3"/>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宝安大楼附楼</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2098.86㎡</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Merge w:val="restart"/>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宝安大楼</w:t>
            </w:r>
          </w:p>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出入口岗亭</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rPr>
              <w:t>11.2</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物业食堂</w:t>
            </w:r>
          </w:p>
        </w:tc>
        <w:tc>
          <w:tcPr>
            <w:tcW w:w="1474" w:type="dxa"/>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118.48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龙岗大楼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7642.2㎡</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龙岗区龙城街道回龙埔21号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龙岗大楼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7</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留仙洞办公楼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3262㎡</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南山区沙河西路3013号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留仙洞办公楼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28.06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水泵房</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46.94</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0" w:type="dxa"/>
            <w:vMerge w:val="continue"/>
            <w:vAlign w:val="center"/>
          </w:tcPr>
          <w:p>
            <w:pPr>
              <w:spacing w:line="300" w:lineRule="exact"/>
              <w:jc w:val="left"/>
              <w:rPr>
                <w:rFonts w:hint="eastAsia" w:ascii="宋体" w:hAnsi="宋体" w:eastAsia="宋体" w:cs="宋体"/>
                <w:sz w:val="21"/>
                <w:szCs w:val="21"/>
              </w:rPr>
            </w:pPr>
          </w:p>
        </w:tc>
        <w:tc>
          <w:tcPr>
            <w:tcW w:w="2183" w:type="dxa"/>
            <w:gridSpan w:val="2"/>
            <w:vMerge w:val="continue"/>
            <w:vAlign w:val="center"/>
          </w:tcPr>
          <w:p>
            <w:pPr>
              <w:spacing w:line="300" w:lineRule="exact"/>
              <w:jc w:val="left"/>
              <w:rPr>
                <w:rFonts w:hint="eastAsia" w:ascii="宋体" w:hAnsi="宋体" w:eastAsia="宋体" w:cs="宋体"/>
                <w:sz w:val="21"/>
                <w:szCs w:val="21"/>
              </w:rPr>
            </w:pP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分公司食堂</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296.45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8</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景田综合楼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5382㎡</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福田区莲花路2032号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景田综合楼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12.24</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9</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盐田综合楼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1283㎡</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盐田区北山道</w:t>
            </w:r>
            <w:r>
              <w:rPr>
                <w:rFonts w:hint="eastAsia" w:ascii="宋体" w:hAnsi="宋体" w:eastAsia="宋体" w:cs="宋体"/>
                <w:sz w:val="21"/>
                <w:szCs w:val="21"/>
                <w:lang w:val="en-US" w:eastAsia="zh-CN"/>
              </w:rPr>
              <w:t>3</w:t>
            </w: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盐田综合楼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6.4㎡</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水泵房</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10</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松岗综合楼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1282.5㎡</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宝安区松岗街道田园路与芙蓉路交汇处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松岗综合楼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水泵房</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5.25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11</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松岭综合楼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2174.5㎡</w:t>
            </w:r>
          </w:p>
        </w:tc>
        <w:tc>
          <w:tcPr>
            <w:tcW w:w="2268" w:type="dxa"/>
            <w:vMerge w:val="restart"/>
            <w:vAlign w:val="center"/>
          </w:tcPr>
          <w:p>
            <w:pPr>
              <w:spacing w:line="300" w:lineRule="exact"/>
              <w:jc w:val="left"/>
              <w:rPr>
                <w:rFonts w:hint="eastAsia" w:ascii="宋体" w:hAnsi="宋体" w:eastAsia="宋体" w:cs="宋体"/>
                <w:kern w:val="0"/>
                <w:sz w:val="21"/>
                <w:szCs w:val="21"/>
                <w:lang w:val="en-US"/>
              </w:rPr>
            </w:pPr>
            <w:r>
              <w:rPr>
                <w:rFonts w:hint="eastAsia" w:ascii="宋体" w:hAnsi="宋体" w:eastAsia="宋体" w:cs="宋体"/>
                <w:sz w:val="21"/>
                <w:szCs w:val="21"/>
              </w:rPr>
              <w:t>福田区松岭路</w:t>
            </w:r>
            <w:r>
              <w:rPr>
                <w:rFonts w:hint="eastAsia" w:ascii="宋体" w:hAnsi="宋体" w:eastAsia="宋体" w:cs="宋体"/>
                <w:sz w:val="21"/>
                <w:szCs w:val="21"/>
                <w:lang w:val="en-US" w:eastAsia="zh-CN"/>
              </w:rPr>
              <w:t>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松岭小五楼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900㎡</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松岭小三楼</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600㎡</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松岭小区</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620</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松岭物业点</w:t>
            </w:r>
          </w:p>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小区出入口岗亭</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20.65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配电房</w:t>
            </w:r>
          </w:p>
        </w:tc>
        <w:tc>
          <w:tcPr>
            <w:tcW w:w="1474" w:type="dxa"/>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35.51</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发电机房</w:t>
            </w:r>
          </w:p>
        </w:tc>
        <w:tc>
          <w:tcPr>
            <w:tcW w:w="1474" w:type="dxa"/>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24.88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物业办公室</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22.75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小区车库区域</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物业宿舍1</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物业宿舍2</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杂物间</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9.75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罗芳综合楼A栋</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4543.01㎡</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罗湖区经二路11号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罗芳综合楼B栋</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2499.52㎡</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罗芳物业点</w:t>
            </w:r>
          </w:p>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综合楼出入口岗亭</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9.36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气站出入口岗亭</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6.72</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罗湖公司抢修队办公室</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物业办公室</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15.18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设备房区域</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225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物业宿舍(2间平房)</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34.5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罗湖食堂宿舍(2间平房)</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消防水池</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85.8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气站内砖砌平房</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13</w:t>
            </w:r>
          </w:p>
        </w:tc>
        <w:tc>
          <w:tcPr>
            <w:tcW w:w="4366" w:type="dxa"/>
            <w:gridSpan w:val="3"/>
            <w:vAlign w:val="center"/>
          </w:tcPr>
          <w:p>
            <w:pPr>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石岩天然气抢险服务中心</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3490.04</w:t>
            </w:r>
            <w:r>
              <w:rPr>
                <w:rFonts w:hint="eastAsia" w:ascii="宋体" w:hAnsi="宋体" w:eastAsia="宋体" w:cs="宋体"/>
                <w:sz w:val="21"/>
                <w:szCs w:val="21"/>
              </w:rPr>
              <w:t>㎡</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宝安区石岩街道办黄蜂岭工业大道与同辉路交汇处东南侧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Align w:val="center"/>
          </w:tcPr>
          <w:p>
            <w:pPr>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石岩天然气抢险服务中心</w:t>
            </w: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sz w:val="28"/>
          <w:szCs w:val="28"/>
        </w:rPr>
      </w:pPr>
      <w:r>
        <w:rPr>
          <w:rFonts w:ascii="Arial Unicode MS" w:eastAsia="Arial Unicode MS"/>
          <w:sz w:val="44"/>
        </w:rPr>
        <w:br w:type="page"/>
      </w:r>
    </w:p>
    <w:p>
      <w:pPr>
        <w:pStyle w:val="2"/>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1.采购范围</w:t>
      </w:r>
    </w:p>
    <w:p>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eastAsia="宋体"/>
          <w:szCs w:val="21"/>
          <w:lang w:val="en-US" w:eastAsia="zh-CN"/>
        </w:rPr>
        <w:t>（1）根据《防雷减灾管理办法》与《建筑物雷电防护装置检测技术规范》（GB/T 21431-2023）《建筑物防雷装置检测技术规范》的规定以及采购人要求，对采购人负责管理的13处物业实施</w:t>
      </w:r>
      <w:r>
        <w:rPr>
          <w:rFonts w:hint="eastAsia" w:ascii="宋体" w:hAnsi="宋体" w:eastAsia="宋体"/>
          <w:szCs w:val="21"/>
        </w:rPr>
        <w:t>年度防雷检测工作</w:t>
      </w:r>
      <w:r>
        <w:rPr>
          <w:rFonts w:hint="eastAsia" w:ascii="宋体" w:hAnsi="宋体" w:eastAsia="宋体"/>
          <w:szCs w:val="21"/>
          <w:lang w:val="en-US" w:eastAsia="zh-CN"/>
        </w:rPr>
        <w:t>。</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lang w:val="en-US" w:eastAsia="zh-CN"/>
        </w:rPr>
        <w:t>采购人因实际业务需要可增加或减少服务项目内容，须提前5个工作日通知，检测费用按照合同的项目单价进行计算确认。</w:t>
      </w:r>
    </w:p>
    <w:p>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2.检测项目</w:t>
      </w:r>
    </w:p>
    <w:p>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lang w:val="en-US" w:eastAsia="zh-CN"/>
        </w:rPr>
        <w:t>接闪器、接地装置、等电位连接、电源和信号浪涌保护期等防雷装置及附属设施的接地连接情况。</w:t>
      </w:r>
    </w:p>
    <w:p>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eastAsia="宋体"/>
          <w:szCs w:val="21"/>
          <w:lang w:val="en-US" w:eastAsia="zh-CN"/>
        </w:rPr>
        <w:t>3.合同期：25个工作日，其中：</w:t>
      </w:r>
    </w:p>
    <w:p>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（1）20个工作日内（依据工程量大小来定）完成服务范围内所有防雷检测服务。</w:t>
      </w:r>
    </w:p>
    <w:p>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（2）检测工作完成后5个工作日内出具《深圳市建筑物防雷装置安全检测报告》，并以书面形式转交采购人。</w:t>
      </w:r>
    </w:p>
    <w:p>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4.服务地点：</w:t>
      </w:r>
    </w:p>
    <w:tbl>
      <w:tblPr>
        <w:tblStyle w:val="13"/>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814"/>
        <w:gridCol w:w="369"/>
        <w:gridCol w:w="2183"/>
        <w:gridCol w:w="147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物业名称</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检测面积</w:t>
            </w:r>
          </w:p>
        </w:tc>
        <w:tc>
          <w:tcPr>
            <w:tcW w:w="226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深燃大厦</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sz w:val="21"/>
                <w:szCs w:val="21"/>
              </w:rPr>
              <w:t>89003.09㎡</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sz w:val="21"/>
                <w:szCs w:val="21"/>
              </w:rPr>
              <w:t>福田区梅坳一路268号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1814"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深燃大厦</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院内附属建筑</w:t>
            </w: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大厦南侧1#楼梯间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大厦北侧2#楼梯间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食堂3#楼梯间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27.52</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设备区4#楼梯间</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17.28</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正门1#岗亭（含警务室）</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82.11</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正门车道出入口2#岗亭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5.1</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后门4#岗亭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后门车道入口5#岗亭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后门车道出口6#岗亭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4.5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大厦西侧9#岗亭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垃圾房</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27.36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三联供设备区南侧</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486.08</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三联供设备区东北侧</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360</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1814"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三联供设备区西北侧</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100.11</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深燃大厦员工食堂</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sz w:val="21"/>
                <w:szCs w:val="21"/>
              </w:rPr>
              <w:t>2452.82㎡</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181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深燃大厦员工食堂院内附属建筑</w:t>
            </w:r>
          </w:p>
        </w:tc>
        <w:tc>
          <w:tcPr>
            <w:tcW w:w="2552" w:type="dxa"/>
            <w:gridSpan w:val="2"/>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出入口7#岗亭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6.25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文体中心</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3500</w:t>
            </w:r>
            <w:r>
              <w:rPr>
                <w:rFonts w:hint="eastAsia" w:ascii="宋体" w:hAnsi="宋体" w:eastAsia="宋体" w:cs="宋体"/>
                <w:sz w:val="21"/>
                <w:szCs w:val="21"/>
              </w:rPr>
              <w:t>㎡</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福田区梅坳一路与梅坳八路交汇处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文体中心</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院内附属建筑</w:t>
            </w: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出入口8#岗亭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叉车充电房</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38.5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学习与发展中心</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sz w:val="21"/>
                <w:szCs w:val="21"/>
              </w:rPr>
              <w:t>4455.55㎡</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sz w:val="21"/>
                <w:szCs w:val="21"/>
              </w:rPr>
              <w:t>福田区梅村路2号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学习与发展中心</w:t>
            </w:r>
            <w:r>
              <w:rPr>
                <w:rFonts w:hint="eastAsia" w:ascii="宋体" w:hAnsi="宋体" w:eastAsia="宋体" w:cs="宋体"/>
                <w:kern w:val="0"/>
                <w:sz w:val="21"/>
                <w:szCs w:val="21"/>
              </w:rPr>
              <w:t>院内附属建筑</w:t>
            </w: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sz w:val="18"/>
                <w:szCs w:val="18"/>
              </w:rPr>
              <w:t>出入口岗亭</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10.25㎡</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183"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18"/>
                <w:szCs w:val="18"/>
                <w:lang w:val="en-US" w:eastAsia="zh-CN"/>
              </w:rPr>
            </w:pPr>
            <w:r>
              <w:rPr>
                <w:rFonts w:hint="eastAsia"/>
                <w:sz w:val="18"/>
                <w:szCs w:val="18"/>
              </w:rPr>
              <w:t>水泵房</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28㎡</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4366" w:type="dxa"/>
            <w:gridSpan w:val="3"/>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宝安大楼</w:t>
            </w:r>
          </w:p>
        </w:tc>
        <w:tc>
          <w:tcPr>
            <w:tcW w:w="1474"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r>
              <w:rPr>
                <w:rFonts w:hint="eastAsia" w:ascii="宋体" w:hAnsi="宋体" w:eastAsia="宋体" w:cs="宋体"/>
                <w:sz w:val="21"/>
                <w:szCs w:val="21"/>
              </w:rPr>
              <w:t>28346.7㎡</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宝安区兴业路8号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4366" w:type="dxa"/>
            <w:gridSpan w:val="3"/>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宝安大楼附楼</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2098.86㎡</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Merge w:val="restart"/>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宝安大楼</w:t>
            </w:r>
          </w:p>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出入口岗亭</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rPr>
              <w:t>11.2</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物业食堂</w:t>
            </w:r>
          </w:p>
        </w:tc>
        <w:tc>
          <w:tcPr>
            <w:tcW w:w="1474" w:type="dxa"/>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118.48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龙岗大楼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7642.2㎡</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龙岗区龙城街道回龙埔21号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c>
          <w:tcPr>
            <w:tcW w:w="2183" w:type="dxa"/>
            <w:gridSpan w:val="2"/>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龙岗大楼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7</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留仙洞办公楼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3262㎡</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南山区沙河西路3013号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留仙洞办公楼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28.06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水泵房</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46.94</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0" w:type="dxa"/>
            <w:vMerge w:val="continue"/>
            <w:vAlign w:val="center"/>
          </w:tcPr>
          <w:p>
            <w:pPr>
              <w:spacing w:line="300" w:lineRule="exact"/>
              <w:jc w:val="left"/>
              <w:rPr>
                <w:rFonts w:hint="eastAsia" w:ascii="宋体" w:hAnsi="宋体" w:eastAsia="宋体" w:cs="宋体"/>
                <w:sz w:val="21"/>
                <w:szCs w:val="21"/>
              </w:rPr>
            </w:pPr>
          </w:p>
        </w:tc>
        <w:tc>
          <w:tcPr>
            <w:tcW w:w="2183" w:type="dxa"/>
            <w:gridSpan w:val="2"/>
            <w:vMerge w:val="continue"/>
            <w:vAlign w:val="center"/>
          </w:tcPr>
          <w:p>
            <w:pPr>
              <w:spacing w:line="300" w:lineRule="exact"/>
              <w:jc w:val="left"/>
              <w:rPr>
                <w:rFonts w:hint="eastAsia" w:ascii="宋体" w:hAnsi="宋体" w:eastAsia="宋体" w:cs="宋体"/>
                <w:sz w:val="21"/>
                <w:szCs w:val="21"/>
              </w:rPr>
            </w:pP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分公司食堂</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296.45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8</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景田综合楼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5382㎡</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福田区莲花路2032号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景田综合楼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12.24</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9</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盐田综合楼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1283㎡</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盐田区北山道</w:t>
            </w:r>
            <w:r>
              <w:rPr>
                <w:rFonts w:hint="eastAsia" w:ascii="宋体" w:hAnsi="宋体" w:eastAsia="宋体" w:cs="宋体"/>
                <w:sz w:val="21"/>
                <w:szCs w:val="21"/>
                <w:lang w:val="en-US" w:eastAsia="zh-CN"/>
              </w:rPr>
              <w:t>3</w:t>
            </w: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盐田综合楼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6.4㎡</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sz w:val="18"/>
                <w:szCs w:val="18"/>
              </w:rPr>
            </w:pPr>
            <w:r>
              <w:rPr>
                <w:rFonts w:hint="eastAsia" w:ascii="宋体" w:hAnsi="宋体" w:eastAsia="宋体" w:cs="宋体"/>
                <w:sz w:val="18"/>
                <w:szCs w:val="18"/>
              </w:rPr>
              <w:t>水泵房</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10</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松岗综合楼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1282.5㎡</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宝安区松岗街道田园路与芙蓉路交汇处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松岗综合楼</w:t>
            </w:r>
          </w:p>
          <w:p>
            <w:pPr>
              <w:spacing w:line="300" w:lineRule="exact"/>
              <w:jc w:val="left"/>
              <w:rPr>
                <w:rFonts w:hint="eastAsia" w:ascii="宋体" w:hAnsi="宋体" w:eastAsia="宋体" w:cs="宋体"/>
                <w:sz w:val="21"/>
                <w:szCs w:val="21"/>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水泵房</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5.25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11</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松岭综合楼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2174.5㎡</w:t>
            </w:r>
          </w:p>
        </w:tc>
        <w:tc>
          <w:tcPr>
            <w:tcW w:w="2268" w:type="dxa"/>
            <w:vMerge w:val="restart"/>
            <w:vAlign w:val="center"/>
          </w:tcPr>
          <w:p>
            <w:pPr>
              <w:spacing w:line="300" w:lineRule="exact"/>
              <w:jc w:val="left"/>
              <w:rPr>
                <w:rFonts w:hint="eastAsia" w:ascii="宋体" w:hAnsi="宋体" w:eastAsia="宋体" w:cs="宋体"/>
                <w:kern w:val="0"/>
                <w:sz w:val="21"/>
                <w:szCs w:val="21"/>
                <w:lang w:val="en-US"/>
              </w:rPr>
            </w:pPr>
            <w:r>
              <w:rPr>
                <w:rFonts w:hint="eastAsia" w:ascii="宋体" w:hAnsi="宋体" w:eastAsia="宋体" w:cs="宋体"/>
                <w:sz w:val="21"/>
                <w:szCs w:val="21"/>
              </w:rPr>
              <w:t>福田区松岭路</w:t>
            </w:r>
            <w:r>
              <w:rPr>
                <w:rFonts w:hint="eastAsia" w:ascii="宋体" w:hAnsi="宋体" w:eastAsia="宋体" w:cs="宋体"/>
                <w:sz w:val="21"/>
                <w:szCs w:val="21"/>
                <w:lang w:val="en-US" w:eastAsia="zh-CN"/>
              </w:rPr>
              <w:t>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松岭小五楼</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900㎡</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sz w:val="21"/>
                <w:szCs w:val="21"/>
              </w:rPr>
            </w:pPr>
            <w:r>
              <w:rPr>
                <w:rFonts w:hint="eastAsia" w:ascii="宋体" w:hAnsi="宋体" w:eastAsia="宋体" w:cs="宋体"/>
                <w:sz w:val="21"/>
                <w:szCs w:val="21"/>
              </w:rPr>
              <w:t>松岭小三楼</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600㎡</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松岭小区</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620</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松岭物业点</w:t>
            </w:r>
          </w:p>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小区出入口岗亭</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20.65</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配电房</w:t>
            </w:r>
          </w:p>
        </w:tc>
        <w:tc>
          <w:tcPr>
            <w:tcW w:w="1474" w:type="dxa"/>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35.51</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发电机房</w:t>
            </w:r>
          </w:p>
        </w:tc>
        <w:tc>
          <w:tcPr>
            <w:tcW w:w="1474" w:type="dxa"/>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24.88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物业办公室</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22.75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小区车库区域</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物业宿舍1</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物业宿舍2</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杂物间</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9.75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w:t>
            </w: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罗芳综合楼A栋</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4543.01㎡</w:t>
            </w:r>
          </w:p>
        </w:tc>
        <w:tc>
          <w:tcPr>
            <w:tcW w:w="2268" w:type="dxa"/>
            <w:vMerge w:val="restart"/>
            <w:vAlign w:val="center"/>
          </w:tcPr>
          <w:p>
            <w:pPr>
              <w:spacing w:line="300" w:lineRule="exact"/>
              <w:jc w:val="left"/>
              <w:rPr>
                <w:rFonts w:hint="eastAsia" w:ascii="宋体" w:hAnsi="宋体" w:eastAsia="宋体" w:cs="宋体"/>
                <w:kern w:val="0"/>
                <w:sz w:val="21"/>
                <w:szCs w:val="21"/>
              </w:rPr>
            </w:pPr>
            <w:r>
              <w:rPr>
                <w:rFonts w:hint="eastAsia" w:ascii="宋体" w:hAnsi="宋体" w:eastAsia="宋体" w:cs="宋体"/>
                <w:sz w:val="21"/>
                <w:szCs w:val="21"/>
              </w:rPr>
              <w:t>罗湖区经二路11号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4366" w:type="dxa"/>
            <w:gridSpan w:val="3"/>
            <w:vAlign w:val="center"/>
          </w:tcPr>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罗芳综合楼B栋</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2499.52㎡</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Merge w:val="restart"/>
            <w:vAlign w:val="center"/>
          </w:tcPr>
          <w:p>
            <w:pPr>
              <w:spacing w:line="30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罗芳物业点</w:t>
            </w:r>
          </w:p>
          <w:p>
            <w:pPr>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综合楼出入口岗亭</w:t>
            </w:r>
          </w:p>
        </w:tc>
        <w:tc>
          <w:tcPr>
            <w:tcW w:w="1474" w:type="dxa"/>
            <w:vAlign w:val="center"/>
          </w:tcPr>
          <w:p>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9.36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pPr>
          </w:p>
        </w:tc>
        <w:tc>
          <w:tcPr>
            <w:tcW w:w="2183" w:type="dxa"/>
            <w:gridSpan w:val="2"/>
            <w:vMerge w:val="continue"/>
            <w:vAlign w:val="center"/>
          </w:tcPr>
          <w:p>
            <w:pPr>
              <w:spacing w:line="300" w:lineRule="exact"/>
              <w:jc w:val="left"/>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气站出入口岗亭</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6.72</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罗湖公司抢修队办公室</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物业办公室</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15.18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设备房区域</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225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物业宿舍(2间平房)</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34.5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罗湖食堂宿舍(2间平房)</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消防水池</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85.8</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680" w:type="dxa"/>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gridSpan w:val="2"/>
            <w:vMerge w:val="continue"/>
            <w:vAlign w:val="center"/>
          </w:tcPr>
          <w:p>
            <w:pPr>
              <w:spacing w:line="300" w:lineRule="exact"/>
              <w:jc w:val="left"/>
              <w:rPr>
                <w:rFonts w:hint="eastAsia" w:ascii="宋体" w:hAnsi="宋体" w:eastAsia="宋体" w:cs="宋体"/>
                <w:kern w:val="0"/>
                <w:sz w:val="21"/>
                <w:szCs w:val="21"/>
                <w:lang w:val="en-US" w:eastAsia="zh-CN"/>
              </w:rPr>
            </w:pPr>
          </w:p>
        </w:tc>
        <w:tc>
          <w:tcPr>
            <w:tcW w:w="2183" w:type="dxa"/>
            <w:vAlign w:val="center"/>
          </w:tcPr>
          <w:p>
            <w:pPr>
              <w:spacing w:line="300" w:lineRule="exact"/>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气站内砖砌平房</w:t>
            </w:r>
          </w:p>
        </w:tc>
        <w:tc>
          <w:tcPr>
            <w:tcW w:w="1474" w:type="dxa"/>
            <w:vAlign w:val="center"/>
          </w:tcPr>
          <w:p>
            <w:pPr>
              <w:spacing w:line="30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65</w:t>
            </w:r>
            <w:r>
              <w:rPr>
                <w:rFonts w:hint="eastAsia" w:ascii="宋体" w:hAnsi="宋体" w:eastAsia="宋体" w:cs="宋体"/>
                <w:sz w:val="21"/>
                <w:szCs w:val="21"/>
              </w:rPr>
              <w:t>㎡</w:t>
            </w:r>
          </w:p>
        </w:tc>
        <w:tc>
          <w:tcPr>
            <w:tcW w:w="2268" w:type="dxa"/>
            <w:vMerge w:val="continue"/>
            <w:vAlign w:val="center"/>
          </w:tcPr>
          <w:p>
            <w:pPr>
              <w:spacing w:line="300" w:lineRule="exact"/>
              <w:jc w:val="left"/>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13</w:t>
            </w:r>
          </w:p>
        </w:tc>
        <w:tc>
          <w:tcPr>
            <w:tcW w:w="4366" w:type="dxa"/>
            <w:gridSpan w:val="3"/>
            <w:vAlign w:val="center"/>
          </w:tcPr>
          <w:p>
            <w:pPr>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石岩天然气抢险服务中心</w:t>
            </w:r>
          </w:p>
        </w:tc>
        <w:tc>
          <w:tcPr>
            <w:tcW w:w="1474" w:type="dxa"/>
            <w:vAlign w:val="center"/>
          </w:tcPr>
          <w:p>
            <w:pPr>
              <w:spacing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3490.04</w:t>
            </w:r>
            <w:r>
              <w:rPr>
                <w:rFonts w:hint="eastAsia" w:ascii="宋体" w:hAnsi="宋体" w:eastAsia="宋体" w:cs="宋体"/>
                <w:sz w:val="21"/>
                <w:szCs w:val="21"/>
              </w:rPr>
              <w:t>㎡</w:t>
            </w:r>
          </w:p>
        </w:tc>
        <w:tc>
          <w:tcPr>
            <w:tcW w:w="2268" w:type="dxa"/>
            <w:vMerge w:val="restart"/>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宝安区石岩街道办黄蜂岭工业大道与同辉路交汇处东南侧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kern w:val="0"/>
                <w:sz w:val="21"/>
                <w:szCs w:val="21"/>
                <w:lang w:val="en-US" w:eastAsia="zh-CN" w:bidi="ar-SA"/>
              </w:rPr>
            </w:pPr>
          </w:p>
        </w:tc>
        <w:tc>
          <w:tcPr>
            <w:tcW w:w="2183" w:type="dxa"/>
            <w:gridSpan w:val="2"/>
            <w:vAlign w:val="center"/>
          </w:tcPr>
          <w:p>
            <w:pPr>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石岩天然气抢险服务中心</w:t>
            </w:r>
            <w:r>
              <w:rPr>
                <w:rFonts w:hint="eastAsia" w:ascii="宋体" w:hAnsi="宋体" w:eastAsia="宋体" w:cs="宋体"/>
                <w:kern w:val="0"/>
                <w:sz w:val="21"/>
                <w:szCs w:val="21"/>
              </w:rPr>
              <w:t>院内附属建筑</w:t>
            </w:r>
          </w:p>
        </w:tc>
        <w:tc>
          <w:tcPr>
            <w:tcW w:w="2183" w:type="dxa"/>
            <w:vAlign w:val="center"/>
          </w:tcPr>
          <w:p>
            <w:pPr>
              <w:spacing w:line="300" w:lineRule="exact"/>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出入口岗亭</w:t>
            </w:r>
          </w:p>
        </w:tc>
        <w:tc>
          <w:tcPr>
            <w:tcW w:w="1474" w:type="dxa"/>
            <w:vAlign w:val="center"/>
          </w:tcPr>
          <w:p>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w:t>
            </w:r>
          </w:p>
        </w:tc>
        <w:tc>
          <w:tcPr>
            <w:tcW w:w="2268" w:type="dxa"/>
            <w:vMerge w:val="continue"/>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kern w:val="0"/>
                <w:sz w:val="21"/>
                <w:szCs w:val="21"/>
              </w:rPr>
            </w:pPr>
          </w:p>
        </w:tc>
      </w:tr>
    </w:tbl>
    <w:p>
      <w:pPr>
        <w:tabs>
          <w:tab w:val="left" w:pos="7560"/>
        </w:tabs>
        <w:adjustRightInd w:val="0"/>
        <w:snapToGrid w:val="0"/>
        <w:spacing w:line="360" w:lineRule="auto"/>
        <w:ind w:firstLine="422" w:firstLineChars="200"/>
        <w:contextualSpacing/>
        <w:rPr>
          <w:rFonts w:hint="eastAsia" w:ascii="宋体" w:hAnsi="宋体" w:eastAsia="宋体" w:cs="仿宋_GB2312"/>
          <w:szCs w:val="21"/>
          <w:lang w:eastAsia="zh-CN"/>
        </w:rPr>
      </w:pPr>
      <w:r>
        <w:rPr>
          <w:rFonts w:hint="eastAsia" w:ascii="宋体" w:hAnsi="宋体" w:eastAsia="宋体"/>
          <w:b/>
          <w:szCs w:val="21"/>
          <w:lang w:val="en-US" w:eastAsia="zh-CN"/>
        </w:rPr>
        <w:t>二</w:t>
      </w:r>
      <w:r>
        <w:rPr>
          <w:rFonts w:ascii="宋体" w:hAnsi="宋体" w:eastAsia="宋体"/>
          <w:b/>
          <w:szCs w:val="21"/>
        </w:rPr>
        <w:t>、</w:t>
      </w:r>
      <w:r>
        <w:rPr>
          <w:rFonts w:hint="eastAsia" w:ascii="宋体" w:hAnsi="宋体" w:eastAsia="宋体"/>
          <w:b/>
          <w:sz w:val="21"/>
          <w:szCs w:val="21"/>
        </w:rPr>
        <w:t>其他未尽事宜详见第四章合同样式及条款</w:t>
      </w:r>
      <w:r>
        <w:rPr>
          <w:rFonts w:hint="eastAsia" w:ascii="宋体" w:hAnsi="宋体" w:eastAsia="宋体"/>
          <w:b/>
          <w:szCs w:val="21"/>
        </w:rPr>
        <w:t>。</w:t>
      </w: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8" w:name="_Hlk532142230"/>
    </w:p>
    <w:p>
      <w:pPr>
        <w:pStyle w:val="5"/>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lang w:eastAsia="zh-CN"/>
        </w:rPr>
        <w:t>深燃大厦等物业2026年度防雷定期检测</w:t>
      </w:r>
      <w:r>
        <w:rPr>
          <w:rFonts w:hint="eastAsia" w:ascii="宋体" w:hAnsi="宋体" w:eastAsia="宋体"/>
          <w:color w:val="0000FF"/>
          <w:szCs w:val="21"/>
          <w:u w:val="single"/>
        </w:rPr>
        <w:t>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cs="仿宋_GB2312"/>
          <w:b/>
          <w:sz w:val="28"/>
          <w:szCs w:val="28"/>
          <w:u w:val="single"/>
          <w:lang w:val="en-US" w:eastAsia="zh-CN"/>
        </w:rPr>
      </w:pPr>
      <w:r>
        <w:rPr>
          <w:rFonts w:hint="eastAsia" w:ascii="宋体" w:hAnsi="宋体" w:eastAsia="宋体" w:cs="仿宋_GB2312"/>
          <w:b/>
          <w:sz w:val="28"/>
          <w:szCs w:val="28"/>
        </w:rPr>
        <w:t>项目编号：</w:t>
      </w:r>
      <w:r>
        <w:rPr>
          <w:rFonts w:hint="eastAsia" w:ascii="宋体" w:hAnsi="宋体" w:eastAsia="宋体"/>
          <w:color w:val="0000FF"/>
          <w:szCs w:val="21"/>
          <w:u w:val="single"/>
          <w:lang w:val="en-US" w:eastAsia="zh-CN"/>
        </w:rPr>
        <w:t>WW-26-011</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color w:val="0000FF"/>
          <w:szCs w:val="21"/>
          <w:u w:val="single"/>
          <w:lang w:val="en-US" w:eastAsia="zh-CN"/>
        </w:rPr>
        <w:t>26</w:t>
      </w:r>
      <w:r>
        <w:rPr>
          <w:rFonts w:hint="eastAsia" w:ascii="宋体" w:hAnsi="宋体" w:eastAsia="宋体" w:cs="仿宋_GB2312"/>
          <w:b/>
          <w:sz w:val="28"/>
          <w:szCs w:val="28"/>
        </w:rPr>
        <w:t>年</w:t>
      </w:r>
      <w:r>
        <w:rPr>
          <w:rFonts w:hint="eastAsia" w:ascii="宋体" w:hAnsi="宋体" w:eastAsia="宋体"/>
          <w:color w:val="0000FF"/>
          <w:szCs w:val="21"/>
          <w:u w:val="single"/>
          <w:lang w:val="en-US" w:eastAsia="zh-CN"/>
        </w:rPr>
        <w:t>5</w:t>
      </w:r>
      <w:r>
        <w:rPr>
          <w:rFonts w:hint="eastAsia" w:ascii="宋体" w:hAnsi="宋体" w:eastAsia="宋体" w:cs="仿宋_GB2312"/>
          <w:b/>
          <w:sz w:val="28"/>
          <w:szCs w:val="28"/>
        </w:rPr>
        <w:t>月</w:t>
      </w:r>
    </w:p>
    <w:bookmarkEnd w:id="8"/>
    <w:p>
      <w:pPr>
        <w:widowControl/>
        <w:jc w:val="left"/>
      </w:pPr>
      <w:r>
        <w:br w:type="page"/>
      </w:r>
    </w:p>
    <w:p>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0" w:firstLineChars="0"/>
        <w:contextualSpacing/>
        <w:jc w:val="center"/>
        <w:textAlignment w:val="auto"/>
        <w:rPr>
          <w:rFonts w:ascii="宋体" w:hAnsi="宋体" w:eastAsia="宋体"/>
          <w:b/>
          <w:sz w:val="28"/>
          <w:szCs w:val="28"/>
        </w:rPr>
      </w:pPr>
      <w:r>
        <w:rPr>
          <w:rFonts w:hint="eastAsia" w:ascii="宋体" w:hAnsi="宋体" w:eastAsia="宋体" w:cs="仿宋_GB2312"/>
          <w:b/>
          <w:sz w:val="28"/>
          <w:szCs w:val="28"/>
        </w:rPr>
        <w:t>响应人</w:t>
      </w:r>
      <w:r>
        <w:rPr>
          <w:rFonts w:hint="eastAsia" w:ascii="宋体" w:hAnsi="宋体" w:eastAsia="宋体" w:cs="仿宋_GB2312"/>
          <w:b/>
          <w:sz w:val="28"/>
          <w:szCs w:val="28"/>
          <w:lang w:val="en-US" w:eastAsia="zh-CN"/>
        </w:rPr>
        <w:t>联系</w:t>
      </w:r>
      <w:r>
        <w:rPr>
          <w:rFonts w:hint="eastAsia" w:ascii="宋体" w:hAnsi="宋体" w:eastAsia="宋体" w:cs="仿宋_GB2312"/>
          <w:b/>
          <w:sz w:val="28"/>
          <w:szCs w:val="28"/>
        </w:rPr>
        <w:t>信息</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1.响应人名称：</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2.深圳办公（经营）地址：</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3.法定代表人或授权代理人姓名：</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4.法定代表人或授权代理人联系电话：</w:t>
      </w:r>
    </w:p>
    <w:p>
      <w:pPr>
        <w:widowControl/>
        <w:jc w:val="left"/>
      </w:pPr>
      <w:r>
        <w:rPr>
          <w:rFonts w:hint="eastAsia" w:ascii="宋体" w:hAnsi="宋体" w:eastAsia="宋体" w:cs="仿宋_GB2312"/>
          <w:szCs w:val="21"/>
        </w:rPr>
        <w:br w:type="page"/>
      </w:r>
    </w:p>
    <w:p>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0"/>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0"/>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3"/>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lang w:eastAsia="zh-CN"/>
        </w:rPr>
        <w:t>深燃大厦等物业2026年度防雷定期检测</w:t>
      </w:r>
      <w:r>
        <w:rPr>
          <w:rFonts w:hint="eastAsia" w:ascii="宋体" w:hAnsi="宋体" w:eastAsia="宋体" w:cs="仿宋_GB2312"/>
          <w:szCs w:val="21"/>
        </w:rPr>
        <w:t>项目（项目编号：</w:t>
      </w:r>
      <w:r>
        <w:rPr>
          <w:rFonts w:hint="eastAsia" w:ascii="宋体" w:hAnsi="宋体" w:eastAsia="宋体"/>
          <w:color w:val="0000FF"/>
          <w:szCs w:val="21"/>
          <w:u w:val="single"/>
          <w:lang w:val="en-US" w:eastAsia="zh-CN"/>
        </w:rPr>
        <w:t>WW-26-011</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授权代理人联系方式（手机）：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5"/>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yellow"/>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yellow"/>
                <w:vertAlign w:val="baseline"/>
                <w:lang w:val="en-US" w:eastAsia="zh-CN"/>
              </w:rPr>
              <w:t>外，以上人员需提供</w:t>
            </w:r>
            <w:r>
              <w:rPr>
                <w:rFonts w:hint="eastAsia" w:ascii="宋体" w:hAnsi="宋体" w:cs="宋体"/>
                <w:b/>
                <w:bCs/>
                <w:highlight w:val="yellow"/>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3"/>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3"/>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lang w:val="en-US" w:eastAsia="zh-CN"/>
        </w:rPr>
        <w:t>WW-26-011</w:t>
      </w:r>
      <w:r>
        <w:rPr>
          <w:rFonts w:hint="eastAsia" w:ascii="宋体" w:hAnsi="宋体" w:cs="宋体"/>
          <w:color w:val="auto"/>
          <w:szCs w:val="21"/>
          <w:highlight w:val="none"/>
        </w:rPr>
        <w:t>的</w:t>
      </w:r>
      <w:r>
        <w:rPr>
          <w:rFonts w:hint="eastAsia" w:ascii="宋体" w:hAnsi="宋体" w:cs="宋体"/>
          <w:color w:val="auto"/>
          <w:szCs w:val="21"/>
          <w:highlight w:val="none"/>
          <w:u w:val="single"/>
          <w:lang w:eastAsia="zh-CN"/>
        </w:rPr>
        <w:t>深燃大厦等物业2026年度防雷定期检测</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.被列入深圳市燃气集团股份有限公司/深圳市深燃物业服务有限公司黑名单的或暂停承包资格的。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“深圳市交通运输局”网站（https://jtys.sz.gov.cn/）-政务公开-信用信息双公示-行政处罚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4.“深圳市政府采购监管网中国政府采购网深圳分网”网站（http://zfcg.sz.gov.cn/cgjg/cfgg/）-采购监管-诚信档案-入口查询行政处罚记录</w:t>
      </w:r>
      <w:r>
        <w:rPr>
          <w:rFonts w:hint="eastAsia" w:ascii="Calibri" w:hAnsi="Calibri" w:eastAsia="宋体"/>
          <w:lang w:val="en-US" w:eastAsia="zh-CN"/>
        </w:rPr>
        <w:t>：</w:t>
      </w: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“深圳公共资源交易公共服务平台”（https://www.szggzy.com/static/index.html）-监管信息-交易曝光台及其他监管信息：</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lang w:val="en-US" w:eastAsia="zh-CN"/>
        </w:rPr>
      </w:pPr>
    </w:p>
    <w:p>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3"/>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3"/>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深燃大厦等物业2026年度防雷定期检测项目</w:t>
      </w:r>
    </w:p>
    <w:p>
      <w:pPr>
        <w:rPr>
          <w:rFonts w:hint="eastAsia"/>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6"/>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pStyle w:val="3"/>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lang w:eastAsia="zh-CN"/>
        </w:rPr>
        <w:t>深燃大厦等物业2026年度防雷定期检测</w:t>
      </w:r>
      <w:r>
        <w:rPr>
          <w:rFonts w:hint="eastAsia" w:ascii="宋体" w:hAnsi="宋体" w:eastAsia="宋体" w:cs="仿宋_GB2312"/>
          <w:szCs w:val="21"/>
          <w:u w:val="single"/>
        </w:rPr>
        <w:t>项目</w:t>
      </w:r>
    </w:p>
    <w:p>
      <w:pPr>
        <w:tabs>
          <w:tab w:val="left" w:pos="7560"/>
        </w:tabs>
        <w:spacing w:line="360" w:lineRule="auto"/>
        <w:ind w:firstLine="420" w:firstLineChars="200"/>
        <w:contextualSpacing/>
        <w:rPr>
          <w:rFonts w:hint="default" w:ascii="宋体" w:hAnsi="宋体" w:eastAsia="宋体" w:cs="仿宋_GB2312"/>
          <w:szCs w:val="21"/>
          <w:u w:val="single"/>
          <w:lang w:val="en-US" w:eastAsia="zh-CN"/>
        </w:rPr>
      </w:pPr>
      <w:r>
        <w:rPr>
          <w:rFonts w:hint="eastAsia" w:ascii="宋体" w:hAnsi="宋体" w:eastAsia="宋体" w:cs="仿宋_GB2312"/>
          <w:szCs w:val="21"/>
        </w:rPr>
        <w:t>项目编号：</w:t>
      </w:r>
      <w:r>
        <w:rPr>
          <w:rFonts w:hint="eastAsia" w:ascii="宋体" w:hAnsi="宋体" w:eastAsia="宋体" w:cs="仿宋_GB2312"/>
          <w:szCs w:val="21"/>
          <w:u w:val="single"/>
          <w:lang w:val="en-US" w:eastAsia="zh-CN"/>
        </w:rPr>
        <w:t>WW-26-011</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color w:val="0000FF"/>
        </w:rPr>
      </w:pP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olor w:val="0000FF"/>
          <w:szCs w:val="21"/>
          <w:lang w:val="en-US" w:eastAsia="zh-CN"/>
        </w:rPr>
        <w:sectPr>
          <w:pgSz w:w="11906" w:h="16838"/>
          <w:pgMar w:top="1440" w:right="1800" w:bottom="1440" w:left="1800" w:header="851" w:footer="992" w:gutter="0"/>
          <w:cols w:space="425" w:num="1"/>
          <w:docGrid w:type="lines" w:linePitch="312" w:charSpace="0"/>
        </w:sectPr>
      </w:pPr>
    </w:p>
    <w:p>
      <w:pPr>
        <w:pStyle w:val="4"/>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hint="default" w:ascii="宋体" w:hAnsi="宋体" w:eastAsia="宋体" w:cs="Times New Roman"/>
          <w:szCs w:val="21"/>
          <w:lang w:val="en-US" w:eastAsia="zh-CN"/>
        </w:rPr>
      </w:pPr>
      <w:r>
        <w:rPr>
          <w:rFonts w:ascii="宋体" w:hAnsi="宋体" w:eastAsia="宋体" w:cs="Times New Roman"/>
          <w:szCs w:val="21"/>
        </w:rPr>
        <w:t>项目编号：</w:t>
      </w:r>
      <w:r>
        <w:rPr>
          <w:rFonts w:hint="eastAsia" w:ascii="宋体" w:hAnsi="宋体" w:eastAsia="宋体" w:cs="Times New Roman"/>
          <w:szCs w:val="21"/>
          <w:u w:val="single"/>
          <w:lang w:val="en-US" w:eastAsia="zh-CN"/>
        </w:rPr>
        <w:t>WW-26-011</w:t>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olor w:val="000000"/>
          <w:szCs w:val="21"/>
        </w:rPr>
      </w:pPr>
      <w:r>
        <w:rPr>
          <w:rFonts w:ascii="宋体" w:hAnsi="宋体" w:eastAsia="宋体" w:cs="Times New Roman"/>
          <w:szCs w:val="21"/>
        </w:rPr>
        <w:t>项目名称：</w:t>
      </w:r>
      <w:r>
        <w:rPr>
          <w:rFonts w:hint="eastAsia" w:ascii="宋体" w:hAnsi="宋体" w:eastAsia="宋体" w:cs="Times New Roman"/>
          <w:szCs w:val="21"/>
          <w:u w:val="single"/>
          <w:lang w:eastAsia="zh-CN"/>
        </w:rPr>
        <w:t>深燃大厦等物业2026年度防雷定期检测</w:t>
      </w:r>
      <w:r>
        <w:rPr>
          <w:rFonts w:hint="eastAsia" w:ascii="宋体" w:hAnsi="宋体" w:eastAsia="宋体" w:cs="Times New Roman"/>
          <w:szCs w:val="21"/>
          <w:u w:val="single"/>
        </w:rPr>
        <w:t>项目</w:t>
      </w:r>
    </w:p>
    <w:tbl>
      <w:tblPr>
        <w:tblStyle w:val="1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3005"/>
        <w:gridCol w:w="1702"/>
        <w:gridCol w:w="1134"/>
        <w:gridCol w:w="283"/>
        <w:gridCol w:w="1984"/>
        <w:gridCol w:w="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79"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r>
              <w:rPr>
                <w:rFonts w:hint="eastAsia" w:ascii="宋体" w:hAnsi="宋体" w:eastAsia="宋体"/>
                <w:b/>
                <w:bCs/>
                <w:color w:val="000000"/>
                <w:szCs w:val="21"/>
                <w:vertAlign w:val="baseline"/>
                <w:lang w:val="en-US" w:eastAsia="zh-CN"/>
              </w:rPr>
              <w:t>序号</w:t>
            </w:r>
          </w:p>
        </w:tc>
        <w:tc>
          <w:tcPr>
            <w:tcW w:w="3005"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r>
              <w:rPr>
                <w:rFonts w:hint="eastAsia" w:ascii="宋体" w:hAnsi="宋体" w:eastAsia="宋体"/>
                <w:b/>
                <w:bCs/>
                <w:color w:val="000000"/>
                <w:szCs w:val="21"/>
                <w:vertAlign w:val="baseline"/>
                <w:lang w:val="en-US" w:eastAsia="zh-CN"/>
              </w:rPr>
              <w:t>物业名称</w:t>
            </w:r>
          </w:p>
        </w:tc>
        <w:tc>
          <w:tcPr>
            <w:tcW w:w="17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r>
              <w:rPr>
                <w:rFonts w:hint="eastAsia" w:ascii="宋体" w:hAnsi="宋体" w:eastAsia="宋体"/>
                <w:b/>
                <w:bCs/>
                <w:color w:val="000000"/>
                <w:szCs w:val="21"/>
                <w:vertAlign w:val="baseline"/>
                <w:lang w:val="en-US" w:eastAsia="zh-CN"/>
              </w:rPr>
              <w:t>检测面积（㎡）</w:t>
            </w:r>
          </w:p>
        </w:tc>
        <w:tc>
          <w:tcPr>
            <w:tcW w:w="3403"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b/>
                <w:bCs/>
                <w:color w:val="000000"/>
                <w:szCs w:val="21"/>
                <w:vertAlign w:val="baseline"/>
                <w:lang w:val="en-US" w:eastAsia="zh-CN"/>
              </w:rPr>
            </w:pPr>
            <w:r>
              <w:rPr>
                <w:rFonts w:hint="eastAsia" w:ascii="宋体" w:hAnsi="宋体" w:eastAsia="宋体"/>
                <w:b/>
                <w:bCs/>
                <w:color w:val="000000"/>
                <w:szCs w:val="21"/>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tblHeader/>
          <w:jc w:val="center"/>
        </w:trPr>
        <w:tc>
          <w:tcPr>
            <w:tcW w:w="67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p>
        </w:tc>
        <w:tc>
          <w:tcPr>
            <w:tcW w:w="300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p>
        </w:tc>
        <w:tc>
          <w:tcPr>
            <w:tcW w:w="17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r>
              <w:rPr>
                <w:rFonts w:hint="eastAsia" w:ascii="宋体" w:hAnsi="宋体" w:eastAsia="宋体"/>
                <w:b/>
                <w:bCs/>
                <w:color w:val="000000"/>
                <w:szCs w:val="21"/>
                <w:vertAlign w:val="baseline"/>
                <w:lang w:val="en-US" w:eastAsia="zh-CN"/>
              </w:rPr>
              <w:t>综合单价</w:t>
            </w: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b/>
                <w:bCs/>
                <w:color w:val="000000"/>
                <w:szCs w:val="21"/>
                <w:vertAlign w:val="baseline"/>
                <w:lang w:val="en-US" w:eastAsia="zh-CN"/>
              </w:rPr>
            </w:pPr>
            <w:r>
              <w:rPr>
                <w:rFonts w:hint="eastAsia" w:ascii="宋体" w:hAnsi="宋体" w:eastAsia="宋体"/>
                <w:b/>
                <w:bCs/>
                <w:color w:val="000000"/>
                <w:szCs w:val="21"/>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深燃大厦</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89003.09</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2</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深燃大厦院内附属建筑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1220.06</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3</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深燃大厦员工食堂</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2452.82</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4</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深燃大厦员工食堂院内附属建筑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6.25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5</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文体中心</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3500</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6</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文体中心院内附属建筑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44.5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7</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学习与发展中心</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4455.55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8</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学习与发展中心院内附属建筑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38.25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9</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宝安大楼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28346.7</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10</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宝安大楼附楼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2098.86</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11</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宝安大楼院内附属建筑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129.68</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12</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龙岗大楼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7642.2</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13</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龙岗大楼院内附属建筑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14</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留仙洞办公楼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3262</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15</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留仙洞办公楼院内附属建筑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371.45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16</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景田综合楼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5382</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17</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景田综合楼院内附属建筑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12.24</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18</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盐田综合楼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1283</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default"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19</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盐田综合楼院内附属建筑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theme="minorBidi"/>
                <w:color w:val="000000"/>
                <w:kern w:val="2"/>
                <w:sz w:val="18"/>
                <w:szCs w:val="18"/>
                <w:vertAlign w:val="baseline"/>
                <w:lang w:val="en-US" w:eastAsia="zh-CN" w:bidi="ar-SA"/>
              </w:rPr>
            </w:pPr>
            <w:r>
              <w:rPr>
                <w:rFonts w:hint="eastAsia" w:ascii="宋体" w:hAnsi="宋体" w:eastAsia="宋体" w:cstheme="minorBidi"/>
                <w:color w:val="000000"/>
                <w:kern w:val="2"/>
                <w:sz w:val="18"/>
                <w:szCs w:val="18"/>
                <w:vertAlign w:val="baseline"/>
                <w:lang w:val="en-US" w:eastAsia="zh-CN" w:bidi="ar-SA"/>
              </w:rPr>
              <w:t>16.4</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20</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松岗综合楼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1282.5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21</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松岗综合楼院内附属建筑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13.25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22</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松岭综合楼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2174.5</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23</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松岭小五楼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900</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24</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松岭小三楼</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600</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25</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theme="minorBidi"/>
                <w:color w:val="000000"/>
                <w:kern w:val="2"/>
                <w:sz w:val="16"/>
                <w:szCs w:val="16"/>
                <w:vertAlign w:val="baseline"/>
                <w:lang w:val="en-US" w:eastAsia="zh-CN" w:bidi="ar-SA"/>
              </w:rPr>
            </w:pPr>
            <w:r>
              <w:rPr>
                <w:rFonts w:hint="eastAsia" w:ascii="宋体" w:hAnsi="宋体" w:eastAsia="宋体" w:cstheme="minorBidi"/>
                <w:color w:val="000000"/>
                <w:kern w:val="2"/>
                <w:sz w:val="16"/>
                <w:szCs w:val="16"/>
                <w:vertAlign w:val="baseline"/>
                <w:lang w:val="en-US" w:eastAsia="zh-CN" w:bidi="ar-SA"/>
              </w:rPr>
              <w:t>松岭小区</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620</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26</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松岭物业点院内附属建筑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321.54</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27</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罗芳综合楼A栋</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4543.01</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28</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罗芳综合楼B栋</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2499.52</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29</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罗芳物业点院内附属建筑</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603.56</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30</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石岩天然气抢险服务中心</w:t>
            </w:r>
          </w:p>
        </w:tc>
        <w:tc>
          <w:tcPr>
            <w:tcW w:w="1702"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3490.04</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397" w:hRule="atLeast"/>
          <w:jc w:val="center"/>
        </w:trPr>
        <w:tc>
          <w:tcPr>
            <w:tcW w:w="679"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31</w:t>
            </w:r>
          </w:p>
        </w:tc>
        <w:tc>
          <w:tcPr>
            <w:tcW w:w="3005" w:type="dxa"/>
            <w:vAlign w:val="center"/>
          </w:tcPr>
          <w:p>
            <w:pPr>
              <w:keepNext w:val="0"/>
              <w:keepLines w:val="0"/>
              <w:pageBreakBefore w:val="0"/>
              <w:widowControl/>
              <w:kinsoku/>
              <w:wordWrap/>
              <w:overflowPunct/>
              <w:topLinePunct w:val="0"/>
              <w:autoSpaceDE/>
              <w:autoSpaceDN/>
              <w:bidi w:val="0"/>
              <w:adjustRightInd/>
              <w:snapToGrid/>
              <w:spacing w:line="220" w:lineRule="exact"/>
              <w:contextualSpacing/>
              <w:jc w:val="left"/>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6"/>
                <w:szCs w:val="16"/>
                <w:vertAlign w:val="baseline"/>
                <w:lang w:val="en-US" w:eastAsia="zh-CN" w:bidi="ar-SA"/>
              </w:rPr>
              <w:t>石岩天然气抢险服务中心院内附属建筑</w:t>
            </w:r>
          </w:p>
        </w:tc>
        <w:tc>
          <w:tcPr>
            <w:tcW w:w="1702" w:type="dxa"/>
            <w:vAlign w:val="center"/>
          </w:tcPr>
          <w:p>
            <w:pPr>
              <w:spacing w:line="300" w:lineRule="exact"/>
              <w:jc w:val="center"/>
              <w:rPr>
                <w:rFonts w:hint="eastAsia" w:ascii="宋体" w:hAnsi="宋体" w:eastAsia="宋体" w:cs="宋体"/>
                <w:b w:val="0"/>
                <w:bCs w:val="0"/>
                <w:kern w:val="2"/>
                <w:sz w:val="18"/>
                <w:szCs w:val="18"/>
                <w:lang w:val="en-US" w:eastAsia="zh-CN" w:bidi="ar-SA"/>
              </w:rPr>
            </w:pPr>
            <w:r>
              <w:rPr>
                <w:rFonts w:hint="eastAsia" w:ascii="宋体" w:hAnsi="宋体" w:eastAsia="宋体" w:cstheme="minorBidi"/>
                <w:color w:val="000000"/>
                <w:kern w:val="2"/>
                <w:sz w:val="18"/>
                <w:szCs w:val="18"/>
                <w:vertAlign w:val="baseline"/>
                <w:lang w:val="en-US" w:eastAsia="zh-CN" w:bidi="ar-SA"/>
              </w:rPr>
              <w:t>6</w:t>
            </w:r>
          </w:p>
        </w:tc>
        <w:tc>
          <w:tcPr>
            <w:tcW w:w="1417"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val="0"/>
                <w:bCs w:val="0"/>
                <w:kern w:val="0"/>
                <w:sz w:val="21"/>
                <w:szCs w:val="21"/>
                <w:lang w:val="en-US" w:eastAsia="zh-CN" w:bidi="ar-SA"/>
              </w:rPr>
            </w:pPr>
          </w:p>
        </w:tc>
        <w:tc>
          <w:tcPr>
            <w:tcW w:w="198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6" w:type="dxa"/>
            <w:gridSpan w:val="3"/>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不含税合计</w:t>
            </w:r>
          </w:p>
        </w:tc>
        <w:tc>
          <w:tcPr>
            <w:tcW w:w="3403"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6" w:type="dxa"/>
            <w:gridSpan w:val="3"/>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税金</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Cs w:val="21"/>
                <w:vertAlign w:val="baseline"/>
                <w:lang w:val="en-US" w:eastAsia="zh-CN"/>
              </w:rPr>
            </w:pPr>
            <w:r>
              <w:rPr>
                <w:rFonts w:hint="eastAsia" w:ascii="宋体" w:hAnsi="宋体" w:eastAsia="宋体"/>
                <w:color w:val="000000"/>
                <w:szCs w:val="21"/>
                <w:vertAlign w:val="baseline"/>
                <w:lang w:val="en-US" w:eastAsia="zh-CN"/>
              </w:rPr>
              <w:t>6%</w:t>
            </w:r>
          </w:p>
        </w:tc>
        <w:tc>
          <w:tcPr>
            <w:tcW w:w="2269" w:type="dxa"/>
            <w:gridSpan w:val="3"/>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6" w:type="dxa"/>
            <w:gridSpan w:val="3"/>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合计</w:t>
            </w:r>
          </w:p>
        </w:tc>
        <w:tc>
          <w:tcPr>
            <w:tcW w:w="3403"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olor w:val="000000"/>
                <w:szCs w:val="21"/>
                <w:vertAlign w:val="baseline"/>
                <w:lang w:val="en-US" w:eastAsia="zh-CN"/>
              </w:rPr>
            </w:pPr>
          </w:p>
        </w:tc>
      </w:tr>
    </w:tbl>
    <w:p>
      <w:pPr>
        <w:keepNext w:val="0"/>
        <w:keepLines w:val="0"/>
        <w:pageBreakBefore w:val="0"/>
        <w:widowControl/>
        <w:tabs>
          <w:tab w:val="left" w:pos="7560"/>
        </w:tabs>
        <w:kinsoku/>
        <w:wordWrap/>
        <w:overflowPunct/>
        <w:topLinePunct w:val="0"/>
        <w:autoSpaceDE/>
        <w:autoSpaceDN/>
        <w:bidi w:val="0"/>
        <w:adjustRightInd/>
        <w:snapToGrid/>
        <w:spacing w:line="240" w:lineRule="auto"/>
        <w:contextualSpacing/>
        <w:textAlignment w:val="auto"/>
        <w:rPr>
          <w:rFonts w:hint="eastAsia" w:ascii="宋体" w:hAnsi="宋体" w:eastAsia="宋体"/>
          <w:color w:val="0000FF"/>
          <w:sz w:val="22"/>
          <w:szCs w:val="22"/>
          <w:u w:val="none"/>
        </w:rPr>
      </w:pP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w:t>
      </w:r>
      <w:r>
        <w:rPr>
          <w:rFonts w:hint="eastAsia" w:ascii="宋体" w:hAnsi="宋体" w:eastAsia="宋体"/>
          <w:color w:val="0000FF"/>
          <w:sz w:val="21"/>
          <w:szCs w:val="21"/>
          <w:u w:val="none"/>
          <w:lang w:eastAsia="zh-CN"/>
        </w:rPr>
        <w:t>响应人</w:t>
      </w:r>
      <w:r>
        <w:rPr>
          <w:rFonts w:hint="eastAsia" w:ascii="宋体" w:hAnsi="宋体" w:eastAsia="宋体"/>
          <w:color w:val="0000FF"/>
          <w:sz w:val="21"/>
          <w:szCs w:val="21"/>
          <w:u w:val="none"/>
        </w:rPr>
        <w:t>不得更改报价表格式，响应总价不得超过本项目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lang w:eastAsia="zh-CN"/>
        </w:rPr>
      </w:pPr>
      <w:r>
        <w:rPr>
          <w:rFonts w:hint="eastAsia" w:ascii="宋体" w:hAnsi="宋体" w:eastAsia="宋体" w:cs="仿宋_GB2312"/>
          <w:szCs w:val="21"/>
        </w:rPr>
        <w:t>日期：     年    月</w:t>
      </w:r>
    </w:p>
    <w:p>
      <w:pPr>
        <w:rPr>
          <w:rFonts w:hint="eastAsia"/>
          <w:lang w:val="en-US" w:eastAsia="zh-CN"/>
        </w:rPr>
      </w:pPr>
    </w:p>
    <w:p>
      <w:pPr>
        <w:tabs>
          <w:tab w:val="left" w:pos="7560"/>
        </w:tabs>
        <w:spacing w:line="360" w:lineRule="auto"/>
        <w:ind w:firstLine="422" w:firstLineChars="200"/>
        <w:contextualSpacing/>
        <w:rPr>
          <w:rFonts w:ascii="宋体" w:hAnsi="宋体" w:eastAsia="宋体"/>
          <w:b/>
          <w:color w:val="000000"/>
          <w:szCs w:val="21"/>
        </w:rPr>
      </w:pPr>
    </w:p>
    <w:p>
      <w:pPr>
        <w:widowControl/>
        <w:spacing w:line="360" w:lineRule="auto"/>
        <w:ind w:firstLine="420" w:firstLineChars="200"/>
        <w:contextualSpacing/>
        <w:rPr>
          <w:rFonts w:ascii="宋体" w:hAnsi="宋体" w:eastAsia="宋体" w:cs="仿宋_GB2312"/>
          <w:szCs w:val="21"/>
        </w:rPr>
      </w:pPr>
    </w:p>
    <w:p>
      <w:pPr>
        <w:widowControl/>
        <w:spacing w:line="360" w:lineRule="auto"/>
        <w:ind w:firstLine="420" w:firstLineChars="200"/>
        <w:contextualSpacing/>
        <w:rPr>
          <w:rFonts w:ascii="宋体" w:hAnsi="宋体" w:eastAsia="宋体" w:cs="仿宋_GB2312"/>
          <w:szCs w:val="21"/>
        </w:rPr>
      </w:pPr>
    </w:p>
    <w:p>
      <w:pPr>
        <w:widowControl/>
        <w:jc w:val="left"/>
        <w:rPr>
          <w:rFonts w:ascii="宋体" w:hAnsi="宋体" w:eastAsia="宋体"/>
          <w:szCs w:val="21"/>
        </w:rPr>
      </w:pPr>
    </w:p>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swiss"/>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068A6"/>
    <w:rsid w:val="0A0A2FD7"/>
    <w:rsid w:val="0F7C1515"/>
    <w:rsid w:val="11230588"/>
    <w:rsid w:val="1FF757A6"/>
    <w:rsid w:val="21166F57"/>
    <w:rsid w:val="29BB203A"/>
    <w:rsid w:val="32150ED6"/>
    <w:rsid w:val="3F7A2CB3"/>
    <w:rsid w:val="47796768"/>
    <w:rsid w:val="50AF31D1"/>
    <w:rsid w:val="50D902AD"/>
    <w:rsid w:val="57FB0C68"/>
    <w:rsid w:val="593F3B55"/>
    <w:rsid w:val="5A2D0385"/>
    <w:rsid w:val="5DA40DE5"/>
    <w:rsid w:val="5F6759A7"/>
    <w:rsid w:val="62BE3C65"/>
    <w:rsid w:val="63453859"/>
    <w:rsid w:val="64E363CF"/>
    <w:rsid w:val="67C76F53"/>
    <w:rsid w:val="6F0C1486"/>
    <w:rsid w:val="72AF78CD"/>
    <w:rsid w:val="756533CA"/>
    <w:rsid w:val="782D0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1"/>
    <w:qFormat/>
    <w:uiPriority w:val="0"/>
    <w:pPr>
      <w:spacing w:line="560" w:lineRule="atLeast"/>
    </w:pPr>
    <w:rPr>
      <w:rFonts w:ascii="宋体" w:hAnsi="宋体" w:eastAsia="宋体" w:cs="宋体"/>
      <w:sz w:val="28"/>
      <w:szCs w:val="28"/>
    </w:rPr>
  </w:style>
  <w:style w:type="paragraph" w:styleId="7">
    <w:name w:val="annotation text"/>
    <w:basedOn w:val="1"/>
    <w:unhideWhenUsed/>
    <w:qFormat/>
    <w:uiPriority w:val="0"/>
    <w:pPr>
      <w:jc w:val="left"/>
    </w:p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1">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color w:val="auto"/>
      <w:u w:val="none"/>
    </w:rPr>
  </w:style>
  <w:style w:type="character" w:customStyle="1" w:styleId="16">
    <w:name w:val="editmail"/>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6884</Words>
  <Characters>7999</Characters>
  <Lines>0</Lines>
  <Paragraphs>0</Paragraphs>
  <TotalTime>1305</TotalTime>
  <ScaleCrop>false</ScaleCrop>
  <LinksUpToDate>false</LinksUpToDate>
  <CharactersWithSpaces>8059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汤钧</cp:lastModifiedBy>
  <dcterms:modified xsi:type="dcterms:W3CDTF">2026-05-27T00:39:13Z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885407BB251B456C8F96A6C4CA734850</vt:lpwstr>
  </property>
  <property fmtid="{D5CDD505-2E9C-101B-9397-08002B2CF9AE}" pid="4" name="KSOTemplateDocerSaveRecord">
    <vt:lpwstr>eyJoZGlkIjoiNjRjZWU3YjIyMWQ3ZDRlNzhlN2JiNjlkMDU4OTI0M2EiLCJ1c2VySWQiOiI1MTY4NjM0ODYifQ==</vt:lpwstr>
  </property>
</Properties>
</file>