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sz w:val="32"/>
          <w:szCs w:val="44"/>
        </w:rPr>
      </w:pPr>
    </w:p>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bookmarkStart w:id="0" w:name="OLE_LINK2"/>
      <w:r>
        <w:rPr>
          <w:rFonts w:hint="eastAsia" w:ascii="宋体" w:hAnsi="宋体" w:eastAsia="宋体" w:cs="仿宋_GB2312"/>
          <w:b/>
          <w:color w:val="0070C0"/>
          <w:sz w:val="28"/>
          <w:szCs w:val="28"/>
          <w:u w:val="single"/>
        </w:rPr>
        <w:t>深圳燃气2026年新款柱状标志桩试用采购</w:t>
      </w:r>
      <w:bookmarkEnd w:id="0"/>
      <w:r>
        <w:rPr>
          <w:rFonts w:ascii="宋体" w:hAnsi="宋体" w:eastAsia="宋体" w:cs="仿宋_GB2312"/>
          <w:b/>
          <w:color w:val="0070C0"/>
          <w:sz w:val="28"/>
          <w:szCs w:val="28"/>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eastAsia" w:ascii="宋体" w:hAnsi="宋体" w:eastAsia="宋体" w:cs="仿宋_GB2312"/>
          <w:b/>
          <w:color w:val="0070C0"/>
          <w:sz w:val="28"/>
          <w:szCs w:val="28"/>
          <w:u w:val="single"/>
          <w:lang w:val="en-US" w:eastAsia="zh-CN"/>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PSCS2026006 </w:t>
      </w:r>
      <w:r>
        <w:rPr>
          <w:rFonts w:hint="eastAsia" w:ascii="宋体" w:hAnsi="宋体" w:eastAsia="宋体" w:cs="仿宋_GB2312"/>
          <w:b/>
          <w:color w:val="0070C0"/>
          <w:sz w:val="28"/>
          <w:szCs w:val="28"/>
          <w:u w:val="single"/>
          <w:lang w:val="en-US" w:eastAsia="zh-CN"/>
        </w:rPr>
        <w:t xml:space="preserve"> </w:t>
      </w:r>
    </w:p>
    <w:p>
      <w:pPr>
        <w:pStyle w:val="21"/>
      </w:pPr>
    </w:p>
    <w:p>
      <w:pPr>
        <w:tabs>
          <w:tab w:val="left" w:pos="7560"/>
        </w:tabs>
        <w:spacing w:line="360" w:lineRule="auto"/>
        <w:ind w:firstLine="562" w:firstLineChars="200"/>
        <w:contextualSpacing/>
        <w:rPr>
          <w:rFonts w:hint="default" w:ascii="宋体" w:hAnsi="宋体" w:eastAsia="宋体"/>
          <w:b/>
          <w:color w:val="0070C0"/>
          <w:sz w:val="28"/>
          <w:szCs w:val="28"/>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7</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3"/>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第一章 </w:t>
      </w:r>
      <w:r>
        <w:rPr>
          <w:rFonts w:hint="eastAsia" w:ascii="宋体" w:hAnsi="宋体" w:eastAsia="宋体" w:cs="仿宋_GB2312"/>
          <w:color w:val="auto"/>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hint="eastAsia"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第七章 技术要求</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3"/>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rPr>
        <w:t>深圳燃气2026年新款柱状标志桩试用采购</w:t>
      </w:r>
      <w:r>
        <w:rPr>
          <w:rFonts w:hint="eastAsia" w:ascii="宋体" w:hAnsi="宋体" w:eastAsia="宋体"/>
          <w:szCs w:val="21"/>
        </w:rPr>
        <w:t>（项目编号：</w:t>
      </w:r>
      <w:r>
        <w:rPr>
          <w:rFonts w:hint="eastAsia" w:ascii="宋体" w:hAnsi="宋体" w:eastAsia="宋体"/>
          <w:color w:val="0070C0"/>
          <w:szCs w:val="21"/>
          <w:u w:val="single"/>
        </w:rPr>
        <w:t>PSCS2026006</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70C0"/>
          <w:szCs w:val="21"/>
          <w:u w:val="single"/>
        </w:rPr>
        <w:t>深圳市燃气集团股份有限公司，</w:t>
      </w:r>
      <w:r>
        <w:rPr>
          <w:rFonts w:hint="eastAsia" w:ascii="宋体" w:hAnsi="宋体" w:eastAsia="宋体"/>
          <w:szCs w:val="21"/>
        </w:rPr>
        <w:t>资金来源为</w:t>
      </w:r>
      <w:r>
        <w:rPr>
          <w:rFonts w:hint="eastAsia" w:ascii="宋体" w:hAnsi="宋体" w:eastAsia="宋体"/>
          <w:color w:val="0070C0"/>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t>https://ygcg.szexgrp.com/</w:t>
      </w:r>
      <w:r>
        <w:rPr>
          <w:rFonts w:hint="eastAsia" w:ascii="宋体" w:hAnsi="宋体" w:eastAsia="宋体"/>
          <w:color w:val="auto"/>
          <w:szCs w:val="21"/>
          <w:u w:val="none"/>
          <w:lang w:val="en-US" w:eastAsia="zh-CN"/>
        </w:rPr>
        <w:t>）和本项目采购文件。</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0070C0"/>
          <w:sz w:val="21"/>
          <w:szCs w:val="21"/>
          <w:highlight w:val="none"/>
          <w:lang w:val="en-US" w:eastAsia="zh-CN"/>
        </w:rPr>
        <w:t>2年。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0070C0"/>
          <w:sz w:val="21"/>
          <w:szCs w:val="21"/>
          <w:highlight w:val="none"/>
          <w:lang w:val="en-US" w:eastAsia="zh-CN"/>
        </w:rPr>
        <w:t>深圳市福田区。</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olor w:val="0070C0"/>
          <w:szCs w:val="21"/>
          <w:highlight w:val="yellow"/>
          <w:u w:val="none"/>
          <w:lang w:val="en-US" w:eastAsia="zh-CN"/>
        </w:rPr>
        <w:t>12</w:t>
      </w:r>
      <w:r>
        <w:rPr>
          <w:rFonts w:hint="eastAsia" w:ascii="宋体" w:hAnsi="宋体" w:eastAsia="宋体" w:cs="仿宋_GB2312"/>
          <w:color w:val="0070C0"/>
          <w:sz w:val="21"/>
          <w:szCs w:val="21"/>
          <w:highlight w:val="yellow"/>
          <w:lang w:val="en-US" w:eastAsia="zh-CN"/>
        </w:rPr>
        <w:t>万元人民币</w:t>
      </w:r>
      <w:r>
        <w:rPr>
          <w:rFonts w:hint="eastAsia" w:ascii="宋体" w:hAnsi="宋体" w:eastAsia="宋体" w:cs="仿宋_GB2312"/>
          <w:color w:val="0070C0"/>
          <w:sz w:val="21"/>
          <w:szCs w:val="21"/>
          <w:highlight w:val="none"/>
          <w:lang w:val="en-US" w:eastAsia="zh-CN"/>
        </w:rPr>
        <w:t>（含税）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lang w:val="en-US" w:eastAsia="zh-CN"/>
        </w:rPr>
        <w:t>一</w:t>
      </w: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bookmarkStart w:id="1" w:name="OLE_LINK11"/>
      <w:r>
        <w:rPr>
          <w:rFonts w:hint="eastAsia" w:ascii="宋体" w:hAnsi="宋体" w:eastAsia="宋体" w:cs="仿宋_GB2312"/>
          <w:color w:val="0070C0"/>
          <w:sz w:val="21"/>
          <w:szCs w:val="21"/>
          <w:highlight w:val="none"/>
          <w:lang w:val="en-US" w:eastAsia="zh-CN"/>
        </w:rPr>
        <w:t>2.响应人须为所响应产品的制造商。</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w:t>
      </w:r>
      <w:r>
        <w:rPr>
          <w:rFonts w:hint="eastAsia" w:ascii="宋体" w:hAnsi="宋体" w:eastAsia="宋体" w:cs="仿宋_GB2312"/>
          <w:b w:val="0"/>
          <w:bCs w:val="0"/>
          <w:color w:val="0070C0"/>
          <w:sz w:val="21"/>
          <w:szCs w:val="21"/>
          <w:highlight w:val="none"/>
          <w:lang w:val="en-US" w:eastAsia="zh-CN"/>
        </w:rPr>
        <w:t>提供制造商资格证明，加盖响应人公章。</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3.本项目不接受投标人以联合体形式参加，不允许分包、转包。</w:t>
      </w:r>
    </w:p>
    <w:bookmarkEnd w:id="1"/>
    <w:p>
      <w:pPr>
        <w:adjustRightInd w:val="0"/>
        <w:snapToGrid w:val="0"/>
        <w:ind w:firstLine="422" w:firstLineChars="200"/>
        <w:contextualSpacing/>
        <w:rPr>
          <w:rFonts w:ascii="宋体" w:hAnsi="宋体" w:eastAsia="宋体"/>
          <w:b/>
          <w:bCs/>
          <w:color w:val="auto"/>
          <w:szCs w:val="21"/>
          <w:highlight w:val="none"/>
        </w:rPr>
      </w:pPr>
      <w:r>
        <w:rPr>
          <w:rFonts w:hint="eastAsia" w:ascii="宋体" w:hAnsi="宋体" w:eastAsia="宋体"/>
          <w:b/>
          <w:bCs/>
          <w:color w:val="auto"/>
          <w:szCs w:val="21"/>
          <w:highlight w:val="none"/>
        </w:rPr>
        <w:t>（二）响应人关联关系要求</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2.股权关联关系：一方持有另一方的股份总和达到 25% 以上，或双方同为第三方所持有的股份达到 25% 以上，即构成股权关联关系。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color w:val="auto"/>
          <w:szCs w:val="21"/>
          <w:highlight w:val="none"/>
        </w:rPr>
      </w:pPr>
      <w:r>
        <w:rPr>
          <w:rFonts w:hint="eastAsia" w:ascii="宋体" w:hAnsi="宋体" w:eastAsia="宋体"/>
          <w:b/>
          <w:bCs/>
          <w:color w:val="auto"/>
          <w:szCs w:val="21"/>
          <w:highlight w:val="none"/>
        </w:rPr>
        <w:t>（三）响应人具有良好的信誉，不得存在下列情形之一</w:t>
      </w:r>
      <w:r>
        <w:rPr>
          <w:rFonts w:hint="eastAsia" w:ascii="宋体" w:hAnsi="宋体" w:eastAsia="宋体"/>
          <w:color w:val="auto"/>
          <w:szCs w:val="21"/>
          <w:highlight w:val="none"/>
        </w:rPr>
        <w:t>（以下网站涉及项目所在地的以深圳举例，可根据项目所在地实际情况进行调整）：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3.近2年内（从采购公告发布之日起倒算）供应商有无正当理由放弃集团公司成交项目、不接受采购文件中合同主要条款、不履行合同义务或单方面终止合同的。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（1）“深圳市交通运输局”网站（https://jtys.sz.gov.cn/）-政务公开-信用信息双公示-行政处罚；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（2）“深圳市政府采购监管网中国政府采购网深圳分网”网站（http://zfcg.sz.gov.cn/cgjg/cfgg/）-网站首页-采购监管-诚信档案-入口查询行政处罚记录；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（1）“深圳市住房和建设局”网站（https://zjj.sz.gov.cn/ztfw/gcjs/cxda_zjhhsjs/index.html）-红色警示；</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8.被列入集团公司黑名单的或暂停承包资格的。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 xml:space="preserve">9.依法应当拒绝投标的其他情形。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（1）“国家企业信用信息公示系统”网站（http://www.gsxt.gov.cn/corp-query-homepage.html）-行政处罚信息；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（2）“信用中国”网站（www.creditchina.gov.cn）-行政管理信息查询-严重失信主体名单查询-行政处罚。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说明：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1.针对上述拒绝参与情形，响应人应按照对应网址渠道进行查询，并提供对应网址查询截图（若项目所在地在深圳市外的，相关网址查询以第六章投标文件格式要求的网址为准）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rPr>
        <w:t>招标人可接受与其存在利害关系单位的投标，但在评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wordWrap w:val="0"/>
        <w:adjustRightInd w:val="0"/>
        <w:snapToGrid w:val="0"/>
        <w:ind w:firstLine="420" w:firstLineChars="200"/>
        <w:contextualSpacing/>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s="仿宋_GB2312"/>
          <w:color w:val="auto"/>
          <w:szCs w:val="21"/>
        </w:rPr>
        <w:t>采购文件发放方式：</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tabs>
          <w:tab w:val="left" w:pos="7560"/>
        </w:tabs>
        <w:adjustRightInd w:val="0"/>
        <w:snapToGrid w:val="0"/>
        <w:ind w:firstLine="420" w:firstLineChars="200"/>
        <w:contextualSpacing/>
        <w:rPr>
          <w:rFonts w:hint="eastAsia" w:ascii="宋体" w:hAnsi="宋体" w:eastAsia="宋体"/>
          <w:b w:val="0"/>
          <w:bCs w:val="0"/>
          <w:color w:val="0000FF"/>
          <w:szCs w:val="21"/>
          <w:highlight w:val="yellow"/>
          <w:u w:val="none"/>
          <w:lang w:val="en-US" w:eastAsia="zh-CN"/>
        </w:rPr>
      </w:pPr>
      <w:r>
        <w:rPr>
          <w:rFonts w:hint="eastAsia" w:ascii="宋体" w:hAnsi="宋体" w:eastAsia="宋体"/>
          <w:b w:val="0"/>
          <w:bCs w:val="0"/>
          <w:szCs w:val="21"/>
          <w:highlight w:val="none"/>
          <w:u w:val="none"/>
          <w:lang w:val="en-US" w:eastAsia="zh-CN"/>
        </w:rPr>
        <w:t>（二）</w:t>
      </w:r>
      <w:r>
        <w:rPr>
          <w:rFonts w:hint="eastAsia" w:ascii="宋体" w:hAnsi="宋体" w:eastAsia="宋体"/>
          <w:color w:val="0000FF"/>
          <w:szCs w:val="21"/>
        </w:rPr>
        <w:t>响应文件递交地点及方式：</w:t>
      </w:r>
      <w:r>
        <w:rPr>
          <w:rFonts w:hint="eastAsia" w:ascii="宋体" w:hAnsi="宋体" w:eastAsia="宋体"/>
          <w:b w:val="0"/>
          <w:bCs w:val="0"/>
          <w:szCs w:val="21"/>
          <w:highlight w:val="none"/>
          <w:u w:val="none"/>
          <w:lang w:val="en-US" w:eastAsia="zh-CN"/>
        </w:rPr>
        <w:t>电子文件投标，请在深圳阳光采购平台公告信息规定时间之前把电子响应文件以压缩文件加密方式发送至采购人指定电子邮箱（指定账号：</w:t>
      </w:r>
      <w:r>
        <w:rPr>
          <w:rFonts w:hint="eastAsia" w:ascii="宋体" w:hAnsi="宋体" w:eastAsia="宋体"/>
          <w:b/>
          <w:bCs/>
          <w:szCs w:val="21"/>
          <w:highlight w:val="none"/>
          <w:u w:val="none"/>
          <w:lang w:val="en-US" w:eastAsia="zh-CN"/>
        </w:rPr>
        <w:t>haojy@szgas.com.cn</w:t>
      </w:r>
      <w:r>
        <w:rPr>
          <w:rFonts w:hint="eastAsia" w:ascii="宋体" w:hAnsi="宋体" w:eastAsia="宋体"/>
          <w:b w:val="0"/>
          <w:bCs w:val="0"/>
          <w:szCs w:val="21"/>
          <w:highlight w:val="none"/>
          <w:u w:val="none"/>
          <w:lang w:val="en-US" w:eastAsia="zh-CN"/>
        </w:rPr>
        <w:t>），压缩文件的密码以电子邮件的方式发送至采购人指定的另一电子邮箱（指定账号：</w:t>
      </w:r>
      <w:r>
        <w:rPr>
          <w:rFonts w:hint="eastAsia" w:ascii="宋体" w:hAnsi="宋体" w:eastAsia="宋体"/>
          <w:b/>
          <w:bCs/>
          <w:szCs w:val="21"/>
          <w:highlight w:val="none"/>
          <w:u w:val="none"/>
          <w:lang w:val="en-US" w:eastAsia="zh-CN"/>
        </w:rPr>
        <w:t>tangfw@szgas.com.cn</w:t>
      </w:r>
      <w:r>
        <w:rPr>
          <w:rFonts w:hint="eastAsia" w:ascii="宋体" w:hAnsi="宋体" w:eastAsia="宋体"/>
          <w:b w:val="0"/>
          <w:bCs w:val="0"/>
          <w:szCs w:val="21"/>
          <w:highlight w:val="none"/>
          <w:u w:val="none"/>
          <w:lang w:val="en-US" w:eastAsia="zh-CN"/>
        </w:rPr>
        <w:t>）。为避免邮件无法到达，请各响应人尽量提前发送响应文件和压缩文件的密码。</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（四）</w:t>
      </w:r>
      <w:r>
        <w:rPr>
          <w:rFonts w:hint="eastAsia" w:ascii="宋体" w:hAnsi="宋体"/>
          <w:bCs/>
        </w:rPr>
        <w:t>出现以下情形时，采购人不予接收响应文件：</w:t>
      </w:r>
    </w:p>
    <w:p>
      <w:pPr>
        <w:tabs>
          <w:tab w:val="left" w:pos="7560"/>
        </w:tabs>
        <w:adjustRightInd w:val="0"/>
        <w:snapToGrid w:val="0"/>
        <w:ind w:firstLine="420" w:firstLineChars="200"/>
        <w:contextualSpacing/>
        <w:rPr>
          <w:rFonts w:ascii="宋体" w:hAnsi="宋体"/>
          <w:bCs/>
        </w:rPr>
      </w:pPr>
      <w:r>
        <w:rPr>
          <w:rFonts w:hint="eastAsia" w:ascii="宋体" w:hAnsi="宋体"/>
          <w:bCs/>
        </w:rPr>
        <w:t>1.逾期送达或者未送达指定地点的；</w:t>
      </w:r>
    </w:p>
    <w:p>
      <w:pPr>
        <w:tabs>
          <w:tab w:val="left" w:pos="7560"/>
        </w:tabs>
        <w:adjustRightInd w:val="0"/>
        <w:snapToGrid w:val="0"/>
        <w:ind w:firstLine="420" w:firstLineChars="200"/>
        <w:contextualSpacing/>
        <w:rPr>
          <w:rFonts w:ascii="宋体" w:hAnsi="宋体"/>
          <w:bCs/>
        </w:rPr>
      </w:pPr>
      <w:r>
        <w:rPr>
          <w:rFonts w:hint="eastAsia" w:ascii="宋体" w:hAnsi="宋体"/>
          <w:bCs/>
        </w:rPr>
        <w:t>2.未按照采购文件要求密封的；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3.现场递交文件人员未提供授权或社保信息与响应单位不一致的；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eastAsia="宋体"/>
          <w:color w:val="0070C0"/>
          <w:szCs w:val="21"/>
          <w:u w:val="single"/>
        </w:rPr>
        <w:t>深圳市福田区梅坳八路268号深燃大厦B座5楼</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联系人：</w:t>
      </w:r>
      <w:r>
        <w:rPr>
          <w:rFonts w:hint="eastAsia" w:ascii="宋体" w:hAnsi="宋体" w:eastAsia="宋体"/>
          <w:color w:val="0070C0"/>
          <w:szCs w:val="21"/>
          <w:u w:val="single"/>
        </w:rPr>
        <w:t>郝工</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w:t>
      </w:r>
      <w:r>
        <w:rPr>
          <w:rFonts w:hint="eastAsia" w:ascii="宋体" w:hAnsi="宋体" w:eastAsia="宋体"/>
          <w:color w:val="0070C0"/>
          <w:szCs w:val="21"/>
          <w:u w:val="single"/>
        </w:rPr>
        <w:t>0755-</w:t>
      </w:r>
      <w:r>
        <w:rPr>
          <w:rFonts w:ascii="宋体" w:hAnsi="宋体" w:eastAsia="宋体"/>
          <w:color w:val="0070C0"/>
          <w:szCs w:val="21"/>
          <w:u w:val="single"/>
        </w:rPr>
        <w:t>8866</w:t>
      </w:r>
      <w:r>
        <w:rPr>
          <w:rFonts w:hint="eastAsia" w:ascii="宋体" w:hAnsi="宋体" w:eastAsia="宋体"/>
          <w:color w:val="0070C0"/>
          <w:szCs w:val="21"/>
          <w:u w:val="single"/>
          <w:lang w:val="en-US" w:eastAsia="zh-CN"/>
        </w:rPr>
        <w:t>1338</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r>
        <w:rPr>
          <w:rFonts w:hint="eastAsia" w:ascii="宋体" w:hAnsi="宋体" w:eastAsia="宋体"/>
          <w:b w:val="0"/>
          <w:bCs w:val="0"/>
          <w:szCs w:val="21"/>
          <w:highlight w:val="none"/>
          <w:u w:val="none"/>
          <w:lang w:val="en-US" w:eastAsia="zh-CN"/>
        </w:rPr>
        <w:t>邮  箱：</w:t>
      </w:r>
      <w:r>
        <w:rPr>
          <w:rFonts w:hint="eastAsia" w:ascii="宋体" w:hAnsi="宋体" w:eastAsia="宋体"/>
          <w:color w:val="0070C0"/>
          <w:szCs w:val="21"/>
          <w:u w:val="single"/>
        </w:rPr>
        <w:t>haojy@szgas.com.cn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u w:val="single"/>
          <w:lang w:val="en-US" w:eastAsia="zh-CN"/>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lang w:val="en-US" w:eastAsia="zh-CN"/>
        </w:rPr>
        <w:t>26</w:t>
      </w:r>
      <w:r>
        <w:rPr>
          <w:rFonts w:ascii="宋体" w:hAnsi="宋体" w:eastAsia="宋体"/>
          <w:color w:val="0070C0"/>
          <w:szCs w:val="21"/>
          <w:u w:val="single"/>
        </w:rPr>
        <w:t xml:space="preserve">年 </w:t>
      </w:r>
      <w:r>
        <w:rPr>
          <w:rFonts w:hint="eastAsia" w:ascii="宋体" w:hAnsi="宋体" w:eastAsia="宋体"/>
          <w:color w:val="0070C0"/>
          <w:szCs w:val="21"/>
          <w:u w:val="single"/>
          <w:lang w:val="en-US" w:eastAsia="zh-CN"/>
        </w:rPr>
        <w:t>7</w:t>
      </w:r>
      <w:r>
        <w:rPr>
          <w:rFonts w:ascii="宋体" w:hAnsi="宋体" w:eastAsia="宋体"/>
          <w:color w:val="0070C0"/>
          <w:szCs w:val="21"/>
          <w:u w:val="single"/>
        </w:rPr>
        <w:t>月</w:t>
      </w:r>
      <w:r>
        <w:rPr>
          <w:rFonts w:hint="eastAsia" w:ascii="宋体" w:hAnsi="宋体" w:eastAsia="宋体"/>
          <w:color w:val="0070C0"/>
          <w:szCs w:val="21"/>
          <w:u w:val="single"/>
          <w:lang w:val="en-US" w:eastAsia="zh-CN"/>
        </w:rPr>
        <w:t>14</w:t>
      </w:r>
      <w:r>
        <w:rPr>
          <w:rFonts w:ascii="宋体" w:hAnsi="宋体" w:eastAsia="宋体"/>
          <w:color w:val="0070C0"/>
          <w:szCs w:val="21"/>
          <w:u w:val="single"/>
        </w:rPr>
        <w:t>日</w:t>
      </w:r>
      <w:r>
        <w:rPr>
          <w:rFonts w:ascii="黑体" w:hAnsi="黑体" w:eastAsia="黑体" w:cs="Times New Roman"/>
          <w:b/>
          <w:sz w:val="28"/>
          <w:szCs w:val="28"/>
        </w:rPr>
        <w:br w:type="page"/>
      </w:r>
    </w:p>
    <w:p>
      <w:pPr>
        <w:keepNext w:val="0"/>
        <w:keepLines w:val="0"/>
        <w:pageBreakBefore w:val="0"/>
        <w:widowControl/>
        <w:kinsoku/>
        <w:wordWrap/>
        <w:overflowPunct/>
        <w:topLinePunct w:val="0"/>
        <w:autoSpaceDE/>
        <w:autoSpaceDN/>
        <w:bidi w:val="0"/>
        <w:adjustRightInd w:val="0"/>
        <w:snapToGrid w:val="0"/>
        <w:spacing w:line="240" w:lineRule="auto"/>
        <w:ind w:firstLine="3654" w:firstLineChars="1300"/>
        <w:contextualSpacing/>
        <w:jc w:val="right"/>
        <w:textAlignment w:val="auto"/>
        <w:rPr>
          <w:rFonts w:ascii="黑体" w:hAnsi="黑体" w:eastAsia="黑体" w:cs="Times New Roman"/>
          <w:b/>
          <w:sz w:val="28"/>
          <w:szCs w:val="28"/>
        </w:rPr>
      </w:pP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84"/>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668"/>
        <w:gridCol w:w="6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3"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1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4"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1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4"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1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4"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13%</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1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4"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1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4"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1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4"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b w:val="0"/>
                <w:szCs w:val="21"/>
                <w:highlight w:val="none"/>
                <w:u w:val="none"/>
              </w:rPr>
              <w:t>电子标书</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1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4"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1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4"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1.不同响应人的响应文件内容存在非正常一致的；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2.不同响应人的响应文件错漏之处一致的；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3.不同响应人的响应报价或者报价组成异常一致或者呈规律性变化的；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4.不同响应人的响应文件由同一单位或者同一个人编制的；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5.不同响应人的响应文件载明的项目管理机构成员出现同一人的；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6.不同响应人的响应文件相互混装的；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7.不同响应人的响应文件由同一台电脑编制的；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8.经认定的响应人有其他串通投标等情形。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1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276"/>
                <w:rFonts w:hint="eastAsia" w:ascii="宋体" w:hAnsi="宋体"/>
                <w:b w:val="0"/>
                <w:bCs w:val="0"/>
                <w:szCs w:val="21"/>
              </w:rPr>
              <w:t>文件真实性要求</w:t>
            </w:r>
          </w:p>
        </w:tc>
        <w:tc>
          <w:tcPr>
            <w:tcW w:w="3624"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1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4"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1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rPr>
              <w:t>递交</w:t>
            </w:r>
            <w:bookmarkStart w:id="4" w:name="OLE_LINK3"/>
            <w:r>
              <w:rPr>
                <w:rFonts w:hint="eastAsia" w:ascii="宋体" w:hAnsi="宋体" w:cs="宋体"/>
                <w:szCs w:val="21"/>
                <w:lang w:val="en-US" w:eastAsia="zh-CN"/>
              </w:rPr>
              <w:t>响应</w:t>
            </w:r>
            <w:bookmarkEnd w:id="4"/>
            <w:r>
              <w:rPr>
                <w:rFonts w:hint="eastAsia" w:ascii="宋体" w:hAnsi="宋体" w:cs="宋体"/>
                <w:szCs w:val="21"/>
              </w:rPr>
              <w:t>文件的响应人不足三家的处理原则</w:t>
            </w:r>
          </w:p>
        </w:tc>
        <w:tc>
          <w:tcPr>
            <w:tcW w:w="3624" w:type="pct"/>
            <w:vAlign w:val="center"/>
          </w:tcPr>
          <w:p>
            <w:pPr>
              <w:tabs>
                <w:tab w:val="left" w:pos="7560"/>
              </w:tabs>
              <w:adjustRightInd w:val="0"/>
              <w:snapToGrid w:val="0"/>
              <w:spacing w:line="240" w:lineRule="auto"/>
              <w:jc w:val="left"/>
              <w:rPr>
                <w:rFonts w:hint="eastAsia" w:ascii="宋体" w:hAnsi="宋体" w:cs="宋体"/>
                <w:szCs w:val="21"/>
              </w:rPr>
            </w:pPr>
            <w:r>
              <w:rPr>
                <w:rFonts w:hint="eastAsia" w:ascii="宋体" w:hAnsi="宋体" w:cs="宋体"/>
                <w:szCs w:val="21"/>
              </w:rPr>
              <w:t>第一次采购：在</w:t>
            </w:r>
            <w:r>
              <w:rPr>
                <w:rFonts w:hint="eastAsia" w:ascii="宋体" w:hAnsi="宋体" w:cs="宋体"/>
                <w:szCs w:val="21"/>
                <w:lang w:val="en-US" w:eastAsia="zh-CN"/>
              </w:rPr>
              <w:t>采购</w:t>
            </w:r>
            <w:r>
              <w:rPr>
                <w:rFonts w:hint="eastAsia" w:ascii="宋体" w:hAnsi="宋体" w:cs="宋体"/>
                <w:szCs w:val="21"/>
              </w:rPr>
              <w:t>文件截止时间前递交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文件的响应人不足3家，或通过资格后审的响应人不足3家，则该次</w:t>
            </w:r>
            <w:r>
              <w:rPr>
                <w:rFonts w:hint="eastAsia" w:ascii="宋体" w:hAnsi="宋体" w:cs="宋体"/>
                <w:szCs w:val="21"/>
                <w:lang w:val="en-US" w:eastAsia="zh-CN"/>
              </w:rPr>
              <w:t>采购</w:t>
            </w:r>
            <w:r>
              <w:rPr>
                <w:rFonts w:hint="eastAsia" w:ascii="宋体" w:hAnsi="宋体" w:cs="宋体"/>
                <w:szCs w:val="21"/>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rPr>
              <w:t>第二次采购：在</w:t>
            </w:r>
            <w:r>
              <w:rPr>
                <w:rFonts w:hint="eastAsia" w:ascii="宋体" w:hAnsi="宋体" w:cs="宋体"/>
                <w:szCs w:val="21"/>
                <w:lang w:val="en-US" w:eastAsia="zh-CN"/>
              </w:rPr>
              <w:t>采购</w:t>
            </w:r>
            <w:r>
              <w:rPr>
                <w:rFonts w:hint="eastAsia" w:ascii="宋体" w:hAnsi="宋体" w:cs="宋体"/>
                <w:szCs w:val="21"/>
              </w:rPr>
              <w:t>文件购买截止时间前递交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文件的响应人不足3家，或通过资格后审的响应人不足3家的，可对2家响应人继续组织唱价、评审，如只有1家的响应人，则该次</w:t>
            </w:r>
            <w:r>
              <w:rPr>
                <w:rFonts w:hint="eastAsia" w:ascii="宋体" w:hAnsi="宋体" w:cs="宋体"/>
                <w:szCs w:val="21"/>
                <w:lang w:val="en-US" w:eastAsia="zh-CN"/>
              </w:rPr>
              <w:t>采购转为单一来源谈判</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1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4"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63"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1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4"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auto"/>
                <w:sz w:val="21"/>
                <w:szCs w:val="21"/>
                <w:lang w:val="en-US" w:eastAsia="zh-CN"/>
              </w:rPr>
              <w:t>本项目不接受投标人以联合体形式参加，不允许分包、转包。</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3"/>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4"/>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一</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spacing w:line="360" w:lineRule="auto"/>
        <w:ind w:firstLine="420" w:firstLineChars="200"/>
        <w:contextualSpacing/>
        <w:rPr>
          <w:rFonts w:hint="eastAsia" w:eastAsiaTheme="minorEastAsia"/>
          <w:kern w:val="0"/>
          <w:sz w:val="21"/>
          <w:szCs w:val="22"/>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pStyle w:val="20"/>
        <w:rPr>
          <w:rFonts w:hint="eastAsia" w:eastAsia="宋体"/>
          <w:lang w:val="en-US" w:eastAsia="zh-CN"/>
        </w:rPr>
      </w:pPr>
    </w:p>
    <w:p>
      <w:pPr>
        <w:pStyle w:val="4"/>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二、详细评审</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w:t>
      </w:r>
      <w:r>
        <w:rPr>
          <w:rFonts w:hint="eastAsia" w:ascii="宋体" w:hAnsi="宋体" w:eastAsia="宋体"/>
          <w:sz w:val="21"/>
          <w:szCs w:val="21"/>
          <w:lang w:val="en-US" w:eastAsia="zh-CN"/>
        </w:rPr>
        <w:t>审</w:t>
      </w:r>
      <w:r>
        <w:rPr>
          <w:rFonts w:hint="eastAsia" w:ascii="宋体" w:hAnsi="宋体" w:eastAsia="宋体"/>
          <w:sz w:val="21"/>
          <w:szCs w:val="21"/>
        </w:rPr>
        <w:t>方法</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本项目采用</w:t>
      </w:r>
      <w:r>
        <w:rPr>
          <w:rFonts w:hint="eastAsia" w:ascii="宋体" w:hAnsi="宋体" w:eastAsia="宋体"/>
          <w:szCs w:val="21"/>
          <w:lang w:val="en-US" w:eastAsia="zh-CN"/>
        </w:rPr>
        <w:t>经评审的</w:t>
      </w:r>
      <w:r>
        <w:rPr>
          <w:rFonts w:hint="eastAsia" w:ascii="宋体" w:hAnsi="宋体" w:eastAsia="宋体"/>
          <w:szCs w:val="21"/>
        </w:rPr>
        <w:t>最低价法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按照经评审的</w:t>
      </w:r>
      <w:r>
        <w:rPr>
          <w:rFonts w:hint="eastAsia" w:ascii="宋体" w:hAnsi="宋体" w:eastAsia="宋体"/>
          <w:szCs w:val="21"/>
          <w:lang w:val="en-US" w:eastAsia="zh-CN"/>
        </w:rPr>
        <w:t>报</w:t>
      </w:r>
      <w:r>
        <w:rPr>
          <w:rFonts w:hint="eastAsia" w:ascii="宋体" w:hAnsi="宋体" w:eastAsia="宋体"/>
          <w:szCs w:val="21"/>
        </w:rPr>
        <w:t>价由低到高的顺序推荐</w:t>
      </w:r>
      <w:r>
        <w:rPr>
          <w:rFonts w:hint="eastAsia" w:ascii="宋体" w:hAnsi="宋体" w:eastAsia="宋体"/>
          <w:szCs w:val="21"/>
          <w:lang w:val="en-US" w:eastAsia="zh-CN"/>
        </w:rPr>
        <w:t>成交</w:t>
      </w:r>
      <w:r>
        <w:rPr>
          <w:rFonts w:hint="eastAsia" w:ascii="宋体" w:hAnsi="宋体" w:eastAsia="宋体"/>
          <w:szCs w:val="21"/>
        </w:rPr>
        <w:t>候选人，但报价低于其成本的除外。若出现报价相同且影响</w:t>
      </w:r>
      <w:r>
        <w:rPr>
          <w:rFonts w:hint="eastAsia" w:ascii="宋体" w:hAnsi="宋体" w:eastAsia="宋体"/>
          <w:szCs w:val="21"/>
          <w:lang w:val="en-US" w:eastAsia="zh-CN"/>
        </w:rPr>
        <w:t>成交</w:t>
      </w:r>
      <w:r>
        <w:rPr>
          <w:rFonts w:hint="eastAsia" w:ascii="宋体" w:hAnsi="宋体" w:eastAsia="宋体"/>
          <w:szCs w:val="21"/>
        </w:rPr>
        <w:t>候选人推荐的情形，则采用抽签的方法确定候选人的排序。</w:t>
      </w:r>
    </w:p>
    <w:p>
      <w:pPr>
        <w:adjustRightInd w:val="0"/>
        <w:snapToGrid w:val="0"/>
        <w:spacing w:line="360" w:lineRule="auto"/>
        <w:ind w:firstLine="420" w:firstLineChars="200"/>
      </w:pPr>
      <w:r>
        <w:rPr>
          <w:rFonts w:hint="eastAsia" w:ascii="宋体" w:hAnsi="宋体" w:eastAsia="宋体"/>
          <w:szCs w:val="21"/>
          <w:lang w:val="en-US" w:eastAsia="zh-CN"/>
        </w:rPr>
        <w:t>若</w:t>
      </w:r>
      <w:r>
        <w:rPr>
          <w:rFonts w:ascii="宋体" w:hAnsi="宋体" w:eastAsia="宋体"/>
          <w:szCs w:val="21"/>
        </w:rPr>
        <w:t>发现</w:t>
      </w:r>
      <w:r>
        <w:rPr>
          <w:rFonts w:hint="eastAsia" w:ascii="宋体" w:hAnsi="宋体" w:eastAsia="宋体"/>
          <w:szCs w:val="21"/>
          <w:lang w:val="en-US" w:eastAsia="zh-CN"/>
        </w:rPr>
        <w:t>响应</w:t>
      </w:r>
      <w:r>
        <w:rPr>
          <w:rFonts w:ascii="宋体" w:hAnsi="宋体" w:eastAsia="宋体"/>
          <w:szCs w:val="21"/>
        </w:rPr>
        <w:t>人的报价明显低于其他</w:t>
      </w:r>
      <w:r>
        <w:rPr>
          <w:rFonts w:hint="eastAsia" w:ascii="宋体" w:hAnsi="宋体" w:eastAsia="宋体"/>
          <w:szCs w:val="21"/>
          <w:lang w:val="en-US" w:eastAsia="zh-CN"/>
        </w:rPr>
        <w:t>响应</w:t>
      </w:r>
      <w:r>
        <w:rPr>
          <w:rFonts w:ascii="宋体" w:hAnsi="宋体" w:eastAsia="宋体"/>
          <w:szCs w:val="21"/>
        </w:rPr>
        <w:t>报价，使得其</w:t>
      </w:r>
      <w:r>
        <w:rPr>
          <w:rFonts w:hint="eastAsia" w:ascii="宋体" w:hAnsi="宋体" w:eastAsia="宋体"/>
          <w:szCs w:val="21"/>
          <w:lang w:val="en-US" w:eastAsia="zh-CN"/>
        </w:rPr>
        <w:t>响应</w:t>
      </w:r>
      <w:r>
        <w:rPr>
          <w:rFonts w:ascii="宋体" w:hAnsi="宋体" w:eastAsia="宋体"/>
          <w:szCs w:val="21"/>
        </w:rPr>
        <w:t>报价可能低于其成本的，应当要求该</w:t>
      </w:r>
      <w:r>
        <w:rPr>
          <w:rFonts w:hint="eastAsia" w:ascii="宋体" w:hAnsi="宋体" w:eastAsia="宋体"/>
          <w:szCs w:val="21"/>
          <w:lang w:val="en-US" w:eastAsia="zh-CN"/>
        </w:rPr>
        <w:t>响应</w:t>
      </w:r>
      <w:r>
        <w:rPr>
          <w:rFonts w:ascii="宋体" w:hAnsi="宋体" w:eastAsia="宋体"/>
          <w:szCs w:val="21"/>
        </w:rPr>
        <w:t>人作出书面说明并提供相应的证明材料。</w:t>
      </w:r>
      <w:r>
        <w:rPr>
          <w:rFonts w:hint="eastAsia" w:ascii="宋体" w:hAnsi="宋体" w:eastAsia="宋体"/>
          <w:szCs w:val="21"/>
          <w:lang w:val="en-US" w:eastAsia="zh-CN"/>
        </w:rPr>
        <w:t>响应</w:t>
      </w:r>
      <w:r>
        <w:rPr>
          <w:rFonts w:ascii="宋体" w:hAnsi="宋体" w:eastAsia="宋体"/>
          <w:szCs w:val="21"/>
        </w:rPr>
        <w:t>人不能合理说明或者不能提供相应证明材料的，</w:t>
      </w:r>
      <w:r>
        <w:rPr>
          <w:rFonts w:hint="eastAsia" w:ascii="宋体" w:hAnsi="宋体" w:eastAsia="宋体"/>
          <w:szCs w:val="21"/>
          <w:lang w:val="en-US" w:eastAsia="zh-CN"/>
        </w:rPr>
        <w:t>可以</w:t>
      </w:r>
      <w:r>
        <w:rPr>
          <w:rFonts w:ascii="宋体" w:hAnsi="宋体" w:eastAsia="宋体"/>
          <w:szCs w:val="21"/>
        </w:rPr>
        <w:t>认定该</w:t>
      </w:r>
      <w:r>
        <w:rPr>
          <w:rFonts w:hint="eastAsia" w:ascii="宋体" w:hAnsi="宋体" w:eastAsia="宋体"/>
          <w:szCs w:val="21"/>
          <w:lang w:val="en-US" w:eastAsia="zh-CN"/>
        </w:rPr>
        <w:t>响应</w:t>
      </w:r>
      <w:r>
        <w:rPr>
          <w:rFonts w:ascii="宋体" w:hAnsi="宋体" w:eastAsia="宋体"/>
          <w:szCs w:val="21"/>
        </w:rPr>
        <w:t>人以低于成本报价竞标，并否决其</w:t>
      </w:r>
      <w:r>
        <w:rPr>
          <w:rFonts w:hint="eastAsia" w:ascii="宋体" w:hAnsi="宋体" w:eastAsia="宋体"/>
          <w:szCs w:val="21"/>
          <w:lang w:val="en-US" w:eastAsia="zh-CN"/>
        </w:rPr>
        <w:t>响应文件</w:t>
      </w:r>
      <w:r>
        <w:rPr>
          <w:rFonts w:ascii="宋体" w:hAnsi="宋体" w:eastAsia="宋体"/>
          <w:szCs w:val="21"/>
        </w:rPr>
        <w:t>。</w:t>
      </w:r>
    </w:p>
    <w:p>
      <w:pPr>
        <w:pStyle w:val="4"/>
        <w:spacing w:before="0" w:after="0" w:line="360" w:lineRule="auto"/>
        <w:ind w:firstLine="422" w:firstLineChars="200"/>
        <w:contextualSpacing/>
        <w:rPr>
          <w:rFonts w:ascii="宋体" w:hAnsi="宋体" w:eastAsia="宋体"/>
          <w:szCs w:val="21"/>
        </w:rPr>
      </w:pPr>
      <w:r>
        <w:rPr>
          <w:rFonts w:ascii="宋体" w:hAnsi="宋体" w:eastAsia="宋体"/>
          <w:sz w:val="21"/>
          <w:szCs w:val="21"/>
        </w:rPr>
        <w:t>2.</w:t>
      </w:r>
      <w:r>
        <w:rPr>
          <w:rFonts w:hint="eastAsia" w:ascii="宋体" w:hAnsi="宋体" w:eastAsia="宋体"/>
          <w:sz w:val="21"/>
          <w:szCs w:val="21"/>
          <w:lang w:val="en-US" w:eastAsia="zh-CN"/>
        </w:rPr>
        <w:t>成交</w:t>
      </w:r>
      <w:r>
        <w:rPr>
          <w:rFonts w:ascii="宋体" w:hAnsi="宋体" w:eastAsia="宋体"/>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候选人，经评审的</w:t>
      </w:r>
      <w:r>
        <w:rPr>
          <w:rFonts w:hint="eastAsia" w:ascii="宋体" w:hAnsi="宋体" w:eastAsia="宋体"/>
          <w:color w:val="0070C0"/>
          <w:szCs w:val="21"/>
          <w:lang w:val="en-US" w:eastAsia="zh-CN"/>
        </w:rPr>
        <w:t>响应报</w:t>
      </w:r>
      <w:r>
        <w:rPr>
          <w:rFonts w:hint="eastAsia" w:ascii="宋体" w:hAnsi="宋体" w:eastAsia="宋体"/>
          <w:color w:val="0070C0"/>
          <w:szCs w:val="21"/>
        </w:rPr>
        <w:t>价最低的，推荐为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w:t>
      </w:r>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4"/>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三、响应文件的澄清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keepNext w:val="0"/>
        <w:keepLines w:val="0"/>
        <w:pageBreakBefore w:val="0"/>
        <w:widowControl w:val="0"/>
        <w:kinsoku/>
        <w:wordWrap/>
        <w:overflowPunct/>
        <w:topLinePunct w:val="0"/>
        <w:autoSpaceDE/>
        <w:autoSpaceDN/>
        <w:bidi/>
        <w:adjustRightInd/>
        <w:snapToGrid/>
        <w:spacing w:line="560" w:lineRule="exact"/>
        <w:jc w:val="center"/>
        <w:textAlignment w:val="auto"/>
        <w:rPr>
          <w:rFonts w:hint="eastAsia" w:ascii="仿宋" w:hAnsi="仿宋" w:eastAsia="仿宋"/>
          <w:sz w:val="28"/>
          <w:szCs w:val="28"/>
          <w:lang w:val="en-US" w:eastAsia="zh-CN"/>
        </w:rPr>
      </w:pPr>
      <w:r>
        <w:rPr>
          <w:rFonts w:hint="eastAsia" w:ascii="方正小标宋简体" w:hAnsi="仿宋" w:eastAsia="方正小标宋简体"/>
          <w:b/>
          <w:sz w:val="36"/>
          <w:szCs w:val="36"/>
          <w:lang w:val="en-US" w:eastAsia="zh-CN"/>
        </w:rPr>
        <w:t xml:space="preserve">深圳燃气2026年新款柱状标志桩试用采购合同 </w:t>
      </w:r>
    </w:p>
    <w:p>
      <w:pPr>
        <w:keepNext w:val="0"/>
        <w:keepLines w:val="0"/>
        <w:pageBreakBefore w:val="0"/>
        <w:widowControl w:val="0"/>
        <w:kinsoku/>
        <w:wordWrap/>
        <w:overflowPunct/>
        <w:topLinePunct w:val="0"/>
        <w:autoSpaceDE/>
        <w:autoSpaceDN/>
        <w:bidi/>
        <w:adjustRightInd/>
        <w:snapToGrid/>
        <w:spacing w:line="560" w:lineRule="exact"/>
        <w:jc w:val="center"/>
        <w:textAlignment w:val="auto"/>
        <w:rPr>
          <w:rFonts w:hint="eastAsia" w:ascii="宋体" w:hAnsi="宋体" w:eastAsia="宋体" w:cs="宋体"/>
          <w:sz w:val="28"/>
          <w:szCs w:val="28"/>
        </w:rPr>
      </w:pPr>
      <w:r>
        <w:rPr>
          <w:rFonts w:hint="eastAsia" w:ascii="仿宋" w:hAnsi="仿宋" w:eastAsia="仿宋"/>
          <w:sz w:val="28"/>
          <w:szCs w:val="28"/>
          <w:lang w:val="en-US" w:eastAsia="zh-CN"/>
        </w:rPr>
        <w:t xml:space="preserve">        </w:t>
      </w:r>
      <w:r>
        <w:rPr>
          <w:rFonts w:hint="eastAsia" w:ascii="宋体" w:hAnsi="宋体" w:eastAsia="宋体" w:cs="宋体"/>
          <w:sz w:val="28"/>
          <w:szCs w:val="28"/>
        </w:rPr>
        <w:t>甲方协议编号：</w:t>
      </w:r>
    </w:p>
    <w:p>
      <w:pPr>
        <w:keepNext w:val="0"/>
        <w:keepLines w:val="0"/>
        <w:pageBreakBefore w:val="0"/>
        <w:widowControl w:val="0"/>
        <w:kinsoku/>
        <w:wordWrap/>
        <w:overflowPunct/>
        <w:topLinePunct w:val="0"/>
        <w:autoSpaceDE/>
        <w:autoSpaceDN/>
        <w:bidi/>
        <w:adjustRightInd/>
        <w:snapToGrid/>
        <w:spacing w:line="560" w:lineRule="exact"/>
        <w:ind w:right="1120"/>
        <w:jc w:val="center"/>
        <w:textAlignment w:val="auto"/>
        <w:rPr>
          <w:rFonts w:hint="eastAsia" w:ascii="宋体" w:hAnsi="宋体" w:eastAsia="宋体" w:cs="宋体"/>
          <w:color w:val="FF0000"/>
          <w:sz w:val="28"/>
          <w:szCs w:val="28"/>
        </w:rPr>
      </w:pPr>
      <w:r>
        <w:rPr>
          <w:rFonts w:hint="eastAsia" w:ascii="宋体" w:hAnsi="宋体" w:eastAsia="宋体" w:cs="宋体"/>
          <w:sz w:val="28"/>
          <w:szCs w:val="28"/>
        </w:rPr>
        <w:t>乙方协议编号：</w:t>
      </w:r>
    </w:p>
    <w:p>
      <w:pPr>
        <w:spacing w:line="560" w:lineRule="exact"/>
        <w:ind w:right="600"/>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甲  方（委托人）：深圳市燃气集团股份有限公司</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统一社会信用代码：91440300192408392D</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法定代表人：</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地址：深圳市福田区梅坳一路268号</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 xml:space="preserve">联系人：       </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乙</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方：</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统一社会信用代码：</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法定代表人：</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地址：</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 xml:space="preserve">联系人：        </w:t>
      </w:r>
    </w:p>
    <w:p>
      <w:pPr>
        <w:keepNext w:val="0"/>
        <w:keepLines w:val="0"/>
        <w:pageBreakBefore w:val="0"/>
        <w:widowControl w:val="0"/>
        <w:kinsoku/>
        <w:wordWrap/>
        <w:overflowPunct/>
        <w:topLinePunct w:val="0"/>
        <w:autoSpaceDE/>
        <w:autoSpaceDN/>
        <w:bidi w:val="0"/>
        <w:adjustRightInd/>
        <w:snapToGrid/>
        <w:spacing w:line="560" w:lineRule="exact"/>
        <w:ind w:right="601"/>
        <w:textAlignment w:val="auto"/>
        <w:rPr>
          <w:rFonts w:hint="eastAsia" w:ascii="宋体" w:hAnsi="宋体" w:eastAsia="宋体" w:cs="宋体"/>
          <w:sz w:val="28"/>
          <w:szCs w:val="28"/>
        </w:rPr>
      </w:pPr>
      <w:r>
        <w:rPr>
          <w:rFonts w:hint="eastAsia" w:ascii="宋体" w:hAnsi="宋体" w:eastAsia="宋体" w:cs="宋体"/>
          <w:sz w:val="28"/>
          <w:szCs w:val="28"/>
        </w:rPr>
        <w:t>联系电话：</w:t>
      </w:r>
    </w:p>
    <w:p>
      <w:pPr>
        <w:rPr>
          <w:rFonts w:hint="eastAsia" w:ascii="宋体" w:hAnsi="宋体" w:eastAsia="宋体" w:cs="宋体"/>
          <w:sz w:val="28"/>
          <w:szCs w:val="28"/>
        </w:rPr>
      </w:pPr>
      <w:r>
        <w:rPr>
          <w:rFonts w:hint="eastAsia" w:ascii="宋体" w:hAnsi="宋体" w:eastAsia="宋体" w:cs="宋体"/>
          <w:sz w:val="28"/>
          <w:szCs w:val="28"/>
        </w:rPr>
        <w:br w:type="page"/>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根据《中华人民共和国民法典》，经甲、乙双方协商一致，由甲方购进、乙方售出下列货物，并按下列条款签订本合同：</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货物名称、规格型号、单价如下表：</w:t>
      </w:r>
    </w:p>
    <w:tbl>
      <w:tblPr>
        <w:tblStyle w:val="84"/>
        <w:tblW w:w="8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600"/>
        <w:gridCol w:w="1845"/>
        <w:gridCol w:w="990"/>
        <w:gridCol w:w="1800"/>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74"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rPr>
              <w:t>序号</w:t>
            </w:r>
          </w:p>
        </w:tc>
        <w:tc>
          <w:tcPr>
            <w:tcW w:w="1600"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rPr>
              <w:t>货物名称</w:t>
            </w:r>
          </w:p>
        </w:tc>
        <w:tc>
          <w:tcPr>
            <w:tcW w:w="1845"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rPr>
              <w:t>规格</w:t>
            </w:r>
          </w:p>
        </w:tc>
        <w:tc>
          <w:tcPr>
            <w:tcW w:w="990"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rPr>
              <w:t>单位</w:t>
            </w:r>
          </w:p>
        </w:tc>
        <w:tc>
          <w:tcPr>
            <w:tcW w:w="1800" w:type="dxa"/>
            <w:vAlign w:val="center"/>
          </w:tcPr>
          <w:p>
            <w:pPr>
              <w:widowControl/>
              <w:jc w:val="center"/>
              <w:rPr>
                <w:rFonts w:hint="eastAsia" w:ascii="宋体" w:hAnsi="宋体" w:cs="宋体" w:eastAsiaTheme="minorEastAsia"/>
                <w:color w:val="auto"/>
                <w:kern w:val="0"/>
                <w:sz w:val="22"/>
                <w:lang w:eastAsia="zh-CN"/>
              </w:rPr>
            </w:pPr>
            <w:r>
              <w:rPr>
                <w:rFonts w:hint="eastAsia" w:ascii="宋体" w:hAnsi="宋体" w:cs="宋体"/>
                <w:color w:val="auto"/>
                <w:kern w:val="0"/>
                <w:sz w:val="22"/>
              </w:rPr>
              <w:t>单价</w:t>
            </w:r>
            <w:r>
              <w:rPr>
                <w:rFonts w:hint="eastAsia" w:ascii="宋体" w:hAnsi="宋体" w:cs="宋体"/>
                <w:color w:val="auto"/>
                <w:kern w:val="0"/>
                <w:sz w:val="22"/>
                <w:lang w:eastAsia="zh-CN"/>
              </w:rPr>
              <w:t>（</w:t>
            </w:r>
            <w:r>
              <w:rPr>
                <w:rFonts w:hint="eastAsia" w:ascii="宋体" w:hAnsi="宋体" w:cs="宋体"/>
                <w:color w:val="auto"/>
                <w:kern w:val="0"/>
                <w:sz w:val="22"/>
                <w:lang w:val="en-US" w:eastAsia="zh-CN"/>
              </w:rPr>
              <w:t>元</w:t>
            </w:r>
            <w:r>
              <w:rPr>
                <w:rFonts w:hint="eastAsia" w:ascii="宋体" w:hAnsi="宋体" w:cs="宋体"/>
                <w:color w:val="auto"/>
                <w:kern w:val="0"/>
                <w:sz w:val="22"/>
                <w:lang w:eastAsia="zh-CN"/>
              </w:rPr>
              <w:t>）</w:t>
            </w:r>
          </w:p>
        </w:tc>
        <w:tc>
          <w:tcPr>
            <w:tcW w:w="1561" w:type="dxa"/>
            <w:vAlign w:val="center"/>
          </w:tcPr>
          <w:p>
            <w:pPr>
              <w:widowControl/>
              <w:jc w:val="center"/>
              <w:rPr>
                <w:rFonts w:hint="eastAsia" w:ascii="宋体" w:hAnsi="宋体" w:cs="宋体" w:eastAsiaTheme="minorEastAsia"/>
                <w:color w:val="auto"/>
                <w:kern w:val="0"/>
                <w:sz w:val="22"/>
                <w:lang w:eastAsia="zh-CN"/>
              </w:rPr>
            </w:pPr>
            <w:r>
              <w:rPr>
                <w:rFonts w:hint="eastAsia" w:ascii="宋体" w:hAnsi="宋体" w:cs="宋体"/>
                <w:color w:val="auto"/>
                <w:kern w:val="0"/>
                <w:sz w:val="2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4" w:type="dxa"/>
            <w:shd w:val="clear" w:color="auto" w:fill="auto"/>
            <w:vAlign w:val="center"/>
          </w:tcPr>
          <w:p>
            <w:pPr>
              <w:widowControl/>
              <w:jc w:val="center"/>
              <w:rPr>
                <w:rFonts w:ascii="Book Antiqua" w:hAnsi="Book Antiqua" w:cs="宋体"/>
                <w:color w:val="auto"/>
                <w:kern w:val="0"/>
                <w:sz w:val="20"/>
              </w:rPr>
            </w:pPr>
            <w:r>
              <w:rPr>
                <w:rFonts w:hint="eastAsia" w:ascii="Book Antiqua" w:hAnsi="Book Antiqua" w:cs="宋体"/>
                <w:color w:val="auto"/>
                <w:kern w:val="0"/>
                <w:sz w:val="20"/>
              </w:rPr>
              <w:t>1</w:t>
            </w:r>
          </w:p>
        </w:tc>
        <w:tc>
          <w:tcPr>
            <w:tcW w:w="1600"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lang w:val="en-US" w:eastAsia="zh-CN"/>
              </w:rPr>
              <w:t>中、低压柱状</w:t>
            </w:r>
            <w:r>
              <w:rPr>
                <w:rFonts w:ascii="宋体" w:hAnsi="宋体" w:cs="宋体"/>
                <w:color w:val="auto"/>
                <w:kern w:val="0"/>
                <w:sz w:val="22"/>
              </w:rPr>
              <w:t>标志桩</w:t>
            </w:r>
          </w:p>
        </w:tc>
        <w:tc>
          <w:tcPr>
            <w:tcW w:w="1845"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rPr>
              <w:t>草坪标志桩</w:t>
            </w:r>
          </w:p>
        </w:tc>
        <w:tc>
          <w:tcPr>
            <w:tcW w:w="990" w:type="dxa"/>
            <w:shd w:val="clear" w:color="auto" w:fill="auto"/>
            <w:vAlign w:val="center"/>
          </w:tcPr>
          <w:p>
            <w:pPr>
              <w:widowControl/>
              <w:jc w:val="center"/>
              <w:rPr>
                <w:rFonts w:ascii="Book Antiqua" w:hAnsi="Book Antiqua" w:cs="宋体"/>
                <w:color w:val="auto"/>
                <w:kern w:val="0"/>
                <w:sz w:val="20"/>
              </w:rPr>
            </w:pPr>
            <w:r>
              <w:rPr>
                <w:rFonts w:ascii="Book Antiqua" w:hAnsi="Book Antiqua" w:cs="宋体"/>
                <w:color w:val="auto"/>
                <w:kern w:val="0"/>
                <w:sz w:val="20"/>
              </w:rPr>
              <w:t>个</w:t>
            </w:r>
          </w:p>
        </w:tc>
        <w:tc>
          <w:tcPr>
            <w:tcW w:w="1800" w:type="dxa"/>
            <w:vAlign w:val="center"/>
          </w:tcPr>
          <w:p>
            <w:pPr>
              <w:widowControl/>
              <w:jc w:val="center"/>
              <w:rPr>
                <w:rFonts w:ascii="Book Antiqua" w:hAnsi="Book Antiqua" w:cs="宋体"/>
                <w:color w:val="auto"/>
                <w:kern w:val="0"/>
                <w:sz w:val="20"/>
              </w:rPr>
            </w:pPr>
          </w:p>
        </w:tc>
        <w:tc>
          <w:tcPr>
            <w:tcW w:w="1561" w:type="dxa"/>
            <w:vAlign w:val="center"/>
          </w:tcPr>
          <w:p>
            <w:pPr>
              <w:widowControl/>
              <w:jc w:val="center"/>
              <w:rPr>
                <w:rFonts w:ascii="Book Antiqua" w:hAnsi="Book Antiqua" w:cs="宋体"/>
                <w:color w:val="auto"/>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4" w:type="dxa"/>
            <w:shd w:val="clear" w:color="auto" w:fill="auto"/>
            <w:vAlign w:val="center"/>
          </w:tcPr>
          <w:p>
            <w:pPr>
              <w:widowControl/>
              <w:jc w:val="center"/>
              <w:rPr>
                <w:rFonts w:ascii="Book Antiqua" w:hAnsi="Book Antiqua" w:cs="宋体"/>
                <w:color w:val="auto"/>
                <w:kern w:val="0"/>
                <w:sz w:val="20"/>
              </w:rPr>
            </w:pPr>
            <w:r>
              <w:rPr>
                <w:rFonts w:hint="eastAsia" w:ascii="Book Antiqua" w:hAnsi="Book Antiqua" w:cs="宋体"/>
                <w:color w:val="auto"/>
                <w:kern w:val="0"/>
                <w:sz w:val="20"/>
              </w:rPr>
              <w:t>2</w:t>
            </w:r>
          </w:p>
        </w:tc>
        <w:tc>
          <w:tcPr>
            <w:tcW w:w="1600" w:type="dxa"/>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kern w:val="0"/>
                <w:sz w:val="22"/>
                <w:lang w:val="en-US" w:eastAsia="zh-CN"/>
              </w:rPr>
              <w:t>中、低压柱状</w:t>
            </w:r>
            <w:r>
              <w:rPr>
                <w:rFonts w:ascii="宋体" w:hAnsi="宋体" w:cs="宋体"/>
                <w:color w:val="auto"/>
                <w:kern w:val="0"/>
                <w:sz w:val="22"/>
              </w:rPr>
              <w:t>标志桩</w:t>
            </w:r>
          </w:p>
        </w:tc>
        <w:tc>
          <w:tcPr>
            <w:tcW w:w="1845" w:type="dxa"/>
            <w:shd w:val="clear" w:color="auto" w:fill="auto"/>
            <w:vAlign w:val="center"/>
          </w:tcPr>
          <w:p>
            <w:pPr>
              <w:widowControl/>
              <w:jc w:val="center"/>
              <w:rPr>
                <w:rFonts w:hint="default" w:ascii="宋体" w:hAnsi="宋体" w:cs="宋体" w:eastAsiaTheme="minorEastAsia"/>
                <w:color w:val="auto"/>
                <w:kern w:val="0"/>
                <w:sz w:val="22"/>
                <w:lang w:val="en-US" w:eastAsia="zh-CN"/>
              </w:rPr>
            </w:pPr>
            <w:r>
              <w:rPr>
                <w:rFonts w:hint="eastAsia" w:ascii="宋体" w:hAnsi="宋体" w:cs="宋体"/>
                <w:color w:val="auto"/>
                <w:kern w:val="0"/>
                <w:sz w:val="22"/>
                <w:lang w:val="en-US" w:eastAsia="zh-CN"/>
              </w:rPr>
              <w:t>灌木标志桩</w:t>
            </w:r>
          </w:p>
        </w:tc>
        <w:tc>
          <w:tcPr>
            <w:tcW w:w="990" w:type="dxa"/>
            <w:shd w:val="clear" w:color="auto" w:fill="auto"/>
            <w:vAlign w:val="center"/>
          </w:tcPr>
          <w:p>
            <w:pPr>
              <w:widowControl/>
              <w:jc w:val="center"/>
              <w:rPr>
                <w:rFonts w:ascii="Book Antiqua" w:hAnsi="Book Antiqua" w:cs="宋体"/>
                <w:color w:val="auto"/>
                <w:kern w:val="0"/>
                <w:sz w:val="20"/>
              </w:rPr>
            </w:pPr>
            <w:r>
              <w:rPr>
                <w:rFonts w:ascii="Book Antiqua" w:hAnsi="Book Antiqua" w:cs="宋体"/>
                <w:color w:val="auto"/>
                <w:kern w:val="0"/>
                <w:sz w:val="20"/>
              </w:rPr>
              <w:t>个</w:t>
            </w:r>
          </w:p>
        </w:tc>
        <w:tc>
          <w:tcPr>
            <w:tcW w:w="1800" w:type="dxa"/>
            <w:vAlign w:val="center"/>
          </w:tcPr>
          <w:p>
            <w:pPr>
              <w:widowControl/>
              <w:jc w:val="center"/>
              <w:rPr>
                <w:rFonts w:ascii="Book Antiqua" w:hAnsi="Book Antiqua" w:cs="宋体"/>
                <w:color w:val="auto"/>
                <w:kern w:val="0"/>
                <w:sz w:val="20"/>
              </w:rPr>
            </w:pPr>
          </w:p>
        </w:tc>
        <w:tc>
          <w:tcPr>
            <w:tcW w:w="1561" w:type="dxa"/>
            <w:vAlign w:val="center"/>
          </w:tcPr>
          <w:p>
            <w:pPr>
              <w:widowControl/>
              <w:jc w:val="center"/>
              <w:rPr>
                <w:rFonts w:ascii="Book Antiqua" w:hAnsi="Book Antiqua" w:cs="宋体"/>
                <w:color w:val="auto"/>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274" w:type="dxa"/>
            <w:gridSpan w:val="2"/>
            <w:shd w:val="clear" w:color="auto" w:fill="auto"/>
            <w:vAlign w:val="center"/>
          </w:tcPr>
          <w:p>
            <w:pPr>
              <w:widowControl/>
              <w:jc w:val="center"/>
              <w:rPr>
                <w:rFonts w:ascii="宋体" w:hAnsi="宋体" w:cs="宋体"/>
                <w:color w:val="auto"/>
                <w:kern w:val="0"/>
                <w:sz w:val="20"/>
              </w:rPr>
            </w:pPr>
            <w:r>
              <w:rPr>
                <w:rFonts w:hint="eastAsia" w:ascii="宋体" w:hAnsi="宋体" w:cs="宋体"/>
                <w:color w:val="auto"/>
                <w:kern w:val="0"/>
                <w:sz w:val="22"/>
              </w:rPr>
              <w:t>合计金额</w:t>
            </w:r>
          </w:p>
        </w:tc>
        <w:tc>
          <w:tcPr>
            <w:tcW w:w="6196" w:type="dxa"/>
            <w:gridSpan w:val="4"/>
            <w:shd w:val="clear" w:color="auto" w:fill="auto"/>
            <w:vAlign w:val="center"/>
          </w:tcPr>
          <w:p>
            <w:pPr>
              <w:spacing w:line="360" w:lineRule="exact"/>
              <w:jc w:val="left"/>
              <w:rPr>
                <w:rFonts w:ascii="仿宋_GB2312" w:eastAsia="仿宋_GB2312"/>
                <w:color w:val="auto"/>
                <w:sz w:val="24"/>
                <w:szCs w:val="24"/>
              </w:rPr>
            </w:pPr>
            <w:r>
              <w:rPr>
                <w:rFonts w:hint="eastAsia" w:ascii="仿宋_GB2312" w:eastAsia="仿宋_GB2312"/>
                <w:color w:val="auto"/>
                <w:sz w:val="24"/>
                <w:szCs w:val="24"/>
              </w:rPr>
              <w:t>小写：￥</w:t>
            </w:r>
          </w:p>
          <w:p>
            <w:pPr>
              <w:widowControl/>
              <w:jc w:val="left"/>
              <w:rPr>
                <w:rFonts w:ascii="Book Antiqua" w:hAnsi="Book Antiqua" w:cs="宋体"/>
                <w:color w:val="auto"/>
                <w:kern w:val="0"/>
                <w:sz w:val="20"/>
              </w:rPr>
            </w:pPr>
            <w:r>
              <w:rPr>
                <w:rFonts w:hint="eastAsia" w:ascii="仿宋_GB2312" w:eastAsia="仿宋_GB2312"/>
                <w:color w:val="auto"/>
                <w:sz w:val="24"/>
                <w:szCs w:val="24"/>
              </w:rPr>
              <w:t>大写：人民币</w:t>
            </w:r>
          </w:p>
        </w:tc>
      </w:tr>
    </w:tbl>
    <w:p>
      <w:pPr>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上表中价格是指所采购货物到达甲方交货地点的价格，具体包括但不限于货物、运输费、售后服务费、培训费、国家规定的所有税费等在内的完成本次采购所需的全部费用。</w:t>
      </w:r>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第一条</w:t>
      </w:r>
      <w:r>
        <w:rPr>
          <w:rFonts w:hint="eastAsia" w:ascii="仿宋_GB2312" w:hAnsi="仿宋" w:eastAsia="仿宋_GB2312"/>
          <w:color w:val="auto"/>
          <w:sz w:val="28"/>
          <w:szCs w:val="28"/>
        </w:rPr>
        <w:t xml:space="preserve">  定义</w:t>
      </w:r>
    </w:p>
    <w:p>
      <w:pPr>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本合同中的下列术语应解释为：</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本合同中的下列术语应解释为：</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1、“合同”指甲乙双方签署的、合同格式中载明的甲乙双方所达成的协议，包括所有的附件、附录和构成合同的其它文件。</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2、“货物”指乙方根据合同规定须向甲方提供的本项目的一切设备、材料、机械、仪表、备件、手册和其它技术文档及其它材料。</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3、“服务”指根据合同规定乙方承担与供货有关的辅助服务，如运输、装卸、保险以及其他的伴随服务，如安装、质量保证、提供技术协助、调试、培训、维修、维护、巡查及其他类似的义务。</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4、“验收”指合同双方依据规定的程序和条件确认合同项下的货物是否符合技术规范的要求。验收分到货验收、现场验收和调试验收，必要时甲方可委托第三方机构检验，检验报告作为验收依据。</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5、“合同价”指根据合同规定乙方在正确地完全履行合同义务后甲方应支付给乙方的对等价格。</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6、“日”指日历日。</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7、“交货时限”指甲方采购订单中列明的或经双方协商一致确定的乙方交货时间。</w:t>
      </w:r>
    </w:p>
    <w:p>
      <w:pPr>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8、“批次货物”指甲方一次订单所采购的货物。</w:t>
      </w:r>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第二条</w:t>
      </w:r>
      <w:r>
        <w:rPr>
          <w:rFonts w:hint="eastAsia" w:ascii="仿宋_GB2312" w:hAnsi="仿宋" w:eastAsia="仿宋_GB2312"/>
          <w:color w:val="auto"/>
          <w:sz w:val="28"/>
          <w:szCs w:val="28"/>
        </w:rPr>
        <w:t xml:space="preserve">  合同履约期限、采购数量及交货时限</w:t>
      </w:r>
    </w:p>
    <w:p>
      <w:pPr>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一、合同履约期限：自本合同生效之日起（或从</w:t>
      </w:r>
      <w:r>
        <w:rPr>
          <w:rFonts w:hint="eastAsia" w:ascii="仿宋_GB2312" w:hAnsi="仿宋" w:eastAsia="仿宋_GB2312"/>
          <w:b/>
          <w:color w:val="auto"/>
          <w:sz w:val="28"/>
          <w:szCs w:val="28"/>
        </w:rPr>
        <w:t xml:space="preserve">   年  月  日</w:t>
      </w:r>
      <w:r>
        <w:rPr>
          <w:rFonts w:hint="eastAsia" w:ascii="仿宋_GB2312" w:hAnsi="仿宋" w:eastAsia="仿宋_GB2312"/>
          <w:color w:val="auto"/>
          <w:sz w:val="28"/>
          <w:szCs w:val="28"/>
        </w:rPr>
        <w:t>起，以先到者为准）至</w:t>
      </w:r>
      <w:r>
        <w:rPr>
          <w:rFonts w:hint="eastAsia" w:ascii="仿宋_GB2312" w:hAnsi="仿宋" w:eastAsia="仿宋_GB2312"/>
          <w:b/>
          <w:color w:val="auto"/>
          <w:sz w:val="28"/>
          <w:szCs w:val="28"/>
        </w:rPr>
        <w:t xml:space="preserve">   年  月  日</w:t>
      </w:r>
      <w:r>
        <w:rPr>
          <w:rFonts w:hint="eastAsia" w:ascii="仿宋_GB2312" w:hAnsi="仿宋" w:eastAsia="仿宋_GB2312"/>
          <w:color w:val="auto"/>
          <w:sz w:val="28"/>
          <w:szCs w:val="28"/>
        </w:rPr>
        <w:t>止。</w:t>
      </w:r>
    </w:p>
    <w:p>
      <w:pPr>
        <w:spacing w:line="560" w:lineRule="exact"/>
        <w:ind w:firstLine="560" w:firstLineChars="200"/>
        <w:rPr>
          <w:rFonts w:hint="eastAsia" w:ascii="仿宋_GB2312" w:hAnsi="仿宋" w:eastAsia="仿宋_GB2312"/>
          <w:color w:val="auto"/>
          <w:sz w:val="28"/>
          <w:szCs w:val="28"/>
          <w:lang w:val="en-US" w:eastAsia="zh-CN"/>
        </w:rPr>
      </w:pPr>
      <w:r>
        <w:rPr>
          <w:rFonts w:hint="eastAsia" w:ascii="仿宋_GB2312" w:hAnsi="仿宋" w:eastAsia="仿宋_GB2312"/>
          <w:color w:val="auto"/>
          <w:sz w:val="28"/>
          <w:szCs w:val="28"/>
        </w:rPr>
        <w:t>二、采购数量：</w:t>
      </w:r>
      <w:r>
        <w:rPr>
          <w:rFonts w:hint="eastAsia" w:ascii="仿宋_GB2312" w:hAnsi="仿宋" w:eastAsia="仿宋_GB2312"/>
          <w:color w:val="auto"/>
          <w:sz w:val="28"/>
          <w:szCs w:val="28"/>
          <w:u w:val="single"/>
          <w:lang w:val="en-US" w:eastAsia="zh-CN"/>
        </w:rPr>
        <w:t>草坪标志桩1300个，灌木标志桩700个</w:t>
      </w:r>
      <w:r>
        <w:rPr>
          <w:rFonts w:hint="eastAsia" w:ascii="仿宋_GB2312" w:hAnsi="仿宋" w:eastAsia="仿宋_GB2312"/>
          <w:color w:val="auto"/>
          <w:sz w:val="28"/>
          <w:szCs w:val="28"/>
          <w:lang w:val="en-US" w:eastAsia="zh-CN"/>
        </w:rPr>
        <w:t>。</w:t>
      </w:r>
    </w:p>
    <w:p>
      <w:pPr>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三、</w:t>
      </w:r>
      <w:r>
        <w:rPr>
          <w:rFonts w:hint="eastAsia" w:ascii="仿宋_GB2312" w:hAnsi="仿宋" w:eastAsia="仿宋_GB2312"/>
          <w:color w:val="auto"/>
          <w:sz w:val="28"/>
          <w:szCs w:val="28"/>
          <w:lang w:val="en-US" w:eastAsia="zh-CN"/>
        </w:rPr>
        <w:t>日常</w:t>
      </w:r>
      <w:r>
        <w:rPr>
          <w:rFonts w:hint="eastAsia" w:ascii="仿宋_GB2312" w:hAnsi="仿宋" w:eastAsia="仿宋_GB2312"/>
          <w:color w:val="auto"/>
          <w:sz w:val="28"/>
          <w:szCs w:val="28"/>
        </w:rPr>
        <w:t>交货时限：甲方订单发出之日起</w:t>
      </w:r>
      <w:r>
        <w:rPr>
          <w:rFonts w:hint="eastAsia" w:ascii="仿宋_GB2312" w:hAnsi="仿宋" w:eastAsia="仿宋_GB2312"/>
          <w:color w:val="auto"/>
          <w:sz w:val="28"/>
          <w:szCs w:val="28"/>
          <w:lang w:val="en-US" w:eastAsia="zh-CN"/>
        </w:rPr>
        <w:t>___(不超过7，按具体承诺时间填写)</w:t>
      </w:r>
      <w:r>
        <w:rPr>
          <w:rFonts w:hint="eastAsia" w:ascii="仿宋_GB2312" w:hAnsi="仿宋" w:eastAsia="仿宋_GB2312"/>
          <w:color w:val="auto"/>
          <w:sz w:val="28"/>
          <w:szCs w:val="28"/>
        </w:rPr>
        <w:t>日内。</w:t>
      </w:r>
      <w:bookmarkStart w:id="18" w:name="_GoBack"/>
      <w:bookmarkEnd w:id="18"/>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第三条</w:t>
      </w:r>
      <w:r>
        <w:rPr>
          <w:rFonts w:hint="eastAsia" w:ascii="仿宋_GB2312" w:hAnsi="仿宋" w:eastAsia="仿宋_GB2312"/>
          <w:color w:val="auto"/>
          <w:sz w:val="28"/>
          <w:szCs w:val="28"/>
        </w:rPr>
        <w:t xml:space="preserve">  货物主要技术要求及执行标准</w:t>
      </w:r>
    </w:p>
    <w:p>
      <w:pPr>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1、乙方承诺其提供的货物应当符合中国法律法规及行业规范要求的技术标准，并符合本合同的技术要求。</w:t>
      </w:r>
    </w:p>
    <w:p>
      <w:pPr>
        <w:adjustRightInd w:val="0"/>
        <w:snapToGrid w:val="0"/>
        <w:spacing w:line="560" w:lineRule="exact"/>
        <w:ind w:firstLine="560" w:firstLineChars="200"/>
        <w:rPr>
          <w:rFonts w:ascii="仿宋_GB2312" w:hAnsi="仿宋" w:eastAsia="仿宋_GB2312"/>
          <w:b/>
          <w:color w:val="auto"/>
          <w:sz w:val="28"/>
          <w:szCs w:val="28"/>
        </w:rPr>
      </w:pPr>
      <w:r>
        <w:rPr>
          <w:rFonts w:hint="eastAsia" w:ascii="仿宋_GB2312" w:hAnsi="仿宋" w:eastAsia="仿宋_GB2312"/>
          <w:color w:val="auto"/>
          <w:sz w:val="28"/>
          <w:szCs w:val="28"/>
        </w:rPr>
        <w:t>2、合同履行期间，甲方对产品有新的全生命周期信息化管理需求或设备编码管理需求时，乙方须按甲方要求和时限，配合、实现并满足甲方需求。</w:t>
      </w:r>
      <w:r>
        <w:rPr>
          <w:rFonts w:hint="eastAsia" w:ascii="仿宋_GB2312" w:hAnsi="仿宋" w:eastAsia="仿宋_GB2312"/>
          <w:b/>
          <w:color w:val="auto"/>
          <w:sz w:val="28"/>
          <w:szCs w:val="28"/>
        </w:rPr>
        <w:t>第四条</w:t>
      </w:r>
      <w:r>
        <w:rPr>
          <w:rFonts w:hint="eastAsia" w:ascii="仿宋_GB2312" w:hAnsi="仿宋" w:eastAsia="仿宋_GB2312"/>
          <w:color w:val="auto"/>
          <w:sz w:val="28"/>
          <w:szCs w:val="28"/>
        </w:rPr>
        <w:t xml:space="preserve">  包装、运输及装运标记</w:t>
      </w:r>
    </w:p>
    <w:p>
      <w:pPr>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标准纸箱或木箱包装，适合长途运输，并妥善防潮、防震、防锈和防粗暴装卸，确保货物安全无损运抵现场。由于包装不善所引起的货物腐蚀、损坏和损失均由乙方承担。包装物由乙方提供，不回收、不收费。</w:t>
      </w:r>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第五条</w:t>
      </w:r>
      <w:r>
        <w:rPr>
          <w:rFonts w:hint="eastAsia" w:ascii="仿宋_GB2312" w:hAnsi="仿宋" w:eastAsia="仿宋_GB2312"/>
          <w:color w:val="auto"/>
          <w:sz w:val="28"/>
          <w:szCs w:val="28"/>
        </w:rPr>
        <w:t xml:space="preserve">  交货地点</w:t>
      </w:r>
    </w:p>
    <w:p>
      <w:pPr>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以甲方订单指定的交货地点为准。甲方订单没有指定交货地点的，则默认交货地点为深圳市燃气集团股份有限公司梅林仓库（位于深圳市福田区梅坳一路）。</w:t>
      </w:r>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第六条</w:t>
      </w:r>
      <w:r>
        <w:rPr>
          <w:rFonts w:hint="eastAsia" w:ascii="仿宋_GB2312" w:hAnsi="仿宋" w:eastAsia="仿宋_GB2312"/>
          <w:color w:val="auto"/>
          <w:sz w:val="28"/>
          <w:szCs w:val="28"/>
        </w:rPr>
        <w:t xml:space="preserve">  交货方式</w:t>
      </w:r>
    </w:p>
    <w:p>
      <w:pPr>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货物为现场交货。现场交货是指乙方负责办理运输和保险，将货物运抵甲方采购订单指定的交货地点向甲方交付，有关运输、配送、装卸、和保险的一切费用由乙方承担。</w:t>
      </w:r>
    </w:p>
    <w:p>
      <w:pPr>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第七条</w:t>
      </w:r>
      <w:r>
        <w:rPr>
          <w:rFonts w:hint="eastAsia" w:ascii="仿宋_GB2312" w:hAnsi="仿宋" w:eastAsia="仿宋_GB2312"/>
          <w:color w:val="auto"/>
          <w:sz w:val="28"/>
          <w:szCs w:val="28"/>
        </w:rPr>
        <w:t xml:space="preserve">  验收标准、方法</w:t>
      </w:r>
    </w:p>
    <w:p>
      <w:pPr>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货物验收参照本合同所列明的质量技术要求和质量标准进行，未列明的按照中华人民共和国技术质量管理监督部门最新颁布的相关标准与规范进行。</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第八条</w:t>
      </w:r>
      <w:r>
        <w:rPr>
          <w:rFonts w:hint="eastAsia" w:ascii="仿宋_GB2312" w:hAnsi="仿宋" w:eastAsia="仿宋_GB2312"/>
          <w:color w:val="auto"/>
          <w:sz w:val="28"/>
          <w:szCs w:val="28"/>
        </w:rPr>
        <w:t xml:space="preserve">  乙方应向甲方提供如下单据或资料</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1、国内增值税率为13%的增值税专用发票一式二联（发票联和抵扣联），增值税发票备注中注明甲方合同号及订单号。</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2、由乙方出具的装箱单一式二份，注明甲方合同号、订单号及装运明细（规格型号及数量）。</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3、由生产制造商出具的出厂检验质量合格证明资料（加盖乙方公章）。</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4、《技术要求》要求提供或其他甲方要求乙方提供的单据或资料。</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5、所有外文资料，须同时提供其中文译本。</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6、甲方指定联系人接收上述单据或资料，并做好签收交接记录。如果单据或资料在送达甲方前有任何短缺、损坏或丢失，乙方在收到甲方相关通知后10日内，应自费将补充或替换的单据或资料送达甲方。</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第九条</w:t>
      </w:r>
      <w:r>
        <w:rPr>
          <w:rFonts w:hint="eastAsia" w:ascii="仿宋_GB2312" w:hAnsi="仿宋" w:eastAsia="仿宋_GB2312"/>
          <w:color w:val="auto"/>
          <w:sz w:val="28"/>
          <w:szCs w:val="28"/>
        </w:rPr>
        <w:t xml:space="preserve">  付款条件</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货到验收合格经双方签字确认后，且乙方向甲方出具增值税率为13%的增值税专用发票后</w:t>
      </w:r>
      <w:r>
        <w:rPr>
          <w:rFonts w:hint="eastAsia" w:ascii="仿宋_GB2312" w:hAnsi="仿宋" w:eastAsia="仿宋_GB2312"/>
          <w:color w:val="auto"/>
          <w:sz w:val="28"/>
          <w:szCs w:val="28"/>
          <w:lang w:val="en-US" w:eastAsia="zh-CN"/>
        </w:rPr>
        <w:t>6</w:t>
      </w:r>
      <w:r>
        <w:rPr>
          <w:rFonts w:hint="eastAsia" w:ascii="仿宋_GB2312" w:hAnsi="仿宋" w:eastAsia="仿宋_GB2312"/>
          <w:color w:val="auto"/>
          <w:sz w:val="28"/>
          <w:szCs w:val="28"/>
        </w:rPr>
        <w:t>0日内甲方结算该批付款。如有货物数量或质量问题（包括乙方未依照合同约定提供单据和资料），甲方有权暂停付款，直至数量或质量问题得到乙方全面彻底解决。</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（一）甲方增值税发票开票信息</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开票名称：</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税号：</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地址：</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电话：</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开户银行：</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帐号：</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（二）乙方收款信息</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收款单位：</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开户银行：</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银行帐号：</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第十条</w:t>
      </w:r>
      <w:r>
        <w:rPr>
          <w:rFonts w:hint="eastAsia" w:ascii="仿宋_GB2312" w:hAnsi="仿宋" w:eastAsia="仿宋_GB2312"/>
          <w:color w:val="auto"/>
          <w:sz w:val="28"/>
          <w:szCs w:val="28"/>
        </w:rPr>
        <w:t xml:space="preserve">  质量保证</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1、乙方保证所交货物与本合同所规定的品质、规格和性能完全相符，且是乙方生产的完全新货。货物的质量保证期为交货并验收合格后24个月，但不包括人为错误操作及不正当使用导致的损坏。</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2、在质保期内，如由于乙方责任需要更换、修理有缺陷的货物时，则质保期应自实际修理或更换好的时间重新计算。</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3、乙方应保证所提供的货物经正确安装，正常运转和保养，在其使用寿命期内应具有可靠的性能。乙方应对由于设计、工艺或材料的缺陷而发生的任何不足或故障负责，并不受本条第一款质量保证期限的限制。</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4、乙方应保证甲方在中华人民共和国使用乙方提供的货物或其任何一部分时不受第三方提出侵犯专利权、商标权或工业设计权的指控。如果任何第三方提出侵权指控，乙方须与第三方交涉并承担可能发生的一切法律责任和费用，并承担因此给甲方造成的损失。</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5、当国家、地方、行业或甲方技术、质量、管理或服务标准修订时，乙方应按照法律法规要求及甲方要求的新的技术、质量、管理或服务标准执行。</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6、当乙方对货物进行改型或升级换代时应经过甲方书面认可后方可向甲方供货，双方另行签署补充协议，否则属于乙方违约。乙方进行改变或更新后的货物各性能及标准不能低于原货物。</w:t>
      </w:r>
    </w:p>
    <w:p>
      <w:pPr>
        <w:adjustRightInd w:val="0"/>
        <w:snapToGrid w:val="0"/>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7、乙方应保证每一件产品都具有追溯性。可以追溯到每一个相关的生产环节、质检环节及原材料管理环节。</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第十一条</w:t>
      </w:r>
      <w:r>
        <w:rPr>
          <w:rFonts w:hint="eastAsia" w:ascii="仿宋_GB2312" w:hAnsi="仿宋" w:eastAsia="仿宋_GB2312"/>
          <w:color w:val="auto"/>
          <w:sz w:val="28"/>
          <w:szCs w:val="28"/>
        </w:rPr>
        <w:t xml:space="preserve">  售后服务</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1、乙方有义务备足货源，按双方约定定期向甲方填报库存情况，保证向甲方及时提供符合本合同质量及技术要求的货物，不能出现因缺货而影响甲方项目进度的情况，并按甲方的要求提供快捷的送货和优质的装卸服务。</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2、乙方针对深圳市场设立固定联系人，负责日常售后服务维护与管理，并根据甲方需求向甲方提供免费的技术支持与培训。</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3、货物在正常使用情况下，由于货物本身质量问题造成使用时出现故障，乙方将提供免费维修或更换。</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4、免费质保期后，乙方承诺对所供应货物提供终身服务，货物如需维修或更换，乙方只收取成本费用。</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5、在发生货物质量问题或甲方需要技术支援服务时，或乙方需前往现场进行安装调试的，乙方应在接到甲方通知2小时内做出响应，48小时内赶到现场处理。</w:t>
      </w:r>
    </w:p>
    <w:p>
      <w:pPr>
        <w:tabs>
          <w:tab w:val="left" w:pos="1276"/>
        </w:tabs>
        <w:spacing w:line="560" w:lineRule="exact"/>
        <w:ind w:firstLine="560" w:firstLineChars="200"/>
        <w:rPr>
          <w:rFonts w:hint="eastAsia" w:ascii="仿宋_GB2312" w:hAnsi="仿宋" w:eastAsia="仿宋_GB2312" w:cs="仿宋_GB2312"/>
          <w:color w:val="auto"/>
          <w:sz w:val="28"/>
          <w:szCs w:val="28"/>
        </w:rPr>
      </w:pPr>
      <w:r>
        <w:rPr>
          <w:rFonts w:hint="eastAsia" w:ascii="仿宋_GB2312" w:hAnsi="仿宋" w:eastAsia="仿宋_GB2312" w:cs="仿宋_GB2312"/>
          <w:color w:val="auto"/>
          <w:sz w:val="28"/>
          <w:szCs w:val="28"/>
        </w:rPr>
        <w:t>6、如出现货物质量不符合要求，乙方必须在48小时内负责货物维修调试直至合格或72小时内无偿提供符合质量要求的货物替换，并以书面报告向甲方说明质量问题产生的原因、整改办法和保证货物质量所采取的措施。</w:t>
      </w:r>
    </w:p>
    <w:p>
      <w:pPr>
        <w:adjustRightInd w:val="0"/>
        <w:snapToGrid w:val="0"/>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s="仿宋_GB2312"/>
          <w:color w:val="auto"/>
          <w:sz w:val="28"/>
          <w:szCs w:val="28"/>
        </w:rPr>
        <w:t>7、乙方已收到并自愿遵从甲方的供应商管理相关制度，接受甲方根据其供应商管理制度所做出的管理措施。</w:t>
      </w:r>
    </w:p>
    <w:p>
      <w:pPr>
        <w:adjustRightInd w:val="0"/>
        <w:snapToGrid w:val="0"/>
        <w:spacing w:line="560" w:lineRule="exact"/>
        <w:ind w:firstLine="562" w:firstLineChars="200"/>
        <w:rPr>
          <w:rFonts w:ascii="仿宋_GB2312" w:hAnsi="仿宋" w:eastAsia="仿宋_GB2312"/>
          <w:color w:val="auto"/>
          <w:sz w:val="28"/>
          <w:szCs w:val="28"/>
        </w:rPr>
      </w:pPr>
      <w:r>
        <w:rPr>
          <w:rFonts w:hint="eastAsia" w:ascii="仿宋_GB2312" w:hAnsi="仿宋" w:eastAsia="仿宋_GB2312"/>
          <w:b/>
          <w:color w:val="auto"/>
          <w:sz w:val="28"/>
          <w:szCs w:val="28"/>
        </w:rPr>
        <w:t>第十二条</w:t>
      </w:r>
      <w:r>
        <w:rPr>
          <w:rFonts w:hint="eastAsia" w:ascii="仿宋_GB2312" w:hAnsi="仿宋" w:eastAsia="仿宋_GB2312"/>
          <w:color w:val="auto"/>
          <w:sz w:val="28"/>
          <w:szCs w:val="28"/>
        </w:rPr>
        <w:t xml:space="preserve"> 绿色环保</w:t>
      </w:r>
    </w:p>
    <w:p>
      <w:pPr>
        <w:adjustRightInd w:val="0"/>
        <w:snapToGrid w:val="0"/>
        <w:spacing w:line="560" w:lineRule="exact"/>
        <w:ind w:firstLine="560" w:firstLineChars="200"/>
        <w:rPr>
          <w:rFonts w:ascii="仿宋_GB2312" w:hAnsi="仿宋" w:eastAsia="仿宋_GB2312"/>
          <w:b/>
          <w:color w:val="auto"/>
          <w:sz w:val="28"/>
          <w:szCs w:val="28"/>
        </w:rPr>
      </w:pPr>
      <w:r>
        <w:rPr>
          <w:rFonts w:hint="eastAsia" w:ascii="仿宋_GB2312" w:hAnsi="仿宋" w:eastAsia="仿宋_GB2312"/>
          <w:color w:val="auto"/>
          <w:sz w:val="28"/>
          <w:szCs w:val="28"/>
        </w:rPr>
        <w:t xml:space="preserve">乙方所供产品在产品设计、原材料选择、生产加工、废弃物排放、产品包装及运输等环节融入绿色理念；使用符合环保标准的原材料，以及可循环使用、可降解或无害化处理的包装材料；选择符合节能要求的、资源能源利用率高的生产设备，采用清洁生产工艺，使污染物排放不低于相应的排放标准，为客户提供绿色优质产品。  </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第十三条</w:t>
      </w:r>
      <w:r>
        <w:rPr>
          <w:rFonts w:hint="eastAsia" w:ascii="仿宋_GB2312" w:hAnsi="仿宋" w:eastAsia="仿宋_GB2312"/>
          <w:color w:val="auto"/>
          <w:sz w:val="28"/>
          <w:szCs w:val="28"/>
        </w:rPr>
        <w:t xml:space="preserve">  验收索赔</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合同执行期间，甲方如发现乙方提供的货物数量或规格型号与订单不符的，应书面通知乙方，并由乙方向甲方补足/更换短缺的货物数量，承担因此产生的费用，并赔偿甲方因此而遭受的所有损失。如甲方对乙方提供的货物质量存在争议的，可自行委托符合资质的第三方检验机构检验，并出具检验证书，责任方承担全部的检验费用。</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2、甲方有权凭其委托检验机构出具的不合格报告向乙方提出换货或索赔，甲方有权解除合同，并要求乙方赔偿由此产生的全部损失（包括但不限于公证费、检测费、鉴定费、诉讼费、律师费等）。</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如货物外包装出现破损等问题时，由乙方确认，甲方通知乙方处理。如交货数量不符合要求，数量索赔由甲方在交货之日起15日内向乙方提出换货、补货和赔偿损失。乙方应在收到通知后15日内应免费换货、补货和赔偿损失。</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4、若由于乙方货物质量问题造成甲方损失及第三方损失的，甲方有权向乙方全额追责，乙方应如实全额赔偿甲方损失及第三方损失。</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5、如果乙方货物在本合同期间：</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（1）一般违约</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出现第一次质量不合格或服务不合格（含逾期交货）记录，甲方向乙方提出警告，责令乙方按本合同要求整改。</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出现第二次质量不合格或服务不合格记录（含逾期交货），则乙方应当向甲方支付违约金，违约金金额分别为该订单货物总金额的10%，甲方直接在未付货款中扣除或向乙方索取。</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（2）严重违约</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有下列情况之一的, 甲方有权立即无条件暂停或解除本合同, 乙方无条件向甲方支付总采购额(总采购额指合同暂停或解除当日的总订单金额)的20%作为违约金,甲方有权直接在未付货款中扣除。</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A、未使用指定原产地、品牌或生产商生产的产品；</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B、产品存在重大质量缺陷；</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C、乙方在本合同履行期间出现货物不合格或服务不合格（含逾期交货）累计（货物不合格或服务不合格（含逾期交货）出现的次数可以累加）有三次以上（包含三次）的；</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D、未经甲方书面同意，以本合同项下的应收账款进行债权转让、质押、借款或为第三人提供担保等行为；</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E、导致合同目的不能实现的其他的严重违约情形。</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 xml:space="preserve">F、未经甲方同意,乙方向第三方销售“深圳燃气专用电子标签”的行为。  </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6、在质保期内，如果乙方出现两次延迟提供技术服务，且每次延迟时间超过48小时的，甲方有权与第三方直接签订技术服务协议，技术服务等相关费用由乙方承担，甲方直接在未付货款中扣除.</w:t>
      </w:r>
    </w:p>
    <w:p>
      <w:pPr>
        <w:tabs>
          <w:tab w:val="left" w:pos="1276"/>
        </w:tabs>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 xml:space="preserve"> 7、质保期的终止不能解除乙方对货物中存在的可能引起货物损坏的潜在缺陷所负责任。潜在缺陷指货物的隐患在正常情况下不能在制造过程中被发现，乙方对纠正潜在缺陷负有责任。当发现潜在缺陷时（经质检部门确认），乙方应立即无偿更换和修理。如需更换，乙方应负担由此产生的到安装现场更换的一切费用，更换或修理期限不迟于15日，并应赔偿由此造成的甲方损失及第三方损失。</w:t>
      </w:r>
    </w:p>
    <w:p>
      <w:pPr>
        <w:adjustRightInd w:val="0"/>
        <w:snapToGrid w:val="0"/>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8、若乙方收到上述索赔通知后15日不予答复，则认为乙方已接受甲方索赔方案。</w:t>
      </w:r>
    </w:p>
    <w:p>
      <w:pPr>
        <w:adjustRightInd w:val="0"/>
        <w:snapToGrid w:val="0"/>
        <w:spacing w:line="560" w:lineRule="exact"/>
        <w:ind w:firstLine="562" w:firstLineChars="200"/>
        <w:rPr>
          <w:rFonts w:ascii="仿宋_GB2312" w:hAnsi="仿宋" w:eastAsia="仿宋_GB2312"/>
          <w:color w:val="auto"/>
          <w:sz w:val="28"/>
          <w:szCs w:val="28"/>
        </w:rPr>
      </w:pPr>
      <w:r>
        <w:rPr>
          <w:rFonts w:hint="eastAsia" w:ascii="仿宋_GB2312" w:hAnsi="仿宋" w:eastAsia="仿宋_GB2312"/>
          <w:b/>
          <w:color w:val="auto"/>
          <w:sz w:val="28"/>
          <w:szCs w:val="28"/>
        </w:rPr>
        <w:t>第十四条</w:t>
      </w:r>
      <w:r>
        <w:rPr>
          <w:rFonts w:hint="eastAsia" w:ascii="仿宋_GB2312" w:hAnsi="仿宋" w:eastAsia="仿宋_GB2312"/>
          <w:color w:val="auto"/>
          <w:sz w:val="28"/>
          <w:szCs w:val="28"/>
        </w:rPr>
        <w:t xml:space="preserve">  乙方拒绝接受订单、延迟交货</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除不可抗力（见后一条款）原因外，乙方如果不接受甲方订单或不能按合同规定的交货时限交货，应自订单发出之日起3日内以书面形式向甲方提出不接受订单或延迟交货申请，说明不接受订单或延迟交货原因及预计延误时间。如乙方未在订单发出之日起3日内提交申请的，视为乙方已接受订单约定的交货时限。</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1、如果乙方无正当理由拒绝接受甲方订单的，乙方应向甲方支付该订单总额20%的违约金，甲方并有权解除本合同，对因此遭受的其它损失向乙方提出索赔。</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2、如果甲方同意乙方延迟交货申请，则乙方应在承诺的延误时限内交货。</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如果甲方不同意乙方延期交货申请，则甲方有权取消乙方提出延期交货申请的订单，另行组织采购，乙方应无条件接受。乙方应向甲方支付迟交货物总额10%的违约金，同时甲方有权对因此遭受的其它损失向乙方提出索赔，包括但不限于增加的采购成本等。</w:t>
      </w:r>
    </w:p>
    <w:p>
      <w:pPr>
        <w:tabs>
          <w:tab w:val="left" w:pos="1276"/>
        </w:tabs>
        <w:spacing w:line="560" w:lineRule="exact"/>
        <w:ind w:firstLine="560" w:firstLineChars="200"/>
        <w:rPr>
          <w:rFonts w:ascii="仿宋_GB2312" w:hAnsi="仿宋" w:eastAsia="仿宋_GB2312" w:cs="仿宋_GB2312"/>
          <w:color w:val="auto"/>
          <w:sz w:val="28"/>
          <w:szCs w:val="28"/>
        </w:rPr>
      </w:pPr>
      <w:r>
        <w:rPr>
          <w:rFonts w:hint="eastAsia" w:ascii="仿宋_GB2312" w:hAnsi="仿宋" w:eastAsia="仿宋_GB2312"/>
          <w:color w:val="auto"/>
          <w:sz w:val="28"/>
          <w:szCs w:val="28"/>
        </w:rPr>
        <w:t>4、如果乙方不能在甲方同意的延误时限内交货，或不能按合同规定的交货期限交货且未按约定提出延迟交货申请，则甲方有权取消该订单，另行组织采购，乙方应无条件接受，并向甲方支付迟交货物总额20%的违约金。同时，甲方有权解除合同，并有权对因此遭受的其它损失向乙方提出索赔，包括但不限于增加的采购成本等。</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第十五条</w:t>
      </w:r>
      <w:r>
        <w:rPr>
          <w:rFonts w:hint="eastAsia" w:ascii="仿宋_GB2312" w:hAnsi="仿宋" w:eastAsia="仿宋_GB2312"/>
          <w:color w:val="auto"/>
          <w:sz w:val="28"/>
          <w:szCs w:val="28"/>
        </w:rPr>
        <w:t xml:space="preserve">  不可抗力</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s="仿宋_GB2312"/>
          <w:color w:val="auto"/>
          <w:sz w:val="28"/>
          <w:szCs w:val="28"/>
        </w:rPr>
        <w:t>合同签订后，签约双方任何一方，由于火灾、旱灾、地震、战争或双方同意的其它不可抗力的事故而影响本合同履行时，可延长履行合同的限期。这一期限应相当于事故所影响的时间，并可根据情况部分或全部免予承担违约责任。受事故影响方应尽快将所发生不可抗力事故情况以书面形式通知对方，同时采取有效措施尽量减少因事故影响所造成的损失，当不可抗力事故停止或消除后，受事故影响的一方应尽快书面形式通知另一方。如不可抗力事故的影响连续20日以上，双方应通过友好协商解决本合同的履行问题，并尽快达成协议。</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第十六条</w:t>
      </w:r>
      <w:r>
        <w:rPr>
          <w:rFonts w:hint="eastAsia" w:ascii="仿宋_GB2312" w:hAnsi="仿宋" w:eastAsia="仿宋_GB2312"/>
          <w:color w:val="auto"/>
          <w:sz w:val="28"/>
          <w:szCs w:val="28"/>
        </w:rPr>
        <w:t xml:space="preserve">  合同的修改与终止</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1、如需对本合同条款做出修改时，经协商一致，甲乙双方可签订本合同补充协议，补充协议是本合同不可分割的组成部分。</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2、合同执行期间，有下列情形之一的，甲方可终止本合同：</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（1）、有新的国家、广东省、深圳市行业技术规范、货物标准出台；</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（2）、甲方有新的选型货物纳入需重新组织采购；</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（3）、甲方企业技术、质量、管理或服务标准修订时，乙方提供的货物若不能满足法律法规、行业规范或甲方要求。</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3、合同履行期限期满后，或任何一方如遇不可抗力因素影响而丧失履约能力的，本合同自动终止。</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4、在本合同履行期间，如果任一方有证据证明对方有下列情形之一的，则可以中止履行本合同，并应当及时通知对方。对方提供适当担保时，中止履行的一方应当恢复履行。中止履行后，对方在合理期限内未恢复履行能力并且未提供适当担保的，中止履行的一方可以解除合同：</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（1）、经营状况严重恶化。</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（2）、转移财产、抽逃资金，以逃避债务。</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（3）、丧失商业信誉。</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（4）、有丧失或者可能丧失履行债务能力的其他情形。</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第十七条</w:t>
      </w:r>
      <w:r>
        <w:rPr>
          <w:rFonts w:hint="eastAsia" w:ascii="仿宋_GB2312" w:hAnsi="仿宋" w:eastAsia="仿宋_GB2312"/>
          <w:color w:val="auto"/>
          <w:sz w:val="28"/>
          <w:szCs w:val="28"/>
        </w:rPr>
        <w:t xml:space="preserve">  组成本合同的文件</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组成本合同的文件及解释优先顺序如下：</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1、本合同书及其附件。</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2、甲方中标通知书或采购订单。</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3、甲方招标文件或其它采购文件（含有关澄清文件）。</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4、乙方投标文件或其它响应文件。</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第十</w:t>
      </w:r>
      <w:r>
        <w:rPr>
          <w:rFonts w:hint="eastAsia" w:ascii="仿宋_GB2312" w:hAnsi="仿宋" w:eastAsia="仿宋_GB2312"/>
          <w:b/>
          <w:color w:val="auto"/>
          <w:sz w:val="28"/>
          <w:szCs w:val="28"/>
          <w:lang w:val="en-US" w:eastAsia="zh-CN"/>
        </w:rPr>
        <w:t>八</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保密责任</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双方应当对本合同的内容或与本合同相关的资料、文件、数据（无论是书面的还是电子的）以及履行本合同过程中知悉的对方保密信息长期保守秘密，未经对方事先书面同意，任何一方不得以任何方式向本合同以外的任何第三方（国家或政府部门或任一方聘请的法律顾问除外）提供或透露或将保密信息用于本合同之外的目的；也不得擅自使用或允许任何第三方使用甲方名称、声誉等开展本合同之外的其他经营业务。</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w:t>
      </w:r>
      <w:r>
        <w:rPr>
          <w:rFonts w:hint="eastAsia" w:ascii="仿宋_GB2312" w:hAnsi="仿宋" w:eastAsia="仿宋_GB2312"/>
          <w:b/>
          <w:color w:val="auto"/>
          <w:sz w:val="28"/>
          <w:szCs w:val="28"/>
          <w:lang w:eastAsia="zh-CN"/>
        </w:rPr>
        <w:t>十九</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争议的处理</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如双方在履行合同时发生纠纷，双方应采取友好协商的方式解决问题，若未能达成一致意见，则向甲方</w:t>
      </w:r>
      <w:r>
        <w:rPr>
          <w:rFonts w:hint="eastAsia" w:ascii="仿宋_GB2312" w:hAnsi="仿宋" w:eastAsia="仿宋_GB2312"/>
          <w:color w:val="auto"/>
          <w:sz w:val="28"/>
          <w:szCs w:val="28"/>
          <w:lang w:bidi="ar"/>
        </w:rPr>
        <w:t>住所地有管辖权的</w:t>
      </w:r>
      <w:r>
        <w:rPr>
          <w:rFonts w:hint="eastAsia" w:ascii="仿宋_GB2312" w:hAnsi="仿宋" w:eastAsia="仿宋_GB2312" w:cs="仿宋_GB2312"/>
          <w:color w:val="auto"/>
          <w:sz w:val="28"/>
          <w:szCs w:val="28"/>
        </w:rPr>
        <w:t>人民法院</w:t>
      </w:r>
      <w:r>
        <w:rPr>
          <w:rFonts w:hint="eastAsia" w:ascii="仿宋_GB2312" w:hAnsi="仿宋" w:eastAsia="仿宋_GB2312"/>
          <w:color w:val="auto"/>
          <w:sz w:val="28"/>
          <w:szCs w:val="28"/>
        </w:rPr>
        <w:t>起诉。</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第二十条</w:t>
      </w:r>
      <w:r>
        <w:rPr>
          <w:rFonts w:hint="eastAsia" w:ascii="仿宋_GB2312" w:hAnsi="仿宋" w:eastAsia="仿宋_GB2312"/>
          <w:color w:val="auto"/>
          <w:sz w:val="28"/>
          <w:szCs w:val="28"/>
        </w:rPr>
        <w:t xml:space="preserve">  通知</w:t>
      </w:r>
    </w:p>
    <w:p>
      <w:pPr>
        <w:adjustRightInd w:val="0"/>
        <w:snapToGrid w:val="0"/>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所有通知按合同约定联系信息可用传真/电子邮件/快件/甲方ERP系统客户端等方式送达对方。如联系信息有变更，一方应在变更后7日内书面通知另一方。乙方应积极配合、参与甲方组织的甲方ERP系统客户端学习、培训，并按甲方要求开展甲方ERP系统客户端的日常业务。</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w:t>
      </w:r>
      <w:r>
        <w:rPr>
          <w:rFonts w:hint="eastAsia" w:ascii="仿宋_GB2312" w:hAnsi="仿宋" w:eastAsia="仿宋_GB2312"/>
          <w:b/>
          <w:color w:val="auto"/>
          <w:sz w:val="28"/>
          <w:szCs w:val="28"/>
          <w:lang w:eastAsia="zh-CN"/>
        </w:rPr>
        <w:t>一</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送达</w:t>
      </w:r>
    </w:p>
    <w:p>
      <w:pPr>
        <w:adjustRightInd w:val="0"/>
        <w:snapToGrid w:val="0"/>
        <w:spacing w:line="560" w:lineRule="exact"/>
        <w:ind w:firstLine="560" w:firstLineChars="200"/>
        <w:rPr>
          <w:rFonts w:hint="eastAsia" w:ascii="仿宋_GB2312" w:hAnsi="仿宋" w:eastAsia="仿宋_GB2312"/>
          <w:b/>
          <w:color w:val="auto"/>
          <w:sz w:val="28"/>
          <w:szCs w:val="28"/>
        </w:rPr>
      </w:pPr>
      <w:r>
        <w:rPr>
          <w:rFonts w:hint="eastAsia" w:ascii="仿宋_GB2312" w:hAnsi="仿宋" w:eastAsia="仿宋_GB2312"/>
          <w:color w:val="auto"/>
          <w:sz w:val="28"/>
          <w:szCs w:val="28"/>
        </w:rPr>
        <w:t>任何通知专人送递的，则将该通知或通讯文件交付给事先书面指定的收件人并由指定的收件人签收时视为送达；若有变动，以送达对方的文书所载变动内容为准。以传真、电子邮件送达的，以传真、电子邮件等到达受送达人特定系统的时间视为送达。通过挂号信方式邮寄，则在投递之日起计的第七（7）日取得另一方回执后视为送达。</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w:t>
      </w:r>
      <w:r>
        <w:rPr>
          <w:rFonts w:hint="eastAsia" w:ascii="仿宋_GB2312" w:hAnsi="仿宋" w:eastAsia="仿宋_GB2312"/>
          <w:b/>
          <w:color w:val="auto"/>
          <w:sz w:val="28"/>
          <w:szCs w:val="28"/>
          <w:lang w:eastAsia="zh-CN"/>
        </w:rPr>
        <w:t>二</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不放弃</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一方未行使其在本合同项下的任何权利、权力或特权不意味着将其放弃，单项或部分行使其任何权利、权力或特权不排除其对任何其他权利、权力或特权的行使。</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w:t>
      </w:r>
      <w:r>
        <w:rPr>
          <w:rFonts w:hint="eastAsia" w:ascii="仿宋_GB2312" w:hAnsi="仿宋" w:eastAsia="仿宋_GB2312"/>
          <w:b/>
          <w:color w:val="auto"/>
          <w:sz w:val="28"/>
          <w:szCs w:val="28"/>
          <w:lang w:eastAsia="zh-CN"/>
        </w:rPr>
        <w:t>三</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继续有效</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本合同期限届满或者本合同终止，关于违约、保密、争议解决的条款仍然有效。</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w:t>
      </w:r>
      <w:r>
        <w:rPr>
          <w:rFonts w:hint="eastAsia" w:ascii="仿宋_GB2312" w:hAnsi="仿宋" w:eastAsia="仿宋_GB2312"/>
          <w:b/>
          <w:color w:val="auto"/>
          <w:sz w:val="28"/>
          <w:szCs w:val="28"/>
          <w:lang w:eastAsia="zh-CN"/>
        </w:rPr>
        <w:t>四</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日期计算</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除非有关条款另有规定，本合同内所述所有时限应自有关事项发生之日或有关通知有效发出之日当天开始计算，并且不因期间的任何法定节假日而延展。</w:t>
      </w:r>
    </w:p>
    <w:p>
      <w:pPr>
        <w:adjustRightInd w:val="0"/>
        <w:snapToGrid w:val="0"/>
        <w:spacing w:line="560" w:lineRule="exact"/>
        <w:ind w:firstLine="562" w:firstLineChars="200"/>
        <w:rPr>
          <w:rFonts w:hint="eastAsia" w:ascii="仿宋_GB2312" w:hAnsi="仿宋" w:eastAsia="仿宋_GB2312"/>
          <w:color w:val="auto"/>
          <w:sz w:val="28"/>
          <w:szCs w:val="28"/>
        </w:rPr>
      </w:pPr>
      <w:r>
        <w:rPr>
          <w:rFonts w:hint="eastAsia" w:ascii="仿宋_GB2312" w:hAnsi="仿宋" w:eastAsia="仿宋_GB2312"/>
          <w:b/>
          <w:bCs/>
          <w:color w:val="auto"/>
          <w:sz w:val="28"/>
          <w:szCs w:val="28"/>
        </w:rPr>
        <w:t xml:space="preserve">第二十五条 </w:t>
      </w:r>
      <w:r>
        <w:rPr>
          <w:rFonts w:hint="eastAsia" w:ascii="仿宋_GB2312" w:hAnsi="仿宋" w:eastAsia="仿宋_GB2312"/>
          <w:color w:val="auto"/>
          <w:sz w:val="28"/>
          <w:szCs w:val="28"/>
        </w:rPr>
        <w:t xml:space="preserve"> 廉洁条款</w:t>
      </w:r>
    </w:p>
    <w:p>
      <w:pPr>
        <w:adjustRightInd w:val="0"/>
        <w:snapToGrid w:val="0"/>
        <w:spacing w:line="560" w:lineRule="exact"/>
        <w:ind w:firstLine="560" w:firstLineChars="200"/>
        <w:rPr>
          <w:rFonts w:hint="eastAsia" w:ascii="仿宋_GB2312" w:hAnsi="仿宋" w:eastAsia="仿宋_GB2312"/>
          <w:color w:val="auto"/>
          <w:sz w:val="28"/>
          <w:szCs w:val="28"/>
        </w:rPr>
      </w:pPr>
      <w:r>
        <w:rPr>
          <w:rFonts w:hint="eastAsia" w:ascii="仿宋_GB2312" w:hAnsi="仿宋" w:eastAsia="仿宋_GB2312"/>
          <w:color w:val="auto"/>
          <w:sz w:val="28"/>
          <w:szCs w:val="28"/>
        </w:rPr>
        <w:t>双方同意，双方将严格遵守国家法律规定，不向对方业务人员或其他与本合同业务有关人员直接或间接地提供贿赂、回扣或其他任何形式的、可能对本合同的签署或履行产生实质性影响的利益。甲乙双方需签订《采购项目廉政责任书》（见附件）。</w:t>
      </w:r>
    </w:p>
    <w:p>
      <w:pPr>
        <w:adjustRightInd w:val="0"/>
        <w:snapToGrid w:val="0"/>
        <w:spacing w:line="560" w:lineRule="exact"/>
        <w:ind w:firstLine="562" w:firstLineChars="200"/>
        <w:rPr>
          <w:rFonts w:ascii="仿宋_GB2312" w:hAnsi="仿宋" w:eastAsia="仿宋_GB2312"/>
          <w:b/>
          <w:color w:val="auto"/>
          <w:sz w:val="28"/>
          <w:szCs w:val="28"/>
        </w:rPr>
      </w:pPr>
      <w:r>
        <w:rPr>
          <w:rFonts w:hint="eastAsia" w:ascii="仿宋_GB2312" w:hAnsi="仿宋" w:eastAsia="仿宋_GB2312"/>
          <w:b/>
          <w:color w:val="auto"/>
          <w:sz w:val="28"/>
          <w:szCs w:val="28"/>
        </w:rPr>
        <w:t>第二十</w:t>
      </w:r>
      <w:r>
        <w:rPr>
          <w:rFonts w:hint="eastAsia" w:ascii="仿宋_GB2312" w:hAnsi="仿宋" w:eastAsia="仿宋_GB2312"/>
          <w:b/>
          <w:color w:val="auto"/>
          <w:sz w:val="28"/>
          <w:szCs w:val="28"/>
          <w:lang w:eastAsia="zh-CN"/>
        </w:rPr>
        <w:t>六</w:t>
      </w:r>
      <w:r>
        <w:rPr>
          <w:rFonts w:hint="eastAsia" w:ascii="仿宋_GB2312" w:hAnsi="仿宋" w:eastAsia="仿宋_GB2312"/>
          <w:b/>
          <w:color w:val="auto"/>
          <w:sz w:val="28"/>
          <w:szCs w:val="28"/>
        </w:rPr>
        <w:t>条</w:t>
      </w:r>
      <w:r>
        <w:rPr>
          <w:rFonts w:hint="eastAsia" w:ascii="仿宋_GB2312" w:hAnsi="仿宋" w:eastAsia="仿宋_GB2312"/>
          <w:color w:val="auto"/>
          <w:sz w:val="28"/>
          <w:szCs w:val="28"/>
        </w:rPr>
        <w:t xml:space="preserve">  合同效力</w:t>
      </w:r>
    </w:p>
    <w:p>
      <w:pPr>
        <w:adjustRightInd w:val="0"/>
        <w:snapToGrid w:val="0"/>
        <w:spacing w:line="56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本合同壹式肆份，甲方执叁份，乙方执壹份，具有同等法律效力，自双方法定代表人（或授权代表）签字并盖章之日起生效。</w:t>
      </w:r>
    </w:p>
    <w:p>
      <w:pPr>
        <w:adjustRightInd w:val="0"/>
        <w:snapToGrid w:val="0"/>
        <w:spacing w:line="560" w:lineRule="exact"/>
        <w:ind w:firstLine="0" w:firstLineChars="0"/>
        <w:rPr>
          <w:rFonts w:ascii="仿宋_GB2312" w:hAnsi="仿宋" w:eastAsia="仿宋_GB2312"/>
          <w:color w:val="auto"/>
          <w:sz w:val="28"/>
          <w:szCs w:val="28"/>
        </w:rPr>
      </w:pPr>
    </w:p>
    <w:p>
      <w:pPr>
        <w:adjustRightInd w:val="0"/>
        <w:snapToGrid w:val="0"/>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rPr>
        <w:t>附件：</w:t>
      </w:r>
      <w:r>
        <w:rPr>
          <w:rFonts w:hint="eastAsia" w:ascii="仿宋_GB2312" w:hAnsi="仿宋" w:eastAsia="仿宋_GB2312"/>
          <w:color w:val="auto"/>
          <w:sz w:val="28"/>
          <w:szCs w:val="28"/>
          <w:lang w:eastAsia="zh-CN"/>
        </w:rPr>
        <w:t>采购</w:t>
      </w:r>
      <w:r>
        <w:rPr>
          <w:rFonts w:hint="eastAsia" w:ascii="仿宋_GB2312" w:hAnsi="仿宋" w:eastAsia="仿宋_GB2312"/>
          <w:color w:val="auto"/>
          <w:sz w:val="28"/>
          <w:szCs w:val="28"/>
        </w:rPr>
        <w:t>项目廉政责任书</w:t>
      </w:r>
    </w:p>
    <w:p>
      <w:pPr>
        <w:rPr>
          <w:rFonts w:ascii="仿宋_GB2312" w:hAnsi="仿宋" w:eastAsia="仿宋_GB2312"/>
          <w:color w:val="auto"/>
          <w:sz w:val="28"/>
          <w:szCs w:val="28"/>
        </w:rPr>
      </w:pPr>
      <w:r>
        <w:rPr>
          <w:rFonts w:ascii="仿宋_GB2312" w:hAnsi="仿宋" w:eastAsia="仿宋_GB2312"/>
          <w:color w:val="auto"/>
          <w:sz w:val="28"/>
          <w:szCs w:val="28"/>
        </w:rPr>
        <w:br w:type="page"/>
      </w:r>
    </w:p>
    <w:p>
      <w:pPr>
        <w:pStyle w:val="2"/>
        <w:rPr>
          <w:color w:val="auto"/>
        </w:rPr>
      </w:pPr>
    </w:p>
    <w:p>
      <w:pPr>
        <w:pStyle w:val="2"/>
        <w:rPr>
          <w:color w:val="auto"/>
        </w:rPr>
      </w:pPr>
    </w:p>
    <w:p>
      <w:pPr>
        <w:adjustRightInd w:val="0"/>
        <w:snapToGrid w:val="0"/>
        <w:spacing w:line="560" w:lineRule="exact"/>
        <w:rPr>
          <w:rFonts w:ascii="仿宋_GB2312" w:hAnsi="仿宋" w:eastAsia="仿宋_GB2312"/>
          <w:bCs/>
          <w:color w:val="auto"/>
          <w:sz w:val="28"/>
          <w:szCs w:val="28"/>
        </w:rPr>
      </w:pPr>
      <w:r>
        <w:rPr>
          <w:rFonts w:hint="eastAsia" w:ascii="仿宋_GB2312" w:hAnsi="仿宋" w:eastAsia="仿宋_GB2312"/>
          <w:color w:val="auto"/>
          <w:sz w:val="28"/>
          <w:szCs w:val="28"/>
        </w:rPr>
        <w:t>甲 方：</w:t>
      </w:r>
    </w:p>
    <w:p>
      <w:pPr>
        <w:adjustRightInd w:val="0"/>
        <w:snapToGrid w:val="0"/>
        <w:spacing w:line="560" w:lineRule="exact"/>
        <w:ind w:firstLine="1680" w:firstLineChars="600"/>
        <w:rPr>
          <w:rFonts w:ascii="仿宋_GB2312" w:hAnsi="仿宋" w:eastAsia="仿宋_GB2312"/>
          <w:color w:val="auto"/>
          <w:sz w:val="28"/>
          <w:szCs w:val="28"/>
        </w:rPr>
      </w:pPr>
      <w:r>
        <w:rPr>
          <w:rFonts w:hint="eastAsia" w:ascii="仿宋_GB2312" w:hAnsi="仿宋" w:eastAsia="仿宋_GB2312"/>
          <w:color w:val="auto"/>
          <w:sz w:val="28"/>
          <w:szCs w:val="28"/>
        </w:rPr>
        <w:t>（盖章）</w:t>
      </w:r>
    </w:p>
    <w:p>
      <w:pPr>
        <w:adjustRightInd w:val="0"/>
        <w:snapToGrid w:val="0"/>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rPr>
        <w:t>法定代表人（或授权代表）签字：</w:t>
      </w:r>
    </w:p>
    <w:p>
      <w:pPr>
        <w:adjustRightInd w:val="0"/>
        <w:snapToGrid w:val="0"/>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rPr>
        <w:t>签署日期：    年     月     日</w:t>
      </w:r>
      <w:r>
        <w:rPr>
          <w:rFonts w:hint="eastAsia" w:ascii="仿宋_GB2312" w:hAnsi="仿宋" w:eastAsia="仿宋_GB2312"/>
          <w:color w:val="auto"/>
          <w:sz w:val="28"/>
          <w:szCs w:val="28"/>
        </w:rPr>
        <w:tab/>
      </w:r>
    </w:p>
    <w:p>
      <w:pPr>
        <w:adjustRightInd w:val="0"/>
        <w:snapToGrid w:val="0"/>
        <w:spacing w:line="560" w:lineRule="exact"/>
        <w:rPr>
          <w:rFonts w:ascii="仿宋_GB2312" w:hAnsi="仿宋" w:eastAsia="仿宋_GB2312"/>
          <w:color w:val="auto"/>
          <w:sz w:val="28"/>
          <w:szCs w:val="28"/>
        </w:rPr>
      </w:pPr>
    </w:p>
    <w:p>
      <w:pPr>
        <w:adjustRightInd w:val="0"/>
        <w:snapToGrid w:val="0"/>
        <w:spacing w:line="560" w:lineRule="exact"/>
        <w:rPr>
          <w:rFonts w:ascii="仿宋_GB2312" w:hAnsi="仿宋" w:eastAsia="仿宋_GB2312"/>
          <w:color w:val="auto"/>
          <w:sz w:val="28"/>
          <w:szCs w:val="28"/>
        </w:rPr>
      </w:pPr>
    </w:p>
    <w:p>
      <w:pPr>
        <w:adjustRightInd w:val="0"/>
        <w:snapToGrid w:val="0"/>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rPr>
        <w:t>乙方：</w:t>
      </w:r>
    </w:p>
    <w:p>
      <w:pPr>
        <w:adjustRightInd w:val="0"/>
        <w:snapToGrid w:val="0"/>
        <w:spacing w:line="560" w:lineRule="exact"/>
        <w:ind w:firstLine="1680" w:firstLineChars="600"/>
        <w:rPr>
          <w:rFonts w:ascii="仿宋_GB2312" w:hAnsi="仿宋" w:eastAsia="仿宋_GB2312"/>
          <w:color w:val="auto"/>
          <w:sz w:val="28"/>
          <w:szCs w:val="28"/>
        </w:rPr>
      </w:pPr>
      <w:r>
        <w:rPr>
          <w:rFonts w:hint="eastAsia" w:ascii="仿宋_GB2312" w:hAnsi="仿宋" w:eastAsia="仿宋_GB2312"/>
          <w:color w:val="auto"/>
          <w:sz w:val="28"/>
          <w:szCs w:val="28"/>
        </w:rPr>
        <w:t>（盖章）</w:t>
      </w:r>
    </w:p>
    <w:p>
      <w:pPr>
        <w:adjustRightInd w:val="0"/>
        <w:snapToGrid w:val="0"/>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rPr>
        <w:t>法定代表人（或授权代表）签字：</w:t>
      </w:r>
    </w:p>
    <w:p>
      <w:pPr>
        <w:topLinePunct/>
        <w:adjustRightInd w:val="0"/>
        <w:snapToGrid w:val="0"/>
        <w:spacing w:line="360" w:lineRule="auto"/>
        <w:jc w:val="left"/>
        <w:rPr>
          <w:rFonts w:hint="eastAsia" w:ascii="仿宋" w:hAnsi="仿宋" w:eastAsia="仿宋"/>
          <w:b/>
          <w:color w:val="auto"/>
          <w:sz w:val="30"/>
          <w:szCs w:val="30"/>
          <w:lang w:eastAsia="zh-CN"/>
        </w:rPr>
      </w:pPr>
      <w:r>
        <w:rPr>
          <w:rFonts w:hint="eastAsia" w:ascii="仿宋_GB2312" w:hAnsi="仿宋" w:eastAsia="仿宋_GB2312"/>
          <w:color w:val="auto"/>
          <w:sz w:val="28"/>
          <w:szCs w:val="28"/>
        </w:rPr>
        <w:t>签署日期：    年     月     日</w:t>
      </w:r>
      <w:r>
        <w:rPr>
          <w:color w:val="auto"/>
        </w:rPr>
        <w:br w:type="page"/>
      </w:r>
    </w:p>
    <w:p>
      <w:pPr>
        <w:adjustRightInd w:val="0"/>
        <w:snapToGrid w:val="0"/>
        <w:spacing w:line="360" w:lineRule="auto"/>
        <w:jc w:val="both"/>
        <w:rPr>
          <w:rFonts w:hint="default" w:ascii="仿宋" w:hAnsi="仿宋" w:eastAsia="仿宋"/>
          <w:b w:val="0"/>
          <w:bCs/>
          <w:color w:val="auto"/>
          <w:sz w:val="28"/>
          <w:szCs w:val="28"/>
          <w:lang w:val="en-US" w:eastAsia="zh-CN"/>
        </w:rPr>
      </w:pPr>
      <w:r>
        <w:rPr>
          <w:rFonts w:hint="eastAsia" w:ascii="仿宋" w:hAnsi="仿宋" w:eastAsia="仿宋"/>
          <w:b w:val="0"/>
          <w:bCs/>
          <w:color w:val="auto"/>
          <w:sz w:val="28"/>
          <w:szCs w:val="28"/>
          <w:lang w:eastAsia="zh-CN"/>
        </w:rPr>
        <w:t>附件</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ascii="仿宋" w:hAnsi="仿宋" w:eastAsia="仿宋"/>
          <w:b/>
          <w:color w:val="auto"/>
          <w:sz w:val="30"/>
          <w:szCs w:val="30"/>
        </w:rPr>
      </w:pPr>
      <w:r>
        <w:rPr>
          <w:rFonts w:hint="eastAsia" w:ascii="仿宋" w:hAnsi="仿宋" w:eastAsia="仿宋"/>
          <w:b/>
          <w:color w:val="auto"/>
          <w:sz w:val="30"/>
          <w:szCs w:val="30"/>
        </w:rPr>
        <w:t>采购项目廉政责任书</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eastAsia" w:ascii="仿宋" w:hAnsi="仿宋" w:eastAsia="仿宋"/>
          <w:color w:val="auto"/>
          <w:sz w:val="28"/>
          <w:szCs w:val="28"/>
          <w:lang w:eastAsia="zh-CN"/>
        </w:rPr>
      </w:pPr>
      <w:r>
        <w:rPr>
          <w:rFonts w:hint="eastAsia" w:ascii="仿宋" w:hAnsi="仿宋" w:eastAsia="仿宋"/>
          <w:color w:val="auto"/>
          <w:sz w:val="28"/>
          <w:szCs w:val="28"/>
        </w:rPr>
        <w:t>甲方：</w:t>
      </w:r>
      <w:r>
        <w:rPr>
          <w:rFonts w:hint="eastAsia" w:ascii="仿宋" w:hAnsi="仿宋" w:eastAsia="仿宋"/>
          <w:color w:val="auto"/>
          <w:sz w:val="28"/>
          <w:szCs w:val="28"/>
          <w:lang w:eastAsia="zh-CN"/>
        </w:rPr>
        <w:t>深圳市燃气集团股份有限公司</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仿宋" w:hAnsi="仿宋" w:eastAsia="仿宋"/>
          <w:color w:val="auto"/>
          <w:sz w:val="28"/>
          <w:szCs w:val="28"/>
          <w:lang w:val="en-US" w:eastAsia="zh-CN"/>
        </w:rPr>
      </w:pPr>
      <w:r>
        <w:rPr>
          <w:rFonts w:hint="eastAsia" w:ascii="仿宋" w:hAnsi="仿宋" w:eastAsia="仿宋"/>
          <w:color w:val="auto"/>
          <w:sz w:val="28"/>
          <w:szCs w:val="28"/>
        </w:rPr>
        <w:t>乙方：</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hint="eastAsia" w:ascii="仿宋" w:hAnsi="仿宋" w:eastAsia="仿宋"/>
          <w:color w:val="auto"/>
          <w:sz w:val="28"/>
          <w:szCs w:val="28"/>
        </w:rPr>
      </w:pP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为加强物资采购过程中的廉政建设，规范采购项目甲乙双方的各项活动，防止发生各种谋取不正当利益的违法违纪行为，保护国家、集体和当事人的合法权益，根据国家有关的法律法规和廉政建设责任制规定，特订立本廉政责任书。</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仿宋" w:hAnsi="仿宋" w:eastAsia="仿宋"/>
          <w:b/>
          <w:bCs/>
          <w:color w:val="auto"/>
          <w:sz w:val="28"/>
          <w:szCs w:val="28"/>
        </w:rPr>
      </w:pPr>
      <w:r>
        <w:rPr>
          <w:rFonts w:hint="eastAsia" w:ascii="仿宋" w:hAnsi="仿宋" w:eastAsia="仿宋"/>
          <w:b/>
          <w:bCs/>
          <w:color w:val="auto"/>
          <w:sz w:val="28"/>
          <w:szCs w:val="28"/>
        </w:rPr>
        <w:t>第一条 甲乙双方的责任</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（一）应严格遵守国家关于市场准入、项目招标投标、物资采购和市场活动等有关法律、法规，相关政策，以及廉政建设的各项规定。</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（二）严格执行采购项目甲乙双方签订的合同文件，自觉按合同办事。</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（三）业务活动必须坚持公开、公平、公正、诚信、透明的原则（除法律法规另有规定者外），不得为获取不正当的利益，损害国家、集体和对方利益，不得违反相关的规章制度。</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（四）树立监督意识，履行监督责任。发现对方在业务活动中有违规、违纪、违法行为的，应及时提醒对方，情节严重的，应向其上级主管部门或纪检监察、司法等有关机关举报。</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仿宋" w:hAnsi="仿宋" w:eastAsia="仿宋"/>
          <w:b/>
          <w:bCs/>
          <w:color w:val="auto"/>
          <w:sz w:val="28"/>
          <w:szCs w:val="28"/>
        </w:rPr>
      </w:pPr>
      <w:r>
        <w:rPr>
          <w:rFonts w:hint="eastAsia" w:ascii="仿宋" w:hAnsi="仿宋" w:eastAsia="仿宋"/>
          <w:b/>
          <w:bCs/>
          <w:color w:val="auto"/>
          <w:sz w:val="28"/>
          <w:szCs w:val="28"/>
        </w:rPr>
        <w:t>第二条 甲方的责任</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甲方的领导和从事该采购项目的工作人员，在事前、事中、事后应遵守以下规定：</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（一）不准向乙方和相关单位索要或接受回扣、礼金、有价证券、贵重物品和好处费、感谢费等。</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（二）不准在乙方和相关单位报销任何应由甲方或个人支付的费用。</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（三）不准要求、暗示和接受乙方和相关单位为个人装修住房、婚丧嫁娶、配偶子女的工作安排以及出国（境）、旅游等提供方便。</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（四）不准参加有可能影响公正执行公务的乙方和相关单位的宴请和健身、娱乐等活动。</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（五）不准向乙方介绍或为配偶、子女、亲属参与同甲方项目有关的设备、材料、工程分包、劳务等经济活动。不得以任何理由向乙方和相关单位推荐分包单位和要求乙方购买项目合同规定以外的材料、设备等。</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仿宋" w:hAnsi="仿宋" w:eastAsia="仿宋"/>
          <w:b/>
          <w:bCs/>
          <w:color w:val="auto"/>
          <w:sz w:val="28"/>
          <w:szCs w:val="28"/>
        </w:rPr>
      </w:pPr>
      <w:r>
        <w:rPr>
          <w:rFonts w:hint="eastAsia" w:ascii="仿宋" w:hAnsi="仿宋" w:eastAsia="仿宋"/>
          <w:b/>
          <w:bCs/>
          <w:color w:val="auto"/>
          <w:sz w:val="28"/>
          <w:szCs w:val="28"/>
        </w:rPr>
        <w:t>第三条 乙方的责任</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应与甲方保持正常的业务交往，按照有关法律法规和程序开展业务工作，严格执行行业的有关方针、政策，尤其是相关的强制性标准和规范，并遵守以下规定：</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（一）不准以任何理由向甲方、相关单位及其工作人员索要、接受或赠送礼金、有价证券、贵重物品和回扣、好处费、感谢费等。</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（二）不准以任何理由为甲方和相关单位报销应由对方或个人支付的费用。</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（三）不准接受或暗示为甲方、相关单位或个人装修住房、婚丧嫁娶、配偶子女的工作安排以及出国（境）、旅游等提供方便。</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（四）不准以任何理由为甲方、相关单位或个人组织有可能影响公正执行公务的宴请、健身、娱乐等活动。</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仿宋" w:hAnsi="仿宋" w:eastAsia="仿宋"/>
          <w:b/>
          <w:bCs/>
          <w:color w:val="auto"/>
          <w:sz w:val="28"/>
          <w:szCs w:val="28"/>
        </w:rPr>
      </w:pPr>
      <w:r>
        <w:rPr>
          <w:rFonts w:hint="eastAsia" w:ascii="仿宋" w:hAnsi="仿宋" w:eastAsia="仿宋"/>
          <w:b/>
          <w:bCs/>
          <w:color w:val="auto"/>
          <w:sz w:val="28"/>
          <w:szCs w:val="28"/>
        </w:rPr>
        <w:t>第四条 违约责任</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ascii="仿宋" w:hAnsi="仿宋" w:eastAsia="仿宋"/>
          <w:color w:val="auto"/>
          <w:sz w:val="28"/>
          <w:szCs w:val="28"/>
        </w:rPr>
      </w:pPr>
      <w:r>
        <w:rPr>
          <w:rFonts w:hint="eastAsia" w:ascii="仿宋" w:hAnsi="仿宋" w:eastAsia="仿宋"/>
          <w:color w:val="auto"/>
          <w:sz w:val="28"/>
          <w:szCs w:val="28"/>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仿宋" w:hAnsi="仿宋" w:eastAsia="仿宋"/>
          <w:color w:val="auto"/>
          <w:sz w:val="28"/>
          <w:szCs w:val="28"/>
        </w:rPr>
      </w:pPr>
      <w:r>
        <w:rPr>
          <w:rFonts w:hint="eastAsia" w:ascii="仿宋" w:hAnsi="仿宋" w:eastAsia="仿宋"/>
          <w:b/>
          <w:bCs/>
          <w:color w:val="auto"/>
          <w:sz w:val="28"/>
          <w:szCs w:val="28"/>
        </w:rPr>
        <w:t>第五条</w:t>
      </w:r>
      <w:r>
        <w:rPr>
          <w:rFonts w:hint="eastAsia" w:ascii="仿宋" w:hAnsi="仿宋" w:eastAsia="仿宋"/>
          <w:color w:val="auto"/>
          <w:sz w:val="28"/>
          <w:szCs w:val="28"/>
        </w:rPr>
        <w:t xml:space="preserve"> 本责任书作为合同的附件，与合同具有同等法律效力。经双方签署后立即生效。</w:t>
      </w:r>
    </w:p>
    <w:p>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ascii="宋体" w:hAnsi="宋体" w:eastAsia="宋体"/>
          <w:color w:val="auto"/>
          <w:szCs w:val="21"/>
        </w:rPr>
      </w:pPr>
      <w:r>
        <w:rPr>
          <w:rFonts w:hint="eastAsia" w:ascii="仿宋" w:hAnsi="仿宋" w:eastAsia="仿宋"/>
          <w:b/>
          <w:bCs/>
          <w:color w:val="auto"/>
          <w:sz w:val="28"/>
          <w:szCs w:val="28"/>
        </w:rPr>
        <w:t>第六条</w:t>
      </w:r>
      <w:r>
        <w:rPr>
          <w:rFonts w:hint="eastAsia" w:ascii="仿宋" w:hAnsi="仿宋" w:eastAsia="仿宋"/>
          <w:color w:val="auto"/>
          <w:sz w:val="28"/>
          <w:szCs w:val="28"/>
        </w:rPr>
        <w:t xml:space="preserve"> 本责任书的有效期为双方签署之日起至采购项目合同履行结束。</w:t>
      </w:r>
    </w:p>
    <w:p>
      <w:pPr>
        <w:adjustRightInd w:val="0"/>
        <w:snapToGrid w:val="0"/>
        <w:spacing w:line="560" w:lineRule="exact"/>
        <w:rPr>
          <w:rFonts w:ascii="仿宋" w:hAnsi="仿宋" w:eastAsia="仿宋"/>
          <w:szCs w:val="28"/>
        </w:rPr>
      </w:pPr>
    </w:p>
    <w:p>
      <w:pPr>
        <w:rPr>
          <w:rFonts w:ascii="仿宋" w:hAnsi="仿宋" w:eastAsia="仿宋"/>
          <w:sz w:val="30"/>
          <w:szCs w:val="30"/>
        </w:rPr>
      </w:pPr>
    </w:p>
    <w:p>
      <w:pPr>
        <w:rPr>
          <w:rFonts w:hint="eastAsia" w:ascii="黑体" w:hAnsi="黑体" w:eastAsia="黑体"/>
          <w:color w:val="0070C0"/>
          <w:sz w:val="28"/>
          <w:szCs w:val="28"/>
        </w:rPr>
      </w:pPr>
      <w:r>
        <w:rPr>
          <w:rFonts w:hint="eastAsia" w:ascii="黑体" w:hAnsi="黑体" w:eastAsia="黑体"/>
          <w:color w:val="0070C0"/>
          <w:sz w:val="28"/>
          <w:szCs w:val="28"/>
        </w:rPr>
        <w:br w:type="page"/>
      </w:r>
    </w:p>
    <w:p>
      <w:pPr>
        <w:pStyle w:val="3"/>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tabs>
          <w:tab w:val="left" w:pos="7560"/>
        </w:tabs>
        <w:adjustRightInd w:val="0"/>
        <w:snapToGrid w:val="0"/>
        <w:spacing w:line="360" w:lineRule="auto"/>
        <w:ind w:firstLine="420" w:firstLineChars="200"/>
        <w:contextualSpacing/>
        <w:rPr>
          <w:rFonts w:hint="default" w:ascii="宋体" w:hAnsi="宋体" w:eastAsia="宋体"/>
          <w:szCs w:val="21"/>
          <w:lang w:val="en-US" w:eastAsia="zh-CN"/>
        </w:rPr>
      </w:pPr>
      <w:r>
        <w:rPr>
          <w:rFonts w:hint="eastAsia" w:ascii="宋体" w:hAnsi="宋体" w:eastAsia="宋体"/>
          <w:szCs w:val="21"/>
          <w:lang w:val="en-US" w:eastAsia="zh-CN"/>
        </w:rPr>
        <w:t>采购范围：深圳燃气2026年新款柱状标志桩试用采购</w:t>
      </w:r>
    </w:p>
    <w:p>
      <w:pPr>
        <w:tabs>
          <w:tab w:val="left" w:pos="7560"/>
        </w:tabs>
        <w:adjustRightInd w:val="0"/>
        <w:snapToGrid w:val="0"/>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采购地点：深圳市福田区</w:t>
      </w:r>
    </w:p>
    <w:p>
      <w:pPr>
        <w:tabs>
          <w:tab w:val="left" w:pos="7560"/>
        </w:tabs>
        <w:adjustRightInd w:val="0"/>
        <w:snapToGrid w:val="0"/>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合同期：两年</w:t>
      </w:r>
    </w:p>
    <w:p>
      <w:pPr>
        <w:tabs>
          <w:tab w:val="left" w:pos="7560"/>
        </w:tabs>
        <w:adjustRightInd w:val="0"/>
        <w:snapToGrid w:val="0"/>
        <w:spacing w:line="360" w:lineRule="auto"/>
        <w:ind w:firstLine="422" w:firstLineChars="200"/>
        <w:contextualSpacing/>
        <w:rPr>
          <w:rFonts w:hint="eastAsia" w:ascii="宋体" w:hAnsi="宋体" w:eastAsia="宋体"/>
          <w:b/>
          <w:color w:val="auto"/>
          <w:szCs w:val="21"/>
          <w:lang w:eastAsia="zh-CN"/>
        </w:rPr>
      </w:pPr>
      <w:r>
        <w:rPr>
          <w:rFonts w:ascii="宋体" w:hAnsi="宋体" w:eastAsia="宋体"/>
          <w:b/>
          <w:color w:val="auto"/>
          <w:szCs w:val="21"/>
        </w:rPr>
        <w:t>二、</w:t>
      </w:r>
      <w:r>
        <w:rPr>
          <w:rFonts w:hint="eastAsia" w:ascii="宋体" w:hAnsi="宋体" w:eastAsia="宋体"/>
          <w:b/>
          <w:color w:val="auto"/>
          <w:szCs w:val="21"/>
        </w:rPr>
        <w:t>采购需求一览表</w:t>
      </w:r>
    </w:p>
    <w:tbl>
      <w:tblPr>
        <w:tblStyle w:val="84"/>
        <w:tblW w:w="6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2049"/>
        <w:gridCol w:w="1880"/>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货物名称</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jc w:val="center"/>
        </w:trPr>
        <w:tc>
          <w:tcPr>
            <w:tcW w:w="75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049" w:type="dxa"/>
            <w:tcBorders>
              <w:top w:val="single" w:color="808080" w:sz="8" w:space="0"/>
              <w:left w:val="single" w:color="808080" w:sz="8" w:space="0"/>
              <w:bottom w:val="single" w:color="808080" w:sz="8" w:space="0"/>
              <w:right w:val="single" w:color="80808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中、低压柱状标志桩</w:t>
            </w:r>
          </w:p>
        </w:tc>
        <w:tc>
          <w:tcPr>
            <w:tcW w:w="18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草坪标志桩</w:t>
            </w:r>
          </w:p>
        </w:tc>
        <w:tc>
          <w:tcPr>
            <w:tcW w:w="1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jc w:val="center"/>
        </w:trPr>
        <w:tc>
          <w:tcPr>
            <w:tcW w:w="75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049" w:type="dxa"/>
            <w:tcBorders>
              <w:top w:val="single" w:color="808080" w:sz="8" w:space="0"/>
              <w:left w:val="single" w:color="808080" w:sz="8" w:space="0"/>
              <w:bottom w:val="single" w:color="808080" w:sz="8" w:space="0"/>
              <w:right w:val="single" w:color="80808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中、低压柱状标志桩</w:t>
            </w:r>
          </w:p>
        </w:tc>
        <w:tc>
          <w:tcPr>
            <w:tcW w:w="1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灌木标志桩</w:t>
            </w:r>
          </w:p>
        </w:tc>
        <w:tc>
          <w:tcPr>
            <w:tcW w:w="1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700 </w:t>
            </w:r>
          </w:p>
        </w:tc>
      </w:tr>
    </w:tbl>
    <w:p>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contextualSpacing/>
        <w:jc w:val="both"/>
        <w:textAlignment w:val="auto"/>
        <w:rPr>
          <w:rFonts w:hint="default" w:ascii="宋体" w:hAnsi="宋体" w:eastAsia="宋体"/>
          <w:szCs w:val="21"/>
          <w:lang w:val="en-US" w:eastAsia="zh-CN"/>
        </w:rPr>
      </w:pPr>
      <w:r>
        <w:rPr>
          <w:rFonts w:hint="eastAsia" w:ascii="宋体" w:hAnsi="宋体" w:eastAsia="宋体"/>
          <w:szCs w:val="21"/>
          <w:lang w:val="en-US" w:eastAsia="zh-CN"/>
        </w:rPr>
        <w:t>说明：1、本表采购数量为固定采购量。燃气管线走向标识根据实际采购订单为准。</w:t>
      </w:r>
    </w:p>
    <w:p>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contextualSpacing/>
        <w:jc w:val="both"/>
        <w:textAlignment w:val="auto"/>
        <w:rPr>
          <w:rFonts w:hint="eastAsia" w:ascii="宋体" w:hAnsi="宋体" w:eastAsia="宋体"/>
          <w:szCs w:val="21"/>
          <w:lang w:val="en-US" w:eastAsia="zh-CN"/>
        </w:rPr>
      </w:pPr>
      <w:r>
        <w:rPr>
          <w:rFonts w:hint="eastAsia" w:ascii="宋体" w:hAnsi="宋体" w:eastAsia="宋体"/>
          <w:szCs w:val="21"/>
          <w:lang w:val="en-US" w:eastAsia="zh-CN"/>
        </w:rPr>
        <w:t>2、响应单价均为综合单价，应包括机组货物制造、检验、验收等等，以及运至合同指定地点的运输、装卸、利润、风险和保险等一切费、税。</w:t>
      </w:r>
    </w:p>
    <w:p>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textAlignment w:val="auto"/>
        <w:rPr>
          <w:rFonts w:hint="default" w:ascii="宋体" w:hAnsi="宋体" w:eastAsia="宋体"/>
          <w:b/>
          <w:color w:val="auto"/>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textAlignment w:val="auto"/>
        <w:rPr>
          <w:rFonts w:hint="eastAsia" w:ascii="宋体" w:hAnsi="宋体" w:eastAsia="宋体"/>
          <w:b/>
          <w:color w:val="auto"/>
          <w:szCs w:val="21"/>
          <w:lang w:val="en-US" w:eastAsia="zh-CN"/>
        </w:rPr>
      </w:pPr>
      <w:r>
        <w:rPr>
          <w:rFonts w:hint="eastAsia" w:ascii="宋体" w:hAnsi="宋体" w:eastAsia="宋体"/>
          <w:b/>
          <w:color w:val="auto"/>
          <w:szCs w:val="21"/>
          <w:lang w:val="en-US" w:eastAsia="zh-CN"/>
        </w:rPr>
        <w:t>三、项目技术和服务要求</w:t>
      </w:r>
    </w:p>
    <w:p>
      <w:pPr>
        <w:spacing w:before="0" w:after="0" w:line="360" w:lineRule="auto"/>
        <w:ind w:firstLine="210" w:firstLineChars="100"/>
        <w:contextualSpacing/>
        <w:jc w:val="both"/>
        <w:rPr>
          <w:rFonts w:hint="default" w:ascii="宋体" w:hAnsi="宋体" w:eastAsia="宋体"/>
          <w:szCs w:val="21"/>
          <w:lang w:val="en-US" w:eastAsia="zh-CN"/>
        </w:rPr>
      </w:pPr>
      <w:r>
        <w:rPr>
          <w:rFonts w:hint="eastAsia" w:ascii="宋体" w:hAnsi="宋体" w:cs="宋体"/>
          <w:color w:val="auto"/>
          <w:szCs w:val="21"/>
          <w:lang w:val="en-US" w:eastAsia="zh-CN"/>
        </w:rPr>
        <w:t>★响应人</w:t>
      </w:r>
      <w:r>
        <w:rPr>
          <w:rFonts w:hint="eastAsia" w:ascii="宋体" w:hAnsi="宋体" w:eastAsia="宋体"/>
          <w:szCs w:val="21"/>
          <w:lang w:val="en-US" w:eastAsia="zh-CN"/>
        </w:rPr>
        <w:t>满足并响应相关技术要求，随货提供出厂合格证明。详见第七章 技术要求中4.2.2 草坪标志桩、4.2.3 灌木标志桩相关内容。格式参考响应文件B1格式。</w:t>
      </w:r>
    </w:p>
    <w:p>
      <w:pPr>
        <w:spacing w:before="0" w:after="0" w:line="360" w:lineRule="auto"/>
        <w:ind w:firstLine="210" w:firstLineChars="100"/>
        <w:contextualSpacing/>
        <w:jc w:val="both"/>
        <w:rPr>
          <w:rFonts w:hint="eastAsia" w:ascii="黑体" w:hAnsi="黑体" w:eastAsia="黑体"/>
          <w:sz w:val="28"/>
          <w:szCs w:val="28"/>
        </w:rPr>
      </w:pPr>
      <w:r>
        <w:rPr>
          <w:rFonts w:hint="eastAsia" w:ascii="宋体" w:hAnsi="宋体" w:cs="宋体"/>
          <w:color w:val="auto"/>
          <w:szCs w:val="21"/>
          <w:lang w:val="en-US" w:eastAsia="zh-CN"/>
        </w:rPr>
        <w:t>★</w:t>
      </w:r>
      <w:r>
        <w:rPr>
          <w:rFonts w:hint="eastAsia" w:ascii="宋体" w:hAnsi="宋体" w:eastAsia="宋体"/>
          <w:szCs w:val="21"/>
          <w:lang w:val="en-US" w:eastAsia="zh-CN"/>
        </w:rPr>
        <w:t>本项目供货期：合同有效期内，中标人应在采购人首批采购订单发出之日起15日内把货物运抵采购人深圳区域指定位置。日常供货即二次供货期应保证在7天内完成供货。</w:t>
      </w: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6" w:name="_Hlk532142230"/>
    </w:p>
    <w:p>
      <w:pPr>
        <w:pStyle w:val="20"/>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深圳燃气2026年新款柱状标志桩试用采购</w:t>
      </w:r>
      <w:r>
        <w:rPr>
          <w:rFonts w:ascii="宋体" w:hAnsi="宋体" w:eastAsia="宋体"/>
          <w:color w:val="0000FF"/>
          <w:szCs w:val="21"/>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w:t>
      </w:r>
      <w:r>
        <w:rPr>
          <w:rFonts w:hint="eastAsia" w:ascii="宋体" w:hAnsi="宋体" w:eastAsia="宋体"/>
          <w:color w:val="0000FF"/>
          <w:szCs w:val="21"/>
          <w:u w:val="single"/>
        </w:rPr>
        <w:t xml:space="preserve"> PSCS2026006</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6"/>
    <w:p>
      <w:pPr>
        <w:widowControl/>
        <w:jc w:val="left"/>
      </w:pPr>
      <w: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78"/>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left"/>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采购公告“二、响应人资格及信誉要求”。</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人关联关系要去及主要人员社保情况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采购公告“二、响应人资格及信誉要求”。</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采购公告“二、响应人资格及信誉要求”。</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78"/>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p>
        </w:tc>
        <w:tc>
          <w:tcPr>
            <w:tcW w:w="1297"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pPr>
              <w:pStyle w:val="78"/>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p>
        </w:tc>
        <w:tc>
          <w:tcPr>
            <w:tcW w:w="661" w:type="pct"/>
            <w:vAlign w:val="center"/>
          </w:tcPr>
          <w:p>
            <w:pPr>
              <w:pStyle w:val="78"/>
              <w:spacing w:before="0" w:beforeAutospacing="0" w:after="0" w:afterAutospacing="0"/>
              <w:contextualSpacing/>
              <w:jc w:val="center"/>
              <w:rPr>
                <w:rFonts w:hint="eastAsia" w:asciiTheme="minorEastAsia" w:hAnsiTheme="minorEastAsia" w:eastAsiaTheme="minorEastAsia"/>
                <w:color w:val="auto"/>
                <w:sz w:val="21"/>
                <w:szCs w:val="21"/>
                <w:lang w:val="en-US" w:eastAsia="zh-CN"/>
              </w:rPr>
            </w:pP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4"/>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rPr>
        <w:t>深圳燃气2026年新款柱状标志桩试用采购</w:t>
      </w:r>
      <w:r>
        <w:rPr>
          <w:rFonts w:hint="eastAsia" w:ascii="宋体" w:hAnsi="宋体" w:eastAsia="宋体" w:cs="仿宋_GB2312"/>
          <w:szCs w:val="21"/>
        </w:rPr>
        <w:t>项目（项目编号：</w:t>
      </w:r>
      <w:r>
        <w:rPr>
          <w:rFonts w:hint="eastAsia" w:ascii="宋体" w:hAnsi="宋体" w:eastAsia="宋体"/>
          <w:b w:val="0"/>
          <w:bCs w:val="0"/>
          <w:color w:val="0000FF"/>
          <w:szCs w:val="21"/>
          <w:u w:val="single"/>
        </w:rPr>
        <w:t>PSCS2026006</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近三个月在响应单位（含分公司）的社保证明（从公告发布之日起倒推，如开启日上一个月的社保材料因社保部门原因暂时无法取得，则可以往前顺延一个月，新成立不足三个月的公司按照成立时间提供）。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topLinePunct/>
        <w:adjustRightInd w:val="0"/>
        <w:snapToGrid w:val="0"/>
        <w:spacing w:line="360" w:lineRule="auto"/>
        <w:ind w:firstLine="0" w:firstLineChars="0"/>
        <w:jc w:val="left"/>
        <w:outlineLvl w:val="1"/>
        <w:rPr>
          <w:rFonts w:hint="default" w:ascii="宋体" w:hAnsi="宋体" w:eastAsia="宋体" w:cs="宋体"/>
          <w:color w:val="0000FF"/>
          <w:kern w:val="0"/>
          <w:sz w:val="44"/>
          <w:szCs w:val="44"/>
          <w:lang w:val="en-US" w:eastAsia="zh-CN"/>
        </w:rPr>
      </w:pPr>
      <w:r>
        <w:rPr>
          <w:rFonts w:hint="eastAsia" w:ascii="宋体" w:hAnsi="宋体" w:eastAsia="宋体" w:cs="仿宋_GB2312"/>
          <w:szCs w:val="21"/>
        </w:rPr>
        <w:br w:type="page"/>
      </w:r>
      <w:r>
        <w:rPr>
          <w:rFonts w:hint="eastAsia" w:ascii="宋体" w:hAnsi="宋体" w:eastAsia="宋体" w:cs="仿宋_GB2312"/>
          <w:b/>
          <w:szCs w:val="21"/>
          <w:lang w:val="en-US" w:eastAsia="zh-CN"/>
        </w:rPr>
        <w:t>2、制造商的资格声明，参考格式如下：</w:t>
      </w:r>
    </w:p>
    <w:p>
      <w:pPr>
        <w:topLinePunct/>
        <w:adjustRightInd w:val="0"/>
        <w:snapToGrid w:val="0"/>
        <w:spacing w:line="360" w:lineRule="auto"/>
        <w:jc w:val="center"/>
        <w:rPr>
          <w:rFonts w:ascii="宋体" w:hAnsi="宋体"/>
          <w:color w:val="0000FF"/>
          <w:kern w:val="0"/>
          <w:szCs w:val="21"/>
        </w:rPr>
      </w:pPr>
      <w:r>
        <w:rPr>
          <w:rFonts w:hint="eastAsia" w:ascii="宋体" w:hAnsi="宋体" w:eastAsia="宋体" w:cs="宋体"/>
          <w:b/>
          <w:bCs/>
          <w:color w:val="0000FF"/>
          <w:kern w:val="0"/>
          <w:sz w:val="32"/>
          <w:szCs w:val="32"/>
        </w:rPr>
        <w:t>制造商的资格声明</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1、名称及概况：</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(1)制造厂家名称：</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(2)地址及邮编：</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(3)成立和注册日期：</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(4)主管部门：</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(5)企业性质：</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(6)法人代表：</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(7)职员人数：</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一般工人：_________________ 技术人员：_____________________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(8)近期资产负债表（到_____________年____月_____日止）</w:t>
      </w:r>
    </w:p>
    <w:p>
      <w:pPr>
        <w:tabs>
          <w:tab w:val="left" w:pos="582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(1)固定资产：</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原值：____________________净值：_________________________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(2)流动资金：</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(3)长期负债：</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(4)短期负债：</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(5)资金来源</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自有资金：________________银行贷款：_____________________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(6)资金类型：</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生产资金：________________非生产资金：___________________</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2、(1)关于制造投标货物的设施及其他情况：</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工厂名称地址      生产的项目      年生产能力         职工人数</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(2)本制造厂不生产，而须从其他制造厂购买的主要零部件</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制造厂家名称和地址</w:t>
      </w:r>
    </w:p>
    <w:p>
      <w:pPr>
        <w:tabs>
          <w:tab w:val="left" w:pos="5580"/>
        </w:tabs>
        <w:topLinePunct/>
        <w:adjustRightInd w:val="0"/>
        <w:snapToGrid w:val="0"/>
        <w:spacing w:line="360" w:lineRule="auto"/>
        <w:ind w:firstLine="840" w:firstLineChars="400"/>
        <w:jc w:val="left"/>
        <w:rPr>
          <w:rFonts w:ascii="宋体" w:hAnsi="宋体" w:eastAsia="宋体" w:cs="宋体"/>
          <w:color w:val="0000FF"/>
          <w:kern w:val="0"/>
        </w:rPr>
      </w:pPr>
      <w:r>
        <w:rPr>
          <w:rFonts w:hint="eastAsia" w:ascii="宋体" w:hAnsi="宋体" w:eastAsia="宋体" w:cs="宋体"/>
          <w:color w:val="0000FF"/>
          <w:kern w:val="0"/>
        </w:rPr>
        <w:t>主要零部件名称________________________________________</w:t>
      </w:r>
    </w:p>
    <w:p>
      <w:pPr>
        <w:tabs>
          <w:tab w:val="left" w:pos="5580"/>
        </w:tabs>
        <w:topLinePunct/>
        <w:adjustRightInd w:val="0"/>
        <w:snapToGrid w:val="0"/>
        <w:spacing w:line="360" w:lineRule="auto"/>
        <w:ind w:firstLine="2310" w:firstLineChars="11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3、制造厂家生产此投标货物的历史（年数）：</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4、近三年该货物主要销售给国内、外主要客户的名称地址：</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名称和地址                              销售项目和数量</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出口销售额：_______________________</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5、近三年的年营业额：</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年份            国内            出口            总额</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___________________________________________</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6、易损件制造商的名称和地址：</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部件名称                          制造商</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________________________________</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7、有关开户银行的名称和地址：</w:t>
      </w:r>
    </w:p>
    <w:p>
      <w:pPr>
        <w:tabs>
          <w:tab w:val="left" w:pos="5580"/>
        </w:tabs>
        <w:topLinePunct/>
        <w:adjustRightInd w:val="0"/>
        <w:snapToGrid w:val="0"/>
        <w:spacing w:line="360" w:lineRule="auto"/>
        <w:jc w:val="left"/>
        <w:rPr>
          <w:rFonts w:ascii="宋体" w:hAnsi="宋体" w:eastAsia="宋体" w:cs="宋体"/>
          <w:color w:val="0000FF"/>
          <w:kern w:val="0"/>
        </w:rPr>
      </w:pPr>
      <w:r>
        <w:rPr>
          <w:rFonts w:hint="eastAsia" w:ascii="宋体" w:hAnsi="宋体" w:eastAsia="宋体" w:cs="宋体"/>
          <w:color w:val="0000FF"/>
          <w:kern w:val="0"/>
        </w:rPr>
        <w:t>8、其他情况：</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兹证明上述声明是真实、正确的，并提供了全部能提供的资料和数据，我们同意遵照贵方要求出示有关证明文件。</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制造商：______________________________________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投标</w:t>
      </w:r>
      <w:r>
        <w:rPr>
          <w:rFonts w:hint="eastAsia" w:ascii="宋体" w:hAnsi="宋体" w:eastAsia="宋体" w:cs="宋体"/>
          <w:color w:val="0000FF"/>
          <w:kern w:val="0"/>
          <w:lang w:eastAsia="zh-CN"/>
        </w:rPr>
        <w:t>（</w:t>
      </w:r>
      <w:r>
        <w:rPr>
          <w:rFonts w:hint="eastAsia" w:ascii="宋体" w:hAnsi="宋体" w:eastAsia="宋体" w:cs="宋体"/>
          <w:color w:val="0000FF"/>
          <w:kern w:val="0"/>
          <w:lang w:val="en-US" w:eastAsia="zh-CN"/>
        </w:rPr>
        <w:t>响应</w:t>
      </w:r>
      <w:r>
        <w:rPr>
          <w:rFonts w:hint="eastAsia" w:ascii="宋体" w:hAnsi="宋体" w:eastAsia="宋体" w:cs="宋体"/>
          <w:color w:val="0000FF"/>
          <w:kern w:val="0"/>
          <w:lang w:eastAsia="zh-CN"/>
        </w:rPr>
        <w:t>）</w:t>
      </w:r>
      <w:r>
        <w:rPr>
          <w:rFonts w:hint="eastAsia" w:ascii="宋体" w:hAnsi="宋体" w:eastAsia="宋体" w:cs="宋体"/>
          <w:color w:val="0000FF"/>
          <w:kern w:val="0"/>
        </w:rPr>
        <w:t>人授权代表：______________________________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投标</w:t>
      </w:r>
      <w:r>
        <w:rPr>
          <w:rFonts w:hint="eastAsia" w:ascii="宋体" w:hAnsi="宋体" w:eastAsia="宋体" w:cs="宋体"/>
          <w:color w:val="0000FF"/>
          <w:kern w:val="0"/>
          <w:lang w:eastAsia="zh-CN"/>
        </w:rPr>
        <w:t>（</w:t>
      </w:r>
      <w:r>
        <w:rPr>
          <w:rFonts w:hint="eastAsia" w:ascii="宋体" w:hAnsi="宋体" w:eastAsia="宋体" w:cs="宋体"/>
          <w:color w:val="0000FF"/>
          <w:kern w:val="0"/>
          <w:lang w:val="en-US" w:eastAsia="zh-CN"/>
        </w:rPr>
        <w:t>响应</w:t>
      </w:r>
      <w:r>
        <w:rPr>
          <w:rFonts w:hint="eastAsia" w:ascii="宋体" w:hAnsi="宋体" w:eastAsia="宋体" w:cs="宋体"/>
          <w:color w:val="0000FF"/>
          <w:kern w:val="0"/>
          <w:lang w:eastAsia="zh-CN"/>
        </w:rPr>
        <w:t>）</w:t>
      </w:r>
      <w:r>
        <w:rPr>
          <w:rFonts w:hint="eastAsia" w:ascii="宋体" w:hAnsi="宋体" w:eastAsia="宋体" w:cs="宋体"/>
          <w:color w:val="0000FF"/>
          <w:kern w:val="0"/>
        </w:rPr>
        <w:t>人授权代表的职务：________________________</w:t>
      </w:r>
    </w:p>
    <w:p>
      <w:pPr>
        <w:tabs>
          <w:tab w:val="left" w:pos="5580"/>
        </w:tabs>
        <w:topLinePunct/>
        <w:adjustRightInd w:val="0"/>
        <w:snapToGrid w:val="0"/>
        <w:spacing w:line="360" w:lineRule="auto"/>
        <w:ind w:firstLine="420" w:firstLineChars="200"/>
        <w:jc w:val="left"/>
        <w:rPr>
          <w:rFonts w:ascii="宋体" w:hAnsi="宋体" w:eastAsia="宋体" w:cs="宋体"/>
          <w:color w:val="0000FF"/>
          <w:kern w:val="0"/>
        </w:rPr>
      </w:pPr>
      <w:r>
        <w:rPr>
          <w:rFonts w:hint="eastAsia" w:ascii="宋体" w:hAnsi="宋体" w:eastAsia="宋体" w:cs="宋体"/>
          <w:color w:val="0000FF"/>
          <w:kern w:val="0"/>
        </w:rPr>
        <w:t>电话号：________________  传真号：____________</w:t>
      </w:r>
    </w:p>
    <w:p>
      <w:pPr>
        <w:topLinePunct/>
        <w:adjustRightInd w:val="0"/>
        <w:snapToGrid w:val="0"/>
        <w:spacing w:line="360" w:lineRule="auto"/>
        <w:ind w:firstLine="420" w:firstLineChars="200"/>
        <w:rPr>
          <w:rFonts w:hint="eastAsia" w:ascii="宋体" w:hAnsi="宋体" w:eastAsia="宋体" w:cs="宋体"/>
          <w:color w:val="0000FF"/>
          <w:kern w:val="0"/>
        </w:rPr>
      </w:pPr>
      <w:r>
        <w:rPr>
          <w:rFonts w:hint="eastAsia" w:ascii="宋体" w:hAnsi="宋体" w:eastAsia="宋体" w:cs="宋体"/>
          <w:color w:val="0000FF"/>
          <w:kern w:val="0"/>
        </w:rPr>
        <w:t>日期：______________________________________</w:t>
      </w:r>
    </w:p>
    <w:p>
      <w:pPr>
        <w:rPr>
          <w:rFonts w:hint="eastAsia"/>
        </w:rPr>
      </w:pPr>
      <w:r>
        <w:rPr>
          <w:rFonts w:hint="eastAsia" w:ascii="宋体" w:hAnsi="宋体" w:eastAsia="宋体" w:cs="仿宋_GB2312"/>
          <w:szCs w:val="21"/>
        </w:rPr>
        <w:br w:type="page"/>
      </w:r>
    </w:p>
    <w:p>
      <w:pPr>
        <w:pStyle w:val="4"/>
        <w:keepNext/>
        <w:keepLines/>
        <w:pageBreakBefore w:val="0"/>
        <w:widowControl w:val="0"/>
        <w:kinsoku/>
        <w:wordWrap/>
        <w:overflowPunct/>
        <w:topLinePunct w:val="0"/>
        <w:autoSpaceDE/>
        <w:autoSpaceDN/>
        <w:bidi w:val="0"/>
        <w:adjustRightInd/>
        <w:snapToGrid/>
        <w:spacing w:before="0" w:after="0" w:line="560" w:lineRule="exact"/>
        <w:ind w:firstLine="422" w:firstLineChars="200"/>
        <w:contextualSpacing/>
        <w:textAlignment w:val="auto"/>
        <w:rPr>
          <w:rFonts w:hint="eastAsia" w:ascii="宋体" w:hAnsi="宋体" w:eastAsia="宋体"/>
          <w:sz w:val="21"/>
          <w:szCs w:val="21"/>
        </w:rPr>
      </w:pPr>
      <w:r>
        <w:rPr>
          <w:rFonts w:hint="eastAsia" w:ascii="宋体" w:hAnsi="宋体" w:eastAsia="宋体"/>
          <w:sz w:val="21"/>
          <w:szCs w:val="21"/>
          <w:lang w:val="en-US" w:eastAsia="zh-CN"/>
        </w:rPr>
        <w:t>A4</w:t>
      </w:r>
      <w:r>
        <w:rPr>
          <w:rFonts w:hint="eastAsia" w:ascii="宋体" w:hAnsi="宋体" w:eastAsia="宋体"/>
          <w:sz w:val="21"/>
          <w:szCs w:val="21"/>
        </w:rPr>
        <w:t>.响应人关联关系要求-相关证明材料</w:t>
      </w:r>
    </w:p>
    <w:p>
      <w:pPr>
        <w:keepNext/>
        <w:keepLines/>
        <w:pageBreakBefore w:val="0"/>
        <w:widowControl w:val="0"/>
        <w:kinsoku/>
        <w:wordWrap/>
        <w:overflowPunct/>
        <w:topLinePunct w:val="0"/>
        <w:autoSpaceDE/>
        <w:autoSpaceDN/>
        <w:bidi w:val="0"/>
        <w:adjustRightInd/>
        <w:snapToGrid/>
        <w:spacing w:line="560" w:lineRule="exact"/>
        <w:ind w:firstLine="422"/>
        <w:contextualSpacing/>
        <w:textAlignment w:val="auto"/>
        <w:rPr>
          <w:rFonts w:ascii="宋体" w:hAnsi="宋体" w:eastAsia="宋体"/>
          <w:b/>
          <w:bCs/>
          <w:szCs w:val="21"/>
          <w:highlight w:val="none"/>
        </w:rPr>
      </w:pPr>
      <w:r>
        <w:rPr>
          <w:rFonts w:hint="eastAsia" w:ascii="宋体" w:hAnsi="宋体"/>
          <w:b/>
          <w:bCs/>
          <w:szCs w:val="21"/>
          <w:highlight w:val="none"/>
        </w:rPr>
        <w:t>1.供应商基本情况表：</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20"/>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8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（董事长和总经理）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szCs w:val="21"/>
              </w:rPr>
              <w:t>说明：1.同一职务有多人担任（如主要技术人员），应分行填写;2.除法定代表人</w:t>
            </w:r>
            <w:r>
              <w:rPr>
                <w:rFonts w:hint="eastAsia" w:ascii="宋体" w:hAnsi="宋体" w:cs="宋体"/>
                <w:b/>
                <w:bCs/>
                <w:szCs w:val="21"/>
                <w:highlight w:val="none"/>
              </w:rPr>
              <w:t>、单位负责人</w:t>
            </w:r>
            <w:r>
              <w:rPr>
                <w:rFonts w:hint="eastAsia" w:ascii="宋体" w:hAnsi="宋体" w:eastAsia="宋体" w:cs="宋体"/>
                <w:b/>
                <w:bCs/>
                <w:szCs w:val="21"/>
              </w:rPr>
              <w:t>外，以上人员需提供</w:t>
            </w:r>
            <w:r>
              <w:rPr>
                <w:rFonts w:hint="eastAsia" w:ascii="宋体" w:hAnsi="宋体" w:cs="宋体"/>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rPr>
          <w:rFonts w:hint="eastAsia" w:ascii="宋体" w:hAnsi="宋体" w:eastAsia="宋体"/>
          <w:sz w:val="21"/>
          <w:szCs w:val="21"/>
        </w:rPr>
      </w:pPr>
      <w:r>
        <w:rPr>
          <w:rFonts w:hint="eastAsia" w:ascii="宋体" w:hAnsi="宋体" w:eastAsia="宋体"/>
          <w:sz w:val="21"/>
          <w:szCs w:val="21"/>
        </w:rPr>
        <w:br w:type="page"/>
      </w:r>
    </w:p>
    <w:p>
      <w:pPr>
        <w:pageBreakBefore w:val="0"/>
        <w:widowControl w:val="0"/>
        <w:kinsoku/>
        <w:wordWrap/>
        <w:overflowPunct/>
        <w:topLinePunct w:val="0"/>
        <w:autoSpaceDE w:val="0"/>
        <w:autoSpaceDN w:val="0"/>
        <w:bidi w:val="0"/>
        <w:adjustRightInd w:val="0"/>
        <w:snapToGrid w:val="0"/>
        <w:ind w:firstLine="422" w:firstLineChars="200"/>
        <w:jc w:val="left"/>
        <w:textAlignment w:val="auto"/>
        <w:rPr>
          <w:rFonts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pPr>
        <w:pageBreakBefore w:val="0"/>
        <w:widowControl w:val="0"/>
        <w:kinsoku/>
        <w:wordWrap/>
        <w:overflowPunct/>
        <w:topLinePunct w:val="0"/>
        <w:bidi w:val="0"/>
        <w:ind w:firstLine="420" w:firstLineChars="200"/>
        <w:textAlignment w:val="auto"/>
        <w:rPr>
          <w:rFonts w:ascii="宋体" w:hAnsi="宋体" w:eastAsia="宋体"/>
          <w:szCs w:val="21"/>
        </w:rPr>
      </w:pP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4"/>
        <w:pageBreakBefore w:val="0"/>
        <w:widowControl w:val="0"/>
        <w:kinsoku/>
        <w:wordWrap/>
        <w:overflowPunct/>
        <w:topLinePunct w:val="0"/>
        <w:bidi w:val="0"/>
        <w:spacing w:before="0" w:after="0" w:line="360" w:lineRule="auto"/>
        <w:ind w:firstLine="422" w:firstLineChars="200"/>
        <w:contextualSpacing/>
        <w:textAlignment w:val="auto"/>
        <w:rPr>
          <w:rFonts w:ascii="宋体" w:hAnsi="宋体" w:eastAsia="宋体"/>
          <w:sz w:val="21"/>
          <w:szCs w:val="21"/>
        </w:rPr>
      </w:pPr>
    </w:p>
    <w:p>
      <w:pPr>
        <w:pageBreakBefore w:val="0"/>
        <w:widowControl w:val="0"/>
        <w:kinsoku/>
        <w:wordWrap/>
        <w:overflowPunct/>
        <w:topLinePunct w:val="0"/>
        <w:autoSpaceDE w:val="0"/>
        <w:autoSpaceDN w:val="0"/>
        <w:bidi w:val="0"/>
        <w:adjustRightInd w:val="0"/>
        <w:snapToGrid w:val="0"/>
        <w:spacing w:line="360" w:lineRule="auto"/>
        <w:ind w:firstLine="422" w:firstLineChars="200"/>
        <w:jc w:val="left"/>
        <w:textAlignment w:val="auto"/>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宋体" w:hAnsi="宋体"/>
          <w:szCs w:val="21"/>
        </w:rPr>
      </w:pPr>
      <w:r>
        <w:rPr>
          <w:rFonts w:hint="eastAsia"/>
        </w:rPr>
        <w:t>投标人提供“国家企业信用信息公示系统”网站（http://www.gsxt.gov.cn/corp-query-homepage.html）主要信息截图</w:t>
      </w:r>
    </w:p>
    <w:p>
      <w:pPr>
        <w:rPr>
          <w:rFonts w:hint="eastAsia" w:ascii="宋体" w:hAnsi="宋体" w:eastAsia="宋体"/>
          <w:sz w:val="21"/>
          <w:szCs w:val="21"/>
        </w:rPr>
      </w:pPr>
      <w:r>
        <w:rPr>
          <w:rFonts w:hint="eastAsia" w:ascii="宋体" w:hAnsi="宋体" w:eastAsia="宋体"/>
          <w:sz w:val="21"/>
          <w:szCs w:val="21"/>
        </w:rPr>
        <w:br w:type="page"/>
      </w:r>
    </w:p>
    <w:p>
      <w:pPr>
        <w:pStyle w:val="4"/>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w:t>
      </w:r>
      <w:r>
        <w:rPr>
          <w:rFonts w:hint="eastAsia" w:ascii="宋体" w:hAnsi="宋体" w:eastAsia="宋体"/>
          <w:sz w:val="21"/>
          <w:szCs w:val="21"/>
          <w:lang w:val="en-US" w:eastAsia="zh-CN"/>
        </w:rPr>
        <w:t>5</w:t>
      </w:r>
      <w:r>
        <w:rPr>
          <w:rFonts w:hint="eastAsia" w:ascii="宋体" w:hAnsi="宋体" w:eastAsia="宋体"/>
          <w:sz w:val="21"/>
          <w:szCs w:val="21"/>
        </w:rPr>
        <w:t>.</w:t>
      </w:r>
      <w:r>
        <w:rPr>
          <w:rFonts w:hint="eastAsia" w:ascii="宋体" w:hAnsi="宋体" w:eastAsia="宋体"/>
          <w:sz w:val="21"/>
          <w:szCs w:val="21"/>
          <w:lang w:val="en-US" w:eastAsia="zh-CN"/>
        </w:rPr>
        <w:t>承诺</w:t>
      </w:r>
      <w:r>
        <w:rPr>
          <w:rFonts w:hint="eastAsia" w:ascii="宋体" w:hAnsi="宋体" w:eastAsia="宋体"/>
          <w:sz w:val="21"/>
          <w:szCs w:val="21"/>
        </w:rPr>
        <w:t>函</w:t>
      </w: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lang w:val="en-US" w:eastAsia="zh-CN"/>
        </w:rPr>
        <w:t>承诺</w:t>
      </w:r>
      <w:r>
        <w:rPr>
          <w:rFonts w:hint="eastAsia" w:ascii="宋体" w:hAnsi="宋体" w:eastAsia="宋体" w:cs="仿宋_GB2312"/>
          <w:b/>
          <w:sz w:val="28"/>
          <w:szCs w:val="28"/>
        </w:rPr>
        <w:t>函</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致：（采购人名称）</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根据已收到贵方的编号为</w:t>
      </w:r>
      <w:r>
        <w:rPr>
          <w:rFonts w:hint="eastAsia" w:ascii="宋体" w:hAnsi="宋体" w:eastAsia="宋体" w:cs="宋体"/>
          <w:color w:val="0000FF"/>
          <w:sz w:val="21"/>
          <w:szCs w:val="21"/>
          <w:u w:val="single"/>
          <w:lang w:val="en-US" w:eastAsia="zh-CN"/>
        </w:rPr>
        <w:t>PSCS2026006</w:t>
      </w:r>
      <w:r>
        <w:rPr>
          <w:rFonts w:hint="eastAsia" w:ascii="宋体" w:hAnsi="宋体" w:eastAsia="宋体" w:cs="宋体"/>
          <w:color w:val="000000"/>
          <w:sz w:val="21"/>
          <w:szCs w:val="21"/>
        </w:rPr>
        <w:t>的</w:t>
      </w:r>
      <w:r>
        <w:rPr>
          <w:rFonts w:hint="eastAsia" w:ascii="宋体" w:hAnsi="宋体" w:eastAsia="宋体" w:cs="宋体"/>
          <w:color w:val="0000FF"/>
          <w:sz w:val="21"/>
          <w:szCs w:val="21"/>
          <w:u w:val="single"/>
          <w:lang w:val="en-US" w:eastAsia="zh-CN"/>
        </w:rPr>
        <w:t>深圳燃气2026年新款柱状标志桩试用采购</w:t>
      </w:r>
      <w:r>
        <w:rPr>
          <w:rFonts w:hint="eastAsia" w:ascii="宋体" w:hAnsi="宋体" w:eastAsia="宋体" w:cs="宋体"/>
          <w:color w:val="000000"/>
          <w:sz w:val="21"/>
          <w:szCs w:val="21"/>
          <w:lang w:val="en-US" w:eastAsia="zh-CN"/>
        </w:rPr>
        <w:t>项目</w:t>
      </w:r>
      <w:r>
        <w:rPr>
          <w:rFonts w:hint="eastAsia" w:ascii="宋体" w:hAnsi="宋体" w:eastAsia="宋体" w:cs="宋体"/>
          <w:color w:val="000000"/>
          <w:sz w:val="21"/>
          <w:szCs w:val="21"/>
          <w:lang w:eastAsia="zh-CN"/>
        </w:rPr>
        <w:t>采购文件</w:t>
      </w:r>
      <w:r>
        <w:rPr>
          <w:rFonts w:hint="eastAsia" w:ascii="宋体" w:hAnsi="宋体" w:eastAsia="宋体" w:cs="宋体"/>
          <w:color w:val="000000"/>
          <w:sz w:val="21"/>
          <w:szCs w:val="21"/>
        </w:rPr>
        <w:t>，并已详细审核了全部</w:t>
      </w:r>
      <w:r>
        <w:rPr>
          <w:rFonts w:hint="eastAsia" w:ascii="宋体" w:hAnsi="宋体" w:eastAsia="宋体" w:cs="宋体"/>
          <w:color w:val="000000"/>
          <w:sz w:val="21"/>
          <w:szCs w:val="21"/>
          <w:lang w:eastAsia="zh-CN"/>
        </w:rPr>
        <w:t>采购文件</w:t>
      </w:r>
      <w:r>
        <w:rPr>
          <w:rFonts w:hint="eastAsia" w:ascii="宋体" w:hAnsi="宋体" w:eastAsia="宋体" w:cs="宋体"/>
          <w:color w:val="000000"/>
          <w:sz w:val="21"/>
          <w:szCs w:val="21"/>
        </w:rPr>
        <w:t>及有关附件。我方完全理解并同意放弃对这方面有不明及误解的权利。</w:t>
      </w:r>
      <w:r>
        <w:rPr>
          <w:rFonts w:hint="eastAsia" w:ascii="宋体" w:hAnsi="宋体" w:eastAsia="宋体" w:cs="宋体"/>
          <w:color w:val="000000"/>
          <w:sz w:val="21"/>
          <w:szCs w:val="21"/>
          <w:highlight w:val="none"/>
        </w:rPr>
        <w:t>我方保证遵守中华人民共和国、深圳市有关采购的法律、法规有关的规定。经研究上述</w:t>
      </w:r>
      <w:r>
        <w:rPr>
          <w:rFonts w:hint="eastAsia" w:ascii="宋体" w:hAnsi="宋体" w:eastAsia="宋体" w:cs="宋体"/>
          <w:color w:val="000000"/>
          <w:sz w:val="21"/>
          <w:szCs w:val="21"/>
          <w:highlight w:val="none"/>
          <w:lang w:eastAsia="zh-CN"/>
        </w:rPr>
        <w:t>采购文件</w:t>
      </w:r>
      <w:r>
        <w:rPr>
          <w:rFonts w:hint="eastAsia" w:ascii="宋体" w:hAnsi="宋体" w:eastAsia="宋体" w:cs="宋体"/>
          <w:color w:val="000000"/>
          <w:sz w:val="21"/>
          <w:szCs w:val="21"/>
          <w:highlight w:val="none"/>
        </w:rPr>
        <w:t>的响应人须知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符合性评审</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第四章合同条款</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第五章项目采购需求及其他有关文件后，我方</w:t>
      </w:r>
      <w:r>
        <w:rPr>
          <w:rFonts w:hint="eastAsia" w:ascii="宋体" w:hAnsi="宋体" w:eastAsia="宋体" w:cs="宋体"/>
          <w:color w:val="000000"/>
          <w:sz w:val="21"/>
          <w:szCs w:val="21"/>
          <w:highlight w:val="none"/>
          <w:lang w:val="en-US" w:eastAsia="zh-CN"/>
        </w:rPr>
        <w:t>签字盖章并</w:t>
      </w:r>
      <w:r>
        <w:rPr>
          <w:rFonts w:hint="eastAsia" w:ascii="宋体" w:hAnsi="宋体" w:eastAsia="宋体" w:cs="宋体"/>
          <w:color w:val="000000"/>
          <w:sz w:val="21"/>
          <w:szCs w:val="21"/>
          <w:highlight w:val="none"/>
        </w:rPr>
        <w:t>承诺</w:t>
      </w:r>
      <w:r>
        <w:rPr>
          <w:rFonts w:hint="eastAsia" w:ascii="宋体" w:hAnsi="宋体" w:eastAsia="宋体" w:cs="宋体"/>
          <w:color w:val="000000"/>
          <w:sz w:val="21"/>
          <w:szCs w:val="21"/>
          <w:highlight w:val="none"/>
          <w:lang w:val="en-US" w:eastAsia="zh-CN"/>
        </w:rPr>
        <w:t>如下</w:t>
      </w:r>
      <w:r>
        <w:rPr>
          <w:rFonts w:hint="eastAsia" w:ascii="宋体" w:hAnsi="宋体" w:eastAsia="宋体" w:cs="宋体"/>
          <w:color w:val="000000"/>
          <w:sz w:val="21"/>
          <w:szCs w:val="21"/>
          <w:highlight w:val="none"/>
        </w:rPr>
        <w:t>：</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sz w:val="21"/>
          <w:szCs w:val="21"/>
          <w:highlight w:val="none"/>
          <w:lang w:val="en-US" w:eastAsia="zh-CN"/>
        </w:rPr>
        <w:t>一、</w:t>
      </w:r>
      <w:r>
        <w:rPr>
          <w:rFonts w:hint="eastAsia" w:ascii="宋体" w:hAnsi="宋体" w:eastAsia="宋体" w:cs="宋体"/>
          <w:color w:val="000000"/>
          <w:sz w:val="21"/>
          <w:szCs w:val="21"/>
          <w:highlight w:val="none"/>
        </w:rPr>
        <w:t>愿意按</w:t>
      </w:r>
      <w:r>
        <w:rPr>
          <w:rFonts w:hint="eastAsia" w:ascii="宋体" w:hAnsi="宋体" w:eastAsia="宋体" w:cs="宋体"/>
          <w:b/>
          <w:bCs/>
          <w:color w:val="000000"/>
          <w:sz w:val="21"/>
          <w:szCs w:val="21"/>
          <w:highlight w:val="none"/>
          <w:u w:val="single"/>
          <w:lang w:val="en-US" w:eastAsia="zh-CN"/>
        </w:rPr>
        <w:t>报价文件</w:t>
      </w:r>
      <w:r>
        <w:rPr>
          <w:rFonts w:hint="eastAsia" w:ascii="宋体" w:hAnsi="宋体" w:eastAsia="宋体" w:cs="宋体"/>
          <w:color w:val="000000"/>
          <w:sz w:val="21"/>
          <w:szCs w:val="21"/>
          <w:highlight w:val="none"/>
        </w:rPr>
        <w:t>承接本项目，履行</w:t>
      </w:r>
      <w:r>
        <w:rPr>
          <w:rFonts w:hint="eastAsia" w:ascii="宋体" w:hAnsi="宋体" w:eastAsia="宋体" w:cs="宋体"/>
          <w:color w:val="000000"/>
          <w:sz w:val="21"/>
          <w:szCs w:val="21"/>
          <w:highlight w:val="none"/>
          <w:lang w:eastAsia="zh-CN"/>
        </w:rPr>
        <w:t>采购文件</w:t>
      </w:r>
      <w:r>
        <w:rPr>
          <w:rFonts w:hint="eastAsia" w:ascii="宋体" w:hAnsi="宋体" w:eastAsia="宋体" w:cs="宋体"/>
          <w:color w:val="000000"/>
          <w:sz w:val="21"/>
          <w:szCs w:val="21"/>
          <w:highlight w:val="none"/>
        </w:rPr>
        <w:t>合同中的责任和义务</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rPr>
        <w:t>我方响应</w:t>
      </w:r>
      <w:r>
        <w:rPr>
          <w:rFonts w:hint="eastAsia" w:ascii="宋体" w:hAnsi="宋体" w:eastAsia="宋体" w:cs="宋体"/>
          <w:color w:val="000000"/>
          <w:sz w:val="21"/>
          <w:szCs w:val="21"/>
          <w:lang w:eastAsia="zh-CN"/>
        </w:rPr>
        <w:t>采购文件</w:t>
      </w:r>
      <w:r>
        <w:rPr>
          <w:rFonts w:hint="eastAsia" w:ascii="宋体" w:hAnsi="宋体" w:eastAsia="宋体" w:cs="宋体"/>
          <w:color w:val="000000"/>
          <w:sz w:val="21"/>
          <w:szCs w:val="21"/>
        </w:rPr>
        <w:t>的全</w:t>
      </w:r>
      <w:r>
        <w:rPr>
          <w:rFonts w:hint="eastAsia" w:ascii="宋体" w:hAnsi="宋体" w:eastAsia="宋体" w:cs="宋体"/>
          <w:color w:val="auto"/>
          <w:sz w:val="21"/>
          <w:szCs w:val="21"/>
          <w:highlight w:val="none"/>
          <w:lang w:val="en-US" w:eastAsia="zh-CN"/>
        </w:rPr>
        <w:t>部要求，报价内容满足采购文件“响应人须知前附表”报价要求。</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二、我方递交的响应文件全部真实、有效，并提供原件备查。如在规定的时间内无法提供原件则视为弄虚作假行为。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tabs>
          <w:tab w:val="left" w:pos="7560"/>
        </w:tabs>
        <w:ind w:firstLine="422"/>
        <w:contextualSpacing/>
        <w:rPr>
          <w:rFonts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pPr>
        <w:tabs>
          <w:tab w:val="left" w:pos="7560"/>
        </w:tabs>
        <w:ind w:firstLine="420"/>
        <w:contextualSpacing/>
        <w:rPr>
          <w:rFonts w:ascii="宋体" w:hAnsi="宋体" w:cs="宋体"/>
          <w:szCs w:val="21"/>
        </w:rPr>
      </w:pPr>
      <w:r>
        <w:rPr>
          <w:rFonts w:hint="eastAsia" w:ascii="宋体" w:hAnsi="宋体" w:cs="宋体"/>
          <w:szCs w:val="21"/>
        </w:rPr>
        <w:t>1.不同响应人委托同一单位或者个人办理投标事宜；</w:t>
      </w:r>
    </w:p>
    <w:p>
      <w:pPr>
        <w:tabs>
          <w:tab w:val="left" w:pos="7560"/>
        </w:tabs>
        <w:ind w:firstLine="420"/>
        <w:contextualSpacing/>
        <w:rPr>
          <w:rFonts w:ascii="宋体" w:hAnsi="宋体" w:cs="宋体"/>
          <w:szCs w:val="21"/>
        </w:rPr>
      </w:pPr>
      <w:r>
        <w:rPr>
          <w:rFonts w:hint="eastAsia" w:ascii="宋体" w:hAnsi="宋体" w:cs="宋体"/>
          <w:szCs w:val="21"/>
        </w:rPr>
        <w:t>2.不同响应人的投标文件载明的项目管理成员为同一人；</w:t>
      </w:r>
    </w:p>
    <w:p>
      <w:pPr>
        <w:tabs>
          <w:tab w:val="left" w:pos="7560"/>
        </w:tabs>
        <w:ind w:firstLine="420"/>
        <w:contextualSpacing/>
        <w:rPr>
          <w:rFonts w:ascii="宋体" w:hAnsi="宋体" w:cs="宋体"/>
          <w:szCs w:val="21"/>
        </w:rPr>
      </w:pPr>
      <w:r>
        <w:rPr>
          <w:rFonts w:hint="eastAsia" w:ascii="宋体" w:hAnsi="宋体" w:cs="宋体"/>
          <w:szCs w:val="21"/>
        </w:rPr>
        <w:t>3.不同响应人的投标文件异常一致或者投标报价呈规律性差异或报价组成异常一致；</w:t>
      </w:r>
    </w:p>
    <w:p>
      <w:pPr>
        <w:tabs>
          <w:tab w:val="left" w:pos="7560"/>
        </w:tabs>
        <w:ind w:firstLine="420"/>
        <w:contextualSpacing/>
        <w:rPr>
          <w:rFonts w:ascii="宋体" w:hAnsi="宋体" w:cs="宋体"/>
          <w:szCs w:val="21"/>
        </w:rPr>
      </w:pPr>
      <w:r>
        <w:rPr>
          <w:rFonts w:hint="eastAsia" w:ascii="宋体" w:hAnsi="宋体" w:cs="宋体"/>
          <w:szCs w:val="21"/>
        </w:rPr>
        <w:t>4.不同响应人的投标文件相互混装；</w:t>
      </w:r>
    </w:p>
    <w:p>
      <w:pPr>
        <w:tabs>
          <w:tab w:val="left" w:pos="7560"/>
        </w:tabs>
        <w:ind w:firstLine="420"/>
        <w:contextualSpacing/>
        <w:rPr>
          <w:rFonts w:ascii="宋体" w:hAnsi="宋体" w:cs="宋体"/>
          <w:szCs w:val="21"/>
        </w:rPr>
      </w:pPr>
      <w:r>
        <w:rPr>
          <w:rFonts w:hint="eastAsia" w:ascii="宋体" w:hAnsi="宋体" w:cs="宋体"/>
          <w:szCs w:val="21"/>
        </w:rPr>
        <w:t>5.不同响应人的投标保证金从同一单位或者个人的账户转出；</w:t>
      </w:r>
    </w:p>
    <w:p>
      <w:pPr>
        <w:tabs>
          <w:tab w:val="left" w:pos="7560"/>
        </w:tabs>
        <w:ind w:firstLine="420"/>
        <w:contextualSpacing/>
        <w:rPr>
          <w:rFonts w:ascii="宋体" w:hAnsi="宋体" w:cs="宋体"/>
          <w:szCs w:val="21"/>
        </w:rPr>
      </w:pPr>
      <w:r>
        <w:rPr>
          <w:rFonts w:hint="eastAsia" w:ascii="宋体" w:hAnsi="宋体" w:cs="宋体"/>
          <w:szCs w:val="21"/>
        </w:rPr>
        <w:t>6.响应人以他人名义投标，串通投标，以行贿手段谋取中标或者以其他弄虚作假方式投标；</w:t>
      </w:r>
    </w:p>
    <w:p>
      <w:pPr>
        <w:tabs>
          <w:tab w:val="left" w:pos="7560"/>
        </w:tabs>
        <w:ind w:firstLine="420"/>
        <w:contextualSpacing/>
        <w:rPr>
          <w:rFonts w:ascii="宋体" w:hAnsi="宋体" w:cs="宋体"/>
          <w:szCs w:val="21"/>
        </w:rPr>
      </w:pPr>
      <w:r>
        <w:rPr>
          <w:rFonts w:hint="eastAsia" w:ascii="宋体" w:hAnsi="宋体" w:cs="宋体"/>
          <w:szCs w:val="21"/>
        </w:rPr>
        <w:t>7.不同响应人的投标文件错漏之处一致的；</w:t>
      </w:r>
    </w:p>
    <w:p>
      <w:pPr>
        <w:tabs>
          <w:tab w:val="left" w:pos="7560"/>
        </w:tabs>
        <w:ind w:firstLine="420"/>
        <w:contextualSpacing/>
        <w:rPr>
          <w:rFonts w:ascii="宋体" w:hAnsi="宋体" w:cs="宋体"/>
          <w:szCs w:val="21"/>
        </w:rPr>
      </w:pPr>
      <w:r>
        <w:rPr>
          <w:rFonts w:hint="eastAsia" w:ascii="宋体" w:hAnsi="宋体" w:cs="宋体"/>
          <w:szCs w:val="21"/>
        </w:rPr>
        <w:t>8.经认定的其他围标、串标投标情形。</w:t>
      </w:r>
    </w:p>
    <w:p>
      <w:pPr>
        <w:tabs>
          <w:tab w:val="left" w:pos="7560"/>
        </w:tabs>
        <w:ind w:firstLine="420"/>
        <w:contextualSpacing/>
        <w:rPr>
          <w:rFonts w:ascii="宋体" w:hAnsi="宋体" w:cs="宋体"/>
          <w:szCs w:val="21"/>
        </w:rPr>
      </w:pPr>
      <w:r>
        <w:rPr>
          <w:rFonts w:hint="eastAsia" w:ascii="宋体" w:hAnsi="宋体" w:cs="宋体"/>
          <w:szCs w:val="21"/>
        </w:rPr>
        <w:t>五、我方郑重承诺具有良好的信誉，且不存在下列任何一种情形：</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1.响应人企业或其法定代表人被列入“失信被执行人”的。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3.近2年内（从采购公告发布之日起倒算）供应商有无正当理由放弃集团公司成交项目、不接受采购文件中合同主要条款、不履行合同义务或单方面终止合同的。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8.被列入集团公司黑名单的或暂停承包资格的。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9.依法应当拒绝投标的其他情形。  </w:t>
      </w:r>
    </w:p>
    <w:p>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tabs>
          <w:tab w:val="left" w:pos="7560"/>
        </w:tabs>
        <w:ind w:firstLine="420"/>
        <w:contextualSpacing/>
        <w:rPr>
          <w:rFonts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pPr>
        <w:tabs>
          <w:tab w:val="left" w:pos="7560"/>
        </w:tabs>
        <w:ind w:firstLine="422"/>
        <w:contextualSpacing/>
        <w:rPr>
          <w:rFonts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tabs>
          <w:tab w:val="left" w:pos="7560"/>
        </w:tabs>
        <w:ind w:firstLine="422"/>
        <w:contextualSpacing/>
        <w:rPr>
          <w:rFonts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pPr>
        <w:tabs>
          <w:tab w:val="left" w:pos="7560"/>
        </w:tabs>
        <w:ind w:firstLine="420"/>
        <w:contextualSpacing/>
        <w:rPr>
          <w:rFonts w:ascii="宋体" w:hAnsi="宋体" w:cs="宋体"/>
          <w:szCs w:val="21"/>
        </w:rPr>
      </w:pPr>
      <w:r>
        <w:rPr>
          <w:rFonts w:hint="eastAsia" w:ascii="宋体" w:hAnsi="宋体" w:cs="宋体"/>
          <w:szCs w:val="21"/>
        </w:rPr>
        <w:t>此函。</w:t>
      </w:r>
    </w:p>
    <w:p>
      <w:pPr>
        <w:tabs>
          <w:tab w:val="left" w:pos="7560"/>
        </w:tabs>
        <w:ind w:firstLine="420"/>
        <w:contextualSpacing/>
        <w:rPr>
          <w:rFonts w:ascii="宋体" w:hAnsi="宋体" w:cs="宋体"/>
          <w:b/>
          <w:bCs/>
          <w:szCs w:val="21"/>
        </w:rPr>
      </w:pPr>
    </w:p>
    <w:p>
      <w:pPr>
        <w:tabs>
          <w:tab w:val="left" w:pos="7560"/>
        </w:tabs>
        <w:ind w:firstLine="420"/>
        <w:contextualSpacing/>
        <w:rPr>
          <w:rFonts w:ascii="宋体" w:hAnsi="宋体" w:cs="宋体"/>
          <w:szCs w:val="21"/>
        </w:rPr>
      </w:pPr>
      <w:r>
        <w:rPr>
          <w:rFonts w:hint="eastAsia" w:ascii="宋体" w:hAnsi="宋体" w:cs="宋体"/>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hint="eastAsia" w:ascii="宋体" w:hAnsi="宋体" w:cs="宋体"/>
          <w:b/>
          <w:bCs/>
          <w:szCs w:val="21"/>
        </w:rPr>
        <w:t>）</w:t>
      </w:r>
    </w:p>
    <w:p>
      <w:pPr>
        <w:tabs>
          <w:tab w:val="left" w:pos="7560"/>
        </w:tabs>
        <w:ind w:firstLine="420"/>
        <w:contextualSpacing/>
        <w:rPr>
          <w:rFonts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pPr>
        <w:tabs>
          <w:tab w:val="left" w:pos="7560"/>
        </w:tabs>
        <w:ind w:firstLine="420"/>
        <w:contextualSpacing/>
        <w:rPr>
          <w:rFonts w:ascii="宋体" w:hAnsi="宋体" w:cs="仿宋_GB2312"/>
          <w:szCs w:val="21"/>
        </w:rPr>
      </w:pPr>
      <w:r>
        <w:rPr>
          <w:rFonts w:hint="eastAsia" w:ascii="宋体" w:hAnsi="宋体" w:cs="仿宋_GB2312"/>
          <w:szCs w:val="21"/>
        </w:rPr>
        <w:t xml:space="preserve"> </w:t>
      </w:r>
    </w:p>
    <w:p>
      <w:pPr>
        <w:autoSpaceDE w:val="0"/>
        <w:autoSpaceDN w:val="0"/>
        <w:adjustRightInd w:val="0"/>
        <w:snapToGrid w:val="0"/>
        <w:jc w:val="left"/>
        <w:rPr>
          <w:rFonts w:ascii="宋体" w:hAnsi="宋体"/>
          <w:b/>
          <w:bCs/>
          <w:szCs w:val="21"/>
        </w:rPr>
      </w:pPr>
    </w:p>
    <w:p>
      <w:pPr>
        <w:autoSpaceDE w:val="0"/>
        <w:autoSpaceDN w:val="0"/>
        <w:adjustRightInd w:val="0"/>
        <w:snapToGrid w:val="0"/>
        <w:jc w:val="left"/>
        <w:rPr>
          <w:rFonts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pPr>
        <w:overflowPunct w:val="0"/>
        <w:autoSpaceDE w:val="0"/>
        <w:autoSpaceDN w:val="0"/>
        <w:adjustRightInd w:val="0"/>
        <w:ind w:firstLine="420"/>
        <w:jc w:val="left"/>
        <w:textAlignment w:val="baseline"/>
        <w:rPr>
          <w:rFonts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rPr>
          <w:rFonts w:ascii="Calibri" w:hAnsi="Calibri" w:eastAsia="宋体" w:cs="Times New Roman"/>
          <w:szCs w:val="21"/>
        </w:rPr>
      </w:pPr>
    </w:p>
    <w:p>
      <w:pPr>
        <w:jc w:val="left"/>
        <w:rPr>
          <w:rFonts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pPr>
        <w:rPr>
          <w:rFonts w:ascii="Calibri" w:hAnsi="Calibri" w:eastAsia="宋体"/>
        </w:rPr>
      </w:pPr>
      <w:r>
        <w:rPr>
          <w:rFonts w:hint="eastAsia" w:ascii="Calibri" w:hAnsi="Calibri" w:eastAsia="宋体"/>
        </w:rPr>
        <w:t>查询入口示例：</w:t>
      </w:r>
    </w:p>
    <w:p>
      <w:r>
        <w:drawing>
          <wp:inline distT="0" distB="0" distL="114300" distR="114300">
            <wp:extent cx="5315585" cy="3107055"/>
            <wp:effectExtent l="0" t="0" r="317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p>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“深圳市交通运输局”网站（https://jtys.sz.gov.cn/）-政务公开-信用信息双公示-行政处罚截图证明：</w:t>
      </w:r>
    </w:p>
    <w:p>
      <w:pPr>
        <w:rPr>
          <w:rFonts w:ascii="Calibri" w:hAnsi="Calibri" w:eastAsia="宋体"/>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lang w:val="en-US" w:eastAsia="zh-CN" w:bidi="ar-SA"/>
        </w:rPr>
        <w:t>网站首页-采购监管-诚信档案-入口查询行政处罚记录</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lang w:val="en-US" w:eastAsia="zh-CN"/>
        </w:rPr>
        <w:t>截图证明</w:t>
      </w:r>
      <w:r>
        <w:rPr>
          <w:rFonts w:hint="eastAsia" w:ascii="宋体" w:hAnsi="宋体"/>
          <w:b w:val="0"/>
          <w:bCs w:val="0"/>
          <w:color w:val="auto"/>
          <w:szCs w:val="21"/>
          <w:highlight w:val="none"/>
        </w:rPr>
        <w:t>：</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20665" cy="2441575"/>
            <wp:effectExtent l="0" t="0" r="13335" b="1206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hint="eastAsia" w:ascii="Calibri" w:hAnsi="Calibri" w:eastAsia="宋体"/>
        </w:rPr>
        <w:drawing>
          <wp:inline distT="0" distB="0" distL="114300" distR="114300">
            <wp:extent cx="5321935" cy="2796540"/>
            <wp:effectExtent l="0" t="0" r="12065" b="762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905" b="1206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pPr>
        <w:rPr>
          <w:rFonts w:eastAsia="宋体"/>
        </w:rPr>
      </w:pPr>
    </w:p>
    <w:p>
      <w:pPr>
        <w:rPr>
          <w:rFonts w:eastAsia="宋体"/>
        </w:rPr>
      </w:pPr>
    </w:p>
    <w:p>
      <w:pPr>
        <w:rPr>
          <w:rFonts w:eastAsia="宋体"/>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lang w:val="en-US" w:eastAsia="zh-CN"/>
        </w:rPr>
        <w:t>信息公示-行政管理信息查询-严重失信主体名单查询</w:t>
      </w:r>
      <w:r>
        <w:rPr>
          <w:rFonts w:hint="eastAsia" w:ascii="Calibri" w:hAnsi="Calibri" w:eastAsia="宋体"/>
          <w:lang w:val="en-US" w:eastAsia="zh-CN"/>
        </w:rPr>
        <w:t>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p>
    <w:p>
      <w:pPr>
        <w:rPr>
          <w:rFonts w:ascii="Calibri" w:hAnsi="Calibri" w:eastAsia="宋体"/>
        </w:rPr>
      </w:pPr>
      <w:r>
        <w:rPr>
          <w:rFonts w:eastAsia="宋体"/>
        </w:rPr>
        <w:drawing>
          <wp:inline distT="0" distB="0" distL="114300" distR="114300">
            <wp:extent cx="5319395" cy="3060065"/>
            <wp:effectExtent l="0" t="0" r="14605" b="317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r>
        <w:drawing>
          <wp:inline distT="0" distB="0" distL="114300" distR="114300">
            <wp:extent cx="5314950" cy="3077210"/>
            <wp:effectExtent l="0" t="0" r="3810" b="127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p>
      <w:pPr>
        <w:rPr>
          <w:rFonts w:ascii="Calibri" w:hAnsi="Calibri" w:eastAsia="宋体"/>
        </w:rPr>
      </w:pPr>
    </w:p>
    <w:p>
      <w:pPr>
        <w:rPr>
          <w:rFonts w:ascii="Calibri" w:hAnsi="Calibri" w:eastAsia="宋体" w:cs="Times New Roman"/>
          <w:szCs w:val="24"/>
        </w:rPr>
      </w:pPr>
    </w:p>
    <w:p>
      <w:pPr>
        <w:pStyle w:val="4"/>
        <w:spacing w:before="0" w:after="0" w:line="360" w:lineRule="auto"/>
        <w:ind w:firstLine="422" w:firstLineChars="200"/>
        <w:contextualSpacing/>
        <w:rPr>
          <w:rFonts w:ascii="宋体" w:hAnsi="宋体" w:eastAsia="宋体"/>
          <w:sz w:val="21"/>
          <w:szCs w:val="21"/>
        </w:rPr>
      </w:pPr>
    </w:p>
    <w:p>
      <w:pPr>
        <w:tabs>
          <w:tab w:val="left" w:pos="7560"/>
        </w:tabs>
        <w:spacing w:line="360" w:lineRule="auto"/>
        <w:ind w:firstLine="420" w:firstLineChars="200"/>
        <w:contextualSpacing/>
        <w:rPr>
          <w:rFonts w:ascii="宋体" w:hAnsi="宋体" w:eastAsia="宋体" w:cstheme="majorBidi"/>
          <w:b/>
          <w:bCs/>
          <w:szCs w:val="21"/>
        </w:rPr>
      </w:pPr>
      <w:r>
        <w:rPr>
          <w:rFonts w:ascii="宋体" w:hAnsi="宋体" w:eastAsia="宋体"/>
          <w:szCs w:val="21"/>
        </w:rP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4"/>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pPr>
        <w:rPr>
          <w:rFonts w:hint="eastAsia"/>
          <w:lang w:val="en-US" w:eastAsia="zh-CN"/>
        </w:rPr>
      </w:pP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1"/>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深圳市燃气集团股份有限公司</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lang w:val="en-US" w:eastAsia="zh-CN"/>
        </w:rPr>
        <w:t xml:space="preserve"> </w:t>
      </w:r>
      <w:r>
        <w:rPr>
          <w:rFonts w:hint="eastAsia" w:ascii="宋体" w:hAnsi="宋体" w:eastAsia="宋体" w:cs="仿宋_GB2312"/>
          <w:szCs w:val="21"/>
          <w:u w:val="single"/>
        </w:rPr>
        <w:t xml:space="preserve">深圳燃气2026年新款柱状标志桩试用采购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PSCS2026006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color w:val="0000FF"/>
        </w:rPr>
      </w:pP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pPr>
    </w:p>
    <w:p>
      <w:pPr>
        <w:pStyle w:val="20"/>
        <w:rPr>
          <w:rFonts w:hint="eastAsia"/>
          <w:lang w:val="en-US" w:eastAsia="zh-CN"/>
        </w:rPr>
        <w:sectPr>
          <w:pgSz w:w="11906" w:h="16838"/>
          <w:pgMar w:top="1440" w:right="1800" w:bottom="1440" w:left="1800" w:header="851" w:footer="992" w:gutter="0"/>
          <w:cols w:space="425" w:num="1"/>
          <w:docGrid w:type="lines" w:linePitch="312" w:charSpace="0"/>
        </w:sectPr>
      </w:pPr>
    </w:p>
    <w:p>
      <w:pPr>
        <w:pStyle w:val="5"/>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tbl>
      <w:tblPr>
        <w:tblStyle w:val="84"/>
        <w:tblW w:w="1002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8"/>
        <w:gridCol w:w="1614"/>
        <w:gridCol w:w="1503"/>
        <w:gridCol w:w="1410"/>
        <w:gridCol w:w="1663"/>
        <w:gridCol w:w="1680"/>
        <w:gridCol w:w="14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Cs w:val="21"/>
                <w:lang w:val="en-US" w:eastAsia="zh-CN"/>
              </w:rPr>
            </w:pPr>
            <w:r>
              <w:rPr>
                <w:rFonts w:hint="eastAsia" w:ascii="宋体" w:hAnsi="宋体" w:eastAsia="宋体" w:cs="宋体"/>
                <w:b/>
                <w:bCs/>
                <w:color w:val="000000"/>
                <w:kern w:val="0"/>
                <w:szCs w:val="21"/>
                <w:lang w:val="en-US" w:eastAsia="zh-CN"/>
              </w:rPr>
              <w:t>序号</w:t>
            </w:r>
          </w:p>
        </w:tc>
        <w:tc>
          <w:tcPr>
            <w:tcW w:w="161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货物名称</w:t>
            </w:r>
          </w:p>
        </w:tc>
        <w:tc>
          <w:tcPr>
            <w:tcW w:w="1503"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Cs w:val="21"/>
                <w:lang w:val="en-US" w:eastAsia="zh-CN"/>
              </w:rPr>
            </w:pPr>
            <w:r>
              <w:rPr>
                <w:rFonts w:hint="eastAsia" w:ascii="宋体" w:hAnsi="宋体" w:eastAsia="宋体" w:cs="宋体"/>
                <w:b/>
                <w:bCs/>
                <w:color w:val="000000"/>
                <w:kern w:val="0"/>
                <w:szCs w:val="21"/>
                <w:lang w:val="en-US" w:eastAsia="zh-CN"/>
              </w:rPr>
              <w:t>规格型号</w:t>
            </w:r>
          </w:p>
        </w:tc>
        <w:tc>
          <w:tcPr>
            <w:tcW w:w="14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Cs w:val="21"/>
                <w:lang w:val="en-US" w:eastAsia="zh-CN"/>
              </w:rPr>
            </w:pPr>
            <w:r>
              <w:rPr>
                <w:rFonts w:hint="eastAsia" w:ascii="宋体" w:hAnsi="宋体" w:eastAsia="宋体" w:cs="宋体"/>
                <w:b/>
                <w:bCs/>
                <w:color w:val="000000"/>
                <w:kern w:val="0"/>
                <w:szCs w:val="21"/>
                <w:lang w:val="en-US" w:eastAsia="zh-CN"/>
              </w:rPr>
              <w:t>采购量</w:t>
            </w:r>
          </w:p>
          <w:p>
            <w:pPr>
              <w:widowControl/>
              <w:jc w:val="center"/>
              <w:rPr>
                <w:rFonts w:hint="eastAsia" w:ascii="宋体" w:hAnsi="宋体" w:eastAsia="宋体" w:cs="宋体"/>
                <w:b/>
                <w:bCs/>
                <w:color w:val="auto"/>
                <w:kern w:val="0"/>
                <w:szCs w:val="21"/>
                <w:lang w:eastAsia="zh-CN"/>
              </w:rPr>
            </w:pPr>
            <w:r>
              <w:rPr>
                <w:rFonts w:hint="eastAsia" w:ascii="宋体" w:hAnsi="宋体" w:eastAsia="宋体" w:cs="宋体"/>
                <w:b/>
                <w:bCs/>
                <w:color w:val="000000"/>
                <w:kern w:val="0"/>
                <w:szCs w:val="21"/>
                <w:lang w:val="en-US" w:eastAsia="zh-CN"/>
              </w:rPr>
              <w:t>（单位：个）</w:t>
            </w:r>
          </w:p>
        </w:tc>
        <w:tc>
          <w:tcPr>
            <w:tcW w:w="1663"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snapToGrid/>
              <w:spacing w:line="240" w:lineRule="auto"/>
              <w:jc w:val="center"/>
              <w:rPr>
                <w:rFonts w:hint="eastAsia" w:cs="宋体"/>
                <w:b/>
                <w:bCs/>
                <w:color w:val="auto"/>
                <w:szCs w:val="21"/>
                <w:lang w:val="en-US" w:eastAsia="zh-CN"/>
              </w:rPr>
            </w:pPr>
            <w:r>
              <w:rPr>
                <w:rFonts w:hint="eastAsia" w:cs="宋体"/>
                <w:b/>
                <w:bCs/>
                <w:color w:val="auto"/>
                <w:szCs w:val="21"/>
                <w:lang w:val="en-US" w:eastAsia="zh-CN"/>
              </w:rPr>
              <w:t>响应单价</w:t>
            </w:r>
          </w:p>
          <w:p>
            <w:pPr>
              <w:widowControl/>
              <w:autoSpaceDE/>
              <w:autoSpaceDN/>
              <w:adjustRightInd/>
              <w:snapToGrid/>
              <w:spacing w:line="240" w:lineRule="auto"/>
              <w:jc w:val="center"/>
              <w:rPr>
                <w:rFonts w:hint="default" w:ascii="宋体" w:hAnsi="宋体" w:eastAsia="宋体" w:cs="宋体"/>
                <w:b/>
                <w:bCs/>
                <w:color w:val="auto"/>
                <w:kern w:val="0"/>
                <w:szCs w:val="21"/>
                <w:lang w:val="en-US" w:eastAsia="zh-CN"/>
              </w:rPr>
            </w:pPr>
            <w:r>
              <w:rPr>
                <w:rFonts w:hint="eastAsia" w:cs="宋体"/>
                <w:b/>
                <w:bCs/>
                <w:color w:val="auto"/>
                <w:szCs w:val="21"/>
                <w:lang w:val="en-US" w:eastAsia="zh-CN"/>
              </w:rPr>
              <w:t>（人民币：元）</w:t>
            </w:r>
          </w:p>
        </w:tc>
        <w:tc>
          <w:tcPr>
            <w:tcW w:w="1680"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snapToGrid/>
              <w:spacing w:line="240" w:lineRule="auto"/>
              <w:jc w:val="center"/>
              <w:rPr>
                <w:rFonts w:hint="eastAsia" w:cs="宋体" w:eastAsiaTheme="minorEastAsia"/>
                <w:b/>
                <w:bCs/>
                <w:color w:val="auto"/>
                <w:szCs w:val="21"/>
                <w:lang w:val="en-US" w:eastAsia="zh-CN"/>
              </w:rPr>
            </w:pPr>
            <w:r>
              <w:rPr>
                <w:rFonts w:hint="eastAsia" w:cs="宋体"/>
                <w:b/>
                <w:bCs/>
                <w:color w:val="auto"/>
                <w:szCs w:val="21"/>
              </w:rPr>
              <w:t>合计</w:t>
            </w:r>
            <w:r>
              <w:rPr>
                <w:rFonts w:hint="eastAsia" w:cs="宋体"/>
                <w:b/>
                <w:bCs/>
                <w:color w:val="auto"/>
                <w:szCs w:val="21"/>
                <w:lang w:val="en-US" w:eastAsia="zh-CN"/>
              </w:rPr>
              <w:t>金额</w:t>
            </w:r>
          </w:p>
          <w:p>
            <w:pPr>
              <w:widowControl/>
              <w:autoSpaceDE/>
              <w:autoSpaceDN/>
              <w:adjustRightInd/>
              <w:snapToGrid/>
              <w:spacing w:line="240" w:lineRule="auto"/>
              <w:jc w:val="center"/>
              <w:rPr>
                <w:rFonts w:hint="eastAsia" w:cs="宋体" w:asciiTheme="minorHAnsi" w:hAnsiTheme="minorHAnsi" w:eastAsiaTheme="minorEastAsia"/>
                <w:b/>
                <w:bCs/>
                <w:color w:val="auto"/>
                <w:kern w:val="2"/>
                <w:sz w:val="21"/>
                <w:szCs w:val="21"/>
                <w:lang w:val="en-US" w:eastAsia="zh-CN" w:bidi="ar-SA"/>
              </w:rPr>
            </w:pPr>
            <w:r>
              <w:rPr>
                <w:rFonts w:hint="eastAsia" w:cs="宋体"/>
                <w:b/>
                <w:bCs/>
                <w:color w:val="auto"/>
                <w:szCs w:val="21"/>
              </w:rPr>
              <w:t>（</w:t>
            </w:r>
            <w:r>
              <w:rPr>
                <w:rFonts w:hint="eastAsia" w:cs="宋体"/>
                <w:b/>
                <w:bCs/>
                <w:color w:val="auto"/>
                <w:szCs w:val="21"/>
                <w:lang w:eastAsia="zh-CN"/>
              </w:rPr>
              <w:t>人民币：</w:t>
            </w:r>
            <w:r>
              <w:rPr>
                <w:rFonts w:hint="eastAsia" w:cs="宋体"/>
                <w:b/>
                <w:bCs/>
                <w:color w:val="auto"/>
                <w:szCs w:val="21"/>
              </w:rPr>
              <w:t>元）</w:t>
            </w:r>
          </w:p>
        </w:tc>
        <w:tc>
          <w:tcPr>
            <w:tcW w:w="1454"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snapToGrid/>
              <w:spacing w:line="240" w:lineRule="auto"/>
              <w:jc w:val="center"/>
              <w:rPr>
                <w:rFonts w:hint="default" w:cs="宋体" w:eastAsiaTheme="minorEastAsia"/>
                <w:b/>
                <w:bCs/>
                <w:color w:val="auto"/>
                <w:szCs w:val="21"/>
                <w:lang w:val="en-US" w:eastAsia="zh-CN"/>
              </w:rPr>
            </w:pPr>
            <w:r>
              <w:rPr>
                <w:rFonts w:hint="eastAsia" w:cs="宋体"/>
                <w:b/>
                <w:bCs/>
                <w:color w:val="auto"/>
                <w:szCs w:val="21"/>
                <w:lang w:val="en-US" w:eastAsia="zh-CN"/>
              </w:rPr>
              <w:t>日常供货期（天）（小于等于7）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698" w:type="dxa"/>
            <w:tcBorders>
              <w:top w:val="single" w:color="auto" w:sz="4" w:space="0"/>
              <w:left w:val="single" w:color="auto" w:sz="4" w:space="0"/>
              <w:right w:val="single" w:color="auto" w:sz="4"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eastAsia="宋体" w:cs="宋体"/>
                <w:color w:val="000000"/>
                <w:kern w:val="0"/>
                <w:szCs w:val="21"/>
                <w:lang w:val="en-US" w:eastAsia="zh-CN"/>
              </w:rPr>
              <w:t>1</w:t>
            </w:r>
          </w:p>
        </w:tc>
        <w:tc>
          <w:tcPr>
            <w:tcW w:w="1614" w:type="dxa"/>
            <w:vAlign w:val="center"/>
          </w:tcPr>
          <w:p>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中、低压柱状标志桩</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草坪标志桩</w:t>
            </w:r>
          </w:p>
        </w:tc>
        <w:tc>
          <w:tcPr>
            <w:tcW w:w="1410" w:type="dxa"/>
            <w:vAlign w:val="center"/>
          </w:tcPr>
          <w:p>
            <w:pPr>
              <w:widowControl/>
              <w:jc w:val="center"/>
              <w:rPr>
                <w:rFonts w:hint="default" w:ascii="宋体" w:hAnsi="宋体" w:eastAsia="宋体" w:cs="宋体"/>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1300</w:t>
            </w:r>
          </w:p>
        </w:tc>
        <w:tc>
          <w:tcPr>
            <w:tcW w:w="1663" w:type="dxa"/>
            <w:vAlign w:val="center"/>
          </w:tcPr>
          <w:p>
            <w:pPr>
              <w:widowControl/>
              <w:jc w:val="center"/>
              <w:rPr>
                <w:rFonts w:hint="default" w:ascii="宋体" w:hAnsi="宋体" w:eastAsia="宋体" w:cs="宋体"/>
                <w:kern w:val="0"/>
                <w:szCs w:val="21"/>
                <w:lang w:val="en-US" w:eastAsia="zh-CN"/>
              </w:rPr>
            </w:pPr>
          </w:p>
        </w:tc>
        <w:tc>
          <w:tcPr>
            <w:tcW w:w="1680" w:type="dxa"/>
            <w:vAlign w:val="center"/>
          </w:tcPr>
          <w:p>
            <w:pPr>
              <w:widowControl/>
              <w:jc w:val="center"/>
              <w:rPr>
                <w:rFonts w:hint="default" w:ascii="宋体" w:hAnsi="宋体" w:eastAsia="宋体" w:cs="宋体"/>
                <w:kern w:val="0"/>
                <w:szCs w:val="21"/>
                <w:lang w:val="en-US" w:eastAsia="zh-CN"/>
              </w:rPr>
            </w:pPr>
          </w:p>
        </w:tc>
        <w:tc>
          <w:tcPr>
            <w:tcW w:w="1454" w:type="dxa"/>
            <w:vAlign w:val="center"/>
          </w:tcPr>
          <w:p>
            <w:pPr>
              <w:widowControl/>
              <w:jc w:val="center"/>
              <w:rPr>
                <w:rFonts w:hint="default" w:ascii="宋体" w:hAnsi="宋体" w:eastAsia="宋体" w:cs="宋体"/>
                <w:kern w:val="0"/>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698" w:type="dxa"/>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1614" w:type="dxa"/>
            <w:vAlign w:val="center"/>
          </w:tcPr>
          <w:p>
            <w:pPr>
              <w:widowControl/>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中、低压柱状标志桩</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灌木标志桩</w:t>
            </w:r>
          </w:p>
        </w:tc>
        <w:tc>
          <w:tcPr>
            <w:tcW w:w="1410" w:type="dxa"/>
            <w:vAlign w:val="center"/>
          </w:tcPr>
          <w:p>
            <w:pPr>
              <w:widowControl/>
              <w:jc w:val="center"/>
              <w:rPr>
                <w:rFonts w:hint="default" w:ascii="宋体" w:hAnsi="宋体" w:eastAsia="宋体" w:cs="宋体"/>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700</w:t>
            </w:r>
          </w:p>
        </w:tc>
        <w:tc>
          <w:tcPr>
            <w:tcW w:w="1663" w:type="dxa"/>
            <w:vAlign w:val="center"/>
          </w:tcPr>
          <w:p>
            <w:pPr>
              <w:widowControl/>
              <w:jc w:val="center"/>
              <w:rPr>
                <w:rFonts w:hint="default" w:ascii="宋体" w:hAnsi="宋体" w:eastAsia="宋体" w:cs="宋体"/>
                <w:kern w:val="0"/>
                <w:szCs w:val="21"/>
                <w:lang w:val="en-US" w:eastAsia="zh-CN"/>
              </w:rPr>
            </w:pPr>
          </w:p>
        </w:tc>
        <w:tc>
          <w:tcPr>
            <w:tcW w:w="1680" w:type="dxa"/>
            <w:vAlign w:val="center"/>
          </w:tcPr>
          <w:p>
            <w:pPr>
              <w:widowControl/>
              <w:jc w:val="center"/>
              <w:rPr>
                <w:rFonts w:hint="default" w:ascii="宋体" w:hAnsi="宋体" w:eastAsia="宋体" w:cs="宋体"/>
                <w:kern w:val="0"/>
                <w:szCs w:val="21"/>
                <w:lang w:val="en-US" w:eastAsia="zh-CN"/>
              </w:rPr>
            </w:pPr>
          </w:p>
        </w:tc>
        <w:tc>
          <w:tcPr>
            <w:tcW w:w="1454" w:type="dxa"/>
            <w:vAlign w:val="center"/>
          </w:tcPr>
          <w:p>
            <w:pPr>
              <w:widowControl/>
              <w:jc w:val="center"/>
              <w:rPr>
                <w:rFonts w:hint="default" w:ascii="宋体" w:hAnsi="宋体" w:eastAsia="宋体" w:cs="宋体"/>
                <w:kern w:val="0"/>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2312" w:type="dxa"/>
            <w:gridSpan w:val="2"/>
            <w:tcBorders>
              <w:left w:val="single" w:color="auto" w:sz="4" w:space="0"/>
              <w:bottom w:val="single" w:color="auto" w:sz="4"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响应总价</w:t>
            </w:r>
          </w:p>
        </w:tc>
        <w:tc>
          <w:tcPr>
            <w:tcW w:w="7710" w:type="dxa"/>
            <w:gridSpan w:val="5"/>
            <w:vAlign w:val="center"/>
          </w:tcPr>
          <w:p>
            <w:pPr>
              <w:widowControl/>
              <w:jc w:val="left"/>
              <w:rPr>
                <w:rFonts w:hint="eastAsia" w:ascii="宋体" w:hAnsi="宋体" w:eastAsia="宋体" w:cs="宋体"/>
                <w:kern w:val="0"/>
                <w:szCs w:val="21"/>
                <w:u w:val="single"/>
                <w:lang w:val="en-US" w:eastAsia="zh-CN"/>
              </w:rPr>
            </w:pPr>
            <w:r>
              <w:rPr>
                <w:rFonts w:hint="eastAsia" w:ascii="宋体" w:hAnsi="宋体" w:eastAsia="宋体" w:cs="宋体"/>
                <w:kern w:val="0"/>
                <w:szCs w:val="21"/>
                <w:lang w:val="en-US" w:eastAsia="zh-CN"/>
              </w:rPr>
              <w:t>小写：</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元</w:t>
            </w:r>
          </w:p>
          <w:p>
            <w:pPr>
              <w:widowControl/>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大写：</w:t>
            </w:r>
            <w:r>
              <w:rPr>
                <w:rFonts w:hint="eastAsia" w:ascii="宋体" w:hAnsi="宋体" w:eastAsia="宋体" w:cs="宋体"/>
                <w:kern w:val="0"/>
                <w:szCs w:val="21"/>
                <w:u w:val="single"/>
                <w:lang w:val="en-US" w:eastAsia="zh-CN"/>
              </w:rPr>
              <w:t xml:space="preserve">             </w:t>
            </w: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40" w:firstLineChars="200"/>
        <w:contextualSpacing/>
        <w:textAlignment w:val="auto"/>
        <w:rPr>
          <w:rFonts w:hint="eastAsia" w:ascii="宋体" w:hAnsi="宋体" w:eastAsia="宋体"/>
          <w:color w:val="0000FF"/>
          <w:sz w:val="22"/>
          <w:szCs w:val="22"/>
          <w:u w:val="none"/>
        </w:rPr>
      </w:pP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w:t>
      </w: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2、</w:t>
      </w:r>
      <w:r>
        <w:rPr>
          <w:rFonts w:hint="eastAsia" w:ascii="宋体" w:hAnsi="宋体" w:eastAsia="宋体"/>
          <w:color w:val="0000FF"/>
          <w:sz w:val="21"/>
          <w:szCs w:val="21"/>
          <w:u w:val="none"/>
        </w:rPr>
        <w:t>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、本项目供货期：合同有效期内，中标人应在</w:t>
      </w:r>
      <w:r>
        <w:rPr>
          <w:rFonts w:hint="eastAsia" w:ascii="宋体" w:hAnsi="宋体" w:eastAsia="宋体"/>
          <w:color w:val="0000FF"/>
          <w:sz w:val="21"/>
          <w:szCs w:val="21"/>
          <w:u w:val="none"/>
          <w:lang w:val="en-US" w:eastAsia="zh-CN"/>
        </w:rPr>
        <w:t>采购</w:t>
      </w:r>
      <w:r>
        <w:rPr>
          <w:rFonts w:hint="eastAsia" w:ascii="宋体" w:hAnsi="宋体" w:eastAsia="宋体"/>
          <w:color w:val="0000FF"/>
          <w:sz w:val="21"/>
          <w:szCs w:val="21"/>
          <w:u w:val="none"/>
        </w:rPr>
        <w:t>人</w:t>
      </w:r>
      <w:r>
        <w:rPr>
          <w:rFonts w:hint="eastAsia" w:ascii="宋体" w:hAnsi="宋体" w:eastAsia="宋体"/>
          <w:color w:val="0000FF"/>
          <w:sz w:val="21"/>
          <w:szCs w:val="21"/>
          <w:u w:val="none"/>
          <w:lang w:val="en-US" w:eastAsia="zh-CN"/>
        </w:rPr>
        <w:t>首批</w:t>
      </w:r>
      <w:r>
        <w:rPr>
          <w:rFonts w:hint="eastAsia" w:ascii="宋体" w:hAnsi="宋体" w:eastAsia="宋体"/>
          <w:color w:val="0000FF"/>
          <w:sz w:val="21"/>
          <w:szCs w:val="21"/>
          <w:u w:val="none"/>
        </w:rPr>
        <w:t>采购订单发出之日起</w:t>
      </w:r>
      <w:r>
        <w:rPr>
          <w:rFonts w:hint="eastAsia" w:ascii="宋体" w:hAnsi="宋体" w:eastAsia="宋体"/>
          <w:b w:val="0"/>
          <w:bCs w:val="0"/>
          <w:color w:val="0000FF"/>
          <w:sz w:val="21"/>
          <w:szCs w:val="21"/>
          <w:highlight w:val="yellow"/>
          <w:u w:val="none"/>
          <w:lang w:val="en-US" w:eastAsia="zh-CN"/>
        </w:rPr>
        <w:t>15</w:t>
      </w:r>
      <w:r>
        <w:rPr>
          <w:rFonts w:hint="eastAsia" w:ascii="宋体" w:hAnsi="宋体" w:eastAsia="宋体"/>
          <w:b w:val="0"/>
          <w:bCs w:val="0"/>
          <w:color w:val="0000FF"/>
          <w:sz w:val="21"/>
          <w:szCs w:val="21"/>
          <w:highlight w:val="yellow"/>
          <w:u w:val="none"/>
        </w:rPr>
        <w:t>日</w:t>
      </w:r>
      <w:r>
        <w:rPr>
          <w:rFonts w:hint="eastAsia" w:ascii="宋体" w:hAnsi="宋体" w:eastAsia="宋体"/>
          <w:color w:val="0000FF"/>
          <w:sz w:val="21"/>
          <w:szCs w:val="21"/>
          <w:u w:val="none"/>
        </w:rPr>
        <w:t>内把货物运抵</w:t>
      </w:r>
      <w:r>
        <w:rPr>
          <w:rFonts w:hint="eastAsia" w:ascii="宋体" w:hAnsi="宋体" w:eastAsia="宋体"/>
          <w:color w:val="0000FF"/>
          <w:sz w:val="21"/>
          <w:szCs w:val="21"/>
          <w:u w:val="none"/>
          <w:lang w:val="en-US" w:eastAsia="zh-CN"/>
        </w:rPr>
        <w:t>采购</w:t>
      </w:r>
      <w:r>
        <w:rPr>
          <w:rFonts w:hint="eastAsia" w:ascii="宋体" w:hAnsi="宋体" w:eastAsia="宋体"/>
          <w:color w:val="0000FF"/>
          <w:sz w:val="21"/>
          <w:szCs w:val="21"/>
          <w:u w:val="none"/>
        </w:rPr>
        <w:t>人深圳区域指定位置。</w:t>
      </w:r>
      <w:r>
        <w:rPr>
          <w:rFonts w:hint="eastAsia" w:ascii="宋体" w:hAnsi="宋体" w:eastAsia="宋体"/>
          <w:color w:val="0000FF"/>
          <w:sz w:val="21"/>
          <w:szCs w:val="21"/>
          <w:u w:val="none"/>
          <w:lang w:val="en-US" w:eastAsia="zh-CN"/>
        </w:rPr>
        <w:t>日常供货期需</w:t>
      </w:r>
      <w:r>
        <w:rPr>
          <w:rFonts w:hint="eastAsia" w:ascii="宋体" w:hAnsi="宋体" w:eastAsia="宋体"/>
          <w:color w:val="0000FF"/>
          <w:sz w:val="21"/>
          <w:szCs w:val="21"/>
          <w:u w:val="none"/>
        </w:rPr>
        <w:t>在</w:t>
      </w:r>
      <w:r>
        <w:rPr>
          <w:rFonts w:hint="eastAsia" w:ascii="宋体" w:hAnsi="宋体" w:eastAsia="宋体"/>
          <w:color w:val="0000FF"/>
          <w:sz w:val="21"/>
          <w:szCs w:val="21"/>
          <w:highlight w:val="yellow"/>
          <w:u w:val="none"/>
          <w:lang w:val="en-US" w:eastAsia="zh-CN"/>
        </w:rPr>
        <w:t>7</w:t>
      </w:r>
      <w:r>
        <w:rPr>
          <w:rFonts w:hint="eastAsia" w:ascii="宋体" w:hAnsi="宋体" w:eastAsia="宋体"/>
          <w:color w:val="0000FF"/>
          <w:sz w:val="21"/>
          <w:szCs w:val="21"/>
          <w:u w:val="none"/>
        </w:rPr>
        <w:t>天内完成供货。</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、本表格中规模为</w:t>
      </w:r>
      <w:r>
        <w:rPr>
          <w:rFonts w:hint="eastAsia" w:ascii="宋体" w:hAnsi="宋体" w:eastAsia="宋体"/>
          <w:color w:val="0000FF"/>
          <w:sz w:val="21"/>
          <w:szCs w:val="21"/>
          <w:u w:val="none"/>
          <w:lang w:val="en-US" w:eastAsia="zh-CN"/>
        </w:rPr>
        <w:t>固定采购</w:t>
      </w:r>
      <w:r>
        <w:rPr>
          <w:rFonts w:hint="eastAsia" w:ascii="宋体" w:hAnsi="宋体" w:eastAsia="宋体"/>
          <w:color w:val="0000FF"/>
          <w:sz w:val="21"/>
          <w:szCs w:val="21"/>
          <w:u w:val="none"/>
        </w:rPr>
        <w:t>规模</w:t>
      </w:r>
      <w:r>
        <w:rPr>
          <w:rFonts w:hint="eastAsia" w:ascii="宋体" w:hAnsi="宋体" w:eastAsia="宋体"/>
          <w:color w:val="0000FF"/>
          <w:sz w:val="21"/>
          <w:szCs w:val="21"/>
          <w:u w:val="none"/>
          <w:lang w:eastAsia="zh-CN"/>
        </w:rPr>
        <w:t>，</w:t>
      </w:r>
      <w:r>
        <w:rPr>
          <w:rFonts w:hint="eastAsia" w:ascii="宋体" w:hAnsi="宋体" w:eastAsia="宋体"/>
          <w:color w:val="0000FF"/>
          <w:sz w:val="21"/>
          <w:szCs w:val="21"/>
          <w:u w:val="none"/>
        </w:rPr>
        <w:t>结算价=单项报价*实际采购量。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cs="仿宋_GB2312"/>
          <w:szCs w:val="21"/>
        </w:rPr>
        <w:t>日期：     年    月</w:t>
      </w:r>
    </w:p>
    <w:p>
      <w:pPr>
        <w:rPr>
          <w:rFonts w:hint="eastAsia"/>
          <w:lang w:val="en-US" w:eastAsia="zh-CN"/>
        </w:rPr>
      </w:pPr>
    </w:p>
    <w:p>
      <w:pPr>
        <w:rPr>
          <w:rFonts w:ascii="宋体" w:hAnsi="宋体" w:eastAsia="宋体"/>
          <w:szCs w:val="21"/>
        </w:rPr>
      </w:pPr>
      <w:r>
        <w:rPr>
          <w:rFonts w:ascii="宋体" w:hAnsi="宋体" w:eastAsia="宋体"/>
          <w:szCs w:val="21"/>
        </w:rPr>
        <w:br w:type="page"/>
      </w:r>
    </w:p>
    <w:p>
      <w:pPr>
        <w:pStyle w:val="20"/>
        <w:numPr>
          <w:ilvl w:val="0"/>
          <w:numId w:val="12"/>
        </w:numPr>
        <w:jc w:val="center"/>
        <w:rPr>
          <w:rFonts w:hint="eastAsia" w:ascii="黑体" w:hAnsi="黑体" w:eastAsia="黑体"/>
          <w:color w:val="auto"/>
          <w:sz w:val="28"/>
          <w:szCs w:val="28"/>
          <w:lang w:val="en-US" w:eastAsia="zh-CN"/>
        </w:rPr>
      </w:pPr>
      <w:r>
        <w:rPr>
          <w:rFonts w:hint="eastAsia" w:ascii="黑体" w:hAnsi="黑体" w:eastAsia="黑体"/>
          <w:color w:val="auto"/>
          <w:sz w:val="28"/>
          <w:szCs w:val="28"/>
          <w:lang w:val="en-US" w:eastAsia="zh-CN"/>
        </w:rPr>
        <w:t>技术要求</w:t>
      </w:r>
    </w:p>
    <w:p>
      <w:pPr>
        <w:pStyle w:val="3"/>
        <w:spacing w:before="0" w:after="0" w:line="360" w:lineRule="auto"/>
        <w:jc w:val="center"/>
        <w:rPr>
          <w:rFonts w:hint="eastAsia" w:ascii="黑体" w:hAnsi="黑体" w:eastAsia="黑体"/>
          <w:b w:val="0"/>
          <w:sz w:val="32"/>
          <w:szCs w:val="32"/>
        </w:rPr>
      </w:pPr>
      <w:bookmarkStart w:id="7" w:name="_Toc41399435"/>
      <w:bookmarkStart w:id="8" w:name="_Toc14285"/>
    </w:p>
    <w:p>
      <w:pPr>
        <w:pStyle w:val="3"/>
        <w:spacing w:before="0" w:after="0" w:line="360" w:lineRule="auto"/>
        <w:jc w:val="center"/>
        <w:rPr>
          <w:rFonts w:ascii="黑体" w:hAnsi="黑体" w:eastAsia="黑体"/>
          <w:b w:val="0"/>
          <w:sz w:val="32"/>
          <w:szCs w:val="32"/>
        </w:rPr>
      </w:pPr>
      <w:r>
        <w:rPr>
          <w:rFonts w:hint="eastAsia" w:ascii="黑体" w:hAnsi="黑体" w:eastAsia="黑体"/>
          <w:b w:val="0"/>
          <w:sz w:val="32"/>
          <w:szCs w:val="32"/>
        </w:rPr>
        <w:t>前  言</w:t>
      </w:r>
      <w:bookmarkEnd w:id="7"/>
      <w:bookmarkEnd w:id="8"/>
    </w:p>
    <w:p>
      <w:pPr>
        <w:spacing w:line="360" w:lineRule="auto"/>
        <w:ind w:firstLine="480" w:firstLineChars="200"/>
        <w:rPr>
          <w:rFonts w:ascii="宋体" w:hAnsi="宋体" w:cs="宋体"/>
          <w:sz w:val="24"/>
          <w:szCs w:val="24"/>
        </w:rPr>
      </w:pPr>
      <w:r>
        <w:rPr>
          <w:rFonts w:hint="eastAsia" w:ascii="宋体" w:hAnsi="宋体" w:cs="宋体"/>
          <w:sz w:val="24"/>
          <w:szCs w:val="24"/>
        </w:rPr>
        <w:t>本标准按照GB/T 1.1-2020给出的规则起草。</w:t>
      </w:r>
    </w:p>
    <w:p>
      <w:pPr>
        <w:spacing w:line="360" w:lineRule="auto"/>
        <w:ind w:firstLine="480" w:firstLineChars="200"/>
        <w:rPr>
          <w:rFonts w:ascii="宋体" w:hAnsi="宋体" w:cs="宋体"/>
          <w:sz w:val="24"/>
          <w:szCs w:val="24"/>
        </w:rPr>
      </w:pPr>
      <w:r>
        <w:rPr>
          <w:rFonts w:hint="eastAsia" w:ascii="宋体" w:hAnsi="宋体" w:cs="宋体"/>
          <w:sz w:val="24"/>
          <w:szCs w:val="24"/>
        </w:rPr>
        <w:t>本标准由</w:t>
      </w:r>
      <w:r>
        <w:rPr>
          <w:rFonts w:hint="eastAsia" w:ascii="宋体" w:hAnsi="宋体" w:cs="宋体"/>
          <w:sz w:val="24"/>
          <w:szCs w:val="24"/>
          <w:lang w:val="en-US" w:eastAsia="zh-CN"/>
        </w:rPr>
        <w:t>科技</w:t>
      </w:r>
      <w:r>
        <w:rPr>
          <w:rFonts w:hint="eastAsia" w:ascii="宋体" w:hAnsi="宋体" w:cs="宋体"/>
          <w:sz w:val="24"/>
          <w:szCs w:val="24"/>
        </w:rPr>
        <w:t>信息部提出并归口。</w:t>
      </w:r>
    </w:p>
    <w:p>
      <w:pPr>
        <w:spacing w:line="360" w:lineRule="auto"/>
        <w:ind w:firstLine="480" w:firstLineChars="200"/>
        <w:rPr>
          <w:rFonts w:hint="eastAsia"/>
          <w:sz w:val="24"/>
          <w:szCs w:val="24"/>
        </w:rPr>
      </w:pPr>
      <w:r>
        <w:rPr>
          <w:rFonts w:hint="eastAsia"/>
          <w:sz w:val="24"/>
          <w:szCs w:val="24"/>
        </w:rPr>
        <w:t>本标准共有</w:t>
      </w:r>
      <w:r>
        <w:rPr>
          <w:rFonts w:hint="eastAsia"/>
          <w:sz w:val="24"/>
          <w:szCs w:val="24"/>
          <w:lang w:val="en-US" w:eastAsia="zh-CN"/>
        </w:rPr>
        <w:t>6</w:t>
      </w:r>
      <w:r>
        <w:rPr>
          <w:rFonts w:hint="eastAsia"/>
          <w:sz w:val="24"/>
          <w:szCs w:val="24"/>
        </w:rPr>
        <w:t>个章节，主要内容有：范围、规范性引用文件、设计选用要求、外观及结构尺寸、</w:t>
      </w:r>
      <w:r>
        <w:rPr>
          <w:rFonts w:hint="eastAsia"/>
          <w:sz w:val="24"/>
          <w:szCs w:val="24"/>
          <w:lang w:val="en-US" w:eastAsia="zh-CN"/>
        </w:rPr>
        <w:t>检验规则</w:t>
      </w:r>
      <w:r>
        <w:rPr>
          <w:rFonts w:hint="eastAsia"/>
          <w:sz w:val="24"/>
          <w:szCs w:val="24"/>
        </w:rPr>
        <w:t>、产品质量及质量保证。</w:t>
      </w:r>
    </w:p>
    <w:p>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主要修订内容如下：</w:t>
      </w:r>
    </w:p>
    <w:p>
      <w:pPr>
        <w:numPr>
          <w:ilvl w:val="0"/>
          <w:numId w:val="13"/>
        </w:numPr>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增加草坪标志桩、</w:t>
      </w:r>
      <w:r>
        <w:rPr>
          <w:rFonts w:hint="eastAsia" w:ascii="宋体" w:hAnsi="宋体"/>
          <w:sz w:val="24"/>
          <w:szCs w:val="24"/>
          <w:highlight w:val="none"/>
          <w:lang w:val="en-US" w:eastAsia="zh-CN"/>
        </w:rPr>
        <w:t>灌木标志桩</w:t>
      </w:r>
      <w:r>
        <w:rPr>
          <w:rFonts w:hint="eastAsia" w:ascii="宋体" w:hAnsi="宋体" w:cs="宋体"/>
          <w:sz w:val="24"/>
          <w:szCs w:val="24"/>
          <w:highlight w:val="none"/>
          <w:lang w:val="en-US" w:eastAsia="zh-CN"/>
        </w:rPr>
        <w:t>两种中、低压柱状标志桩，及其设计、制造、选用要求。</w:t>
      </w:r>
    </w:p>
    <w:p>
      <w:pPr>
        <w:numPr>
          <w:ilvl w:val="0"/>
          <w:numId w:val="13"/>
        </w:numPr>
        <w:spacing w:line="360" w:lineRule="auto"/>
        <w:ind w:firstLine="480" w:firstLineChars="20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增加草坪标志桩、</w:t>
      </w:r>
      <w:r>
        <w:rPr>
          <w:rFonts w:hint="eastAsia" w:ascii="宋体" w:hAnsi="宋体"/>
          <w:sz w:val="24"/>
          <w:szCs w:val="24"/>
          <w:highlight w:val="none"/>
          <w:lang w:val="en-US" w:eastAsia="zh-CN"/>
        </w:rPr>
        <w:t>灌木标志桩</w:t>
      </w:r>
      <w:r>
        <w:rPr>
          <w:rFonts w:hint="eastAsia" w:ascii="宋体" w:hAnsi="宋体" w:cs="宋体"/>
          <w:sz w:val="24"/>
          <w:szCs w:val="24"/>
          <w:highlight w:val="none"/>
          <w:lang w:val="en-US" w:eastAsia="zh-CN"/>
        </w:rPr>
        <w:t>两种高、次高压柱状标志桩，及其设计、制造、选用要求。</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执行过程中如有意见或建议，请联系技术信息部（联系邮箱：TIT@szgas.com.cn），以供今后修订参考。</w:t>
      </w:r>
    </w:p>
    <w:p>
      <w:pPr>
        <w:rPr>
          <w:rFonts w:hint="default"/>
          <w:sz w:val="21"/>
          <w:szCs w:val="21"/>
          <w:lang w:val="en-US" w:eastAsia="zh-CN"/>
        </w:rPr>
      </w:pPr>
      <w:r>
        <w:rPr>
          <w:rFonts w:hint="default"/>
          <w:sz w:val="21"/>
          <w:szCs w:val="21"/>
          <w:lang w:val="en-US" w:eastAsia="zh-CN"/>
        </w:rPr>
        <w:br w:type="page"/>
      </w:r>
    </w:p>
    <w:p>
      <w:pPr>
        <w:pStyle w:val="3"/>
        <w:numPr>
          <w:ilvl w:val="0"/>
          <w:numId w:val="14"/>
        </w:numPr>
        <w:spacing w:before="0" w:after="0" w:line="300" w:lineRule="auto"/>
        <w:rPr>
          <w:rFonts w:ascii="黑体" w:hAnsi="黑体" w:eastAsia="黑体"/>
          <w:b w:val="0"/>
          <w:sz w:val="28"/>
          <w:szCs w:val="28"/>
        </w:rPr>
      </w:pPr>
      <w:r>
        <w:rPr>
          <w:rFonts w:hint="eastAsia" w:ascii="黑体" w:hAnsi="黑体" w:eastAsia="黑体"/>
          <w:b w:val="0"/>
          <w:sz w:val="28"/>
          <w:szCs w:val="28"/>
        </w:rPr>
        <w:t xml:space="preserve"> </w:t>
      </w:r>
      <w:bookmarkStart w:id="9" w:name="_Toc6810"/>
      <w:r>
        <w:rPr>
          <w:rFonts w:hint="eastAsia" w:ascii="黑体" w:hAnsi="黑体" w:eastAsia="黑体"/>
          <w:b w:val="0"/>
          <w:sz w:val="28"/>
          <w:szCs w:val="28"/>
        </w:rPr>
        <w:t>范围</w:t>
      </w:r>
      <w:bookmarkEnd w:id="9"/>
    </w:p>
    <w:p>
      <w:pPr>
        <w:spacing w:line="300" w:lineRule="auto"/>
        <w:ind w:firstLine="480" w:firstLineChars="200"/>
        <w:rPr>
          <w:rFonts w:ascii="宋体" w:hAnsi="宋体"/>
          <w:sz w:val="24"/>
          <w:szCs w:val="24"/>
        </w:rPr>
      </w:pPr>
      <w:r>
        <w:rPr>
          <w:rFonts w:hint="eastAsia" w:ascii="宋体" w:hAnsi="宋体"/>
          <w:sz w:val="24"/>
          <w:szCs w:val="24"/>
        </w:rPr>
        <w:t>为规定集团公司燃气用标志桩的设计选用要求及主要技术质量要求，特制定本标准。</w:t>
      </w:r>
    </w:p>
    <w:p>
      <w:pPr>
        <w:spacing w:line="300" w:lineRule="auto"/>
        <w:ind w:firstLine="480" w:firstLineChars="200"/>
        <w:rPr>
          <w:rFonts w:ascii="宋体" w:hAnsi="宋体"/>
          <w:sz w:val="24"/>
          <w:szCs w:val="24"/>
        </w:rPr>
      </w:pPr>
      <w:r>
        <w:rPr>
          <w:rFonts w:hint="eastAsia" w:ascii="宋体" w:hAnsi="宋体"/>
          <w:sz w:val="24"/>
          <w:szCs w:val="24"/>
        </w:rPr>
        <w:t>本标准适用于集团公司燃气用标志桩的技术选型。</w:t>
      </w:r>
    </w:p>
    <w:p>
      <w:pPr>
        <w:spacing w:line="300" w:lineRule="auto"/>
        <w:ind w:firstLine="480" w:firstLineChars="200"/>
        <w:rPr>
          <w:rFonts w:ascii="宋体" w:hAnsi="宋体"/>
          <w:sz w:val="24"/>
          <w:szCs w:val="24"/>
        </w:rPr>
      </w:pPr>
      <w:r>
        <w:rPr>
          <w:rFonts w:hint="eastAsia" w:ascii="宋体" w:hAnsi="宋体"/>
          <w:sz w:val="24"/>
          <w:szCs w:val="24"/>
        </w:rPr>
        <w:t>投资系统燃气用标志桩的技术选型可参照执行。</w:t>
      </w:r>
    </w:p>
    <w:p>
      <w:pPr>
        <w:pStyle w:val="3"/>
        <w:numPr>
          <w:ilvl w:val="0"/>
          <w:numId w:val="14"/>
        </w:numPr>
        <w:spacing w:before="0" w:after="0" w:line="300" w:lineRule="auto"/>
        <w:rPr>
          <w:rFonts w:ascii="黑体" w:hAnsi="黑体" w:eastAsia="黑体"/>
          <w:b w:val="0"/>
          <w:sz w:val="28"/>
          <w:szCs w:val="28"/>
        </w:rPr>
      </w:pPr>
      <w:r>
        <w:rPr>
          <w:rFonts w:hint="eastAsia" w:ascii="黑体" w:hAnsi="黑体" w:eastAsia="黑体"/>
          <w:b w:val="0"/>
          <w:sz w:val="28"/>
          <w:szCs w:val="28"/>
        </w:rPr>
        <w:t xml:space="preserve"> </w:t>
      </w:r>
      <w:bookmarkStart w:id="10" w:name="_Toc17656"/>
      <w:r>
        <w:rPr>
          <w:rFonts w:hint="eastAsia" w:ascii="黑体" w:hAnsi="黑体" w:eastAsia="黑体"/>
          <w:b w:val="0"/>
          <w:sz w:val="28"/>
          <w:szCs w:val="28"/>
        </w:rPr>
        <w:t>规范性引用文件</w:t>
      </w:r>
      <w:bookmarkEnd w:id="10"/>
    </w:p>
    <w:p>
      <w:pPr>
        <w:spacing w:line="300" w:lineRule="auto"/>
        <w:ind w:firstLine="480" w:firstLineChars="200"/>
        <w:rPr>
          <w:rFonts w:ascii="宋体" w:hAnsi="宋体"/>
          <w:sz w:val="24"/>
          <w:szCs w:val="24"/>
        </w:rPr>
      </w:pPr>
      <w:r>
        <w:rPr>
          <w:rFonts w:hint="eastAsia" w:ascii="宋体" w:hAnsi="宋体"/>
          <w:sz w:val="24"/>
          <w:szCs w:val="24"/>
        </w:rPr>
        <w:t>下列文件对于本文件的应用是必不可少的。凡是注日期的引用文件，仅注日期的版本适用于本文件。凡是不注日期的引用文件，其最新版本（包括所有的修改版）适用于本文件。</w:t>
      </w:r>
    </w:p>
    <w:p>
      <w:pPr>
        <w:spacing w:line="300" w:lineRule="auto"/>
        <w:ind w:firstLine="480" w:firstLineChars="200"/>
        <w:rPr>
          <w:rFonts w:hint="eastAsia" w:ascii="宋体" w:hAnsi="宋体"/>
          <w:sz w:val="24"/>
          <w:szCs w:val="24"/>
        </w:rPr>
      </w:pPr>
      <w:r>
        <w:rPr>
          <w:rFonts w:hint="eastAsia" w:ascii="宋体" w:hAnsi="宋体"/>
          <w:sz w:val="24"/>
          <w:szCs w:val="24"/>
        </w:rPr>
        <w:t>GB 8924  纤维增强塑料燃烧性能试验方法氧指数法</w:t>
      </w:r>
    </w:p>
    <w:p>
      <w:pPr>
        <w:spacing w:line="300" w:lineRule="auto"/>
        <w:ind w:firstLine="480" w:firstLineChars="200"/>
        <w:rPr>
          <w:rFonts w:hint="eastAsia" w:ascii="宋体" w:hAnsi="宋体"/>
          <w:sz w:val="24"/>
          <w:szCs w:val="24"/>
        </w:rPr>
      </w:pPr>
      <w:r>
        <w:rPr>
          <w:rFonts w:hint="eastAsia" w:ascii="宋体" w:hAnsi="宋体"/>
          <w:sz w:val="24"/>
          <w:szCs w:val="24"/>
        </w:rPr>
        <w:t>GB/T 1348  球墨铸铁件</w:t>
      </w:r>
    </w:p>
    <w:p>
      <w:pPr>
        <w:spacing w:line="300" w:lineRule="auto"/>
        <w:ind w:firstLine="480" w:firstLineChars="200"/>
        <w:rPr>
          <w:rFonts w:hint="eastAsia" w:ascii="宋体" w:hAnsi="宋体"/>
          <w:sz w:val="24"/>
          <w:szCs w:val="24"/>
        </w:rPr>
      </w:pPr>
      <w:r>
        <w:rPr>
          <w:rFonts w:hint="eastAsia" w:ascii="宋体" w:hAnsi="宋体"/>
          <w:sz w:val="24"/>
          <w:szCs w:val="24"/>
        </w:rPr>
        <w:t>GB/T 1447  纤维增强塑料拉伸性能试验方法</w:t>
      </w:r>
    </w:p>
    <w:p>
      <w:pPr>
        <w:spacing w:line="300" w:lineRule="auto"/>
        <w:ind w:firstLine="480" w:firstLineChars="200"/>
        <w:rPr>
          <w:rFonts w:hint="eastAsia" w:ascii="宋体" w:hAnsi="宋体"/>
          <w:sz w:val="24"/>
          <w:szCs w:val="24"/>
        </w:rPr>
      </w:pPr>
      <w:r>
        <w:rPr>
          <w:rFonts w:hint="eastAsia" w:ascii="宋体" w:hAnsi="宋体"/>
          <w:sz w:val="24"/>
          <w:szCs w:val="24"/>
        </w:rPr>
        <w:t>GB/T 1449  纤维增强塑料弯曲性能试验方法</w:t>
      </w:r>
    </w:p>
    <w:p>
      <w:pPr>
        <w:spacing w:line="300" w:lineRule="auto"/>
        <w:ind w:firstLine="480" w:firstLineChars="200"/>
        <w:rPr>
          <w:rFonts w:hint="eastAsia" w:ascii="宋体" w:hAnsi="宋体"/>
          <w:sz w:val="24"/>
          <w:szCs w:val="24"/>
        </w:rPr>
      </w:pPr>
      <w:r>
        <w:rPr>
          <w:rFonts w:hint="eastAsia" w:ascii="宋体" w:hAnsi="宋体"/>
          <w:sz w:val="24"/>
          <w:szCs w:val="24"/>
        </w:rPr>
        <w:t>GB/T 1462  纤维增强塑料吸水性试验方法</w:t>
      </w:r>
    </w:p>
    <w:p>
      <w:pPr>
        <w:spacing w:line="300" w:lineRule="auto"/>
        <w:ind w:firstLine="480" w:firstLineChars="200"/>
        <w:rPr>
          <w:rFonts w:hint="eastAsia" w:ascii="宋体" w:hAnsi="宋体"/>
          <w:sz w:val="24"/>
          <w:szCs w:val="24"/>
        </w:rPr>
      </w:pPr>
      <w:r>
        <w:rPr>
          <w:rFonts w:hint="eastAsia" w:ascii="宋体" w:hAnsi="宋体"/>
          <w:sz w:val="24"/>
          <w:szCs w:val="24"/>
        </w:rPr>
        <w:t>GBT 16422.2  塑料 实验室光源暴露试验方法 第2部分氙弧灯</w:t>
      </w:r>
    </w:p>
    <w:p>
      <w:pPr>
        <w:spacing w:line="300" w:lineRule="auto"/>
        <w:ind w:firstLine="480" w:firstLineChars="200"/>
        <w:rPr>
          <w:rFonts w:ascii="宋体" w:hAnsi="宋体"/>
          <w:sz w:val="24"/>
          <w:szCs w:val="24"/>
        </w:rPr>
      </w:pPr>
      <w:r>
        <w:rPr>
          <w:rFonts w:hint="eastAsia" w:ascii="宋体" w:hAnsi="宋体"/>
          <w:sz w:val="24"/>
          <w:szCs w:val="24"/>
        </w:rPr>
        <w:t>CJJ/T 153  城镇燃气标志标准</w:t>
      </w:r>
    </w:p>
    <w:p>
      <w:pPr>
        <w:pStyle w:val="3"/>
        <w:numPr>
          <w:ilvl w:val="0"/>
          <w:numId w:val="14"/>
        </w:numPr>
        <w:spacing w:before="0" w:after="0" w:line="300" w:lineRule="auto"/>
        <w:rPr>
          <w:rFonts w:ascii="黑体" w:hAnsi="黑体" w:eastAsia="黑体"/>
          <w:b w:val="0"/>
          <w:sz w:val="28"/>
          <w:szCs w:val="28"/>
        </w:rPr>
      </w:pPr>
      <w:bookmarkStart w:id="11" w:name="_Toc18622"/>
      <w:bookmarkStart w:id="12" w:name="_Toc21959082"/>
      <w:bookmarkStart w:id="13" w:name="_Toc243273795"/>
      <w:r>
        <w:rPr>
          <w:rFonts w:hint="eastAsia" w:ascii="黑体" w:hAnsi="黑体" w:eastAsia="黑体"/>
          <w:b w:val="0"/>
          <w:sz w:val="28"/>
          <w:szCs w:val="28"/>
        </w:rPr>
        <w:t>设计选用要求</w:t>
      </w:r>
      <w:bookmarkEnd w:id="11"/>
    </w:p>
    <w:p>
      <w:pPr>
        <w:spacing w:line="300" w:lineRule="auto"/>
        <w:ind w:firstLine="480" w:firstLineChars="200"/>
        <w:rPr>
          <w:rFonts w:hint="eastAsia" w:ascii="宋体" w:hAnsi="宋体"/>
          <w:sz w:val="24"/>
          <w:szCs w:val="24"/>
        </w:rPr>
      </w:pPr>
      <w:bookmarkStart w:id="14" w:name="_Hlk56935183"/>
      <w:r>
        <w:rPr>
          <w:rFonts w:hint="eastAsia" w:ascii="宋体" w:hAnsi="宋体"/>
          <w:sz w:val="24"/>
          <w:szCs w:val="24"/>
          <w:lang w:val="en-US" w:eastAsia="zh-CN"/>
        </w:rPr>
        <w:t>3.1 市政路、人行道等场景优先使用</w:t>
      </w:r>
      <w:r>
        <w:rPr>
          <w:rFonts w:hint="eastAsia" w:ascii="宋体" w:hAnsi="宋体"/>
          <w:sz w:val="24"/>
          <w:szCs w:val="24"/>
        </w:rPr>
        <w:t>地面标志桩</w:t>
      </w:r>
    </w:p>
    <w:p>
      <w:pPr>
        <w:spacing w:line="30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3.2 道路绿化等公共绿地等植被不高于8厘米的草坪等场景优先使用草坪标志桩</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3.3 道路绿化等公共绿地等植被高于8厘米但低于25厘米的低矮灌木等场景优先使用灌木标志桩</w:t>
      </w:r>
    </w:p>
    <w:p>
      <w:pPr>
        <w:spacing w:line="30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3.4 其余场景及道路绿化等公共绿地等植被高于25厘米的灌木场景优先使用通用型标志桩</w:t>
      </w:r>
    </w:p>
    <w:bookmarkEnd w:id="14"/>
    <w:p>
      <w:pPr>
        <w:pStyle w:val="3"/>
        <w:numPr>
          <w:ilvl w:val="0"/>
          <w:numId w:val="14"/>
        </w:numPr>
        <w:spacing w:before="0" w:after="0" w:line="300" w:lineRule="auto"/>
        <w:ind w:left="360" w:leftChars="0" w:hanging="360" w:firstLineChars="0"/>
        <w:rPr>
          <w:rFonts w:ascii="黑体" w:hAnsi="黑体" w:eastAsia="黑体"/>
          <w:b w:val="0"/>
          <w:sz w:val="28"/>
          <w:szCs w:val="28"/>
        </w:rPr>
      </w:pPr>
      <w:bookmarkStart w:id="15" w:name="_Toc825"/>
      <w:r>
        <w:rPr>
          <w:rFonts w:hint="eastAsia" w:ascii="黑体" w:hAnsi="黑体" w:eastAsia="黑体"/>
          <w:b w:val="0"/>
          <w:sz w:val="28"/>
          <w:szCs w:val="28"/>
        </w:rPr>
        <w:t>外观及结构尺寸</w:t>
      </w:r>
      <w:bookmarkEnd w:id="15"/>
    </w:p>
    <w:p>
      <w:pPr>
        <w:pStyle w:val="63"/>
        <w:spacing w:before="0" w:after="0" w:line="300" w:lineRule="auto"/>
        <w:jc w:val="left"/>
        <w:rPr>
          <w:rFonts w:hint="eastAsia" w:ascii="黑体" w:hAnsi="黑体" w:eastAsia="黑体"/>
          <w:b w:val="0"/>
          <w:sz w:val="24"/>
          <w:szCs w:val="24"/>
        </w:rPr>
      </w:pPr>
      <w:r>
        <w:rPr>
          <w:rFonts w:hint="eastAsia" w:ascii="黑体" w:hAnsi="黑体" w:eastAsia="黑体"/>
          <w:b w:val="0"/>
          <w:sz w:val="24"/>
          <w:szCs w:val="24"/>
          <w:lang w:val="en-US" w:eastAsia="zh-CN"/>
        </w:rPr>
        <w:t>4</w:t>
      </w:r>
      <w:r>
        <w:rPr>
          <w:rFonts w:hint="eastAsia" w:ascii="黑体" w:hAnsi="黑体" w:eastAsia="黑体"/>
          <w:b w:val="0"/>
          <w:sz w:val="24"/>
          <w:szCs w:val="24"/>
        </w:rPr>
        <w:t>.1 地面标志桩</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textAlignment w:val="baseline"/>
        <w:rPr>
          <w:rFonts w:hint="default" w:ascii="宋体" w:hAnsi="宋体"/>
          <w:sz w:val="24"/>
          <w:szCs w:val="24"/>
          <w:lang w:val="en-US" w:eastAsia="zh-CN"/>
        </w:rPr>
      </w:pPr>
      <w:r>
        <w:rPr>
          <w:rFonts w:hint="eastAsia" w:ascii="宋体" w:hAnsi="宋体"/>
          <w:sz w:val="24"/>
          <w:szCs w:val="24"/>
          <w:lang w:val="en-US" w:eastAsia="zh-CN"/>
        </w:rPr>
        <w:t>4.1.1 复合材料地面标志桩</w:t>
      </w:r>
    </w:p>
    <w:p>
      <w:pPr>
        <w:spacing w:line="300" w:lineRule="auto"/>
        <w:ind w:firstLine="480" w:firstLineChars="200"/>
        <w:rPr>
          <w:rFonts w:hint="eastAsia" w:ascii="宋体" w:hAnsi="宋体"/>
          <w:sz w:val="24"/>
          <w:szCs w:val="24"/>
        </w:rPr>
      </w:pPr>
      <w:r>
        <w:rPr>
          <w:rFonts w:hint="eastAsia" w:ascii="宋体" w:hAnsi="宋体"/>
          <w:sz w:val="24"/>
          <w:szCs w:val="24"/>
        </w:rPr>
        <w:t>1、材质：桩体材质宜采用玻璃钢纤维树脂（或聚合物基复合材料），材料满足不可回收，防盗性能高，无任何使用缺陷，使用寿命要求在30年以上。</w:t>
      </w:r>
    </w:p>
    <w:p>
      <w:pPr>
        <w:spacing w:line="300" w:lineRule="auto"/>
        <w:ind w:firstLine="480" w:firstLineChars="200"/>
        <w:rPr>
          <w:rFonts w:hint="eastAsia" w:ascii="宋体" w:hAnsi="宋体"/>
          <w:sz w:val="24"/>
          <w:szCs w:val="24"/>
        </w:rPr>
      </w:pPr>
      <w:r>
        <w:rPr>
          <w:rFonts w:hint="eastAsia" w:ascii="宋体" w:hAnsi="宋体"/>
          <w:sz w:val="24"/>
          <w:szCs w:val="24"/>
        </w:rPr>
        <w:t>随货提供原材料合格证书</w:t>
      </w:r>
    </w:p>
    <w:p>
      <w:pPr>
        <w:spacing w:line="300" w:lineRule="auto"/>
        <w:ind w:firstLine="480" w:firstLineChars="200"/>
        <w:rPr>
          <w:rFonts w:hint="eastAsia" w:ascii="宋体" w:hAnsi="宋体"/>
          <w:sz w:val="24"/>
          <w:szCs w:val="24"/>
        </w:rPr>
      </w:pPr>
      <w:r>
        <w:rPr>
          <w:rFonts w:hint="eastAsia" w:ascii="宋体" w:hAnsi="宋体"/>
          <w:sz w:val="24"/>
          <w:szCs w:val="24"/>
        </w:rPr>
        <w:t>2、结构要求：</w:t>
      </w:r>
    </w:p>
    <w:p>
      <w:pPr>
        <w:spacing w:line="300" w:lineRule="auto"/>
        <w:ind w:firstLine="480" w:firstLineChars="200"/>
        <w:rPr>
          <w:rFonts w:hint="eastAsia" w:ascii="宋体" w:hAnsi="宋体"/>
          <w:sz w:val="24"/>
          <w:szCs w:val="24"/>
        </w:rPr>
      </w:pPr>
      <w:r>
        <w:rPr>
          <w:rFonts w:hint="eastAsia" w:ascii="宋体" w:hAnsi="宋体"/>
          <w:sz w:val="24"/>
          <w:szCs w:val="24"/>
        </w:rPr>
        <w:t>高温模压成型，丁字型结构，埋地部分加凹槽便于固定标志桩。</w:t>
      </w:r>
    </w:p>
    <w:p>
      <w:pPr>
        <w:spacing w:line="300" w:lineRule="auto"/>
        <w:ind w:firstLine="480" w:firstLineChars="200"/>
        <w:rPr>
          <w:rFonts w:hint="eastAsia" w:ascii="宋体" w:hAnsi="宋体"/>
          <w:sz w:val="24"/>
          <w:szCs w:val="24"/>
        </w:rPr>
      </w:pPr>
      <w:r>
        <w:rPr>
          <w:rFonts w:hint="eastAsia" w:ascii="宋体" w:hAnsi="宋体"/>
          <w:sz w:val="24"/>
          <w:szCs w:val="24"/>
        </w:rPr>
        <w:t>设计尺寸为：上表面规格为120mm×120mm，上表面厚度为20mm，梯形埋地固定端长度100mm。</w:t>
      </w:r>
    </w:p>
    <w:p>
      <w:pPr>
        <w:spacing w:line="300" w:lineRule="auto"/>
        <w:ind w:firstLine="480" w:firstLineChars="200"/>
        <w:rPr>
          <w:rFonts w:hint="eastAsia" w:ascii="宋体" w:hAnsi="宋体"/>
          <w:sz w:val="24"/>
          <w:szCs w:val="24"/>
        </w:rPr>
      </w:pPr>
      <w:r>
        <w:rPr>
          <w:rFonts w:hint="eastAsia" w:ascii="宋体" w:hAnsi="宋体"/>
          <w:sz w:val="24"/>
          <w:szCs w:val="24"/>
        </w:rPr>
        <w:t>3、外观：</w:t>
      </w:r>
    </w:p>
    <w:p>
      <w:pPr>
        <w:spacing w:line="300" w:lineRule="auto"/>
        <w:ind w:firstLine="480" w:firstLineChars="200"/>
        <w:rPr>
          <w:rFonts w:hint="eastAsia" w:ascii="宋体" w:hAnsi="宋体"/>
          <w:sz w:val="24"/>
          <w:szCs w:val="24"/>
        </w:rPr>
      </w:pPr>
      <w:r>
        <w:rPr>
          <w:rFonts w:hint="eastAsia" w:ascii="宋体" w:hAnsi="宋体"/>
          <w:sz w:val="24"/>
          <w:szCs w:val="24"/>
        </w:rPr>
        <w:t>1）标志桩表面要完整，材质均匀，没有影响使用功能的缺陷；</w:t>
      </w:r>
    </w:p>
    <w:p>
      <w:pPr>
        <w:spacing w:line="300" w:lineRule="auto"/>
        <w:ind w:firstLine="480" w:firstLineChars="200"/>
        <w:rPr>
          <w:rFonts w:hint="eastAsia" w:ascii="宋体" w:hAnsi="宋体"/>
          <w:sz w:val="24"/>
          <w:szCs w:val="24"/>
        </w:rPr>
      </w:pPr>
      <w:r>
        <w:rPr>
          <w:rFonts w:hint="eastAsia" w:ascii="宋体" w:hAnsi="宋体"/>
          <w:sz w:val="24"/>
          <w:szCs w:val="24"/>
        </w:rPr>
        <w:t>2）上表面应有永久性标志：“燃气”、“T</w:t>
      </w:r>
      <w:r>
        <w:rPr>
          <w:rFonts w:hint="eastAsia" w:ascii="宋体" w:hAnsi="宋体"/>
          <w:sz w:val="24"/>
          <w:szCs w:val="24"/>
          <w:lang w:val="en-US" w:eastAsia="zh-CN"/>
        </w:rPr>
        <w:t>el</w:t>
      </w:r>
      <w:r>
        <w:rPr>
          <w:rFonts w:hint="eastAsia" w:ascii="宋体" w:hAnsi="宋体"/>
          <w:sz w:val="24"/>
          <w:szCs w:val="24"/>
        </w:rPr>
        <w:t>:25199999”、“高压”或“中压”或“低压”、燃气管线走向。</w:t>
      </w:r>
    </w:p>
    <w:p>
      <w:pPr>
        <w:spacing w:line="300" w:lineRule="auto"/>
        <w:ind w:firstLine="480" w:firstLineChars="200"/>
        <w:rPr>
          <w:rFonts w:hint="eastAsia" w:ascii="宋体" w:hAnsi="宋体"/>
          <w:sz w:val="24"/>
          <w:szCs w:val="24"/>
        </w:rPr>
      </w:pPr>
      <w:r>
        <w:rPr>
          <w:rFonts w:hint="eastAsia" w:ascii="宋体" w:hAnsi="宋体"/>
          <w:sz w:val="24"/>
          <w:szCs w:val="24"/>
        </w:rPr>
        <w:t>具体图示见图1。</w:t>
      </w:r>
    </w:p>
    <w:p>
      <w:pPr>
        <w:keepNext w:val="0"/>
        <w:keepLines w:val="0"/>
        <w:pageBreakBefore w:val="0"/>
        <w:widowControl w:val="0"/>
        <w:kinsoku/>
        <w:wordWrap/>
        <w:overflowPunct/>
        <w:topLinePunct w:val="0"/>
        <w:autoSpaceDE/>
        <w:autoSpaceDN/>
        <w:bidi w:val="0"/>
        <w:adjustRightInd/>
        <w:snapToGrid/>
        <w:spacing w:line="300" w:lineRule="auto"/>
        <w:ind w:firstLine="0" w:firstLineChars="0"/>
        <w:textAlignment w:val="baseline"/>
        <w:rPr>
          <w:rFonts w:hint="eastAsia" w:ascii="宋体" w:hAnsi="宋体"/>
          <w:sz w:val="24"/>
          <w:szCs w:val="24"/>
        </w:rPr>
      </w:pPr>
      <w:r>
        <w:rPr>
          <w:rFonts w:ascii="仿宋" w:hAnsi="仿宋" w:eastAsia="仿宋"/>
          <w:color w:val="000000" w:themeColor="text1"/>
          <w:sz w:val="28"/>
          <w:szCs w:val="28"/>
          <w14:textFill>
            <w14:solidFill>
              <w14:schemeClr w14:val="tx1"/>
            </w14:solidFill>
          </w14:textFill>
        </w:rPr>
        <w:drawing>
          <wp:inline distT="0" distB="0" distL="0" distR="0">
            <wp:extent cx="4375785" cy="5525770"/>
            <wp:effectExtent l="0" t="0" r="6350" b="133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extLst>
                        <a:ext uri="{28A0092B-C50C-407E-A947-70E740481C1C}">
                          <a14:useLocalDpi xmlns:a14="http://schemas.microsoft.com/office/drawing/2010/main" val="0"/>
                        </a:ext>
                      </a:extLst>
                    </a:blip>
                    <a:srcRect l="4114" t="5622" r="2011" b="9238"/>
                    <a:stretch>
                      <a:fillRect/>
                    </a:stretch>
                  </pic:blipFill>
                  <pic:spPr>
                    <a:xfrm rot="16200000">
                      <a:off x="0" y="0"/>
                      <a:ext cx="4375785" cy="55257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eastAsia="宋体"/>
          <w:sz w:val="24"/>
          <w:szCs w:val="24"/>
          <w:lang w:val="en-US" w:eastAsia="zh-CN"/>
        </w:rPr>
      </w:pPr>
      <w:r>
        <w:rPr>
          <w:rFonts w:hint="eastAsia" w:ascii="宋体" w:hAnsi="宋体"/>
          <w:sz w:val="24"/>
          <w:szCs w:val="24"/>
          <w:lang w:val="en-US" w:eastAsia="zh-CN"/>
        </w:rPr>
        <w:t>图1 铸铁、复合材料地面标志桩</w:t>
      </w:r>
    </w:p>
    <w:p>
      <w:pPr>
        <w:spacing w:line="300" w:lineRule="auto"/>
        <w:ind w:firstLine="480" w:firstLineChars="200"/>
        <w:rPr>
          <w:rFonts w:hint="eastAsia" w:ascii="宋体" w:hAnsi="宋体"/>
          <w:sz w:val="24"/>
          <w:szCs w:val="24"/>
        </w:rPr>
      </w:pPr>
      <w:r>
        <w:rPr>
          <w:rFonts w:hint="eastAsia" w:ascii="宋体" w:hAnsi="宋体"/>
          <w:sz w:val="24"/>
          <w:szCs w:val="24"/>
        </w:rPr>
        <w:t>3）字体与颜色：桩体主体颜色为黄色（R255，G255，B0），凹形字体，字体为黑体字；文字及管线走向为红色，满足室外使用5年以上不剥落。</w:t>
      </w:r>
    </w:p>
    <w:p>
      <w:pPr>
        <w:spacing w:line="300" w:lineRule="auto"/>
        <w:ind w:firstLine="480" w:firstLineChars="200"/>
        <w:rPr>
          <w:rFonts w:hint="eastAsia" w:ascii="宋体" w:hAnsi="宋体"/>
          <w:sz w:val="24"/>
          <w:szCs w:val="24"/>
        </w:rPr>
      </w:pPr>
      <w:r>
        <w:rPr>
          <w:rFonts w:hint="eastAsia" w:ascii="宋体" w:hAnsi="宋体"/>
          <w:sz w:val="24"/>
          <w:szCs w:val="24"/>
        </w:rPr>
        <w:t>随货提供油漆原材料合格证书。</w:t>
      </w:r>
    </w:p>
    <w:p>
      <w:pPr>
        <w:spacing w:line="300" w:lineRule="auto"/>
        <w:ind w:firstLine="480" w:firstLineChars="200"/>
        <w:rPr>
          <w:rFonts w:hint="eastAsia" w:ascii="宋体" w:hAnsi="宋体"/>
          <w:sz w:val="24"/>
          <w:szCs w:val="24"/>
        </w:rPr>
      </w:pPr>
      <w:r>
        <w:rPr>
          <w:rFonts w:hint="eastAsia" w:ascii="宋体" w:hAnsi="宋体"/>
          <w:sz w:val="24"/>
          <w:szCs w:val="24"/>
        </w:rPr>
        <w:t>具体字体要求见图1。</w:t>
      </w:r>
    </w:p>
    <w:p>
      <w:pPr>
        <w:spacing w:line="300" w:lineRule="auto"/>
        <w:ind w:firstLine="480" w:firstLineChars="200"/>
        <w:rPr>
          <w:rFonts w:hint="eastAsia" w:ascii="宋体" w:hAnsi="宋体"/>
          <w:sz w:val="24"/>
          <w:szCs w:val="24"/>
        </w:rPr>
      </w:pPr>
      <w:r>
        <w:rPr>
          <w:rFonts w:hint="eastAsia" w:ascii="宋体" w:hAnsi="宋体"/>
          <w:sz w:val="24"/>
          <w:szCs w:val="24"/>
        </w:rPr>
        <w:t>4）燃气管线走向标识应符合CJJ/T 153《城镇燃气标志标准》的要求。</w:t>
      </w:r>
    </w:p>
    <w:p>
      <w:pPr>
        <w:spacing w:line="300" w:lineRule="auto"/>
        <w:ind w:firstLine="480" w:firstLineChars="200"/>
        <w:rPr>
          <w:rFonts w:hint="eastAsia" w:ascii="宋体" w:hAnsi="宋体"/>
          <w:sz w:val="24"/>
          <w:szCs w:val="24"/>
        </w:rPr>
      </w:pPr>
      <w:r>
        <w:rPr>
          <w:rFonts w:hint="eastAsia" w:ascii="宋体" w:hAnsi="宋体"/>
          <w:sz w:val="24"/>
          <w:szCs w:val="24"/>
        </w:rPr>
        <w:t>4、性能要求：</w:t>
      </w:r>
    </w:p>
    <w:p>
      <w:pPr>
        <w:spacing w:line="300" w:lineRule="auto"/>
        <w:ind w:firstLine="480" w:firstLineChars="200"/>
        <w:rPr>
          <w:rFonts w:hint="eastAsia" w:ascii="宋体" w:hAnsi="宋体"/>
          <w:sz w:val="24"/>
          <w:szCs w:val="24"/>
        </w:rPr>
      </w:pPr>
      <w:r>
        <w:rPr>
          <w:rFonts w:hint="eastAsia" w:ascii="宋体" w:hAnsi="宋体"/>
          <w:sz w:val="24"/>
          <w:szCs w:val="24"/>
        </w:rPr>
        <w:t>1）轴向拉伸强度（沿玻璃纤维方向）≥250MPa；</w:t>
      </w:r>
    </w:p>
    <w:p>
      <w:pPr>
        <w:spacing w:line="300" w:lineRule="auto"/>
        <w:ind w:firstLine="480" w:firstLineChars="200"/>
        <w:rPr>
          <w:rFonts w:hint="eastAsia" w:ascii="宋体" w:hAnsi="宋体"/>
          <w:sz w:val="24"/>
          <w:szCs w:val="24"/>
        </w:rPr>
      </w:pPr>
      <w:r>
        <w:rPr>
          <w:rFonts w:hint="eastAsia" w:ascii="宋体" w:hAnsi="宋体"/>
          <w:sz w:val="24"/>
          <w:szCs w:val="24"/>
        </w:rPr>
        <w:t>2）轴向弯曲强度（沿玻璃纤维方向）≥300MPa；</w:t>
      </w:r>
    </w:p>
    <w:p>
      <w:pPr>
        <w:spacing w:line="300" w:lineRule="auto"/>
        <w:ind w:firstLine="480" w:firstLineChars="200"/>
        <w:rPr>
          <w:rFonts w:hint="eastAsia" w:ascii="宋体" w:hAnsi="宋体"/>
          <w:sz w:val="24"/>
          <w:szCs w:val="24"/>
        </w:rPr>
      </w:pPr>
      <w:r>
        <w:rPr>
          <w:rFonts w:hint="eastAsia" w:ascii="宋体" w:hAnsi="宋体"/>
          <w:sz w:val="24"/>
          <w:szCs w:val="24"/>
        </w:rPr>
        <w:t>3）耐酸性：在20%硫酸溶液中浸泡48h，表面无明显腐蚀质量损失&lt;1%；</w:t>
      </w:r>
    </w:p>
    <w:p>
      <w:pPr>
        <w:spacing w:line="300" w:lineRule="auto"/>
        <w:ind w:firstLine="480" w:firstLineChars="200"/>
        <w:rPr>
          <w:rFonts w:hint="eastAsia" w:ascii="宋体" w:hAnsi="宋体"/>
          <w:sz w:val="24"/>
          <w:szCs w:val="24"/>
        </w:rPr>
      </w:pPr>
      <w:r>
        <w:rPr>
          <w:rFonts w:hint="eastAsia" w:ascii="宋体" w:hAnsi="宋体"/>
          <w:sz w:val="24"/>
          <w:szCs w:val="24"/>
        </w:rPr>
        <w:t>4）耐碱性：在20%氢氧化钠溶液中浸泡48h，表面无腐蚀。质量损失&lt;1%；</w:t>
      </w:r>
    </w:p>
    <w:p>
      <w:pPr>
        <w:spacing w:line="300" w:lineRule="auto"/>
        <w:ind w:firstLine="480" w:firstLineChars="200"/>
        <w:rPr>
          <w:rFonts w:hint="eastAsia" w:ascii="宋体" w:hAnsi="宋体"/>
          <w:sz w:val="24"/>
          <w:szCs w:val="24"/>
        </w:rPr>
      </w:pPr>
      <w:r>
        <w:rPr>
          <w:rFonts w:hint="eastAsia" w:ascii="宋体" w:hAnsi="宋体"/>
          <w:sz w:val="24"/>
          <w:szCs w:val="24"/>
        </w:rPr>
        <w:t>5）吸水率：＜1%；</w:t>
      </w:r>
    </w:p>
    <w:p>
      <w:pPr>
        <w:spacing w:line="300" w:lineRule="auto"/>
        <w:ind w:firstLine="480" w:firstLineChars="200"/>
        <w:rPr>
          <w:rFonts w:hint="eastAsia" w:ascii="宋体" w:hAnsi="宋体"/>
          <w:sz w:val="24"/>
          <w:szCs w:val="24"/>
        </w:rPr>
      </w:pPr>
      <w:r>
        <w:rPr>
          <w:rFonts w:hint="eastAsia" w:ascii="宋体" w:hAnsi="宋体"/>
          <w:sz w:val="24"/>
          <w:szCs w:val="24"/>
        </w:rPr>
        <w:t>6）表面颜色色饱和老化等级达到4级（1级为完全变色，5级为完全不变色），应提供第三方检测报告；</w:t>
      </w:r>
    </w:p>
    <w:p>
      <w:pPr>
        <w:spacing w:line="300" w:lineRule="auto"/>
        <w:ind w:firstLine="480" w:firstLineChars="200"/>
        <w:rPr>
          <w:rFonts w:hint="eastAsia" w:ascii="宋体" w:hAnsi="宋体"/>
          <w:sz w:val="24"/>
          <w:szCs w:val="24"/>
        </w:rPr>
      </w:pPr>
      <w:r>
        <w:rPr>
          <w:rFonts w:hint="eastAsia" w:ascii="宋体" w:hAnsi="宋体"/>
          <w:sz w:val="24"/>
          <w:szCs w:val="24"/>
        </w:rPr>
        <w:t>7）阻燃氧指数≧28%。</w:t>
      </w:r>
    </w:p>
    <w:p>
      <w:pPr>
        <w:spacing w:line="300" w:lineRule="auto"/>
        <w:ind w:firstLine="480" w:firstLineChars="200"/>
        <w:rPr>
          <w:rFonts w:ascii="宋体" w:hAnsi="宋体"/>
          <w:sz w:val="24"/>
          <w:szCs w:val="24"/>
        </w:rPr>
      </w:pPr>
      <w:r>
        <w:rPr>
          <w:rFonts w:hint="eastAsia" w:ascii="宋体" w:hAnsi="宋体"/>
          <w:sz w:val="24"/>
          <w:szCs w:val="24"/>
        </w:rPr>
        <w:t>以上性能要求，供应商交货时随货提供独立第三方（国家认可具有相关资质的权威机构）出具的测试报告。</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4.1.2 球墨铸铁地面标志桩</w:t>
      </w:r>
    </w:p>
    <w:p>
      <w:pPr>
        <w:spacing w:line="300" w:lineRule="auto"/>
        <w:ind w:firstLine="480" w:firstLineChars="200"/>
        <w:rPr>
          <w:rFonts w:hint="eastAsia" w:ascii="宋体" w:hAnsi="宋体"/>
          <w:sz w:val="24"/>
          <w:szCs w:val="24"/>
        </w:rPr>
      </w:pPr>
      <w:r>
        <w:rPr>
          <w:rFonts w:hint="eastAsia" w:ascii="宋体" w:hAnsi="宋体"/>
          <w:sz w:val="24"/>
          <w:szCs w:val="24"/>
        </w:rPr>
        <w:t>1、材质：桩体材质应采用球磨铸铁制造，并符合GB/T 1348的要求。</w:t>
      </w:r>
    </w:p>
    <w:p>
      <w:pPr>
        <w:spacing w:line="300" w:lineRule="auto"/>
        <w:ind w:firstLine="480" w:firstLineChars="200"/>
        <w:rPr>
          <w:rFonts w:hint="eastAsia" w:ascii="宋体" w:hAnsi="宋体"/>
          <w:sz w:val="24"/>
          <w:szCs w:val="24"/>
        </w:rPr>
      </w:pPr>
      <w:r>
        <w:rPr>
          <w:rFonts w:hint="eastAsia" w:ascii="宋体" w:hAnsi="宋体"/>
          <w:sz w:val="24"/>
          <w:szCs w:val="24"/>
        </w:rPr>
        <w:t>随货提供原材料合格证书</w:t>
      </w:r>
    </w:p>
    <w:p>
      <w:pPr>
        <w:spacing w:line="300" w:lineRule="auto"/>
        <w:ind w:firstLine="480" w:firstLineChars="200"/>
        <w:rPr>
          <w:rFonts w:hint="eastAsia" w:ascii="宋体" w:hAnsi="宋体"/>
          <w:sz w:val="24"/>
          <w:szCs w:val="24"/>
        </w:rPr>
      </w:pPr>
      <w:r>
        <w:rPr>
          <w:rFonts w:hint="eastAsia" w:ascii="宋体" w:hAnsi="宋体"/>
          <w:sz w:val="24"/>
          <w:szCs w:val="24"/>
        </w:rPr>
        <w:t>2、结构要求：</w:t>
      </w:r>
    </w:p>
    <w:p>
      <w:pPr>
        <w:spacing w:line="300" w:lineRule="auto"/>
        <w:ind w:firstLine="480" w:firstLineChars="200"/>
        <w:rPr>
          <w:rFonts w:hint="eastAsia" w:ascii="宋体" w:hAnsi="宋体"/>
          <w:sz w:val="24"/>
          <w:szCs w:val="24"/>
        </w:rPr>
      </w:pPr>
      <w:r>
        <w:rPr>
          <w:rFonts w:hint="eastAsia" w:ascii="宋体" w:hAnsi="宋体"/>
          <w:sz w:val="24"/>
          <w:szCs w:val="24"/>
        </w:rPr>
        <w:t>高温铸造成型，丁字型结构，埋地部分加凹槽便于固定标志桩。</w:t>
      </w:r>
    </w:p>
    <w:p>
      <w:pPr>
        <w:spacing w:line="300" w:lineRule="auto"/>
        <w:ind w:firstLine="480" w:firstLineChars="200"/>
        <w:rPr>
          <w:rFonts w:hint="eastAsia" w:ascii="宋体" w:hAnsi="宋体"/>
          <w:sz w:val="24"/>
          <w:szCs w:val="24"/>
        </w:rPr>
      </w:pPr>
      <w:r>
        <w:rPr>
          <w:rFonts w:hint="eastAsia" w:ascii="宋体" w:hAnsi="宋体"/>
          <w:sz w:val="24"/>
          <w:szCs w:val="24"/>
        </w:rPr>
        <w:t>设计尺寸为：上表面规格为120mm×120mm，上表面厚度为20mm，梯形埋地固定端长度100mm。</w:t>
      </w:r>
    </w:p>
    <w:p>
      <w:pPr>
        <w:spacing w:line="300" w:lineRule="auto"/>
        <w:ind w:firstLine="480" w:firstLineChars="200"/>
        <w:rPr>
          <w:rFonts w:hint="eastAsia" w:ascii="宋体" w:hAnsi="宋体"/>
          <w:sz w:val="24"/>
          <w:szCs w:val="24"/>
        </w:rPr>
      </w:pPr>
      <w:r>
        <w:rPr>
          <w:rFonts w:hint="eastAsia" w:ascii="宋体" w:hAnsi="宋体"/>
          <w:sz w:val="24"/>
          <w:szCs w:val="24"/>
        </w:rPr>
        <w:t>3、外观：</w:t>
      </w:r>
    </w:p>
    <w:p>
      <w:pPr>
        <w:spacing w:line="300" w:lineRule="auto"/>
        <w:ind w:firstLine="480" w:firstLineChars="200"/>
        <w:rPr>
          <w:rFonts w:hint="eastAsia" w:ascii="宋体" w:hAnsi="宋体"/>
          <w:sz w:val="24"/>
          <w:szCs w:val="24"/>
        </w:rPr>
      </w:pPr>
      <w:r>
        <w:rPr>
          <w:rFonts w:hint="eastAsia" w:ascii="宋体" w:hAnsi="宋体"/>
          <w:sz w:val="24"/>
          <w:szCs w:val="24"/>
        </w:rPr>
        <w:t>1）标志桩表面要完整，材质均匀，没有影响使用功能的缺陷；</w:t>
      </w:r>
    </w:p>
    <w:p>
      <w:pPr>
        <w:spacing w:line="300" w:lineRule="auto"/>
        <w:ind w:firstLine="480" w:firstLineChars="200"/>
        <w:rPr>
          <w:rFonts w:hint="eastAsia" w:ascii="宋体" w:hAnsi="宋体"/>
          <w:sz w:val="24"/>
          <w:szCs w:val="24"/>
        </w:rPr>
      </w:pPr>
      <w:r>
        <w:rPr>
          <w:rFonts w:hint="eastAsia" w:ascii="宋体" w:hAnsi="宋体"/>
          <w:sz w:val="24"/>
          <w:szCs w:val="24"/>
        </w:rPr>
        <w:t>2）上表面应有永久性标志：“燃气”、“T</w:t>
      </w:r>
      <w:r>
        <w:rPr>
          <w:rFonts w:hint="eastAsia" w:ascii="宋体" w:hAnsi="宋体"/>
          <w:sz w:val="24"/>
          <w:szCs w:val="24"/>
          <w:lang w:val="en-US" w:eastAsia="zh-CN"/>
        </w:rPr>
        <w:t>el</w:t>
      </w:r>
      <w:r>
        <w:rPr>
          <w:rFonts w:hint="eastAsia" w:ascii="宋体" w:hAnsi="宋体"/>
          <w:sz w:val="24"/>
          <w:szCs w:val="24"/>
        </w:rPr>
        <w:t>:25199999”、“高压”或“中压”或“低压”、燃气管线走向。</w:t>
      </w:r>
    </w:p>
    <w:p>
      <w:pPr>
        <w:spacing w:line="300" w:lineRule="auto"/>
        <w:ind w:firstLine="480" w:firstLineChars="200"/>
        <w:rPr>
          <w:rFonts w:hint="eastAsia" w:ascii="宋体" w:hAnsi="宋体"/>
          <w:sz w:val="24"/>
          <w:szCs w:val="24"/>
        </w:rPr>
      </w:pPr>
      <w:r>
        <w:rPr>
          <w:rFonts w:hint="eastAsia" w:ascii="宋体" w:hAnsi="宋体"/>
          <w:sz w:val="24"/>
          <w:szCs w:val="24"/>
        </w:rPr>
        <w:t>具体图示参照图1。</w:t>
      </w:r>
    </w:p>
    <w:p>
      <w:pPr>
        <w:spacing w:line="300" w:lineRule="auto"/>
        <w:ind w:firstLine="480" w:firstLineChars="200"/>
        <w:rPr>
          <w:rFonts w:hint="eastAsia" w:ascii="宋体" w:hAnsi="宋体"/>
          <w:sz w:val="24"/>
          <w:szCs w:val="24"/>
        </w:rPr>
      </w:pPr>
      <w:r>
        <w:rPr>
          <w:rFonts w:hint="eastAsia" w:ascii="宋体" w:hAnsi="宋体"/>
          <w:sz w:val="24"/>
          <w:szCs w:val="24"/>
        </w:rPr>
        <w:t>3）字体：字体为黑体字；具体字体要求参照附图1。</w:t>
      </w:r>
    </w:p>
    <w:p>
      <w:pPr>
        <w:spacing w:line="300" w:lineRule="auto"/>
        <w:ind w:firstLine="480" w:firstLineChars="200"/>
        <w:rPr>
          <w:rFonts w:hint="eastAsia" w:ascii="宋体" w:hAnsi="宋体"/>
          <w:sz w:val="24"/>
          <w:szCs w:val="24"/>
        </w:rPr>
      </w:pPr>
      <w:r>
        <w:rPr>
          <w:rFonts w:hint="eastAsia" w:ascii="宋体" w:hAnsi="宋体"/>
          <w:sz w:val="24"/>
          <w:szCs w:val="24"/>
        </w:rPr>
        <w:t>4）燃气管线走向标识应符合CJJ/T 153《城镇燃气标志标准》的要求。</w:t>
      </w:r>
    </w:p>
    <w:p>
      <w:pPr>
        <w:spacing w:line="300" w:lineRule="auto"/>
        <w:ind w:firstLine="480" w:firstLineChars="200"/>
        <w:rPr>
          <w:rFonts w:hint="eastAsia" w:ascii="宋体" w:hAnsi="宋体"/>
          <w:sz w:val="24"/>
          <w:szCs w:val="24"/>
        </w:rPr>
      </w:pPr>
      <w:r>
        <w:rPr>
          <w:rFonts w:hint="eastAsia" w:ascii="宋体" w:hAnsi="宋体"/>
          <w:sz w:val="24"/>
          <w:szCs w:val="24"/>
        </w:rPr>
        <w:t>4、性能要求：</w:t>
      </w:r>
    </w:p>
    <w:p>
      <w:pPr>
        <w:spacing w:line="30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rPr>
        <w:tab/>
      </w:r>
      <w:r>
        <w:rPr>
          <w:rFonts w:hint="eastAsia" w:ascii="宋体" w:hAnsi="宋体"/>
          <w:sz w:val="24"/>
          <w:szCs w:val="24"/>
        </w:rPr>
        <w:t>硬度应≥130 HBW；</w:t>
      </w:r>
    </w:p>
    <w:p>
      <w:pPr>
        <w:spacing w:line="300" w:lineRule="auto"/>
        <w:ind w:firstLine="480" w:firstLineChars="200"/>
        <w:rPr>
          <w:rFonts w:hint="eastAsia" w:ascii="宋体" w:hAnsi="宋体"/>
          <w:sz w:val="24"/>
          <w:szCs w:val="24"/>
        </w:rPr>
      </w:pPr>
      <w:r>
        <w:rPr>
          <w:rFonts w:hint="eastAsia" w:ascii="宋体" w:hAnsi="宋体"/>
          <w:sz w:val="24"/>
          <w:szCs w:val="24"/>
        </w:rPr>
        <w:t>2）</w:t>
      </w:r>
      <w:r>
        <w:rPr>
          <w:rFonts w:hint="eastAsia" w:ascii="宋体" w:hAnsi="宋体"/>
          <w:sz w:val="24"/>
          <w:szCs w:val="24"/>
        </w:rPr>
        <w:tab/>
      </w:r>
      <w:r>
        <w:rPr>
          <w:rFonts w:hint="eastAsia" w:ascii="宋体" w:hAnsi="宋体"/>
          <w:sz w:val="24"/>
          <w:szCs w:val="24"/>
        </w:rPr>
        <w:t>屈服强度≥250 MPa；</w:t>
      </w:r>
    </w:p>
    <w:p>
      <w:pPr>
        <w:spacing w:line="300" w:lineRule="auto"/>
        <w:ind w:firstLine="480" w:firstLineChars="200"/>
        <w:rPr>
          <w:rFonts w:hint="eastAsia" w:ascii="宋体" w:hAnsi="宋体"/>
          <w:sz w:val="24"/>
          <w:szCs w:val="24"/>
        </w:rPr>
      </w:pPr>
      <w:r>
        <w:rPr>
          <w:rFonts w:hint="eastAsia" w:ascii="宋体" w:hAnsi="宋体"/>
          <w:sz w:val="24"/>
          <w:szCs w:val="24"/>
        </w:rPr>
        <w:t>以上性能要求，供应商交货时随货提供独立第三方（国家认可具有相关资质的权威机构）出具的测试报告。</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4.1.3 不锈钢地面标志桩</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1、材质：桩体材质应采用06Cr19Ni10（S30408）。</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随货提供原材料合格证书</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2、结构要求：</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产品为冲压成型。</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设计尺寸为120mm×120mm，厚度为≥0.8mm。固定螺丝的规格应≥M5，且是国标要求的规格。</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3、外观：</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1）标志桩表面要完整，材质均匀，没有影响使用功能的缺陷；</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2）上表面应有永久性标志：“燃气”、“Tel:25199999”、“高压”或“中压”或“低压”、燃气管线走向。</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具体图示见图2。</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3）字体与颜色：桩体主体颜色为不锈钢钢板本色，凹形字体，字体为黑体字；文字及管线走向为红色，满足室外使用5年以上不剥落。</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随货提供油漆原材料合格证书。</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具体字体要求见图2。</w:t>
      </w:r>
    </w:p>
    <w:p>
      <w:pPr>
        <w:keepNext w:val="0"/>
        <w:keepLines w:val="0"/>
        <w:pageBreakBefore w:val="0"/>
        <w:widowControl w:val="0"/>
        <w:kinsoku/>
        <w:wordWrap/>
        <w:overflowPunct/>
        <w:topLinePunct w:val="0"/>
        <w:autoSpaceDE/>
        <w:autoSpaceDN/>
        <w:bidi w:val="0"/>
        <w:adjustRightInd/>
        <w:snapToGrid/>
        <w:spacing w:line="300" w:lineRule="auto"/>
        <w:ind w:firstLine="0" w:firstLineChars="0"/>
        <w:textAlignment w:val="baseline"/>
        <w:rPr>
          <w:rFonts w:hint="eastAsia" w:ascii="宋体" w:hAnsi="宋体"/>
          <w:sz w:val="24"/>
          <w:szCs w:val="24"/>
        </w:rPr>
      </w:pPr>
      <w:r>
        <w:drawing>
          <wp:inline distT="0" distB="0" distL="114300" distR="114300">
            <wp:extent cx="5610860" cy="4051935"/>
            <wp:effectExtent l="0" t="0" r="12700" b="1905"/>
            <wp:docPr id="1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
                    <pic:cNvPicPr>
                      <a:picLocks noChangeAspect="1"/>
                    </pic:cNvPicPr>
                  </pic:nvPicPr>
                  <pic:blipFill>
                    <a:blip r:embed="rId14"/>
                    <a:srcRect l="4925" t="3394" r="10404" b="11385"/>
                    <a:stretch>
                      <a:fillRect/>
                    </a:stretch>
                  </pic:blipFill>
                  <pic:spPr>
                    <a:xfrm>
                      <a:off x="0" y="0"/>
                      <a:ext cx="5610860" cy="40519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eastAsia="宋体"/>
          <w:sz w:val="24"/>
          <w:szCs w:val="24"/>
          <w:lang w:val="en-US" w:eastAsia="zh-CN"/>
        </w:rPr>
      </w:pPr>
      <w:r>
        <w:rPr>
          <w:rFonts w:hint="eastAsia" w:ascii="宋体" w:hAnsi="宋体"/>
          <w:sz w:val="24"/>
          <w:szCs w:val="24"/>
          <w:lang w:val="en-US" w:eastAsia="zh-CN"/>
        </w:rPr>
        <w:t>图2 不锈钢地面标志桩</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4）燃气管线走向标识应符合CJJ/T 153《城镇燃气标志标准》的要求。</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4、性能要求：</w:t>
      </w:r>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防翘性能：沿标志桩中轴线固定，使用拉力计固定标志桩的螺孔测试，标志桩最外端发生明显变形的力≥250N。</w:t>
      </w:r>
    </w:p>
    <w:p>
      <w:pPr>
        <w:pStyle w:val="63"/>
        <w:spacing w:before="0" w:after="0" w:line="300" w:lineRule="auto"/>
        <w:jc w:val="left"/>
        <w:rPr>
          <w:rFonts w:hint="eastAsia" w:ascii="黑体" w:hAnsi="黑体" w:eastAsia="黑体"/>
          <w:b w:val="0"/>
          <w:sz w:val="24"/>
          <w:szCs w:val="24"/>
          <w:lang w:val="en-US" w:eastAsia="zh-CN"/>
        </w:rPr>
      </w:pPr>
      <w:r>
        <w:rPr>
          <w:rFonts w:hint="eastAsia" w:ascii="黑体" w:hAnsi="黑体" w:eastAsia="黑体"/>
          <w:b w:val="0"/>
          <w:sz w:val="24"/>
          <w:szCs w:val="24"/>
          <w:lang w:val="en-US" w:eastAsia="zh-CN"/>
        </w:rPr>
        <w:t>4.2 中、低压柱状标志桩</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4.2.1 通用型标志桩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结构要求：上部为正三角形柱状，下部带桩脚；柱状设计尺寸为120mm×120mm×120mm×1050mm，桩脚为圆形或方形柱状，桩脚直径为300mm，柱高为50mm，桩脚与标志桩应有可靠连接并圆滑过渡。若桩身与桩脚分体制造，桩身与桩脚应用纤维棒固定，标志桩采用承插式设计，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材质厚度不小于5mm。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1）上部表面应有永久性标志：“中压天然气管道”</w:t>
      </w:r>
      <w:r>
        <w:rPr>
          <w:rFonts w:hint="eastAsia" w:ascii="宋体" w:hAnsi="宋体"/>
          <w:sz w:val="24"/>
          <w:szCs w:val="24"/>
          <w:lang w:val="en-US" w:eastAsia="zh-CN"/>
        </w:rPr>
        <w:t>或</w:t>
      </w:r>
      <w:r>
        <w:rPr>
          <w:rFonts w:hint="default" w:ascii="宋体" w:hAnsi="宋体"/>
          <w:sz w:val="24"/>
          <w:szCs w:val="24"/>
          <w:lang w:val="en-US" w:eastAsia="zh-CN"/>
        </w:rPr>
        <w:t>“</w:t>
      </w:r>
      <w:r>
        <w:rPr>
          <w:rFonts w:hint="eastAsia" w:ascii="宋体" w:hAnsi="宋体"/>
          <w:sz w:val="24"/>
          <w:szCs w:val="24"/>
          <w:lang w:val="en-US" w:eastAsia="zh-CN"/>
        </w:rPr>
        <w:t>低</w:t>
      </w:r>
      <w:r>
        <w:rPr>
          <w:rFonts w:hint="default" w:ascii="宋体" w:hAnsi="宋体"/>
          <w:sz w:val="24"/>
          <w:szCs w:val="24"/>
          <w:lang w:val="en-US" w:eastAsia="zh-CN"/>
        </w:rPr>
        <w:t>压天然气管道”“严禁机械开挖”“施工前请咨询25199999”“深圳燃气”、燃气管线走向</w:t>
      </w:r>
      <w:r>
        <w:rPr>
          <w:rFonts w:hint="eastAsia" w:ascii="宋体" w:hAnsi="宋体"/>
          <w:sz w:val="24"/>
          <w:szCs w:val="24"/>
          <w:lang w:val="en-US" w:eastAsia="zh-CN"/>
        </w:rPr>
        <w:t>，详见图3。</w:t>
      </w:r>
    </w:p>
    <w:p>
      <w:pPr>
        <w:spacing w:line="300" w:lineRule="auto"/>
        <w:ind w:firstLine="480" w:firstLineChars="200"/>
        <w:rPr>
          <w:rFonts w:hint="eastAsia" w:ascii="宋体" w:hAnsi="宋体"/>
          <w:sz w:val="24"/>
          <w:szCs w:val="24"/>
          <w:lang w:val="en-US" w:eastAsia="zh-CN"/>
        </w:rPr>
      </w:pPr>
      <w:r>
        <w:rPr>
          <w:rFonts w:hint="default" w:ascii="宋体" w:hAnsi="宋体"/>
          <w:sz w:val="24"/>
          <w:szCs w:val="24"/>
          <w:lang w:val="en-US" w:eastAsia="zh-CN"/>
        </w:rPr>
        <w:t>2）字体与颜色：桩体主体颜色为</w:t>
      </w:r>
      <w:r>
        <w:rPr>
          <w:rFonts w:hint="default" w:ascii="宋体" w:hAnsi="宋体"/>
          <w:sz w:val="24"/>
          <w:szCs w:val="24"/>
          <w:highlight w:val="none"/>
          <w:lang w:val="en-US" w:eastAsia="zh-CN"/>
        </w:rPr>
        <w:t>橙黄色（R255，G128，B0）</w:t>
      </w:r>
      <w:r>
        <w:rPr>
          <w:rFonts w:hint="default" w:ascii="宋体" w:hAnsi="宋体"/>
          <w:sz w:val="24"/>
          <w:szCs w:val="24"/>
          <w:lang w:val="en-US" w:eastAsia="zh-CN"/>
        </w:rPr>
        <w:t>，凹形字体，除深燃logo以logo格式为标准外其他字体为黑体字；文字及管线走向为红色，满足室外使用5年以上不剥落</w:t>
      </w:r>
      <w:r>
        <w:rPr>
          <w:rFonts w:hint="eastAsia" w:ascii="宋体" w:hAnsi="宋体"/>
          <w:sz w:val="24"/>
          <w:szCs w:val="24"/>
          <w:lang w:val="en-US" w:eastAsia="zh-CN"/>
        </w:rPr>
        <w:t>，详见图3。</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left"/>
        <w:textAlignment w:val="baseline"/>
        <w:rPr>
          <w:rFonts w:hint="default" w:ascii="宋体" w:hAnsi="宋体"/>
          <w:sz w:val="24"/>
          <w:szCs w:val="24"/>
          <w:lang w:val="en-US" w:eastAsia="zh-CN"/>
        </w:rPr>
      </w:pPr>
      <w:r>
        <w:rPr>
          <w:rFonts w:hint="eastAsia" w:ascii="仿宋" w:hAnsi="仿宋" w:eastAsia="仿宋"/>
          <w:color w:val="000000" w:themeColor="text1"/>
          <w:sz w:val="28"/>
          <w:szCs w:val="28"/>
          <w14:textFill>
            <w14:solidFill>
              <w14:schemeClr w14:val="tx1"/>
            </w14:solidFill>
          </w14:textFill>
        </w:rPr>
        <w:drawing>
          <wp:inline distT="0" distB="0" distL="114300" distR="114300">
            <wp:extent cx="6133465" cy="2990215"/>
            <wp:effectExtent l="0" t="0" r="8255" b="12065"/>
            <wp:docPr id="12" name="图片 12" descr="中压高桩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中压高桩设计图"/>
                    <pic:cNvPicPr>
                      <a:picLocks noChangeAspect="1"/>
                    </pic:cNvPicPr>
                  </pic:nvPicPr>
                  <pic:blipFill>
                    <a:blip r:embed="rId15"/>
                    <a:stretch>
                      <a:fillRect/>
                    </a:stretch>
                  </pic:blipFill>
                  <pic:spPr>
                    <a:xfrm>
                      <a:off x="0" y="0"/>
                      <a:ext cx="6133465" cy="29902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sz w:val="24"/>
          <w:szCs w:val="24"/>
          <w:lang w:val="en-US" w:eastAsia="zh-CN"/>
        </w:rPr>
      </w:pPr>
      <w:r>
        <w:rPr>
          <w:rFonts w:hint="eastAsia" w:ascii="宋体" w:hAnsi="宋体"/>
          <w:sz w:val="24"/>
          <w:szCs w:val="24"/>
          <w:lang w:val="en-US" w:eastAsia="zh-CN"/>
        </w:rPr>
        <w:t>图3 通用型中、低压柱状标志桩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3）燃气管线走向标识应符合CJJ/T 153《城镇燃气标志标准》的要求。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3、材质、性能要求应符合地面标志桩的相关要求。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4、性能要求应符合地面标志桩的相关要求。</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4.2.2 草坪标志桩</w:t>
      </w:r>
    </w:p>
    <w:p>
      <w:pPr>
        <w:spacing w:line="300" w:lineRule="auto"/>
        <w:ind w:firstLine="480" w:firstLineChars="200"/>
        <w:rPr>
          <w:rFonts w:hint="default" w:ascii="宋体" w:hAnsi="宋体"/>
          <w:sz w:val="24"/>
          <w:szCs w:val="24"/>
          <w:highlight w:val="yellow"/>
          <w:lang w:val="en-US" w:eastAsia="zh-CN"/>
        </w:rPr>
      </w:pPr>
      <w:r>
        <w:rPr>
          <w:rFonts w:hint="default" w:ascii="宋体" w:hAnsi="宋体"/>
          <w:sz w:val="24"/>
          <w:szCs w:val="24"/>
          <w:lang w:val="en-US" w:eastAsia="zh-CN"/>
        </w:rPr>
        <w:t>1、结构要求：上部为正四棱台桩帽，中部为正方形柱状，下部带桩脚；桩帽设计尺寸为正视图为96mm×120mm×60mm的正四棱台；中部柱状设计尺寸为120mm×120mm×120mm×120mm×440mm；桩脚为圆形或方形柱状，桩脚直径为300mm，桩脚高为50mm，桩脚与标志桩应有可靠连接并圆滑过渡。</w:t>
      </w:r>
      <w:r>
        <w:rPr>
          <w:rFonts w:hint="default" w:ascii="宋体" w:hAnsi="宋体"/>
          <w:sz w:val="24"/>
          <w:szCs w:val="24"/>
          <w:highlight w:val="none"/>
          <w:lang w:val="en-US" w:eastAsia="zh-CN"/>
        </w:rPr>
        <w:t>若桩身与桩脚分体制造，桩身与桩脚应用纤维棒固定，标志桩采用承插式设计，固定后的桩脚具有下挂100KG以上承受力。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材质厚度不小于5mm。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1）上部表面应有永久性标志：“深圳燃气”“中压”</w:t>
      </w:r>
      <w:r>
        <w:rPr>
          <w:rFonts w:hint="eastAsia" w:ascii="宋体" w:hAnsi="宋体"/>
          <w:sz w:val="24"/>
          <w:szCs w:val="24"/>
          <w:lang w:val="en-US" w:eastAsia="zh-CN"/>
        </w:rPr>
        <w:t>或</w:t>
      </w:r>
      <w:r>
        <w:rPr>
          <w:rFonts w:hint="default" w:ascii="宋体" w:hAnsi="宋体"/>
          <w:sz w:val="24"/>
          <w:szCs w:val="24"/>
          <w:lang w:val="en-US" w:eastAsia="zh-CN"/>
        </w:rPr>
        <w:t>“</w:t>
      </w:r>
      <w:r>
        <w:rPr>
          <w:rFonts w:hint="eastAsia" w:ascii="宋体" w:hAnsi="宋体"/>
          <w:sz w:val="24"/>
          <w:szCs w:val="24"/>
          <w:lang w:val="en-US" w:eastAsia="zh-CN"/>
        </w:rPr>
        <w:t>低</w:t>
      </w:r>
      <w:r>
        <w:rPr>
          <w:rFonts w:hint="default" w:ascii="宋体" w:hAnsi="宋体"/>
          <w:sz w:val="24"/>
          <w:szCs w:val="24"/>
          <w:lang w:val="en-US" w:eastAsia="zh-CN"/>
        </w:rPr>
        <w:t>压”“严禁</w:t>
      </w:r>
      <w:r>
        <w:rPr>
          <w:rFonts w:hint="eastAsia" w:ascii="宋体" w:hAnsi="宋体"/>
          <w:sz w:val="24"/>
          <w:szCs w:val="24"/>
          <w:lang w:val="en-US" w:eastAsia="zh-CN"/>
        </w:rPr>
        <w:t>机械</w:t>
      </w:r>
      <w:r>
        <w:rPr>
          <w:rFonts w:hint="default" w:ascii="宋体" w:hAnsi="宋体"/>
          <w:sz w:val="24"/>
          <w:szCs w:val="24"/>
          <w:lang w:val="en-US" w:eastAsia="zh-CN"/>
        </w:rPr>
        <w:t>开挖”“</w:t>
      </w:r>
      <w:r>
        <w:rPr>
          <w:rFonts w:hint="eastAsia" w:ascii="宋体" w:hAnsi="宋体"/>
          <w:sz w:val="24"/>
          <w:szCs w:val="24"/>
          <w:lang w:val="en-US" w:eastAsia="zh-CN"/>
        </w:rPr>
        <w:t>施工前请咨询</w:t>
      </w:r>
      <w:r>
        <w:rPr>
          <w:rFonts w:hint="default" w:ascii="宋体" w:hAnsi="宋体"/>
          <w:sz w:val="24"/>
          <w:szCs w:val="24"/>
          <w:lang w:val="en-US" w:eastAsia="zh-CN"/>
        </w:rPr>
        <w:t>25199999”、燃气管线走向</w:t>
      </w:r>
      <w:r>
        <w:rPr>
          <w:rFonts w:hint="eastAsia" w:ascii="宋体" w:hAnsi="宋体"/>
          <w:sz w:val="24"/>
          <w:szCs w:val="24"/>
          <w:lang w:val="en-US" w:eastAsia="zh-CN"/>
        </w:rPr>
        <w:t>，详见图4。</w:t>
      </w:r>
    </w:p>
    <w:p>
      <w:pPr>
        <w:spacing w:line="300" w:lineRule="auto"/>
        <w:ind w:firstLine="480" w:firstLineChars="200"/>
        <w:rPr>
          <w:rFonts w:hint="eastAsia" w:ascii="宋体" w:hAnsi="宋体"/>
          <w:sz w:val="24"/>
          <w:szCs w:val="24"/>
          <w:lang w:val="en-US" w:eastAsia="zh-CN"/>
        </w:rPr>
      </w:pPr>
      <w:r>
        <w:rPr>
          <w:rFonts w:hint="default" w:ascii="宋体" w:hAnsi="宋体"/>
          <w:sz w:val="24"/>
          <w:szCs w:val="24"/>
          <w:lang w:val="en-US" w:eastAsia="zh-CN"/>
        </w:rPr>
        <w:t>2）字体与颜色：桩体主体颜色为白色（R255，G255，B255），上部桩帽</w:t>
      </w:r>
      <w:r>
        <w:rPr>
          <w:rFonts w:hint="eastAsia" w:ascii="宋体" w:hAnsi="宋体"/>
          <w:sz w:val="24"/>
          <w:szCs w:val="24"/>
          <w:lang w:val="en-US" w:eastAsia="zh-CN"/>
        </w:rPr>
        <w:t>为</w:t>
      </w:r>
      <w:r>
        <w:rPr>
          <w:rFonts w:hint="default" w:ascii="宋体" w:hAnsi="宋体"/>
          <w:sz w:val="24"/>
          <w:szCs w:val="24"/>
          <w:lang w:val="en-US" w:eastAsia="zh-CN"/>
        </w:rPr>
        <w:t>黄色（R255，G</w:t>
      </w:r>
      <w:r>
        <w:rPr>
          <w:rFonts w:hint="eastAsia" w:ascii="宋体" w:hAnsi="宋体"/>
          <w:sz w:val="24"/>
          <w:szCs w:val="24"/>
          <w:lang w:val="en-US" w:eastAsia="zh-CN"/>
        </w:rPr>
        <w:t>255</w:t>
      </w:r>
      <w:r>
        <w:rPr>
          <w:rFonts w:hint="default" w:ascii="宋体" w:hAnsi="宋体"/>
          <w:sz w:val="24"/>
          <w:szCs w:val="24"/>
          <w:lang w:val="en-US" w:eastAsia="zh-CN"/>
        </w:rPr>
        <w:t>，B0），采用凹形字体，除深燃logo以logo格式为标准外其他字体为黑体字；文字及管线走向为红色，满足室外使用5年以上不剥落</w:t>
      </w:r>
      <w:r>
        <w:rPr>
          <w:rFonts w:hint="eastAsia" w:ascii="宋体" w:hAnsi="宋体"/>
          <w:sz w:val="24"/>
          <w:szCs w:val="24"/>
          <w:lang w:val="en-US" w:eastAsia="zh-CN"/>
        </w:rPr>
        <w:t>，详见图4。</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textAlignment w:val="baseline"/>
        <w:rPr>
          <w:rFonts w:hint="default" w:ascii="宋体" w:hAnsi="宋体"/>
          <w:sz w:val="24"/>
          <w:szCs w:val="24"/>
          <w:lang w:val="en-US" w:eastAsia="zh-CN"/>
        </w:rPr>
      </w:pPr>
      <w:r>
        <w:rPr>
          <w:rFonts w:hint="default" w:ascii="宋体" w:hAnsi="宋体"/>
          <w:sz w:val="24"/>
          <w:szCs w:val="24"/>
          <w:lang w:val="en-US" w:eastAsia="zh-CN"/>
        </w:rPr>
        <w:drawing>
          <wp:inline distT="0" distB="0" distL="114300" distR="114300">
            <wp:extent cx="6203950" cy="2745740"/>
            <wp:effectExtent l="0" t="0" r="13970" b="12700"/>
            <wp:docPr id="13" name="图片 13" descr="baef99309e37995576f8527e7b0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aef99309e37995576f8527e7b059038"/>
                    <pic:cNvPicPr>
                      <a:picLocks noChangeAspect="1"/>
                    </pic:cNvPicPr>
                  </pic:nvPicPr>
                  <pic:blipFill>
                    <a:blip r:embed="rId16"/>
                    <a:srcRect l="3000" t="12621" r="2599" b="3767"/>
                    <a:stretch>
                      <a:fillRect/>
                    </a:stretch>
                  </pic:blipFill>
                  <pic:spPr>
                    <a:xfrm>
                      <a:off x="0" y="0"/>
                      <a:ext cx="6203950" cy="27457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sz w:val="24"/>
          <w:szCs w:val="24"/>
          <w:lang w:val="en-US" w:eastAsia="zh-CN"/>
        </w:rPr>
      </w:pPr>
      <w:r>
        <w:rPr>
          <w:rFonts w:hint="eastAsia" w:ascii="宋体" w:hAnsi="宋体"/>
          <w:sz w:val="24"/>
          <w:szCs w:val="24"/>
          <w:lang w:val="en-US" w:eastAsia="zh-CN"/>
        </w:rPr>
        <w:t>图4 草坪中、低压柱状标志桩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3）燃气管线走向标识应符合CJJ/T 153《城镇燃气标志标准》的要求。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3、材质、性能要求应符合地面标志桩的相关要求。</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4.2.3 灌木标志桩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结构要求：上部为正四棱台桩帽，中部为正方形柱状，下部带桩脚；桩帽设计尺寸为正视图为96mm×120mm×60mm的正四棱台；中部柱状设计尺寸为120mm×120mm×120mm×120mm×640mm；桩脚为圆形或方形柱状，桩脚直径为300mm，桩脚高为50mm，桩脚与标志桩应有可靠连接并圆滑过渡。若桩身与桩脚分体制造，桩身与桩脚应用纤维棒固定，标志桩采用承插式设计，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材质厚度不小于5mm。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1）上部表面应有永久性标志：“中压天然气管道”“严禁机械开挖”“施工前请咨询25199999”“深圳燃气”、燃气管线走向</w:t>
      </w:r>
      <w:r>
        <w:rPr>
          <w:rFonts w:hint="eastAsia" w:ascii="宋体" w:hAnsi="宋体"/>
          <w:sz w:val="24"/>
          <w:szCs w:val="24"/>
          <w:lang w:val="en-US" w:eastAsia="zh-CN"/>
        </w:rPr>
        <w:t>，详见图5。</w:t>
      </w:r>
    </w:p>
    <w:p>
      <w:pPr>
        <w:spacing w:line="300" w:lineRule="auto"/>
        <w:ind w:firstLine="480" w:firstLineChars="200"/>
        <w:rPr>
          <w:rFonts w:hint="eastAsia" w:ascii="宋体" w:hAnsi="宋体"/>
          <w:sz w:val="24"/>
          <w:szCs w:val="24"/>
          <w:lang w:val="en-US" w:eastAsia="zh-CN"/>
        </w:rPr>
      </w:pPr>
      <w:r>
        <w:rPr>
          <w:rFonts w:hint="default" w:ascii="宋体" w:hAnsi="宋体"/>
          <w:sz w:val="24"/>
          <w:szCs w:val="24"/>
          <w:lang w:val="en-US" w:eastAsia="zh-CN"/>
        </w:rPr>
        <w:t>2）字体与颜色：桩体主体颜色为白色（R255，G255，B255），上部桩帽</w:t>
      </w:r>
      <w:r>
        <w:rPr>
          <w:rFonts w:hint="eastAsia" w:ascii="宋体" w:hAnsi="宋体"/>
          <w:sz w:val="24"/>
          <w:szCs w:val="24"/>
          <w:lang w:val="en-US" w:eastAsia="zh-CN"/>
        </w:rPr>
        <w:t>为</w:t>
      </w:r>
      <w:r>
        <w:rPr>
          <w:rFonts w:hint="default" w:ascii="宋体" w:hAnsi="宋体"/>
          <w:sz w:val="24"/>
          <w:szCs w:val="24"/>
          <w:lang w:val="en-US" w:eastAsia="zh-CN"/>
        </w:rPr>
        <w:t>黄色（R255，G</w:t>
      </w:r>
      <w:r>
        <w:rPr>
          <w:rFonts w:hint="eastAsia" w:ascii="宋体" w:hAnsi="宋体"/>
          <w:sz w:val="24"/>
          <w:szCs w:val="24"/>
          <w:lang w:val="en-US" w:eastAsia="zh-CN"/>
        </w:rPr>
        <w:t>255</w:t>
      </w:r>
      <w:r>
        <w:rPr>
          <w:rFonts w:hint="default" w:ascii="宋体" w:hAnsi="宋体"/>
          <w:sz w:val="24"/>
          <w:szCs w:val="24"/>
          <w:lang w:val="en-US" w:eastAsia="zh-CN"/>
        </w:rPr>
        <w:t>，B0）</w:t>
      </w:r>
      <w:r>
        <w:rPr>
          <w:rFonts w:hint="eastAsia" w:ascii="宋体" w:hAnsi="宋体"/>
          <w:sz w:val="24"/>
          <w:szCs w:val="24"/>
          <w:lang w:val="en-US" w:eastAsia="zh-CN"/>
        </w:rPr>
        <w:t>，</w:t>
      </w:r>
      <w:r>
        <w:rPr>
          <w:rFonts w:hint="default" w:ascii="宋体" w:hAnsi="宋体"/>
          <w:sz w:val="24"/>
          <w:szCs w:val="24"/>
          <w:lang w:val="en-US" w:eastAsia="zh-CN"/>
        </w:rPr>
        <w:t>采用凹形字体，除深燃logo以logo格式为标准外其他字体为黑体字；文字及管线走向为红色，满足室外使用5年以上不剥落</w:t>
      </w:r>
      <w:r>
        <w:rPr>
          <w:rFonts w:hint="eastAsia" w:ascii="宋体" w:hAnsi="宋体"/>
          <w:sz w:val="24"/>
          <w:szCs w:val="24"/>
          <w:lang w:val="en-US" w:eastAsia="zh-CN"/>
        </w:rPr>
        <w:t>，详见图5。</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3）燃气管线走向标识应符合CJJ/T 153《城镇燃气标志标准》的要求。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3、材质、性能要求应符合地面标志桩的相关要求。</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textAlignment w:val="baseline"/>
        <w:rPr>
          <w:rFonts w:hint="default" w:ascii="宋体" w:hAnsi="宋体"/>
          <w:sz w:val="24"/>
          <w:szCs w:val="24"/>
          <w:lang w:val="en-US" w:eastAsia="zh-CN"/>
        </w:rPr>
      </w:pPr>
      <w:r>
        <w:rPr>
          <w:rFonts w:hint="default" w:ascii="宋体" w:hAnsi="宋体"/>
          <w:sz w:val="24"/>
          <w:szCs w:val="24"/>
          <w:lang w:val="en-US" w:eastAsia="zh-CN"/>
        </w:rPr>
        <w:drawing>
          <wp:inline distT="0" distB="0" distL="114300" distR="114300">
            <wp:extent cx="5628005" cy="3364865"/>
            <wp:effectExtent l="0" t="0" r="10795" b="3175"/>
            <wp:docPr id="3" name="图片 3" descr="ee1630744d12978d1d2884611faae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e1630744d12978d1d2884611faae666"/>
                    <pic:cNvPicPr>
                      <a:picLocks noChangeAspect="1"/>
                    </pic:cNvPicPr>
                  </pic:nvPicPr>
                  <pic:blipFill>
                    <a:blip r:embed="rId17"/>
                    <a:srcRect l="1766" t="9445" r="4308" b="2903"/>
                    <a:stretch>
                      <a:fillRect/>
                    </a:stretch>
                  </pic:blipFill>
                  <pic:spPr>
                    <a:xfrm>
                      <a:off x="0" y="0"/>
                      <a:ext cx="5628005" cy="33648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sz w:val="24"/>
          <w:szCs w:val="24"/>
          <w:lang w:val="en-US" w:eastAsia="zh-CN"/>
        </w:rPr>
      </w:pPr>
      <w:r>
        <w:rPr>
          <w:rFonts w:hint="eastAsia" w:ascii="宋体" w:hAnsi="宋体"/>
          <w:sz w:val="24"/>
          <w:szCs w:val="24"/>
          <w:lang w:val="en-US" w:eastAsia="zh-CN"/>
        </w:rPr>
        <w:t>图5 灌木中、低压柱状标志桩</w:t>
      </w:r>
    </w:p>
    <w:p>
      <w:pPr>
        <w:pStyle w:val="63"/>
        <w:spacing w:before="0" w:after="0" w:line="300" w:lineRule="auto"/>
        <w:jc w:val="left"/>
        <w:rPr>
          <w:rFonts w:hint="eastAsia" w:ascii="黑体" w:hAnsi="黑体" w:eastAsia="黑体"/>
          <w:b w:val="0"/>
          <w:sz w:val="24"/>
          <w:szCs w:val="24"/>
          <w:lang w:val="en-US" w:eastAsia="zh-CN"/>
        </w:rPr>
      </w:pPr>
      <w:r>
        <w:rPr>
          <w:rFonts w:hint="eastAsia" w:ascii="黑体" w:hAnsi="黑体" w:eastAsia="黑体"/>
          <w:b w:val="0"/>
          <w:sz w:val="24"/>
          <w:szCs w:val="24"/>
          <w:lang w:val="en-US" w:eastAsia="zh-CN"/>
        </w:rPr>
        <w:t>4.3 高、次高压柱状标志桩</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4.3.1 材质及成型要求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1）桩体材质采用玻璃纤维丝-不饱和树脂等化工原料高温挤压成型。桩脚采用玻璃钢短纤维模料高温压铸一次成型。使用年限要求在30年以上。</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随货提供玻璃纤维丝、不饱和树脂的原材料合格证书。</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2）表漆及表面工艺要求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桩身表面采用抗老化、耐磨持久的特种油漆，采用烤漆工艺。油漆的原材料要求为进口品牌，随货提供油漆原材料合格证书。</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凹字使用的油漆必须耐久，不剥落，不褪色，刻字深度不低于1mm。</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4.3.2 通用型标志桩规格尺寸要求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标志桩采用三面体，顶面三角形规格为150mm×150mm×150mm，总长1550mm（含桩脚），埋地部分750mm，地面以上部分800mm，壁厚5mm。下部带圆盘样桩脚，圆盘直径300mm,高度50mm,圆盘与桩身有圆角过渡，圆角为R50mm，桩身与桩脚分体制造。桩身与桩脚用不锈钢螺栓固定，标志桩采用承插式，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标志桩顶面为橙色黑字，箭头标识采用凹版设计，角度主要为90°，180°，135°（三通箭头除外）；标志桩侧面为橙色黑字，字体为宋体字，字体为凹版设计，刻字深度不低于1mm。（备注：橙色（R255,G153,B0）,黑色（R0,G0,B0）;标志桩颜色根据样品在后期实际展示的情况，可作一定的修改。）</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2）标志桩内容要求如下（</w:t>
      </w:r>
      <w:r>
        <w:rPr>
          <w:rFonts w:hint="eastAsia" w:ascii="宋体" w:hAnsi="宋体"/>
          <w:sz w:val="24"/>
          <w:szCs w:val="24"/>
          <w:lang w:val="en-US" w:eastAsia="zh-CN"/>
        </w:rPr>
        <w:t>详</w:t>
      </w:r>
      <w:r>
        <w:rPr>
          <w:rFonts w:hint="default" w:ascii="宋体" w:hAnsi="宋体"/>
          <w:sz w:val="24"/>
          <w:szCs w:val="24"/>
          <w:lang w:val="en-US" w:eastAsia="zh-CN"/>
        </w:rPr>
        <w:t>见图4）：</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eastAsia" w:ascii="宋体" w:hAnsi="宋体"/>
          <w:sz w:val="24"/>
          <w:szCs w:val="24"/>
          <w:lang w:val="en-US" w:eastAsia="zh-CN"/>
        </w:rPr>
      </w:pPr>
      <w:r>
        <w:drawing>
          <wp:inline distT="0" distB="0" distL="114300" distR="114300">
            <wp:extent cx="5078730" cy="8075295"/>
            <wp:effectExtent l="0" t="0" r="11430" b="1905"/>
            <wp:docPr id="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pic:cNvPicPr>
                      <a:picLocks noChangeAspect="1"/>
                    </pic:cNvPicPr>
                  </pic:nvPicPr>
                  <pic:blipFill>
                    <a:blip r:embed="rId18"/>
                    <a:stretch>
                      <a:fillRect/>
                    </a:stretch>
                  </pic:blipFill>
                  <pic:spPr>
                    <a:xfrm>
                      <a:off x="0" y="0"/>
                      <a:ext cx="5078730" cy="80752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eastAsia" w:ascii="宋体" w:hAnsi="宋体"/>
          <w:sz w:val="24"/>
          <w:szCs w:val="24"/>
          <w:lang w:val="en-US" w:eastAsia="zh-CN"/>
        </w:rPr>
      </w:pPr>
      <w:r>
        <w:rPr>
          <w:rFonts w:hint="eastAsia" w:ascii="宋体" w:hAnsi="宋体"/>
          <w:sz w:val="24"/>
          <w:szCs w:val="24"/>
          <w:lang w:val="en-US" w:eastAsia="zh-CN"/>
        </w:rPr>
        <w:t>图4 通用型高、次高压柱状标志桩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标志桩三个侧面统一设置公司的Logo，Logo尺寸为95mm×95mm，Logo位于“深圳燃气”字样的正上方15mm处，“深圳燃气”字宽×高：25mm×28mm，字距3.5mm。桩身统一设置两条警示线，最上面的警示线距桩顶100mm</w:t>
      </w:r>
      <w:r>
        <w:rPr>
          <w:rFonts w:hint="eastAsia" w:ascii="宋体" w:hAnsi="宋体"/>
          <w:sz w:val="24"/>
          <w:szCs w:val="24"/>
          <w:lang w:val="en-US" w:eastAsia="zh-CN"/>
        </w:rPr>
        <w:t>，</w:t>
      </w:r>
      <w:r>
        <w:rPr>
          <w:rFonts w:hint="default" w:ascii="宋体" w:hAnsi="宋体"/>
          <w:sz w:val="24"/>
          <w:szCs w:val="24"/>
          <w:lang w:val="en-US" w:eastAsia="zh-CN"/>
        </w:rPr>
        <w:t>警示线间距10mm，颜色为深蓝色。</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A．侧面一（A面）：桩顶与警示线之间设置二维码贴标签处，尺寸为长50mm,宽30mm。“深圳燃气”下方内容为“高压天然气管道”，字高50mm，字宽43mm，字距8.5mm。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B．侧面二（B面）：桩顶与警示线之间设置圆形芯片孔，直径为30mm。“深圳燃气”下方内容为“联系电话”，字高×宽：28×25mm，字距3.5mm，“25199999”，楷体字，字高×宽：35mm×43mm，字距9.5mm。桩身紧贴埋深线右侧以上设计辅助图形“三叶草”，尺寸为105*75mm。</w:t>
      </w:r>
    </w:p>
    <w:p>
      <w:pPr>
        <w:spacing w:line="300" w:lineRule="auto"/>
        <w:ind w:firstLine="480" w:firstLineChars="200"/>
        <w:rPr>
          <w:rFonts w:hint="eastAsia" w:ascii="宋体" w:hAnsi="宋体"/>
          <w:sz w:val="24"/>
          <w:szCs w:val="24"/>
          <w:lang w:val="en-US" w:eastAsia="zh-CN"/>
        </w:rPr>
      </w:pPr>
      <w:r>
        <w:rPr>
          <w:rFonts w:hint="default" w:ascii="宋体" w:hAnsi="宋体"/>
          <w:sz w:val="24"/>
          <w:szCs w:val="24"/>
          <w:lang w:val="en-US" w:eastAsia="zh-CN"/>
        </w:rPr>
        <w:t>C．侧面三（C面）：桩顶与警示线之间设置贴铭牌区，铭牌材质为316不锈钢材质，铭牌内容包含线路名称、桩号、里程三方面内容。铭牌规格100×60mm，采用螺丝固定。“深圳燃气”的下方“管道两侧五米内禁止开挖”，字高35mm，字宽43mm，字距1.5mm。字样下方为埋地分界线，分界线蓝色，高×宽：5×120mm</w:t>
      </w:r>
      <w:r>
        <w:rPr>
          <w:rFonts w:hint="eastAsia" w:ascii="宋体" w:hAnsi="宋体"/>
          <w:sz w:val="24"/>
          <w:szCs w:val="24"/>
          <w:lang w:val="en-US" w:eastAsia="zh-CN"/>
        </w:rPr>
        <w:t>，详见图4。</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4.3.3 草坪标志桩规格尺寸要求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结构要求：上部为正四棱台桩帽，中部为正方形柱状，下部带桩脚；桩帽设计尺寸为正视图为96mm×120mm×60mm的正四棱台；中部柱状设计尺寸为120mm×120mm×120mm×120mm×500mm；桩脚为圆形或方形柱状，桩脚直径为300mm，桩脚高为50mm，桩脚与标志桩应有可靠连接并圆滑过渡。若桩身与桩脚分体制造，桩身与桩脚应用纤维棒固定，标志桩采用承插式设计，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材质厚度不小于5mm。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1）桩帽表面应有永久性标志：“高压天然气管道”“管道两侧五米内严禁开挖”“联系电话25199999”“深圳燃气”、燃气管线走向。</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A．侧面一：桩帽下设高度10mm蓝色反光条警示线，警示线下方设置二维码贴标签处，尺寸为长30mm,宽30mm。桩身紧贴埋深线右侧以上设计辅助图形“三叶草”，尺寸为105*75mm。辅助图形“三叶草”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B．侧面二：桩帽下设高度10mm蓝色反光条警示线，警示线下方设置圆形芯片孔，直径为30mm。芯片孔下方为埋地分界线，分界线蓝色，高×宽：5×90mm。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C．侧面三：桩帽下设高度10mm蓝色反光条警示线，警示线下方设置贴铭牌区，铭牌材质为316不锈钢材质，铭牌内容包含线路名称、桩号、里程三方面内容。铭牌规格100×60mm，采用螺丝固定。铭牌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D．侧面四：桩帽下设高度10mm蓝色反光条警示线，警示线下方无内容，下方为埋地分界线，分界线蓝色，高×宽：5×90mm</w:t>
      </w:r>
      <w:r>
        <w:rPr>
          <w:rFonts w:hint="eastAsia" w:ascii="宋体" w:hAnsi="宋体"/>
          <w:sz w:val="24"/>
          <w:szCs w:val="24"/>
          <w:lang w:val="en-US" w:eastAsia="zh-CN"/>
        </w:rPr>
        <w:t>，详见图5。</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2）字体与颜色：桩体主体颜色为白色（R255，G255，B255），上部桩帽</w:t>
      </w:r>
      <w:r>
        <w:rPr>
          <w:rFonts w:hint="eastAsia" w:ascii="宋体" w:hAnsi="宋体"/>
          <w:sz w:val="24"/>
          <w:szCs w:val="24"/>
          <w:lang w:val="en-US" w:eastAsia="zh-CN"/>
        </w:rPr>
        <w:t>为</w:t>
      </w:r>
      <w:r>
        <w:rPr>
          <w:rFonts w:hint="default" w:ascii="宋体" w:hAnsi="宋体"/>
          <w:sz w:val="24"/>
          <w:szCs w:val="24"/>
          <w:lang w:val="en-US" w:eastAsia="zh-CN"/>
        </w:rPr>
        <w:t>黄色（R255，G</w:t>
      </w:r>
      <w:r>
        <w:rPr>
          <w:rFonts w:hint="eastAsia" w:ascii="宋体" w:hAnsi="宋体"/>
          <w:sz w:val="24"/>
          <w:szCs w:val="24"/>
          <w:lang w:val="en-US" w:eastAsia="zh-CN"/>
        </w:rPr>
        <w:t>255</w:t>
      </w:r>
      <w:r>
        <w:rPr>
          <w:rFonts w:hint="default" w:ascii="宋体" w:hAnsi="宋体"/>
          <w:sz w:val="24"/>
          <w:szCs w:val="24"/>
          <w:lang w:val="en-US" w:eastAsia="zh-CN"/>
        </w:rPr>
        <w:t>，B0），采用凹形字体，除深燃logo以logo格式为标准外其他字体为黑体字；文字及管线走向为红色，满足室外使用5年以上不剥落</w:t>
      </w:r>
      <w:r>
        <w:rPr>
          <w:rFonts w:hint="eastAsia" w:ascii="宋体" w:hAnsi="宋体"/>
          <w:sz w:val="24"/>
          <w:szCs w:val="24"/>
          <w:lang w:val="en-US" w:eastAsia="zh-CN"/>
        </w:rPr>
        <w:t>，详见图5。</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eastAsia" w:ascii="宋体" w:hAnsi="宋体"/>
          <w:sz w:val="24"/>
          <w:szCs w:val="24"/>
          <w:lang w:val="en-US" w:eastAsia="zh-CN"/>
        </w:rPr>
      </w:pPr>
      <w:r>
        <w:rPr>
          <w:rFonts w:hint="eastAsia" w:ascii="宋体" w:hAnsi="宋体"/>
          <w:sz w:val="24"/>
          <w:szCs w:val="24"/>
          <w:lang w:val="en-US" w:eastAsia="zh-CN"/>
        </w:rPr>
        <w:drawing>
          <wp:inline distT="0" distB="0" distL="114300" distR="114300">
            <wp:extent cx="5415915" cy="2755265"/>
            <wp:effectExtent l="0" t="0" r="9525" b="3175"/>
            <wp:docPr id="101" name="图片 101" descr="bb9b6e3b29c02b40ab5f945e86d169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bb9b6e3b29c02b40ab5f945e86d169da"/>
                    <pic:cNvPicPr>
                      <a:picLocks noChangeAspect="1"/>
                    </pic:cNvPicPr>
                  </pic:nvPicPr>
                  <pic:blipFill>
                    <a:blip r:embed="rId19"/>
                    <a:srcRect l="1424" t="12239" r="1353" b="2573"/>
                    <a:stretch>
                      <a:fillRect/>
                    </a:stretch>
                  </pic:blipFill>
                  <pic:spPr>
                    <a:xfrm>
                      <a:off x="0" y="0"/>
                      <a:ext cx="5415915" cy="2755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sz w:val="24"/>
          <w:szCs w:val="24"/>
          <w:lang w:val="en-US" w:eastAsia="zh-CN"/>
        </w:rPr>
      </w:pPr>
      <w:r>
        <w:rPr>
          <w:rFonts w:hint="eastAsia" w:ascii="宋体" w:hAnsi="宋体"/>
          <w:sz w:val="24"/>
          <w:szCs w:val="24"/>
          <w:lang w:val="en-US" w:eastAsia="zh-CN"/>
        </w:rPr>
        <w:t>图5 草坪高、次高压柱状标志桩</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3）燃气管线走向标识应符合CJJ/T 153《城镇燃气标志标准》的要求。</w:t>
      </w:r>
    </w:p>
    <w:p>
      <w:pPr>
        <w:spacing w:line="300" w:lineRule="auto"/>
        <w:rPr>
          <w:rFonts w:hint="eastAsia" w:ascii="宋体" w:hAnsi="宋体"/>
          <w:sz w:val="24"/>
          <w:szCs w:val="24"/>
          <w:lang w:val="en-US" w:eastAsia="zh-CN"/>
        </w:rPr>
      </w:pPr>
      <w:r>
        <w:rPr>
          <w:rFonts w:hint="eastAsia" w:ascii="宋体" w:hAnsi="宋体"/>
          <w:sz w:val="24"/>
          <w:szCs w:val="24"/>
          <w:lang w:val="en-US" w:eastAsia="zh-CN"/>
        </w:rPr>
        <w:t>4.3.4 灌木标志桩规格尺寸要求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结构要求：上部为正四棱台桩帽，中部为正方形柱状，下部带桩脚；桩帽设计尺寸为正视图为96mm×120mm×60mm的正四棱台；中部柱状设计尺寸为120mm×120mm×120mm×120mm×640mm；桩脚为圆形或方形柱状，桩脚直径为300mm，桩脚高为50mm，桩脚与标志桩应有可靠连接并圆滑过渡。若桩身与桩脚分体制造，桩身与桩脚应用纤维棒固定，标志桩采用承插式设计，固定后的桩脚具有下挂100KG以上承受力。</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材质厚度不小于5mm。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2、外观要求：</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1）桩帽表面应有永久性标志：燃气管线走向。</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A．侧面一：桩帽下设高度10mm蓝色反光条警示线，警示线下方设置二维码贴标签处，尺寸为长30mm,宽30mm。二维码下方内容为“高压天然气管道”。桩身紧贴埋深线右侧以上设计辅助图形“三叶草”，尺寸为105*75mm。辅助图形“三叶草”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B．侧面二：桩帽下设高度10mm蓝色反光条警示线，警示线下方设置圆形芯片孔，直径为30mm。芯片孔下方内容为“联系电话25199999”。字样下方为埋地分界线，分界线蓝色，高×宽：5×90mm。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C．侧面三：桩帽下设高度10mm蓝色反光条警示线，警示线下方设置贴铭牌区，铭牌材质为316不锈钢材质，铭牌内容包含线路名称、桩号、里程三方面内容。铭牌规格100×60mm，采用螺丝固定。铭牌下方内容为“联系电话25199999”。字样下方为埋地分界线，分界线蓝色，高×宽：5×90mm。</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D．侧面四：桩帽下设高度10mm蓝色反光条警示线，警示线下方为深燃logo。logo下方内容为“管道两侧五米内禁止开挖”。字样下方为埋地分界线，分界线蓝色，高×宽：5×90mm</w:t>
      </w:r>
      <w:r>
        <w:rPr>
          <w:rFonts w:hint="eastAsia" w:ascii="宋体" w:hAnsi="宋体"/>
          <w:sz w:val="24"/>
          <w:szCs w:val="24"/>
          <w:lang w:val="en-US" w:eastAsia="zh-CN"/>
        </w:rPr>
        <w:t>，详见图6。</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2）字体与颜色：桩体主体颜色为白色（R255，G255，B255），上部桩帽</w:t>
      </w:r>
      <w:r>
        <w:rPr>
          <w:rFonts w:hint="eastAsia" w:ascii="宋体" w:hAnsi="宋体"/>
          <w:sz w:val="24"/>
          <w:szCs w:val="24"/>
          <w:lang w:val="en-US" w:eastAsia="zh-CN"/>
        </w:rPr>
        <w:t>为</w:t>
      </w:r>
      <w:r>
        <w:rPr>
          <w:rFonts w:hint="default" w:ascii="宋体" w:hAnsi="宋体"/>
          <w:sz w:val="24"/>
          <w:szCs w:val="24"/>
          <w:lang w:val="en-US" w:eastAsia="zh-CN"/>
        </w:rPr>
        <w:t>黄色（R255，G</w:t>
      </w:r>
      <w:r>
        <w:rPr>
          <w:rFonts w:hint="eastAsia" w:ascii="宋体" w:hAnsi="宋体"/>
          <w:sz w:val="24"/>
          <w:szCs w:val="24"/>
          <w:lang w:val="en-US" w:eastAsia="zh-CN"/>
        </w:rPr>
        <w:t>255</w:t>
      </w:r>
      <w:r>
        <w:rPr>
          <w:rFonts w:hint="default" w:ascii="宋体" w:hAnsi="宋体"/>
          <w:sz w:val="24"/>
          <w:szCs w:val="24"/>
          <w:lang w:val="en-US" w:eastAsia="zh-CN"/>
        </w:rPr>
        <w:t>，B0），采用凹形字体，除深燃logo以logo格式为标准外其他字体为黑体字；文字及管线走向为红色，满足室外使用5年以上不剥落</w:t>
      </w:r>
      <w:r>
        <w:rPr>
          <w:rFonts w:hint="eastAsia" w:ascii="宋体" w:hAnsi="宋体"/>
          <w:sz w:val="24"/>
          <w:szCs w:val="24"/>
          <w:lang w:val="en-US" w:eastAsia="zh-CN"/>
        </w:rPr>
        <w:t>，详见图6。</w:t>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eastAsia" w:ascii="宋体" w:hAnsi="宋体"/>
          <w:sz w:val="24"/>
          <w:szCs w:val="24"/>
          <w:lang w:val="en-US" w:eastAsia="zh-CN"/>
        </w:rPr>
      </w:pPr>
      <w:r>
        <w:rPr>
          <w:rFonts w:hint="eastAsia" w:ascii="宋体" w:hAnsi="宋体"/>
          <w:sz w:val="24"/>
          <w:szCs w:val="24"/>
          <w:lang w:val="en-US" w:eastAsia="zh-CN"/>
        </w:rPr>
        <w:drawing>
          <wp:inline distT="0" distB="0" distL="114300" distR="114300">
            <wp:extent cx="5314315" cy="3202305"/>
            <wp:effectExtent l="0" t="0" r="4445" b="13335"/>
            <wp:docPr id="102" name="图片 102" descr="9b18e0165480a30e7e7d6fc725579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9b18e0165480a30e7e7d6fc7255795cf"/>
                    <pic:cNvPicPr>
                      <a:picLocks noChangeAspect="1"/>
                    </pic:cNvPicPr>
                  </pic:nvPicPr>
                  <pic:blipFill>
                    <a:blip r:embed="rId20"/>
                    <a:srcRect l="1330" t="10543" r="2212" b="1496"/>
                    <a:stretch>
                      <a:fillRect/>
                    </a:stretch>
                  </pic:blipFill>
                  <pic:spPr>
                    <a:xfrm>
                      <a:off x="0" y="0"/>
                      <a:ext cx="5314315" cy="3202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300" w:lineRule="auto"/>
        <w:ind w:firstLine="0" w:firstLineChars="0"/>
        <w:jc w:val="center"/>
        <w:textAlignment w:val="baseline"/>
        <w:rPr>
          <w:rFonts w:hint="default" w:ascii="宋体" w:hAnsi="宋体"/>
          <w:sz w:val="24"/>
          <w:szCs w:val="24"/>
          <w:lang w:val="en-US" w:eastAsia="zh-CN"/>
        </w:rPr>
      </w:pPr>
      <w:r>
        <w:rPr>
          <w:rFonts w:hint="eastAsia" w:ascii="宋体" w:hAnsi="宋体"/>
          <w:sz w:val="24"/>
          <w:szCs w:val="24"/>
          <w:lang w:val="en-US" w:eastAsia="zh-CN"/>
        </w:rPr>
        <w:t>图6 灌木高、次高压柱状标志桩</w:t>
      </w:r>
    </w:p>
    <w:p>
      <w:pPr>
        <w:numPr>
          <w:ilvl w:val="0"/>
          <w:numId w:val="15"/>
        </w:num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燃气管线走向标识应符合CJJ/T 153《城镇燃气标志标准》的要求。</w:t>
      </w:r>
    </w:p>
    <w:p>
      <w:pPr>
        <w:numPr>
          <w:ilvl w:val="0"/>
          <w:numId w:val="0"/>
        </w:numPr>
        <w:spacing w:line="300" w:lineRule="auto"/>
        <w:rPr>
          <w:rFonts w:hint="default" w:ascii="宋体" w:hAnsi="宋体"/>
          <w:sz w:val="24"/>
          <w:szCs w:val="24"/>
          <w:lang w:val="en-US" w:eastAsia="zh-CN"/>
        </w:rPr>
      </w:pPr>
      <w:r>
        <w:rPr>
          <w:rFonts w:hint="default" w:ascii="宋体" w:hAnsi="宋体"/>
          <w:sz w:val="24"/>
          <w:szCs w:val="24"/>
          <w:lang w:val="en-US" w:eastAsia="zh-CN"/>
        </w:rPr>
        <w:t>5、性能要求应符合地面标志桩的相关要求。</w:t>
      </w:r>
    </w:p>
    <w:p>
      <w:pPr>
        <w:numPr>
          <w:ilvl w:val="0"/>
          <w:numId w:val="0"/>
        </w:numPr>
        <w:spacing w:line="300" w:lineRule="auto"/>
        <w:rPr>
          <w:rFonts w:hint="eastAsia" w:ascii="宋体" w:hAnsi="宋体"/>
          <w:sz w:val="24"/>
          <w:szCs w:val="24"/>
          <w:lang w:val="en-US" w:eastAsia="zh-CN"/>
        </w:rPr>
      </w:pPr>
      <w:r>
        <w:rPr>
          <w:rFonts w:hint="eastAsia" w:ascii="宋体" w:hAnsi="宋体"/>
          <w:sz w:val="24"/>
          <w:szCs w:val="24"/>
          <w:lang w:val="en-US" w:eastAsia="zh-CN"/>
        </w:rPr>
        <w:t>4.3.5 金属材料</w:t>
      </w:r>
    </w:p>
    <w:p>
      <w:pPr>
        <w:spacing w:line="300" w:lineRule="auto"/>
        <w:ind w:firstLine="480" w:firstLineChars="200"/>
        <w:rPr>
          <w:rFonts w:hint="default" w:ascii="宋体" w:hAnsi="宋体"/>
          <w:sz w:val="24"/>
          <w:szCs w:val="24"/>
          <w:lang w:val="en-US" w:eastAsia="zh-CN"/>
        </w:rPr>
      </w:pPr>
      <w:r>
        <w:rPr>
          <w:rFonts w:hint="default" w:ascii="宋体" w:hAnsi="宋体"/>
          <w:sz w:val="24"/>
          <w:szCs w:val="24"/>
          <w:lang w:val="en-US" w:eastAsia="zh-CN"/>
        </w:rPr>
        <w:t>以上标志桩中可能用到的金属零配件均应使用不锈钢，材料性能不应低于06Cr19Ni10（304）的防腐性能</w:t>
      </w:r>
      <w:r>
        <w:rPr>
          <w:rFonts w:hint="eastAsia" w:ascii="宋体" w:hAnsi="宋体"/>
          <w:sz w:val="24"/>
          <w:szCs w:val="24"/>
          <w:lang w:val="en-US" w:eastAsia="zh-CN"/>
        </w:rPr>
        <w:t>。</w:t>
      </w:r>
    </w:p>
    <w:bookmarkEnd w:id="12"/>
    <w:p>
      <w:pPr>
        <w:pStyle w:val="3"/>
        <w:numPr>
          <w:ilvl w:val="0"/>
          <w:numId w:val="16"/>
        </w:numPr>
        <w:spacing w:before="0" w:after="0" w:line="300" w:lineRule="auto"/>
        <w:rPr>
          <w:rFonts w:ascii="黑体" w:hAnsi="黑体" w:eastAsia="黑体"/>
          <w:b w:val="0"/>
          <w:sz w:val="28"/>
          <w:szCs w:val="28"/>
        </w:rPr>
      </w:pPr>
      <w:bookmarkStart w:id="16" w:name="_Toc22289"/>
      <w:r>
        <w:rPr>
          <w:rFonts w:hint="eastAsia" w:ascii="黑体" w:hAnsi="黑体" w:eastAsia="黑体"/>
          <w:b w:val="0"/>
          <w:sz w:val="28"/>
          <w:szCs w:val="28"/>
        </w:rPr>
        <w:t>检验规则</w:t>
      </w:r>
      <w:bookmarkEnd w:id="16"/>
    </w:p>
    <w:p>
      <w:pPr>
        <w:spacing w:line="30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出厂检验：由制造厂检验部门对生产的每台产品，按检验项目表规定的出厂检验项目进行检验。</w:t>
      </w:r>
    </w:p>
    <w:p>
      <w:pPr>
        <w:pStyle w:val="3"/>
        <w:numPr>
          <w:ilvl w:val="0"/>
          <w:numId w:val="16"/>
        </w:numPr>
        <w:spacing w:before="0" w:after="0" w:line="300" w:lineRule="auto"/>
        <w:rPr>
          <w:rFonts w:ascii="黑体" w:hAnsi="黑体" w:eastAsia="黑体"/>
          <w:b w:val="0"/>
          <w:sz w:val="28"/>
          <w:szCs w:val="28"/>
        </w:rPr>
      </w:pPr>
      <w:r>
        <w:rPr>
          <w:rFonts w:hint="eastAsia" w:ascii="黑体" w:hAnsi="黑体" w:eastAsia="黑体"/>
          <w:b w:val="0"/>
          <w:sz w:val="28"/>
          <w:szCs w:val="28"/>
        </w:rPr>
        <w:t xml:space="preserve"> </w:t>
      </w:r>
      <w:bookmarkStart w:id="17" w:name="_Toc5024"/>
      <w:r>
        <w:rPr>
          <w:rFonts w:hint="eastAsia" w:ascii="黑体" w:hAnsi="黑体" w:eastAsia="黑体"/>
          <w:b w:val="0"/>
          <w:sz w:val="28"/>
          <w:szCs w:val="28"/>
        </w:rPr>
        <w:t>产品质量及质量保证</w:t>
      </w:r>
      <w:bookmarkEnd w:id="17"/>
    </w:p>
    <w:bookmarkEnd w:id="13"/>
    <w:p>
      <w:pPr>
        <w:spacing w:line="300" w:lineRule="auto"/>
        <w:ind w:firstLine="480" w:firstLineChars="200"/>
        <w:rPr>
          <w:rFonts w:hint="eastAsia" w:ascii="宋体" w:hAnsi="宋体"/>
          <w:sz w:val="24"/>
          <w:szCs w:val="24"/>
        </w:rPr>
      </w:pPr>
      <w:r>
        <w:rPr>
          <w:rFonts w:hint="eastAsia" w:ascii="宋体" w:hAnsi="宋体"/>
          <w:sz w:val="24"/>
          <w:szCs w:val="24"/>
        </w:rPr>
        <w:t>1、供应商必须保证货物是全新、未使用过，完全符合业主规定的质量、规格和性能的要求。</w:t>
      </w:r>
    </w:p>
    <w:p>
      <w:pPr>
        <w:spacing w:line="300" w:lineRule="auto"/>
        <w:ind w:firstLine="480" w:firstLineChars="200"/>
        <w:rPr>
          <w:rFonts w:hint="eastAsia" w:ascii="宋体" w:hAnsi="宋体"/>
          <w:sz w:val="24"/>
          <w:szCs w:val="24"/>
        </w:rPr>
      </w:pPr>
      <w:r>
        <w:rPr>
          <w:rFonts w:hint="eastAsia" w:ascii="宋体" w:hAnsi="宋体"/>
          <w:sz w:val="24"/>
          <w:szCs w:val="24"/>
        </w:rPr>
        <w:t>2、产品变更管理：如果在供应过程中需要对相关产品进行变更，包括但不限于产品标准、技术参数、生产厂名或厂址、原材料规格及等级、产品设计、规格尺寸及其它任何可能影响产品功能、安全及使用寿命的变更，必须提前向业主提出申请，同时提供支持变更的相关文件。在获得业主书面认可后，供应商方可进行供应。在业主认可之前，供应商必须以原有设计的产品保障供应。</w:t>
      </w:r>
    </w:p>
    <w:p>
      <w:pPr>
        <w:spacing w:line="300" w:lineRule="auto"/>
        <w:ind w:firstLine="480" w:firstLineChars="200"/>
        <w:rPr>
          <w:rFonts w:hint="eastAsia" w:ascii="宋体" w:hAnsi="宋体"/>
          <w:sz w:val="24"/>
          <w:szCs w:val="24"/>
        </w:rPr>
      </w:pPr>
      <w:r>
        <w:rPr>
          <w:rFonts w:hint="eastAsia" w:ascii="宋体" w:hAnsi="宋体"/>
          <w:sz w:val="24"/>
          <w:szCs w:val="24"/>
        </w:rPr>
        <w:t>3、供应商需做好标志桩生产相关质量控制环节应有相关控制记录并存档，以便业主抽查。</w:t>
      </w:r>
    </w:p>
    <w:p>
      <w:pPr>
        <w:spacing w:line="300" w:lineRule="auto"/>
        <w:ind w:firstLine="480" w:firstLineChars="200"/>
        <w:rPr>
          <w:rFonts w:hint="eastAsia" w:ascii="宋体" w:hAnsi="宋体"/>
          <w:sz w:val="24"/>
          <w:szCs w:val="24"/>
        </w:rPr>
      </w:pPr>
      <w:r>
        <w:rPr>
          <w:rFonts w:hint="eastAsia" w:ascii="宋体" w:hAnsi="宋体"/>
          <w:sz w:val="24"/>
          <w:szCs w:val="24"/>
        </w:rPr>
        <w:t>4、供应商应保证每一批（或每一卷、块）标志桩具有追溯性。可以追溯到每一个相关的生产环节、质检环节及原料采购来源等。</w:t>
      </w:r>
    </w:p>
    <w:p>
      <w:pPr>
        <w:pStyle w:val="22"/>
        <w:rPr>
          <w:rFonts w:hint="default"/>
          <w:lang w:val="en-US" w:eastAsia="zh-CN"/>
        </w:rPr>
      </w:pPr>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D62E56-79B9-4926-9099-9213AD0AE64D}"/>
  </w:font>
  <w:font w:name="Courier New">
    <w:panose1 w:val="02070309020205020404"/>
    <w:charset w:val="01"/>
    <w:family w:val="modern"/>
    <w:pitch w:val="default"/>
    <w:sig w:usb0="E0002EFF" w:usb1="C0007843" w:usb2="00000009" w:usb3="00000000" w:csb0="400001FF" w:csb1="FFFF0000"/>
    <w:embedRegular r:id="rId2" w:fontKey="{351B541C-475E-4D8D-87A6-1FF2FD4C3AD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F28BCC7-981E-4F0F-A8BE-4612773EC45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38748516-AB74-41AA-9BD9-BB7E379D8D4C}"/>
  </w:font>
  <w:font w:name="PMingLiU">
    <w:altName w:val="PMingLiU-ExtB"/>
    <w:panose1 w:val="020205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embedRegular r:id="rId5" w:fontKey="{E19435BF-FC74-4D5F-8716-FFCF14D2EF64}"/>
  </w:font>
  <w:font w:name="方正小标宋简体">
    <w:panose1 w:val="02000000000000000000"/>
    <w:charset w:val="86"/>
    <w:family w:val="auto"/>
    <w:pitch w:val="default"/>
    <w:sig w:usb0="A00002BF" w:usb1="184F6CFA" w:usb2="00000012" w:usb3="00000000" w:csb0="00040001" w:csb1="00000000"/>
    <w:embedRegular r:id="rId6" w:fontKey="{9C5633A9-0483-4AED-97AA-A1F48D5DD3A2}"/>
  </w:font>
  <w:font w:name="Segoe UI Symbol">
    <w:panose1 w:val="020B0502040204020203"/>
    <w:charset w:val="00"/>
    <w:family w:val="swiss"/>
    <w:pitch w:val="default"/>
    <w:sig w:usb0="800001E3" w:usb1="1200FFEF" w:usb2="00040000" w:usb3="04000000" w:csb0="00000001" w:csb1="40000000"/>
    <w:embedRegular r:id="rId7" w:fontKey="{0E5E0FF9-98D4-44F4-ACEE-0211B397F944}"/>
  </w:font>
  <w:font w:name="Book Antiqua">
    <w:panose1 w:val="02040602050305030304"/>
    <w:charset w:val="00"/>
    <w:family w:val="roman"/>
    <w:pitch w:val="default"/>
    <w:sig w:usb0="00000287" w:usb1="00000000" w:usb2="00000000" w:usb3="00000000" w:csb0="2000009F" w:csb1="DFD70000"/>
    <w:embedRegular r:id="rId8" w:fontKey="{21BB51E7-D3A6-4406-9A32-EAE36564D05C}"/>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0BEF0"/>
    <w:multiLevelType w:val="singleLevel"/>
    <w:tmpl w:val="BE50BEF0"/>
    <w:lvl w:ilvl="0" w:tentative="0">
      <w:start w:val="1"/>
      <w:numFmt w:val="decimal"/>
      <w:suff w:val="nothing"/>
      <w:lvlText w:val="%1、"/>
      <w:lvlJc w:val="left"/>
    </w:lvl>
  </w:abstractNum>
  <w:abstractNum w:abstractNumId="1">
    <w:nsid w:val="C5938F0D"/>
    <w:multiLevelType w:val="singleLevel"/>
    <w:tmpl w:val="C5938F0D"/>
    <w:lvl w:ilvl="0" w:tentative="0">
      <w:start w:val="3"/>
      <w:numFmt w:val="decimal"/>
      <w:suff w:val="nothing"/>
      <w:lvlText w:val="%1）"/>
      <w:lvlJc w:val="left"/>
    </w:lvl>
  </w:abstractNum>
  <w:abstractNum w:abstractNumId="2">
    <w:nsid w:val="FFFFFF7C"/>
    <w:multiLevelType w:val="singleLevel"/>
    <w:tmpl w:val="FFFFFF7C"/>
    <w:lvl w:ilvl="0" w:tentative="0">
      <w:start w:val="1"/>
      <w:numFmt w:val="decimal"/>
      <w:pStyle w:val="64"/>
      <w:lvlText w:val="%1."/>
      <w:lvlJc w:val="left"/>
      <w:pPr>
        <w:tabs>
          <w:tab w:val="left" w:pos="2040"/>
        </w:tabs>
        <w:ind w:left="2040" w:hanging="360"/>
      </w:pPr>
    </w:lvl>
  </w:abstractNum>
  <w:abstractNum w:abstractNumId="3">
    <w:nsid w:val="FFFFFF7D"/>
    <w:multiLevelType w:val="singleLevel"/>
    <w:tmpl w:val="FFFFFF7D"/>
    <w:lvl w:ilvl="0" w:tentative="0">
      <w:start w:val="1"/>
      <w:numFmt w:val="decimal"/>
      <w:pStyle w:val="47"/>
      <w:lvlText w:val="%1."/>
      <w:lvlJc w:val="left"/>
      <w:pPr>
        <w:tabs>
          <w:tab w:val="left" w:pos="1620"/>
        </w:tabs>
        <w:ind w:left="1620" w:hanging="360"/>
      </w:pPr>
    </w:lvl>
  </w:abstractNum>
  <w:abstractNum w:abstractNumId="4">
    <w:nsid w:val="FFFFFF7E"/>
    <w:multiLevelType w:val="singleLevel"/>
    <w:tmpl w:val="FFFFFF7E"/>
    <w:lvl w:ilvl="0" w:tentative="0">
      <w:start w:val="1"/>
      <w:numFmt w:val="decimal"/>
      <w:pStyle w:val="36"/>
      <w:lvlText w:val="%1."/>
      <w:lvlJc w:val="left"/>
      <w:pPr>
        <w:tabs>
          <w:tab w:val="left" w:pos="1200"/>
        </w:tabs>
        <w:ind w:left="1200" w:hanging="360"/>
      </w:pPr>
    </w:lvl>
  </w:abstractNum>
  <w:abstractNum w:abstractNumId="5">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6">
    <w:nsid w:val="FFFFFF80"/>
    <w:multiLevelType w:val="singleLevel"/>
    <w:tmpl w:val="FFFFFF80"/>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7">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8">
    <w:nsid w:val="FFFFFF82"/>
    <w:multiLevelType w:val="singleLevel"/>
    <w:tmpl w:val="FFFFFF82"/>
    <w:lvl w:ilvl="0" w:tentative="0">
      <w:start w:val="1"/>
      <w:numFmt w:val="bullet"/>
      <w:pStyle w:val="34"/>
      <w:lvlText w:val=""/>
      <w:lvlJc w:val="left"/>
      <w:pPr>
        <w:tabs>
          <w:tab w:val="left" w:pos="1200"/>
        </w:tabs>
        <w:ind w:left="1200" w:hanging="360"/>
      </w:pPr>
      <w:rPr>
        <w:rFonts w:hint="default" w:ascii="Wingdings" w:hAnsi="Wingdings"/>
      </w:rPr>
    </w:lvl>
  </w:abstractNum>
  <w:abstractNum w:abstractNumId="9">
    <w:nsid w:val="FFFFFF83"/>
    <w:multiLevelType w:val="singleLevel"/>
    <w:tmpl w:val="FFFFFF83"/>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10">
    <w:nsid w:val="FFFFFF88"/>
    <w:multiLevelType w:val="singleLevel"/>
    <w:tmpl w:val="FFFFFF88"/>
    <w:lvl w:ilvl="0" w:tentative="0">
      <w:start w:val="1"/>
      <w:numFmt w:val="decimal"/>
      <w:pStyle w:val="19"/>
      <w:lvlText w:val="%1."/>
      <w:lvlJc w:val="left"/>
      <w:pPr>
        <w:tabs>
          <w:tab w:val="left" w:pos="360"/>
        </w:tabs>
        <w:ind w:left="360" w:hanging="360"/>
      </w:pPr>
    </w:lvl>
  </w:abstractNum>
  <w:abstractNum w:abstractNumId="11">
    <w:nsid w:val="FFFFFF89"/>
    <w:multiLevelType w:val="singleLevel"/>
    <w:tmpl w:val="FFFFFF89"/>
    <w:lvl w:ilvl="0" w:tentative="0">
      <w:start w:val="1"/>
      <w:numFmt w:val="bullet"/>
      <w:pStyle w:val="25"/>
      <w:lvlText w:val=""/>
      <w:lvlJc w:val="left"/>
      <w:pPr>
        <w:tabs>
          <w:tab w:val="left" w:pos="360"/>
        </w:tabs>
        <w:ind w:left="360" w:hanging="360"/>
      </w:pPr>
      <w:rPr>
        <w:rFonts w:hint="default" w:ascii="Wingdings" w:hAnsi="Wingdings"/>
      </w:rPr>
    </w:lvl>
  </w:abstractNum>
  <w:abstractNum w:abstractNumId="12">
    <w:nsid w:val="09D68165"/>
    <w:multiLevelType w:val="singleLevel"/>
    <w:tmpl w:val="09D68165"/>
    <w:lvl w:ilvl="0" w:tentative="0">
      <w:start w:val="7"/>
      <w:numFmt w:val="chineseCounting"/>
      <w:suff w:val="space"/>
      <w:lvlText w:val="第%1章"/>
      <w:lvlJc w:val="left"/>
      <w:rPr>
        <w:rFonts w:hint="eastAsia"/>
      </w:rPr>
    </w:lvl>
  </w:abstractNum>
  <w:abstractNum w:abstractNumId="13">
    <w:nsid w:val="5BC8413B"/>
    <w:multiLevelType w:val="multilevel"/>
    <w:tmpl w:val="5BC8413B"/>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CEA2025"/>
    <w:multiLevelType w:val="multilevel"/>
    <w:tmpl w:val="6CEA2025"/>
    <w:lvl w:ilvl="0" w:tentative="0">
      <w:start w:val="1"/>
      <w:numFmt w:val="none"/>
      <w:pStyle w:val="177"/>
      <w:suff w:val="nothing"/>
      <w:lvlText w:val="%1"/>
      <w:lvlJc w:val="left"/>
      <w:pPr>
        <w:ind w:left="0" w:firstLine="0"/>
      </w:pPr>
      <w:rPr>
        <w:rFonts w:hint="default" w:ascii="Times New Roman" w:hAnsi="Times New Roman" w:cs="Times New Roman"/>
        <w:b/>
        <w:i w:val="0"/>
        <w:sz w:val="21"/>
      </w:rPr>
    </w:lvl>
    <w:lvl w:ilvl="1" w:tentative="0">
      <w:start w:val="1"/>
      <w:numFmt w:val="decimal"/>
      <w:pStyle w:val="179"/>
      <w:suff w:val="nothing"/>
      <w:lvlText w:val="%1%2　"/>
      <w:lvlJc w:val="left"/>
      <w:pPr>
        <w:ind w:left="0" w:firstLine="0"/>
      </w:pPr>
      <w:rPr>
        <w:rFonts w:hint="eastAsia" w:ascii="黑体" w:hAnsi="Times New Roman" w:eastAsia="黑体"/>
        <w:b w:val="0"/>
        <w:i w:val="0"/>
        <w:sz w:val="21"/>
      </w:rPr>
    </w:lvl>
    <w:lvl w:ilvl="2" w:tentative="0">
      <w:start w:val="1"/>
      <w:numFmt w:val="decimal"/>
      <w:pStyle w:val="180"/>
      <w:suff w:val="nothing"/>
      <w:lvlText w:val="%1%2.%3　"/>
      <w:lvlJc w:val="left"/>
      <w:pPr>
        <w:ind w:left="0" w:firstLine="0"/>
      </w:pPr>
      <w:rPr>
        <w:rFonts w:hint="eastAsia" w:ascii="黑体" w:hAnsi="Times New Roman" w:eastAsia="黑体"/>
        <w:b w:val="0"/>
        <w:i w:val="0"/>
        <w:sz w:val="21"/>
      </w:rPr>
    </w:lvl>
    <w:lvl w:ilvl="3" w:tentative="0">
      <w:start w:val="1"/>
      <w:numFmt w:val="decimal"/>
      <w:pStyle w:val="181"/>
      <w:suff w:val="nothing"/>
      <w:lvlText w:val="%1%2.%3.%4　"/>
      <w:lvlJc w:val="left"/>
      <w:pPr>
        <w:ind w:left="0" w:firstLine="0"/>
      </w:pPr>
      <w:rPr>
        <w:rFonts w:hint="eastAsia" w:ascii="黑体" w:hAnsi="Times New Roman" w:eastAsia="黑体"/>
        <w:b w:val="0"/>
        <w:i w:val="0"/>
        <w:sz w:val="21"/>
      </w:rPr>
    </w:lvl>
    <w:lvl w:ilvl="4" w:tentative="0">
      <w:start w:val="1"/>
      <w:numFmt w:val="decimal"/>
      <w:pStyle w:val="182"/>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3"/>
      <w:suff w:val="nothing"/>
      <w:lvlText w:val="%1%2.%3.%4.%5.%6　"/>
      <w:lvlJc w:val="left"/>
      <w:pPr>
        <w:ind w:left="0" w:firstLine="0"/>
      </w:pPr>
      <w:rPr>
        <w:rFonts w:hint="eastAsia" w:ascii="黑体" w:hAnsi="Times New Roman" w:eastAsia="黑体"/>
        <w:b w:val="0"/>
        <w:i w:val="0"/>
        <w:sz w:val="21"/>
      </w:rPr>
    </w:lvl>
    <w:lvl w:ilvl="6" w:tentative="0">
      <w:start w:val="1"/>
      <w:numFmt w:val="decimal"/>
      <w:pStyle w:val="18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5">
    <w:nsid w:val="7FDE3C91"/>
    <w:multiLevelType w:val="multilevel"/>
    <w:tmpl w:val="7FDE3C91"/>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num w:numId="1">
    <w:abstractNumId w:val="5"/>
  </w:num>
  <w:num w:numId="2">
    <w:abstractNumId w:val="7"/>
  </w:num>
  <w:num w:numId="3">
    <w:abstractNumId w:val="10"/>
  </w:num>
  <w:num w:numId="4">
    <w:abstractNumId w:val="11"/>
  </w:num>
  <w:num w:numId="5">
    <w:abstractNumId w:val="8"/>
  </w:num>
  <w:num w:numId="6">
    <w:abstractNumId w:val="4"/>
  </w:num>
  <w:num w:numId="7">
    <w:abstractNumId w:val="9"/>
  </w:num>
  <w:num w:numId="8">
    <w:abstractNumId w:val="6"/>
  </w:num>
  <w:num w:numId="9">
    <w:abstractNumId w:val="3"/>
  </w:num>
  <w:num w:numId="10">
    <w:abstractNumId w:val="2"/>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15"/>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yMzcyODgxOTQxNGU3YTU2N2E1ZGMyM2NjMTVkNjcifQ=="/>
  </w:docVars>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667F"/>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16A"/>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D01DE"/>
    <w:rsid w:val="001D03ED"/>
    <w:rsid w:val="001D0575"/>
    <w:rsid w:val="001D0880"/>
    <w:rsid w:val="001D1B71"/>
    <w:rsid w:val="001D1D5E"/>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516D"/>
    <w:rsid w:val="00495488"/>
    <w:rsid w:val="00495BF0"/>
    <w:rsid w:val="00495D87"/>
    <w:rsid w:val="004960C6"/>
    <w:rsid w:val="004966C2"/>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40E6"/>
    <w:rsid w:val="00504C25"/>
    <w:rsid w:val="00506534"/>
    <w:rsid w:val="00506CD0"/>
    <w:rsid w:val="00510A1D"/>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3BC9"/>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EB1"/>
    <w:rsid w:val="00AD16C1"/>
    <w:rsid w:val="00AD3EF0"/>
    <w:rsid w:val="00AD5191"/>
    <w:rsid w:val="00AD533A"/>
    <w:rsid w:val="00AD543D"/>
    <w:rsid w:val="00AD6885"/>
    <w:rsid w:val="00AD6EC3"/>
    <w:rsid w:val="00AD78D9"/>
    <w:rsid w:val="00AD7E3D"/>
    <w:rsid w:val="00AE3285"/>
    <w:rsid w:val="00AE3704"/>
    <w:rsid w:val="00AE40AD"/>
    <w:rsid w:val="00AE5FAD"/>
    <w:rsid w:val="00AE6BDA"/>
    <w:rsid w:val="00AE79DE"/>
    <w:rsid w:val="00AE7B67"/>
    <w:rsid w:val="00AE7F12"/>
    <w:rsid w:val="00AF0783"/>
    <w:rsid w:val="00AF30E7"/>
    <w:rsid w:val="00AF46F3"/>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432C"/>
    <w:rsid w:val="00B74844"/>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333"/>
    <w:rsid w:val="00DB51BA"/>
    <w:rsid w:val="00DB5A3E"/>
    <w:rsid w:val="00DB6066"/>
    <w:rsid w:val="00DC0AA2"/>
    <w:rsid w:val="00DC1E4F"/>
    <w:rsid w:val="00DC30FF"/>
    <w:rsid w:val="00DC3EB1"/>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420"/>
    <w:rsid w:val="00E8569B"/>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9B"/>
    <w:rsid w:val="00FA4AE6"/>
    <w:rsid w:val="00FA64B9"/>
    <w:rsid w:val="00FA67A9"/>
    <w:rsid w:val="00FA7546"/>
    <w:rsid w:val="00FB1109"/>
    <w:rsid w:val="00FB1DD5"/>
    <w:rsid w:val="00FB1FFA"/>
    <w:rsid w:val="00FB3F8D"/>
    <w:rsid w:val="00FB3F8F"/>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297911"/>
    <w:rsid w:val="012E34F5"/>
    <w:rsid w:val="0192621F"/>
    <w:rsid w:val="01B91719"/>
    <w:rsid w:val="01C05480"/>
    <w:rsid w:val="01F90CAD"/>
    <w:rsid w:val="02005452"/>
    <w:rsid w:val="020255DA"/>
    <w:rsid w:val="022845CF"/>
    <w:rsid w:val="024B344F"/>
    <w:rsid w:val="02542DCA"/>
    <w:rsid w:val="026652FE"/>
    <w:rsid w:val="0271368F"/>
    <w:rsid w:val="02790316"/>
    <w:rsid w:val="027E770D"/>
    <w:rsid w:val="02873BB9"/>
    <w:rsid w:val="028B4239"/>
    <w:rsid w:val="02B11EFA"/>
    <w:rsid w:val="02F538E8"/>
    <w:rsid w:val="033933AF"/>
    <w:rsid w:val="03784FA8"/>
    <w:rsid w:val="038F1BA6"/>
    <w:rsid w:val="039166B4"/>
    <w:rsid w:val="03981F66"/>
    <w:rsid w:val="03A81A54"/>
    <w:rsid w:val="03C65AAE"/>
    <w:rsid w:val="03E317C6"/>
    <w:rsid w:val="03E9547A"/>
    <w:rsid w:val="03F4380B"/>
    <w:rsid w:val="03F84410"/>
    <w:rsid w:val="040015C7"/>
    <w:rsid w:val="04762137"/>
    <w:rsid w:val="049802FF"/>
    <w:rsid w:val="04B13E3F"/>
    <w:rsid w:val="04C11B67"/>
    <w:rsid w:val="04C17A85"/>
    <w:rsid w:val="04F311AF"/>
    <w:rsid w:val="050A286E"/>
    <w:rsid w:val="051D6770"/>
    <w:rsid w:val="05347853"/>
    <w:rsid w:val="053C242F"/>
    <w:rsid w:val="056F5D5C"/>
    <w:rsid w:val="05834D6A"/>
    <w:rsid w:val="058771C3"/>
    <w:rsid w:val="058C6ECE"/>
    <w:rsid w:val="059208A1"/>
    <w:rsid w:val="059B1F44"/>
    <w:rsid w:val="059F39D2"/>
    <w:rsid w:val="06133805"/>
    <w:rsid w:val="062F6A41"/>
    <w:rsid w:val="064D01EE"/>
    <w:rsid w:val="067F1A0F"/>
    <w:rsid w:val="06906652"/>
    <w:rsid w:val="0691047B"/>
    <w:rsid w:val="06A046EE"/>
    <w:rsid w:val="06AA2A26"/>
    <w:rsid w:val="06B83597"/>
    <w:rsid w:val="06C071A1"/>
    <w:rsid w:val="06C13699"/>
    <w:rsid w:val="06C47189"/>
    <w:rsid w:val="06D661E8"/>
    <w:rsid w:val="06E35A65"/>
    <w:rsid w:val="06F408F5"/>
    <w:rsid w:val="073F036D"/>
    <w:rsid w:val="07580619"/>
    <w:rsid w:val="078C1D6D"/>
    <w:rsid w:val="07905F8B"/>
    <w:rsid w:val="07DC0277"/>
    <w:rsid w:val="07F05284"/>
    <w:rsid w:val="08070818"/>
    <w:rsid w:val="08424218"/>
    <w:rsid w:val="08510831"/>
    <w:rsid w:val="08880CFB"/>
    <w:rsid w:val="08A42879"/>
    <w:rsid w:val="08B33B0B"/>
    <w:rsid w:val="08C2566D"/>
    <w:rsid w:val="08DC588A"/>
    <w:rsid w:val="08E9552D"/>
    <w:rsid w:val="08EC53DD"/>
    <w:rsid w:val="091772F6"/>
    <w:rsid w:val="091C32AD"/>
    <w:rsid w:val="09232CCC"/>
    <w:rsid w:val="093C46F2"/>
    <w:rsid w:val="09565F9E"/>
    <w:rsid w:val="095B391A"/>
    <w:rsid w:val="0965396C"/>
    <w:rsid w:val="096D1EC7"/>
    <w:rsid w:val="09754754"/>
    <w:rsid w:val="09961C51"/>
    <w:rsid w:val="099D0853"/>
    <w:rsid w:val="09A338D0"/>
    <w:rsid w:val="09AA7B69"/>
    <w:rsid w:val="09DC4923"/>
    <w:rsid w:val="09EB754B"/>
    <w:rsid w:val="09EE1557"/>
    <w:rsid w:val="0A35554F"/>
    <w:rsid w:val="0A362FD0"/>
    <w:rsid w:val="0A365FB3"/>
    <w:rsid w:val="0A562C04"/>
    <w:rsid w:val="0A7056F9"/>
    <w:rsid w:val="0A734DE1"/>
    <w:rsid w:val="0AA16DFC"/>
    <w:rsid w:val="0AB44CCD"/>
    <w:rsid w:val="0AF12355"/>
    <w:rsid w:val="0AFF19C1"/>
    <w:rsid w:val="0B0E5232"/>
    <w:rsid w:val="0B22064F"/>
    <w:rsid w:val="0B2B6D61"/>
    <w:rsid w:val="0B7E67EB"/>
    <w:rsid w:val="0BA903DA"/>
    <w:rsid w:val="0BC820E2"/>
    <w:rsid w:val="0BCB5E6B"/>
    <w:rsid w:val="0BDA08E4"/>
    <w:rsid w:val="0BE84B95"/>
    <w:rsid w:val="0BFA6134"/>
    <w:rsid w:val="0C0F4B4A"/>
    <w:rsid w:val="0C204672"/>
    <w:rsid w:val="0C215FB8"/>
    <w:rsid w:val="0C240823"/>
    <w:rsid w:val="0C457C3E"/>
    <w:rsid w:val="0CA77552"/>
    <w:rsid w:val="0CB208B0"/>
    <w:rsid w:val="0CBF4340"/>
    <w:rsid w:val="0CF57B2C"/>
    <w:rsid w:val="0D0E73B0"/>
    <w:rsid w:val="0D414BAD"/>
    <w:rsid w:val="0D6A65A8"/>
    <w:rsid w:val="0D755621"/>
    <w:rsid w:val="0D945ED5"/>
    <w:rsid w:val="0DC87629"/>
    <w:rsid w:val="0DC9092E"/>
    <w:rsid w:val="0DE436D6"/>
    <w:rsid w:val="0DE606EB"/>
    <w:rsid w:val="0DE66BD9"/>
    <w:rsid w:val="0DEB75D2"/>
    <w:rsid w:val="0DEF0F84"/>
    <w:rsid w:val="0DF27985"/>
    <w:rsid w:val="0E05748E"/>
    <w:rsid w:val="0E0C3FC7"/>
    <w:rsid w:val="0E134EC1"/>
    <w:rsid w:val="0E19612F"/>
    <w:rsid w:val="0E20133D"/>
    <w:rsid w:val="0E301545"/>
    <w:rsid w:val="0E8D066C"/>
    <w:rsid w:val="0E9425F8"/>
    <w:rsid w:val="0E9B08FE"/>
    <w:rsid w:val="0EB97912"/>
    <w:rsid w:val="0EC71F0D"/>
    <w:rsid w:val="0F0D599A"/>
    <w:rsid w:val="0F2B66F0"/>
    <w:rsid w:val="0F2E5C77"/>
    <w:rsid w:val="0F3F5F47"/>
    <w:rsid w:val="0F6A6B8F"/>
    <w:rsid w:val="0F8F1193"/>
    <w:rsid w:val="0F990702"/>
    <w:rsid w:val="0FA9329A"/>
    <w:rsid w:val="0FD909AF"/>
    <w:rsid w:val="100773AB"/>
    <w:rsid w:val="1037315A"/>
    <w:rsid w:val="104B0B08"/>
    <w:rsid w:val="10513DE0"/>
    <w:rsid w:val="106F7A7A"/>
    <w:rsid w:val="108847C0"/>
    <w:rsid w:val="108C5BB3"/>
    <w:rsid w:val="108D140B"/>
    <w:rsid w:val="10917A16"/>
    <w:rsid w:val="10C87535"/>
    <w:rsid w:val="10EB6EE7"/>
    <w:rsid w:val="11263022"/>
    <w:rsid w:val="113B0DEF"/>
    <w:rsid w:val="116C6D3D"/>
    <w:rsid w:val="116F23E8"/>
    <w:rsid w:val="1196060D"/>
    <w:rsid w:val="11BB5E4B"/>
    <w:rsid w:val="11E535B3"/>
    <w:rsid w:val="11F47B61"/>
    <w:rsid w:val="11F57161"/>
    <w:rsid w:val="11FF5A95"/>
    <w:rsid w:val="12597F69"/>
    <w:rsid w:val="12A37C0E"/>
    <w:rsid w:val="12C65172"/>
    <w:rsid w:val="12D931F9"/>
    <w:rsid w:val="12DD1256"/>
    <w:rsid w:val="12E3158A"/>
    <w:rsid w:val="12E9666A"/>
    <w:rsid w:val="12FD27F6"/>
    <w:rsid w:val="131B16E4"/>
    <w:rsid w:val="1345528E"/>
    <w:rsid w:val="136817E4"/>
    <w:rsid w:val="136B1596"/>
    <w:rsid w:val="139A32B7"/>
    <w:rsid w:val="139D423C"/>
    <w:rsid w:val="13A01ED2"/>
    <w:rsid w:val="13D42198"/>
    <w:rsid w:val="140368F2"/>
    <w:rsid w:val="140F6826"/>
    <w:rsid w:val="1423476C"/>
    <w:rsid w:val="143F5FC4"/>
    <w:rsid w:val="1449111E"/>
    <w:rsid w:val="144C30DB"/>
    <w:rsid w:val="14501AE1"/>
    <w:rsid w:val="146A2525"/>
    <w:rsid w:val="147171D9"/>
    <w:rsid w:val="147B4FD6"/>
    <w:rsid w:val="14946D53"/>
    <w:rsid w:val="14B57287"/>
    <w:rsid w:val="14BB338F"/>
    <w:rsid w:val="14CF399E"/>
    <w:rsid w:val="14D35A18"/>
    <w:rsid w:val="14DA3C44"/>
    <w:rsid w:val="14FF0CAA"/>
    <w:rsid w:val="1525524C"/>
    <w:rsid w:val="15472079"/>
    <w:rsid w:val="154D4629"/>
    <w:rsid w:val="15624E21"/>
    <w:rsid w:val="158156D6"/>
    <w:rsid w:val="15AB00CA"/>
    <w:rsid w:val="15BB6EBF"/>
    <w:rsid w:val="15BD6ADF"/>
    <w:rsid w:val="15C643BD"/>
    <w:rsid w:val="15D70664"/>
    <w:rsid w:val="15F61D5B"/>
    <w:rsid w:val="162746EE"/>
    <w:rsid w:val="1636067D"/>
    <w:rsid w:val="1644265D"/>
    <w:rsid w:val="165B0C94"/>
    <w:rsid w:val="16666C4E"/>
    <w:rsid w:val="16A45E4B"/>
    <w:rsid w:val="16D1420C"/>
    <w:rsid w:val="16FF13CB"/>
    <w:rsid w:val="170D27E1"/>
    <w:rsid w:val="174540BD"/>
    <w:rsid w:val="177B094C"/>
    <w:rsid w:val="178D44B2"/>
    <w:rsid w:val="17C46B7E"/>
    <w:rsid w:val="17F3167D"/>
    <w:rsid w:val="18501FF1"/>
    <w:rsid w:val="18983106"/>
    <w:rsid w:val="18A20777"/>
    <w:rsid w:val="18E71F41"/>
    <w:rsid w:val="19000B10"/>
    <w:rsid w:val="19031A95"/>
    <w:rsid w:val="190475D2"/>
    <w:rsid w:val="190517A3"/>
    <w:rsid w:val="191639EE"/>
    <w:rsid w:val="19784182"/>
    <w:rsid w:val="199758FA"/>
    <w:rsid w:val="199A0D0F"/>
    <w:rsid w:val="19B33E37"/>
    <w:rsid w:val="19BC02CA"/>
    <w:rsid w:val="19DC71FA"/>
    <w:rsid w:val="19F43ED4"/>
    <w:rsid w:val="1A6C3DAD"/>
    <w:rsid w:val="1A706F18"/>
    <w:rsid w:val="1A8C0175"/>
    <w:rsid w:val="1ABE55EE"/>
    <w:rsid w:val="1ACE63D1"/>
    <w:rsid w:val="1AE42F89"/>
    <w:rsid w:val="1AE51604"/>
    <w:rsid w:val="1AF26D42"/>
    <w:rsid w:val="1AFA6195"/>
    <w:rsid w:val="1B27179A"/>
    <w:rsid w:val="1B2A1FB6"/>
    <w:rsid w:val="1B3E13BF"/>
    <w:rsid w:val="1B464C20"/>
    <w:rsid w:val="1B4D45CF"/>
    <w:rsid w:val="1B560139"/>
    <w:rsid w:val="1B5D283A"/>
    <w:rsid w:val="1B691A9D"/>
    <w:rsid w:val="1B8C6F40"/>
    <w:rsid w:val="1BB54364"/>
    <w:rsid w:val="1BCB7E82"/>
    <w:rsid w:val="1BDB67CA"/>
    <w:rsid w:val="1BDE7C44"/>
    <w:rsid w:val="1BE835D7"/>
    <w:rsid w:val="1C012479"/>
    <w:rsid w:val="1C394C74"/>
    <w:rsid w:val="1C7958C4"/>
    <w:rsid w:val="1C8416D6"/>
    <w:rsid w:val="1C8C175B"/>
    <w:rsid w:val="1C8C6AE3"/>
    <w:rsid w:val="1C8E401F"/>
    <w:rsid w:val="1C9E2CD3"/>
    <w:rsid w:val="1CE7177B"/>
    <w:rsid w:val="1D1E7824"/>
    <w:rsid w:val="1D213488"/>
    <w:rsid w:val="1D35014B"/>
    <w:rsid w:val="1D3A2E51"/>
    <w:rsid w:val="1D3E4388"/>
    <w:rsid w:val="1D4138AD"/>
    <w:rsid w:val="1D823869"/>
    <w:rsid w:val="1D82517F"/>
    <w:rsid w:val="1D876420"/>
    <w:rsid w:val="1DB21FBB"/>
    <w:rsid w:val="1DBB4FD6"/>
    <w:rsid w:val="1DD555A3"/>
    <w:rsid w:val="1DE45422"/>
    <w:rsid w:val="1DE859FC"/>
    <w:rsid w:val="1E0A4D56"/>
    <w:rsid w:val="1E2270F0"/>
    <w:rsid w:val="1E304F04"/>
    <w:rsid w:val="1E307194"/>
    <w:rsid w:val="1E405230"/>
    <w:rsid w:val="1E43364B"/>
    <w:rsid w:val="1E826F9E"/>
    <w:rsid w:val="1E97491F"/>
    <w:rsid w:val="1F037726"/>
    <w:rsid w:val="1F074D6B"/>
    <w:rsid w:val="1F144534"/>
    <w:rsid w:val="1F2472DD"/>
    <w:rsid w:val="1F5821FC"/>
    <w:rsid w:val="1F681D5E"/>
    <w:rsid w:val="1F6D5100"/>
    <w:rsid w:val="1FC46428"/>
    <w:rsid w:val="1FC618C5"/>
    <w:rsid w:val="1FCB27B8"/>
    <w:rsid w:val="201672D8"/>
    <w:rsid w:val="202D6FD9"/>
    <w:rsid w:val="20380573"/>
    <w:rsid w:val="20531417"/>
    <w:rsid w:val="20862EEB"/>
    <w:rsid w:val="20DD4171"/>
    <w:rsid w:val="21452025"/>
    <w:rsid w:val="214F03B6"/>
    <w:rsid w:val="21533B14"/>
    <w:rsid w:val="21735491"/>
    <w:rsid w:val="21797DBC"/>
    <w:rsid w:val="21821890"/>
    <w:rsid w:val="219C3B4B"/>
    <w:rsid w:val="21A93C24"/>
    <w:rsid w:val="21BB0CF4"/>
    <w:rsid w:val="22104BF0"/>
    <w:rsid w:val="221921F8"/>
    <w:rsid w:val="223A3836"/>
    <w:rsid w:val="223E223C"/>
    <w:rsid w:val="228813B7"/>
    <w:rsid w:val="22D30A28"/>
    <w:rsid w:val="22D60469"/>
    <w:rsid w:val="22E03FC4"/>
    <w:rsid w:val="234B506B"/>
    <w:rsid w:val="234F58FD"/>
    <w:rsid w:val="2385656F"/>
    <w:rsid w:val="2394743A"/>
    <w:rsid w:val="23A35ADA"/>
    <w:rsid w:val="23A65F49"/>
    <w:rsid w:val="23AE45C7"/>
    <w:rsid w:val="23B607A4"/>
    <w:rsid w:val="23BD1A8D"/>
    <w:rsid w:val="23C52CB1"/>
    <w:rsid w:val="23DF0556"/>
    <w:rsid w:val="23ED34DF"/>
    <w:rsid w:val="23F15106"/>
    <w:rsid w:val="240A6B63"/>
    <w:rsid w:val="24260578"/>
    <w:rsid w:val="24986B99"/>
    <w:rsid w:val="24A3575C"/>
    <w:rsid w:val="24A847FE"/>
    <w:rsid w:val="24CB017A"/>
    <w:rsid w:val="24D441E0"/>
    <w:rsid w:val="250C57A8"/>
    <w:rsid w:val="25375B30"/>
    <w:rsid w:val="254F08C6"/>
    <w:rsid w:val="2561390F"/>
    <w:rsid w:val="25626ECC"/>
    <w:rsid w:val="256B7CA6"/>
    <w:rsid w:val="25A9479F"/>
    <w:rsid w:val="25E95241"/>
    <w:rsid w:val="26200A2C"/>
    <w:rsid w:val="26250ED2"/>
    <w:rsid w:val="2670242B"/>
    <w:rsid w:val="268B33C8"/>
    <w:rsid w:val="268F1252"/>
    <w:rsid w:val="269D6E87"/>
    <w:rsid w:val="26AB1F86"/>
    <w:rsid w:val="26B2270B"/>
    <w:rsid w:val="26CA1801"/>
    <w:rsid w:val="26D90E03"/>
    <w:rsid w:val="26EB0A73"/>
    <w:rsid w:val="27054714"/>
    <w:rsid w:val="271C7711"/>
    <w:rsid w:val="272536C9"/>
    <w:rsid w:val="27395E67"/>
    <w:rsid w:val="27567996"/>
    <w:rsid w:val="2769195B"/>
    <w:rsid w:val="276D75BB"/>
    <w:rsid w:val="278C7C40"/>
    <w:rsid w:val="28491774"/>
    <w:rsid w:val="284E12E7"/>
    <w:rsid w:val="28600862"/>
    <w:rsid w:val="286768D9"/>
    <w:rsid w:val="286C4F60"/>
    <w:rsid w:val="28766ABB"/>
    <w:rsid w:val="28775F03"/>
    <w:rsid w:val="288800F6"/>
    <w:rsid w:val="2892191C"/>
    <w:rsid w:val="28924EE2"/>
    <w:rsid w:val="289F13AA"/>
    <w:rsid w:val="28AE051E"/>
    <w:rsid w:val="28B50BD7"/>
    <w:rsid w:val="28C606E7"/>
    <w:rsid w:val="28D33022"/>
    <w:rsid w:val="28D957E9"/>
    <w:rsid w:val="28EC1EA6"/>
    <w:rsid w:val="28FF75D5"/>
    <w:rsid w:val="2916148A"/>
    <w:rsid w:val="293E30BA"/>
    <w:rsid w:val="29545C13"/>
    <w:rsid w:val="29847FAB"/>
    <w:rsid w:val="298B1FAB"/>
    <w:rsid w:val="29BD0365"/>
    <w:rsid w:val="29C17E10"/>
    <w:rsid w:val="29CA071F"/>
    <w:rsid w:val="2A070584"/>
    <w:rsid w:val="2A0C43B3"/>
    <w:rsid w:val="2A3235C6"/>
    <w:rsid w:val="2A60192A"/>
    <w:rsid w:val="2A7477C4"/>
    <w:rsid w:val="2A770838"/>
    <w:rsid w:val="2A9E4264"/>
    <w:rsid w:val="2AC63E3A"/>
    <w:rsid w:val="2ACB5BA4"/>
    <w:rsid w:val="2ADB40AF"/>
    <w:rsid w:val="2B2412D2"/>
    <w:rsid w:val="2B5C1DAF"/>
    <w:rsid w:val="2B6007B5"/>
    <w:rsid w:val="2B6053CE"/>
    <w:rsid w:val="2BA3561A"/>
    <w:rsid w:val="2BA707AB"/>
    <w:rsid w:val="2BC404DA"/>
    <w:rsid w:val="2BD1472C"/>
    <w:rsid w:val="2BD829FE"/>
    <w:rsid w:val="2BF6717C"/>
    <w:rsid w:val="2BFC773A"/>
    <w:rsid w:val="2C0421A1"/>
    <w:rsid w:val="2C165946"/>
    <w:rsid w:val="2C2323A3"/>
    <w:rsid w:val="2C3305EF"/>
    <w:rsid w:val="2C3C0D15"/>
    <w:rsid w:val="2C4D37A9"/>
    <w:rsid w:val="2C680FE8"/>
    <w:rsid w:val="2C6B295C"/>
    <w:rsid w:val="2C6F63F4"/>
    <w:rsid w:val="2C792528"/>
    <w:rsid w:val="2C7C7C88"/>
    <w:rsid w:val="2C82701B"/>
    <w:rsid w:val="2C88731E"/>
    <w:rsid w:val="2C9F09F5"/>
    <w:rsid w:val="2CBA5A99"/>
    <w:rsid w:val="2CCB328B"/>
    <w:rsid w:val="2CE62901"/>
    <w:rsid w:val="2D010F1C"/>
    <w:rsid w:val="2D3938BF"/>
    <w:rsid w:val="2D462BD4"/>
    <w:rsid w:val="2D510360"/>
    <w:rsid w:val="2D6D2540"/>
    <w:rsid w:val="2D75428D"/>
    <w:rsid w:val="2D755CA2"/>
    <w:rsid w:val="2D8109CC"/>
    <w:rsid w:val="2D8D3349"/>
    <w:rsid w:val="2D953FD8"/>
    <w:rsid w:val="2D975432"/>
    <w:rsid w:val="2DB13E09"/>
    <w:rsid w:val="2DB806BF"/>
    <w:rsid w:val="2DBF75F0"/>
    <w:rsid w:val="2DCA6056"/>
    <w:rsid w:val="2E4F2177"/>
    <w:rsid w:val="2E6433AC"/>
    <w:rsid w:val="2E743083"/>
    <w:rsid w:val="2E7E4664"/>
    <w:rsid w:val="2E835E5F"/>
    <w:rsid w:val="2EA3508F"/>
    <w:rsid w:val="2EAA029D"/>
    <w:rsid w:val="2EB73873"/>
    <w:rsid w:val="2EBA206C"/>
    <w:rsid w:val="2ECA6DA7"/>
    <w:rsid w:val="2EF039CB"/>
    <w:rsid w:val="2F32147B"/>
    <w:rsid w:val="2F4708E5"/>
    <w:rsid w:val="2F4B7E26"/>
    <w:rsid w:val="2F4C7AA6"/>
    <w:rsid w:val="2F77423C"/>
    <w:rsid w:val="2F8D6311"/>
    <w:rsid w:val="2FDE2495"/>
    <w:rsid w:val="2FEE5766"/>
    <w:rsid w:val="300C1185"/>
    <w:rsid w:val="30316E1F"/>
    <w:rsid w:val="30430ADD"/>
    <w:rsid w:val="305B05D6"/>
    <w:rsid w:val="306D3401"/>
    <w:rsid w:val="306F71F3"/>
    <w:rsid w:val="307042C2"/>
    <w:rsid w:val="30A722E1"/>
    <w:rsid w:val="30BF446A"/>
    <w:rsid w:val="30C55B66"/>
    <w:rsid w:val="310D7A87"/>
    <w:rsid w:val="310E1FCD"/>
    <w:rsid w:val="312C23B9"/>
    <w:rsid w:val="313A7EC4"/>
    <w:rsid w:val="31557F49"/>
    <w:rsid w:val="31632A48"/>
    <w:rsid w:val="316F314A"/>
    <w:rsid w:val="31716284"/>
    <w:rsid w:val="319710B6"/>
    <w:rsid w:val="31C72739"/>
    <w:rsid w:val="31CD6840"/>
    <w:rsid w:val="31D729D3"/>
    <w:rsid w:val="31E10D64"/>
    <w:rsid w:val="31E833DA"/>
    <w:rsid w:val="32114CA5"/>
    <w:rsid w:val="32235051"/>
    <w:rsid w:val="322A49DC"/>
    <w:rsid w:val="32502792"/>
    <w:rsid w:val="3265353C"/>
    <w:rsid w:val="327921DC"/>
    <w:rsid w:val="32925305"/>
    <w:rsid w:val="32B575D5"/>
    <w:rsid w:val="32B62041"/>
    <w:rsid w:val="32D23EF0"/>
    <w:rsid w:val="32DC2281"/>
    <w:rsid w:val="32EC6AFF"/>
    <w:rsid w:val="32FA0324"/>
    <w:rsid w:val="33381316"/>
    <w:rsid w:val="33396D97"/>
    <w:rsid w:val="335C7732"/>
    <w:rsid w:val="337558F7"/>
    <w:rsid w:val="33850369"/>
    <w:rsid w:val="33941A2F"/>
    <w:rsid w:val="33D66570"/>
    <w:rsid w:val="33F03F74"/>
    <w:rsid w:val="34011861"/>
    <w:rsid w:val="34062C68"/>
    <w:rsid w:val="341A20F6"/>
    <w:rsid w:val="343D2249"/>
    <w:rsid w:val="344F4A12"/>
    <w:rsid w:val="34692D0C"/>
    <w:rsid w:val="347732FA"/>
    <w:rsid w:val="347E3BAB"/>
    <w:rsid w:val="348A7602"/>
    <w:rsid w:val="348D0324"/>
    <w:rsid w:val="3492284C"/>
    <w:rsid w:val="34A02C86"/>
    <w:rsid w:val="34BB7D96"/>
    <w:rsid w:val="34C15E77"/>
    <w:rsid w:val="34C511A9"/>
    <w:rsid w:val="34E773B1"/>
    <w:rsid w:val="34F4706D"/>
    <w:rsid w:val="3506060C"/>
    <w:rsid w:val="35293F5D"/>
    <w:rsid w:val="356B5681"/>
    <w:rsid w:val="35955F82"/>
    <w:rsid w:val="359833FE"/>
    <w:rsid w:val="35EC7605"/>
    <w:rsid w:val="35F13A8D"/>
    <w:rsid w:val="360A6BB5"/>
    <w:rsid w:val="36100ABF"/>
    <w:rsid w:val="3613204A"/>
    <w:rsid w:val="361C2353"/>
    <w:rsid w:val="3623767D"/>
    <w:rsid w:val="36291668"/>
    <w:rsid w:val="36571AA9"/>
    <w:rsid w:val="3663634A"/>
    <w:rsid w:val="36911F18"/>
    <w:rsid w:val="36932687"/>
    <w:rsid w:val="36E17155"/>
    <w:rsid w:val="36FC74B6"/>
    <w:rsid w:val="3701094E"/>
    <w:rsid w:val="37515FEF"/>
    <w:rsid w:val="376C0D7B"/>
    <w:rsid w:val="37931EDE"/>
    <w:rsid w:val="37961BBF"/>
    <w:rsid w:val="37E105AF"/>
    <w:rsid w:val="385178A7"/>
    <w:rsid w:val="386A7CEF"/>
    <w:rsid w:val="386C63A3"/>
    <w:rsid w:val="387B52CD"/>
    <w:rsid w:val="388B33C2"/>
    <w:rsid w:val="38961E75"/>
    <w:rsid w:val="389C2EE6"/>
    <w:rsid w:val="38B3258D"/>
    <w:rsid w:val="38C41EB2"/>
    <w:rsid w:val="38CB76D1"/>
    <w:rsid w:val="38CF30AE"/>
    <w:rsid w:val="38D6254B"/>
    <w:rsid w:val="38FE48DE"/>
    <w:rsid w:val="390A4620"/>
    <w:rsid w:val="392F4872"/>
    <w:rsid w:val="393A7620"/>
    <w:rsid w:val="393F7728"/>
    <w:rsid w:val="39565AB7"/>
    <w:rsid w:val="395C6556"/>
    <w:rsid w:val="395F6C2C"/>
    <w:rsid w:val="39694E2E"/>
    <w:rsid w:val="39953313"/>
    <w:rsid w:val="39A5191F"/>
    <w:rsid w:val="39CB3D5D"/>
    <w:rsid w:val="39D525A2"/>
    <w:rsid w:val="39E83924"/>
    <w:rsid w:val="39F252A2"/>
    <w:rsid w:val="3A1D3B67"/>
    <w:rsid w:val="3A201269"/>
    <w:rsid w:val="3A3C6F95"/>
    <w:rsid w:val="3A5D631D"/>
    <w:rsid w:val="3A7665CE"/>
    <w:rsid w:val="3AAB61C8"/>
    <w:rsid w:val="3AB4755E"/>
    <w:rsid w:val="3AEA2592"/>
    <w:rsid w:val="3B0956D7"/>
    <w:rsid w:val="3B0E04BC"/>
    <w:rsid w:val="3B154ADC"/>
    <w:rsid w:val="3B240563"/>
    <w:rsid w:val="3B261E1B"/>
    <w:rsid w:val="3B445B48"/>
    <w:rsid w:val="3B5570E7"/>
    <w:rsid w:val="3B6A5D88"/>
    <w:rsid w:val="3B6B3D89"/>
    <w:rsid w:val="3B75657C"/>
    <w:rsid w:val="3B854580"/>
    <w:rsid w:val="3B8C17C0"/>
    <w:rsid w:val="3BA21765"/>
    <w:rsid w:val="3BCD480F"/>
    <w:rsid w:val="3BD34983"/>
    <w:rsid w:val="3BE253C4"/>
    <w:rsid w:val="3C106E64"/>
    <w:rsid w:val="3C2D3C95"/>
    <w:rsid w:val="3C544F89"/>
    <w:rsid w:val="3C725886"/>
    <w:rsid w:val="3C7B47BA"/>
    <w:rsid w:val="3C8A3C61"/>
    <w:rsid w:val="3CC527C1"/>
    <w:rsid w:val="3CF06E89"/>
    <w:rsid w:val="3CF5422F"/>
    <w:rsid w:val="3CF60458"/>
    <w:rsid w:val="3CF81D16"/>
    <w:rsid w:val="3D007B53"/>
    <w:rsid w:val="3D090501"/>
    <w:rsid w:val="3D1E46DD"/>
    <w:rsid w:val="3D2C67DF"/>
    <w:rsid w:val="3D4B3D1F"/>
    <w:rsid w:val="3D6A496E"/>
    <w:rsid w:val="3D90641D"/>
    <w:rsid w:val="3D9968F8"/>
    <w:rsid w:val="3DB53F62"/>
    <w:rsid w:val="3DC140BE"/>
    <w:rsid w:val="3DC63E5C"/>
    <w:rsid w:val="3E5128F4"/>
    <w:rsid w:val="3E5D4E61"/>
    <w:rsid w:val="3E5F0364"/>
    <w:rsid w:val="3EA00DCD"/>
    <w:rsid w:val="3EA72AFB"/>
    <w:rsid w:val="3EBA43F3"/>
    <w:rsid w:val="3EBA7779"/>
    <w:rsid w:val="3EDB7EEF"/>
    <w:rsid w:val="3EE0764A"/>
    <w:rsid w:val="3EE264A8"/>
    <w:rsid w:val="3EEE3A4E"/>
    <w:rsid w:val="3F0B665A"/>
    <w:rsid w:val="3F237325"/>
    <w:rsid w:val="3F324955"/>
    <w:rsid w:val="3F5D4A04"/>
    <w:rsid w:val="3F6E70DE"/>
    <w:rsid w:val="3F8E51D3"/>
    <w:rsid w:val="3FBE37A3"/>
    <w:rsid w:val="3FBE6D35"/>
    <w:rsid w:val="405D0704"/>
    <w:rsid w:val="406A5E3B"/>
    <w:rsid w:val="40BE57A3"/>
    <w:rsid w:val="40CD6749"/>
    <w:rsid w:val="40E21D0E"/>
    <w:rsid w:val="40EE38A7"/>
    <w:rsid w:val="40F64B55"/>
    <w:rsid w:val="411B5C5E"/>
    <w:rsid w:val="414149D5"/>
    <w:rsid w:val="416A1261"/>
    <w:rsid w:val="41793A79"/>
    <w:rsid w:val="41841E0A"/>
    <w:rsid w:val="418C0847"/>
    <w:rsid w:val="418F6887"/>
    <w:rsid w:val="419F3CB9"/>
    <w:rsid w:val="41A01460"/>
    <w:rsid w:val="41A6042C"/>
    <w:rsid w:val="41AD7A8F"/>
    <w:rsid w:val="41CF1C22"/>
    <w:rsid w:val="41F950B7"/>
    <w:rsid w:val="420204DA"/>
    <w:rsid w:val="42190100"/>
    <w:rsid w:val="42440501"/>
    <w:rsid w:val="424726D6"/>
    <w:rsid w:val="429D0359"/>
    <w:rsid w:val="42A32262"/>
    <w:rsid w:val="42B460B4"/>
    <w:rsid w:val="42C6064E"/>
    <w:rsid w:val="42CB3151"/>
    <w:rsid w:val="42CE645E"/>
    <w:rsid w:val="42D42E93"/>
    <w:rsid w:val="432D0655"/>
    <w:rsid w:val="432E60F5"/>
    <w:rsid w:val="43385EEA"/>
    <w:rsid w:val="433C618D"/>
    <w:rsid w:val="434F5E52"/>
    <w:rsid w:val="437262BE"/>
    <w:rsid w:val="438D6B79"/>
    <w:rsid w:val="438F1467"/>
    <w:rsid w:val="439443AD"/>
    <w:rsid w:val="439E5FF6"/>
    <w:rsid w:val="43F80899"/>
    <w:rsid w:val="440853AC"/>
    <w:rsid w:val="444475FC"/>
    <w:rsid w:val="44480F1D"/>
    <w:rsid w:val="448D1B87"/>
    <w:rsid w:val="44AB6087"/>
    <w:rsid w:val="44B8774F"/>
    <w:rsid w:val="44B905B9"/>
    <w:rsid w:val="44C45C44"/>
    <w:rsid w:val="44C910C7"/>
    <w:rsid w:val="44F73029"/>
    <w:rsid w:val="45205FDF"/>
    <w:rsid w:val="452C3E8A"/>
    <w:rsid w:val="454809AA"/>
    <w:rsid w:val="456423AD"/>
    <w:rsid w:val="45685CC5"/>
    <w:rsid w:val="459B3E74"/>
    <w:rsid w:val="45A55A3D"/>
    <w:rsid w:val="45AF46BB"/>
    <w:rsid w:val="45E60B3E"/>
    <w:rsid w:val="45FB63D1"/>
    <w:rsid w:val="45FC13A3"/>
    <w:rsid w:val="46043AAF"/>
    <w:rsid w:val="46282E28"/>
    <w:rsid w:val="462E5646"/>
    <w:rsid w:val="463F6456"/>
    <w:rsid w:val="4667038F"/>
    <w:rsid w:val="46670DA3"/>
    <w:rsid w:val="466E239C"/>
    <w:rsid w:val="467529A8"/>
    <w:rsid w:val="46901553"/>
    <w:rsid w:val="46B04EB9"/>
    <w:rsid w:val="46B936CC"/>
    <w:rsid w:val="46CD13B8"/>
    <w:rsid w:val="46D40D43"/>
    <w:rsid w:val="46D73174"/>
    <w:rsid w:val="46EC39BD"/>
    <w:rsid w:val="46F56925"/>
    <w:rsid w:val="4704307F"/>
    <w:rsid w:val="47466260"/>
    <w:rsid w:val="474918D0"/>
    <w:rsid w:val="4751486C"/>
    <w:rsid w:val="47535336"/>
    <w:rsid w:val="47800FD9"/>
    <w:rsid w:val="479D298A"/>
    <w:rsid w:val="47A300F9"/>
    <w:rsid w:val="47CB5A57"/>
    <w:rsid w:val="47D51C59"/>
    <w:rsid w:val="47E95008"/>
    <w:rsid w:val="47ED77FA"/>
    <w:rsid w:val="47FB4889"/>
    <w:rsid w:val="481E7A60"/>
    <w:rsid w:val="482E7CFA"/>
    <w:rsid w:val="48303165"/>
    <w:rsid w:val="483D4A33"/>
    <w:rsid w:val="484422BE"/>
    <w:rsid w:val="484A762B"/>
    <w:rsid w:val="48544350"/>
    <w:rsid w:val="48655BCA"/>
    <w:rsid w:val="486A4A69"/>
    <w:rsid w:val="486C1D5E"/>
    <w:rsid w:val="487E378E"/>
    <w:rsid w:val="48BA2E2C"/>
    <w:rsid w:val="48E2370F"/>
    <w:rsid w:val="490E1927"/>
    <w:rsid w:val="49127C55"/>
    <w:rsid w:val="491667A7"/>
    <w:rsid w:val="492B1AED"/>
    <w:rsid w:val="494D0152"/>
    <w:rsid w:val="4953205B"/>
    <w:rsid w:val="49600991"/>
    <w:rsid w:val="49624874"/>
    <w:rsid w:val="4966349C"/>
    <w:rsid w:val="49832DEB"/>
    <w:rsid w:val="499A0251"/>
    <w:rsid w:val="499C0146"/>
    <w:rsid w:val="49B109D5"/>
    <w:rsid w:val="49B764FC"/>
    <w:rsid w:val="49C85D29"/>
    <w:rsid w:val="49E95094"/>
    <w:rsid w:val="4A265A4A"/>
    <w:rsid w:val="4A3D4D1B"/>
    <w:rsid w:val="4A537B55"/>
    <w:rsid w:val="4A8B193A"/>
    <w:rsid w:val="4AA01CFD"/>
    <w:rsid w:val="4AB5325F"/>
    <w:rsid w:val="4AB96BAA"/>
    <w:rsid w:val="4AC060A7"/>
    <w:rsid w:val="4ACC4DCF"/>
    <w:rsid w:val="4AF00D98"/>
    <w:rsid w:val="4AF8380B"/>
    <w:rsid w:val="4AFF3475"/>
    <w:rsid w:val="4B020A9D"/>
    <w:rsid w:val="4B064F25"/>
    <w:rsid w:val="4B2422D7"/>
    <w:rsid w:val="4B245A16"/>
    <w:rsid w:val="4B5B30A2"/>
    <w:rsid w:val="4B785BEB"/>
    <w:rsid w:val="4B7A7462"/>
    <w:rsid w:val="4B8E4B54"/>
    <w:rsid w:val="4BB70638"/>
    <w:rsid w:val="4BD36FA4"/>
    <w:rsid w:val="4BDE257A"/>
    <w:rsid w:val="4BE26BEE"/>
    <w:rsid w:val="4C6A6D6A"/>
    <w:rsid w:val="4C6D5994"/>
    <w:rsid w:val="4C7B0D3F"/>
    <w:rsid w:val="4C855396"/>
    <w:rsid w:val="4C88631A"/>
    <w:rsid w:val="4C8A729F"/>
    <w:rsid w:val="4C8A7432"/>
    <w:rsid w:val="4C8F3727"/>
    <w:rsid w:val="4C911CD0"/>
    <w:rsid w:val="4CB3079B"/>
    <w:rsid w:val="4CB33B09"/>
    <w:rsid w:val="4CBC6D19"/>
    <w:rsid w:val="4CC82987"/>
    <w:rsid w:val="4CD31D60"/>
    <w:rsid w:val="4CDB0282"/>
    <w:rsid w:val="4CE9093D"/>
    <w:rsid w:val="4CFA2B14"/>
    <w:rsid w:val="4D0225A4"/>
    <w:rsid w:val="4D1745D8"/>
    <w:rsid w:val="4D1C6646"/>
    <w:rsid w:val="4D2B67CE"/>
    <w:rsid w:val="4D343EF2"/>
    <w:rsid w:val="4D3562CC"/>
    <w:rsid w:val="4D44281E"/>
    <w:rsid w:val="4D503E74"/>
    <w:rsid w:val="4D6D7F7A"/>
    <w:rsid w:val="4D7F43BD"/>
    <w:rsid w:val="4D896004"/>
    <w:rsid w:val="4D9D5E63"/>
    <w:rsid w:val="4DC26C58"/>
    <w:rsid w:val="4DF34673"/>
    <w:rsid w:val="4E141D71"/>
    <w:rsid w:val="4E2B0F4A"/>
    <w:rsid w:val="4E41068C"/>
    <w:rsid w:val="4E466248"/>
    <w:rsid w:val="4E5E123E"/>
    <w:rsid w:val="4E634E4E"/>
    <w:rsid w:val="4E7055F5"/>
    <w:rsid w:val="4E7074C0"/>
    <w:rsid w:val="4E8F0C6E"/>
    <w:rsid w:val="4E9179F4"/>
    <w:rsid w:val="4EA0220D"/>
    <w:rsid w:val="4EBF2AC2"/>
    <w:rsid w:val="4EC549CB"/>
    <w:rsid w:val="4F044389"/>
    <w:rsid w:val="4F0A4D45"/>
    <w:rsid w:val="4F0A6711"/>
    <w:rsid w:val="4F0D22AD"/>
    <w:rsid w:val="4F486D16"/>
    <w:rsid w:val="4F64269F"/>
    <w:rsid w:val="4F672867"/>
    <w:rsid w:val="4F7829A4"/>
    <w:rsid w:val="4F89218B"/>
    <w:rsid w:val="4FD97000"/>
    <w:rsid w:val="4FE041E0"/>
    <w:rsid w:val="4FF321C8"/>
    <w:rsid w:val="4FF73CD7"/>
    <w:rsid w:val="500B145F"/>
    <w:rsid w:val="5013686C"/>
    <w:rsid w:val="50257E0B"/>
    <w:rsid w:val="503313AD"/>
    <w:rsid w:val="50342624"/>
    <w:rsid w:val="504A004A"/>
    <w:rsid w:val="50784012"/>
    <w:rsid w:val="50865A73"/>
    <w:rsid w:val="509E71BD"/>
    <w:rsid w:val="50AA25F0"/>
    <w:rsid w:val="50DD5791"/>
    <w:rsid w:val="51237D2E"/>
    <w:rsid w:val="514968E8"/>
    <w:rsid w:val="516C6DEF"/>
    <w:rsid w:val="518510D7"/>
    <w:rsid w:val="5199576E"/>
    <w:rsid w:val="51AC4978"/>
    <w:rsid w:val="51CD70D5"/>
    <w:rsid w:val="51D31F3C"/>
    <w:rsid w:val="522143CD"/>
    <w:rsid w:val="52314261"/>
    <w:rsid w:val="52607735"/>
    <w:rsid w:val="5264613C"/>
    <w:rsid w:val="52844FED"/>
    <w:rsid w:val="52A506D1"/>
    <w:rsid w:val="52AD59E4"/>
    <w:rsid w:val="52B8505E"/>
    <w:rsid w:val="52BE08A2"/>
    <w:rsid w:val="52E80913"/>
    <w:rsid w:val="52EB2023"/>
    <w:rsid w:val="52F421A7"/>
    <w:rsid w:val="530B1DCC"/>
    <w:rsid w:val="53110C93"/>
    <w:rsid w:val="531878A0"/>
    <w:rsid w:val="53470A63"/>
    <w:rsid w:val="5392684D"/>
    <w:rsid w:val="539D4FAA"/>
    <w:rsid w:val="53A972D4"/>
    <w:rsid w:val="53AF5971"/>
    <w:rsid w:val="53BC2B2A"/>
    <w:rsid w:val="53F0544C"/>
    <w:rsid w:val="545664CF"/>
    <w:rsid w:val="5459613F"/>
    <w:rsid w:val="546C0CD4"/>
    <w:rsid w:val="548947BC"/>
    <w:rsid w:val="54D63578"/>
    <w:rsid w:val="54EE0792"/>
    <w:rsid w:val="54F67025"/>
    <w:rsid w:val="54FA3E5C"/>
    <w:rsid w:val="550868F2"/>
    <w:rsid w:val="55103BD6"/>
    <w:rsid w:val="5510701F"/>
    <w:rsid w:val="5511073E"/>
    <w:rsid w:val="552A71FA"/>
    <w:rsid w:val="553E1AFA"/>
    <w:rsid w:val="5552550A"/>
    <w:rsid w:val="557E7B8C"/>
    <w:rsid w:val="557F1A06"/>
    <w:rsid w:val="55AC109B"/>
    <w:rsid w:val="55B20AED"/>
    <w:rsid w:val="55CD3A6E"/>
    <w:rsid w:val="55D35976"/>
    <w:rsid w:val="55F83D27"/>
    <w:rsid w:val="5629336C"/>
    <w:rsid w:val="56486D1B"/>
    <w:rsid w:val="566D5AC2"/>
    <w:rsid w:val="566F48DF"/>
    <w:rsid w:val="568D6690"/>
    <w:rsid w:val="56942E2B"/>
    <w:rsid w:val="56EB15B2"/>
    <w:rsid w:val="56F3575D"/>
    <w:rsid w:val="57316C99"/>
    <w:rsid w:val="57381EA7"/>
    <w:rsid w:val="57397928"/>
    <w:rsid w:val="5778355C"/>
    <w:rsid w:val="5791383A"/>
    <w:rsid w:val="57CC4919"/>
    <w:rsid w:val="57DA16B0"/>
    <w:rsid w:val="57DD63C7"/>
    <w:rsid w:val="57E148BE"/>
    <w:rsid w:val="580119EB"/>
    <w:rsid w:val="580759F7"/>
    <w:rsid w:val="580B1E57"/>
    <w:rsid w:val="58156012"/>
    <w:rsid w:val="585A783C"/>
    <w:rsid w:val="585D6406"/>
    <w:rsid w:val="58BD2406"/>
    <w:rsid w:val="58E10BDE"/>
    <w:rsid w:val="58E95FEA"/>
    <w:rsid w:val="59074C71"/>
    <w:rsid w:val="591A4180"/>
    <w:rsid w:val="592B1A4A"/>
    <w:rsid w:val="596441E8"/>
    <w:rsid w:val="596F44B8"/>
    <w:rsid w:val="59787FC0"/>
    <w:rsid w:val="597B7B30"/>
    <w:rsid w:val="597D42DF"/>
    <w:rsid w:val="5998429D"/>
    <w:rsid w:val="59A8130F"/>
    <w:rsid w:val="59B93BCC"/>
    <w:rsid w:val="59C21E7A"/>
    <w:rsid w:val="59E652A3"/>
    <w:rsid w:val="59FF1E07"/>
    <w:rsid w:val="5A144A33"/>
    <w:rsid w:val="5A5A5E83"/>
    <w:rsid w:val="5A864B12"/>
    <w:rsid w:val="5A9D2156"/>
    <w:rsid w:val="5AC86880"/>
    <w:rsid w:val="5AC938EB"/>
    <w:rsid w:val="5AD9459C"/>
    <w:rsid w:val="5AE44879"/>
    <w:rsid w:val="5B074999"/>
    <w:rsid w:val="5B32344B"/>
    <w:rsid w:val="5B326435"/>
    <w:rsid w:val="5B8C643A"/>
    <w:rsid w:val="5B9C3DBC"/>
    <w:rsid w:val="5B9D4F48"/>
    <w:rsid w:val="5BB823D4"/>
    <w:rsid w:val="5BB86188"/>
    <w:rsid w:val="5BC05B6D"/>
    <w:rsid w:val="5BC24519"/>
    <w:rsid w:val="5BE32421"/>
    <w:rsid w:val="5C146454"/>
    <w:rsid w:val="5C52195E"/>
    <w:rsid w:val="5C564432"/>
    <w:rsid w:val="5C6A01AA"/>
    <w:rsid w:val="5C866683"/>
    <w:rsid w:val="5CB47325"/>
    <w:rsid w:val="5CBB2533"/>
    <w:rsid w:val="5CC8786A"/>
    <w:rsid w:val="5CD268D5"/>
    <w:rsid w:val="5CEE6B5D"/>
    <w:rsid w:val="5D014829"/>
    <w:rsid w:val="5D2B79B4"/>
    <w:rsid w:val="5D84417A"/>
    <w:rsid w:val="5DBB20D6"/>
    <w:rsid w:val="5DD230AF"/>
    <w:rsid w:val="5DE26A18"/>
    <w:rsid w:val="5E0422C9"/>
    <w:rsid w:val="5E405BB2"/>
    <w:rsid w:val="5E4E4E2C"/>
    <w:rsid w:val="5E9E0B87"/>
    <w:rsid w:val="5EAC2A54"/>
    <w:rsid w:val="5EAC6968"/>
    <w:rsid w:val="5EB5043F"/>
    <w:rsid w:val="5EBA1989"/>
    <w:rsid w:val="5EDA2B84"/>
    <w:rsid w:val="5F287630"/>
    <w:rsid w:val="5F6D4CFF"/>
    <w:rsid w:val="5F860448"/>
    <w:rsid w:val="5FAE6F73"/>
    <w:rsid w:val="60006A8C"/>
    <w:rsid w:val="600A5A78"/>
    <w:rsid w:val="60266CCC"/>
    <w:rsid w:val="602B0BD5"/>
    <w:rsid w:val="604C661D"/>
    <w:rsid w:val="60591D67"/>
    <w:rsid w:val="6066455E"/>
    <w:rsid w:val="60672FB9"/>
    <w:rsid w:val="607F4DDC"/>
    <w:rsid w:val="608102DF"/>
    <w:rsid w:val="609B470C"/>
    <w:rsid w:val="60BC4A4E"/>
    <w:rsid w:val="61154AB0"/>
    <w:rsid w:val="611A2A5C"/>
    <w:rsid w:val="61393311"/>
    <w:rsid w:val="614A36B6"/>
    <w:rsid w:val="61543796"/>
    <w:rsid w:val="61644AC0"/>
    <w:rsid w:val="617D5147"/>
    <w:rsid w:val="618236FB"/>
    <w:rsid w:val="618B6440"/>
    <w:rsid w:val="61A362DD"/>
    <w:rsid w:val="61D66A13"/>
    <w:rsid w:val="61E4140F"/>
    <w:rsid w:val="61F71146"/>
    <w:rsid w:val="61F77588"/>
    <w:rsid w:val="61FE0917"/>
    <w:rsid w:val="61FF7746"/>
    <w:rsid w:val="62053391"/>
    <w:rsid w:val="62176E90"/>
    <w:rsid w:val="623C2BFD"/>
    <w:rsid w:val="6261182F"/>
    <w:rsid w:val="62667E39"/>
    <w:rsid w:val="626E2089"/>
    <w:rsid w:val="6287763F"/>
    <w:rsid w:val="62911344"/>
    <w:rsid w:val="62C15716"/>
    <w:rsid w:val="62D3782F"/>
    <w:rsid w:val="62FB092D"/>
    <w:rsid w:val="62FC09F3"/>
    <w:rsid w:val="63021D41"/>
    <w:rsid w:val="63107694"/>
    <w:rsid w:val="6321726D"/>
    <w:rsid w:val="633F22D2"/>
    <w:rsid w:val="636C2195"/>
    <w:rsid w:val="636C7DAE"/>
    <w:rsid w:val="636D3CD7"/>
    <w:rsid w:val="636F1EE2"/>
    <w:rsid w:val="63795594"/>
    <w:rsid w:val="637F0159"/>
    <w:rsid w:val="63833EC7"/>
    <w:rsid w:val="638A2041"/>
    <w:rsid w:val="63B104E1"/>
    <w:rsid w:val="63B1663C"/>
    <w:rsid w:val="63C62353"/>
    <w:rsid w:val="64133A3F"/>
    <w:rsid w:val="64475192"/>
    <w:rsid w:val="64523318"/>
    <w:rsid w:val="6458640B"/>
    <w:rsid w:val="645E1ED9"/>
    <w:rsid w:val="645F4CF9"/>
    <w:rsid w:val="649F61FF"/>
    <w:rsid w:val="64A31301"/>
    <w:rsid w:val="64B91872"/>
    <w:rsid w:val="64BA36C3"/>
    <w:rsid w:val="64BF1959"/>
    <w:rsid w:val="64C82014"/>
    <w:rsid w:val="64EB7E05"/>
    <w:rsid w:val="64EF7194"/>
    <w:rsid w:val="65085BC0"/>
    <w:rsid w:val="65131BD5"/>
    <w:rsid w:val="652F7039"/>
    <w:rsid w:val="654F59C5"/>
    <w:rsid w:val="65540D7C"/>
    <w:rsid w:val="657A53A8"/>
    <w:rsid w:val="65811A17"/>
    <w:rsid w:val="65B013B7"/>
    <w:rsid w:val="65B975F2"/>
    <w:rsid w:val="65C45983"/>
    <w:rsid w:val="65C63AB7"/>
    <w:rsid w:val="65D849C9"/>
    <w:rsid w:val="65DC68AD"/>
    <w:rsid w:val="65FA5A15"/>
    <w:rsid w:val="660335FD"/>
    <w:rsid w:val="66125DA6"/>
    <w:rsid w:val="662363C3"/>
    <w:rsid w:val="664107D0"/>
    <w:rsid w:val="664D397F"/>
    <w:rsid w:val="665E5B82"/>
    <w:rsid w:val="6662302F"/>
    <w:rsid w:val="66707B7E"/>
    <w:rsid w:val="668115BA"/>
    <w:rsid w:val="66A9277E"/>
    <w:rsid w:val="66B06886"/>
    <w:rsid w:val="66E10A89"/>
    <w:rsid w:val="66EF4BA8"/>
    <w:rsid w:val="672F3E8A"/>
    <w:rsid w:val="67302F6D"/>
    <w:rsid w:val="674A183A"/>
    <w:rsid w:val="6751640F"/>
    <w:rsid w:val="676D5D3F"/>
    <w:rsid w:val="677A363D"/>
    <w:rsid w:val="67A8101C"/>
    <w:rsid w:val="67E433FF"/>
    <w:rsid w:val="67F15233"/>
    <w:rsid w:val="68073007"/>
    <w:rsid w:val="68075AC5"/>
    <w:rsid w:val="681612A7"/>
    <w:rsid w:val="68472271"/>
    <w:rsid w:val="68577D88"/>
    <w:rsid w:val="688D1CAF"/>
    <w:rsid w:val="68BA24A7"/>
    <w:rsid w:val="68C94932"/>
    <w:rsid w:val="68D35286"/>
    <w:rsid w:val="68E103BC"/>
    <w:rsid w:val="68E121CA"/>
    <w:rsid w:val="68F83DC8"/>
    <w:rsid w:val="691050EB"/>
    <w:rsid w:val="69375F7F"/>
    <w:rsid w:val="693A3D54"/>
    <w:rsid w:val="69400090"/>
    <w:rsid w:val="69483638"/>
    <w:rsid w:val="69573259"/>
    <w:rsid w:val="695A303A"/>
    <w:rsid w:val="695B0F3F"/>
    <w:rsid w:val="696D1CEC"/>
    <w:rsid w:val="697B001E"/>
    <w:rsid w:val="699A38C6"/>
    <w:rsid w:val="699E1589"/>
    <w:rsid w:val="69BB7F8D"/>
    <w:rsid w:val="69D13B80"/>
    <w:rsid w:val="6A4B322E"/>
    <w:rsid w:val="6A665D71"/>
    <w:rsid w:val="6AF37D36"/>
    <w:rsid w:val="6AF77C36"/>
    <w:rsid w:val="6B13197D"/>
    <w:rsid w:val="6B21034E"/>
    <w:rsid w:val="6B2B56FF"/>
    <w:rsid w:val="6B3F2B57"/>
    <w:rsid w:val="6B3F3181"/>
    <w:rsid w:val="6B575D12"/>
    <w:rsid w:val="6B8D3D4D"/>
    <w:rsid w:val="6BD46EF8"/>
    <w:rsid w:val="6BDC1B98"/>
    <w:rsid w:val="6C040E7B"/>
    <w:rsid w:val="6C261DA8"/>
    <w:rsid w:val="6C3C53E1"/>
    <w:rsid w:val="6C444F46"/>
    <w:rsid w:val="6C5C00D6"/>
    <w:rsid w:val="6C713467"/>
    <w:rsid w:val="6C826B60"/>
    <w:rsid w:val="6C835F4E"/>
    <w:rsid w:val="6C8D5870"/>
    <w:rsid w:val="6C966FB6"/>
    <w:rsid w:val="6CC94E87"/>
    <w:rsid w:val="6CE46FC8"/>
    <w:rsid w:val="6CF959D6"/>
    <w:rsid w:val="6D1C5696"/>
    <w:rsid w:val="6D4E0963"/>
    <w:rsid w:val="6D4E2EE1"/>
    <w:rsid w:val="6DA45EEC"/>
    <w:rsid w:val="6DA55F06"/>
    <w:rsid w:val="6DC9375C"/>
    <w:rsid w:val="6DCE7F66"/>
    <w:rsid w:val="6DF36EF3"/>
    <w:rsid w:val="6E00050E"/>
    <w:rsid w:val="6E0E5BC1"/>
    <w:rsid w:val="6E193862"/>
    <w:rsid w:val="6E1E04D4"/>
    <w:rsid w:val="6E200CBB"/>
    <w:rsid w:val="6E2D74A0"/>
    <w:rsid w:val="6E442D1F"/>
    <w:rsid w:val="6E727BD1"/>
    <w:rsid w:val="6E7479F5"/>
    <w:rsid w:val="6EC57BE2"/>
    <w:rsid w:val="6EDA259C"/>
    <w:rsid w:val="6EDC5043"/>
    <w:rsid w:val="6F0270B0"/>
    <w:rsid w:val="6F042123"/>
    <w:rsid w:val="6F107F6D"/>
    <w:rsid w:val="6F2A36D8"/>
    <w:rsid w:val="6F2A47AF"/>
    <w:rsid w:val="6F5D06C3"/>
    <w:rsid w:val="6F91676D"/>
    <w:rsid w:val="6FA54165"/>
    <w:rsid w:val="6FC31A6A"/>
    <w:rsid w:val="6FF74A9F"/>
    <w:rsid w:val="702D390B"/>
    <w:rsid w:val="7051011A"/>
    <w:rsid w:val="705411C9"/>
    <w:rsid w:val="70964E3C"/>
    <w:rsid w:val="70A4425D"/>
    <w:rsid w:val="70A57705"/>
    <w:rsid w:val="70AE13D6"/>
    <w:rsid w:val="70C93198"/>
    <w:rsid w:val="70CE0915"/>
    <w:rsid w:val="70E85C4B"/>
    <w:rsid w:val="710B16D9"/>
    <w:rsid w:val="7124002F"/>
    <w:rsid w:val="712F63C0"/>
    <w:rsid w:val="71597204"/>
    <w:rsid w:val="7165689A"/>
    <w:rsid w:val="71904B2F"/>
    <w:rsid w:val="71A2088D"/>
    <w:rsid w:val="72307267"/>
    <w:rsid w:val="72380C91"/>
    <w:rsid w:val="724C7C4B"/>
    <w:rsid w:val="727147B8"/>
    <w:rsid w:val="727873F8"/>
    <w:rsid w:val="72D54ABB"/>
    <w:rsid w:val="730C1FB3"/>
    <w:rsid w:val="730F2B8D"/>
    <w:rsid w:val="73264AED"/>
    <w:rsid w:val="73403821"/>
    <w:rsid w:val="7352170E"/>
    <w:rsid w:val="7361387E"/>
    <w:rsid w:val="736857C6"/>
    <w:rsid w:val="736E63BF"/>
    <w:rsid w:val="739A13E8"/>
    <w:rsid w:val="73A138F8"/>
    <w:rsid w:val="73D66DAB"/>
    <w:rsid w:val="73FA3C77"/>
    <w:rsid w:val="74073AF7"/>
    <w:rsid w:val="740A32BC"/>
    <w:rsid w:val="740B1FF0"/>
    <w:rsid w:val="740D1C70"/>
    <w:rsid w:val="741312E1"/>
    <w:rsid w:val="74327CB2"/>
    <w:rsid w:val="744011C6"/>
    <w:rsid w:val="745820F0"/>
    <w:rsid w:val="746F6492"/>
    <w:rsid w:val="749C18DF"/>
    <w:rsid w:val="74C35F1C"/>
    <w:rsid w:val="74CE4B0D"/>
    <w:rsid w:val="74D0044B"/>
    <w:rsid w:val="750C27BD"/>
    <w:rsid w:val="7517046C"/>
    <w:rsid w:val="75174EF2"/>
    <w:rsid w:val="751C78AF"/>
    <w:rsid w:val="75394C61"/>
    <w:rsid w:val="756074C6"/>
    <w:rsid w:val="758270C5"/>
    <w:rsid w:val="759F38F4"/>
    <w:rsid w:val="75CA0CCD"/>
    <w:rsid w:val="75DB226C"/>
    <w:rsid w:val="76197675"/>
    <w:rsid w:val="76251BAB"/>
    <w:rsid w:val="763032CB"/>
    <w:rsid w:val="764C4E33"/>
    <w:rsid w:val="766259C8"/>
    <w:rsid w:val="768F7791"/>
    <w:rsid w:val="769E79E3"/>
    <w:rsid w:val="76CF5C18"/>
    <w:rsid w:val="76D90E8A"/>
    <w:rsid w:val="76F470B1"/>
    <w:rsid w:val="77026902"/>
    <w:rsid w:val="77027AD0"/>
    <w:rsid w:val="7707154A"/>
    <w:rsid w:val="77106DE5"/>
    <w:rsid w:val="772A5283"/>
    <w:rsid w:val="775175D1"/>
    <w:rsid w:val="775D1B47"/>
    <w:rsid w:val="775D6EE5"/>
    <w:rsid w:val="77973E65"/>
    <w:rsid w:val="779A56C5"/>
    <w:rsid w:val="77BA08D0"/>
    <w:rsid w:val="77D16EA3"/>
    <w:rsid w:val="77E17858"/>
    <w:rsid w:val="77E4055F"/>
    <w:rsid w:val="782B4FB4"/>
    <w:rsid w:val="78484564"/>
    <w:rsid w:val="784A2DC1"/>
    <w:rsid w:val="78CB2D55"/>
    <w:rsid w:val="78F51D36"/>
    <w:rsid w:val="79100A6D"/>
    <w:rsid w:val="7922554C"/>
    <w:rsid w:val="793D367B"/>
    <w:rsid w:val="796B468C"/>
    <w:rsid w:val="79820DE8"/>
    <w:rsid w:val="798F391C"/>
    <w:rsid w:val="79D06969"/>
    <w:rsid w:val="79D165E9"/>
    <w:rsid w:val="79E25AC3"/>
    <w:rsid w:val="79F06891"/>
    <w:rsid w:val="79F17868"/>
    <w:rsid w:val="7A10712A"/>
    <w:rsid w:val="7A1947DF"/>
    <w:rsid w:val="7A2A0EAA"/>
    <w:rsid w:val="7A2D23E3"/>
    <w:rsid w:val="7A916174"/>
    <w:rsid w:val="7A9244A9"/>
    <w:rsid w:val="7AB623C8"/>
    <w:rsid w:val="7AEB171F"/>
    <w:rsid w:val="7AF94C56"/>
    <w:rsid w:val="7B0E3DF2"/>
    <w:rsid w:val="7B4415B8"/>
    <w:rsid w:val="7B7B2954"/>
    <w:rsid w:val="7B7F481D"/>
    <w:rsid w:val="7B89373C"/>
    <w:rsid w:val="7B95174D"/>
    <w:rsid w:val="7BA14395"/>
    <w:rsid w:val="7BB26AFF"/>
    <w:rsid w:val="7BB51CAC"/>
    <w:rsid w:val="7BBB4BA0"/>
    <w:rsid w:val="7BE53CE6"/>
    <w:rsid w:val="7BF42DEB"/>
    <w:rsid w:val="7C045807"/>
    <w:rsid w:val="7C106E98"/>
    <w:rsid w:val="7C69544F"/>
    <w:rsid w:val="7CB026DE"/>
    <w:rsid w:val="7CB244A3"/>
    <w:rsid w:val="7CBB1809"/>
    <w:rsid w:val="7CBF7F35"/>
    <w:rsid w:val="7CD249D8"/>
    <w:rsid w:val="7CE07D41"/>
    <w:rsid w:val="7CEC7460"/>
    <w:rsid w:val="7D1166BD"/>
    <w:rsid w:val="7D1247FD"/>
    <w:rsid w:val="7D174841"/>
    <w:rsid w:val="7D2221D8"/>
    <w:rsid w:val="7D761C62"/>
    <w:rsid w:val="7D7B196D"/>
    <w:rsid w:val="7D832E70"/>
    <w:rsid w:val="7D9F003F"/>
    <w:rsid w:val="7DBF5B3E"/>
    <w:rsid w:val="7DC43F0B"/>
    <w:rsid w:val="7DD24BB4"/>
    <w:rsid w:val="7DDA4D36"/>
    <w:rsid w:val="7DE76A9E"/>
    <w:rsid w:val="7DEF3EAB"/>
    <w:rsid w:val="7DF2449D"/>
    <w:rsid w:val="7E0B4B47"/>
    <w:rsid w:val="7E1A4ECD"/>
    <w:rsid w:val="7E2F4D10"/>
    <w:rsid w:val="7E6F6A8F"/>
    <w:rsid w:val="7E720C01"/>
    <w:rsid w:val="7E7278EC"/>
    <w:rsid w:val="7E734104"/>
    <w:rsid w:val="7E734972"/>
    <w:rsid w:val="7E8E272F"/>
    <w:rsid w:val="7E8E776C"/>
    <w:rsid w:val="7E912665"/>
    <w:rsid w:val="7E9B3FC3"/>
    <w:rsid w:val="7EB964D9"/>
    <w:rsid w:val="7EC06781"/>
    <w:rsid w:val="7EC0795C"/>
    <w:rsid w:val="7EC523E9"/>
    <w:rsid w:val="7ECF5FCD"/>
    <w:rsid w:val="7ED51029"/>
    <w:rsid w:val="7EE5313E"/>
    <w:rsid w:val="7EEC0AC6"/>
    <w:rsid w:val="7F3A32E9"/>
    <w:rsid w:val="7F4E65DD"/>
    <w:rsid w:val="7F572178"/>
    <w:rsid w:val="7F7939B1"/>
    <w:rsid w:val="7FBB248D"/>
    <w:rsid w:val="7FC27A71"/>
    <w:rsid w:val="7FD513BB"/>
    <w:rsid w:val="7FE92B67"/>
    <w:rsid w:val="7FEB046D"/>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qFormat="1" w:uiPriority="99"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22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6"/>
    <w:qFormat/>
    <w:uiPriority w:val="0"/>
    <w:pPr>
      <w:keepNext/>
      <w:keepLines/>
      <w:spacing w:line="360" w:lineRule="auto"/>
      <w:outlineLvl w:val="2"/>
    </w:pPr>
    <w:rPr>
      <w:rFonts w:ascii="宋体" w:hAnsi="宋体" w:eastAsia="宋体" w:cs="宋体"/>
      <w:sz w:val="24"/>
      <w:szCs w:val="24"/>
    </w:rPr>
  </w:style>
  <w:style w:type="paragraph" w:styleId="6">
    <w:name w:val="heading 4"/>
    <w:basedOn w:val="1"/>
    <w:next w:val="1"/>
    <w:link w:val="10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8"/>
    <w:unhideWhenUsed/>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223"/>
    <w:qFormat/>
    <w:uiPriority w:val="0"/>
    <w:pPr>
      <w:ind w:left="1152" w:hanging="432"/>
      <w:outlineLvl w:val="5"/>
    </w:pPr>
    <w:rPr>
      <w:rFonts w:ascii="Times New Roman" w:hAnsi="Times New Roman" w:eastAsia="宋体" w:cs="Times New Roman"/>
      <w:kern w:val="0"/>
      <w:sz w:val="20"/>
      <w:szCs w:val="20"/>
    </w:rPr>
  </w:style>
  <w:style w:type="paragraph" w:styleId="9">
    <w:name w:val="heading 7"/>
    <w:basedOn w:val="1"/>
    <w:next w:val="1"/>
    <w:link w:val="224"/>
    <w:qFormat/>
    <w:uiPriority w:val="0"/>
    <w:pPr>
      <w:ind w:left="1296" w:hanging="288"/>
      <w:outlineLvl w:val="6"/>
    </w:pPr>
    <w:rPr>
      <w:rFonts w:ascii="Times New Roman" w:hAnsi="Times New Roman" w:eastAsia="宋体" w:cs="Times New Roman"/>
      <w:kern w:val="0"/>
      <w:sz w:val="20"/>
      <w:szCs w:val="20"/>
    </w:rPr>
  </w:style>
  <w:style w:type="paragraph" w:styleId="10">
    <w:name w:val="heading 8"/>
    <w:basedOn w:val="1"/>
    <w:next w:val="1"/>
    <w:link w:val="225"/>
    <w:qFormat/>
    <w:uiPriority w:val="0"/>
    <w:pPr>
      <w:ind w:left="1440" w:hanging="432"/>
      <w:outlineLvl w:val="7"/>
    </w:pPr>
    <w:rPr>
      <w:rFonts w:ascii="Times New Roman" w:hAnsi="Times New Roman" w:eastAsia="宋体" w:cs="Times New Roman"/>
      <w:kern w:val="0"/>
      <w:sz w:val="20"/>
      <w:szCs w:val="20"/>
    </w:rPr>
  </w:style>
  <w:style w:type="paragraph" w:styleId="11">
    <w:name w:val="heading 9"/>
    <w:basedOn w:val="1"/>
    <w:next w:val="1"/>
    <w:link w:val="226"/>
    <w:qFormat/>
    <w:uiPriority w:val="0"/>
    <w:pPr>
      <w:ind w:left="1584" w:hanging="144"/>
      <w:outlineLvl w:val="8"/>
    </w:pPr>
    <w:rPr>
      <w:rFonts w:ascii="Times New Roman" w:hAnsi="Times New Roman" w:eastAsia="宋体" w:cs="Times New Roman"/>
      <w:kern w:val="0"/>
      <w:sz w:val="20"/>
      <w:szCs w:val="20"/>
    </w:rPr>
  </w:style>
  <w:style w:type="character" w:default="1" w:styleId="88">
    <w:name w:val="Default Paragraph Font"/>
    <w:semiHidden/>
    <w:unhideWhenUsed/>
    <w:qFormat/>
    <w:uiPriority w:val="1"/>
  </w:style>
  <w:style w:type="table" w:default="1" w:styleId="8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List 3"/>
    <w:basedOn w:val="1"/>
    <w:semiHidden/>
    <w:qFormat/>
    <w:uiPriority w:val="0"/>
    <w:pPr>
      <w:ind w:left="100" w:leftChars="400" w:hanging="200" w:hangingChars="200"/>
    </w:pPr>
    <w:rPr>
      <w:rFonts w:ascii="Times New Roman" w:hAnsi="Times New Roman" w:eastAsia="宋体" w:cs="Times New Roman"/>
      <w:szCs w:val="24"/>
    </w:rPr>
  </w:style>
  <w:style w:type="paragraph" w:styleId="13">
    <w:name w:val="toc 7"/>
    <w:basedOn w:val="1"/>
    <w:next w:val="1"/>
    <w:semiHidden/>
    <w:qFormat/>
    <w:uiPriority w:val="0"/>
    <w:pPr>
      <w:ind w:left="1260"/>
      <w:jc w:val="left"/>
    </w:pPr>
    <w:rPr>
      <w:rFonts w:ascii="Times New Roman" w:hAnsi="Times New Roman" w:eastAsia="宋体" w:cs="Times New Roman"/>
      <w:sz w:val="18"/>
      <w:szCs w:val="18"/>
    </w:rPr>
  </w:style>
  <w:style w:type="paragraph" w:styleId="14">
    <w:name w:val="List Number 2"/>
    <w:basedOn w:val="1"/>
    <w:semiHidden/>
    <w:qFormat/>
    <w:uiPriority w:val="0"/>
    <w:pPr>
      <w:numPr>
        <w:ilvl w:val="0"/>
        <w:numId w:val="1"/>
      </w:numPr>
    </w:pPr>
    <w:rPr>
      <w:rFonts w:ascii="Times New Roman" w:hAnsi="Times New Roman" w:eastAsia="宋体" w:cs="Times New Roman"/>
      <w:szCs w:val="24"/>
    </w:rPr>
  </w:style>
  <w:style w:type="paragraph" w:styleId="15">
    <w:name w:val="Note Heading"/>
    <w:basedOn w:val="1"/>
    <w:next w:val="1"/>
    <w:link w:val="228"/>
    <w:semiHidden/>
    <w:qFormat/>
    <w:uiPriority w:val="0"/>
    <w:pPr>
      <w:jc w:val="center"/>
    </w:pPr>
    <w:rPr>
      <w:rFonts w:ascii="Times New Roman" w:hAnsi="Times New Roman" w:eastAsia="宋体" w:cs="Times New Roman"/>
      <w:kern w:val="0"/>
      <w:sz w:val="20"/>
      <w:szCs w:val="24"/>
    </w:rPr>
  </w:style>
  <w:style w:type="paragraph" w:styleId="16">
    <w:name w:val="List Bullet 4"/>
    <w:basedOn w:val="1"/>
    <w:semiHidden/>
    <w:qFormat/>
    <w:uiPriority w:val="0"/>
    <w:pPr>
      <w:numPr>
        <w:ilvl w:val="0"/>
        <w:numId w:val="2"/>
      </w:numPr>
    </w:pPr>
    <w:rPr>
      <w:rFonts w:ascii="Times New Roman" w:hAnsi="Times New Roman" w:eastAsia="宋体" w:cs="Times New Roman"/>
      <w:szCs w:val="24"/>
    </w:rPr>
  </w:style>
  <w:style w:type="paragraph" w:styleId="17">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18">
    <w:name w:val="E-mail Signature"/>
    <w:basedOn w:val="1"/>
    <w:link w:val="229"/>
    <w:semiHidden/>
    <w:qFormat/>
    <w:uiPriority w:val="0"/>
    <w:rPr>
      <w:rFonts w:ascii="Times New Roman" w:hAnsi="Times New Roman" w:eastAsia="宋体" w:cs="Times New Roman"/>
      <w:kern w:val="0"/>
      <w:sz w:val="20"/>
      <w:szCs w:val="24"/>
    </w:rPr>
  </w:style>
  <w:style w:type="paragraph" w:styleId="19">
    <w:name w:val="List Number"/>
    <w:basedOn w:val="1"/>
    <w:semiHidden/>
    <w:qFormat/>
    <w:uiPriority w:val="0"/>
    <w:pPr>
      <w:numPr>
        <w:ilvl w:val="0"/>
        <w:numId w:val="3"/>
      </w:numPr>
    </w:pPr>
    <w:rPr>
      <w:rFonts w:ascii="Times New Roman" w:hAnsi="Times New Roman" w:eastAsia="宋体" w:cs="Times New Roman"/>
      <w:szCs w:val="24"/>
    </w:rPr>
  </w:style>
  <w:style w:type="paragraph" w:styleId="20">
    <w:name w:val="Normal Indent"/>
    <w:basedOn w:val="1"/>
    <w:next w:val="21"/>
    <w:link w:val="214"/>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21">
    <w:name w:val="Body Text"/>
    <w:basedOn w:val="1"/>
    <w:next w:val="22"/>
    <w:link w:val="113"/>
    <w:qFormat/>
    <w:uiPriority w:val="0"/>
    <w:pPr>
      <w:spacing w:line="560" w:lineRule="atLeast"/>
    </w:pPr>
    <w:rPr>
      <w:rFonts w:ascii="宋体" w:hAnsi="宋体" w:eastAsia="宋体" w:cs="宋体"/>
      <w:sz w:val="28"/>
      <w:szCs w:val="28"/>
    </w:rPr>
  </w:style>
  <w:style w:type="paragraph" w:styleId="22">
    <w:name w:val="Title"/>
    <w:basedOn w:val="1"/>
    <w:next w:val="1"/>
    <w:link w:val="124"/>
    <w:qFormat/>
    <w:uiPriority w:val="0"/>
    <w:pPr>
      <w:spacing w:before="240" w:after="60"/>
      <w:jc w:val="center"/>
      <w:outlineLvl w:val="0"/>
    </w:pPr>
    <w:rPr>
      <w:rFonts w:ascii="Cambria" w:hAnsi="Cambria" w:eastAsia="宋体" w:cs="Cambria"/>
      <w:b/>
      <w:bCs/>
      <w:sz w:val="32"/>
      <w:szCs w:val="32"/>
    </w:rPr>
  </w:style>
  <w:style w:type="paragraph" w:styleId="23">
    <w:name w:val="caption"/>
    <w:basedOn w:val="1"/>
    <w:next w:val="1"/>
    <w:qFormat/>
    <w:uiPriority w:val="35"/>
    <w:rPr>
      <w:rFonts w:ascii="Cambria" w:hAnsi="Cambria" w:eastAsia="黑体" w:cs="Times New Roman"/>
      <w:sz w:val="20"/>
      <w:szCs w:val="20"/>
    </w:rPr>
  </w:style>
  <w:style w:type="paragraph" w:styleId="24">
    <w:name w:val="index 5"/>
    <w:basedOn w:val="1"/>
    <w:next w:val="1"/>
    <w:semiHidden/>
    <w:qFormat/>
    <w:uiPriority w:val="0"/>
    <w:pPr>
      <w:ind w:left="1050" w:hanging="210"/>
      <w:jc w:val="left"/>
    </w:pPr>
    <w:rPr>
      <w:rFonts w:ascii="Times New Roman" w:hAnsi="Times New Roman" w:eastAsia="宋体" w:cs="Times New Roman"/>
      <w:sz w:val="20"/>
      <w:szCs w:val="20"/>
    </w:rPr>
  </w:style>
  <w:style w:type="paragraph" w:styleId="25">
    <w:name w:val="List Bullet"/>
    <w:basedOn w:val="1"/>
    <w:semiHidden/>
    <w:qFormat/>
    <w:uiPriority w:val="0"/>
    <w:pPr>
      <w:numPr>
        <w:ilvl w:val="0"/>
        <w:numId w:val="4"/>
      </w:numPr>
    </w:pPr>
    <w:rPr>
      <w:rFonts w:ascii="Times New Roman" w:hAnsi="Times New Roman" w:eastAsia="宋体" w:cs="Times New Roman"/>
      <w:szCs w:val="24"/>
    </w:rPr>
  </w:style>
  <w:style w:type="paragraph" w:styleId="26">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7">
    <w:name w:val="Document Map"/>
    <w:basedOn w:val="1"/>
    <w:link w:val="111"/>
    <w:qFormat/>
    <w:uiPriority w:val="0"/>
    <w:rPr>
      <w:rFonts w:ascii="宋体" w:hAnsi="Times New Roman" w:eastAsia="宋体" w:cs="宋体"/>
      <w:sz w:val="18"/>
      <w:szCs w:val="18"/>
    </w:rPr>
  </w:style>
  <w:style w:type="paragraph" w:styleId="28">
    <w:name w:val="toa heading"/>
    <w:basedOn w:val="1"/>
    <w:next w:val="1"/>
    <w:semiHidden/>
    <w:qFormat/>
    <w:uiPriority w:val="0"/>
    <w:pPr>
      <w:autoSpaceDE w:val="0"/>
      <w:autoSpaceDN w:val="0"/>
      <w:adjustRightInd w:val="0"/>
      <w:spacing w:before="120" w:after="60" w:line="360" w:lineRule="auto"/>
      <w:ind w:right="-425"/>
    </w:pPr>
    <w:rPr>
      <w:rFonts w:ascii="Arial" w:hAnsi="Arial" w:eastAsia="宋体" w:cs="Times New Roman"/>
      <w:color w:val="000000"/>
      <w:sz w:val="24"/>
      <w:szCs w:val="20"/>
    </w:rPr>
  </w:style>
  <w:style w:type="paragraph" w:styleId="29">
    <w:name w:val="annotation text"/>
    <w:basedOn w:val="1"/>
    <w:link w:val="109"/>
    <w:unhideWhenUsed/>
    <w:qFormat/>
    <w:uiPriority w:val="0"/>
    <w:pPr>
      <w:jc w:val="left"/>
    </w:pPr>
  </w:style>
  <w:style w:type="paragraph" w:styleId="30">
    <w:name w:val="index 6"/>
    <w:basedOn w:val="1"/>
    <w:next w:val="1"/>
    <w:semiHidden/>
    <w:qFormat/>
    <w:uiPriority w:val="0"/>
    <w:pPr>
      <w:ind w:left="1260" w:hanging="210"/>
      <w:jc w:val="left"/>
    </w:pPr>
    <w:rPr>
      <w:rFonts w:ascii="Times New Roman" w:hAnsi="Times New Roman" w:eastAsia="宋体" w:cs="Times New Roman"/>
      <w:sz w:val="20"/>
      <w:szCs w:val="20"/>
    </w:rPr>
  </w:style>
  <w:style w:type="paragraph" w:styleId="31">
    <w:name w:val="Salutation"/>
    <w:basedOn w:val="1"/>
    <w:next w:val="1"/>
    <w:link w:val="230"/>
    <w:semiHidden/>
    <w:qFormat/>
    <w:uiPriority w:val="0"/>
    <w:rPr>
      <w:rFonts w:ascii="Times New Roman" w:hAnsi="Times New Roman" w:eastAsia="宋体" w:cs="Times New Roman"/>
      <w:kern w:val="0"/>
      <w:sz w:val="20"/>
      <w:szCs w:val="24"/>
    </w:rPr>
  </w:style>
  <w:style w:type="paragraph" w:styleId="32">
    <w:name w:val="Body Text 3"/>
    <w:basedOn w:val="1"/>
    <w:link w:val="112"/>
    <w:qFormat/>
    <w:uiPriority w:val="0"/>
    <w:pPr>
      <w:jc w:val="center"/>
    </w:pPr>
    <w:rPr>
      <w:rFonts w:ascii="Times New Roman" w:hAnsi="Times New Roman" w:eastAsia="宋体" w:cs="Times New Roman"/>
      <w:szCs w:val="21"/>
      <w:u w:val="single"/>
    </w:rPr>
  </w:style>
  <w:style w:type="paragraph" w:styleId="33">
    <w:name w:val="Closing"/>
    <w:basedOn w:val="1"/>
    <w:link w:val="231"/>
    <w:semiHidden/>
    <w:qFormat/>
    <w:uiPriority w:val="0"/>
    <w:pPr>
      <w:ind w:left="100" w:leftChars="2100"/>
    </w:pPr>
    <w:rPr>
      <w:rFonts w:ascii="Times New Roman" w:hAnsi="Times New Roman" w:eastAsia="宋体" w:cs="Times New Roman"/>
      <w:kern w:val="0"/>
      <w:sz w:val="20"/>
      <w:szCs w:val="24"/>
    </w:rPr>
  </w:style>
  <w:style w:type="paragraph" w:styleId="34">
    <w:name w:val="List Bullet 3"/>
    <w:basedOn w:val="1"/>
    <w:semiHidden/>
    <w:qFormat/>
    <w:uiPriority w:val="0"/>
    <w:pPr>
      <w:numPr>
        <w:ilvl w:val="0"/>
        <w:numId w:val="5"/>
      </w:numPr>
    </w:pPr>
    <w:rPr>
      <w:rFonts w:ascii="Times New Roman" w:hAnsi="Times New Roman" w:eastAsia="宋体" w:cs="Times New Roman"/>
      <w:szCs w:val="24"/>
    </w:rPr>
  </w:style>
  <w:style w:type="paragraph" w:styleId="35">
    <w:name w:val="Body Text Indent"/>
    <w:basedOn w:val="1"/>
    <w:link w:val="114"/>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36">
    <w:name w:val="List Number 3"/>
    <w:basedOn w:val="1"/>
    <w:semiHidden/>
    <w:qFormat/>
    <w:uiPriority w:val="0"/>
    <w:pPr>
      <w:numPr>
        <w:ilvl w:val="0"/>
        <w:numId w:val="6"/>
      </w:numPr>
    </w:pPr>
    <w:rPr>
      <w:rFonts w:ascii="Times New Roman" w:hAnsi="Times New Roman" w:eastAsia="宋体" w:cs="Times New Roman"/>
      <w:szCs w:val="24"/>
    </w:rPr>
  </w:style>
  <w:style w:type="paragraph" w:styleId="37">
    <w:name w:val="List 2"/>
    <w:basedOn w:val="1"/>
    <w:semiHidden/>
    <w:qFormat/>
    <w:uiPriority w:val="0"/>
    <w:pPr>
      <w:ind w:left="100" w:leftChars="200" w:hanging="200" w:hangingChars="200"/>
    </w:pPr>
    <w:rPr>
      <w:rFonts w:ascii="Times New Roman" w:hAnsi="Times New Roman" w:eastAsia="宋体" w:cs="Times New Roman"/>
      <w:szCs w:val="24"/>
    </w:rPr>
  </w:style>
  <w:style w:type="paragraph" w:styleId="38">
    <w:name w:val="List Continue"/>
    <w:basedOn w:val="1"/>
    <w:semiHidden/>
    <w:qFormat/>
    <w:uiPriority w:val="0"/>
    <w:pPr>
      <w:spacing w:after="120"/>
      <w:ind w:left="420" w:leftChars="200"/>
    </w:pPr>
    <w:rPr>
      <w:rFonts w:ascii="Times New Roman" w:hAnsi="Times New Roman" w:eastAsia="宋体" w:cs="Times New Roman"/>
      <w:szCs w:val="24"/>
    </w:rPr>
  </w:style>
  <w:style w:type="paragraph" w:styleId="39">
    <w:name w:val="Block Text"/>
    <w:basedOn w:val="1"/>
    <w:qFormat/>
    <w:uiPriority w:val="0"/>
    <w:pPr>
      <w:tabs>
        <w:tab w:val="left" w:pos="-3"/>
        <w:tab w:val="left" w:pos="7560"/>
      </w:tabs>
      <w:spacing w:line="360" w:lineRule="atLeast"/>
      <w:ind w:left="-2" w:leftChars="-1" w:right="-51" w:firstLine="280" w:firstLineChars="100"/>
    </w:pPr>
    <w:rPr>
      <w:rFonts w:ascii="宋体" w:hAnsi="宋体" w:eastAsia="宋体" w:cs="宋体"/>
      <w:color w:val="000000"/>
      <w:sz w:val="28"/>
      <w:szCs w:val="28"/>
    </w:rPr>
  </w:style>
  <w:style w:type="paragraph" w:styleId="40">
    <w:name w:val="List Bullet 2"/>
    <w:basedOn w:val="1"/>
    <w:semiHidden/>
    <w:qFormat/>
    <w:uiPriority w:val="0"/>
    <w:pPr>
      <w:numPr>
        <w:ilvl w:val="0"/>
        <w:numId w:val="7"/>
      </w:numPr>
    </w:pPr>
    <w:rPr>
      <w:rFonts w:ascii="Times New Roman" w:hAnsi="Times New Roman" w:eastAsia="宋体" w:cs="Times New Roman"/>
      <w:szCs w:val="24"/>
    </w:rPr>
  </w:style>
  <w:style w:type="paragraph" w:styleId="41">
    <w:name w:val="HTML Address"/>
    <w:basedOn w:val="1"/>
    <w:link w:val="232"/>
    <w:semiHidden/>
    <w:qFormat/>
    <w:uiPriority w:val="0"/>
    <w:rPr>
      <w:rFonts w:ascii="Times New Roman" w:hAnsi="Times New Roman" w:eastAsia="宋体" w:cs="Times New Roman"/>
      <w:i/>
      <w:iCs/>
      <w:kern w:val="0"/>
      <w:sz w:val="20"/>
      <w:szCs w:val="24"/>
    </w:rPr>
  </w:style>
  <w:style w:type="paragraph" w:styleId="42">
    <w:name w:val="index 4"/>
    <w:basedOn w:val="1"/>
    <w:next w:val="1"/>
    <w:semiHidden/>
    <w:qFormat/>
    <w:uiPriority w:val="0"/>
    <w:pPr>
      <w:ind w:left="840" w:hanging="210"/>
      <w:jc w:val="left"/>
    </w:pPr>
    <w:rPr>
      <w:rFonts w:ascii="Times New Roman" w:hAnsi="Times New Roman" w:eastAsia="宋体" w:cs="Times New Roman"/>
      <w:sz w:val="20"/>
      <w:szCs w:val="20"/>
    </w:rPr>
  </w:style>
  <w:style w:type="paragraph" w:styleId="43">
    <w:name w:val="toc 5"/>
    <w:basedOn w:val="1"/>
    <w:next w:val="1"/>
    <w:semiHidden/>
    <w:qFormat/>
    <w:uiPriority w:val="0"/>
    <w:pPr>
      <w:tabs>
        <w:tab w:val="right" w:leader="dot" w:pos="8948"/>
      </w:tabs>
      <w:spacing w:line="360" w:lineRule="auto"/>
      <w:ind w:left="420" w:leftChars="200" w:right="420" w:rightChars="200" w:firstLine="960" w:firstLineChars="400"/>
    </w:pPr>
    <w:rPr>
      <w:rFonts w:ascii="宋体" w:hAnsi="宋体" w:eastAsia="宋体" w:cs="Times New Roman"/>
      <w:kern w:val="0"/>
      <w:sz w:val="24"/>
      <w:szCs w:val="24"/>
    </w:rPr>
  </w:style>
  <w:style w:type="paragraph" w:styleId="44">
    <w:name w:val="toc 3"/>
    <w:basedOn w:val="1"/>
    <w:next w:val="1"/>
    <w:link w:val="256"/>
    <w:semiHidden/>
    <w:qFormat/>
    <w:uiPriority w:val="0"/>
    <w:pPr>
      <w:tabs>
        <w:tab w:val="right" w:leader="dot" w:pos="8949"/>
      </w:tabs>
      <w:adjustRightInd w:val="0"/>
      <w:snapToGrid w:val="0"/>
      <w:spacing w:line="360" w:lineRule="auto"/>
      <w:ind w:right="420" w:rightChars="200" w:firstLine="964" w:firstLineChars="400"/>
      <w:jc w:val="left"/>
    </w:pPr>
    <w:rPr>
      <w:rFonts w:ascii="宋体" w:hAnsi="宋体" w:eastAsia="宋体" w:cs="Times New Roman"/>
      <w:b/>
      <w:iCs/>
      <w:sz w:val="24"/>
      <w:szCs w:val="24"/>
    </w:rPr>
  </w:style>
  <w:style w:type="paragraph" w:styleId="45">
    <w:name w:val="Plain Text"/>
    <w:basedOn w:val="1"/>
    <w:link w:val="115"/>
    <w:qFormat/>
    <w:uiPriority w:val="0"/>
    <w:rPr>
      <w:rFonts w:ascii="宋体" w:hAnsi="Courier New" w:eastAsia="宋体" w:cs="Courier New"/>
      <w:szCs w:val="21"/>
    </w:rPr>
  </w:style>
  <w:style w:type="paragraph" w:styleId="46">
    <w:name w:val="List Bullet 5"/>
    <w:basedOn w:val="1"/>
    <w:semiHidden/>
    <w:qFormat/>
    <w:uiPriority w:val="0"/>
    <w:pPr>
      <w:numPr>
        <w:ilvl w:val="0"/>
        <w:numId w:val="8"/>
      </w:numPr>
    </w:pPr>
    <w:rPr>
      <w:rFonts w:ascii="Times New Roman" w:hAnsi="Times New Roman" w:eastAsia="宋体" w:cs="Times New Roman"/>
      <w:szCs w:val="24"/>
    </w:rPr>
  </w:style>
  <w:style w:type="paragraph" w:styleId="47">
    <w:name w:val="List Number 4"/>
    <w:basedOn w:val="1"/>
    <w:semiHidden/>
    <w:qFormat/>
    <w:uiPriority w:val="0"/>
    <w:pPr>
      <w:numPr>
        <w:ilvl w:val="0"/>
        <w:numId w:val="9"/>
      </w:numPr>
    </w:pPr>
    <w:rPr>
      <w:rFonts w:ascii="Times New Roman" w:hAnsi="Times New Roman" w:eastAsia="宋体" w:cs="Times New Roman"/>
      <w:szCs w:val="24"/>
    </w:rPr>
  </w:style>
  <w:style w:type="paragraph" w:styleId="48">
    <w:name w:val="toc 8"/>
    <w:basedOn w:val="1"/>
    <w:next w:val="1"/>
    <w:semiHidden/>
    <w:qFormat/>
    <w:uiPriority w:val="0"/>
    <w:pPr>
      <w:ind w:left="1470"/>
      <w:jc w:val="left"/>
    </w:pPr>
    <w:rPr>
      <w:rFonts w:ascii="Times New Roman" w:hAnsi="Times New Roman" w:eastAsia="宋体" w:cs="Times New Roman"/>
      <w:sz w:val="18"/>
      <w:szCs w:val="18"/>
    </w:rPr>
  </w:style>
  <w:style w:type="paragraph" w:styleId="49">
    <w:name w:val="index 3"/>
    <w:basedOn w:val="1"/>
    <w:next w:val="1"/>
    <w:semiHidden/>
    <w:qFormat/>
    <w:uiPriority w:val="0"/>
    <w:pPr>
      <w:ind w:left="630" w:hanging="210"/>
      <w:jc w:val="left"/>
    </w:pPr>
    <w:rPr>
      <w:rFonts w:ascii="Times New Roman" w:hAnsi="Times New Roman" w:eastAsia="宋体" w:cs="Times New Roman"/>
      <w:sz w:val="20"/>
      <w:szCs w:val="20"/>
    </w:rPr>
  </w:style>
  <w:style w:type="paragraph" w:styleId="50">
    <w:name w:val="Date"/>
    <w:basedOn w:val="1"/>
    <w:next w:val="1"/>
    <w:link w:val="116"/>
    <w:qFormat/>
    <w:uiPriority w:val="0"/>
    <w:rPr>
      <w:rFonts w:ascii="宋体" w:hAnsi="宋体" w:eastAsia="宋体" w:cs="宋体"/>
      <w:sz w:val="24"/>
      <w:szCs w:val="24"/>
    </w:rPr>
  </w:style>
  <w:style w:type="paragraph" w:styleId="51">
    <w:name w:val="Body Text Indent 2"/>
    <w:basedOn w:val="1"/>
    <w:link w:val="117"/>
    <w:qFormat/>
    <w:uiPriority w:val="0"/>
    <w:pPr>
      <w:spacing w:line="560" w:lineRule="atLeast"/>
      <w:ind w:firstLine="640" w:firstLineChars="200"/>
    </w:pPr>
    <w:rPr>
      <w:rFonts w:ascii="仿宋_GB2312" w:hAnsi="Times New Roman" w:eastAsia="仿宋_GB2312" w:cs="仿宋_GB2312"/>
      <w:i/>
      <w:iCs/>
      <w:color w:val="0000FF"/>
      <w:sz w:val="32"/>
      <w:szCs w:val="32"/>
    </w:rPr>
  </w:style>
  <w:style w:type="paragraph" w:styleId="52">
    <w:name w:val="List Continue 5"/>
    <w:basedOn w:val="1"/>
    <w:semiHidden/>
    <w:qFormat/>
    <w:uiPriority w:val="0"/>
    <w:pPr>
      <w:spacing w:after="120"/>
      <w:ind w:left="2100" w:leftChars="1000"/>
    </w:pPr>
    <w:rPr>
      <w:rFonts w:ascii="Times New Roman" w:hAnsi="Times New Roman" w:eastAsia="宋体" w:cs="Times New Roman"/>
      <w:szCs w:val="24"/>
    </w:rPr>
  </w:style>
  <w:style w:type="paragraph" w:styleId="53">
    <w:name w:val="Balloon Text"/>
    <w:basedOn w:val="1"/>
    <w:link w:val="118"/>
    <w:qFormat/>
    <w:uiPriority w:val="0"/>
    <w:rPr>
      <w:rFonts w:ascii="Times New Roman" w:hAnsi="Times New Roman" w:eastAsia="宋体" w:cs="Times New Roman"/>
      <w:sz w:val="18"/>
      <w:szCs w:val="18"/>
    </w:rPr>
  </w:style>
  <w:style w:type="paragraph" w:styleId="54">
    <w:name w:val="footer"/>
    <w:basedOn w:val="1"/>
    <w:link w:val="11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5">
    <w:name w:val="envelope return"/>
    <w:basedOn w:val="1"/>
    <w:semiHidden/>
    <w:qFormat/>
    <w:uiPriority w:val="0"/>
    <w:pPr>
      <w:snapToGrid w:val="0"/>
    </w:pPr>
    <w:rPr>
      <w:rFonts w:ascii="Arial" w:hAnsi="Arial" w:eastAsia="宋体" w:cs="Arial"/>
      <w:szCs w:val="24"/>
    </w:rPr>
  </w:style>
  <w:style w:type="paragraph" w:styleId="56">
    <w:name w:val="header"/>
    <w:basedOn w:val="1"/>
    <w:link w:val="120"/>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7">
    <w:name w:val="Signature"/>
    <w:basedOn w:val="1"/>
    <w:link w:val="234"/>
    <w:semiHidden/>
    <w:qFormat/>
    <w:uiPriority w:val="0"/>
    <w:pPr>
      <w:ind w:left="100" w:leftChars="2100"/>
    </w:pPr>
    <w:rPr>
      <w:rFonts w:ascii="Times New Roman" w:hAnsi="Times New Roman" w:eastAsia="宋体" w:cs="Times New Roman"/>
      <w:kern w:val="0"/>
      <w:sz w:val="20"/>
      <w:szCs w:val="24"/>
    </w:rPr>
  </w:style>
  <w:style w:type="paragraph" w:styleId="58">
    <w:name w:val="toc 1"/>
    <w:basedOn w:val="1"/>
    <w:next w:val="1"/>
    <w:qFormat/>
    <w:uiPriority w:val="0"/>
    <w:pPr>
      <w:tabs>
        <w:tab w:val="right" w:leader="dot" w:pos="8949"/>
      </w:tabs>
      <w:adjustRightInd w:val="0"/>
      <w:snapToGrid w:val="0"/>
      <w:spacing w:line="360" w:lineRule="auto"/>
      <w:ind w:right="420" w:rightChars="200" w:firstLine="960" w:firstLineChars="400"/>
      <w:jc w:val="center"/>
    </w:pPr>
    <w:rPr>
      <w:rFonts w:ascii="宋体" w:hAnsi="宋体" w:eastAsia="宋体" w:cs="Times New Roman"/>
      <w:bCs/>
      <w:caps/>
      <w:sz w:val="24"/>
      <w:szCs w:val="24"/>
    </w:rPr>
  </w:style>
  <w:style w:type="paragraph" w:styleId="59">
    <w:name w:val="List Continue 4"/>
    <w:basedOn w:val="1"/>
    <w:semiHidden/>
    <w:qFormat/>
    <w:uiPriority w:val="0"/>
    <w:pPr>
      <w:spacing w:after="120"/>
      <w:ind w:left="1680" w:leftChars="800"/>
    </w:pPr>
    <w:rPr>
      <w:rFonts w:ascii="Times New Roman" w:hAnsi="Times New Roman" w:eastAsia="宋体" w:cs="Times New Roman"/>
      <w:szCs w:val="24"/>
    </w:rPr>
  </w:style>
  <w:style w:type="paragraph" w:styleId="60">
    <w:name w:val="toc 4"/>
    <w:basedOn w:val="1"/>
    <w:next w:val="1"/>
    <w:semiHidden/>
    <w:qFormat/>
    <w:uiPriority w:val="0"/>
    <w:pPr>
      <w:tabs>
        <w:tab w:val="right" w:leader="dot" w:pos="8949"/>
      </w:tabs>
      <w:adjustRightInd w:val="0"/>
      <w:snapToGrid w:val="0"/>
      <w:spacing w:line="360" w:lineRule="auto"/>
      <w:ind w:left="630" w:leftChars="300" w:right="630" w:rightChars="300"/>
      <w:jc w:val="distribute"/>
    </w:pPr>
    <w:rPr>
      <w:rFonts w:ascii="宋体" w:hAnsi="宋体" w:eastAsia="宋体" w:cs="Times New Roman"/>
      <w:szCs w:val="21"/>
    </w:rPr>
  </w:style>
  <w:style w:type="paragraph" w:styleId="61">
    <w:name w:val="index heading"/>
    <w:basedOn w:val="1"/>
    <w:next w:val="62"/>
    <w:semiHidden/>
    <w:qFormat/>
    <w:uiPriority w:val="0"/>
    <w:pPr>
      <w:spacing w:before="120" w:after="120"/>
      <w:jc w:val="left"/>
    </w:pPr>
    <w:rPr>
      <w:rFonts w:ascii="Times New Roman" w:hAnsi="Times New Roman" w:eastAsia="宋体" w:cs="Times New Roman"/>
      <w:b/>
      <w:bCs/>
      <w:i/>
      <w:iCs/>
      <w:sz w:val="20"/>
      <w:szCs w:val="20"/>
    </w:rPr>
  </w:style>
  <w:style w:type="paragraph" w:styleId="62">
    <w:name w:val="index 1"/>
    <w:basedOn w:val="1"/>
    <w:next w:val="1"/>
    <w:semiHidden/>
    <w:qFormat/>
    <w:uiPriority w:val="0"/>
    <w:pPr>
      <w:spacing w:line="360" w:lineRule="auto"/>
    </w:pPr>
    <w:rPr>
      <w:rFonts w:ascii="宋体" w:hAnsi="宋体" w:eastAsia="宋体" w:cs="Times New Roman"/>
      <w:sz w:val="28"/>
      <w:szCs w:val="20"/>
    </w:rPr>
  </w:style>
  <w:style w:type="paragraph" w:styleId="63">
    <w:name w:val="Subtitle"/>
    <w:basedOn w:val="1"/>
    <w:next w:val="1"/>
    <w:link w:val="121"/>
    <w:qFormat/>
    <w:uiPriority w:val="0"/>
    <w:pPr>
      <w:spacing w:before="240" w:after="60" w:line="312" w:lineRule="auto"/>
      <w:jc w:val="center"/>
      <w:outlineLvl w:val="1"/>
    </w:pPr>
    <w:rPr>
      <w:rFonts w:ascii="Calibri" w:hAnsi="Calibri" w:eastAsia="宋体" w:cs="Times New Roman"/>
      <w:kern w:val="0"/>
      <w:sz w:val="20"/>
      <w:szCs w:val="20"/>
    </w:rPr>
  </w:style>
  <w:style w:type="paragraph" w:styleId="64">
    <w:name w:val="List Number 5"/>
    <w:basedOn w:val="1"/>
    <w:semiHidden/>
    <w:qFormat/>
    <w:uiPriority w:val="0"/>
    <w:pPr>
      <w:numPr>
        <w:ilvl w:val="0"/>
        <w:numId w:val="10"/>
      </w:numPr>
    </w:pPr>
    <w:rPr>
      <w:rFonts w:ascii="Times New Roman" w:hAnsi="Times New Roman" w:eastAsia="宋体" w:cs="Times New Roman"/>
      <w:szCs w:val="24"/>
    </w:rPr>
  </w:style>
  <w:style w:type="paragraph" w:styleId="65">
    <w:name w:val="List"/>
    <w:basedOn w:val="1"/>
    <w:semiHidden/>
    <w:qFormat/>
    <w:uiPriority w:val="0"/>
    <w:pPr>
      <w:ind w:left="200" w:hanging="200" w:hangingChars="200"/>
    </w:pPr>
    <w:rPr>
      <w:rFonts w:ascii="Times New Roman" w:hAnsi="Times New Roman" w:eastAsia="宋体" w:cs="Times New Roman"/>
      <w:szCs w:val="24"/>
    </w:rPr>
  </w:style>
  <w:style w:type="paragraph" w:styleId="66">
    <w:name w:val="toc 6"/>
    <w:basedOn w:val="1"/>
    <w:next w:val="1"/>
    <w:semiHidden/>
    <w:qFormat/>
    <w:uiPriority w:val="0"/>
    <w:pPr>
      <w:ind w:left="1050"/>
      <w:jc w:val="left"/>
    </w:pPr>
    <w:rPr>
      <w:rFonts w:ascii="Times New Roman" w:hAnsi="Times New Roman" w:eastAsia="宋体" w:cs="Times New Roman"/>
      <w:sz w:val="18"/>
      <w:szCs w:val="18"/>
    </w:rPr>
  </w:style>
  <w:style w:type="paragraph" w:styleId="67">
    <w:name w:val="List 5"/>
    <w:basedOn w:val="1"/>
    <w:semiHidden/>
    <w:qFormat/>
    <w:uiPriority w:val="0"/>
    <w:pPr>
      <w:ind w:left="100" w:leftChars="800" w:hanging="200" w:hangingChars="200"/>
    </w:pPr>
    <w:rPr>
      <w:rFonts w:ascii="Times New Roman" w:hAnsi="Times New Roman" w:eastAsia="宋体" w:cs="Times New Roman"/>
      <w:szCs w:val="24"/>
    </w:rPr>
  </w:style>
  <w:style w:type="paragraph" w:styleId="68">
    <w:name w:val="Body Text Indent 3"/>
    <w:basedOn w:val="1"/>
    <w:link w:val="122"/>
    <w:qFormat/>
    <w:uiPriority w:val="0"/>
    <w:pPr>
      <w:spacing w:line="560" w:lineRule="atLeast"/>
      <w:ind w:firstLine="640" w:firstLineChars="200"/>
    </w:pPr>
    <w:rPr>
      <w:rFonts w:ascii="仿宋_GB2312" w:hAnsi="Times New Roman" w:eastAsia="仿宋_GB2312" w:cs="仿宋_GB2312"/>
      <w:color w:val="000000"/>
      <w:sz w:val="32"/>
      <w:szCs w:val="32"/>
    </w:rPr>
  </w:style>
  <w:style w:type="paragraph" w:styleId="69">
    <w:name w:val="index 7"/>
    <w:basedOn w:val="1"/>
    <w:next w:val="1"/>
    <w:semiHidden/>
    <w:qFormat/>
    <w:uiPriority w:val="0"/>
    <w:pPr>
      <w:ind w:left="1470" w:hanging="210"/>
      <w:jc w:val="left"/>
    </w:pPr>
    <w:rPr>
      <w:rFonts w:ascii="Times New Roman" w:hAnsi="Times New Roman" w:eastAsia="宋体" w:cs="Times New Roman"/>
      <w:sz w:val="20"/>
      <w:szCs w:val="20"/>
    </w:rPr>
  </w:style>
  <w:style w:type="paragraph" w:styleId="70">
    <w:name w:val="index 9"/>
    <w:basedOn w:val="1"/>
    <w:next w:val="1"/>
    <w:semiHidden/>
    <w:qFormat/>
    <w:uiPriority w:val="0"/>
    <w:pPr>
      <w:ind w:left="1890" w:hanging="210"/>
      <w:jc w:val="left"/>
    </w:pPr>
    <w:rPr>
      <w:rFonts w:ascii="Times New Roman" w:hAnsi="Times New Roman" w:eastAsia="宋体" w:cs="Times New Roman"/>
      <w:sz w:val="20"/>
      <w:szCs w:val="20"/>
    </w:rPr>
  </w:style>
  <w:style w:type="paragraph" w:styleId="71">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eastAsia="宋体" w:cs="Times New Roman"/>
      <w:b/>
      <w:smallCaps/>
      <w:sz w:val="24"/>
      <w:szCs w:val="24"/>
    </w:rPr>
  </w:style>
  <w:style w:type="paragraph" w:styleId="72">
    <w:name w:val="toc 9"/>
    <w:basedOn w:val="1"/>
    <w:next w:val="1"/>
    <w:semiHidden/>
    <w:qFormat/>
    <w:uiPriority w:val="0"/>
    <w:pPr>
      <w:ind w:left="1680"/>
      <w:jc w:val="left"/>
    </w:pPr>
    <w:rPr>
      <w:rFonts w:ascii="Times New Roman" w:hAnsi="Times New Roman" w:eastAsia="宋体" w:cs="Times New Roman"/>
      <w:sz w:val="18"/>
      <w:szCs w:val="18"/>
    </w:rPr>
  </w:style>
  <w:style w:type="paragraph" w:styleId="73">
    <w:name w:val="Body Text 2"/>
    <w:basedOn w:val="1"/>
    <w:link w:val="123"/>
    <w:qFormat/>
    <w:uiPriority w:val="0"/>
    <w:pPr>
      <w:jc w:val="center"/>
    </w:pPr>
    <w:rPr>
      <w:rFonts w:ascii="Times New Roman" w:hAnsi="Times New Roman" w:eastAsia="宋体" w:cs="Times New Roman"/>
      <w:szCs w:val="21"/>
    </w:rPr>
  </w:style>
  <w:style w:type="paragraph" w:styleId="74">
    <w:name w:val="List 4"/>
    <w:basedOn w:val="1"/>
    <w:semiHidden/>
    <w:qFormat/>
    <w:uiPriority w:val="0"/>
    <w:pPr>
      <w:ind w:left="100" w:leftChars="600" w:hanging="200" w:hangingChars="200"/>
    </w:pPr>
    <w:rPr>
      <w:rFonts w:ascii="Times New Roman" w:hAnsi="Times New Roman" w:eastAsia="宋体" w:cs="Times New Roman"/>
      <w:szCs w:val="24"/>
    </w:rPr>
  </w:style>
  <w:style w:type="paragraph" w:styleId="75">
    <w:name w:val="List Continue 2"/>
    <w:basedOn w:val="1"/>
    <w:semiHidden/>
    <w:qFormat/>
    <w:uiPriority w:val="0"/>
    <w:pPr>
      <w:spacing w:after="120"/>
      <w:ind w:left="840" w:leftChars="400"/>
    </w:pPr>
    <w:rPr>
      <w:rFonts w:ascii="Times New Roman" w:hAnsi="Times New Roman" w:eastAsia="宋体" w:cs="Times New Roman"/>
      <w:szCs w:val="24"/>
    </w:rPr>
  </w:style>
  <w:style w:type="paragraph" w:styleId="76">
    <w:name w:val="Message Header"/>
    <w:basedOn w:val="1"/>
    <w:link w:val="235"/>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kern w:val="0"/>
      <w:sz w:val="24"/>
      <w:szCs w:val="24"/>
    </w:rPr>
  </w:style>
  <w:style w:type="paragraph" w:styleId="77">
    <w:name w:val="HTML Preformatted"/>
    <w:basedOn w:val="1"/>
    <w:link w:val="236"/>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color w:val="000000"/>
      <w:kern w:val="0"/>
      <w:sz w:val="24"/>
      <w:szCs w:val="24"/>
    </w:rPr>
  </w:style>
  <w:style w:type="paragraph" w:styleId="78">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79">
    <w:name w:val="List Continue 3"/>
    <w:basedOn w:val="1"/>
    <w:semiHidden/>
    <w:qFormat/>
    <w:uiPriority w:val="0"/>
    <w:pPr>
      <w:spacing w:after="120"/>
      <w:ind w:left="1260" w:leftChars="600"/>
    </w:pPr>
    <w:rPr>
      <w:rFonts w:ascii="Times New Roman" w:hAnsi="Times New Roman" w:eastAsia="宋体" w:cs="Times New Roman"/>
      <w:szCs w:val="24"/>
    </w:rPr>
  </w:style>
  <w:style w:type="paragraph" w:styleId="80">
    <w:name w:val="index 2"/>
    <w:basedOn w:val="1"/>
    <w:next w:val="1"/>
    <w:semiHidden/>
    <w:qFormat/>
    <w:uiPriority w:val="0"/>
    <w:pPr>
      <w:ind w:left="420" w:hanging="210"/>
      <w:jc w:val="left"/>
    </w:pPr>
    <w:rPr>
      <w:rFonts w:ascii="Times New Roman" w:hAnsi="Times New Roman" w:eastAsia="宋体" w:cs="Times New Roman"/>
      <w:sz w:val="20"/>
      <w:szCs w:val="20"/>
    </w:rPr>
  </w:style>
  <w:style w:type="paragraph" w:styleId="81">
    <w:name w:val="annotation subject"/>
    <w:basedOn w:val="29"/>
    <w:next w:val="29"/>
    <w:link w:val="110"/>
    <w:qFormat/>
    <w:uiPriority w:val="0"/>
    <w:rPr>
      <w:rFonts w:ascii="Times New Roman" w:hAnsi="Times New Roman" w:eastAsia="宋体" w:cs="Times New Roman"/>
      <w:b/>
      <w:bCs/>
      <w:szCs w:val="21"/>
    </w:rPr>
  </w:style>
  <w:style w:type="paragraph" w:styleId="82">
    <w:name w:val="Body Text First Indent"/>
    <w:basedOn w:val="1"/>
    <w:link w:val="227"/>
    <w:semiHidden/>
    <w:qFormat/>
    <w:uiPriority w:val="0"/>
    <w:pPr>
      <w:spacing w:after="120"/>
      <w:ind w:firstLine="420" w:firstLineChars="100"/>
    </w:pPr>
    <w:rPr>
      <w:rFonts w:ascii="Times New Roman" w:hAnsi="Calibri" w:eastAsia="宋体" w:cs="Times New Roman"/>
      <w:kern w:val="0"/>
      <w:sz w:val="20"/>
      <w:szCs w:val="24"/>
    </w:rPr>
  </w:style>
  <w:style w:type="paragraph" w:styleId="83">
    <w:name w:val="Body Text First Indent 2"/>
    <w:basedOn w:val="1"/>
    <w:link w:val="233"/>
    <w:semiHidden/>
    <w:qFormat/>
    <w:uiPriority w:val="0"/>
    <w:pPr>
      <w:spacing w:after="120"/>
      <w:ind w:left="420" w:leftChars="200" w:firstLine="420"/>
    </w:pPr>
    <w:rPr>
      <w:rFonts w:ascii="Times New Roman" w:hAnsi="Times New Roman" w:eastAsia="宋体" w:cs="Times New Roman"/>
      <w:kern w:val="0"/>
      <w:sz w:val="20"/>
      <w:szCs w:val="24"/>
    </w:rPr>
  </w:style>
  <w:style w:type="table" w:styleId="85">
    <w:name w:val="Table Grid"/>
    <w:basedOn w:val="84"/>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6">
    <w:name w:val="Light List Accent 5"/>
    <w:basedOn w:val="84"/>
    <w:qFormat/>
    <w:uiPriority w:val="61"/>
    <w:rPr>
      <w:rFonts w:ascii="Calibri" w:hAnsi="Calibri" w:eastAsia="宋体" w:cs="Times New Roman"/>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7">
    <w:name w:val="Light Grid Accent 3"/>
    <w:basedOn w:val="84"/>
    <w:qFormat/>
    <w:uiPriority w:val="62"/>
    <w:rPr>
      <w:rFonts w:ascii="Calibri" w:hAnsi="Calibri" w:eastAsia="宋体" w:cs="Times New Roman"/>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89">
    <w:name w:val="Strong"/>
    <w:qFormat/>
    <w:uiPriority w:val="99"/>
    <w:rPr>
      <w:b/>
      <w:bCs/>
    </w:rPr>
  </w:style>
  <w:style w:type="character" w:styleId="90">
    <w:name w:val="page number"/>
    <w:basedOn w:val="88"/>
    <w:qFormat/>
    <w:uiPriority w:val="0"/>
  </w:style>
  <w:style w:type="character" w:styleId="91">
    <w:name w:val="FollowedHyperlink"/>
    <w:qFormat/>
    <w:uiPriority w:val="0"/>
    <w:rPr>
      <w:color w:val="800080"/>
      <w:u w:val="single"/>
    </w:rPr>
  </w:style>
  <w:style w:type="character" w:styleId="92">
    <w:name w:val="Emphasis"/>
    <w:basedOn w:val="88"/>
    <w:qFormat/>
    <w:uiPriority w:val="99"/>
  </w:style>
  <w:style w:type="character" w:styleId="93">
    <w:name w:val="line number"/>
    <w:basedOn w:val="88"/>
    <w:semiHidden/>
    <w:qFormat/>
    <w:uiPriority w:val="0"/>
  </w:style>
  <w:style w:type="character" w:styleId="94">
    <w:name w:val="HTML Definition"/>
    <w:semiHidden/>
    <w:qFormat/>
    <w:uiPriority w:val="0"/>
    <w:rPr>
      <w:i/>
      <w:iCs/>
    </w:rPr>
  </w:style>
  <w:style w:type="character" w:styleId="95">
    <w:name w:val="HTML Typewriter"/>
    <w:semiHidden/>
    <w:qFormat/>
    <w:uiPriority w:val="0"/>
    <w:rPr>
      <w:rFonts w:ascii="Courier New" w:hAnsi="Courier New" w:cs="Courier New"/>
      <w:sz w:val="20"/>
      <w:szCs w:val="20"/>
    </w:rPr>
  </w:style>
  <w:style w:type="character" w:styleId="96">
    <w:name w:val="HTML Acronym"/>
    <w:basedOn w:val="88"/>
    <w:semiHidden/>
    <w:qFormat/>
    <w:uiPriority w:val="0"/>
  </w:style>
  <w:style w:type="character" w:styleId="97">
    <w:name w:val="HTML Variable"/>
    <w:semiHidden/>
    <w:qFormat/>
    <w:uiPriority w:val="0"/>
    <w:rPr>
      <w:i/>
      <w:iCs/>
    </w:rPr>
  </w:style>
  <w:style w:type="character" w:styleId="98">
    <w:name w:val="Hyperlink"/>
    <w:qFormat/>
    <w:uiPriority w:val="0"/>
    <w:rPr>
      <w:color w:val="auto"/>
      <w:u w:val="none"/>
    </w:rPr>
  </w:style>
  <w:style w:type="character" w:styleId="99">
    <w:name w:val="HTML Code"/>
    <w:semiHidden/>
    <w:qFormat/>
    <w:uiPriority w:val="0"/>
    <w:rPr>
      <w:rFonts w:ascii="Courier New" w:hAnsi="Courier New" w:cs="Courier New"/>
      <w:sz w:val="20"/>
      <w:szCs w:val="20"/>
    </w:rPr>
  </w:style>
  <w:style w:type="character" w:styleId="100">
    <w:name w:val="annotation reference"/>
    <w:qFormat/>
    <w:uiPriority w:val="0"/>
    <w:rPr>
      <w:sz w:val="21"/>
      <w:szCs w:val="21"/>
    </w:rPr>
  </w:style>
  <w:style w:type="character" w:styleId="101">
    <w:name w:val="HTML Cite"/>
    <w:semiHidden/>
    <w:qFormat/>
    <w:uiPriority w:val="0"/>
    <w:rPr>
      <w:i/>
      <w:iCs/>
    </w:rPr>
  </w:style>
  <w:style w:type="character" w:styleId="102">
    <w:name w:val="footnote reference"/>
    <w:basedOn w:val="88"/>
    <w:semiHidden/>
    <w:unhideWhenUsed/>
    <w:qFormat/>
    <w:uiPriority w:val="99"/>
    <w:rPr>
      <w:vertAlign w:val="superscript"/>
    </w:rPr>
  </w:style>
  <w:style w:type="character" w:styleId="103">
    <w:name w:val="HTML Keyboard"/>
    <w:semiHidden/>
    <w:qFormat/>
    <w:uiPriority w:val="0"/>
    <w:rPr>
      <w:rFonts w:ascii="Courier New" w:hAnsi="Courier New" w:cs="Courier New"/>
      <w:sz w:val="20"/>
      <w:szCs w:val="20"/>
    </w:rPr>
  </w:style>
  <w:style w:type="character" w:styleId="104">
    <w:name w:val="HTML Sample"/>
    <w:semiHidden/>
    <w:qFormat/>
    <w:uiPriority w:val="0"/>
    <w:rPr>
      <w:rFonts w:ascii="Courier New" w:hAnsi="Courier New" w:cs="Courier New"/>
    </w:rPr>
  </w:style>
  <w:style w:type="character" w:customStyle="1" w:styleId="105">
    <w:name w:val="标题 1 Char"/>
    <w:basedOn w:val="88"/>
    <w:link w:val="3"/>
    <w:qFormat/>
    <w:uiPriority w:val="0"/>
    <w:rPr>
      <w:rFonts w:ascii="Times New Roman" w:hAnsi="Times New Roman" w:eastAsia="宋体" w:cs="Times New Roman"/>
      <w:b/>
      <w:bCs/>
      <w:kern w:val="44"/>
      <w:sz w:val="44"/>
      <w:szCs w:val="44"/>
    </w:rPr>
  </w:style>
  <w:style w:type="character" w:customStyle="1" w:styleId="106">
    <w:name w:val="标题 3 Char"/>
    <w:basedOn w:val="88"/>
    <w:link w:val="5"/>
    <w:qFormat/>
    <w:uiPriority w:val="0"/>
    <w:rPr>
      <w:rFonts w:ascii="宋体" w:hAnsi="宋体" w:eastAsia="宋体" w:cs="宋体"/>
      <w:sz w:val="24"/>
      <w:szCs w:val="24"/>
    </w:rPr>
  </w:style>
  <w:style w:type="character" w:customStyle="1" w:styleId="107">
    <w:name w:val="标题 4 Char"/>
    <w:basedOn w:val="88"/>
    <w:link w:val="6"/>
    <w:qFormat/>
    <w:uiPriority w:val="0"/>
    <w:rPr>
      <w:rFonts w:asciiTheme="majorHAnsi" w:hAnsiTheme="majorHAnsi" w:eastAsiaTheme="majorEastAsia" w:cstheme="majorBidi"/>
      <w:b/>
      <w:bCs/>
      <w:sz w:val="28"/>
      <w:szCs w:val="28"/>
    </w:rPr>
  </w:style>
  <w:style w:type="character" w:customStyle="1" w:styleId="108">
    <w:name w:val="标题 5 Char"/>
    <w:basedOn w:val="88"/>
    <w:link w:val="7"/>
    <w:qFormat/>
    <w:uiPriority w:val="0"/>
    <w:rPr>
      <w:rFonts w:ascii="Times New Roman" w:hAnsi="Times New Roman" w:eastAsia="宋体" w:cs="Times New Roman"/>
      <w:b/>
      <w:bCs/>
      <w:sz w:val="28"/>
      <w:szCs w:val="28"/>
    </w:rPr>
  </w:style>
  <w:style w:type="character" w:customStyle="1" w:styleId="109">
    <w:name w:val="批注文字 Char"/>
    <w:basedOn w:val="88"/>
    <w:link w:val="29"/>
    <w:qFormat/>
    <w:uiPriority w:val="0"/>
  </w:style>
  <w:style w:type="character" w:customStyle="1" w:styleId="110">
    <w:name w:val="批注主题 Char"/>
    <w:basedOn w:val="109"/>
    <w:link w:val="81"/>
    <w:qFormat/>
    <w:uiPriority w:val="0"/>
    <w:rPr>
      <w:rFonts w:ascii="Times New Roman" w:hAnsi="Times New Roman" w:eastAsia="宋体" w:cs="Times New Roman"/>
      <w:b/>
      <w:bCs/>
      <w:szCs w:val="21"/>
    </w:rPr>
  </w:style>
  <w:style w:type="character" w:customStyle="1" w:styleId="111">
    <w:name w:val="文档结构图 Char"/>
    <w:basedOn w:val="88"/>
    <w:link w:val="27"/>
    <w:qFormat/>
    <w:uiPriority w:val="0"/>
    <w:rPr>
      <w:rFonts w:ascii="宋体" w:hAnsi="Times New Roman" w:eastAsia="宋体" w:cs="宋体"/>
      <w:sz w:val="18"/>
      <w:szCs w:val="18"/>
    </w:rPr>
  </w:style>
  <w:style w:type="character" w:customStyle="1" w:styleId="112">
    <w:name w:val="正文文本 3 Char"/>
    <w:basedOn w:val="88"/>
    <w:link w:val="32"/>
    <w:qFormat/>
    <w:uiPriority w:val="0"/>
    <w:rPr>
      <w:rFonts w:ascii="Times New Roman" w:hAnsi="Times New Roman" w:eastAsia="宋体" w:cs="Times New Roman"/>
      <w:szCs w:val="21"/>
      <w:u w:val="single"/>
    </w:rPr>
  </w:style>
  <w:style w:type="character" w:customStyle="1" w:styleId="113">
    <w:name w:val="正文文本 Char"/>
    <w:basedOn w:val="88"/>
    <w:link w:val="21"/>
    <w:qFormat/>
    <w:uiPriority w:val="0"/>
    <w:rPr>
      <w:rFonts w:ascii="宋体" w:hAnsi="宋体" w:eastAsia="宋体" w:cs="宋体"/>
      <w:sz w:val="28"/>
      <w:szCs w:val="28"/>
    </w:rPr>
  </w:style>
  <w:style w:type="character" w:customStyle="1" w:styleId="114">
    <w:name w:val="正文文本缩进 Char"/>
    <w:basedOn w:val="88"/>
    <w:link w:val="35"/>
    <w:qFormat/>
    <w:uiPriority w:val="0"/>
    <w:rPr>
      <w:rFonts w:ascii="仿宋_GB2312" w:hAnsi="Times New Roman" w:eastAsia="仿宋_GB2312" w:cs="仿宋_GB2312"/>
      <w:color w:val="000000"/>
      <w:sz w:val="32"/>
      <w:szCs w:val="32"/>
      <w:u w:val="single"/>
    </w:rPr>
  </w:style>
  <w:style w:type="character" w:customStyle="1" w:styleId="115">
    <w:name w:val="纯文本 Char"/>
    <w:basedOn w:val="88"/>
    <w:link w:val="45"/>
    <w:qFormat/>
    <w:uiPriority w:val="0"/>
    <w:rPr>
      <w:rFonts w:ascii="宋体" w:hAnsi="Courier New" w:eastAsia="宋体" w:cs="Courier New"/>
      <w:szCs w:val="21"/>
    </w:rPr>
  </w:style>
  <w:style w:type="character" w:customStyle="1" w:styleId="116">
    <w:name w:val="日期 Char"/>
    <w:basedOn w:val="88"/>
    <w:link w:val="50"/>
    <w:qFormat/>
    <w:uiPriority w:val="0"/>
    <w:rPr>
      <w:rFonts w:ascii="宋体" w:hAnsi="宋体" w:eastAsia="宋体" w:cs="宋体"/>
      <w:sz w:val="24"/>
      <w:szCs w:val="24"/>
    </w:rPr>
  </w:style>
  <w:style w:type="character" w:customStyle="1" w:styleId="117">
    <w:name w:val="正文文本缩进 2 Char"/>
    <w:basedOn w:val="88"/>
    <w:link w:val="51"/>
    <w:qFormat/>
    <w:uiPriority w:val="0"/>
    <w:rPr>
      <w:rFonts w:ascii="仿宋_GB2312" w:hAnsi="Times New Roman" w:eastAsia="仿宋_GB2312" w:cs="仿宋_GB2312"/>
      <w:i/>
      <w:iCs/>
      <w:color w:val="0000FF"/>
      <w:sz w:val="32"/>
      <w:szCs w:val="32"/>
    </w:rPr>
  </w:style>
  <w:style w:type="character" w:customStyle="1" w:styleId="118">
    <w:name w:val="批注框文本 Char"/>
    <w:basedOn w:val="88"/>
    <w:link w:val="53"/>
    <w:qFormat/>
    <w:uiPriority w:val="0"/>
    <w:rPr>
      <w:rFonts w:ascii="Times New Roman" w:hAnsi="Times New Roman" w:eastAsia="宋体" w:cs="Times New Roman"/>
      <w:sz w:val="18"/>
      <w:szCs w:val="18"/>
    </w:rPr>
  </w:style>
  <w:style w:type="character" w:customStyle="1" w:styleId="119">
    <w:name w:val="页脚 Char"/>
    <w:basedOn w:val="88"/>
    <w:link w:val="54"/>
    <w:qFormat/>
    <w:uiPriority w:val="0"/>
    <w:rPr>
      <w:rFonts w:ascii="Times New Roman" w:hAnsi="Times New Roman" w:eastAsia="宋体" w:cs="Times New Roman"/>
      <w:sz w:val="18"/>
      <w:szCs w:val="18"/>
    </w:rPr>
  </w:style>
  <w:style w:type="character" w:customStyle="1" w:styleId="120">
    <w:name w:val="页眉 Char"/>
    <w:basedOn w:val="88"/>
    <w:link w:val="56"/>
    <w:qFormat/>
    <w:uiPriority w:val="0"/>
    <w:rPr>
      <w:rFonts w:ascii="Times New Roman" w:hAnsi="Times New Roman" w:eastAsia="宋体" w:cs="Times New Roman"/>
      <w:sz w:val="18"/>
      <w:szCs w:val="18"/>
    </w:rPr>
  </w:style>
  <w:style w:type="character" w:customStyle="1" w:styleId="121">
    <w:name w:val="副标题 Char"/>
    <w:basedOn w:val="88"/>
    <w:link w:val="63"/>
    <w:qFormat/>
    <w:uiPriority w:val="0"/>
    <w:rPr>
      <w:rFonts w:ascii="Calibri" w:hAnsi="Calibri" w:eastAsia="宋体" w:cs="Times New Roman"/>
      <w:kern w:val="0"/>
      <w:sz w:val="20"/>
      <w:szCs w:val="20"/>
    </w:rPr>
  </w:style>
  <w:style w:type="character" w:customStyle="1" w:styleId="122">
    <w:name w:val="正文文本缩进 3 Char"/>
    <w:basedOn w:val="88"/>
    <w:link w:val="68"/>
    <w:qFormat/>
    <w:uiPriority w:val="0"/>
    <w:rPr>
      <w:rFonts w:ascii="仿宋_GB2312" w:hAnsi="Times New Roman" w:eastAsia="仿宋_GB2312" w:cs="仿宋_GB2312"/>
      <w:color w:val="000000"/>
      <w:sz w:val="32"/>
      <w:szCs w:val="32"/>
    </w:rPr>
  </w:style>
  <w:style w:type="character" w:customStyle="1" w:styleId="123">
    <w:name w:val="正文文本 2 Char"/>
    <w:basedOn w:val="88"/>
    <w:link w:val="73"/>
    <w:qFormat/>
    <w:uiPriority w:val="0"/>
    <w:rPr>
      <w:rFonts w:ascii="Times New Roman" w:hAnsi="Times New Roman" w:eastAsia="宋体" w:cs="Times New Roman"/>
      <w:szCs w:val="21"/>
    </w:rPr>
  </w:style>
  <w:style w:type="character" w:customStyle="1" w:styleId="124">
    <w:name w:val="标题 Char"/>
    <w:basedOn w:val="88"/>
    <w:link w:val="22"/>
    <w:qFormat/>
    <w:uiPriority w:val="0"/>
    <w:rPr>
      <w:rFonts w:ascii="Cambria" w:hAnsi="Cambria" w:eastAsia="宋体" w:cs="Cambria"/>
      <w:b/>
      <w:bCs/>
      <w:sz w:val="32"/>
      <w:szCs w:val="32"/>
    </w:rPr>
  </w:style>
  <w:style w:type="paragraph" w:customStyle="1" w:styleId="125">
    <w:name w:val="font5"/>
    <w:basedOn w:val="1"/>
    <w:qFormat/>
    <w:uiPriority w:val="99"/>
    <w:pPr>
      <w:widowControl/>
      <w:spacing w:before="100" w:beforeAutospacing="1" w:after="100" w:afterAutospacing="1"/>
      <w:jc w:val="left"/>
    </w:pPr>
    <w:rPr>
      <w:rFonts w:ascii="宋体" w:hAnsi="宋体" w:eastAsia="宋体" w:cs="宋体"/>
      <w:b/>
      <w:bCs/>
      <w:kern w:val="0"/>
      <w:sz w:val="36"/>
      <w:szCs w:val="36"/>
    </w:rPr>
  </w:style>
  <w:style w:type="paragraph" w:customStyle="1" w:styleId="126">
    <w:name w:val="font6"/>
    <w:basedOn w:val="1"/>
    <w:qFormat/>
    <w:uiPriority w:val="99"/>
    <w:pPr>
      <w:widowControl/>
      <w:spacing w:before="100" w:beforeAutospacing="1" w:after="100" w:afterAutospacing="1"/>
      <w:jc w:val="left"/>
    </w:pPr>
    <w:rPr>
      <w:rFonts w:ascii="黑体" w:hAnsi="宋体" w:eastAsia="黑体" w:cs="黑体"/>
      <w:kern w:val="0"/>
      <w:sz w:val="28"/>
      <w:szCs w:val="28"/>
    </w:rPr>
  </w:style>
  <w:style w:type="paragraph" w:customStyle="1" w:styleId="127">
    <w:name w:val="font7"/>
    <w:basedOn w:val="1"/>
    <w:qFormat/>
    <w:uiPriority w:val="99"/>
    <w:pPr>
      <w:widowControl/>
      <w:spacing w:before="100" w:beforeAutospacing="1" w:after="100" w:afterAutospacing="1"/>
      <w:jc w:val="left"/>
    </w:pPr>
    <w:rPr>
      <w:rFonts w:ascii="黑体" w:hAnsi="宋体" w:eastAsia="黑体" w:cs="黑体"/>
      <w:kern w:val="0"/>
      <w:sz w:val="28"/>
      <w:szCs w:val="28"/>
      <w:u w:val="single"/>
    </w:rPr>
  </w:style>
  <w:style w:type="paragraph" w:customStyle="1" w:styleId="128">
    <w:name w:val="font8"/>
    <w:basedOn w:val="1"/>
    <w:qFormat/>
    <w:uiPriority w:val="99"/>
    <w:pPr>
      <w:widowControl/>
      <w:spacing w:before="100" w:beforeAutospacing="1" w:after="100" w:afterAutospacing="1"/>
      <w:jc w:val="left"/>
    </w:pPr>
    <w:rPr>
      <w:rFonts w:ascii="宋体" w:hAnsi="宋体" w:eastAsia="宋体" w:cs="宋体"/>
      <w:kern w:val="0"/>
      <w:szCs w:val="21"/>
    </w:rPr>
  </w:style>
  <w:style w:type="paragraph" w:customStyle="1" w:styleId="129">
    <w:name w:val="font9"/>
    <w:basedOn w:val="1"/>
    <w:qFormat/>
    <w:uiPriority w:val="99"/>
    <w:pPr>
      <w:widowControl/>
      <w:spacing w:before="100" w:beforeAutospacing="1" w:after="100" w:afterAutospacing="1"/>
      <w:jc w:val="left"/>
    </w:pPr>
    <w:rPr>
      <w:rFonts w:ascii="宋体" w:hAnsi="宋体" w:eastAsia="宋体" w:cs="宋体"/>
      <w:b/>
      <w:bCs/>
      <w:kern w:val="0"/>
      <w:szCs w:val="21"/>
    </w:rPr>
  </w:style>
  <w:style w:type="paragraph" w:customStyle="1" w:styleId="130">
    <w:name w:val="font10"/>
    <w:basedOn w:val="1"/>
    <w:qFormat/>
    <w:uiPriority w:val="99"/>
    <w:pPr>
      <w:widowControl/>
      <w:spacing w:before="100" w:beforeAutospacing="1" w:after="100" w:afterAutospacing="1"/>
      <w:jc w:val="left"/>
    </w:pPr>
    <w:rPr>
      <w:rFonts w:ascii="宋体" w:hAnsi="宋体" w:eastAsia="宋体" w:cs="宋体"/>
      <w:kern w:val="0"/>
      <w:szCs w:val="21"/>
      <w:u w:val="single"/>
    </w:rPr>
  </w:style>
  <w:style w:type="paragraph" w:customStyle="1" w:styleId="131">
    <w:name w:val="font11"/>
    <w:basedOn w:val="1"/>
    <w:qFormat/>
    <w:uiPriority w:val="99"/>
    <w:pPr>
      <w:widowControl/>
      <w:spacing w:before="100" w:beforeAutospacing="1" w:after="100" w:afterAutospacing="1"/>
      <w:jc w:val="left"/>
    </w:pPr>
    <w:rPr>
      <w:rFonts w:ascii="黑体" w:hAnsi="宋体" w:eastAsia="黑体" w:cs="黑体"/>
      <w:kern w:val="0"/>
      <w:szCs w:val="21"/>
    </w:rPr>
  </w:style>
  <w:style w:type="paragraph" w:customStyle="1" w:styleId="132">
    <w:name w:val="font12"/>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33">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34">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35">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36">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37">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38">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39">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40">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41">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2">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43">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44">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5">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46">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47">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148">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eastAsia="宋体" w:cs="Times New Roman"/>
      <w:kern w:val="0"/>
      <w:szCs w:val="21"/>
    </w:rPr>
  </w:style>
  <w:style w:type="paragraph" w:customStyle="1" w:styleId="149">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50">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1">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Cs w:val="21"/>
    </w:rPr>
  </w:style>
  <w:style w:type="paragraph" w:customStyle="1" w:styleId="152">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3">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4">
    <w:name w:val="xl46"/>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5">
    <w:name w:val="xl47"/>
    <w:basedOn w:val="1"/>
    <w:qFormat/>
    <w:uiPriority w:val="99"/>
    <w:pPr>
      <w:widowControl/>
      <w:spacing w:before="100" w:beforeAutospacing="1" w:after="100" w:afterAutospacing="1"/>
      <w:jc w:val="center"/>
      <w:textAlignment w:val="center"/>
    </w:pPr>
    <w:rPr>
      <w:rFonts w:ascii="宋体" w:hAnsi="宋体" w:eastAsia="宋体" w:cs="宋体"/>
      <w:kern w:val="0"/>
      <w:szCs w:val="21"/>
    </w:rPr>
  </w:style>
  <w:style w:type="paragraph" w:customStyle="1" w:styleId="156">
    <w:name w:val="xl48"/>
    <w:basedOn w:val="1"/>
    <w:qFormat/>
    <w:uiPriority w:val="99"/>
    <w:pPr>
      <w:widowControl/>
      <w:spacing w:before="100" w:beforeAutospacing="1" w:after="100" w:afterAutospacing="1"/>
      <w:textAlignment w:val="center"/>
    </w:pPr>
    <w:rPr>
      <w:rFonts w:ascii="宋体" w:hAnsi="宋体" w:eastAsia="宋体" w:cs="宋体"/>
      <w:kern w:val="0"/>
      <w:szCs w:val="21"/>
    </w:rPr>
  </w:style>
  <w:style w:type="paragraph" w:customStyle="1" w:styleId="157">
    <w:name w:val="xl49"/>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8">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59">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60">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6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62">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b/>
      <w:bCs/>
      <w:kern w:val="0"/>
      <w:szCs w:val="21"/>
    </w:rPr>
  </w:style>
  <w:style w:type="paragraph" w:customStyle="1" w:styleId="163">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64">
    <w:name w:val="xl56"/>
    <w:basedOn w:val="1"/>
    <w:qFormat/>
    <w:uiPriority w:val="99"/>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165">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66">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67">
    <w:name w:val="xl59"/>
    <w:basedOn w:val="1"/>
    <w:qFormat/>
    <w:uiPriority w:val="99"/>
    <w:pPr>
      <w:widowControl/>
      <w:pBdr>
        <w:bottom w:val="single" w:color="auto" w:sz="4" w:space="0"/>
      </w:pBdr>
      <w:spacing w:before="100" w:beforeAutospacing="1" w:after="100" w:afterAutospacing="1"/>
      <w:jc w:val="left"/>
    </w:pPr>
    <w:rPr>
      <w:rFonts w:ascii="宋体" w:hAnsi="宋体" w:eastAsia="宋体" w:cs="宋体"/>
      <w:kern w:val="0"/>
      <w:sz w:val="28"/>
      <w:szCs w:val="28"/>
    </w:rPr>
  </w:style>
  <w:style w:type="paragraph" w:customStyle="1" w:styleId="168">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69">
    <w:name w:val="默认段落字体 Para Char"/>
    <w:basedOn w:val="1"/>
    <w:qFormat/>
    <w:uiPriority w:val="0"/>
    <w:rPr>
      <w:rFonts w:ascii="Times New Roman" w:hAnsi="Times New Roman" w:eastAsia="宋体" w:cs="Times New Roman"/>
      <w:szCs w:val="21"/>
    </w:rPr>
  </w:style>
  <w:style w:type="paragraph" w:customStyle="1" w:styleId="170">
    <w:name w:val=".."/>
    <w:basedOn w:val="2"/>
    <w:next w:val="2"/>
    <w:qFormat/>
    <w:uiPriority w:val="99"/>
    <w:rPr>
      <w:rFonts w:ascii="Times New Roman" w:cs="Times New Roman"/>
      <w:color w:val="auto"/>
    </w:rPr>
  </w:style>
  <w:style w:type="paragraph" w:customStyle="1" w:styleId="171">
    <w:name w:val="Char"/>
    <w:basedOn w:val="1"/>
    <w:qFormat/>
    <w:uiPriority w:val="0"/>
    <w:pPr>
      <w:widowControl/>
      <w:spacing w:after="160" w:line="240" w:lineRule="exact"/>
      <w:jc w:val="left"/>
    </w:pPr>
    <w:rPr>
      <w:rFonts w:ascii="Calibri" w:hAnsi="Calibri" w:eastAsia="宋体" w:cs="Calibri"/>
      <w:szCs w:val="21"/>
    </w:rPr>
  </w:style>
  <w:style w:type="paragraph" w:customStyle="1" w:styleId="172">
    <w:name w:val="列出段落1"/>
    <w:basedOn w:val="1"/>
    <w:qFormat/>
    <w:uiPriority w:val="34"/>
    <w:pPr>
      <w:ind w:firstLine="420" w:firstLineChars="200"/>
    </w:pPr>
    <w:rPr>
      <w:rFonts w:ascii="Times New Roman" w:hAnsi="Times New Roman" w:eastAsia="宋体" w:cs="Times New Roman"/>
      <w:szCs w:val="21"/>
    </w:rPr>
  </w:style>
  <w:style w:type="character" w:customStyle="1" w:styleId="173">
    <w:name w:val="modeltitle"/>
    <w:basedOn w:val="88"/>
    <w:qFormat/>
    <w:uiPriority w:val="99"/>
  </w:style>
  <w:style w:type="paragraph" w:customStyle="1" w:styleId="174">
    <w:name w:val="样式 样式1 正文（首行缩进两字） Char + 黑色 首行缩进:  2 字符 段前: 0 行 行距: 多倍行距 1.15 ....."/>
    <w:basedOn w:val="1"/>
    <w:qFormat/>
    <w:uiPriority w:val="99"/>
    <w:pPr>
      <w:tabs>
        <w:tab w:val="left" w:pos="3885"/>
      </w:tabs>
      <w:overflowPunct w:val="0"/>
      <w:snapToGrid w:val="0"/>
      <w:spacing w:line="276" w:lineRule="auto"/>
      <w:ind w:firstLine="420"/>
    </w:pPr>
    <w:rPr>
      <w:rFonts w:ascii="Times New Roman" w:hAnsi="Times New Roman" w:eastAsia="宋体" w:cs="宋体"/>
      <w:szCs w:val="20"/>
    </w:rPr>
  </w:style>
  <w:style w:type="character" w:customStyle="1" w:styleId="175">
    <w:name w:val="副标题 Char1"/>
    <w:qFormat/>
    <w:uiPriority w:val="11"/>
    <w:rPr>
      <w:rFonts w:ascii="Cambria" w:hAnsi="Cambria" w:cs="Times New Roman"/>
      <w:b/>
      <w:bCs/>
      <w:kern w:val="28"/>
      <w:sz w:val="32"/>
      <w:szCs w:val="32"/>
    </w:rPr>
  </w:style>
  <w:style w:type="character" w:customStyle="1" w:styleId="176">
    <w:name w:val="Char Char2"/>
    <w:qFormat/>
    <w:locked/>
    <w:uiPriority w:val="0"/>
    <w:rPr>
      <w:rFonts w:ascii="宋体" w:hAnsi="宋体" w:eastAsia="宋体"/>
      <w:sz w:val="21"/>
      <w:lang w:val="en-US" w:eastAsia="zh-CN" w:bidi="ar-SA"/>
    </w:rPr>
  </w:style>
  <w:style w:type="paragraph" w:customStyle="1" w:styleId="177">
    <w:name w:val="前言、引言标题"/>
    <w:next w:val="1"/>
    <w:qFormat/>
    <w:uiPriority w:val="0"/>
    <w:pPr>
      <w:numPr>
        <w:ilvl w:val="0"/>
        <w:numId w:val="1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7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9">
    <w:name w:val="章标题"/>
    <w:next w:val="178"/>
    <w:qFormat/>
    <w:uiPriority w:val="0"/>
    <w:pPr>
      <w:numPr>
        <w:ilvl w:val="1"/>
        <w:numId w:val="11"/>
      </w:numPr>
      <w:spacing w:beforeLines="50" w:afterLines="50"/>
      <w:jc w:val="both"/>
      <w:outlineLvl w:val="1"/>
    </w:pPr>
    <w:rPr>
      <w:rFonts w:ascii="黑体" w:hAnsi="Times New Roman" w:eastAsia="黑体" w:cs="Times New Roman"/>
      <w:sz w:val="21"/>
      <w:lang w:val="en-US" w:eastAsia="zh-CN" w:bidi="ar-SA"/>
    </w:rPr>
  </w:style>
  <w:style w:type="paragraph" w:customStyle="1" w:styleId="180">
    <w:name w:val="一级条标题"/>
    <w:basedOn w:val="179"/>
    <w:next w:val="178"/>
    <w:qFormat/>
    <w:uiPriority w:val="0"/>
    <w:pPr>
      <w:numPr>
        <w:ilvl w:val="2"/>
      </w:numPr>
      <w:spacing w:beforeLines="0" w:afterLines="0"/>
      <w:outlineLvl w:val="2"/>
    </w:pPr>
  </w:style>
  <w:style w:type="paragraph" w:customStyle="1" w:styleId="181">
    <w:name w:val="二级条标题"/>
    <w:basedOn w:val="180"/>
    <w:next w:val="178"/>
    <w:qFormat/>
    <w:uiPriority w:val="0"/>
    <w:pPr>
      <w:numPr>
        <w:ilvl w:val="3"/>
      </w:numPr>
      <w:outlineLvl w:val="3"/>
    </w:pPr>
  </w:style>
  <w:style w:type="paragraph" w:customStyle="1" w:styleId="182">
    <w:name w:val="三级条标题"/>
    <w:basedOn w:val="181"/>
    <w:next w:val="178"/>
    <w:qFormat/>
    <w:uiPriority w:val="0"/>
    <w:pPr>
      <w:numPr>
        <w:ilvl w:val="4"/>
      </w:numPr>
      <w:outlineLvl w:val="4"/>
    </w:pPr>
  </w:style>
  <w:style w:type="paragraph" w:customStyle="1" w:styleId="183">
    <w:name w:val="四级条标题"/>
    <w:basedOn w:val="182"/>
    <w:next w:val="178"/>
    <w:qFormat/>
    <w:uiPriority w:val="0"/>
    <w:pPr>
      <w:numPr>
        <w:ilvl w:val="5"/>
      </w:numPr>
      <w:outlineLvl w:val="5"/>
    </w:pPr>
  </w:style>
  <w:style w:type="paragraph" w:customStyle="1" w:styleId="184">
    <w:name w:val="五级条标题"/>
    <w:basedOn w:val="183"/>
    <w:next w:val="178"/>
    <w:qFormat/>
    <w:uiPriority w:val="0"/>
    <w:pPr>
      <w:numPr>
        <w:ilvl w:val="6"/>
      </w:numPr>
      <w:outlineLvl w:val="6"/>
    </w:pPr>
  </w:style>
  <w:style w:type="paragraph" w:customStyle="1" w:styleId="185">
    <w:name w:val="封面标题1"/>
    <w:basedOn w:val="1"/>
    <w:qFormat/>
    <w:uiPriority w:val="0"/>
    <w:pPr>
      <w:spacing w:line="360" w:lineRule="auto"/>
      <w:jc w:val="center"/>
    </w:pPr>
    <w:rPr>
      <w:rFonts w:ascii="黑体" w:hAnsi="宋体" w:eastAsia="黑体" w:cs="宋体"/>
      <w:b/>
      <w:bCs/>
      <w:sz w:val="44"/>
      <w:szCs w:val="20"/>
    </w:rPr>
  </w:style>
  <w:style w:type="paragraph" w:customStyle="1" w:styleId="186">
    <w:name w:val="Char Char3"/>
    <w:basedOn w:val="1"/>
    <w:qFormat/>
    <w:uiPriority w:val="0"/>
    <w:pPr>
      <w:tabs>
        <w:tab w:val="left" w:pos="4665"/>
        <w:tab w:val="left" w:pos="8970"/>
      </w:tabs>
      <w:spacing w:line="500" w:lineRule="exact"/>
      <w:ind w:firstLine="420" w:firstLineChars="200"/>
      <w:jc w:val="center"/>
    </w:pPr>
    <w:rPr>
      <w:rFonts w:ascii="仿宋_GB2312" w:hAnsi="Times New Roman" w:eastAsia="仿宋_GB2312" w:cs="Times New Roman"/>
      <w:spacing w:val="-4"/>
      <w:sz w:val="32"/>
      <w:szCs w:val="20"/>
    </w:rPr>
  </w:style>
  <w:style w:type="paragraph" w:customStyle="1" w:styleId="187">
    <w:name w:val="无间隔1"/>
    <w:basedOn w:val="1"/>
    <w:link w:val="188"/>
    <w:qFormat/>
    <w:uiPriority w:val="0"/>
    <w:pPr>
      <w:widowControl/>
      <w:jc w:val="left"/>
    </w:pPr>
    <w:rPr>
      <w:rFonts w:ascii="Calibri" w:hAnsi="Calibri" w:eastAsia="宋体" w:cs="Times New Roman"/>
      <w:kern w:val="0"/>
      <w:sz w:val="24"/>
      <w:szCs w:val="32"/>
      <w:lang w:eastAsia="en-US" w:bidi="en-US"/>
    </w:rPr>
  </w:style>
  <w:style w:type="character" w:customStyle="1" w:styleId="188">
    <w:name w:val="无间隔 Char"/>
    <w:link w:val="187"/>
    <w:qFormat/>
    <w:uiPriority w:val="0"/>
    <w:rPr>
      <w:rFonts w:ascii="Calibri" w:hAnsi="Calibri" w:eastAsia="宋体" w:cs="Times New Roman"/>
      <w:kern w:val="0"/>
      <w:sz w:val="24"/>
      <w:szCs w:val="32"/>
      <w:lang w:eastAsia="en-US" w:bidi="en-US"/>
    </w:rPr>
  </w:style>
  <w:style w:type="paragraph" w:customStyle="1" w:styleId="189">
    <w:name w:val="Char1"/>
    <w:basedOn w:val="1"/>
    <w:qFormat/>
    <w:uiPriority w:val="0"/>
    <w:rPr>
      <w:rFonts w:ascii="Tahoma" w:hAnsi="Tahoma" w:eastAsia="宋体" w:cs="Times New Roman"/>
      <w:sz w:val="24"/>
      <w:szCs w:val="20"/>
    </w:rPr>
  </w:style>
  <w:style w:type="paragraph" w:customStyle="1" w:styleId="190">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1">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2">
    <w:name w:val="占位符文本1"/>
    <w:basedOn w:val="88"/>
    <w:semiHidden/>
    <w:qFormat/>
    <w:uiPriority w:val="99"/>
    <w:rPr>
      <w:color w:val="808080"/>
    </w:rPr>
  </w:style>
  <w:style w:type="paragraph" w:styleId="193">
    <w:name w:val="List Paragraph"/>
    <w:basedOn w:val="1"/>
    <w:qFormat/>
    <w:uiPriority w:val="34"/>
    <w:pPr>
      <w:ind w:firstLine="420" w:firstLineChars="200"/>
    </w:pPr>
    <w:rPr>
      <w:rFonts w:ascii="Times New Roman" w:hAnsi="Times New Roman" w:eastAsia="宋体" w:cs="Times New Roman"/>
      <w:szCs w:val="21"/>
    </w:rPr>
  </w:style>
  <w:style w:type="paragraph" w:customStyle="1" w:styleId="194">
    <w:name w:val="1节 + 首行缩进:  2 字符"/>
    <w:basedOn w:val="3"/>
    <w:qFormat/>
    <w:uiPriority w:val="0"/>
    <w:pPr>
      <w:spacing w:line="240" w:lineRule="auto"/>
      <w:jc w:val="left"/>
    </w:pPr>
    <w:rPr>
      <w:rFonts w:eastAsia="仿宋_GB2312" w:cs="宋体"/>
      <w:sz w:val="28"/>
      <w:szCs w:val="20"/>
    </w:rPr>
  </w:style>
  <w:style w:type="paragraph" w:customStyle="1" w:styleId="195">
    <w:name w:val="中文正文、"/>
    <w:basedOn w:val="1"/>
    <w:link w:val="198"/>
    <w:qFormat/>
    <w:uiPriority w:val="0"/>
    <w:pPr>
      <w:spacing w:line="360" w:lineRule="auto"/>
      <w:ind w:firstLine="420" w:firstLineChars="200"/>
      <w:jc w:val="left"/>
    </w:pPr>
    <w:rPr>
      <w:rFonts w:ascii="Times New Roman" w:hAnsi="Times New Roman" w:eastAsia="宋体" w:cs="Times New Roman"/>
      <w:szCs w:val="21"/>
    </w:rPr>
  </w:style>
  <w:style w:type="paragraph" w:customStyle="1" w:styleId="196">
    <w:name w:val="列出段落2"/>
    <w:basedOn w:val="1"/>
    <w:qFormat/>
    <w:uiPriority w:val="0"/>
    <w:pPr>
      <w:ind w:firstLine="420" w:firstLineChars="200"/>
    </w:pPr>
    <w:rPr>
      <w:rFonts w:ascii="Times New Roman" w:hAnsi="Times New Roman" w:eastAsia="宋体" w:cs="Times New Roman"/>
      <w:szCs w:val="20"/>
    </w:rPr>
  </w:style>
  <w:style w:type="paragraph" w:customStyle="1" w:styleId="197">
    <w:name w:val="标题一、"/>
    <w:basedOn w:val="1"/>
    <w:qFormat/>
    <w:uiPriority w:val="0"/>
    <w:pPr>
      <w:spacing w:beforeLines="100" w:afterLines="100" w:line="360" w:lineRule="auto"/>
      <w:jc w:val="center"/>
      <w:outlineLvl w:val="0"/>
    </w:pPr>
    <w:rPr>
      <w:rFonts w:ascii="黑体" w:hAnsi="Times New Roman" w:eastAsia="黑体" w:cs="Times New Roman"/>
      <w:sz w:val="32"/>
      <w:szCs w:val="32"/>
    </w:rPr>
  </w:style>
  <w:style w:type="character" w:customStyle="1" w:styleId="198">
    <w:name w:val="中文正文、 Char Char"/>
    <w:link w:val="195"/>
    <w:qFormat/>
    <w:uiPriority w:val="0"/>
    <w:rPr>
      <w:rFonts w:ascii="Times New Roman" w:hAnsi="Times New Roman" w:eastAsia="宋体" w:cs="Times New Roman"/>
      <w:szCs w:val="21"/>
    </w:rPr>
  </w:style>
  <w:style w:type="paragraph" w:customStyle="1" w:styleId="199">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0">
    <w:name w:val="正文文本缩进 Char1"/>
    <w:basedOn w:val="88"/>
    <w:semiHidden/>
    <w:qFormat/>
    <w:uiPriority w:val="99"/>
    <w:rPr>
      <w:rFonts w:ascii="Times New Roman" w:hAnsi="Times New Roman" w:eastAsia="宋体" w:cs="Times New Roman"/>
      <w:szCs w:val="21"/>
    </w:rPr>
  </w:style>
  <w:style w:type="character" w:customStyle="1" w:styleId="201">
    <w:name w:val="正文文本缩进 2 Char1"/>
    <w:basedOn w:val="88"/>
    <w:semiHidden/>
    <w:qFormat/>
    <w:uiPriority w:val="99"/>
    <w:rPr>
      <w:rFonts w:ascii="Times New Roman" w:hAnsi="Times New Roman" w:eastAsia="宋体" w:cs="Times New Roman"/>
      <w:szCs w:val="21"/>
    </w:rPr>
  </w:style>
  <w:style w:type="character" w:customStyle="1" w:styleId="202">
    <w:name w:val="正文文本 3 Char1"/>
    <w:basedOn w:val="88"/>
    <w:semiHidden/>
    <w:qFormat/>
    <w:uiPriority w:val="99"/>
    <w:rPr>
      <w:rFonts w:ascii="Times New Roman" w:hAnsi="Times New Roman" w:eastAsia="宋体" w:cs="Times New Roman"/>
      <w:sz w:val="16"/>
      <w:szCs w:val="16"/>
    </w:rPr>
  </w:style>
  <w:style w:type="character" w:customStyle="1" w:styleId="203">
    <w:name w:val="批注文字 Char1"/>
    <w:basedOn w:val="88"/>
    <w:semiHidden/>
    <w:qFormat/>
    <w:uiPriority w:val="99"/>
    <w:rPr>
      <w:rFonts w:ascii="Times New Roman" w:hAnsi="Times New Roman" w:eastAsia="宋体" w:cs="Times New Roman"/>
      <w:szCs w:val="21"/>
    </w:rPr>
  </w:style>
  <w:style w:type="character" w:customStyle="1" w:styleId="204">
    <w:name w:val="批注主题 Char1"/>
    <w:basedOn w:val="203"/>
    <w:semiHidden/>
    <w:qFormat/>
    <w:uiPriority w:val="99"/>
    <w:rPr>
      <w:rFonts w:ascii="Times New Roman" w:hAnsi="Times New Roman" w:eastAsia="宋体" w:cs="Times New Roman"/>
      <w:b/>
      <w:bCs/>
      <w:szCs w:val="21"/>
    </w:rPr>
  </w:style>
  <w:style w:type="character" w:customStyle="1" w:styleId="205">
    <w:name w:val="批注框文本 Char1"/>
    <w:basedOn w:val="88"/>
    <w:semiHidden/>
    <w:qFormat/>
    <w:uiPriority w:val="99"/>
    <w:rPr>
      <w:rFonts w:ascii="Times New Roman" w:hAnsi="Times New Roman" w:eastAsia="宋体" w:cs="Times New Roman"/>
      <w:sz w:val="18"/>
      <w:szCs w:val="18"/>
    </w:rPr>
  </w:style>
  <w:style w:type="character" w:customStyle="1" w:styleId="206">
    <w:name w:val="正文文本缩进 3 Char1"/>
    <w:basedOn w:val="88"/>
    <w:semiHidden/>
    <w:qFormat/>
    <w:uiPriority w:val="99"/>
    <w:rPr>
      <w:rFonts w:ascii="Times New Roman" w:hAnsi="Times New Roman" w:eastAsia="宋体" w:cs="Times New Roman"/>
      <w:sz w:val="16"/>
      <w:szCs w:val="16"/>
    </w:rPr>
  </w:style>
  <w:style w:type="character" w:customStyle="1" w:styleId="207">
    <w:name w:val="文档结构图 Char1"/>
    <w:basedOn w:val="88"/>
    <w:semiHidden/>
    <w:qFormat/>
    <w:uiPriority w:val="99"/>
    <w:rPr>
      <w:rFonts w:ascii="宋体" w:hAnsi="Times New Roman" w:eastAsia="宋体" w:cs="Times New Roman"/>
      <w:sz w:val="18"/>
      <w:szCs w:val="18"/>
    </w:rPr>
  </w:style>
  <w:style w:type="character" w:customStyle="1" w:styleId="208">
    <w:name w:val="日期 Char1"/>
    <w:basedOn w:val="88"/>
    <w:semiHidden/>
    <w:qFormat/>
    <w:uiPriority w:val="99"/>
    <w:rPr>
      <w:rFonts w:ascii="Times New Roman" w:hAnsi="Times New Roman" w:eastAsia="宋体" w:cs="Times New Roman"/>
      <w:szCs w:val="21"/>
    </w:rPr>
  </w:style>
  <w:style w:type="character" w:customStyle="1" w:styleId="209">
    <w:name w:val="正文文本 Char1"/>
    <w:basedOn w:val="88"/>
    <w:semiHidden/>
    <w:qFormat/>
    <w:uiPriority w:val="99"/>
    <w:rPr>
      <w:rFonts w:ascii="Times New Roman" w:hAnsi="Times New Roman" w:eastAsia="宋体" w:cs="Times New Roman"/>
      <w:szCs w:val="21"/>
    </w:rPr>
  </w:style>
  <w:style w:type="character" w:customStyle="1" w:styleId="210">
    <w:name w:val="正文文本 2 Char1"/>
    <w:basedOn w:val="88"/>
    <w:semiHidden/>
    <w:qFormat/>
    <w:uiPriority w:val="99"/>
    <w:rPr>
      <w:rFonts w:ascii="Times New Roman" w:hAnsi="Times New Roman" w:eastAsia="宋体" w:cs="Times New Roman"/>
      <w:szCs w:val="21"/>
    </w:rPr>
  </w:style>
  <w:style w:type="character" w:customStyle="1" w:styleId="211">
    <w:name w:val="副标题 Char2"/>
    <w:basedOn w:val="88"/>
    <w:qFormat/>
    <w:uiPriority w:val="11"/>
    <w:rPr>
      <w:rFonts w:eastAsia="宋体" w:asciiTheme="majorHAnsi" w:hAnsiTheme="majorHAnsi" w:cstheme="majorBidi"/>
      <w:b/>
      <w:bCs/>
      <w:kern w:val="28"/>
      <w:sz w:val="32"/>
      <w:szCs w:val="32"/>
    </w:rPr>
  </w:style>
  <w:style w:type="character" w:customStyle="1" w:styleId="212">
    <w:name w:val="标题 Char1"/>
    <w:basedOn w:val="88"/>
    <w:qFormat/>
    <w:uiPriority w:val="10"/>
    <w:rPr>
      <w:rFonts w:eastAsia="宋体" w:asciiTheme="majorHAnsi" w:hAnsiTheme="majorHAnsi" w:cstheme="majorBidi"/>
      <w:b/>
      <w:bCs/>
      <w:sz w:val="32"/>
      <w:szCs w:val="32"/>
    </w:rPr>
  </w:style>
  <w:style w:type="character" w:customStyle="1" w:styleId="213">
    <w:name w:val="纯文本 Char1"/>
    <w:basedOn w:val="88"/>
    <w:semiHidden/>
    <w:qFormat/>
    <w:uiPriority w:val="99"/>
    <w:rPr>
      <w:rFonts w:ascii="宋体" w:hAnsi="Courier New" w:eastAsia="宋体" w:cs="Courier New"/>
      <w:szCs w:val="21"/>
    </w:rPr>
  </w:style>
  <w:style w:type="character" w:customStyle="1" w:styleId="214">
    <w:name w:val="正文缩进 Char"/>
    <w:link w:val="20"/>
    <w:qFormat/>
    <w:uiPriority w:val="0"/>
    <w:rPr>
      <w:rFonts w:ascii="Times New Roman" w:hAnsi="Times New Roman" w:eastAsia="宋体" w:cs="Times New Roman"/>
      <w:kern w:val="0"/>
      <w:sz w:val="20"/>
      <w:szCs w:val="20"/>
    </w:rPr>
  </w:style>
  <w:style w:type="character" w:customStyle="1" w:styleId="215">
    <w:name w:val="页脚 Char1"/>
    <w:basedOn w:val="88"/>
    <w:semiHidden/>
    <w:qFormat/>
    <w:uiPriority w:val="99"/>
    <w:rPr>
      <w:kern w:val="2"/>
      <w:sz w:val="18"/>
      <w:szCs w:val="18"/>
    </w:rPr>
  </w:style>
  <w:style w:type="table" w:customStyle="1" w:styleId="216">
    <w:name w:val="网格型1"/>
    <w:basedOn w:val="8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7">
    <w:name w:val="列表a)"/>
    <w:basedOn w:val="1"/>
    <w:qFormat/>
    <w:uiPriority w:val="0"/>
    <w:pPr>
      <w:spacing w:line="300" w:lineRule="auto"/>
    </w:pPr>
    <w:rPr>
      <w:rFonts w:ascii="Times New Roman" w:hAnsi="Times New Roman" w:eastAsia="宋体" w:cs="Times New Roman"/>
      <w:szCs w:val="24"/>
    </w:rPr>
  </w:style>
  <w:style w:type="table" w:customStyle="1" w:styleId="218">
    <w:name w:val="网格型11"/>
    <w:basedOn w:val="84"/>
    <w:qFormat/>
    <w:uiPriority w:val="59"/>
    <w:rPr>
      <w:rFonts w:ascii="Calibri" w:hAnsi="Calibri" w:eastAsia="Times New Roman"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9">
    <w:name w:val="1"/>
    <w:basedOn w:val="1"/>
    <w:qFormat/>
    <w:uiPriority w:val="0"/>
    <w:rPr>
      <w:rFonts w:ascii="Times New Roman" w:hAnsi="Times New Roman" w:eastAsia="宋体" w:cs="Times New Roman"/>
      <w:szCs w:val="24"/>
    </w:rPr>
  </w:style>
  <w:style w:type="paragraph" w:customStyle="1" w:styleId="220">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1">
    <w:name w:val="p19"/>
    <w:basedOn w:val="1"/>
    <w:qFormat/>
    <w:uiPriority w:val="0"/>
    <w:pPr>
      <w:spacing w:line="30" w:lineRule="atLeast"/>
      <w:jc w:val="left"/>
    </w:pPr>
    <w:rPr>
      <w:rFonts w:ascii="黑体" w:hAnsi="宋体" w:eastAsia="黑体" w:cs="黑体"/>
      <w:kern w:val="0"/>
      <w:sz w:val="28"/>
      <w:szCs w:val="28"/>
    </w:rPr>
  </w:style>
  <w:style w:type="character" w:customStyle="1" w:styleId="222">
    <w:name w:val="标题 2 Char"/>
    <w:basedOn w:val="88"/>
    <w:link w:val="4"/>
    <w:qFormat/>
    <w:uiPriority w:val="0"/>
    <w:rPr>
      <w:rFonts w:asciiTheme="majorHAnsi" w:hAnsiTheme="majorHAnsi" w:eastAsiaTheme="majorEastAsia" w:cstheme="majorBidi"/>
      <w:b/>
      <w:bCs/>
      <w:kern w:val="2"/>
      <w:sz w:val="32"/>
      <w:szCs w:val="32"/>
    </w:rPr>
  </w:style>
  <w:style w:type="character" w:customStyle="1" w:styleId="223">
    <w:name w:val="标题 6 Char"/>
    <w:basedOn w:val="88"/>
    <w:link w:val="8"/>
    <w:qFormat/>
    <w:uiPriority w:val="0"/>
    <w:rPr>
      <w:rFonts w:ascii="Times New Roman" w:hAnsi="Times New Roman" w:eastAsia="宋体" w:cs="Times New Roman"/>
    </w:rPr>
  </w:style>
  <w:style w:type="character" w:customStyle="1" w:styleId="224">
    <w:name w:val="标题 7 Char"/>
    <w:basedOn w:val="88"/>
    <w:link w:val="9"/>
    <w:qFormat/>
    <w:uiPriority w:val="0"/>
    <w:rPr>
      <w:rFonts w:ascii="Times New Roman" w:hAnsi="Times New Roman" w:eastAsia="宋体" w:cs="Times New Roman"/>
    </w:rPr>
  </w:style>
  <w:style w:type="character" w:customStyle="1" w:styleId="225">
    <w:name w:val="标题 8 Char"/>
    <w:basedOn w:val="88"/>
    <w:link w:val="10"/>
    <w:qFormat/>
    <w:uiPriority w:val="0"/>
    <w:rPr>
      <w:rFonts w:ascii="Times New Roman" w:hAnsi="Times New Roman" w:eastAsia="宋体" w:cs="Times New Roman"/>
    </w:rPr>
  </w:style>
  <w:style w:type="character" w:customStyle="1" w:styleId="226">
    <w:name w:val="标题 9 Char"/>
    <w:basedOn w:val="88"/>
    <w:link w:val="11"/>
    <w:qFormat/>
    <w:uiPriority w:val="0"/>
    <w:rPr>
      <w:rFonts w:ascii="Times New Roman" w:hAnsi="Times New Roman" w:eastAsia="宋体" w:cs="Times New Roman"/>
    </w:rPr>
  </w:style>
  <w:style w:type="character" w:customStyle="1" w:styleId="227">
    <w:name w:val="正文首行缩进 Char"/>
    <w:basedOn w:val="113"/>
    <w:link w:val="82"/>
    <w:semiHidden/>
    <w:qFormat/>
    <w:uiPriority w:val="0"/>
    <w:rPr>
      <w:rFonts w:ascii="Times New Roman" w:hAnsi="Calibri" w:eastAsia="宋体" w:cs="Times New Roman"/>
      <w:sz w:val="28"/>
      <w:szCs w:val="24"/>
    </w:rPr>
  </w:style>
  <w:style w:type="character" w:customStyle="1" w:styleId="228">
    <w:name w:val="注释标题 Char"/>
    <w:basedOn w:val="88"/>
    <w:link w:val="15"/>
    <w:semiHidden/>
    <w:qFormat/>
    <w:uiPriority w:val="0"/>
    <w:rPr>
      <w:rFonts w:ascii="Times New Roman" w:hAnsi="Times New Roman" w:eastAsia="宋体" w:cs="Times New Roman"/>
      <w:szCs w:val="24"/>
    </w:rPr>
  </w:style>
  <w:style w:type="character" w:customStyle="1" w:styleId="229">
    <w:name w:val="电子邮件签名 Char"/>
    <w:basedOn w:val="88"/>
    <w:link w:val="18"/>
    <w:semiHidden/>
    <w:qFormat/>
    <w:uiPriority w:val="0"/>
    <w:rPr>
      <w:rFonts w:ascii="Times New Roman" w:hAnsi="Times New Roman" w:eastAsia="宋体" w:cs="Times New Roman"/>
      <w:szCs w:val="24"/>
    </w:rPr>
  </w:style>
  <w:style w:type="character" w:customStyle="1" w:styleId="230">
    <w:name w:val="称呼 Char"/>
    <w:basedOn w:val="88"/>
    <w:link w:val="31"/>
    <w:semiHidden/>
    <w:qFormat/>
    <w:uiPriority w:val="0"/>
    <w:rPr>
      <w:rFonts w:ascii="Times New Roman" w:hAnsi="Times New Roman" w:eastAsia="宋体" w:cs="Times New Roman"/>
      <w:szCs w:val="24"/>
    </w:rPr>
  </w:style>
  <w:style w:type="character" w:customStyle="1" w:styleId="231">
    <w:name w:val="结束语 Char"/>
    <w:basedOn w:val="88"/>
    <w:link w:val="33"/>
    <w:semiHidden/>
    <w:qFormat/>
    <w:uiPriority w:val="0"/>
    <w:rPr>
      <w:rFonts w:ascii="Times New Roman" w:hAnsi="Times New Roman" w:eastAsia="宋体" w:cs="Times New Roman"/>
      <w:szCs w:val="24"/>
    </w:rPr>
  </w:style>
  <w:style w:type="character" w:customStyle="1" w:styleId="232">
    <w:name w:val="HTML 地址 Char"/>
    <w:basedOn w:val="88"/>
    <w:link w:val="41"/>
    <w:semiHidden/>
    <w:qFormat/>
    <w:uiPriority w:val="0"/>
    <w:rPr>
      <w:rFonts w:ascii="Times New Roman" w:hAnsi="Times New Roman" w:eastAsia="宋体" w:cs="Times New Roman"/>
      <w:i/>
      <w:iCs/>
      <w:szCs w:val="24"/>
    </w:rPr>
  </w:style>
  <w:style w:type="character" w:customStyle="1" w:styleId="233">
    <w:name w:val="正文首行缩进 2 Char"/>
    <w:basedOn w:val="114"/>
    <w:link w:val="83"/>
    <w:semiHidden/>
    <w:qFormat/>
    <w:uiPriority w:val="0"/>
    <w:rPr>
      <w:rFonts w:ascii="Times New Roman" w:hAnsi="Times New Roman" w:eastAsia="宋体" w:cs="Times New Roman"/>
      <w:color w:val="000000"/>
      <w:sz w:val="32"/>
      <w:szCs w:val="24"/>
      <w:u w:val="single"/>
    </w:rPr>
  </w:style>
  <w:style w:type="character" w:customStyle="1" w:styleId="234">
    <w:name w:val="签名 Char"/>
    <w:basedOn w:val="88"/>
    <w:link w:val="57"/>
    <w:semiHidden/>
    <w:qFormat/>
    <w:uiPriority w:val="0"/>
    <w:rPr>
      <w:rFonts w:ascii="Times New Roman" w:hAnsi="Times New Roman" w:eastAsia="宋体" w:cs="Times New Roman"/>
      <w:szCs w:val="24"/>
    </w:rPr>
  </w:style>
  <w:style w:type="character" w:customStyle="1" w:styleId="235">
    <w:name w:val="信息标题 Char"/>
    <w:basedOn w:val="88"/>
    <w:link w:val="76"/>
    <w:semiHidden/>
    <w:qFormat/>
    <w:uiPriority w:val="0"/>
    <w:rPr>
      <w:rFonts w:ascii="Arial" w:hAnsi="Arial" w:eastAsia="宋体" w:cs="Times New Roman"/>
      <w:sz w:val="24"/>
      <w:szCs w:val="24"/>
      <w:shd w:val="pct20" w:color="auto" w:fill="auto"/>
    </w:rPr>
  </w:style>
  <w:style w:type="character" w:customStyle="1" w:styleId="236">
    <w:name w:val="HTML 预设格式 Char"/>
    <w:basedOn w:val="88"/>
    <w:link w:val="77"/>
    <w:semiHidden/>
    <w:qFormat/>
    <w:uiPriority w:val="0"/>
    <w:rPr>
      <w:rFonts w:ascii="宋体" w:hAnsi="宋体" w:eastAsia="宋体" w:cs="Times New Roman"/>
      <w:color w:val="000000"/>
      <w:sz w:val="24"/>
      <w:szCs w:val="24"/>
    </w:rPr>
  </w:style>
  <w:style w:type="character" w:customStyle="1" w:styleId="237">
    <w:name w:val="unnamed211"/>
    <w:semiHidden/>
    <w:qFormat/>
    <w:uiPriority w:val="0"/>
    <w:rPr>
      <w:sz w:val="23"/>
      <w:szCs w:val="23"/>
    </w:rPr>
  </w:style>
  <w:style w:type="character" w:customStyle="1" w:styleId="238">
    <w:name w:val="ca-41"/>
    <w:qFormat/>
    <w:uiPriority w:val="0"/>
    <w:rPr>
      <w:rFonts w:hint="eastAsia" w:ascii="黑体" w:eastAsia="黑体"/>
      <w:b/>
      <w:bCs/>
      <w:spacing w:val="-20"/>
      <w:sz w:val="30"/>
      <w:szCs w:val="30"/>
    </w:rPr>
  </w:style>
  <w:style w:type="character" w:customStyle="1" w:styleId="239">
    <w:name w:val="ss1"/>
    <w:semiHidden/>
    <w:qFormat/>
    <w:uiPriority w:val="0"/>
    <w:rPr>
      <w:rFonts w:hint="default" w:ascii="ˎ̥" w:hAnsi="ˎ̥"/>
      <w:color w:val="000000"/>
      <w:sz w:val="18"/>
      <w:szCs w:val="18"/>
      <w:u w:val="none"/>
    </w:rPr>
  </w:style>
  <w:style w:type="character" w:customStyle="1" w:styleId="240">
    <w:name w:val="f142"/>
    <w:semiHidden/>
    <w:qFormat/>
    <w:uiPriority w:val="0"/>
    <w:rPr>
      <w:sz w:val="21"/>
      <w:szCs w:val="21"/>
    </w:rPr>
  </w:style>
  <w:style w:type="character" w:customStyle="1" w:styleId="241">
    <w:name w:val="f14b1"/>
    <w:semiHidden/>
    <w:qFormat/>
    <w:uiPriority w:val="0"/>
    <w:rPr>
      <w:b/>
      <w:bCs/>
      <w:sz w:val="21"/>
      <w:szCs w:val="21"/>
    </w:rPr>
  </w:style>
  <w:style w:type="character" w:customStyle="1" w:styleId="242">
    <w:name w:val="ggwenhao"/>
    <w:basedOn w:val="88"/>
    <w:semiHidden/>
    <w:qFormat/>
    <w:uiPriority w:val="0"/>
  </w:style>
  <w:style w:type="paragraph" w:customStyle="1" w:styleId="243">
    <w:name w:val="ggbody"/>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paragraph" w:customStyle="1" w:styleId="244">
    <w:name w:val="ggtitle"/>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character" w:customStyle="1" w:styleId="245">
    <w:name w:val="页眉 Char1"/>
    <w:semiHidden/>
    <w:qFormat/>
    <w:uiPriority w:val="99"/>
    <w:rPr>
      <w:kern w:val="2"/>
      <w:sz w:val="18"/>
      <w:szCs w:val="18"/>
    </w:rPr>
  </w:style>
  <w:style w:type="paragraph" w:customStyle="1" w:styleId="246">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7">
    <w:name w:val="TOC 标题1"/>
    <w:basedOn w:val="3"/>
    <w:next w:val="1"/>
    <w:qFormat/>
    <w:uiPriority w:val="39"/>
    <w:pPr>
      <w:widowControl/>
      <w:topLinePunct/>
      <w:spacing w:before="480" w:after="0" w:line="276" w:lineRule="auto"/>
      <w:jc w:val="left"/>
      <w:outlineLvl w:val="9"/>
    </w:pPr>
    <w:rPr>
      <w:rFonts w:ascii="Cambria" w:hAnsi="Cambria"/>
      <w:color w:val="365F91"/>
      <w:kern w:val="0"/>
      <w:sz w:val="28"/>
      <w:szCs w:val="28"/>
    </w:rPr>
  </w:style>
  <w:style w:type="paragraph" w:customStyle="1" w:styleId="248">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49">
    <w:name w:val="浅色底纹1"/>
    <w:basedOn w:val="84"/>
    <w:qFormat/>
    <w:uiPriority w:val="60"/>
    <w:rPr>
      <w:rFonts w:ascii="Calibri" w:hAnsi="Calibri" w:eastAsia="宋体" w:cs="Times New Roman"/>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0">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1">
    <w:name w:val="p8"/>
    <w:basedOn w:val="1"/>
    <w:qFormat/>
    <w:uiPriority w:val="0"/>
    <w:pPr>
      <w:spacing w:line="30" w:lineRule="atLeast"/>
      <w:jc w:val="left"/>
    </w:pPr>
    <w:rPr>
      <w:rFonts w:hint="eastAsia" w:ascii="宋体" w:hAnsi="宋体" w:eastAsia="宋体" w:cs="宋体"/>
      <w:kern w:val="0"/>
      <w:szCs w:val="21"/>
    </w:rPr>
  </w:style>
  <w:style w:type="character" w:customStyle="1" w:styleId="252">
    <w:name w:val="已访问的超链接1"/>
    <w:unhideWhenUsed/>
    <w:qFormat/>
    <w:uiPriority w:val="99"/>
    <w:rPr>
      <w:color w:val="800080"/>
      <w:u w:val="single"/>
    </w:rPr>
  </w:style>
  <w:style w:type="character" w:customStyle="1" w:styleId="253">
    <w:name w:val="rec-status-desc"/>
    <w:basedOn w:val="88"/>
    <w:qFormat/>
    <w:uiPriority w:val="0"/>
  </w:style>
  <w:style w:type="character" w:customStyle="1" w:styleId="254">
    <w:name w:val="rec-time"/>
    <w:basedOn w:val="88"/>
    <w:qFormat/>
    <w:uiPriority w:val="0"/>
  </w:style>
  <w:style w:type="character" w:customStyle="1" w:styleId="255">
    <w:name w:val="rec-volume"/>
    <w:basedOn w:val="88"/>
    <w:qFormat/>
    <w:uiPriority w:val="0"/>
  </w:style>
  <w:style w:type="character" w:customStyle="1" w:styleId="256">
    <w:name w:val="目录 3 Char"/>
    <w:link w:val="44"/>
    <w:semiHidden/>
    <w:qFormat/>
    <w:uiPriority w:val="0"/>
    <w:rPr>
      <w:rFonts w:ascii="宋体" w:hAnsi="宋体" w:eastAsia="宋体" w:cs="Times New Roman"/>
      <w:b/>
      <w:iCs/>
      <w:kern w:val="2"/>
      <w:sz w:val="24"/>
      <w:szCs w:val="24"/>
    </w:rPr>
  </w:style>
  <w:style w:type="character" w:customStyle="1" w:styleId="257">
    <w:name w:val="样式1 Char"/>
    <w:link w:val="258"/>
    <w:qFormat/>
    <w:uiPriority w:val="0"/>
    <w:rPr>
      <w:kern w:val="2"/>
      <w:sz w:val="21"/>
      <w:szCs w:val="21"/>
    </w:rPr>
  </w:style>
  <w:style w:type="paragraph" w:customStyle="1" w:styleId="258">
    <w:name w:val="样式1"/>
    <w:basedOn w:val="44"/>
    <w:link w:val="257"/>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59">
    <w:name w:val="5 标书"/>
    <w:basedOn w:val="1"/>
    <w:qFormat/>
    <w:uiPriority w:val="0"/>
    <w:pPr>
      <w:tabs>
        <w:tab w:val="left" w:pos="360"/>
        <w:tab w:val="left" w:pos="1418"/>
      </w:tabs>
      <w:spacing w:beforeLines="50" w:afterLines="50"/>
      <w:ind w:left="360" w:hanging="360"/>
    </w:pPr>
    <w:rPr>
      <w:rFonts w:ascii="Times New Roman" w:hAnsi="Times New Roman" w:eastAsia="宋体" w:cs="Times New Roman"/>
      <w:szCs w:val="24"/>
    </w:rPr>
  </w:style>
  <w:style w:type="paragraph" w:customStyle="1" w:styleId="260">
    <w:name w:val="样式 标题 1 + 段前: 0.5 行 段后: 0.5 行"/>
    <w:basedOn w:val="3"/>
    <w:qFormat/>
    <w:uiPriority w:val="0"/>
    <w:pPr>
      <w:keepNext w:val="0"/>
      <w:keepLines w:val="0"/>
      <w:spacing w:beforeLines="50" w:afterLines="50" w:line="240" w:lineRule="auto"/>
      <w:ind w:left="425"/>
      <w:jc w:val="left"/>
    </w:pPr>
    <w:rPr>
      <w:rFonts w:ascii="华文中宋" w:hAnsi="宋体" w:eastAsia="黑体" w:cs="宋体"/>
      <w:b w:val="0"/>
      <w:bCs w:val="0"/>
      <w:kern w:val="2"/>
      <w:sz w:val="32"/>
      <w:szCs w:val="20"/>
      <w:u w:val="double"/>
    </w:rPr>
  </w:style>
  <w:style w:type="paragraph" w:customStyle="1" w:styleId="261">
    <w:name w:val="样式 标题 1 + 段前: 6磅 段后:6 磅 行距: 单倍行距"/>
    <w:basedOn w:val="3"/>
    <w:qFormat/>
    <w:uiPriority w:val="0"/>
    <w:pPr>
      <w:keepLines w:val="0"/>
      <w:tabs>
        <w:tab w:val="left" w:pos="360"/>
        <w:tab w:val="left" w:pos="425"/>
      </w:tabs>
      <w:spacing w:before="156" w:after="156" w:line="240" w:lineRule="auto"/>
      <w:ind w:left="360" w:hanging="360"/>
      <w:jc w:val="left"/>
    </w:pPr>
    <w:rPr>
      <w:rFonts w:hint="eastAsia" w:ascii="Arial Unicode MS" w:hAnsi="Arial Unicode MS" w:eastAsia="黑体" w:cs="宋体"/>
      <w:b w:val="0"/>
      <w:bCs w:val="0"/>
      <w:kern w:val="2"/>
      <w:sz w:val="28"/>
      <w:szCs w:val="20"/>
    </w:rPr>
  </w:style>
  <w:style w:type="paragraph" w:customStyle="1" w:styleId="262">
    <w:name w:val="2 标书"/>
    <w:basedOn w:val="1"/>
    <w:qFormat/>
    <w:uiPriority w:val="0"/>
    <w:pPr>
      <w:tabs>
        <w:tab w:val="left" w:pos="360"/>
        <w:tab w:val="left" w:pos="992"/>
      </w:tabs>
      <w:spacing w:beforeLines="50" w:afterLines="50"/>
      <w:ind w:left="360" w:hanging="360"/>
    </w:pPr>
    <w:rPr>
      <w:rFonts w:ascii="Times New Roman" w:hAnsi="Times New Roman" w:eastAsia="宋体" w:cs="Times New Roman"/>
      <w:b/>
      <w:sz w:val="28"/>
      <w:szCs w:val="24"/>
    </w:rPr>
  </w:style>
  <w:style w:type="paragraph" w:customStyle="1" w:styleId="263">
    <w:name w:val="样式 段前: 6 磅 段后: 6 磅"/>
    <w:basedOn w:val="1"/>
    <w:qFormat/>
    <w:uiPriority w:val="0"/>
    <w:pPr>
      <w:tabs>
        <w:tab w:val="left" w:pos="845"/>
        <w:tab w:val="left" w:pos="1200"/>
      </w:tabs>
      <w:spacing w:before="120" w:after="120"/>
      <w:ind w:left="1200" w:hanging="360"/>
      <w:jc w:val="left"/>
    </w:pPr>
    <w:rPr>
      <w:rFonts w:ascii="Arial" w:hAnsi="Arial" w:eastAsia="宋体" w:cs="宋体"/>
      <w:snapToGrid w:val="0"/>
      <w:kern w:val="0"/>
      <w:szCs w:val="20"/>
      <w:lang w:eastAsia="en-US"/>
    </w:rPr>
  </w:style>
  <w:style w:type="paragraph" w:customStyle="1" w:styleId="264">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5">
    <w:name w:val="3 标书"/>
    <w:basedOn w:val="1"/>
    <w:qFormat/>
    <w:uiPriority w:val="0"/>
    <w:pPr>
      <w:tabs>
        <w:tab w:val="left" w:pos="360"/>
        <w:tab w:val="left" w:pos="1418"/>
      </w:tabs>
      <w:spacing w:beforeLines="50" w:afterLines="50"/>
      <w:ind w:left="360" w:hanging="360"/>
    </w:pPr>
    <w:rPr>
      <w:rFonts w:ascii="Times New Roman" w:hAnsi="Times New Roman" w:eastAsia="宋体" w:cs="Times New Roman"/>
      <w:b/>
      <w:sz w:val="24"/>
      <w:szCs w:val="24"/>
    </w:rPr>
  </w:style>
  <w:style w:type="paragraph" w:customStyle="1" w:styleId="266">
    <w:name w:val="4 标书"/>
    <w:basedOn w:val="1"/>
    <w:qFormat/>
    <w:uiPriority w:val="0"/>
    <w:pPr>
      <w:tabs>
        <w:tab w:val="left" w:pos="360"/>
        <w:tab w:val="left" w:pos="2240"/>
      </w:tabs>
      <w:spacing w:beforeLines="50" w:afterLines="50"/>
      <w:ind w:left="360" w:hanging="360"/>
    </w:pPr>
    <w:rPr>
      <w:rFonts w:ascii="Times New Roman" w:hAnsi="Times New Roman" w:eastAsia="宋体" w:cs="Times New Roman"/>
      <w:szCs w:val="24"/>
    </w:rPr>
  </w:style>
  <w:style w:type="paragraph" w:customStyle="1" w:styleId="267">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68">
    <w:name w:val="p7"/>
    <w:basedOn w:val="1"/>
    <w:qFormat/>
    <w:uiPriority w:val="0"/>
    <w:pPr>
      <w:widowControl/>
      <w:spacing w:line="480" w:lineRule="auto"/>
      <w:ind w:firstLine="420"/>
      <w:jc w:val="left"/>
    </w:pPr>
    <w:rPr>
      <w:rFonts w:ascii="宋体" w:hAnsi="宋体" w:eastAsia="宋体" w:cs="宋体"/>
      <w:kern w:val="0"/>
      <w:szCs w:val="21"/>
    </w:rPr>
  </w:style>
  <w:style w:type="paragraph" w:customStyle="1" w:styleId="269">
    <w:name w:val="p14"/>
    <w:basedOn w:val="1"/>
    <w:qFormat/>
    <w:uiPriority w:val="0"/>
    <w:pPr>
      <w:widowControl/>
      <w:spacing w:line="480" w:lineRule="auto"/>
      <w:ind w:firstLine="422"/>
      <w:jc w:val="left"/>
    </w:pPr>
    <w:rPr>
      <w:rFonts w:ascii="宋体" w:hAnsi="宋体" w:eastAsia="宋体" w:cs="宋体"/>
      <w:kern w:val="0"/>
      <w:szCs w:val="21"/>
    </w:rPr>
  </w:style>
  <w:style w:type="paragraph" w:customStyle="1" w:styleId="270">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1">
    <w:name w:val="fontstyle01"/>
    <w:basedOn w:val="88"/>
    <w:qFormat/>
    <w:uiPriority w:val="0"/>
    <w:rPr>
      <w:rFonts w:hint="default" w:ascii="Times New Roman" w:hAnsi="Times New Roman" w:cs="Times New Roman"/>
      <w:color w:val="000000"/>
      <w:sz w:val="22"/>
      <w:szCs w:val="22"/>
    </w:rPr>
  </w:style>
  <w:style w:type="character" w:customStyle="1" w:styleId="272">
    <w:name w:val="fontstyle21"/>
    <w:basedOn w:val="88"/>
    <w:qFormat/>
    <w:uiPriority w:val="0"/>
    <w:rPr>
      <w:rFonts w:hint="eastAsia" w:ascii="宋体" w:hAnsi="宋体" w:eastAsia="宋体"/>
      <w:color w:val="000000"/>
      <w:sz w:val="22"/>
      <w:szCs w:val="22"/>
    </w:rPr>
  </w:style>
  <w:style w:type="character" w:customStyle="1" w:styleId="273">
    <w:name w:val="fontstyle31"/>
    <w:basedOn w:val="88"/>
    <w:qFormat/>
    <w:uiPriority w:val="0"/>
    <w:rPr>
      <w:rFonts w:hint="eastAsia" w:ascii="宋体" w:hAnsi="宋体" w:eastAsia="宋体"/>
      <w:color w:val="000000"/>
      <w:sz w:val="22"/>
      <w:szCs w:val="22"/>
    </w:rPr>
  </w:style>
  <w:style w:type="character" w:customStyle="1" w:styleId="274">
    <w:name w:val="fontstyle11"/>
    <w:basedOn w:val="88"/>
    <w:qFormat/>
    <w:uiPriority w:val="0"/>
    <w:rPr>
      <w:rFonts w:hint="eastAsia" w:ascii="宋体" w:hAnsi="宋体" w:eastAsia="宋体"/>
      <w:color w:val="000000"/>
      <w:sz w:val="22"/>
      <w:szCs w:val="22"/>
    </w:rPr>
  </w:style>
  <w:style w:type="character" w:customStyle="1" w:styleId="275">
    <w:name w:val="font01"/>
    <w:basedOn w:val="88"/>
    <w:qFormat/>
    <w:uiPriority w:val="0"/>
    <w:rPr>
      <w:rFonts w:hint="eastAsia" w:ascii="宋体" w:hAnsi="宋体" w:eastAsia="宋体" w:cs="宋体"/>
      <w:color w:val="000000"/>
      <w:sz w:val="22"/>
      <w:szCs w:val="22"/>
      <w:u w:val="none"/>
    </w:rPr>
  </w:style>
  <w:style w:type="character" w:customStyle="1" w:styleId="276">
    <w:name w:val="editmail"/>
    <w:qFormat/>
    <w:uiPriority w:val="0"/>
  </w:style>
  <w:style w:type="paragraph" w:customStyle="1" w:styleId="277">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78">
    <w:name w:val="Body Text First Indent1"/>
    <w:basedOn w:val="21"/>
    <w:qFormat/>
    <w:uiPriority w:val="0"/>
    <w:pPr>
      <w:ind w:firstLine="425"/>
    </w:pPr>
    <w:rPr>
      <w:sz w:val="24"/>
    </w:rPr>
  </w:style>
  <w:style w:type="table" w:customStyle="1" w:styleId="27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39</Pages>
  <Words>2647</Words>
  <Characters>2830</Characters>
  <Lines>109</Lines>
  <Paragraphs>30</Paragraphs>
  <TotalTime>26</TotalTime>
  <ScaleCrop>false</ScaleCrop>
  <LinksUpToDate>false</LinksUpToDate>
  <CharactersWithSpaces>2886</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2020-06-02T02:45:00Z</dcterms:created>
  <dc:creator>肖丹妮</dc:creator>
  <cp:lastModifiedBy>郝嘉媛</cp:lastModifiedBy>
  <cp:lastPrinted>2025-03-05T00:57:00Z</cp:lastPrinted>
  <dcterms:modified xsi:type="dcterms:W3CDTF">2026-07-17T08:39:52Z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DCBE9BE85CFE4834995F2823236B71DA_13</vt:lpwstr>
  </property>
</Properties>
</file>