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BBAFC">
      <w:pPr>
        <w:wordWrap w:val="0"/>
        <w:spacing w:line="560" w:lineRule="exact"/>
        <w:ind w:right="1760"/>
        <w:rPr>
          <w:rFonts w:ascii="仿宋" w:hAnsi="仿宋" w:eastAsia="仿宋"/>
          <w:sz w:val="32"/>
          <w:szCs w:val="44"/>
        </w:rPr>
      </w:pPr>
    </w:p>
    <w:p w14:paraId="73CA3FF7">
      <w:pPr>
        <w:widowControl/>
        <w:jc w:val="center"/>
        <w:rPr>
          <w:rFonts w:ascii="宋体" w:hAnsi="宋体" w:eastAsia="宋体"/>
          <w:color w:val="auto"/>
          <w:szCs w:val="21"/>
          <w:highlight w:val="none"/>
          <w:shd w:val="clear" w:color="auto" w:fill="auto"/>
        </w:rPr>
      </w:pPr>
      <w:r>
        <w:rPr>
          <w:rFonts w:hint="eastAsia" w:ascii="方正小标宋简体" w:hAnsi="仿宋" w:eastAsia="方正小标宋简体"/>
          <w:color w:val="auto"/>
          <w:sz w:val="44"/>
          <w:szCs w:val="44"/>
          <w:highlight w:val="none"/>
          <w:shd w:val="clear" w:color="auto" w:fill="auto"/>
        </w:rPr>
        <w:t>深圳市深燃清洁能源有限公司</w:t>
      </w:r>
    </w:p>
    <w:p w14:paraId="1BCE3E1C">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14:paraId="5B63C428">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14:paraId="69C10485">
      <w:pPr>
        <w:tabs>
          <w:tab w:val="left" w:pos="7560"/>
        </w:tabs>
        <w:spacing w:line="360" w:lineRule="auto"/>
        <w:contextualSpacing/>
        <w:jc w:val="center"/>
        <w:rPr>
          <w:rFonts w:ascii="宋体" w:hAnsi="宋体" w:eastAsia="宋体"/>
          <w:color w:val="auto"/>
          <w:szCs w:val="21"/>
          <w:highlight w:val="none"/>
          <w:shd w:val="clear" w:color="auto" w:fill="auto"/>
        </w:rPr>
      </w:pPr>
    </w:p>
    <w:p w14:paraId="676FB9E7">
      <w:pPr>
        <w:tabs>
          <w:tab w:val="left" w:pos="7560"/>
        </w:tabs>
        <w:spacing w:line="360" w:lineRule="auto"/>
        <w:contextualSpacing/>
        <w:jc w:val="center"/>
        <w:rPr>
          <w:rFonts w:ascii="宋体" w:hAnsi="宋体" w:eastAsia="宋体"/>
          <w:color w:val="auto"/>
          <w:szCs w:val="21"/>
          <w:highlight w:val="none"/>
          <w:shd w:val="clear" w:color="auto" w:fill="auto"/>
        </w:rPr>
      </w:pPr>
    </w:p>
    <w:p w14:paraId="461544BC">
      <w:pPr>
        <w:tabs>
          <w:tab w:val="left" w:pos="7560"/>
        </w:tabs>
        <w:spacing w:line="360" w:lineRule="auto"/>
        <w:ind w:firstLine="420" w:firstLineChars="200"/>
        <w:contextualSpacing/>
        <w:rPr>
          <w:rFonts w:ascii="宋体" w:hAnsi="宋体" w:eastAsia="宋体"/>
          <w:color w:val="auto"/>
          <w:szCs w:val="21"/>
        </w:rPr>
      </w:pPr>
    </w:p>
    <w:p w14:paraId="15EE34B6">
      <w:pPr>
        <w:tabs>
          <w:tab w:val="left" w:pos="7560"/>
        </w:tabs>
        <w:spacing w:line="360" w:lineRule="auto"/>
        <w:ind w:firstLine="420" w:firstLineChars="200"/>
        <w:contextualSpacing/>
        <w:rPr>
          <w:rFonts w:ascii="宋体" w:hAnsi="宋体" w:eastAsia="宋体"/>
          <w:color w:val="auto"/>
          <w:szCs w:val="21"/>
        </w:rPr>
      </w:pPr>
    </w:p>
    <w:p w14:paraId="654B738A">
      <w:pPr>
        <w:tabs>
          <w:tab w:val="left" w:pos="7560"/>
        </w:tabs>
        <w:spacing w:line="360" w:lineRule="auto"/>
        <w:ind w:firstLine="420" w:firstLineChars="200"/>
        <w:contextualSpacing/>
        <w:rPr>
          <w:rFonts w:ascii="宋体" w:hAnsi="宋体" w:eastAsia="宋体"/>
          <w:color w:val="auto"/>
          <w:szCs w:val="21"/>
        </w:rPr>
      </w:pPr>
    </w:p>
    <w:p w14:paraId="48782793">
      <w:pPr>
        <w:tabs>
          <w:tab w:val="left" w:pos="7560"/>
        </w:tabs>
        <w:spacing w:line="360" w:lineRule="auto"/>
        <w:ind w:firstLine="420" w:firstLineChars="200"/>
        <w:contextualSpacing/>
        <w:rPr>
          <w:rFonts w:ascii="宋体" w:hAnsi="宋体" w:eastAsia="宋体"/>
          <w:color w:val="auto"/>
          <w:szCs w:val="21"/>
        </w:rPr>
      </w:pPr>
    </w:p>
    <w:p w14:paraId="51A183B2">
      <w:pPr>
        <w:tabs>
          <w:tab w:val="left" w:pos="7560"/>
        </w:tabs>
        <w:spacing w:line="360" w:lineRule="auto"/>
        <w:ind w:firstLine="562" w:firstLineChars="200"/>
        <w:contextualSpacing/>
        <w:rPr>
          <w:rFonts w:hint="eastAsia" w:ascii="宋体" w:hAnsi="宋体" w:eastAsia="宋体" w:cs="仿宋_GB2312"/>
          <w:b/>
          <w:color w:val="auto"/>
          <w:sz w:val="28"/>
          <w:szCs w:val="28"/>
          <w:u w:val="single"/>
          <w:lang w:val="en-US" w:eastAsia="zh-CN"/>
        </w:rPr>
      </w:pPr>
      <w:r>
        <w:rPr>
          <w:rFonts w:hint="eastAsia" w:ascii="宋体" w:hAnsi="宋体" w:eastAsia="宋体" w:cs="仿宋_GB2312"/>
          <w:b/>
          <w:color w:val="auto"/>
          <w:sz w:val="28"/>
          <w:szCs w:val="28"/>
        </w:rPr>
        <w:t>项目名称：</w:t>
      </w:r>
      <w:r>
        <w:rPr>
          <w:rFonts w:hint="eastAsia" w:ascii="宋体" w:hAnsi="宋体" w:eastAsia="宋体" w:cs="仿宋_GB2312"/>
          <w:b/>
          <w:color w:val="auto"/>
          <w:sz w:val="28"/>
          <w:szCs w:val="28"/>
          <w:u w:val="single"/>
        </w:rPr>
        <w:t>燃料电池与涡轮混合循环发电系统工程</w:t>
      </w:r>
    </w:p>
    <w:p w14:paraId="296F4210">
      <w:pPr>
        <w:spacing w:line="360" w:lineRule="auto"/>
        <w:ind w:firstLine="562" w:firstLineChars="200"/>
        <w:contextualSpacing/>
        <w:rPr>
          <w:rFonts w:ascii="宋体" w:hAnsi="宋体" w:eastAsia="宋体"/>
          <w:b/>
          <w:color w:val="auto"/>
          <w:sz w:val="28"/>
          <w:szCs w:val="28"/>
        </w:rPr>
      </w:pPr>
    </w:p>
    <w:p w14:paraId="1AD8FD01">
      <w:pPr>
        <w:tabs>
          <w:tab w:val="left" w:pos="7560"/>
        </w:tabs>
        <w:spacing w:line="360" w:lineRule="auto"/>
        <w:ind w:firstLine="562" w:firstLineChars="200"/>
        <w:contextualSpacing/>
        <w:rPr>
          <w:rFonts w:ascii="宋体" w:hAnsi="宋体" w:eastAsia="宋体" w:cs="仿宋_GB2312"/>
          <w:b/>
          <w:color w:val="auto"/>
          <w:sz w:val="28"/>
          <w:szCs w:val="28"/>
          <w:u w:val="single"/>
        </w:rPr>
      </w:pPr>
      <w:r>
        <w:rPr>
          <w:rFonts w:hint="eastAsia" w:ascii="宋体" w:hAnsi="宋体" w:eastAsia="宋体" w:cs="仿宋_GB2312"/>
          <w:b/>
          <w:color w:val="auto"/>
          <w:sz w:val="28"/>
          <w:szCs w:val="28"/>
        </w:rPr>
        <w:t>项目编号：</w:t>
      </w:r>
      <w:r>
        <w:rPr>
          <w:rFonts w:hint="eastAsia" w:ascii="宋体" w:hAnsi="宋体" w:eastAsia="宋体" w:cs="仿宋_GB2312"/>
          <w:b/>
          <w:color w:val="auto"/>
          <w:sz w:val="28"/>
          <w:szCs w:val="28"/>
          <w:u w:val="single"/>
        </w:rPr>
        <w:t xml:space="preserve"> QJCG-GZHA-2026-010  </w:t>
      </w:r>
    </w:p>
    <w:p w14:paraId="6D416723">
      <w:pPr>
        <w:tabs>
          <w:tab w:val="left" w:pos="7560"/>
        </w:tabs>
        <w:spacing w:line="360" w:lineRule="auto"/>
        <w:ind w:firstLine="562" w:firstLineChars="200"/>
        <w:contextualSpacing/>
        <w:rPr>
          <w:rFonts w:ascii="宋体" w:hAnsi="宋体" w:eastAsia="宋体"/>
          <w:b/>
          <w:color w:val="auto"/>
          <w:sz w:val="28"/>
          <w:szCs w:val="28"/>
        </w:rPr>
      </w:pPr>
    </w:p>
    <w:p w14:paraId="16ED43E3">
      <w:pPr>
        <w:tabs>
          <w:tab w:val="left" w:pos="7560"/>
        </w:tabs>
        <w:spacing w:line="360" w:lineRule="auto"/>
        <w:ind w:firstLine="562" w:firstLineChars="200"/>
        <w:contextualSpacing/>
        <w:rPr>
          <w:rFonts w:hint="default" w:ascii="宋体" w:hAnsi="宋体" w:eastAsia="宋体"/>
          <w:b/>
          <w:color w:val="auto"/>
          <w:sz w:val="28"/>
          <w:szCs w:val="28"/>
          <w:lang w:val="en-US" w:eastAsia="zh-CN"/>
        </w:rPr>
      </w:pPr>
      <w:r>
        <w:rPr>
          <w:rFonts w:hint="eastAsia" w:ascii="宋体" w:hAnsi="宋体" w:eastAsia="宋体" w:cs="仿宋_GB2312"/>
          <w:b/>
          <w:color w:val="auto"/>
          <w:sz w:val="28"/>
          <w:szCs w:val="28"/>
        </w:rPr>
        <w:t>采 购 人：</w:t>
      </w:r>
      <w:r>
        <w:rPr>
          <w:rFonts w:hint="eastAsia" w:ascii="宋体" w:hAnsi="宋体" w:eastAsia="宋体" w:cs="仿宋_GB2312"/>
          <w:b/>
          <w:color w:val="auto"/>
          <w:sz w:val="28"/>
          <w:szCs w:val="28"/>
          <w:u w:val="single"/>
        </w:rPr>
        <w:t>深圳市深燃清洁能源有限公司</w:t>
      </w:r>
    </w:p>
    <w:p w14:paraId="2FF46E37">
      <w:pPr>
        <w:tabs>
          <w:tab w:val="left" w:pos="7560"/>
        </w:tabs>
        <w:spacing w:line="360" w:lineRule="auto"/>
        <w:ind w:firstLine="420" w:firstLineChars="200"/>
        <w:contextualSpacing/>
        <w:rPr>
          <w:rFonts w:ascii="宋体" w:hAnsi="宋体" w:eastAsia="宋体"/>
          <w:color w:val="auto"/>
          <w:szCs w:val="21"/>
        </w:rPr>
      </w:pPr>
    </w:p>
    <w:p w14:paraId="33391017">
      <w:pPr>
        <w:tabs>
          <w:tab w:val="left" w:pos="7560"/>
        </w:tabs>
        <w:spacing w:line="360" w:lineRule="auto"/>
        <w:ind w:firstLine="420" w:firstLineChars="200"/>
        <w:contextualSpacing/>
        <w:rPr>
          <w:rFonts w:ascii="宋体" w:hAnsi="宋体" w:eastAsia="宋体"/>
          <w:color w:val="auto"/>
          <w:szCs w:val="21"/>
        </w:rPr>
      </w:pPr>
    </w:p>
    <w:p w14:paraId="4D5F91F2">
      <w:pPr>
        <w:tabs>
          <w:tab w:val="left" w:pos="7560"/>
        </w:tabs>
        <w:spacing w:line="360" w:lineRule="auto"/>
        <w:ind w:firstLine="420" w:firstLineChars="200"/>
        <w:contextualSpacing/>
        <w:rPr>
          <w:rFonts w:ascii="宋体" w:hAnsi="宋体" w:eastAsia="宋体"/>
          <w:color w:val="auto"/>
          <w:szCs w:val="21"/>
        </w:rPr>
      </w:pPr>
    </w:p>
    <w:p w14:paraId="4CC6B20E">
      <w:pPr>
        <w:tabs>
          <w:tab w:val="left" w:pos="7560"/>
        </w:tabs>
        <w:spacing w:line="360" w:lineRule="auto"/>
        <w:contextualSpacing/>
        <w:jc w:val="center"/>
        <w:rPr>
          <w:rFonts w:ascii="宋体" w:hAnsi="宋体" w:eastAsia="宋体" w:cs="仿宋_GB2312"/>
          <w:b/>
          <w:color w:val="auto"/>
          <w:sz w:val="28"/>
          <w:szCs w:val="28"/>
          <w:u w:val="single"/>
        </w:rPr>
      </w:pPr>
      <w:r>
        <w:rPr>
          <w:rFonts w:hint="eastAsia" w:ascii="宋体" w:hAnsi="宋体" w:eastAsia="宋体" w:cs="仿宋_GB2312"/>
          <w:b/>
          <w:color w:val="auto"/>
          <w:sz w:val="28"/>
          <w:szCs w:val="28"/>
          <w:u w:val="single"/>
        </w:rPr>
        <w:t>20</w:t>
      </w:r>
      <w:r>
        <w:rPr>
          <w:rFonts w:hint="eastAsia" w:ascii="宋体" w:hAnsi="宋体" w:eastAsia="宋体" w:cs="仿宋_GB2312"/>
          <w:b/>
          <w:color w:val="auto"/>
          <w:sz w:val="28"/>
          <w:szCs w:val="28"/>
          <w:u w:val="single"/>
          <w:lang w:val="en-US" w:eastAsia="zh-CN"/>
        </w:rPr>
        <w:t>26</w:t>
      </w:r>
      <w:r>
        <w:rPr>
          <w:rFonts w:hint="eastAsia" w:ascii="宋体" w:hAnsi="宋体" w:eastAsia="宋体" w:cs="仿宋_GB2312"/>
          <w:b/>
          <w:color w:val="auto"/>
          <w:sz w:val="28"/>
          <w:szCs w:val="28"/>
          <w:u w:val="single"/>
        </w:rPr>
        <w:t>年</w:t>
      </w:r>
      <w:r>
        <w:rPr>
          <w:rFonts w:hint="eastAsia" w:ascii="宋体" w:hAnsi="宋体" w:eastAsia="宋体" w:cs="仿宋_GB2312"/>
          <w:b/>
          <w:color w:val="auto"/>
          <w:sz w:val="28"/>
          <w:szCs w:val="28"/>
          <w:u w:val="single"/>
          <w:lang w:val="en-US" w:eastAsia="zh-CN"/>
        </w:rPr>
        <w:t>8</w:t>
      </w:r>
      <w:r>
        <w:rPr>
          <w:rFonts w:hint="eastAsia" w:ascii="宋体" w:hAnsi="宋体" w:eastAsia="宋体" w:cs="仿宋_GB2312"/>
          <w:b/>
          <w:color w:val="auto"/>
          <w:sz w:val="28"/>
          <w:szCs w:val="28"/>
          <w:u w:val="single"/>
        </w:rPr>
        <w:t>月</w:t>
      </w:r>
    </w:p>
    <w:p w14:paraId="2FE7441B">
      <w:pPr>
        <w:tabs>
          <w:tab w:val="left" w:pos="7560"/>
        </w:tabs>
        <w:spacing w:line="360" w:lineRule="auto"/>
        <w:ind w:firstLine="420" w:firstLineChars="200"/>
        <w:contextualSpacing/>
        <w:rPr>
          <w:rFonts w:ascii="宋体" w:hAnsi="宋体" w:eastAsia="宋体"/>
          <w:color w:val="auto"/>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14:paraId="7A5098D5">
      <w:pPr>
        <w:pStyle w:val="3"/>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14:paraId="3FE970FD">
      <w:pPr>
        <w:tabs>
          <w:tab w:val="left" w:pos="7560"/>
        </w:tabs>
        <w:spacing w:line="360" w:lineRule="auto"/>
        <w:ind w:firstLine="420" w:firstLineChars="200"/>
        <w:contextualSpacing/>
        <w:rPr>
          <w:rFonts w:ascii="宋体" w:hAnsi="宋体" w:eastAsia="宋体" w:cs="仿宋_GB2312"/>
          <w:color w:val="auto"/>
          <w:szCs w:val="21"/>
        </w:rPr>
      </w:pPr>
    </w:p>
    <w:p w14:paraId="2F11DECF">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第一章 </w:t>
      </w:r>
      <w:r>
        <w:rPr>
          <w:rFonts w:hint="eastAsia" w:ascii="宋体" w:hAnsi="宋体" w:eastAsia="宋体" w:cs="仿宋_GB2312"/>
          <w:color w:val="auto"/>
          <w:szCs w:val="21"/>
          <w:lang w:val="en-US" w:eastAsia="zh-CN"/>
        </w:rPr>
        <w:t>采购公告</w:t>
      </w:r>
    </w:p>
    <w:p w14:paraId="20E3793A">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14:paraId="2FBC867B">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14:paraId="055439A2">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14:paraId="74587B42">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14:paraId="2D8312BC">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14:paraId="555D8ADE">
      <w:pPr>
        <w:tabs>
          <w:tab w:val="left" w:pos="7560"/>
        </w:tabs>
        <w:spacing w:line="360" w:lineRule="auto"/>
        <w:ind w:firstLine="420" w:firstLineChars="200"/>
        <w:contextualSpacing/>
        <w:rPr>
          <w:rFonts w:ascii="宋体" w:hAnsi="宋体" w:eastAsia="宋体" w:cs="仿宋_GB2312"/>
          <w:color w:val="auto"/>
          <w:szCs w:val="21"/>
        </w:rPr>
      </w:pPr>
    </w:p>
    <w:p w14:paraId="4C426352">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14:paraId="44E55868">
      <w:pPr>
        <w:pStyle w:val="3"/>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p>
    <w:p w14:paraId="7C35F243">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14:paraId="10ECF8C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14:paraId="1BD75EC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14:paraId="3E3F7366">
      <w:pPr>
        <w:rPr>
          <w:rFonts w:hint="default" w:ascii="宋体" w:hAnsi="宋体" w:eastAsia="宋体"/>
          <w:szCs w:val="21"/>
          <w:lang w:val="en-US" w:eastAsia="zh-CN"/>
        </w:rPr>
      </w:pPr>
      <w:r>
        <w:rPr>
          <w:rFonts w:hint="eastAsia" w:ascii="宋体" w:hAnsi="宋体" w:eastAsia="宋体"/>
          <w:color w:val="0070C0"/>
          <w:szCs w:val="21"/>
          <w:lang w:eastAsia="zh-CN"/>
        </w:rPr>
        <w:br w:type="page"/>
      </w:r>
    </w:p>
    <w:p w14:paraId="30F970DF">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p>
    <w:p w14:paraId="371E54C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14:paraId="4C5EC03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olor w:val="auto"/>
          <w:szCs w:val="21"/>
          <w:lang w:val="en-US" w:eastAsia="zh-CN"/>
        </w:rPr>
      </w:pPr>
      <w:r>
        <w:rPr>
          <w:rFonts w:hint="eastAsia" w:ascii="宋体" w:hAnsi="宋体" w:eastAsia="宋体"/>
          <w:color w:val="auto"/>
          <w:szCs w:val="21"/>
          <w:u w:val="single"/>
        </w:rPr>
        <w:t>燃料电池与涡轮混合循环发电系统工程</w:t>
      </w:r>
      <w:r>
        <w:rPr>
          <w:rFonts w:hint="eastAsia" w:ascii="宋体" w:hAnsi="宋体" w:eastAsia="宋体"/>
          <w:color w:val="auto"/>
          <w:szCs w:val="21"/>
        </w:rPr>
        <w:t>（项目编号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QJCG-GZHA-2026-010</w:t>
      </w:r>
      <w:r>
        <w:rPr>
          <w:rFonts w:hint="eastAsia" w:ascii="宋体" w:hAnsi="宋体" w:eastAsia="宋体"/>
          <w:color w:val="auto"/>
          <w:szCs w:val="21"/>
          <w:highlight w:val="none"/>
        </w:rPr>
        <w:t>）</w:t>
      </w:r>
      <w:r>
        <w:rPr>
          <w:rFonts w:hint="eastAsia" w:ascii="宋体" w:hAnsi="宋体" w:eastAsia="宋体"/>
          <w:color w:val="auto"/>
          <w:szCs w:val="21"/>
          <w:lang w:val="en-US" w:eastAsia="zh-CN"/>
        </w:rPr>
        <w:t>已具备采购条件，采购</w:t>
      </w:r>
      <w:r>
        <w:rPr>
          <w:rFonts w:hint="eastAsia" w:ascii="宋体" w:hAnsi="宋体" w:eastAsia="宋体"/>
          <w:color w:val="auto"/>
          <w:szCs w:val="21"/>
        </w:rPr>
        <w:t>人为</w:t>
      </w:r>
      <w:r>
        <w:rPr>
          <w:rFonts w:hint="eastAsia" w:ascii="宋体" w:hAnsi="宋体" w:eastAsia="宋体"/>
          <w:color w:val="auto"/>
          <w:szCs w:val="21"/>
          <w:u w:val="single"/>
        </w:rPr>
        <w:t>深圳市深燃清洁能源有限公司，</w:t>
      </w:r>
      <w:r>
        <w:rPr>
          <w:rFonts w:hint="eastAsia" w:ascii="宋体" w:hAnsi="宋体" w:eastAsia="宋体"/>
          <w:color w:val="auto"/>
          <w:szCs w:val="21"/>
        </w:rPr>
        <w:t>资金来源为</w:t>
      </w:r>
      <w:r>
        <w:rPr>
          <w:rFonts w:hint="eastAsia" w:ascii="宋体" w:hAnsi="宋体" w:eastAsia="宋体"/>
          <w:color w:val="auto"/>
          <w:szCs w:val="21"/>
          <w:u w:val="single"/>
          <w:lang w:val="en-US" w:eastAsia="zh-CN"/>
        </w:rPr>
        <w:t>企业自筹</w:t>
      </w:r>
      <w:r>
        <w:rPr>
          <w:rFonts w:hint="eastAsia" w:ascii="宋体" w:hAnsi="宋体" w:eastAsia="宋体"/>
          <w:color w:val="auto"/>
          <w:szCs w:val="21"/>
        </w:rPr>
        <w:t>。</w:t>
      </w:r>
      <w:r>
        <w:rPr>
          <w:rFonts w:hint="eastAsia" w:ascii="宋体" w:hAnsi="宋体" w:eastAsia="宋体"/>
          <w:color w:val="auto"/>
          <w:szCs w:val="21"/>
          <w:lang w:val="en-US" w:eastAsia="zh-CN"/>
        </w:rPr>
        <w:t>现进行</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竞争性谈判</w:t>
      </w:r>
      <w:r>
        <w:rPr>
          <w:rFonts w:hint="eastAsia" w:ascii="宋体" w:hAnsi="宋体" w:eastAsia="宋体"/>
          <w:color w:val="auto"/>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14:paraId="5D59FC1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color w:val="auto"/>
          <w:szCs w:val="21"/>
        </w:rPr>
      </w:pPr>
      <w:r>
        <w:rPr>
          <w:rFonts w:hint="eastAsia" w:ascii="宋体" w:hAnsi="宋体" w:eastAsia="宋体" w:cs="仿宋_GB2312"/>
          <w:b/>
          <w:color w:val="auto"/>
          <w:szCs w:val="21"/>
          <w:lang w:val="en-US" w:eastAsia="zh-CN"/>
        </w:rPr>
        <w:t>一</w:t>
      </w:r>
      <w:r>
        <w:rPr>
          <w:rFonts w:hint="eastAsia" w:ascii="宋体" w:hAnsi="宋体" w:eastAsia="宋体" w:cs="仿宋_GB2312"/>
          <w:b/>
          <w:color w:val="auto"/>
          <w:szCs w:val="21"/>
        </w:rPr>
        <w:t>、</w:t>
      </w:r>
      <w:r>
        <w:rPr>
          <w:rFonts w:hint="eastAsia" w:ascii="宋体" w:hAnsi="宋体" w:eastAsia="宋体"/>
          <w:b/>
          <w:color w:val="auto"/>
          <w:szCs w:val="21"/>
        </w:rPr>
        <w:t>项目概况</w:t>
      </w:r>
    </w:p>
    <w:p w14:paraId="742F5AE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auto"/>
          <w:szCs w:val="21"/>
          <w:u w:val="single"/>
        </w:rPr>
        <w:t>https://ygcg.szexgrp.com/</w:t>
      </w:r>
      <w:r>
        <w:rPr>
          <w:rFonts w:hint="eastAsia" w:ascii="宋体" w:hAnsi="宋体" w:eastAsia="宋体"/>
          <w:color w:val="auto"/>
          <w:szCs w:val="21"/>
          <w:u w:val="none"/>
          <w:lang w:val="en-US" w:eastAsia="zh-CN"/>
        </w:rPr>
        <w:t>）和本项目采购文件。</w:t>
      </w:r>
    </w:p>
    <w:p w14:paraId="7ADF4C4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auto"/>
          <w:sz w:val="21"/>
          <w:szCs w:val="21"/>
          <w:highlight w:val="none"/>
          <w:lang w:val="en-US" w:eastAsia="zh-CN"/>
        </w:rPr>
        <w:t>30天。</w:t>
      </w:r>
    </w:p>
    <w:p w14:paraId="5369957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s="仿宋_GB2312"/>
          <w:color w:val="auto"/>
          <w:sz w:val="21"/>
          <w:szCs w:val="21"/>
          <w:highlight w:val="none"/>
          <w:lang w:val="en-US" w:eastAsia="zh-CN"/>
        </w:rPr>
        <w:t>深圳市龙华区求雨岭储备库。</w:t>
      </w:r>
    </w:p>
    <w:p w14:paraId="4E2E1F1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3.本项目设置最高限价，最高限价为</w:t>
      </w:r>
      <w:r>
        <w:rPr>
          <w:rFonts w:hint="eastAsia" w:ascii="宋体" w:hAnsi="宋体" w:eastAsia="宋体" w:cs="仿宋_GB2312"/>
          <w:color w:val="auto"/>
          <w:sz w:val="21"/>
          <w:szCs w:val="21"/>
          <w:highlight w:val="none"/>
          <w:lang w:val="en-US" w:eastAsia="zh-CN"/>
        </w:rPr>
        <w:t>460,714.85元人民币（含税9%）</w:t>
      </w:r>
      <w:r>
        <w:rPr>
          <w:rFonts w:hint="eastAsia" w:ascii="宋体" w:hAnsi="宋体" w:eastAsia="宋体"/>
          <w:color w:val="auto"/>
          <w:szCs w:val="21"/>
          <w:u w:val="none"/>
          <w:lang w:val="en-US" w:eastAsia="zh-CN"/>
        </w:rPr>
        <w:t>，响应人报价高于最高限价的，其响应将被否决。</w:t>
      </w:r>
    </w:p>
    <w:p w14:paraId="7CF2E82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color w:val="auto"/>
          <w:lang w:val="en-US" w:eastAsia="zh-CN"/>
        </w:rPr>
      </w:pPr>
      <w:r>
        <w:rPr>
          <w:rFonts w:hint="eastAsia" w:ascii="宋体" w:hAnsi="宋体"/>
          <w:b/>
          <w:color w:val="auto"/>
          <w:lang w:val="en-US" w:eastAsia="zh-CN"/>
        </w:rPr>
        <w:t>二、响应人资格及信誉要求</w:t>
      </w:r>
    </w:p>
    <w:p w14:paraId="75FB456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一</w:t>
      </w: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响应人资格相关要求</w:t>
      </w:r>
    </w:p>
    <w:p w14:paraId="239A887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1.须为在中华人民共和国境内注册的法人或其他组织。</w:t>
      </w:r>
    </w:p>
    <w:p w14:paraId="5753D09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证明材料：提供有效的营业执照或事业单位法人证书或其他主体证明文件扫描件（若响应人为分公司，需同时提供总公司的营业执照及授权盖章证明文件）。详见第六章响应文件格式。</w:t>
      </w:r>
    </w:p>
    <w:p w14:paraId="566737D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cs="仿宋_GB2312" w:eastAsiaTheme="minorEastAsia"/>
          <w:color w:val="auto"/>
          <w:sz w:val="21"/>
          <w:szCs w:val="21"/>
          <w:highlight w:val="none"/>
          <w:u w:val="none"/>
          <w:lang w:val="en-US" w:eastAsia="zh-CN"/>
        </w:rPr>
      </w:pPr>
      <w:r>
        <w:rPr>
          <w:rFonts w:hint="eastAsia" w:ascii="宋体" w:hAnsi="宋体" w:eastAsia="宋体" w:cs="仿宋_GB2312"/>
          <w:color w:val="auto"/>
          <w:sz w:val="21"/>
          <w:szCs w:val="21"/>
          <w:highlight w:val="none"/>
          <w:lang w:val="en-US" w:eastAsia="zh-CN"/>
        </w:rPr>
        <w:t>2.响应人具有</w:t>
      </w:r>
      <w:r>
        <w:rPr>
          <w:rFonts w:hint="eastAsia" w:ascii="宋体" w:hAnsi="宋体" w:eastAsia="宋体" w:cs="仿宋_GB2312"/>
          <w:color w:val="auto"/>
          <w:sz w:val="21"/>
          <w:szCs w:val="21"/>
          <w:highlight w:val="none"/>
          <w:u w:val="none"/>
          <w:lang w:val="en-US" w:eastAsia="zh-CN"/>
        </w:rPr>
        <w:t>市政公用工程施工总承包二级或以上资质。</w:t>
      </w:r>
    </w:p>
    <w:p w14:paraId="0D8833C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val="en-US" w:eastAsia="zh-CN"/>
        </w:rPr>
        <w:t>证明材料：提供</w:t>
      </w:r>
      <w:r>
        <w:rPr>
          <w:rFonts w:hint="eastAsia" w:ascii="宋体" w:hAnsi="宋体" w:eastAsia="宋体" w:cs="仿宋_GB2312"/>
          <w:b/>
          <w:bCs/>
          <w:color w:val="auto"/>
          <w:szCs w:val="21"/>
          <w:highlight w:val="none"/>
        </w:rPr>
        <w:t>相关资质证书复印件加盖响应人单位公章</w:t>
      </w:r>
      <w:r>
        <w:rPr>
          <w:rFonts w:hint="eastAsia" w:ascii="宋体" w:hAnsi="宋体" w:eastAsia="宋体" w:cs="仿宋_GB2312"/>
          <w:b/>
          <w:bCs/>
          <w:color w:val="auto"/>
          <w:sz w:val="21"/>
          <w:szCs w:val="21"/>
          <w:highlight w:val="none"/>
          <w:lang w:val="en-US" w:eastAsia="zh-CN"/>
        </w:rPr>
        <w:t>。</w:t>
      </w:r>
    </w:p>
    <w:p w14:paraId="36CBCD4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bookmarkStart w:id="0" w:name="OLE_LINK11"/>
      <w:r>
        <w:rPr>
          <w:rFonts w:hint="eastAsia" w:ascii="宋体" w:hAnsi="宋体" w:eastAsia="宋体"/>
          <w:b/>
          <w:bCs/>
          <w:color w:val="auto"/>
          <w:szCs w:val="21"/>
          <w:highlight w:val="none"/>
          <w:u w:val="none"/>
          <w:lang w:val="en-US" w:eastAsia="zh-CN"/>
        </w:rPr>
        <w:t>（二）响应人关联关系要求</w:t>
      </w:r>
    </w:p>
    <w:p w14:paraId="6B01784A">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1</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人的法定代表人</w:t>
      </w:r>
      <w:r>
        <w:rPr>
          <w:rFonts w:hint="eastAsia" w:ascii="宋体" w:hAnsi="宋体" w:eastAsia="宋体"/>
          <w:color w:val="auto"/>
          <w:szCs w:val="21"/>
          <w:highlight w:val="none"/>
          <w:u w:val="none"/>
          <w:lang w:val="en-US" w:eastAsia="zh-CN"/>
        </w:rPr>
        <w:t>、单位负责人</w:t>
      </w:r>
      <w:r>
        <w:rPr>
          <w:rFonts w:hint="eastAsia" w:ascii="宋体" w:hAnsi="宋体" w:eastAsia="宋体"/>
          <w:color w:val="auto"/>
          <w:szCs w:val="21"/>
          <w:highlight w:val="none"/>
          <w:u w:val="none"/>
        </w:rPr>
        <w:t>、主要经营负责人、董事长</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总经理</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项目投标</w:t>
      </w:r>
      <w:r>
        <w:rPr>
          <w:rFonts w:hint="eastAsia" w:ascii="宋体" w:hAnsi="宋体" w:eastAsia="宋体"/>
          <w:color w:val="auto"/>
          <w:szCs w:val="21"/>
          <w:highlight w:val="none"/>
          <w:u w:val="none"/>
        </w:rPr>
        <w:t>授权代表人、项目负责人</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项目经理</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、主要技术人员</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投标文件编制人员</w:t>
      </w:r>
      <w:r>
        <w:rPr>
          <w:rFonts w:hint="eastAsia" w:ascii="宋体" w:hAnsi="宋体" w:eastAsia="宋体"/>
          <w:color w:val="auto"/>
          <w:szCs w:val="21"/>
          <w:highlight w:val="none"/>
          <w:u w:val="none"/>
        </w:rPr>
        <w:t>为同一人、属同一单位或者在同一单位缴纳社会保险的；不同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人存在直接控股、管理关系的。如发现存在上述情形，</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w:t>
      </w:r>
      <w:r>
        <w:rPr>
          <w:rFonts w:hint="eastAsia" w:ascii="宋体" w:hAnsi="宋体" w:eastAsia="宋体"/>
          <w:color w:val="auto"/>
          <w:szCs w:val="21"/>
          <w:highlight w:val="none"/>
          <w:u w:val="none"/>
          <w:lang w:val="en-US" w:eastAsia="zh-CN"/>
        </w:rPr>
        <w:t>初步评审</w:t>
      </w:r>
      <w:r>
        <w:rPr>
          <w:rFonts w:hint="eastAsia" w:ascii="宋体" w:hAnsi="宋体" w:eastAsia="宋体"/>
          <w:color w:val="auto"/>
          <w:szCs w:val="21"/>
          <w:highlight w:val="none"/>
          <w:u w:val="none"/>
        </w:rPr>
        <w:t>不通过，不得参与本次采购活动。</w:t>
      </w:r>
    </w:p>
    <w:p w14:paraId="5A5F5103">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2</w:t>
      </w:r>
      <w:r>
        <w:rPr>
          <w:rFonts w:hint="eastAsia" w:ascii="宋体" w:hAnsi="宋体" w:eastAsia="宋体"/>
          <w:color w:val="auto"/>
          <w:szCs w:val="21"/>
          <w:highlight w:val="none"/>
          <w:u w:val="none"/>
          <w:lang w:eastAsia="zh-CN"/>
        </w:rPr>
        <w:t>.存在股权关联关系或董事长、经理、董事交叉任职的投标人谨慎同时参与本项目</w:t>
      </w:r>
      <w:r>
        <w:rPr>
          <w:rFonts w:hint="eastAsia" w:ascii="宋体" w:hAnsi="宋体" w:eastAsia="宋体"/>
          <w:color w:val="auto"/>
          <w:szCs w:val="21"/>
          <w:highlight w:val="none"/>
          <w:u w:val="none"/>
        </w:rPr>
        <w:t>。经评审判定与其他</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w:t>
      </w:r>
      <w:r>
        <w:rPr>
          <w:rFonts w:hint="eastAsia" w:ascii="宋体" w:hAnsi="宋体" w:eastAsia="宋体"/>
          <w:color w:val="auto"/>
          <w:szCs w:val="21"/>
          <w:highlight w:val="none"/>
          <w:u w:val="none"/>
          <w:lang w:val="en-US" w:eastAsia="zh-CN"/>
        </w:rPr>
        <w:t>股权</w:t>
      </w:r>
      <w:r>
        <w:rPr>
          <w:rFonts w:hint="eastAsia" w:ascii="宋体" w:hAnsi="宋体" w:eastAsia="宋体"/>
          <w:color w:val="auto"/>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14:paraId="6C6C257E">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w:t>
      </w:r>
      <w:r>
        <w:rPr>
          <w:rFonts w:hint="eastAsia" w:ascii="宋体" w:hAnsi="宋体" w:eastAsia="宋体"/>
          <w:b/>
          <w:bCs/>
          <w:color w:val="FF0000"/>
          <w:szCs w:val="21"/>
          <w:highlight w:val="none"/>
          <w:u w:val="none"/>
          <w:lang w:val="en-US" w:eastAsia="zh-CN"/>
        </w:rPr>
        <w:t>（不含投标当月）</w:t>
      </w:r>
      <w:r>
        <w:rPr>
          <w:rFonts w:hint="eastAsia" w:ascii="宋体" w:hAnsi="宋体" w:eastAsia="宋体"/>
          <w:b/>
          <w:bCs/>
          <w:color w:val="auto"/>
          <w:szCs w:val="21"/>
          <w:highlight w:val="none"/>
          <w:u w:val="none"/>
          <w:lang w:val="en-US" w:eastAsia="zh-CN"/>
        </w:rPr>
        <w:t>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14:paraId="6132B02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注：</w:t>
      </w:r>
    </w:p>
    <w:p w14:paraId="0359988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1.《供应商基本情况表》除法定代表人、单位负责人外，其他人员均需按照要求提供社会保险缴纳证明；</w:t>
      </w:r>
    </w:p>
    <w:p w14:paraId="6B80522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2.股权关联关系：</w:t>
      </w:r>
      <w:bookmarkStart w:id="1" w:name="OLE_LINK2"/>
      <w:r>
        <w:rPr>
          <w:rFonts w:hint="eastAsia" w:ascii="宋体" w:hAnsi="宋体" w:eastAsia="宋体"/>
          <w:color w:val="auto"/>
          <w:szCs w:val="21"/>
          <w:highlight w:val="none"/>
          <w:u w:val="none"/>
          <w:lang w:val="en-US" w:eastAsia="zh-CN"/>
        </w:rPr>
        <w:t>一方持有另一方的股份总和达到 25% 以上，或双方同为第三方所持有的股份达到 25% 以上，即构成股权关联关系。</w:t>
      </w:r>
      <w:bookmarkEnd w:id="1"/>
    </w:p>
    <w:p w14:paraId="26E0B78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3.根据《中华人民共和国公司法》，国家控股的企业之间不仅因为同受国家控股而具有关联关系。</w:t>
      </w:r>
    </w:p>
    <w:p w14:paraId="19BE0F9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auto"/>
          <w:szCs w:val="21"/>
          <w:highlight w:val="none"/>
          <w:u w:val="none"/>
          <w:lang w:val="en-US" w:eastAsia="zh-CN"/>
        </w:rPr>
        <w:t>）：</w:t>
      </w:r>
    </w:p>
    <w:p w14:paraId="17C6D7B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响应人应当具有良好的信誉，拒绝有下列情形之一的企业或者从业人员参与投标：</w:t>
      </w:r>
    </w:p>
    <w:p w14:paraId="15B8437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1.响应人企业或其法定代表人被列入“失信被执行人”的。</w:t>
      </w:r>
    </w:p>
    <w:p w14:paraId="55FB0C7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5E3DF80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7B29161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“中国执行信息公开网”中投标企业或其法定代表人没有被列入“失信被执行人”（https://zxgk.court.gov.cn/shixin/）。</w:t>
      </w:r>
    </w:p>
    <w:p w14:paraId="30DF247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2.近3年内（从采购公告发布之日起倒算）供应商或者其法定代表人有行贿犯罪记录的。 </w:t>
      </w:r>
    </w:p>
    <w:p w14:paraId="3DDF29F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证明材料： </w:t>
      </w:r>
    </w:p>
    <w:p w14:paraId="33D3FB4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2B420B2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“中国裁判文书网”网站（https://wenshu.court.gov.cn/website/wenshu/181029CR4M5A62CH/index.html）-无行贿相关案由。</w:t>
      </w:r>
    </w:p>
    <w:p w14:paraId="4C13DFD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3.近2年内（从采购公告发布之日起倒算）供应商有无正当理由放弃集团公司成交项目、不接受采购文件中合同主要条款、不履行合同义务或单方面终止合同的。 </w:t>
      </w:r>
    </w:p>
    <w:p w14:paraId="2A47968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5645DF4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67D65BF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14:paraId="570371E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36B720C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7D34CAE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（1）“深圳市交通运输局”网站（https://jtys.sz.gov.cn/）-政务公开-信用信息双公示-行政处罚；</w:t>
      </w:r>
    </w:p>
    <w:p w14:paraId="424B73A4">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（2）“深圳市政府采购监管网中国政府采购网深圳分网”网站（http://zfcg.sz.gov.cn/cgjg/cfgg/）-网站首页-采购监管-诚信档案-入口查询行政处罚记录；</w:t>
      </w:r>
    </w:p>
    <w:p w14:paraId="256AE26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（3）“深圳公共资源交易公共服务平台”（https://www.szggzy.com/static/index.html）-监管信息-交易曝光台及其他监管信息。</w:t>
      </w:r>
    </w:p>
    <w:p w14:paraId="43D3C88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5.因违反工程质量、安全生产管理规定等原因被本招标项目的所在地建设部门给予红色警示且在警示期内的。</w:t>
      </w:r>
    </w:p>
    <w:p w14:paraId="6DE88DE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4A1035F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3EBCE13C">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（1）“深圳市住房和建设局”网站（https://zjj.sz.gov.cn/ztfw/gcjs/cxda_zjhhsjs/index.html）-红色警示；</w:t>
      </w:r>
    </w:p>
    <w:p w14:paraId="04E3DBBB">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（2）“深圳市住房和建设局”网站（https://zjj.sz.gov.cn/xxgk/ztzl/sgs/index.html）-行政处罚；</w:t>
      </w:r>
    </w:p>
    <w:p w14:paraId="7D84A11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6.拖欠工人工资被本招标项目的所在地有关部门责令改正而未改正的。 </w:t>
      </w:r>
    </w:p>
    <w:p w14:paraId="5160C67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1F9633C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7CE6251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14:paraId="669216B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35F8381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4D3B473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8.被列入集团公司黑名单的或暂停承包资格的。   </w:t>
      </w:r>
    </w:p>
    <w:p w14:paraId="096FB72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273665B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w:t>
      </w:r>
    </w:p>
    <w:p w14:paraId="30A9F2C3">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9.依法应当拒绝投标的其他情形。 </w:t>
      </w:r>
    </w:p>
    <w:p w14:paraId="7EABA3A1">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14:paraId="1BA1D60A">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按第六章投标文件格式提供《承诺函》，且《承诺函》内容与采购文件要求一致，同时提供以下网站截图证明：</w:t>
      </w:r>
    </w:p>
    <w:p w14:paraId="6E7F5F6C">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（1）“国家企业信用信息公示系统”网站（http://www.gsxt.gov.cn/corp-query-homepage.html）-行政处罚信息；</w:t>
      </w:r>
    </w:p>
    <w:p w14:paraId="56F764AD">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（2）“信用中国”网站（www.creditchina.gov.cn）-行政管理信息查询-严重失信主体名单查询-行政处罚。</w:t>
      </w:r>
    </w:p>
    <w:p w14:paraId="0C695CE1">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说明：</w:t>
      </w:r>
    </w:p>
    <w:p w14:paraId="0CF017C9">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1.针对上述拒绝参与情形，响应人应按照对应网址渠道进行查询，并提供对应网址查询截图（若项目所在地在深圳市外的，相关网址查询以第六章投标文件格式要求的网址为准）</w:t>
      </w:r>
    </w:p>
    <w:p w14:paraId="61AD4D80">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响应人针对上述网址信息，提供对应网站查询截图，相关信息以本项目开标前两个工作日内的查询结果为准。（中标候选人公示期间，采购人及招标代理机构有权对中标候选人的上述网址信息进行复核，若发现中标候选人存在上述否决情形的，采购人有权取消其中标资格。）。</w:t>
      </w:r>
    </w:p>
    <w:p w14:paraId="152B314B">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7D50650D">
      <w:pPr>
        <w:pStyle w:val="6"/>
        <w:rPr>
          <w:rFonts w:hint="eastAsia"/>
          <w:lang w:val="en-US" w:eastAsia="zh-CN"/>
        </w:rPr>
      </w:pPr>
    </w:p>
    <w:p w14:paraId="6E7EFA7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color w:val="auto"/>
          <w:szCs w:val="21"/>
          <w:lang w:val="en-US" w:eastAsia="zh-CN"/>
        </w:rPr>
      </w:pPr>
      <w:r>
        <w:rPr>
          <w:rFonts w:hint="eastAsia" w:ascii="宋体" w:hAnsi="宋体" w:eastAsia="宋体" w:cs="仿宋_GB2312"/>
          <w:b/>
          <w:bCs/>
          <w:color w:val="auto"/>
          <w:szCs w:val="21"/>
          <w:lang w:val="en-US" w:eastAsia="zh-CN"/>
        </w:rPr>
        <w:t>（四）利害相关方投标</w:t>
      </w:r>
      <w:r>
        <w:rPr>
          <w:rFonts w:hint="eastAsia" w:ascii="宋体" w:hAnsi="宋体" w:eastAsia="宋体" w:cs="仿宋_GB2312"/>
          <w:color w:val="auto"/>
          <w:szCs w:val="21"/>
          <w:lang w:val="en-US" w:eastAsia="zh-CN"/>
        </w:rPr>
        <w:t>：</w:t>
      </w:r>
      <w:bookmarkStart w:id="2" w:name="OLE_LINK6"/>
      <w:r>
        <w:rPr>
          <w:rFonts w:hint="eastAsia" w:ascii="宋体" w:hAnsi="宋体" w:eastAsia="宋体" w:cs="仿宋_GB2312"/>
          <w:color w:val="auto"/>
          <w:szCs w:val="21"/>
          <w:lang w:val="en-US" w:eastAsia="zh-CN"/>
        </w:rPr>
        <w:t>接受</w:t>
      </w:r>
      <w:bookmarkEnd w:id="2"/>
      <w:r>
        <w:rPr>
          <w:rFonts w:hint="eastAsia" w:ascii="宋体" w:hAnsi="宋体" w:eastAsia="宋体" w:cs="Times New Roman"/>
          <w:color w:val="auto"/>
          <w:sz w:val="21"/>
          <w:szCs w:val="21"/>
          <w:highlight w:val="none"/>
          <w:u w:val="none"/>
          <w:lang w:eastAsia="zh-CN"/>
        </w:rPr>
        <w:t>□</w:t>
      </w:r>
      <w:r>
        <w:rPr>
          <w:rFonts w:hint="eastAsia" w:ascii="宋体" w:hAnsi="宋体" w:eastAsia="宋体" w:cs="仿宋_GB2312"/>
          <w:color w:val="auto"/>
          <w:szCs w:val="21"/>
          <w:lang w:val="en-US" w:eastAsia="zh-CN"/>
        </w:rPr>
        <w:t>，不接受</w:t>
      </w:r>
      <w:r>
        <w:rPr>
          <w:rFonts w:hint="eastAsia" w:ascii="宋体" w:hAnsi="宋体" w:eastAsia="宋体" w:cs="Times New Roman"/>
          <w:color w:val="auto"/>
          <w:sz w:val="21"/>
          <w:szCs w:val="21"/>
          <w:highlight w:val="none"/>
          <w:u w:val="none"/>
          <w:lang w:eastAsia="zh-CN"/>
        </w:rPr>
        <w:t>☑。</w:t>
      </w:r>
    </w:p>
    <w:p w14:paraId="026F0FF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14:paraId="3B4401EE">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14:paraId="0E26717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14:paraId="628AD24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s="仿宋_GB2312"/>
          <w:color w:val="auto"/>
          <w:sz w:val="21"/>
          <w:szCs w:val="21"/>
          <w:highlight w:val="none"/>
        </w:rPr>
        <w:t>详见深圳阳光采购平台公告信息。</w:t>
      </w:r>
    </w:p>
    <w:p w14:paraId="0CE3976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7FE238F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14:paraId="4EC93D6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6544582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30F358A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14:paraId="50D70E0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鼓励</w:t>
      </w:r>
      <w:r>
        <w:rPr>
          <w:rFonts w:hint="eastAsia" w:ascii="宋体" w:hAnsi="宋体"/>
          <w:color w:val="auto"/>
          <w:spacing w:val="2"/>
          <w:szCs w:val="21"/>
          <w:highlight w:val="none"/>
          <w:lang w:val="en-US" w:eastAsia="zh-CN"/>
        </w:rPr>
        <w:t>响应</w:t>
      </w:r>
      <w:r>
        <w:rPr>
          <w:rFonts w:hint="eastAsia" w:ascii="宋体" w:hAnsi="宋体"/>
          <w:color w:val="auto"/>
          <w:spacing w:val="2"/>
          <w:szCs w:val="21"/>
          <w:highlight w:val="none"/>
        </w:rPr>
        <w:t>人</w:t>
      </w:r>
      <w:r>
        <w:rPr>
          <w:rFonts w:hint="eastAsia" w:ascii="宋体" w:hAnsi="宋体" w:eastAsia="宋体"/>
          <w:b w:val="0"/>
          <w:bCs w:val="0"/>
          <w:color w:val="auto"/>
          <w:szCs w:val="21"/>
          <w:highlight w:val="none"/>
          <w:u w:val="none"/>
          <w:lang w:val="en-US" w:eastAsia="zh-CN"/>
        </w:rPr>
        <w:t>通过</w:t>
      </w:r>
      <w:r>
        <w:rPr>
          <w:rFonts w:hint="eastAsia" w:ascii="宋体" w:hAnsi="宋体" w:eastAsia="宋体" w:cstheme="minorBidi"/>
          <w:color w:val="auto"/>
          <w:szCs w:val="21"/>
          <w:highlight w:val="none"/>
          <w:u w:val="none"/>
          <w:lang w:val="en-US" w:eastAsia="zh-CN"/>
        </w:rPr>
        <w:t>现场递交的方式递交响应文件。</w:t>
      </w:r>
      <w:r>
        <w:rPr>
          <w:rFonts w:hint="eastAsia" w:ascii="宋体" w:hAnsi="宋体"/>
          <w:bCs/>
          <w:color w:val="auto"/>
          <w:highlight w:val="none"/>
        </w:rPr>
        <w:t>如</w:t>
      </w:r>
      <w:r>
        <w:rPr>
          <w:rFonts w:hint="eastAsia" w:ascii="宋体" w:hAnsi="宋体"/>
          <w:color w:val="auto"/>
          <w:spacing w:val="2"/>
          <w:szCs w:val="21"/>
          <w:highlight w:val="none"/>
          <w:lang w:val="en-US" w:eastAsia="zh-CN"/>
        </w:rPr>
        <w:t>响应</w:t>
      </w:r>
      <w:r>
        <w:rPr>
          <w:rFonts w:hint="eastAsia" w:ascii="宋体" w:hAnsi="宋体"/>
          <w:color w:val="auto"/>
          <w:spacing w:val="2"/>
          <w:szCs w:val="21"/>
          <w:highlight w:val="none"/>
        </w:rPr>
        <w:t>人</w:t>
      </w:r>
      <w:r>
        <w:rPr>
          <w:rFonts w:hint="eastAsia" w:ascii="宋体" w:hAnsi="宋体"/>
          <w:bCs/>
          <w:color w:val="auto"/>
          <w:highlight w:val="none"/>
        </w:rPr>
        <w:t>通过快递方式寄送纸质</w:t>
      </w:r>
      <w:r>
        <w:rPr>
          <w:rFonts w:hint="eastAsia" w:ascii="宋体" w:hAnsi="宋体"/>
          <w:bCs/>
          <w:color w:val="auto"/>
          <w:highlight w:val="none"/>
          <w:lang w:val="en-US" w:eastAsia="zh-CN"/>
        </w:rPr>
        <w:t>响应</w:t>
      </w:r>
      <w:r>
        <w:rPr>
          <w:rFonts w:hint="eastAsia" w:ascii="宋体" w:hAnsi="宋体"/>
          <w:bCs/>
          <w:color w:val="auto"/>
          <w:highlight w:val="none"/>
        </w:rPr>
        <w:t>文件务必</w:t>
      </w:r>
      <w:r>
        <w:rPr>
          <w:rFonts w:hint="eastAsia" w:ascii="宋体" w:hAnsi="宋体"/>
          <w:bCs/>
          <w:color w:val="auto"/>
          <w:highlight w:val="none"/>
          <w:lang w:val="en-US" w:eastAsia="zh-CN"/>
        </w:rPr>
        <w:t>慎重选择快递单位且充分预留寄送时间</w:t>
      </w:r>
      <w:r>
        <w:rPr>
          <w:rFonts w:hint="eastAsia" w:ascii="宋体" w:hAnsi="宋体"/>
          <w:bCs/>
          <w:color w:val="auto"/>
          <w:highlight w:val="none"/>
        </w:rPr>
        <w:t>，并在送达后与收件人确认。</w:t>
      </w:r>
      <w:r>
        <w:rPr>
          <w:rFonts w:hint="eastAsia" w:ascii="宋体" w:hAnsi="宋体"/>
          <w:bCs/>
          <w:color w:val="auto"/>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color w:val="auto"/>
          <w:highlight w:val="none"/>
        </w:rPr>
        <w:t>邮寄地址即文件递交地址，收件人：姚旭，联系电话：15860783035。</w:t>
      </w:r>
    </w:p>
    <w:p w14:paraId="1AD685B6">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14:paraId="5549F76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14:paraId="4E8408C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14:paraId="6C5F238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44323CD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090720D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7EA354F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7D76FAA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14:paraId="61A66D4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rPr>
        <w:t>有关此次采购事宜，可按照下列联系方式咨询：</w:t>
      </w:r>
    </w:p>
    <w:p w14:paraId="53F34B7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lang w:val="en-US" w:eastAsia="zh-CN"/>
        </w:rPr>
      </w:pPr>
      <w:r>
        <w:rPr>
          <w:rFonts w:hint="eastAsia" w:ascii="宋体" w:hAnsi="宋体" w:eastAsia="宋体" w:cs="仿宋_GB2312"/>
          <w:color w:val="auto"/>
          <w:szCs w:val="21"/>
        </w:rPr>
        <w:t>采购人：</w:t>
      </w:r>
      <w:r>
        <w:rPr>
          <w:rFonts w:hint="eastAsia" w:ascii="宋体" w:hAnsi="宋体" w:eastAsia="宋体"/>
          <w:color w:val="auto"/>
          <w:szCs w:val="21"/>
          <w:u w:val="single"/>
        </w:rPr>
        <w:t>深圳市深燃清洁能源有限公司</w:t>
      </w:r>
    </w:p>
    <w:p w14:paraId="4EF0BE7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rPr>
        <w:t>地  址：</w:t>
      </w:r>
      <w:r>
        <w:rPr>
          <w:rFonts w:hint="eastAsia" w:ascii="宋体" w:hAnsi="宋体" w:eastAsia="宋体"/>
          <w:color w:val="auto"/>
          <w:szCs w:val="21"/>
          <w:u w:val="single"/>
        </w:rPr>
        <w:t>深圳市福田区梅坳一路268号深燃大厦</w:t>
      </w:r>
    </w:p>
    <w:p w14:paraId="3DF11A8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lang w:val="en-US" w:eastAsia="zh-CN"/>
        </w:rPr>
      </w:pPr>
      <w:r>
        <w:rPr>
          <w:rFonts w:hint="eastAsia" w:ascii="宋体" w:hAnsi="宋体" w:eastAsia="宋体" w:cs="仿宋_GB2312"/>
          <w:color w:val="auto"/>
          <w:szCs w:val="21"/>
        </w:rPr>
        <w:t>联系人：</w:t>
      </w:r>
      <w:r>
        <w:rPr>
          <w:rFonts w:hint="eastAsia" w:ascii="宋体" w:hAnsi="宋体" w:eastAsia="宋体"/>
          <w:color w:val="auto"/>
          <w:szCs w:val="21"/>
          <w:u w:val="single"/>
          <w:lang w:val="en-US" w:eastAsia="zh-CN"/>
        </w:rPr>
        <w:t>姚旭</w:t>
      </w:r>
    </w:p>
    <w:p w14:paraId="20E2972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cs="仿宋_GB2312"/>
          <w:color w:val="auto"/>
          <w:szCs w:val="21"/>
        </w:rPr>
        <w:t>电  话：15860783035</w:t>
      </w:r>
    </w:p>
    <w:p w14:paraId="672C17B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邮  箱：</w:t>
      </w:r>
      <w:r>
        <w:rPr>
          <w:rFonts w:hint="eastAsia" w:ascii="宋体" w:hAnsi="宋体" w:eastAsia="宋体"/>
          <w:color w:val="auto"/>
          <w:szCs w:val="21"/>
          <w:u w:val="single"/>
        </w:rPr>
        <w:t>yaoxu@szgas.com.cn</w:t>
      </w:r>
    </w:p>
    <w:p w14:paraId="185EA34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p>
    <w:p w14:paraId="5CC0074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single"/>
          <w:lang w:val="en-US" w:eastAsia="zh-CN"/>
        </w:rPr>
      </w:pPr>
      <w:r>
        <w:rPr>
          <w:rFonts w:hint="default" w:ascii="宋体" w:hAnsi="宋体" w:eastAsia="宋体" w:cs="仿宋_GB2312"/>
          <w:color w:val="auto"/>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auto"/>
          <w:szCs w:val="21"/>
          <w:u w:val="single"/>
        </w:rPr>
        <w:t>深圳市深燃清洁能源有限公司</w:t>
      </w:r>
    </w:p>
    <w:p w14:paraId="55EB81B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auto"/>
          <w:szCs w:val="21"/>
          <w:u w:val="single"/>
        </w:rPr>
        <w:t>20</w:t>
      </w:r>
      <w:r>
        <w:rPr>
          <w:rFonts w:hint="eastAsia" w:ascii="宋体" w:hAnsi="宋体" w:eastAsia="宋体"/>
          <w:color w:val="auto"/>
          <w:szCs w:val="21"/>
          <w:u w:val="single"/>
          <w:lang w:val="en-US" w:eastAsia="zh-CN"/>
        </w:rPr>
        <w:t>26</w:t>
      </w:r>
      <w:r>
        <w:rPr>
          <w:rFonts w:ascii="宋体" w:hAnsi="宋体" w:eastAsia="宋体"/>
          <w:color w:val="auto"/>
          <w:szCs w:val="21"/>
          <w:u w:val="single"/>
        </w:rPr>
        <w:t xml:space="preserve">年 </w:t>
      </w:r>
      <w:r>
        <w:rPr>
          <w:rFonts w:hint="eastAsia" w:ascii="宋体" w:hAnsi="宋体" w:eastAsia="宋体"/>
          <w:color w:val="auto"/>
          <w:szCs w:val="21"/>
          <w:u w:val="single"/>
          <w:lang w:val="en-US" w:eastAsia="zh-CN"/>
        </w:rPr>
        <w:t>8</w:t>
      </w:r>
      <w:r>
        <w:rPr>
          <w:rFonts w:ascii="宋体" w:hAnsi="宋体" w:eastAsia="宋体"/>
          <w:color w:val="auto"/>
          <w:szCs w:val="21"/>
          <w:u w:val="single"/>
        </w:rPr>
        <w:t xml:space="preserve"> 月</w:t>
      </w:r>
      <w:r>
        <w:rPr>
          <w:rFonts w:hint="eastAsia" w:ascii="宋体" w:hAnsi="宋体" w:eastAsia="宋体"/>
          <w:color w:val="auto"/>
          <w:szCs w:val="21"/>
          <w:u w:val="single"/>
          <w:lang w:val="en-US" w:eastAsia="zh-CN"/>
        </w:rPr>
        <w:t>3</w:t>
      </w:r>
      <w:r>
        <w:rPr>
          <w:rFonts w:ascii="宋体" w:hAnsi="宋体" w:eastAsia="宋体"/>
          <w:color w:val="auto"/>
          <w:szCs w:val="21"/>
          <w:u w:val="single"/>
        </w:rPr>
        <w:t>日</w:t>
      </w:r>
      <w:r>
        <w:rPr>
          <w:rFonts w:ascii="黑体" w:hAnsi="黑体" w:eastAsia="黑体" w:cs="Times New Roman"/>
          <w:b/>
          <w:sz w:val="28"/>
          <w:szCs w:val="28"/>
        </w:rPr>
        <w:br w:type="page"/>
      </w:r>
    </w:p>
    <w:p w14:paraId="407485B8">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14:paraId="2BEF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14:paraId="05536D19">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14:paraId="28F00563">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14:paraId="7A83DD1E">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14:paraId="0FF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160212C0">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14:paraId="3D67CE2D">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14:paraId="6B3FCAAE">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14:paraId="36C5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1BF39C2A">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14:paraId="4C692A50">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lang w:val="en-US" w:eastAsia="zh-CN"/>
              </w:rPr>
              <w:t>响应</w:t>
            </w:r>
            <w:r>
              <w:rPr>
                <w:rFonts w:hint="eastAsia" w:ascii="宋体" w:hAnsi="宋体" w:cs="宋体"/>
                <w:b w:val="0"/>
                <w:bCs w:val="0"/>
                <w:color w:val="auto"/>
                <w:szCs w:val="21"/>
              </w:rPr>
              <w:t>报价具体要求</w:t>
            </w:r>
          </w:p>
        </w:tc>
        <w:tc>
          <w:tcPr>
            <w:tcW w:w="3623" w:type="pct"/>
            <w:vAlign w:val="center"/>
          </w:tcPr>
          <w:p w14:paraId="179DF2CE">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14:paraId="062560D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b/>
                <w:bCs/>
                <w:color w:val="auto"/>
                <w:sz w:val="21"/>
                <w:szCs w:val="21"/>
                <w:highlight w:val="none"/>
                <w:u w:val="single"/>
                <w:lang w:val="en-US" w:eastAsia="zh-CN"/>
              </w:rPr>
              <w:t>9%</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14:paraId="66F5D06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以固定总价形式报价，</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14:paraId="752ADBC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w:t>
            </w:r>
            <w:r>
              <w:rPr>
                <w:rFonts w:hint="eastAsia" w:ascii="宋体" w:hAnsi="宋体" w:eastAsia="宋体" w:cs="Times New Roman"/>
                <w:color w:val="auto"/>
                <w:sz w:val="21"/>
                <w:szCs w:val="21"/>
                <w:highlight w:val="none"/>
                <w:u w:val="none"/>
                <w:lang w:val="en-US" w:eastAsia="zh-CN"/>
              </w:rPr>
              <w:t>暂</w:t>
            </w:r>
            <w:r>
              <w:rPr>
                <w:rFonts w:hint="eastAsia" w:ascii="宋体" w:hAnsi="宋体" w:eastAsia="宋体" w:cs="Times New Roman"/>
                <w:color w:val="auto"/>
                <w:sz w:val="21"/>
                <w:szCs w:val="21"/>
                <w:highlight w:val="none"/>
                <w:u w:val="none"/>
              </w:rPr>
              <w:t>定总价形式报价，结算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14:paraId="2D80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2C119C2A">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14:paraId="1E1B1C78">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14:paraId="20E19112">
            <w:pPr>
              <w:tabs>
                <w:tab w:val="left" w:pos="7560"/>
              </w:tabs>
              <w:adjustRightInd w:val="0"/>
              <w:snapToGrid w:val="0"/>
              <w:spacing w:line="240" w:lineRule="auto"/>
              <w:jc w:val="left"/>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rPr>
              <w:t>本项目确定</w:t>
            </w:r>
            <w:r>
              <w:rPr>
                <w:rFonts w:ascii="宋体" w:hAnsi="宋体" w:eastAsia="宋体" w:cs="仿宋_GB2312"/>
                <w:color w:val="auto"/>
                <w:sz w:val="21"/>
                <w:szCs w:val="21"/>
                <w:highlight w:val="none"/>
              </w:rPr>
              <w:t xml:space="preserve"> </w:t>
            </w:r>
            <w:r>
              <w:rPr>
                <w:rFonts w:hint="eastAsia" w:ascii="宋体" w:hAnsi="宋体" w:eastAsia="宋体" w:cs="仿宋_GB2312"/>
                <w:color w:val="auto"/>
                <w:sz w:val="21"/>
                <w:szCs w:val="21"/>
                <w:highlight w:val="none"/>
              </w:rPr>
              <w:t>1名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p>
          <w:p w14:paraId="4828D297">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仿宋_GB2312"/>
                <w:color w:val="auto"/>
                <w:sz w:val="21"/>
                <w:szCs w:val="21"/>
                <w:highlight w:val="none"/>
              </w:rPr>
              <w:t>□本项目</w:t>
            </w:r>
            <w:r>
              <w:rPr>
                <w:rFonts w:hint="eastAsia" w:ascii="宋体" w:hAnsi="宋体" w:eastAsia="宋体" w:cs="Times New Roman"/>
                <w:color w:val="auto"/>
                <w:sz w:val="21"/>
                <w:szCs w:val="21"/>
                <w:highlight w:val="none"/>
                <w:u w:val="single"/>
                <w:lang w:val="en-US" w:eastAsia="zh-CN"/>
              </w:rPr>
              <w:t>N</w:t>
            </w:r>
            <w:r>
              <w:rPr>
                <w:rFonts w:hint="eastAsia" w:ascii="宋体" w:hAnsi="宋体" w:eastAsia="宋体" w:cs="仿宋_GB2312"/>
                <w:color w:val="auto"/>
                <w:sz w:val="21"/>
                <w:szCs w:val="21"/>
                <w:highlight w:val="none"/>
              </w:rPr>
              <w:t>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候选人份额计算原则如下：</w:t>
            </w:r>
            <w:r>
              <w:rPr>
                <w:rFonts w:hint="eastAsia" w:ascii="宋体" w:hAnsi="宋体" w:eastAsia="宋体" w:cs="Times New Roman"/>
                <w:color w:val="auto"/>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14:paraId="3D006B17">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20B0648F">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2）采用最低价法的项目，公式去掉“2×（高报价人得分-低报价人得分）/高得分”部分。当报价相同时，则平分份额。</w:t>
            </w:r>
          </w:p>
          <w:p w14:paraId="08342182">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imes New Roman"/>
                <w:color w:val="auto"/>
                <w:sz w:val="21"/>
                <w:szCs w:val="21"/>
                <w:highlight w:val="none"/>
                <w:u w:val="single"/>
                <w:lang w:val="en-US" w:eastAsia="zh-CN"/>
              </w:rPr>
              <w:t>3）按公式计算后，成交人份额低于25%时，则确定其份额为25%。）</w:t>
            </w:r>
          </w:p>
        </w:tc>
      </w:tr>
      <w:tr w14:paraId="0F8C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14:paraId="360F84F6">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14:paraId="69993AD6">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14:paraId="4644ACEB">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14:paraId="6D2E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7076CA77">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14:paraId="6C541B5D">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14:paraId="3EDFE308">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b/>
                <w:bCs/>
                <w:color w:val="FF0000"/>
                <w:szCs w:val="21"/>
                <w:highlight w:val="none"/>
                <w:u w:val="none"/>
                <w:lang w:val="en-US" w:eastAsia="zh-CN"/>
              </w:rPr>
              <w:t>递交</w:t>
            </w:r>
            <w:r>
              <w:rPr>
                <w:rFonts w:hint="eastAsia" w:ascii="宋体" w:hAnsi="宋体" w:eastAsia="宋体" w:cstheme="minorBidi"/>
                <w:b/>
                <w:bCs/>
                <w:color w:val="FF0000"/>
                <w:szCs w:val="21"/>
                <w:highlight w:val="none"/>
                <w:u w:val="none"/>
              </w:rPr>
              <w:t>一份正本</w:t>
            </w:r>
            <w:r>
              <w:rPr>
                <w:rFonts w:hint="eastAsia" w:ascii="宋体" w:hAnsi="宋体" w:eastAsia="宋体" w:cstheme="minorBidi"/>
                <w:b/>
                <w:bCs/>
                <w:color w:val="FF0000"/>
                <w:szCs w:val="21"/>
                <w:highlight w:val="none"/>
                <w:u w:val="none"/>
                <w:lang w:eastAsia="zh-CN"/>
              </w:rPr>
              <w:t>，</w:t>
            </w:r>
            <w:r>
              <w:rPr>
                <w:rFonts w:hint="eastAsia" w:ascii="宋体" w:hAnsi="宋体" w:eastAsia="宋体" w:cstheme="minorBidi"/>
                <w:b/>
                <w:bCs/>
                <w:color w:val="FF0000"/>
                <w:szCs w:val="21"/>
                <w:highlight w:val="none"/>
                <w:u w:val="none"/>
                <w:lang w:val="en-US" w:eastAsia="zh-CN"/>
              </w:rPr>
              <w:t>两</w:t>
            </w:r>
            <w:r>
              <w:rPr>
                <w:rFonts w:hint="eastAsia" w:ascii="宋体" w:hAnsi="宋体" w:eastAsia="宋体" w:cstheme="minorBidi"/>
                <w:b/>
                <w:bCs/>
                <w:color w:val="FF0000"/>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14:paraId="5B22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0645773E">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14:paraId="318B5D7C">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14:paraId="4FA835A1">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14:paraId="5109BB20">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14:paraId="65925A75">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14:paraId="4733A891">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14:paraId="120A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4F2D747A">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14:paraId="31F25FA6">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14:paraId="496C0080">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14:paraId="54CE856F">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14:paraId="3E659B92">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14:paraId="7DCE76CC">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14:paraId="20CFA4D0">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14:paraId="2B45EAE4">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14:paraId="1E6F9392">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14:paraId="65065909">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14:paraId="056F67A1">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14:paraId="0634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34FC1BC5">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14:paraId="30626120">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7"/>
                <w:rFonts w:hint="eastAsia" w:ascii="宋体" w:hAnsi="宋体"/>
                <w:b w:val="0"/>
                <w:bCs w:val="0"/>
                <w:szCs w:val="21"/>
              </w:rPr>
              <w:t>文件真实性要求</w:t>
            </w:r>
          </w:p>
        </w:tc>
        <w:tc>
          <w:tcPr>
            <w:tcW w:w="3623" w:type="pct"/>
            <w:vAlign w:val="center"/>
          </w:tcPr>
          <w:p w14:paraId="515EDC45">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14:paraId="4E272013">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14:paraId="7F11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14:paraId="57D30465">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14:paraId="108C9EA2">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14:paraId="1259A6F9">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14:paraId="31A786F2">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14:paraId="10E8ED51">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14:paraId="0172642D">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14:paraId="3DB14DCE">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14:paraId="28AB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14:paraId="39AE5EE3">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14:paraId="6D8541A4">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14:paraId="4EA66DAD">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14:paraId="5F32D6A3">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14:paraId="18C2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275F0A31">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14:paraId="45B3D20F">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14:paraId="6339E7FE">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14:paraId="6EE4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14:paraId="61CC7AAC">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14:paraId="5477A82D">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14:paraId="7F84BA3F">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auto"/>
                <w:sz w:val="21"/>
                <w:szCs w:val="21"/>
                <w:lang w:val="en-US" w:eastAsia="zh-CN"/>
              </w:rPr>
              <w:t>无</w:t>
            </w:r>
          </w:p>
        </w:tc>
      </w:tr>
    </w:tbl>
    <w:p w14:paraId="07BA3440">
      <w:pPr>
        <w:rPr>
          <w:rFonts w:hint="eastAsia" w:ascii="宋体" w:hAnsi="宋体" w:eastAsia="宋体"/>
          <w:sz w:val="24"/>
          <w:szCs w:val="24"/>
        </w:rPr>
      </w:pPr>
    </w:p>
    <w:p w14:paraId="71BE07AD">
      <w:pPr>
        <w:rPr>
          <w:rFonts w:hint="eastAsia" w:ascii="宋体" w:hAnsi="宋体" w:eastAsia="宋体"/>
          <w:sz w:val="24"/>
          <w:szCs w:val="24"/>
        </w:rPr>
      </w:pPr>
    </w:p>
    <w:p w14:paraId="17891D20">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14:paraId="5AFF8685">
      <w:pPr>
        <w:widowControl/>
        <w:jc w:val="left"/>
        <w:rPr>
          <w:rFonts w:ascii="黑体" w:hAnsi="黑体" w:eastAsia="黑体" w:cs="Times New Roman"/>
          <w:b/>
          <w:bCs/>
          <w:kern w:val="44"/>
          <w:sz w:val="28"/>
          <w:szCs w:val="28"/>
        </w:rPr>
      </w:pPr>
      <w:r>
        <w:rPr>
          <w:rFonts w:ascii="黑体" w:hAnsi="黑体" w:eastAsia="黑体"/>
          <w:sz w:val="28"/>
          <w:szCs w:val="28"/>
        </w:rPr>
        <w:br w:type="page"/>
      </w:r>
    </w:p>
    <w:p w14:paraId="0913F3BF">
      <w:pPr>
        <w:pStyle w:val="3"/>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14:paraId="0CADD4F3">
      <w:pPr>
        <w:pStyle w:val="4"/>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14:paraId="631C03B5">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14:paraId="1EF5DC6B">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存在采购公告（采购邀请函）第四（四）款规定情形的，</w:t>
      </w:r>
      <w:r>
        <w:rPr>
          <w:rFonts w:hint="eastAsia" w:ascii="宋体" w:hAnsi="宋体"/>
          <w:b/>
          <w:bCs/>
          <w:color w:val="0070C0"/>
          <w:lang w:val="en-US" w:eastAsia="zh-CN"/>
        </w:rPr>
        <w:t>采购人不予接收响应文件：</w:t>
      </w:r>
    </w:p>
    <w:p w14:paraId="2E0E80EA">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14:paraId="31F1E6BE">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14:paraId="0EA9C1E7">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14:paraId="0709643E">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14:paraId="511B65F7">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14:paraId="5D2E5CDB">
      <w:pPr>
        <w:pStyle w:val="4"/>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14:paraId="275618F7">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14:paraId="1C5D381D">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14:paraId="51453C74">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0D2F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 w:type="pct"/>
            <w:vAlign w:val="center"/>
          </w:tcPr>
          <w:p w14:paraId="3953DFCF">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14:paraId="53B90D9C">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14:paraId="46460FF6">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14:paraId="7332C234">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14:paraId="62B6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3F0075A6">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14:paraId="72BFA313">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14:paraId="629B4833">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14:paraId="071C7CB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1247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8230B21">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14:paraId="2760CECC">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14:paraId="0112148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14:paraId="6C3243F9">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041F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5BAB1086">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14:paraId="502D8CB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14:paraId="5B017722">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14:paraId="7101AA3F">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6865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D0D973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14:paraId="0A4F3FF9">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14:paraId="4E182EC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34BC60F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3688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2FCB626">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14:paraId="43CDC353">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14:paraId="10EDD7D4">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059C756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EAF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DE4A4B9">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14:paraId="5557C35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14:paraId="582463E3">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3CD1266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ADC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4ED54DE3">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14:paraId="1CD54F76">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14:paraId="0004584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14:paraId="4BD7AD2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1D10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5898BB2">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14:paraId="56932852">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14:paraId="37FD651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14:paraId="3E11DDB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A9E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C2573C5">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14:paraId="1DE695B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14:paraId="1E90BE4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14:paraId="3E0F93C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325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2093E3C">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14:paraId="1246A618">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14:paraId="68EA7DB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14:paraId="36F1340F">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094E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2FC73DB">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14:paraId="0EBCD952">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14:paraId="044D39DD">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49DB99E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14:paraId="7B3A10B8">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14:paraId="0C351313">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w:t>
      </w:r>
      <w:r>
        <w:rPr>
          <w:rFonts w:hint="eastAsia" w:ascii="宋体" w:hAnsi="宋体" w:eastAsia="宋体" w:cs="宋体"/>
          <w:kern w:val="0"/>
          <w:sz w:val="21"/>
          <w:szCs w:val="21"/>
          <w:lang w:val="en-US" w:eastAsia="zh-CN"/>
        </w:rPr>
        <w:t>响应</w:t>
      </w:r>
      <w:r>
        <w:rPr>
          <w:rFonts w:hint="eastAsia" w:ascii="宋体" w:hAnsi="宋体" w:eastAsia="宋体" w:cs="宋体"/>
          <w:kern w:val="0"/>
          <w:sz w:val="21"/>
          <w:szCs w:val="21"/>
        </w:rPr>
        <w:t>人自行承担</w:t>
      </w:r>
      <w:r>
        <w:rPr>
          <w:rFonts w:hint="eastAsia" w:ascii="宋体" w:hAnsi="宋体" w:eastAsia="宋体" w:cs="宋体"/>
          <w:kern w:val="0"/>
          <w:sz w:val="21"/>
          <w:szCs w:val="21"/>
          <w:highlight w:val="none"/>
        </w:rPr>
        <w:t>。</w:t>
      </w:r>
    </w:p>
    <w:p w14:paraId="2AF0F8E6">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14:paraId="0BE53D34">
      <w:pPr>
        <w:pStyle w:val="2"/>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14:paraId="76E1778E">
      <w:pPr>
        <w:pStyle w:val="2"/>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14:paraId="0F79A6A1">
      <w:pPr>
        <w:pStyle w:val="2"/>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14:paraId="47F10C8A">
      <w:pPr>
        <w:pStyle w:val="6"/>
        <w:rPr>
          <w:rFonts w:hint="eastAsia" w:eastAsia="宋体"/>
          <w:lang w:val="en-US" w:eastAsia="zh-CN"/>
        </w:rPr>
      </w:pPr>
    </w:p>
    <w:p w14:paraId="3C3066E8">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14:paraId="4DF5CAAE">
      <w:pPr>
        <w:pStyle w:val="4"/>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三、详细评审</w:t>
      </w:r>
    </w:p>
    <w:p w14:paraId="17D2FCA8">
      <w:pPr>
        <w:pStyle w:val="4"/>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1.评标方法</w:t>
      </w:r>
    </w:p>
    <w:p w14:paraId="48379390">
      <w:pPr>
        <w:spacing w:line="360" w:lineRule="auto"/>
        <w:ind w:firstLine="420" w:firstLineChars="200"/>
        <w:contextualSpacing/>
        <w:rPr>
          <w:rFonts w:ascii="宋体" w:hAnsi="宋体" w:eastAsia="宋体"/>
          <w:color w:val="auto"/>
          <w:szCs w:val="21"/>
        </w:rPr>
      </w:pPr>
      <w:r>
        <w:rPr>
          <w:rFonts w:hint="eastAsia" w:ascii="宋体" w:hAnsi="宋体" w:eastAsia="宋体"/>
          <w:color w:val="auto"/>
          <w:szCs w:val="21"/>
        </w:rPr>
        <w:t>本项目采用综合</w:t>
      </w:r>
      <w:r>
        <w:rPr>
          <w:rFonts w:hint="eastAsia" w:ascii="宋体" w:hAnsi="宋体" w:eastAsia="宋体"/>
          <w:color w:val="auto"/>
          <w:szCs w:val="21"/>
          <w:lang w:val="en-US" w:eastAsia="zh-CN"/>
        </w:rPr>
        <w:t>评分</w:t>
      </w:r>
      <w:r>
        <w:rPr>
          <w:rFonts w:hint="eastAsia" w:ascii="宋体" w:hAnsi="宋体" w:eastAsia="宋体"/>
          <w:color w:val="auto"/>
          <w:szCs w:val="21"/>
        </w:rPr>
        <w:t>法</w:t>
      </w:r>
      <w:r>
        <w:rPr>
          <w:rFonts w:hint="eastAsia" w:ascii="宋体" w:hAnsi="宋体" w:eastAsia="宋体"/>
          <w:color w:val="auto"/>
          <w:szCs w:val="21"/>
          <w:lang w:eastAsia="zh-CN"/>
        </w:rPr>
        <w:t>，</w:t>
      </w:r>
      <w:r>
        <w:rPr>
          <w:rFonts w:hint="eastAsia" w:ascii="宋体" w:hAnsi="宋体" w:eastAsia="宋体"/>
          <w:b/>
          <w:color w:val="auto"/>
          <w:szCs w:val="21"/>
        </w:rPr>
        <w:t>对通过符合性评审的</w:t>
      </w:r>
      <w:r>
        <w:rPr>
          <w:rFonts w:hint="eastAsia" w:ascii="宋体" w:hAnsi="宋体" w:eastAsia="宋体"/>
          <w:b/>
          <w:color w:val="auto"/>
          <w:szCs w:val="21"/>
          <w:lang w:val="en-US" w:eastAsia="zh-CN"/>
        </w:rPr>
        <w:t>响应</w:t>
      </w:r>
      <w:r>
        <w:rPr>
          <w:rFonts w:hint="eastAsia" w:ascii="宋体" w:hAnsi="宋体" w:eastAsia="宋体"/>
          <w:b/>
          <w:color w:val="auto"/>
          <w:szCs w:val="21"/>
        </w:rPr>
        <w:t>人，</w:t>
      </w:r>
      <w:r>
        <w:rPr>
          <w:rFonts w:hint="eastAsia" w:ascii="宋体" w:hAnsi="宋体" w:eastAsia="宋体"/>
          <w:color w:val="auto"/>
          <w:szCs w:val="21"/>
        </w:rPr>
        <w:t>按照</w:t>
      </w:r>
      <w:r>
        <w:rPr>
          <w:rFonts w:hint="eastAsia" w:ascii="宋体" w:hAnsi="宋体" w:eastAsia="宋体"/>
          <w:color w:val="auto"/>
          <w:szCs w:val="21"/>
          <w:lang w:val="en-US" w:eastAsia="zh-CN"/>
        </w:rPr>
        <w:t>响应</w:t>
      </w:r>
      <w:r>
        <w:rPr>
          <w:rFonts w:hint="eastAsia" w:ascii="宋体" w:hAnsi="宋体" w:eastAsia="宋体"/>
          <w:color w:val="auto"/>
          <w:szCs w:val="21"/>
        </w:rPr>
        <w:t>文件规定的评审标准进行量化评审，</w:t>
      </w:r>
      <w:r>
        <w:rPr>
          <w:rFonts w:hint="eastAsia" w:ascii="宋体" w:hAnsi="宋体" w:eastAsia="宋体"/>
          <w:color w:val="auto"/>
          <w:szCs w:val="21"/>
          <w:lang w:val="en-US" w:eastAsia="zh-CN"/>
        </w:rPr>
        <w:t>经评审</w:t>
      </w:r>
      <w:r>
        <w:rPr>
          <w:rFonts w:hint="eastAsia" w:ascii="宋体" w:hAnsi="宋体" w:eastAsia="宋体"/>
          <w:color w:val="auto"/>
          <w:szCs w:val="21"/>
        </w:rPr>
        <w:t>排序靠前的推荐</w:t>
      </w:r>
      <w:r>
        <w:rPr>
          <w:rFonts w:hint="eastAsia" w:ascii="宋体" w:hAnsi="宋体" w:eastAsia="宋体"/>
          <w:color w:val="auto"/>
          <w:szCs w:val="21"/>
          <w:lang w:val="en-US" w:eastAsia="zh-CN"/>
        </w:rPr>
        <w:t>成交</w:t>
      </w:r>
      <w:r>
        <w:rPr>
          <w:rFonts w:hint="eastAsia" w:ascii="宋体" w:hAnsi="宋体" w:eastAsia="宋体"/>
          <w:color w:val="auto"/>
          <w:szCs w:val="21"/>
        </w:rPr>
        <w:t>候选人。</w:t>
      </w:r>
    </w:p>
    <w:p w14:paraId="4C17DB8E">
      <w:pPr>
        <w:pStyle w:val="4"/>
        <w:spacing w:before="0" w:after="0" w:line="360" w:lineRule="auto"/>
        <w:ind w:firstLine="422" w:firstLineChars="200"/>
        <w:contextualSpacing/>
        <w:rPr>
          <w:rFonts w:ascii="宋体" w:hAnsi="宋体" w:eastAsia="宋体"/>
          <w:color w:val="auto"/>
          <w:szCs w:val="21"/>
        </w:rPr>
      </w:pPr>
      <w:r>
        <w:rPr>
          <w:rFonts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成交</w:t>
      </w:r>
      <w:r>
        <w:rPr>
          <w:rFonts w:ascii="宋体" w:hAnsi="宋体" w:eastAsia="宋体" w:cs="宋体"/>
          <w:color w:val="auto"/>
          <w:kern w:val="0"/>
          <w:sz w:val="21"/>
          <w:szCs w:val="21"/>
        </w:rPr>
        <w:t>候选人的</w:t>
      </w:r>
      <w:r>
        <w:rPr>
          <w:rFonts w:hint="eastAsia" w:ascii="宋体" w:hAnsi="宋体" w:eastAsia="宋体"/>
          <w:color w:val="auto"/>
          <w:sz w:val="21"/>
          <w:szCs w:val="21"/>
        </w:rPr>
        <w:t>确定</w:t>
      </w:r>
    </w:p>
    <w:p w14:paraId="439EA1C3">
      <w:pPr>
        <w:spacing w:line="360" w:lineRule="auto"/>
        <w:ind w:firstLine="420" w:firstLineChars="200"/>
        <w:contextualSpacing/>
        <w:rPr>
          <w:rFonts w:ascii="宋体" w:hAnsi="宋体" w:eastAsia="宋体"/>
          <w:color w:val="auto"/>
          <w:szCs w:val="21"/>
        </w:rPr>
      </w:pPr>
      <w:r>
        <w:rPr>
          <w:rFonts w:hint="eastAsia" w:ascii="宋体" w:hAnsi="宋体" w:eastAsia="宋体"/>
          <w:color w:val="auto"/>
          <w:szCs w:val="21"/>
          <w:lang w:val="en-US" w:eastAsia="zh-CN"/>
        </w:rPr>
        <w:t>成交</w:t>
      </w:r>
      <w:r>
        <w:rPr>
          <w:rFonts w:hint="eastAsia" w:ascii="宋体" w:hAnsi="宋体" w:eastAsia="宋体"/>
          <w:color w:val="auto"/>
          <w:szCs w:val="21"/>
        </w:rPr>
        <w:t>候选人的数量根据</w:t>
      </w:r>
      <w:r>
        <w:rPr>
          <w:rFonts w:hint="eastAsia" w:ascii="宋体" w:hAnsi="宋体" w:eastAsia="宋体"/>
          <w:color w:val="auto"/>
          <w:szCs w:val="21"/>
          <w:lang w:val="en-US" w:eastAsia="zh-CN"/>
        </w:rPr>
        <w:t>响应</w:t>
      </w:r>
      <w:r>
        <w:rPr>
          <w:rFonts w:hint="eastAsia" w:ascii="宋体" w:hAnsi="宋体" w:eastAsia="宋体"/>
          <w:color w:val="auto"/>
          <w:szCs w:val="21"/>
        </w:rPr>
        <w:t>人须知前附表规定执行。</w:t>
      </w:r>
    </w:p>
    <w:p w14:paraId="011527EA">
      <w:pPr>
        <w:spacing w:line="360" w:lineRule="auto"/>
        <w:ind w:firstLine="420" w:firstLineChars="200"/>
        <w:contextualSpacing/>
        <w:rPr>
          <w:rFonts w:ascii="宋体" w:hAnsi="宋体" w:eastAsia="宋体"/>
          <w:color w:val="auto"/>
          <w:szCs w:val="21"/>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rPr>
        <w:t>拟确定1名</w:t>
      </w:r>
      <w:r>
        <w:rPr>
          <w:rFonts w:hint="eastAsia" w:ascii="宋体" w:hAnsi="宋体" w:eastAsia="宋体"/>
          <w:color w:val="auto"/>
          <w:szCs w:val="21"/>
          <w:lang w:val="en-US" w:eastAsia="zh-CN"/>
        </w:rPr>
        <w:t>成交</w:t>
      </w:r>
      <w:r>
        <w:rPr>
          <w:rFonts w:hint="eastAsia" w:ascii="宋体" w:hAnsi="宋体" w:eastAsia="宋体"/>
          <w:color w:val="auto"/>
          <w:szCs w:val="21"/>
        </w:rPr>
        <w:t>候选人，综合得分第一的，推荐为</w:t>
      </w:r>
      <w:r>
        <w:rPr>
          <w:rFonts w:hint="eastAsia" w:ascii="宋体" w:hAnsi="宋体" w:eastAsia="宋体"/>
          <w:color w:val="auto"/>
          <w:szCs w:val="21"/>
          <w:lang w:val="en-US" w:eastAsia="zh-CN"/>
        </w:rPr>
        <w:t>成交</w:t>
      </w:r>
      <w:r>
        <w:rPr>
          <w:rFonts w:hint="eastAsia" w:ascii="宋体" w:hAnsi="宋体" w:eastAsia="宋体"/>
          <w:color w:val="auto"/>
          <w:szCs w:val="21"/>
        </w:rPr>
        <w:t>候选人；得分相同的，按报价由低到高顺序排列；得分且报价相同的，按技术标得分顺序排列；如技术标得分仍然相同，则采用抽签的方法确定</w:t>
      </w:r>
      <w:r>
        <w:rPr>
          <w:rFonts w:hint="eastAsia" w:ascii="宋体" w:hAnsi="宋体" w:eastAsia="宋体"/>
          <w:color w:val="auto"/>
          <w:szCs w:val="21"/>
          <w:lang w:val="en-US" w:eastAsia="zh-CN"/>
        </w:rPr>
        <w:t>成交</w:t>
      </w:r>
      <w:r>
        <w:rPr>
          <w:rFonts w:hint="eastAsia" w:ascii="宋体" w:hAnsi="宋体" w:eastAsia="宋体"/>
          <w:color w:val="auto"/>
          <w:szCs w:val="21"/>
        </w:rPr>
        <w:t>候选人的排序。</w:t>
      </w:r>
    </w:p>
    <w:p w14:paraId="66F38999">
      <w:pPr>
        <w:spacing w:line="360" w:lineRule="auto"/>
        <w:ind w:firstLine="420" w:firstLineChars="200"/>
        <w:contextualSpacing/>
        <w:rPr>
          <w:rFonts w:ascii="宋体" w:hAnsi="宋体" w:eastAsia="宋体"/>
          <w:color w:val="auto"/>
          <w:szCs w:val="21"/>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rPr>
        <w:t>拟确定</w:t>
      </w:r>
      <w:r>
        <w:rPr>
          <w:rFonts w:hint="eastAsia" w:ascii="宋体" w:hAnsi="宋体" w:eastAsia="宋体"/>
          <w:color w:val="auto"/>
          <w:szCs w:val="21"/>
          <w:u w:val="single"/>
        </w:rPr>
        <w:t>N</w:t>
      </w:r>
      <w:r>
        <w:rPr>
          <w:rFonts w:hint="eastAsia" w:ascii="宋体" w:hAnsi="宋体" w:eastAsia="宋体"/>
          <w:color w:val="auto"/>
          <w:szCs w:val="21"/>
        </w:rPr>
        <w:t>名</w:t>
      </w:r>
      <w:r>
        <w:rPr>
          <w:rFonts w:hint="eastAsia" w:ascii="宋体" w:hAnsi="宋体" w:eastAsia="宋体"/>
          <w:color w:val="auto"/>
          <w:szCs w:val="21"/>
          <w:lang w:val="en-US" w:eastAsia="zh-CN"/>
        </w:rPr>
        <w:t>成交</w:t>
      </w:r>
      <w:r>
        <w:rPr>
          <w:rFonts w:hint="eastAsia" w:ascii="宋体" w:hAnsi="宋体" w:eastAsia="宋体"/>
          <w:color w:val="auto"/>
          <w:szCs w:val="21"/>
        </w:rPr>
        <w:t>候选人，综合得分排名第一至第</w:t>
      </w:r>
      <w:r>
        <w:rPr>
          <w:rFonts w:hint="eastAsia" w:ascii="宋体" w:hAnsi="宋体" w:eastAsia="宋体"/>
          <w:color w:val="auto"/>
          <w:szCs w:val="21"/>
          <w:u w:val="single"/>
        </w:rPr>
        <w:t>N</w:t>
      </w:r>
      <w:r>
        <w:rPr>
          <w:rFonts w:hint="eastAsia" w:ascii="宋体" w:hAnsi="宋体" w:eastAsia="宋体"/>
          <w:color w:val="auto"/>
          <w:szCs w:val="21"/>
        </w:rPr>
        <w:t>的，推荐为</w:t>
      </w:r>
      <w:r>
        <w:rPr>
          <w:rFonts w:hint="eastAsia" w:ascii="宋体" w:hAnsi="宋体" w:eastAsia="宋体"/>
          <w:color w:val="auto"/>
          <w:szCs w:val="21"/>
          <w:lang w:val="en-US" w:eastAsia="zh-CN"/>
        </w:rPr>
        <w:t>成交</w:t>
      </w:r>
      <w:r>
        <w:rPr>
          <w:rFonts w:hint="eastAsia" w:ascii="宋体" w:hAnsi="宋体" w:eastAsia="宋体"/>
          <w:color w:val="auto"/>
          <w:szCs w:val="21"/>
        </w:rPr>
        <w:t>候选人，各</w:t>
      </w:r>
      <w:r>
        <w:rPr>
          <w:rFonts w:hint="eastAsia" w:ascii="宋体" w:hAnsi="宋体" w:eastAsia="宋体"/>
          <w:color w:val="auto"/>
          <w:szCs w:val="21"/>
          <w:lang w:val="en-US" w:eastAsia="zh-CN"/>
        </w:rPr>
        <w:t>成交</w:t>
      </w:r>
      <w:r>
        <w:rPr>
          <w:rFonts w:hint="eastAsia" w:ascii="宋体" w:hAnsi="宋体" w:eastAsia="宋体"/>
          <w:color w:val="auto"/>
          <w:szCs w:val="21"/>
        </w:rPr>
        <w:t>候选人份额计算原则按</w:t>
      </w:r>
      <w:r>
        <w:rPr>
          <w:rFonts w:hint="eastAsia" w:ascii="宋体" w:hAnsi="宋体" w:eastAsia="宋体"/>
          <w:color w:val="auto"/>
          <w:szCs w:val="21"/>
          <w:lang w:val="en-US" w:eastAsia="zh-CN"/>
        </w:rPr>
        <w:t>响应</w:t>
      </w:r>
      <w:r>
        <w:rPr>
          <w:rFonts w:hint="eastAsia" w:ascii="宋体" w:hAnsi="宋体" w:eastAsia="宋体"/>
          <w:color w:val="auto"/>
          <w:szCs w:val="21"/>
        </w:rPr>
        <w:t>人须知前附表规定确定。</w:t>
      </w:r>
    </w:p>
    <w:p w14:paraId="6A739340">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14:paraId="12E4FB24">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14:paraId="387D6808">
      <w:pPr>
        <w:ind w:firstLine="422"/>
        <w:jc w:val="center"/>
      </w:pPr>
      <w:r>
        <w:rPr>
          <w:rFonts w:hint="eastAsia" w:ascii="宋体" w:hAnsi="宋体" w:eastAsia="宋体"/>
          <w:b/>
          <w:szCs w:val="21"/>
        </w:rPr>
        <w:t>综合评审表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234"/>
        <w:gridCol w:w="4914"/>
        <w:gridCol w:w="1222"/>
      </w:tblGrid>
      <w:tr w14:paraId="601F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Align w:val="center"/>
          </w:tcPr>
          <w:p w14:paraId="79AB00D9">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3" w:type="pct"/>
            <w:vAlign w:val="center"/>
          </w:tcPr>
          <w:p w14:paraId="38DACB55">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0" w:type="pct"/>
            <w:vAlign w:val="center"/>
          </w:tcPr>
          <w:p w14:paraId="69B70FBE">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6" w:type="pct"/>
            <w:vAlign w:val="center"/>
          </w:tcPr>
          <w:p w14:paraId="6806C4B1">
            <w:pPr>
              <w:widowControl/>
              <w:contextualSpacing/>
              <w:rPr>
                <w:rFonts w:ascii="宋体" w:hAnsi="宋体" w:eastAsia="宋体" w:cs="宋体"/>
                <w:b/>
                <w:bCs/>
                <w:kern w:val="0"/>
                <w:szCs w:val="21"/>
              </w:rPr>
            </w:pPr>
            <w:r>
              <w:rPr>
                <w:rFonts w:hint="eastAsia" w:ascii="宋体" w:hAnsi="宋体" w:eastAsia="宋体" w:cs="宋体"/>
                <w:b/>
                <w:bCs/>
                <w:kern w:val="0"/>
                <w:szCs w:val="21"/>
              </w:rPr>
              <w:t>分值（分）</w:t>
            </w:r>
          </w:p>
        </w:tc>
      </w:tr>
      <w:tr w14:paraId="7961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restart"/>
            <w:vAlign w:val="center"/>
          </w:tcPr>
          <w:p w14:paraId="5D5FB961">
            <w:pPr>
              <w:widowControl/>
              <w:contextualSpacing/>
              <w:rPr>
                <w:rFonts w:ascii="宋体" w:hAnsi="宋体" w:eastAsia="宋体" w:cs="宋体"/>
                <w:i w:val="0"/>
                <w:iCs w:val="0"/>
                <w:color w:val="auto"/>
                <w:kern w:val="0"/>
                <w:szCs w:val="21"/>
                <w:u w:val="none"/>
              </w:rPr>
            </w:pPr>
            <w:r>
              <w:rPr>
                <w:rFonts w:hint="eastAsia" w:ascii="宋体" w:hAnsi="宋体" w:eastAsia="宋体" w:cs="宋体"/>
                <w:i w:val="0"/>
                <w:iCs w:val="0"/>
                <w:color w:val="auto"/>
                <w:kern w:val="0"/>
                <w:szCs w:val="21"/>
                <w:u w:val="none"/>
                <w:lang w:val="en-US" w:eastAsia="zh-CN"/>
              </w:rPr>
              <w:t>商务</w:t>
            </w:r>
            <w:r>
              <w:rPr>
                <w:rFonts w:hint="eastAsia" w:ascii="宋体" w:hAnsi="宋体" w:eastAsia="宋体" w:cs="宋体"/>
                <w:i w:val="0"/>
                <w:iCs w:val="0"/>
                <w:color w:val="auto"/>
                <w:kern w:val="0"/>
                <w:szCs w:val="21"/>
                <w:u w:val="none"/>
              </w:rPr>
              <w:t>标（</w:t>
            </w:r>
            <w:r>
              <w:rPr>
                <w:rFonts w:hint="eastAsia" w:ascii="宋体" w:hAnsi="宋体" w:eastAsia="宋体"/>
                <w:i w:val="0"/>
                <w:iCs w:val="0"/>
                <w:color w:val="auto"/>
                <w:szCs w:val="21"/>
                <w:u w:val="none"/>
                <w:lang w:val="en-US" w:eastAsia="zh-CN"/>
              </w:rPr>
              <w:t>40</w:t>
            </w:r>
            <w:r>
              <w:rPr>
                <w:rFonts w:hint="eastAsia" w:ascii="宋体" w:hAnsi="宋体" w:eastAsia="宋体" w:cs="宋体"/>
                <w:i w:val="0"/>
                <w:iCs w:val="0"/>
                <w:color w:val="auto"/>
                <w:kern w:val="0"/>
                <w:szCs w:val="21"/>
                <w:u w:val="none"/>
              </w:rPr>
              <w:t>分）</w:t>
            </w:r>
          </w:p>
        </w:tc>
        <w:tc>
          <w:tcPr>
            <w:tcW w:w="723" w:type="pct"/>
            <w:vAlign w:val="center"/>
          </w:tcPr>
          <w:p w14:paraId="5F8188B5">
            <w:pPr>
              <w:widowControl/>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响应人</w:t>
            </w:r>
            <w:r>
              <w:rPr>
                <w:rFonts w:hint="eastAsia" w:ascii="宋体" w:hAnsi="宋体" w:eastAsia="宋体" w:cs="宋体"/>
                <w:i w:val="0"/>
                <w:iCs w:val="0"/>
                <w:color w:val="auto"/>
                <w:kern w:val="0"/>
                <w:szCs w:val="21"/>
                <w:u w:val="none"/>
                <w:lang w:val="en-US" w:eastAsia="zh-CN"/>
              </w:rPr>
              <w:br w:type="textWrapping"/>
            </w:r>
            <w:r>
              <w:rPr>
                <w:rFonts w:hint="eastAsia" w:ascii="宋体" w:hAnsi="宋体" w:eastAsia="宋体" w:cs="宋体"/>
                <w:i w:val="0"/>
                <w:iCs w:val="0"/>
                <w:color w:val="auto"/>
                <w:kern w:val="0"/>
                <w:szCs w:val="21"/>
                <w:u w:val="none"/>
              </w:rPr>
              <w:t>业绩</w:t>
            </w:r>
          </w:p>
        </w:tc>
        <w:tc>
          <w:tcPr>
            <w:tcW w:w="2880" w:type="pct"/>
            <w:vAlign w:val="center"/>
          </w:tcPr>
          <w:p w14:paraId="08E325D6">
            <w:pPr>
              <w:widowControl/>
              <w:contextualSpacing/>
              <w:rPr>
                <w:rFonts w:hint="eastAsia" w:ascii="宋体" w:hAnsi="宋体" w:eastAsia="宋体"/>
                <w:i w:val="0"/>
                <w:iCs w:val="0"/>
                <w:color w:val="auto"/>
                <w:szCs w:val="21"/>
                <w:u w:val="none"/>
              </w:rPr>
            </w:pPr>
            <w:r>
              <w:rPr>
                <w:rFonts w:hint="eastAsia" w:ascii="宋体" w:hAnsi="宋体" w:eastAsia="宋体" w:cs="宋体"/>
                <w:b/>
                <w:i w:val="0"/>
                <w:iCs w:val="0"/>
                <w:color w:val="auto"/>
                <w:kern w:val="0"/>
                <w:szCs w:val="21"/>
                <w:u w:val="none"/>
              </w:rPr>
              <w:t>评审标准：</w:t>
            </w:r>
            <w:r>
              <w:rPr>
                <w:rFonts w:hint="eastAsia" w:ascii="宋体" w:hAnsi="宋体" w:eastAsia="宋体" w:cs="宋体"/>
                <w:b/>
                <w:i w:val="0"/>
                <w:iCs w:val="0"/>
                <w:color w:val="auto"/>
                <w:kern w:val="0"/>
                <w:szCs w:val="21"/>
                <w:u w:val="none"/>
              </w:rPr>
              <w:br w:type="textWrapping"/>
            </w:r>
            <w:r>
              <w:rPr>
                <w:rFonts w:hint="eastAsia" w:ascii="宋体" w:hAnsi="宋体" w:eastAsia="宋体"/>
                <w:i w:val="0"/>
                <w:iCs w:val="0"/>
                <w:color w:val="auto"/>
                <w:szCs w:val="21"/>
                <w:u w:val="none"/>
              </w:rPr>
              <w:t>近三年（从招标公告发布之日起倒推，在建项目以合同签订时间为准，已完工项目以竣工验收时间为准）具备中标或竣工的类似工程，每提供一项类似工程得5分，本项合计得分不超过30分。</w:t>
            </w:r>
          </w:p>
          <w:p w14:paraId="48527217">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注：“类似工程”是指设计压力</w:t>
            </w:r>
            <w:r>
              <w:rPr>
                <w:rFonts w:hint="eastAsia" w:ascii="宋体" w:hAnsi="宋体" w:eastAsia="宋体"/>
                <w:i w:val="0"/>
                <w:iCs w:val="0"/>
                <w:color w:val="auto"/>
                <w:szCs w:val="21"/>
                <w:u w:val="none"/>
                <w:lang w:val="en-US" w:eastAsia="zh-CN"/>
              </w:rPr>
              <w:t>小</w:t>
            </w:r>
            <w:r>
              <w:rPr>
                <w:rFonts w:hint="eastAsia" w:ascii="宋体" w:hAnsi="宋体" w:eastAsia="宋体"/>
                <w:i w:val="0"/>
                <w:iCs w:val="0"/>
                <w:color w:val="auto"/>
                <w:szCs w:val="21"/>
                <w:u w:val="none"/>
              </w:rPr>
              <w:t>于或等于</w:t>
            </w:r>
            <w:r>
              <w:rPr>
                <w:rFonts w:hint="eastAsia" w:ascii="宋体" w:hAnsi="宋体" w:eastAsia="宋体"/>
                <w:i w:val="0"/>
                <w:iCs w:val="0"/>
                <w:color w:val="auto"/>
                <w:szCs w:val="21"/>
                <w:u w:val="none"/>
                <w:lang w:val="en-US" w:eastAsia="zh-CN"/>
              </w:rPr>
              <w:t>0.4</w:t>
            </w:r>
            <w:r>
              <w:rPr>
                <w:rFonts w:hint="eastAsia" w:ascii="宋体" w:hAnsi="宋体" w:eastAsia="宋体"/>
                <w:i w:val="0"/>
                <w:iCs w:val="0"/>
                <w:color w:val="auto"/>
                <w:szCs w:val="21"/>
                <w:u w:val="none"/>
              </w:rPr>
              <w:t>MP</w:t>
            </w:r>
            <w:r>
              <w:rPr>
                <w:rFonts w:hint="eastAsia" w:ascii="宋体" w:hAnsi="宋体" w:eastAsia="宋体"/>
                <w:i w:val="0"/>
                <w:iCs w:val="0"/>
                <w:color w:val="auto"/>
                <w:szCs w:val="21"/>
                <w:u w:val="none"/>
                <w:lang w:val="en-US" w:eastAsia="zh-CN"/>
              </w:rPr>
              <w:t>a</w:t>
            </w:r>
            <w:r>
              <w:rPr>
                <w:rFonts w:hint="eastAsia" w:ascii="宋体" w:hAnsi="宋体" w:eastAsia="宋体"/>
                <w:i w:val="0"/>
                <w:iCs w:val="0"/>
                <w:color w:val="auto"/>
                <w:szCs w:val="21"/>
                <w:u w:val="none"/>
              </w:rPr>
              <w:t>的燃气管道工程</w:t>
            </w:r>
            <w:r>
              <w:rPr>
                <w:rFonts w:hint="eastAsia" w:ascii="宋体" w:hAnsi="宋体" w:eastAsia="宋体"/>
                <w:i w:val="0"/>
                <w:iCs w:val="0"/>
                <w:color w:val="auto"/>
                <w:szCs w:val="21"/>
                <w:u w:val="none"/>
                <w:lang w:val="en-US" w:eastAsia="zh-CN"/>
              </w:rPr>
              <w:t>或燃气厂站工程</w:t>
            </w:r>
            <w:r>
              <w:rPr>
                <w:rFonts w:hint="eastAsia" w:ascii="宋体" w:hAnsi="宋体" w:eastAsia="宋体"/>
                <w:i w:val="0"/>
                <w:iCs w:val="0"/>
                <w:color w:val="auto"/>
                <w:szCs w:val="21"/>
                <w:u w:val="none"/>
              </w:rPr>
              <w:t>。</w:t>
            </w:r>
          </w:p>
          <w:p w14:paraId="5E05B836">
            <w:pPr>
              <w:widowControl/>
              <w:contextualSpacing/>
              <w:rPr>
                <w:rFonts w:hint="eastAsia" w:ascii="宋体" w:hAnsi="宋体" w:eastAsia="宋体"/>
                <w:b/>
                <w:bCs/>
                <w:i w:val="0"/>
                <w:iCs w:val="0"/>
                <w:color w:val="auto"/>
                <w:szCs w:val="21"/>
                <w:u w:val="none"/>
              </w:rPr>
            </w:pPr>
            <w:r>
              <w:rPr>
                <w:rFonts w:hint="eastAsia" w:ascii="宋体" w:hAnsi="宋体" w:eastAsia="宋体" w:cs="宋体"/>
                <w:b/>
                <w:i w:val="0"/>
                <w:iCs w:val="0"/>
                <w:color w:val="auto"/>
                <w:kern w:val="0"/>
                <w:szCs w:val="21"/>
                <w:u w:val="none"/>
              </w:rPr>
              <w:t>证明材料：</w:t>
            </w:r>
            <w:r>
              <w:rPr>
                <w:rFonts w:hint="eastAsia" w:ascii="宋体" w:hAnsi="宋体" w:eastAsia="宋体" w:cs="宋体"/>
                <w:b/>
                <w:i w:val="0"/>
                <w:iCs w:val="0"/>
                <w:color w:val="auto"/>
                <w:kern w:val="0"/>
                <w:szCs w:val="21"/>
                <w:u w:val="none"/>
              </w:rPr>
              <w:br w:type="textWrapping"/>
            </w:r>
            <w:r>
              <w:rPr>
                <w:rFonts w:hint="eastAsia" w:ascii="宋体" w:hAnsi="宋体" w:eastAsia="宋体"/>
                <w:b/>
                <w:bCs/>
                <w:i w:val="0"/>
                <w:iCs w:val="0"/>
                <w:color w:val="auto"/>
                <w:szCs w:val="21"/>
                <w:u w:val="none"/>
              </w:rPr>
              <w:t>提供施工合同或提供竣工验收报告相关页，提供施工合同的：需提供合同封面、合同内容页、合同签署页等关键页复印（扫描）件，合同内容需体现上述项目特征，若合同无法体现上述项目特征的，可提供其他证明材料复印（扫描）件，如提供图纸、加盖业主单位公章的相关证明等。</w:t>
            </w:r>
          </w:p>
          <w:p w14:paraId="0C8DC079">
            <w:pPr>
              <w:widowControl/>
              <w:contextualSpacing/>
              <w:rPr>
                <w:rFonts w:ascii="宋体" w:hAnsi="宋体" w:eastAsia="宋体" w:cs="宋体"/>
                <w:b/>
                <w:i w:val="0"/>
                <w:iCs w:val="0"/>
                <w:color w:val="auto"/>
                <w:kern w:val="0"/>
                <w:szCs w:val="21"/>
                <w:u w:val="none"/>
              </w:rPr>
            </w:pPr>
            <w:r>
              <w:rPr>
                <w:rFonts w:hint="eastAsia" w:ascii="宋体" w:hAnsi="宋体" w:eastAsia="宋体"/>
                <w:b/>
                <w:bCs/>
                <w:i w:val="0"/>
                <w:iCs w:val="0"/>
                <w:color w:val="auto"/>
                <w:szCs w:val="21"/>
                <w:u w:val="none"/>
              </w:rPr>
              <w:t>以上资料复印件加盖投标人公章，同时提供施工合同和竣工验收报告的以施工合同签署时间为准。施工合同和竣工验收报告中均无签署时间的，该业绩不予认定。</w:t>
            </w:r>
          </w:p>
        </w:tc>
        <w:tc>
          <w:tcPr>
            <w:tcW w:w="716" w:type="pct"/>
            <w:vAlign w:val="center"/>
          </w:tcPr>
          <w:p w14:paraId="79256611">
            <w:pPr>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30分</w:t>
            </w:r>
          </w:p>
        </w:tc>
      </w:tr>
      <w:tr w14:paraId="5D99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continue"/>
            <w:vAlign w:val="center"/>
          </w:tcPr>
          <w:p w14:paraId="636A990A">
            <w:pPr>
              <w:widowControl/>
              <w:contextualSpacing/>
              <w:rPr>
                <w:rFonts w:ascii="宋体" w:hAnsi="宋体" w:eastAsia="宋体" w:cs="宋体"/>
                <w:i w:val="0"/>
                <w:iCs w:val="0"/>
                <w:color w:val="auto"/>
                <w:kern w:val="0"/>
                <w:szCs w:val="21"/>
                <w:u w:val="none"/>
              </w:rPr>
            </w:pPr>
          </w:p>
        </w:tc>
        <w:tc>
          <w:tcPr>
            <w:tcW w:w="723" w:type="pct"/>
            <w:vAlign w:val="center"/>
          </w:tcPr>
          <w:p w14:paraId="6119391D">
            <w:pPr>
              <w:widowControl/>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团队情况</w:t>
            </w:r>
          </w:p>
        </w:tc>
        <w:tc>
          <w:tcPr>
            <w:tcW w:w="2880" w:type="pct"/>
            <w:vAlign w:val="center"/>
          </w:tcPr>
          <w:p w14:paraId="22C97509">
            <w:pPr>
              <w:widowControl/>
              <w:contextualSpacing/>
              <w:rPr>
                <w:rFonts w:hint="eastAsia" w:ascii="宋体" w:hAnsi="宋体" w:eastAsia="宋体" w:cs="宋体"/>
                <w:b/>
                <w:i w:val="0"/>
                <w:iCs w:val="0"/>
                <w:color w:val="auto"/>
                <w:kern w:val="0"/>
                <w:szCs w:val="21"/>
                <w:u w:val="none"/>
              </w:rPr>
            </w:pPr>
            <w:r>
              <w:rPr>
                <w:rFonts w:hint="eastAsia" w:ascii="宋体" w:hAnsi="宋体" w:eastAsia="宋体" w:cs="宋体"/>
                <w:b/>
                <w:i w:val="0"/>
                <w:iCs w:val="0"/>
                <w:color w:val="auto"/>
                <w:kern w:val="0"/>
                <w:szCs w:val="21"/>
                <w:u w:val="none"/>
              </w:rPr>
              <w:t>评审标准：</w:t>
            </w:r>
          </w:p>
          <w:p w14:paraId="05D8B1CA">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lang w:val="en-US" w:eastAsia="zh-CN"/>
              </w:rPr>
              <w:t>1、</w:t>
            </w:r>
            <w:r>
              <w:rPr>
                <w:rFonts w:hint="eastAsia" w:ascii="宋体" w:hAnsi="宋体" w:eastAsia="宋体"/>
                <w:i w:val="0"/>
                <w:iCs w:val="0"/>
                <w:color w:val="auto"/>
                <w:szCs w:val="21"/>
                <w:u w:val="none"/>
              </w:rPr>
              <w:t>具有人力资源和社会保障部门颁发工程师或一级注册建筑师或一级建造师，得6分，二级注册建筑师或二级建造师，得4分。满分6分</w:t>
            </w:r>
            <w:r>
              <w:rPr>
                <w:rFonts w:hint="eastAsia" w:ascii="宋体" w:hAnsi="宋体" w:eastAsia="宋体"/>
                <w:i w:val="0"/>
                <w:iCs w:val="0"/>
                <w:color w:val="auto"/>
                <w:szCs w:val="21"/>
                <w:u w:val="none"/>
                <w:lang w:eastAsia="zh-CN"/>
              </w:rPr>
              <w:t>。</w:t>
            </w:r>
            <w:r>
              <w:rPr>
                <w:rFonts w:hint="eastAsia" w:ascii="宋体" w:hAnsi="宋体" w:eastAsia="宋体"/>
                <w:i w:val="0"/>
                <w:iCs w:val="0"/>
                <w:color w:val="auto"/>
                <w:szCs w:val="21"/>
                <w:u w:val="none"/>
                <w:lang w:eastAsia="zh-CN"/>
              </w:rPr>
              <w:br w:type="textWrapping"/>
            </w:r>
            <w:r>
              <w:rPr>
                <w:rFonts w:hint="eastAsia" w:ascii="宋体" w:hAnsi="宋体" w:eastAsia="宋体"/>
                <w:i w:val="0"/>
                <w:iCs w:val="0"/>
                <w:color w:val="auto"/>
                <w:szCs w:val="21"/>
                <w:u w:val="none"/>
                <w:lang w:val="en-US" w:eastAsia="zh-CN"/>
              </w:rPr>
              <w:t>2、</w:t>
            </w:r>
            <w:r>
              <w:rPr>
                <w:rFonts w:hint="eastAsia" w:ascii="宋体" w:hAnsi="宋体" w:eastAsia="宋体"/>
                <w:i w:val="0"/>
                <w:iCs w:val="0"/>
                <w:color w:val="auto"/>
                <w:szCs w:val="21"/>
                <w:u w:val="none"/>
              </w:rPr>
              <w:t>团队成员中具有装配式高级工程师、电工（高压）、电工（低压）、电气实验作业、注册安全工程师等证书的，每提供1人得1分，每类专业证书只能得1分，最多得4分。</w:t>
            </w:r>
          </w:p>
          <w:p w14:paraId="0A95CB10">
            <w:pPr>
              <w:widowControl/>
              <w:contextualSpacing/>
              <w:rPr>
                <w:rFonts w:hint="eastAsia" w:ascii="宋体" w:hAnsi="宋体" w:eastAsia="宋体" w:cs="宋体"/>
                <w:b/>
                <w:i w:val="0"/>
                <w:iCs w:val="0"/>
                <w:color w:val="auto"/>
                <w:kern w:val="0"/>
                <w:szCs w:val="21"/>
                <w:u w:val="none"/>
              </w:rPr>
            </w:pPr>
            <w:r>
              <w:rPr>
                <w:rFonts w:hint="eastAsia" w:ascii="宋体" w:hAnsi="宋体" w:eastAsia="宋体" w:cs="宋体"/>
                <w:b/>
                <w:i w:val="0"/>
                <w:iCs w:val="0"/>
                <w:color w:val="auto"/>
                <w:kern w:val="0"/>
                <w:szCs w:val="21"/>
                <w:u w:val="none"/>
              </w:rPr>
              <w:t>证明材料：</w:t>
            </w:r>
            <w:r>
              <w:rPr>
                <w:rFonts w:hint="eastAsia" w:ascii="宋体" w:hAnsi="宋体" w:eastAsia="宋体" w:cs="宋体"/>
                <w:b/>
                <w:i w:val="0"/>
                <w:iCs w:val="0"/>
                <w:color w:val="auto"/>
                <w:kern w:val="0"/>
                <w:szCs w:val="21"/>
                <w:u w:val="none"/>
              </w:rPr>
              <w:br w:type="textWrapping"/>
            </w:r>
            <w:r>
              <w:rPr>
                <w:rFonts w:hint="eastAsia" w:ascii="宋体" w:hAnsi="宋体" w:eastAsia="宋体"/>
                <w:b/>
                <w:bCs/>
                <w:i w:val="0"/>
                <w:iCs w:val="0"/>
                <w:color w:val="auto"/>
                <w:szCs w:val="21"/>
                <w:u w:val="none"/>
              </w:rPr>
              <w:t>提供证书或证明材料复印件</w:t>
            </w:r>
            <w:r>
              <w:rPr>
                <w:rFonts w:hint="eastAsia" w:ascii="宋体" w:hAnsi="宋体" w:eastAsia="宋体"/>
                <w:b/>
                <w:bCs/>
                <w:i w:val="0"/>
                <w:iCs w:val="0"/>
                <w:color w:val="auto"/>
                <w:szCs w:val="21"/>
                <w:u w:val="none"/>
                <w:lang w:eastAsia="zh-CN"/>
              </w:rPr>
              <w:t>，</w:t>
            </w:r>
            <w:r>
              <w:rPr>
                <w:rFonts w:hint="eastAsia" w:ascii="宋体" w:hAnsi="宋体" w:eastAsia="宋体"/>
                <w:b/>
                <w:bCs/>
                <w:i w:val="0"/>
                <w:iCs w:val="0"/>
                <w:color w:val="auto"/>
                <w:szCs w:val="21"/>
                <w:u w:val="none"/>
                <w:lang w:val="en-US" w:eastAsia="zh-CN"/>
              </w:rPr>
              <w:t>同时</w:t>
            </w:r>
            <w:r>
              <w:rPr>
                <w:rFonts w:hint="eastAsia" w:ascii="宋体" w:hAnsi="宋体" w:eastAsia="宋体"/>
                <w:b/>
                <w:bCs/>
                <w:i w:val="0"/>
                <w:iCs w:val="0"/>
                <w:color w:val="auto"/>
                <w:szCs w:val="21"/>
                <w:u w:val="none"/>
              </w:rPr>
              <w:t>提供投标</w:t>
            </w:r>
            <w:r>
              <w:rPr>
                <w:rFonts w:hint="eastAsia" w:ascii="宋体" w:hAnsi="宋体" w:eastAsia="宋体"/>
                <w:b/>
                <w:bCs/>
                <w:i w:val="0"/>
                <w:iCs w:val="0"/>
                <w:color w:val="auto"/>
                <w:szCs w:val="21"/>
                <w:u w:val="none"/>
                <w:lang w:val="en-US" w:eastAsia="zh-CN"/>
              </w:rPr>
              <w:t>单位</w:t>
            </w:r>
            <w:r>
              <w:rPr>
                <w:rFonts w:hint="eastAsia" w:ascii="宋体" w:hAnsi="宋体" w:eastAsia="宋体"/>
                <w:b/>
                <w:bCs/>
                <w:i w:val="0"/>
                <w:iCs w:val="0"/>
                <w:color w:val="auto"/>
                <w:szCs w:val="21"/>
                <w:u w:val="none"/>
              </w:rPr>
              <w:t>为其缴交的截标日前6个月的社保证明材料扫描件，其他情况不得分。</w:t>
            </w:r>
            <w:r>
              <w:rPr>
                <w:rFonts w:hint="eastAsia" w:ascii="宋体" w:hAnsi="宋体" w:eastAsia="宋体"/>
                <w:b/>
                <w:bCs/>
                <w:i w:val="0"/>
                <w:iCs w:val="0"/>
                <w:color w:val="auto"/>
                <w:szCs w:val="21"/>
                <w:u w:val="none"/>
                <w:lang w:val="en-US" w:eastAsia="zh-CN"/>
              </w:rPr>
              <w:t>证书或证明均须加盖</w:t>
            </w:r>
            <w:r>
              <w:rPr>
                <w:rFonts w:hint="eastAsia" w:ascii="宋体" w:hAnsi="宋体" w:eastAsia="宋体"/>
                <w:b/>
                <w:bCs/>
                <w:i w:val="0"/>
                <w:iCs w:val="0"/>
                <w:color w:val="auto"/>
                <w:szCs w:val="21"/>
                <w:u w:val="none"/>
              </w:rPr>
              <w:t>单位公章，未提供不得分，同一人员不得重复记分。</w:t>
            </w:r>
          </w:p>
        </w:tc>
        <w:tc>
          <w:tcPr>
            <w:tcW w:w="716" w:type="pct"/>
            <w:vAlign w:val="center"/>
          </w:tcPr>
          <w:p w14:paraId="5BBC1730">
            <w:pPr>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10分</w:t>
            </w:r>
          </w:p>
        </w:tc>
      </w:tr>
      <w:tr w14:paraId="55CF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restart"/>
            <w:vAlign w:val="center"/>
          </w:tcPr>
          <w:p w14:paraId="14D61A87">
            <w:pPr>
              <w:widowControl/>
              <w:contextualSpacing/>
              <w:rPr>
                <w:rFonts w:ascii="宋体" w:hAnsi="宋体" w:eastAsia="宋体" w:cs="宋体"/>
                <w:i w:val="0"/>
                <w:iCs w:val="0"/>
                <w:color w:val="auto"/>
                <w:kern w:val="0"/>
                <w:szCs w:val="21"/>
                <w:u w:val="none"/>
              </w:rPr>
            </w:pPr>
            <w:r>
              <w:rPr>
                <w:rFonts w:hint="eastAsia" w:ascii="宋体" w:hAnsi="宋体" w:eastAsia="宋体" w:cs="宋体"/>
                <w:i w:val="0"/>
                <w:iCs w:val="0"/>
                <w:color w:val="auto"/>
                <w:kern w:val="0"/>
                <w:szCs w:val="21"/>
                <w:u w:val="none"/>
              </w:rPr>
              <w:t>技术标（</w:t>
            </w:r>
            <w:r>
              <w:rPr>
                <w:rFonts w:hint="eastAsia" w:ascii="宋体" w:hAnsi="宋体" w:eastAsia="宋体"/>
                <w:i w:val="0"/>
                <w:iCs w:val="0"/>
                <w:color w:val="auto"/>
                <w:szCs w:val="21"/>
                <w:u w:val="none"/>
                <w:lang w:val="en-US" w:eastAsia="zh-CN"/>
              </w:rPr>
              <w:t>30</w:t>
            </w:r>
            <w:r>
              <w:rPr>
                <w:rFonts w:hint="eastAsia" w:ascii="宋体" w:hAnsi="宋体" w:eastAsia="宋体" w:cs="宋体"/>
                <w:i w:val="0"/>
                <w:iCs w:val="0"/>
                <w:color w:val="auto"/>
                <w:kern w:val="0"/>
                <w:szCs w:val="21"/>
                <w:u w:val="none"/>
              </w:rPr>
              <w:t>分）</w:t>
            </w:r>
          </w:p>
        </w:tc>
        <w:tc>
          <w:tcPr>
            <w:tcW w:w="723" w:type="pct"/>
            <w:vAlign w:val="center"/>
          </w:tcPr>
          <w:p w14:paraId="4724EB3B">
            <w:pPr>
              <w:contextualSpacing/>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highlight w:val="none"/>
                <w:u w:val="none"/>
                <w:lang w:val="en-US" w:eastAsia="zh-CN"/>
              </w:rPr>
              <w:t>工程方案及主要措施</w:t>
            </w:r>
          </w:p>
        </w:tc>
        <w:tc>
          <w:tcPr>
            <w:tcW w:w="2880" w:type="pct"/>
            <w:vAlign w:val="center"/>
          </w:tcPr>
          <w:p w14:paraId="23CAF990">
            <w:pPr>
              <w:widowControl/>
              <w:contextualSpacing/>
              <w:rPr>
                <w:rFonts w:ascii="宋体" w:hAnsi="宋体" w:eastAsia="宋体" w:cs="宋体"/>
                <w:b/>
                <w:i w:val="0"/>
                <w:iCs w:val="0"/>
                <w:color w:val="auto"/>
                <w:kern w:val="0"/>
                <w:szCs w:val="21"/>
                <w:u w:val="none"/>
              </w:rPr>
            </w:pPr>
            <w:r>
              <w:rPr>
                <w:rFonts w:hint="eastAsia" w:ascii="宋体" w:hAnsi="宋体" w:eastAsia="宋体" w:cs="宋体"/>
                <w:b/>
                <w:i w:val="0"/>
                <w:iCs w:val="0"/>
                <w:color w:val="auto"/>
                <w:kern w:val="0"/>
                <w:szCs w:val="21"/>
                <w:u w:val="none"/>
              </w:rPr>
              <w:t>评审标准：</w:t>
            </w:r>
          </w:p>
          <w:p w14:paraId="689FCE14">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（1）优秀（方案编制条理清晰、可行，能够有效应对管道预制场地限制的问题，高效利用了有限的场地资源，并合理安排了人力和设备资源）酌情得8-10分；</w:t>
            </w:r>
          </w:p>
          <w:p w14:paraId="7B93A7EF">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（2）良（方案编制条理清晰、可行，可确保项目顺利进行，但资源利用不高效）酌情得5-7分；</w:t>
            </w:r>
          </w:p>
          <w:p w14:paraId="13B8257A">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（3）合格（方案编制可行，基本能够保证项目顺利进行）酌情得1-4分；</w:t>
            </w:r>
          </w:p>
          <w:p w14:paraId="2806779C">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（4）不合格或无措施得0分。</w:t>
            </w:r>
          </w:p>
          <w:p w14:paraId="74104F4E">
            <w:pPr>
              <w:widowControl/>
              <w:contextualSpacing/>
              <w:rPr>
                <w:rFonts w:ascii="宋体" w:hAnsi="宋体" w:eastAsia="宋体" w:cs="宋体"/>
                <w:i w:val="0"/>
                <w:iCs w:val="0"/>
                <w:color w:val="auto"/>
                <w:kern w:val="0"/>
                <w:szCs w:val="21"/>
                <w:u w:val="none"/>
              </w:rPr>
            </w:pPr>
            <w:r>
              <w:rPr>
                <w:rFonts w:hint="eastAsia" w:ascii="宋体" w:hAnsi="宋体" w:eastAsia="宋体" w:cs="宋体"/>
                <w:b/>
                <w:i w:val="0"/>
                <w:iCs w:val="0"/>
                <w:color w:val="auto"/>
                <w:kern w:val="0"/>
                <w:szCs w:val="21"/>
                <w:u w:val="none"/>
              </w:rPr>
              <w:t>证明材料：</w:t>
            </w:r>
          </w:p>
          <w:p w14:paraId="38E3858D">
            <w:pPr>
              <w:widowControl/>
              <w:contextualSpacing/>
              <w:rPr>
                <w:rFonts w:ascii="宋体" w:hAnsi="宋体" w:eastAsia="宋体" w:cs="宋体"/>
                <w:i w:val="0"/>
                <w:iCs w:val="0"/>
                <w:color w:val="auto"/>
                <w:kern w:val="0"/>
                <w:szCs w:val="21"/>
                <w:u w:val="none"/>
              </w:rPr>
            </w:pPr>
            <w:r>
              <w:rPr>
                <w:rFonts w:hint="eastAsia" w:ascii="宋体" w:hAnsi="宋体" w:eastAsia="宋体"/>
                <w:b/>
                <w:bCs/>
                <w:i w:val="0"/>
                <w:iCs w:val="0"/>
                <w:color w:val="auto"/>
                <w:szCs w:val="21"/>
                <w:u w:val="none"/>
              </w:rPr>
              <w:t>提供项目施工方案书加盖投标人公章，不满足或未提供不得分。</w:t>
            </w:r>
          </w:p>
        </w:tc>
        <w:tc>
          <w:tcPr>
            <w:tcW w:w="716" w:type="pct"/>
            <w:vAlign w:val="center"/>
          </w:tcPr>
          <w:p w14:paraId="642642E4">
            <w:pPr>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10分</w:t>
            </w:r>
          </w:p>
        </w:tc>
      </w:tr>
      <w:tr w14:paraId="2ED9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14:paraId="42250025">
            <w:pPr>
              <w:contextualSpacing/>
              <w:rPr>
                <w:rFonts w:ascii="宋体" w:hAnsi="宋体" w:eastAsia="宋体" w:cs="宋体"/>
                <w:i w:val="0"/>
                <w:iCs w:val="0"/>
                <w:color w:val="auto"/>
                <w:kern w:val="0"/>
                <w:szCs w:val="21"/>
                <w:u w:val="none"/>
              </w:rPr>
            </w:pPr>
          </w:p>
        </w:tc>
        <w:tc>
          <w:tcPr>
            <w:tcW w:w="723" w:type="pct"/>
            <w:vAlign w:val="center"/>
          </w:tcPr>
          <w:p w14:paraId="57BCA68C">
            <w:pPr>
              <w:widowControl/>
              <w:contextualSpacing/>
              <w:rPr>
                <w:rFonts w:ascii="宋体" w:hAnsi="宋体" w:eastAsia="宋体" w:cs="宋体"/>
                <w:i w:val="0"/>
                <w:iCs w:val="0"/>
                <w:color w:val="auto"/>
                <w:kern w:val="0"/>
                <w:szCs w:val="21"/>
                <w:u w:val="none"/>
              </w:rPr>
            </w:pPr>
            <w:r>
              <w:rPr>
                <w:rFonts w:hint="eastAsia" w:ascii="宋体" w:hAnsi="宋体" w:eastAsia="宋体" w:cs="宋体"/>
                <w:i w:val="0"/>
                <w:iCs w:val="0"/>
                <w:color w:val="auto"/>
                <w:kern w:val="0"/>
                <w:szCs w:val="21"/>
                <w:highlight w:val="none"/>
                <w:u w:val="none"/>
              </w:rPr>
              <w:t>质量保证措施</w:t>
            </w:r>
          </w:p>
        </w:tc>
        <w:tc>
          <w:tcPr>
            <w:tcW w:w="2880" w:type="pct"/>
            <w:vAlign w:val="center"/>
          </w:tcPr>
          <w:p w14:paraId="35673DB0">
            <w:pPr>
              <w:widowControl/>
              <w:contextualSpacing/>
              <w:rPr>
                <w:rFonts w:ascii="宋体" w:hAnsi="宋体" w:eastAsia="宋体" w:cs="宋体"/>
                <w:b/>
                <w:i w:val="0"/>
                <w:iCs w:val="0"/>
                <w:color w:val="auto"/>
                <w:kern w:val="0"/>
                <w:szCs w:val="21"/>
                <w:u w:val="none"/>
              </w:rPr>
            </w:pPr>
            <w:r>
              <w:rPr>
                <w:rFonts w:hint="eastAsia" w:ascii="宋体" w:hAnsi="宋体" w:eastAsia="宋体" w:cs="宋体"/>
                <w:b/>
                <w:i w:val="0"/>
                <w:iCs w:val="0"/>
                <w:color w:val="auto"/>
                <w:kern w:val="0"/>
                <w:szCs w:val="21"/>
                <w:u w:val="none"/>
              </w:rPr>
              <w:t>评审标准：</w:t>
            </w:r>
          </w:p>
          <w:p w14:paraId="7C14BA89">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（1）优秀（方案编制条理清晰、可行，可确保项目质量，并能对保证标书中提出的技术要求给予详细相应的、给予项目实施提出建设性意见）酌情得8-10分；</w:t>
            </w:r>
          </w:p>
          <w:p w14:paraId="540601FD">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（2）良（方案编制条理清晰、可行，可确保项目质量，但没有对保证项目实施提出建设性意见）酌情得5-7分；</w:t>
            </w:r>
          </w:p>
          <w:p w14:paraId="0D495C83">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（3）合格（方案编制可行，基本能够保证项目质量）酌情得1-4分；</w:t>
            </w:r>
          </w:p>
          <w:p w14:paraId="5CF7555D">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（4）不合格或无承诺得0分。</w:t>
            </w:r>
          </w:p>
          <w:p w14:paraId="3F2DA47C">
            <w:pPr>
              <w:widowControl/>
              <w:contextualSpacing/>
              <w:rPr>
                <w:rFonts w:hint="eastAsia" w:ascii="宋体" w:hAnsi="宋体" w:eastAsia="宋体" w:cs="宋体"/>
                <w:i w:val="0"/>
                <w:iCs w:val="0"/>
                <w:color w:val="auto"/>
                <w:kern w:val="0"/>
                <w:szCs w:val="21"/>
                <w:u w:val="none"/>
                <w:lang w:eastAsia="zh-CN"/>
              </w:rPr>
            </w:pPr>
            <w:r>
              <w:rPr>
                <w:rFonts w:hint="eastAsia" w:ascii="宋体" w:hAnsi="宋体" w:eastAsia="宋体" w:cs="宋体"/>
                <w:b/>
                <w:i w:val="0"/>
                <w:iCs w:val="0"/>
                <w:color w:val="auto"/>
                <w:kern w:val="0"/>
                <w:szCs w:val="21"/>
                <w:u w:val="none"/>
              </w:rPr>
              <w:t>证明材料：</w:t>
            </w:r>
            <w:r>
              <w:rPr>
                <w:rFonts w:hint="eastAsia" w:ascii="宋体" w:hAnsi="宋体" w:eastAsia="宋体" w:cs="宋体"/>
                <w:b/>
                <w:i w:val="0"/>
                <w:iCs w:val="0"/>
                <w:color w:val="auto"/>
                <w:kern w:val="0"/>
                <w:szCs w:val="21"/>
                <w:u w:val="none"/>
              </w:rPr>
              <w:br w:type="textWrapping"/>
            </w:r>
            <w:r>
              <w:rPr>
                <w:rFonts w:hint="eastAsia" w:ascii="宋体" w:hAnsi="宋体" w:eastAsia="宋体" w:cs="宋体"/>
                <w:b/>
                <w:bCs w:val="0"/>
                <w:i w:val="0"/>
                <w:iCs w:val="0"/>
                <w:color w:val="auto"/>
                <w:kern w:val="0"/>
                <w:szCs w:val="21"/>
                <w:u w:val="none"/>
                <w:lang w:val="en-US" w:eastAsia="zh-CN"/>
              </w:rPr>
              <w:t>提供</w:t>
            </w:r>
            <w:r>
              <w:rPr>
                <w:rFonts w:hint="eastAsia" w:ascii="宋体" w:hAnsi="宋体" w:eastAsia="宋体"/>
                <w:b/>
                <w:bCs w:val="0"/>
                <w:i w:val="0"/>
                <w:iCs w:val="0"/>
                <w:color w:val="auto"/>
                <w:szCs w:val="21"/>
                <w:u w:val="none"/>
              </w:rPr>
              <w:t>质量保证措施</w:t>
            </w:r>
            <w:r>
              <w:rPr>
                <w:rFonts w:hint="eastAsia" w:ascii="宋体" w:hAnsi="宋体" w:eastAsia="宋体"/>
                <w:b/>
                <w:bCs w:val="0"/>
                <w:i w:val="0"/>
                <w:iCs w:val="0"/>
                <w:color w:val="auto"/>
                <w:szCs w:val="21"/>
                <w:u w:val="none"/>
                <w:lang w:val="en-US" w:eastAsia="zh-CN"/>
              </w:rPr>
              <w:t>书</w:t>
            </w:r>
            <w:r>
              <w:rPr>
                <w:rFonts w:hint="eastAsia" w:ascii="宋体" w:hAnsi="宋体" w:eastAsia="宋体"/>
                <w:b/>
                <w:bCs w:val="0"/>
                <w:i w:val="0"/>
                <w:iCs w:val="0"/>
                <w:color w:val="auto"/>
                <w:szCs w:val="21"/>
                <w:u w:val="none"/>
              </w:rPr>
              <w:t>加盖投标人公章，不满足或未提供不得分</w:t>
            </w:r>
            <w:r>
              <w:rPr>
                <w:rFonts w:hint="eastAsia" w:ascii="宋体" w:hAnsi="宋体" w:eastAsia="宋体"/>
                <w:b/>
                <w:bCs w:val="0"/>
                <w:i w:val="0"/>
                <w:iCs w:val="0"/>
                <w:color w:val="auto"/>
                <w:szCs w:val="21"/>
                <w:u w:val="none"/>
                <w:lang w:eastAsia="zh-CN"/>
              </w:rPr>
              <w:t>。</w:t>
            </w:r>
          </w:p>
        </w:tc>
        <w:tc>
          <w:tcPr>
            <w:tcW w:w="716" w:type="pct"/>
            <w:vAlign w:val="center"/>
          </w:tcPr>
          <w:p w14:paraId="5031E82E">
            <w:pPr>
              <w:widowControl/>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10分</w:t>
            </w:r>
          </w:p>
        </w:tc>
      </w:tr>
      <w:tr w14:paraId="6450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14:paraId="74862C8B">
            <w:pPr>
              <w:contextualSpacing/>
              <w:rPr>
                <w:rFonts w:ascii="宋体" w:hAnsi="宋体" w:eastAsia="宋体" w:cs="宋体"/>
                <w:i w:val="0"/>
                <w:iCs w:val="0"/>
                <w:color w:val="auto"/>
                <w:kern w:val="0"/>
                <w:szCs w:val="21"/>
                <w:u w:val="none"/>
              </w:rPr>
            </w:pPr>
          </w:p>
        </w:tc>
        <w:tc>
          <w:tcPr>
            <w:tcW w:w="723" w:type="pct"/>
            <w:vAlign w:val="center"/>
          </w:tcPr>
          <w:p w14:paraId="03388CA0">
            <w:pPr>
              <w:widowControl/>
              <w:contextualSpacing/>
              <w:rPr>
                <w:rFonts w:hint="eastAsia" w:ascii="宋体" w:hAnsi="宋体" w:eastAsia="宋体" w:cs="宋体"/>
                <w:i w:val="0"/>
                <w:iCs w:val="0"/>
                <w:color w:val="auto"/>
                <w:kern w:val="0"/>
                <w:szCs w:val="21"/>
                <w:highlight w:val="none"/>
                <w:u w:val="none"/>
              </w:rPr>
            </w:pPr>
            <w:r>
              <w:rPr>
                <w:rFonts w:hint="eastAsia" w:ascii="宋体" w:hAnsi="宋体" w:eastAsia="宋体" w:cs="宋体"/>
                <w:i w:val="0"/>
                <w:iCs w:val="0"/>
                <w:color w:val="auto"/>
                <w:kern w:val="0"/>
                <w:szCs w:val="21"/>
                <w:highlight w:val="none"/>
                <w:u w:val="none"/>
              </w:rPr>
              <w:t>安全文明施工</w:t>
            </w:r>
          </w:p>
        </w:tc>
        <w:tc>
          <w:tcPr>
            <w:tcW w:w="2880" w:type="pct"/>
            <w:vAlign w:val="center"/>
          </w:tcPr>
          <w:p w14:paraId="048D136D">
            <w:pPr>
              <w:widowControl/>
              <w:contextualSpacing/>
              <w:rPr>
                <w:rFonts w:ascii="宋体" w:hAnsi="宋体" w:eastAsia="宋体" w:cs="宋体"/>
                <w:b/>
                <w:i w:val="0"/>
                <w:iCs w:val="0"/>
                <w:color w:val="auto"/>
                <w:kern w:val="0"/>
                <w:szCs w:val="21"/>
                <w:u w:val="none"/>
              </w:rPr>
            </w:pPr>
            <w:r>
              <w:rPr>
                <w:rFonts w:hint="eastAsia" w:ascii="宋体" w:hAnsi="宋体" w:eastAsia="宋体" w:cs="宋体"/>
                <w:b/>
                <w:i w:val="0"/>
                <w:iCs w:val="0"/>
                <w:color w:val="auto"/>
                <w:kern w:val="0"/>
                <w:szCs w:val="21"/>
                <w:u w:val="none"/>
              </w:rPr>
              <w:t>评审标准：</w:t>
            </w:r>
          </w:p>
          <w:p w14:paraId="79BCB64D">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（1）优（方案编制条理清晰、可行，可确保项目安全文明实施，对保证项目实施提出建设性意见）酌情得8-10分；</w:t>
            </w:r>
          </w:p>
          <w:p w14:paraId="0A09795C">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（2）良（方案编制条理清晰、可行，可确保项目安全文明实施，但没有对保证项目实施提出建设性意见）酌情得</w:t>
            </w:r>
            <w:r>
              <w:rPr>
                <w:rFonts w:hint="eastAsia" w:ascii="宋体" w:hAnsi="宋体" w:eastAsia="宋体"/>
                <w:i w:val="0"/>
                <w:iCs w:val="0"/>
                <w:color w:val="auto"/>
                <w:szCs w:val="21"/>
                <w:u w:val="none"/>
                <w:lang w:val="en-US" w:eastAsia="zh-CN"/>
              </w:rPr>
              <w:t>5</w:t>
            </w:r>
            <w:r>
              <w:rPr>
                <w:rFonts w:hint="eastAsia" w:ascii="宋体" w:hAnsi="宋体" w:eastAsia="宋体"/>
                <w:i w:val="0"/>
                <w:iCs w:val="0"/>
                <w:color w:val="auto"/>
                <w:szCs w:val="21"/>
                <w:u w:val="none"/>
              </w:rPr>
              <w:t>-</w:t>
            </w:r>
            <w:r>
              <w:rPr>
                <w:rFonts w:hint="eastAsia" w:ascii="宋体" w:hAnsi="宋体" w:eastAsia="宋体"/>
                <w:i w:val="0"/>
                <w:iCs w:val="0"/>
                <w:color w:val="auto"/>
                <w:szCs w:val="21"/>
                <w:u w:val="none"/>
                <w:lang w:val="en-US" w:eastAsia="zh-CN"/>
              </w:rPr>
              <w:t>7</w:t>
            </w:r>
            <w:r>
              <w:rPr>
                <w:rFonts w:hint="eastAsia" w:ascii="宋体" w:hAnsi="宋体" w:eastAsia="宋体"/>
                <w:i w:val="0"/>
                <w:iCs w:val="0"/>
                <w:color w:val="auto"/>
                <w:szCs w:val="21"/>
                <w:u w:val="none"/>
              </w:rPr>
              <w:t>分；</w:t>
            </w:r>
          </w:p>
          <w:p w14:paraId="5C84BB5A">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（3）合格（方案编制可行，能够保证项目安全实施，但没有对保证项目实施提出建设性意见）酌情得1-</w:t>
            </w:r>
            <w:r>
              <w:rPr>
                <w:rFonts w:hint="eastAsia" w:ascii="宋体" w:hAnsi="宋体" w:eastAsia="宋体"/>
                <w:i w:val="0"/>
                <w:iCs w:val="0"/>
                <w:color w:val="auto"/>
                <w:szCs w:val="21"/>
                <w:u w:val="none"/>
                <w:lang w:val="en-US" w:eastAsia="zh-CN"/>
              </w:rPr>
              <w:t>4</w:t>
            </w:r>
            <w:r>
              <w:rPr>
                <w:rFonts w:hint="eastAsia" w:ascii="宋体" w:hAnsi="宋体" w:eastAsia="宋体"/>
                <w:i w:val="0"/>
                <w:iCs w:val="0"/>
                <w:color w:val="auto"/>
                <w:szCs w:val="21"/>
                <w:u w:val="none"/>
              </w:rPr>
              <w:t>分；</w:t>
            </w:r>
          </w:p>
          <w:p w14:paraId="25EB5296">
            <w:pPr>
              <w:widowControl/>
              <w:contextualSpacing/>
              <w:rPr>
                <w:rFonts w:hint="eastAsia" w:ascii="宋体" w:hAnsi="宋体" w:eastAsia="宋体"/>
                <w:i w:val="0"/>
                <w:iCs w:val="0"/>
                <w:color w:val="auto"/>
                <w:szCs w:val="21"/>
                <w:u w:val="none"/>
              </w:rPr>
            </w:pPr>
            <w:r>
              <w:rPr>
                <w:rFonts w:hint="eastAsia" w:ascii="宋体" w:hAnsi="宋体" w:eastAsia="宋体"/>
                <w:i w:val="0"/>
                <w:iCs w:val="0"/>
                <w:color w:val="auto"/>
                <w:szCs w:val="21"/>
                <w:u w:val="none"/>
              </w:rPr>
              <w:t>（4）不合格（方案编制条理不清，漏项较多，不能保证项目安全文明实施）得0分。</w:t>
            </w:r>
          </w:p>
          <w:p w14:paraId="46282DD1">
            <w:pPr>
              <w:widowControl/>
              <w:contextualSpacing/>
              <w:rPr>
                <w:rFonts w:hint="eastAsia" w:ascii="宋体" w:hAnsi="宋体" w:eastAsia="宋体" w:cs="宋体"/>
                <w:b/>
                <w:i w:val="0"/>
                <w:iCs w:val="0"/>
                <w:color w:val="auto"/>
                <w:kern w:val="0"/>
                <w:szCs w:val="21"/>
                <w:u w:val="none"/>
              </w:rPr>
            </w:pPr>
            <w:r>
              <w:rPr>
                <w:rFonts w:hint="eastAsia" w:ascii="宋体" w:hAnsi="宋体" w:eastAsia="宋体" w:cs="宋体"/>
                <w:b/>
                <w:i w:val="0"/>
                <w:iCs w:val="0"/>
                <w:color w:val="auto"/>
                <w:kern w:val="0"/>
                <w:szCs w:val="21"/>
                <w:u w:val="none"/>
              </w:rPr>
              <w:t>证明材料：</w:t>
            </w:r>
            <w:r>
              <w:rPr>
                <w:rFonts w:hint="eastAsia" w:ascii="宋体" w:hAnsi="宋体" w:eastAsia="宋体" w:cs="宋体"/>
                <w:b/>
                <w:i w:val="0"/>
                <w:iCs w:val="0"/>
                <w:color w:val="auto"/>
                <w:kern w:val="0"/>
                <w:szCs w:val="21"/>
                <w:u w:val="none"/>
              </w:rPr>
              <w:br w:type="textWrapping"/>
            </w:r>
            <w:r>
              <w:rPr>
                <w:rFonts w:hint="eastAsia" w:ascii="宋体" w:hAnsi="宋体" w:eastAsia="宋体" w:cs="宋体"/>
                <w:b/>
                <w:bCs w:val="0"/>
                <w:i w:val="0"/>
                <w:iCs w:val="0"/>
                <w:color w:val="auto"/>
                <w:kern w:val="0"/>
                <w:szCs w:val="21"/>
                <w:u w:val="none"/>
                <w:lang w:val="en-US" w:eastAsia="zh-CN"/>
              </w:rPr>
              <w:t>提供</w:t>
            </w:r>
            <w:r>
              <w:rPr>
                <w:rFonts w:hint="eastAsia" w:ascii="宋体" w:hAnsi="宋体" w:eastAsia="宋体"/>
                <w:b/>
                <w:bCs w:val="0"/>
                <w:i w:val="0"/>
                <w:iCs w:val="0"/>
                <w:color w:val="auto"/>
                <w:szCs w:val="21"/>
                <w:u w:val="none"/>
              </w:rPr>
              <w:t>安全文明施工</w:t>
            </w:r>
            <w:r>
              <w:rPr>
                <w:rFonts w:hint="eastAsia" w:ascii="宋体" w:hAnsi="宋体" w:eastAsia="宋体"/>
                <w:b/>
                <w:bCs w:val="0"/>
                <w:i w:val="0"/>
                <w:iCs w:val="0"/>
                <w:color w:val="auto"/>
                <w:szCs w:val="21"/>
                <w:u w:val="none"/>
                <w:lang w:val="en-US" w:eastAsia="zh-CN"/>
              </w:rPr>
              <w:t>措施和方案</w:t>
            </w:r>
            <w:r>
              <w:rPr>
                <w:rFonts w:hint="eastAsia" w:ascii="宋体" w:hAnsi="宋体" w:eastAsia="宋体"/>
                <w:b/>
                <w:bCs w:val="0"/>
                <w:i w:val="0"/>
                <w:iCs w:val="0"/>
                <w:color w:val="auto"/>
                <w:szCs w:val="21"/>
                <w:u w:val="none"/>
              </w:rPr>
              <w:t>加盖投标人公章，不满足或未提供不得分</w:t>
            </w:r>
            <w:r>
              <w:rPr>
                <w:rFonts w:hint="eastAsia" w:ascii="宋体" w:hAnsi="宋体" w:eastAsia="宋体"/>
                <w:b/>
                <w:bCs w:val="0"/>
                <w:i w:val="0"/>
                <w:iCs w:val="0"/>
                <w:color w:val="auto"/>
                <w:szCs w:val="21"/>
                <w:u w:val="none"/>
                <w:lang w:eastAsia="zh-CN"/>
              </w:rPr>
              <w:t>。</w:t>
            </w:r>
          </w:p>
        </w:tc>
        <w:tc>
          <w:tcPr>
            <w:tcW w:w="716" w:type="pct"/>
            <w:vAlign w:val="center"/>
          </w:tcPr>
          <w:p w14:paraId="122E426B">
            <w:pPr>
              <w:widowControl/>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10分</w:t>
            </w:r>
          </w:p>
        </w:tc>
      </w:tr>
      <w:tr w14:paraId="5E0A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9" w:type="pct"/>
            <w:tcBorders>
              <w:top w:val="single" w:color="auto" w:sz="4" w:space="0"/>
              <w:left w:val="single" w:color="auto" w:sz="4" w:space="0"/>
              <w:bottom w:val="single" w:color="auto" w:sz="4" w:space="0"/>
              <w:right w:val="single" w:color="auto" w:sz="4" w:space="0"/>
            </w:tcBorders>
            <w:vAlign w:val="center"/>
          </w:tcPr>
          <w:p w14:paraId="42B3B694">
            <w:pPr>
              <w:widowControl/>
              <w:contextualSpacing/>
              <w:rPr>
                <w:rFonts w:ascii="宋体" w:hAnsi="宋体" w:eastAsia="宋体" w:cs="宋体"/>
                <w:i w:val="0"/>
                <w:iCs w:val="0"/>
                <w:color w:val="auto"/>
                <w:kern w:val="0"/>
                <w:szCs w:val="21"/>
                <w:u w:val="none"/>
              </w:rPr>
            </w:pPr>
            <w:r>
              <w:rPr>
                <w:rFonts w:hint="eastAsia" w:ascii="宋体" w:hAnsi="宋体" w:eastAsia="宋体" w:cs="宋体"/>
                <w:i w:val="0"/>
                <w:iCs w:val="0"/>
                <w:color w:val="auto"/>
                <w:kern w:val="0"/>
                <w:szCs w:val="21"/>
                <w:u w:val="none"/>
              </w:rPr>
              <w:t>价格标：投标报价</w:t>
            </w:r>
          </w:p>
          <w:p w14:paraId="431A97DD">
            <w:pPr>
              <w:widowControl/>
              <w:contextualSpacing/>
              <w:rPr>
                <w:rFonts w:ascii="宋体" w:hAnsi="宋体" w:eastAsia="宋体" w:cs="宋体"/>
                <w:i w:val="0"/>
                <w:iCs w:val="0"/>
                <w:color w:val="auto"/>
                <w:kern w:val="0"/>
                <w:szCs w:val="21"/>
                <w:u w:val="none"/>
              </w:rPr>
            </w:pPr>
            <w:r>
              <w:rPr>
                <w:rFonts w:hint="eastAsia" w:ascii="宋体" w:hAnsi="宋体" w:eastAsia="宋体" w:cs="宋体"/>
                <w:i w:val="0"/>
                <w:iCs w:val="0"/>
                <w:color w:val="auto"/>
                <w:kern w:val="0"/>
                <w:szCs w:val="21"/>
                <w:u w:val="none"/>
              </w:rPr>
              <w:t>（</w:t>
            </w:r>
            <w:r>
              <w:rPr>
                <w:rFonts w:hint="eastAsia" w:ascii="宋体" w:hAnsi="宋体" w:eastAsia="宋体"/>
                <w:i w:val="0"/>
                <w:iCs w:val="0"/>
                <w:color w:val="auto"/>
                <w:szCs w:val="21"/>
                <w:u w:val="none"/>
                <w:lang w:val="en-US" w:eastAsia="zh-CN"/>
              </w:rPr>
              <w:t>30</w:t>
            </w:r>
            <w:r>
              <w:rPr>
                <w:rFonts w:hint="eastAsia" w:ascii="宋体" w:hAnsi="宋体" w:eastAsia="宋体" w:cs="宋体"/>
                <w:i w:val="0"/>
                <w:iCs w:val="0"/>
                <w:color w:val="auto"/>
                <w:kern w:val="0"/>
                <w:szCs w:val="21"/>
                <w:u w:val="none"/>
              </w:rPr>
              <w:t>分）</w:t>
            </w:r>
          </w:p>
        </w:tc>
        <w:tc>
          <w:tcPr>
            <w:tcW w:w="723" w:type="pct"/>
            <w:tcBorders>
              <w:top w:val="single" w:color="auto" w:sz="4" w:space="0"/>
              <w:left w:val="single" w:color="auto" w:sz="4" w:space="0"/>
              <w:bottom w:val="single" w:color="auto" w:sz="4" w:space="0"/>
              <w:right w:val="single" w:color="auto" w:sz="4" w:space="0"/>
            </w:tcBorders>
            <w:vAlign w:val="center"/>
          </w:tcPr>
          <w:p w14:paraId="1480A2DD">
            <w:pPr>
              <w:widowControl/>
              <w:contextualSpacing/>
              <w:jc w:val="center"/>
              <w:rPr>
                <w:rFonts w:ascii="宋体" w:hAnsi="宋体" w:eastAsia="宋体" w:cs="宋体"/>
                <w:i w:val="0"/>
                <w:iCs w:val="0"/>
                <w:color w:val="auto"/>
                <w:kern w:val="0"/>
                <w:szCs w:val="21"/>
                <w:u w:val="none"/>
              </w:rPr>
            </w:pPr>
            <w:r>
              <w:rPr>
                <w:rFonts w:hint="eastAsia" w:ascii="宋体" w:hAnsi="宋体" w:eastAsia="宋体" w:cs="宋体"/>
                <w:i w:val="0"/>
                <w:iCs w:val="0"/>
                <w:color w:val="auto"/>
                <w:kern w:val="0"/>
                <w:szCs w:val="21"/>
                <w:u w:val="none"/>
              </w:rPr>
              <w:t>投标报价</w:t>
            </w:r>
          </w:p>
        </w:tc>
        <w:tc>
          <w:tcPr>
            <w:tcW w:w="2880" w:type="pct"/>
            <w:tcBorders>
              <w:top w:val="single" w:color="auto" w:sz="4" w:space="0"/>
              <w:left w:val="nil"/>
              <w:bottom w:val="single" w:color="auto" w:sz="4" w:space="0"/>
              <w:right w:val="single" w:color="auto" w:sz="8" w:space="0"/>
            </w:tcBorders>
            <w:vAlign w:val="center"/>
          </w:tcPr>
          <w:p w14:paraId="7D9DCF25">
            <w:pPr>
              <w:jc w:val="left"/>
              <w:rPr>
                <w:rFonts w:ascii="宋体" w:hAnsi="宋体" w:eastAsia="宋体" w:cs="宋体"/>
                <w:i w:val="0"/>
                <w:iCs w:val="0"/>
                <w:color w:val="auto"/>
                <w:kern w:val="0"/>
                <w:szCs w:val="21"/>
                <w:u w:val="none"/>
              </w:rPr>
            </w:pPr>
            <w:r>
              <w:rPr>
                <w:rFonts w:hint="eastAsia" w:ascii="宋体" w:hAnsi="宋体" w:eastAsia="宋体"/>
                <w:i w:val="0"/>
                <w:iCs w:val="0"/>
                <w:color w:val="auto"/>
                <w:kern w:val="0"/>
                <w:szCs w:val="21"/>
                <w:u w:val="none"/>
              </w:rPr>
              <w:t>将所有</w:t>
            </w:r>
            <w:r>
              <w:rPr>
                <w:rFonts w:hint="eastAsia" w:ascii="宋体" w:hAnsi="宋体" w:cs="宋体"/>
                <w:i w:val="0"/>
                <w:iCs w:val="0"/>
                <w:color w:val="auto"/>
                <w:kern w:val="0"/>
                <w:szCs w:val="21"/>
                <w:u w:val="none"/>
              </w:rPr>
              <w:t>通过符合性评审的</w:t>
            </w:r>
            <w:r>
              <w:rPr>
                <w:rFonts w:hint="eastAsia" w:ascii="宋体" w:hAnsi="宋体" w:eastAsia="宋体"/>
                <w:i w:val="0"/>
                <w:iCs w:val="0"/>
                <w:color w:val="auto"/>
                <w:kern w:val="0"/>
                <w:szCs w:val="21"/>
                <w:u w:val="none"/>
                <w:lang w:val="en-US" w:eastAsia="zh-CN"/>
              </w:rPr>
              <w:t>响应人</w:t>
            </w:r>
            <w:r>
              <w:rPr>
                <w:rFonts w:hint="eastAsia" w:ascii="宋体" w:hAnsi="宋体" w:eastAsia="宋体"/>
                <w:i w:val="0"/>
                <w:iCs w:val="0"/>
                <w:color w:val="auto"/>
                <w:kern w:val="0"/>
                <w:szCs w:val="21"/>
                <w:u w:val="none"/>
              </w:rPr>
              <w:t>的投标总报价的平均值作为基准价，该基准价对应的分值为</w:t>
            </w:r>
            <w:r>
              <w:rPr>
                <w:rFonts w:hint="eastAsia" w:ascii="宋体" w:hAnsi="宋体" w:eastAsia="宋体"/>
                <w:i w:val="0"/>
                <w:iCs w:val="0"/>
                <w:color w:val="auto"/>
                <w:szCs w:val="21"/>
                <w:u w:val="none"/>
                <w:lang w:val="en-US" w:eastAsia="zh-CN"/>
              </w:rPr>
              <w:t>30</w:t>
            </w:r>
            <w:r>
              <w:rPr>
                <w:rFonts w:hint="eastAsia" w:ascii="宋体" w:hAnsi="宋体" w:eastAsia="宋体"/>
                <w:i w:val="0"/>
                <w:iCs w:val="0"/>
                <w:color w:val="auto"/>
                <w:kern w:val="0"/>
                <w:szCs w:val="21"/>
                <w:u w:val="none"/>
              </w:rPr>
              <w:t>分。将投标人的投标总报价与基准价进行比较，每高出</w:t>
            </w:r>
            <w:r>
              <w:rPr>
                <w:rFonts w:hint="eastAsia" w:ascii="宋体" w:hAnsi="宋体" w:eastAsia="宋体"/>
                <w:i w:val="0"/>
                <w:iCs w:val="0"/>
                <w:color w:val="auto"/>
                <w:kern w:val="0"/>
                <w:szCs w:val="21"/>
                <w:u w:val="none"/>
                <w:lang w:val="en-US" w:eastAsia="zh-CN"/>
              </w:rPr>
              <w:t>基准价</w:t>
            </w:r>
            <w:r>
              <w:rPr>
                <w:rFonts w:hint="eastAsia" w:ascii="宋体" w:hAnsi="宋体" w:eastAsia="宋体"/>
                <w:i w:val="0"/>
                <w:iCs w:val="0"/>
                <w:color w:val="auto"/>
                <w:kern w:val="0"/>
                <w:szCs w:val="21"/>
                <w:u w:val="none"/>
              </w:rPr>
              <w:t>1%则扣</w:t>
            </w:r>
            <w:r>
              <w:rPr>
                <w:rFonts w:hint="eastAsia" w:ascii="宋体" w:hAnsi="宋体" w:eastAsia="宋体"/>
                <w:i w:val="0"/>
                <w:iCs w:val="0"/>
                <w:color w:val="auto"/>
                <w:szCs w:val="21"/>
                <w:u w:val="none"/>
                <w:lang w:val="en-US" w:eastAsia="zh-CN"/>
              </w:rPr>
              <w:t>0.5</w:t>
            </w:r>
            <w:r>
              <w:rPr>
                <w:rFonts w:hint="eastAsia" w:ascii="宋体" w:hAnsi="宋体" w:eastAsia="宋体"/>
                <w:i w:val="0"/>
                <w:iCs w:val="0"/>
                <w:color w:val="auto"/>
                <w:kern w:val="0"/>
                <w:szCs w:val="21"/>
                <w:u w:val="none"/>
              </w:rPr>
              <w:t>分，每低出</w:t>
            </w:r>
            <w:r>
              <w:rPr>
                <w:rFonts w:hint="eastAsia" w:ascii="宋体" w:hAnsi="宋体" w:eastAsia="宋体"/>
                <w:i w:val="0"/>
                <w:iCs w:val="0"/>
                <w:color w:val="auto"/>
                <w:kern w:val="0"/>
                <w:szCs w:val="21"/>
                <w:u w:val="none"/>
                <w:lang w:val="en-US" w:eastAsia="zh-CN"/>
              </w:rPr>
              <w:t>基准价</w:t>
            </w:r>
            <w:r>
              <w:rPr>
                <w:rFonts w:hint="eastAsia" w:ascii="宋体" w:hAnsi="宋体" w:eastAsia="宋体"/>
                <w:i w:val="0"/>
                <w:iCs w:val="0"/>
                <w:color w:val="auto"/>
                <w:kern w:val="0"/>
                <w:szCs w:val="21"/>
                <w:u w:val="none"/>
              </w:rPr>
              <w:t>1%则扣</w:t>
            </w:r>
            <w:r>
              <w:rPr>
                <w:rFonts w:hint="eastAsia" w:ascii="宋体" w:hAnsi="宋体" w:eastAsia="宋体"/>
                <w:i w:val="0"/>
                <w:iCs w:val="0"/>
                <w:color w:val="auto"/>
                <w:szCs w:val="21"/>
                <w:u w:val="none"/>
                <w:lang w:val="en-US" w:eastAsia="zh-CN"/>
              </w:rPr>
              <w:t>0.3</w:t>
            </w:r>
            <w:r>
              <w:rPr>
                <w:rFonts w:hint="eastAsia" w:ascii="宋体" w:hAnsi="宋体" w:eastAsia="宋体"/>
                <w:i w:val="0"/>
                <w:iCs w:val="0"/>
                <w:color w:val="auto"/>
                <w:kern w:val="0"/>
                <w:szCs w:val="21"/>
                <w:u w:val="none"/>
              </w:rPr>
              <w:t>分，直至得0分（不足1%的部分不计）。</w:t>
            </w:r>
          </w:p>
        </w:tc>
        <w:tc>
          <w:tcPr>
            <w:tcW w:w="716" w:type="pct"/>
            <w:tcBorders>
              <w:top w:val="single" w:color="auto" w:sz="4" w:space="0"/>
              <w:left w:val="nil"/>
              <w:bottom w:val="single" w:color="auto" w:sz="4" w:space="0"/>
              <w:right w:val="single" w:color="auto" w:sz="8" w:space="0"/>
            </w:tcBorders>
            <w:vAlign w:val="center"/>
          </w:tcPr>
          <w:p w14:paraId="03FC8E15">
            <w:pPr>
              <w:contextualSpacing/>
              <w:jc w:val="center"/>
              <w:rPr>
                <w:rFonts w:hint="default" w:ascii="宋体" w:hAnsi="宋体" w:eastAsia="宋体" w:cs="宋体"/>
                <w:i w:val="0"/>
                <w:iCs w:val="0"/>
                <w:color w:val="auto"/>
                <w:kern w:val="0"/>
                <w:szCs w:val="21"/>
                <w:u w:val="none"/>
                <w:lang w:val="en-US" w:eastAsia="zh-CN"/>
              </w:rPr>
            </w:pPr>
            <w:r>
              <w:rPr>
                <w:rFonts w:hint="eastAsia" w:ascii="宋体" w:hAnsi="宋体" w:eastAsia="宋体" w:cs="宋体"/>
                <w:i w:val="0"/>
                <w:iCs w:val="0"/>
                <w:color w:val="auto"/>
                <w:kern w:val="0"/>
                <w:szCs w:val="21"/>
                <w:u w:val="none"/>
                <w:lang w:val="en-US" w:eastAsia="zh-CN"/>
              </w:rPr>
              <w:t>30分</w:t>
            </w:r>
          </w:p>
        </w:tc>
      </w:tr>
    </w:tbl>
    <w:p w14:paraId="60A3A156">
      <w:pPr>
        <w:pStyle w:val="2"/>
        <w:rPr>
          <w:rFonts w:hint="default"/>
          <w:lang w:val="en-US" w:eastAsia="zh-CN"/>
        </w:rPr>
      </w:pPr>
    </w:p>
    <w:p w14:paraId="6E85BF08">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14:paraId="22627CC3">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14:paraId="009903D9">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14:paraId="78F3F3E6">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14:paraId="01ED4B9B">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14:paraId="560FEED2">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14:paraId="728A1A50">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041B9F04">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14:paraId="5C22A5E1">
      <w:pPr>
        <w:pStyle w:val="4"/>
        <w:spacing w:before="0" w:after="0" w:line="360" w:lineRule="auto"/>
        <w:contextualSpacing/>
        <w:jc w:val="center"/>
        <w:rPr>
          <w:rFonts w:hint="default" w:ascii="宋体" w:hAnsi="宋体" w:eastAsia="宋体" w:cstheme="majorBidi"/>
          <w:b/>
          <w:bCs/>
          <w:kern w:val="2"/>
          <w:sz w:val="21"/>
          <w:szCs w:val="21"/>
          <w:lang w:val="en-US" w:eastAsia="zh-CN" w:bidi="ar-SA"/>
        </w:rPr>
      </w:pPr>
    </w:p>
    <w:p w14:paraId="36A061BD">
      <w:pPr>
        <w:rPr>
          <w:rFonts w:hint="default" w:ascii="宋体" w:hAnsi="宋体" w:eastAsia="宋体" w:cstheme="majorBidi"/>
          <w:b/>
          <w:bCs/>
          <w:kern w:val="2"/>
          <w:sz w:val="21"/>
          <w:szCs w:val="21"/>
          <w:lang w:val="en-US" w:eastAsia="zh-CN" w:bidi="ar-SA"/>
        </w:rPr>
      </w:pPr>
      <w:r>
        <w:rPr>
          <w:rFonts w:hint="default" w:ascii="宋体" w:hAnsi="宋体" w:eastAsia="宋体" w:cstheme="majorBidi"/>
          <w:b/>
          <w:bCs/>
          <w:kern w:val="2"/>
          <w:sz w:val="21"/>
          <w:szCs w:val="21"/>
          <w:lang w:val="en-US" w:eastAsia="zh-CN" w:bidi="ar-SA"/>
        </w:rPr>
        <w:br w:type="page"/>
      </w:r>
    </w:p>
    <w:p w14:paraId="5F0166BC">
      <w:pPr>
        <w:pStyle w:val="4"/>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14:paraId="4F101160">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14:paraId="0F8B1C12">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14:paraId="6F26927B">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14:paraId="37C36BD3">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14:paraId="55D2F678">
      <w:pPr>
        <w:rPr>
          <w:rFonts w:hint="default"/>
          <w:lang w:val="en-US" w:eastAsia="zh-CN"/>
        </w:rPr>
      </w:pPr>
    </w:p>
    <w:p w14:paraId="24F03CBC">
      <w:pPr>
        <w:widowControl/>
        <w:jc w:val="left"/>
        <w:rPr>
          <w:rFonts w:ascii="宋体" w:hAnsi="宋体" w:eastAsia="宋体" w:cs="仿宋_GB2312"/>
          <w:szCs w:val="21"/>
        </w:rPr>
      </w:pPr>
    </w:p>
    <w:p w14:paraId="69C7CA16">
      <w:pPr>
        <w:widowControl/>
        <w:jc w:val="left"/>
        <w:rPr>
          <w:rFonts w:ascii="宋体" w:hAnsi="宋体" w:eastAsia="宋体" w:cs="仿宋_GB2312"/>
          <w:szCs w:val="21"/>
        </w:rPr>
      </w:pPr>
    </w:p>
    <w:p w14:paraId="02C04553">
      <w:pPr>
        <w:widowControl/>
        <w:jc w:val="left"/>
        <w:rPr>
          <w:rFonts w:ascii="宋体" w:hAnsi="宋体" w:eastAsia="宋体" w:cs="仿宋_GB2312"/>
          <w:szCs w:val="21"/>
        </w:rPr>
      </w:pPr>
    </w:p>
    <w:p w14:paraId="4EE7FA02">
      <w:pPr>
        <w:widowControl/>
        <w:jc w:val="left"/>
        <w:rPr>
          <w:rFonts w:ascii="宋体" w:hAnsi="宋体" w:eastAsia="宋体" w:cs="仿宋_GB2312"/>
          <w:szCs w:val="21"/>
        </w:rPr>
      </w:pPr>
    </w:p>
    <w:p w14:paraId="65438C31">
      <w:pPr>
        <w:widowControl/>
        <w:jc w:val="left"/>
        <w:rPr>
          <w:rFonts w:ascii="宋体" w:hAnsi="宋体" w:eastAsia="宋体" w:cs="仿宋_GB2312"/>
          <w:szCs w:val="21"/>
        </w:rPr>
      </w:pPr>
    </w:p>
    <w:p w14:paraId="6FED8E9A">
      <w:pPr>
        <w:widowControl/>
        <w:jc w:val="left"/>
        <w:rPr>
          <w:rFonts w:ascii="宋体" w:hAnsi="宋体" w:eastAsia="宋体" w:cs="仿宋_GB2312"/>
          <w:szCs w:val="21"/>
        </w:rPr>
      </w:pPr>
    </w:p>
    <w:p w14:paraId="4108D949">
      <w:pPr>
        <w:widowControl/>
        <w:jc w:val="left"/>
        <w:rPr>
          <w:rFonts w:ascii="宋体" w:hAnsi="宋体" w:eastAsia="宋体" w:cs="仿宋_GB2312"/>
          <w:szCs w:val="21"/>
        </w:rPr>
      </w:pPr>
    </w:p>
    <w:p w14:paraId="47FE048B">
      <w:pPr>
        <w:widowControl/>
        <w:jc w:val="left"/>
        <w:rPr>
          <w:rFonts w:ascii="宋体" w:hAnsi="宋体" w:eastAsia="宋体" w:cs="仿宋_GB2312"/>
          <w:szCs w:val="21"/>
        </w:rPr>
      </w:pPr>
    </w:p>
    <w:p w14:paraId="69D75704">
      <w:pPr>
        <w:widowControl/>
        <w:jc w:val="left"/>
        <w:rPr>
          <w:rFonts w:ascii="宋体" w:hAnsi="宋体" w:eastAsia="宋体" w:cs="仿宋_GB2312"/>
          <w:szCs w:val="21"/>
        </w:rPr>
      </w:pPr>
    </w:p>
    <w:p w14:paraId="42CEFD4F">
      <w:pPr>
        <w:widowControl/>
        <w:jc w:val="left"/>
        <w:rPr>
          <w:rFonts w:ascii="宋体" w:hAnsi="宋体" w:eastAsia="宋体" w:cs="仿宋_GB2312"/>
          <w:szCs w:val="21"/>
        </w:rPr>
      </w:pPr>
    </w:p>
    <w:p w14:paraId="604714CD">
      <w:pPr>
        <w:widowControl/>
        <w:jc w:val="left"/>
        <w:rPr>
          <w:rFonts w:ascii="宋体" w:hAnsi="宋体" w:eastAsia="宋体" w:cs="仿宋_GB2312"/>
          <w:szCs w:val="21"/>
        </w:rPr>
      </w:pPr>
    </w:p>
    <w:p w14:paraId="0360D10F">
      <w:pPr>
        <w:widowControl/>
        <w:jc w:val="left"/>
        <w:rPr>
          <w:rFonts w:ascii="宋体" w:hAnsi="宋体" w:eastAsia="宋体" w:cs="仿宋_GB2312"/>
          <w:szCs w:val="21"/>
        </w:rPr>
      </w:pPr>
    </w:p>
    <w:p w14:paraId="2F1DF283">
      <w:pPr>
        <w:widowControl/>
        <w:jc w:val="left"/>
        <w:rPr>
          <w:rFonts w:ascii="宋体" w:hAnsi="宋体" w:eastAsia="宋体" w:cs="仿宋_GB2312"/>
          <w:szCs w:val="21"/>
        </w:rPr>
      </w:pPr>
    </w:p>
    <w:p w14:paraId="51BCCFC1">
      <w:pPr>
        <w:widowControl/>
        <w:jc w:val="left"/>
        <w:rPr>
          <w:rFonts w:ascii="宋体" w:hAnsi="宋体" w:eastAsia="宋体" w:cs="仿宋_GB2312"/>
          <w:szCs w:val="21"/>
        </w:rPr>
      </w:pPr>
    </w:p>
    <w:p w14:paraId="6D20B6A0">
      <w:pPr>
        <w:widowControl/>
        <w:jc w:val="left"/>
        <w:rPr>
          <w:rFonts w:ascii="宋体" w:hAnsi="宋体" w:eastAsia="宋体" w:cs="仿宋_GB2312"/>
          <w:szCs w:val="21"/>
        </w:rPr>
      </w:pPr>
    </w:p>
    <w:p w14:paraId="1585706A">
      <w:pPr>
        <w:widowControl/>
        <w:jc w:val="left"/>
        <w:rPr>
          <w:rFonts w:ascii="宋体" w:hAnsi="宋体" w:eastAsia="宋体" w:cs="仿宋_GB2312"/>
          <w:szCs w:val="21"/>
        </w:rPr>
      </w:pPr>
    </w:p>
    <w:p w14:paraId="1D096373">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0A57874A">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14:paraId="32E3B899">
      <w:pPr>
        <w:tabs>
          <w:tab w:val="left" w:pos="1050"/>
          <w:tab w:val="left" w:pos="1260"/>
          <w:tab w:val="left" w:pos="1680"/>
          <w:tab w:val="left" w:pos="4095"/>
          <w:tab w:val="left" w:pos="5355"/>
        </w:tabs>
        <w:spacing w:line="360" w:lineRule="auto"/>
        <w:jc w:val="left"/>
        <w:rPr>
          <w:rFonts w:hint="eastAsia" w:ascii="宋体" w:hAnsi="宋体" w:eastAsia="宋体" w:cs="宋体"/>
          <w:sz w:val="21"/>
          <w:szCs w:val="21"/>
          <w:lang w:eastAsia="zh-CN"/>
        </w:rPr>
      </w:pPr>
      <w:r>
        <w:rPr>
          <w:rFonts w:hint="eastAsia" w:ascii="宋体" w:hAnsi="宋体" w:eastAsia="宋体" w:cs="宋体"/>
          <w:b/>
          <w:sz w:val="21"/>
          <w:szCs w:val="21"/>
        </w:rPr>
        <w:t>甲方：</w:t>
      </w:r>
      <w:r>
        <w:rPr>
          <w:rFonts w:hint="eastAsia" w:ascii="宋体" w:hAnsi="宋体" w:eastAsia="宋体" w:cs="宋体"/>
          <w:sz w:val="21"/>
          <w:szCs w:val="21"/>
          <w:lang w:eastAsia="zh-CN"/>
        </w:rPr>
        <w:t>深圳市深燃清洁能源有限公司</w:t>
      </w:r>
    </w:p>
    <w:p w14:paraId="3D3B8887">
      <w:pPr>
        <w:tabs>
          <w:tab w:val="left" w:pos="1050"/>
          <w:tab w:val="left" w:pos="1260"/>
          <w:tab w:val="left" w:pos="1680"/>
          <w:tab w:val="left" w:pos="4095"/>
          <w:tab w:val="left" w:pos="5355"/>
        </w:tabs>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乙方</w:t>
      </w:r>
      <w:r>
        <w:rPr>
          <w:rFonts w:hint="eastAsia" w:ascii="宋体" w:hAnsi="宋体" w:eastAsia="宋体" w:cs="宋体"/>
          <w:sz w:val="21"/>
          <w:szCs w:val="21"/>
        </w:rPr>
        <w:t>：</w:t>
      </w:r>
    </w:p>
    <w:p w14:paraId="5727055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根据《中华人民共和国民法典》、《中华人民共和国建筑法》等法律法规、规范的规定，结合本工程的具体情况，甲、乙双方在平等互利的基础上，就</w:t>
      </w:r>
      <w:r>
        <w:rPr>
          <w:rFonts w:hint="eastAsia" w:ascii="宋体" w:hAnsi="宋体" w:eastAsia="宋体" w:cs="宋体"/>
          <w:sz w:val="21"/>
          <w:szCs w:val="21"/>
          <w:u w:val="single"/>
        </w:rPr>
        <w:t>燃料电池与涡轮混合循环发电系统工程</w:t>
      </w:r>
      <w:r>
        <w:rPr>
          <w:rFonts w:hint="eastAsia" w:ascii="宋体" w:hAnsi="宋体" w:eastAsia="宋体" w:cs="宋体"/>
          <w:sz w:val="21"/>
          <w:szCs w:val="21"/>
        </w:rPr>
        <w:t>施工事宜，达成一致意见，为明确双方在履行过程中的权利、义务和责任，制定本合同，以资共同遵守执行。</w:t>
      </w:r>
    </w:p>
    <w:p w14:paraId="0C521B33">
      <w:pPr>
        <w:pStyle w:val="8"/>
        <w:spacing w:line="360" w:lineRule="auto"/>
        <w:ind w:firstLine="0" w:firstLineChars="0"/>
        <w:jc w:val="left"/>
        <w:rPr>
          <w:rFonts w:hint="eastAsia" w:ascii="宋体" w:hAnsi="宋体" w:eastAsia="宋体" w:cs="宋体"/>
          <w:b/>
          <w:sz w:val="21"/>
          <w:szCs w:val="21"/>
        </w:rPr>
      </w:pPr>
    </w:p>
    <w:p w14:paraId="04802BBF">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第一条：工程概况</w:t>
      </w:r>
    </w:p>
    <w:p w14:paraId="4A3DF483">
      <w:pPr>
        <w:numPr>
          <w:ilvl w:val="0"/>
          <w:numId w:val="2"/>
        </w:numPr>
        <w:snapToGrid w:val="0"/>
        <w:spacing w:line="360" w:lineRule="auto"/>
        <w:jc w:val="left"/>
        <w:rPr>
          <w:rFonts w:hint="eastAsia" w:ascii="宋体" w:hAnsi="宋体" w:eastAsia="宋体" w:cs="宋体"/>
          <w:b w:val="0"/>
          <w:bCs/>
          <w:sz w:val="21"/>
          <w:szCs w:val="21"/>
        </w:rPr>
      </w:pPr>
      <w:r>
        <w:rPr>
          <w:rFonts w:hint="eastAsia" w:ascii="宋体" w:hAnsi="宋体" w:eastAsia="宋体" w:cs="宋体"/>
          <w:sz w:val="21"/>
          <w:szCs w:val="21"/>
        </w:rPr>
        <w:t>工程名称：</w:t>
      </w:r>
      <w:r>
        <w:rPr>
          <w:rFonts w:hint="eastAsia" w:ascii="宋体" w:hAnsi="宋体" w:eastAsia="宋体" w:cs="宋体"/>
          <w:b w:val="0"/>
          <w:bCs/>
          <w:sz w:val="21"/>
          <w:szCs w:val="21"/>
          <w:u w:val="single"/>
        </w:rPr>
        <w:t>燃料电池与涡轮混合循环发电系统工程</w:t>
      </w:r>
    </w:p>
    <w:p w14:paraId="4A1F9ABE">
      <w:pPr>
        <w:snapToGrid w:val="0"/>
        <w:spacing w:line="360" w:lineRule="auto"/>
        <w:jc w:val="left"/>
        <w:rPr>
          <w:rFonts w:hint="eastAsia" w:ascii="宋体" w:hAnsi="宋体" w:eastAsia="宋体" w:cs="宋体"/>
          <w:sz w:val="21"/>
          <w:szCs w:val="21"/>
          <w:u w:val="single"/>
        </w:rPr>
      </w:pPr>
      <w:r>
        <w:rPr>
          <w:rFonts w:hint="eastAsia" w:ascii="宋体" w:hAnsi="宋体" w:eastAsia="宋体" w:cs="宋体"/>
          <w:b w:val="0"/>
          <w:bCs/>
          <w:sz w:val="21"/>
          <w:szCs w:val="21"/>
        </w:rPr>
        <w:t>二、工程地点：</w:t>
      </w:r>
      <w:r>
        <w:rPr>
          <w:rFonts w:hint="eastAsia" w:ascii="宋体" w:hAnsi="宋体" w:eastAsia="宋体" w:cs="宋体"/>
          <w:b w:val="0"/>
          <w:bCs/>
          <w:sz w:val="21"/>
          <w:szCs w:val="21"/>
          <w:u w:val="single"/>
          <w:lang w:val="en-US" w:eastAsia="zh-CN"/>
        </w:rPr>
        <w:t>深圳市龙华区求雨岭储备库</w:t>
      </w:r>
      <w:r>
        <w:rPr>
          <w:rFonts w:hint="eastAsia" w:ascii="宋体" w:hAnsi="宋体" w:eastAsia="宋体" w:cs="宋体"/>
          <w:sz w:val="21"/>
          <w:szCs w:val="21"/>
          <w:u w:val="single"/>
        </w:rPr>
        <w:t xml:space="preserve"> </w:t>
      </w:r>
    </w:p>
    <w:p w14:paraId="63315426">
      <w:pPr>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三、工程现状：新建</w:t>
      </w:r>
    </w:p>
    <w:p w14:paraId="094265FA">
      <w:pPr>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四、工程承包范围及内容：</w:t>
      </w:r>
    </w:p>
    <w:p w14:paraId="5CC753C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1、</w:t>
      </w:r>
      <w:r>
        <w:rPr>
          <w:rFonts w:hint="eastAsia" w:ascii="宋体" w:hAnsi="宋体" w:cs="宋体"/>
          <w:color w:val="auto"/>
          <w:szCs w:val="21"/>
          <w:highlight w:val="none"/>
        </w:rPr>
        <w:t>在深圳燃气求雨岭储备库掺氢综合实验平台空地处，新建“燃料电池-涡轮混合循环发电系统演示示范验证装置”。该项目由甲方提供试制设备一套，包含燃料电池模块、涡轮模块、氮氢瓶组、中控设备、水和天然气净化设备、以及缓冲连接模块等，上述模块均已撬装化，整体占地面积不超过80m</w:t>
      </w:r>
      <w:r>
        <w:rPr>
          <w:rFonts w:hint="eastAsia" w:ascii="宋体" w:hAnsi="宋体" w:cs="宋体"/>
          <w:color w:val="auto"/>
          <w:szCs w:val="21"/>
          <w:highlight w:val="none"/>
          <w:vertAlign w:val="superscript"/>
        </w:rPr>
        <w:t>2</w:t>
      </w:r>
      <w:r>
        <w:rPr>
          <w:rFonts w:hint="eastAsia" w:ascii="宋体" w:hAnsi="宋体" w:cs="宋体"/>
          <w:color w:val="auto"/>
          <w:szCs w:val="21"/>
          <w:highlight w:val="none"/>
        </w:rPr>
        <w:t>。其中燃料电池功率为120kW，涡轮功率为60kW，由求雨岭储备库提供中压燃气供燃料电池-涡轮使用，燃料电池-涡轮发电后并网给园区工业设备使用。</w:t>
      </w:r>
    </w:p>
    <w:p w14:paraId="4B6A27C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按甲方委托的设计公司提供的施工图</w:t>
      </w:r>
      <w:r>
        <w:rPr>
          <w:rFonts w:hint="eastAsia" w:ascii="宋体" w:hAnsi="宋体" w:eastAsia="宋体" w:cs="宋体"/>
          <w:sz w:val="21"/>
          <w:szCs w:val="21"/>
          <w:lang w:val="en-US" w:eastAsia="zh-CN"/>
        </w:rPr>
        <w:t>(</w:t>
      </w:r>
      <w:r>
        <w:rPr>
          <w:rFonts w:hint="eastAsia" w:ascii="宋体" w:hAnsi="宋体" w:eastAsia="宋体" w:cs="宋体"/>
          <w:sz w:val="21"/>
          <w:szCs w:val="21"/>
        </w:rPr>
        <w:t>包括但不限于</w:t>
      </w:r>
      <w:r>
        <w:rPr>
          <w:rFonts w:hint="eastAsia" w:ascii="宋体" w:hAnsi="宋体" w:eastAsia="宋体" w:cs="宋体"/>
          <w:sz w:val="21"/>
          <w:szCs w:val="21"/>
          <w:lang w:val="en-US" w:eastAsia="zh-CN"/>
        </w:rPr>
        <w:t>)</w:t>
      </w:r>
      <w:r>
        <w:rPr>
          <w:rFonts w:hint="eastAsia" w:ascii="宋体" w:hAnsi="宋体" w:eastAsia="宋体" w:cs="宋体"/>
          <w:sz w:val="21"/>
          <w:szCs w:val="21"/>
        </w:rPr>
        <w:t>、甲方的招标文件及清单、甲方指定施工范围、说明及相关规范施工。</w:t>
      </w:r>
    </w:p>
    <w:p w14:paraId="03C0111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、本工程</w:t>
      </w:r>
      <w:r>
        <w:rPr>
          <w:rFonts w:hint="eastAsia" w:ascii="宋体" w:hAnsi="宋体" w:eastAsia="宋体" w:cs="宋体"/>
          <w:sz w:val="21"/>
          <w:szCs w:val="21"/>
          <w:lang w:val="en-US" w:eastAsia="zh-CN"/>
        </w:rPr>
        <w:t>由</w:t>
      </w:r>
      <w:r>
        <w:rPr>
          <w:rFonts w:hint="eastAsia" w:ascii="宋体" w:hAnsi="宋体" w:eastAsia="宋体" w:cs="宋体"/>
          <w:sz w:val="21"/>
          <w:szCs w:val="21"/>
        </w:rPr>
        <w:t>乙方提供的材料的品种、规格和品质需符合</w:t>
      </w:r>
      <w:r>
        <w:rPr>
          <w:rFonts w:hint="eastAsia" w:ascii="宋体" w:hAnsi="宋体" w:eastAsia="宋体" w:cs="宋体"/>
          <w:sz w:val="21"/>
          <w:szCs w:val="21"/>
          <w:lang w:val="en-US" w:eastAsia="zh-CN"/>
        </w:rPr>
        <w:t>设计</w:t>
      </w:r>
      <w:r>
        <w:rPr>
          <w:rFonts w:hint="eastAsia" w:ascii="宋体" w:hAnsi="宋体" w:eastAsia="宋体" w:cs="宋体"/>
          <w:sz w:val="21"/>
          <w:szCs w:val="21"/>
        </w:rPr>
        <w:t>要求。</w:t>
      </w:r>
    </w:p>
    <w:p w14:paraId="4B80212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乙方</w:t>
      </w:r>
      <w:r>
        <w:rPr>
          <w:rFonts w:hint="eastAsia" w:ascii="宋体" w:hAnsi="宋体" w:eastAsia="宋体" w:cs="宋体"/>
          <w:sz w:val="21"/>
          <w:szCs w:val="21"/>
        </w:rPr>
        <w:t>需完成成品保护、垃圾清运、材料二次搬运等其它事宜。</w:t>
      </w:r>
    </w:p>
    <w:p w14:paraId="2C9D578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、与本项目其他单位的配合工作。</w:t>
      </w:r>
    </w:p>
    <w:p w14:paraId="7D636C5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、完成所有</w:t>
      </w:r>
      <w:r>
        <w:rPr>
          <w:rFonts w:hint="eastAsia" w:ascii="宋体" w:hAnsi="宋体" w:eastAsia="宋体" w:cs="宋体"/>
          <w:sz w:val="21"/>
          <w:szCs w:val="21"/>
          <w:lang w:val="en-US" w:eastAsia="zh-CN"/>
        </w:rPr>
        <w:t>相关的</w:t>
      </w:r>
      <w:r>
        <w:rPr>
          <w:rFonts w:hint="eastAsia" w:ascii="宋体" w:hAnsi="宋体" w:eastAsia="宋体" w:cs="宋体"/>
          <w:sz w:val="21"/>
          <w:szCs w:val="21"/>
        </w:rPr>
        <w:t>试验、测试及系统调试。</w:t>
      </w:r>
    </w:p>
    <w:p w14:paraId="70E5314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、根据现状与招标文件完成本合同工作内容并达到使用要求所必须的其他工作内容。</w:t>
      </w:r>
    </w:p>
    <w:p w14:paraId="7816C48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、工程竣工验收及相应的竣工图等各种技术资料的移交，以及虽未载明但为完成本工程正常施工和验收所必须包含的工作。</w:t>
      </w:r>
    </w:p>
    <w:p w14:paraId="5706DEB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上述承包范围和内容只是概括性的及不能视为完整无缺的，乙方应仔细研读其它文件、图纸、工程规范和技术说明、工程量清单，特别是图纸、工程规范和技术说明和现场实地情况，完整了解本工程的实际工程范围。在合同执行期间，甲方保留对以上工程范围进行调整的权利。</w:t>
      </w:r>
    </w:p>
    <w:p w14:paraId="7E5E620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10、乙方在承包范围内要施行安全生产管理办法（详见附件1）。</w:t>
      </w:r>
    </w:p>
    <w:p w14:paraId="459EE6D5">
      <w:pPr>
        <w:spacing w:line="360" w:lineRule="auto"/>
        <w:rPr>
          <w:rFonts w:hint="eastAsia" w:ascii="宋体" w:hAnsi="宋体" w:eastAsia="宋体" w:cs="宋体"/>
          <w:sz w:val="21"/>
          <w:szCs w:val="21"/>
        </w:rPr>
      </w:pPr>
      <w:r>
        <w:rPr>
          <w:rFonts w:hint="eastAsia" w:ascii="宋体" w:hAnsi="宋体" w:eastAsia="宋体" w:cs="宋体"/>
          <w:sz w:val="21"/>
          <w:szCs w:val="21"/>
        </w:rPr>
        <w:t>五、承包方式：</w:t>
      </w:r>
    </w:p>
    <w:p w14:paraId="47E4A4CA">
      <w:pPr>
        <w:spacing w:line="360"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1、承包方式为：</w:t>
      </w:r>
      <w:r>
        <w:rPr>
          <w:rFonts w:hint="eastAsia" w:ascii="宋体" w:hAnsi="宋体" w:eastAsia="宋体" w:cs="宋体"/>
          <w:sz w:val="21"/>
          <w:szCs w:val="21"/>
          <w:lang w:val="en-US" w:eastAsia="zh-CN"/>
        </w:rPr>
        <w:t>固定总价包干</w:t>
      </w:r>
      <w:r>
        <w:rPr>
          <w:rFonts w:hint="eastAsia" w:ascii="宋体" w:hAnsi="宋体" w:eastAsia="宋体" w:cs="宋体"/>
          <w:sz w:val="21"/>
          <w:szCs w:val="21"/>
          <w:lang w:eastAsia="zh-CN"/>
        </w:rPr>
        <w:t>。</w:t>
      </w:r>
      <w:r>
        <w:rPr>
          <w:rFonts w:hint="eastAsia" w:ascii="宋体" w:hAnsi="宋体" w:eastAsia="宋体" w:cs="宋体"/>
          <w:sz w:val="21"/>
          <w:szCs w:val="21"/>
        </w:rPr>
        <w:t>包括招标文件所确定的招标范围内相应图纸全部内容的所有费用，如</w:t>
      </w:r>
      <w:r>
        <w:rPr>
          <w:rFonts w:hint="eastAsia" w:ascii="宋体" w:hAnsi="宋体" w:eastAsia="宋体" w:cs="宋体"/>
          <w:bCs/>
          <w:sz w:val="21"/>
          <w:szCs w:val="21"/>
        </w:rPr>
        <w:t>设备、材料的供应与安装费、保管费、调试费、检测费、运输保险费、包装费、运杂费、装卸费、指导安装调试、技术资料、质保期维护费和相关培训技术服务费用、风险、税金等。</w:t>
      </w:r>
    </w:p>
    <w:p w14:paraId="4DC77D1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不得进行分包、转包等行为，否则所造成的一切责任均由乙方承担，并且向甲方承担违约责任。乙方必须按甲方要求配足各种工种人员。乙方承包要有充分足够实力、信誉承揽本工程。如乙方未能按甲方的工期、质量要求完成工作任务，或者甲方认为乙方将不能按甲方的工期、质量要求完成工作任务的，甲方可以要求乙方无条件让出工程量的一部分给其他承包单位施工，乙方对此无任何异议，且承诺积极配合。如果短时间还未能按甲方工期计划，甲方有权解除合同，乙方需立即退出，按已完成合格工程量的50%、半成品按完成工程量的50%办理结算。合同解除后，乙方应在5个工作日内完成工程交接并退场，如有延误需向甲方支付违约金，给甲方造成损失的，乙方赔偿甲方经济损失。</w:t>
      </w:r>
    </w:p>
    <w:p w14:paraId="477BAAA2">
      <w:pPr>
        <w:spacing w:line="360" w:lineRule="auto"/>
        <w:rPr>
          <w:rFonts w:hint="eastAsia" w:ascii="宋体" w:hAnsi="宋体" w:eastAsia="宋体" w:cs="宋体"/>
          <w:b/>
          <w:sz w:val="21"/>
          <w:szCs w:val="21"/>
        </w:rPr>
      </w:pPr>
    </w:p>
    <w:p w14:paraId="2080B585">
      <w:pPr>
        <w:spacing w:line="360" w:lineRule="auto"/>
        <w:rPr>
          <w:rFonts w:hint="eastAsia" w:ascii="宋体" w:hAnsi="宋体" w:eastAsia="宋体" w:cs="宋体"/>
          <w:b/>
          <w:sz w:val="21"/>
          <w:szCs w:val="21"/>
        </w:rPr>
      </w:pPr>
      <w:r>
        <w:rPr>
          <w:rFonts w:hint="eastAsia" w:ascii="宋体" w:hAnsi="宋体" w:eastAsia="宋体" w:cs="宋体"/>
          <w:b/>
          <w:color w:val="000000"/>
          <w:sz w:val="21"/>
          <w:szCs w:val="21"/>
        </w:rPr>
        <w:t>第二条：付款方式</w:t>
      </w:r>
    </w:p>
    <w:p w14:paraId="7837AF85">
      <w:pPr>
        <w:spacing w:line="360" w:lineRule="auto"/>
        <w:ind w:firstLine="420" w:firstLineChars="200"/>
        <w:rPr>
          <w:rFonts w:hint="eastAsia"/>
        </w:rPr>
      </w:pPr>
      <w:r>
        <w:rPr>
          <w:rFonts w:hint="eastAsia" w:ascii="宋体" w:hAnsi="宋体" w:eastAsia="宋体" w:cs="宋体"/>
          <w:b w:val="0"/>
          <w:bCs w:val="0"/>
          <w:sz w:val="21"/>
          <w:szCs w:val="21"/>
          <w:highlight w:val="none"/>
        </w:rPr>
        <w:t>1、本合同总价为人民币：</w:t>
      </w:r>
      <w:r>
        <w:rPr>
          <w:rFonts w:hint="eastAsia" w:ascii="宋体" w:hAnsi="宋体" w:eastAsia="宋体" w:cs="宋体"/>
          <w:b w:val="0"/>
          <w:bCs w:val="0"/>
          <w:sz w:val="21"/>
          <w:szCs w:val="21"/>
          <w:highlight w:val="none"/>
          <w:u w:val="single"/>
        </w:rPr>
        <w:t>¥</w:t>
      </w:r>
      <w:r>
        <w:rPr>
          <w:rFonts w:hint="eastAsia" w:ascii="宋体" w:hAnsi="宋体" w:eastAsia="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rPr>
        <w:t>元（</w:t>
      </w:r>
      <w:r>
        <w:rPr>
          <w:rFonts w:hint="eastAsia" w:ascii="宋体" w:hAnsi="宋体" w:eastAsia="宋体" w:cs="宋体"/>
          <w:b w:val="0"/>
          <w:bCs w:val="0"/>
          <w:sz w:val="21"/>
          <w:szCs w:val="21"/>
          <w:highlight w:val="none"/>
          <w:lang w:val="en-US" w:eastAsia="zh-CN"/>
        </w:rPr>
        <w:t>含税，</w:t>
      </w:r>
      <w:r>
        <w:rPr>
          <w:rFonts w:hint="eastAsia" w:ascii="宋体" w:hAnsi="宋体" w:eastAsia="宋体" w:cs="宋体"/>
          <w:b w:val="0"/>
          <w:bCs w:val="0"/>
          <w:sz w:val="21"/>
          <w:szCs w:val="21"/>
          <w:highlight w:val="none"/>
        </w:rPr>
        <w:t>大写人民币：</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rPr>
        <w:t>）。</w:t>
      </w:r>
    </w:p>
    <w:p w14:paraId="2BD9FB3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、工程完</w:t>
      </w:r>
      <w:r>
        <w:rPr>
          <w:rFonts w:hint="eastAsia" w:ascii="宋体" w:hAnsi="宋体" w:eastAsia="宋体" w:cs="宋体"/>
          <w:sz w:val="21"/>
          <w:szCs w:val="21"/>
          <w:lang w:val="en-US" w:eastAsia="zh-CN"/>
        </w:rPr>
        <w:t>成后，乙方提交竣工报告</w:t>
      </w:r>
      <w:r>
        <w:rPr>
          <w:rFonts w:hint="eastAsia" w:ascii="宋体" w:hAnsi="宋体" w:eastAsia="宋体" w:cs="宋体"/>
          <w:sz w:val="21"/>
          <w:szCs w:val="21"/>
        </w:rPr>
        <w:t>，</w:t>
      </w:r>
      <w:r>
        <w:rPr>
          <w:rFonts w:hint="eastAsia" w:ascii="宋体" w:hAnsi="宋体" w:eastAsia="宋体" w:cs="宋体"/>
          <w:sz w:val="21"/>
          <w:szCs w:val="21"/>
          <w:lang w:val="en-US" w:eastAsia="zh-CN"/>
        </w:rPr>
        <w:t>甲方进行竣工验收，验收合格后</w:t>
      </w:r>
      <w:r>
        <w:rPr>
          <w:rFonts w:hint="eastAsia" w:ascii="宋体" w:hAnsi="宋体" w:eastAsia="宋体" w:cs="宋体"/>
          <w:sz w:val="21"/>
          <w:szCs w:val="21"/>
        </w:rPr>
        <w:t>甲方支付</w:t>
      </w:r>
      <w:r>
        <w:rPr>
          <w:rFonts w:hint="eastAsia" w:ascii="宋体" w:hAnsi="宋体" w:eastAsia="宋体" w:cs="宋体"/>
          <w:sz w:val="21"/>
          <w:szCs w:val="21"/>
          <w:lang w:val="en-US" w:eastAsia="zh-CN"/>
        </w:rPr>
        <w:t>90</w:t>
      </w:r>
      <w:r>
        <w:rPr>
          <w:rFonts w:hint="eastAsia" w:ascii="宋体" w:hAnsi="宋体" w:eastAsia="宋体" w:cs="宋体"/>
          <w:sz w:val="21"/>
          <w:szCs w:val="21"/>
        </w:rPr>
        <w:t>%合同款。</w:t>
      </w:r>
    </w:p>
    <w:p w14:paraId="2681D61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3、乙方提交竣工图等技术资料，</w:t>
      </w:r>
      <w:r>
        <w:rPr>
          <w:rFonts w:hint="eastAsia" w:ascii="宋体" w:hAnsi="宋体" w:eastAsia="宋体" w:cs="宋体"/>
          <w:sz w:val="21"/>
          <w:szCs w:val="21"/>
        </w:rPr>
        <w:t>甲方</w:t>
      </w:r>
      <w:r>
        <w:rPr>
          <w:rFonts w:hint="eastAsia" w:ascii="宋体" w:hAnsi="宋体" w:eastAsia="宋体" w:cs="宋体"/>
          <w:sz w:val="21"/>
          <w:szCs w:val="21"/>
          <w:lang w:val="en-US" w:eastAsia="zh-CN"/>
        </w:rPr>
        <w:t>经过结算审核后，</w:t>
      </w:r>
      <w:r>
        <w:rPr>
          <w:rFonts w:hint="eastAsia" w:ascii="宋体" w:hAnsi="宋体" w:eastAsia="宋体" w:cs="宋体"/>
          <w:sz w:val="21"/>
          <w:szCs w:val="21"/>
        </w:rPr>
        <w:t>支付</w:t>
      </w:r>
      <w:r>
        <w:rPr>
          <w:rFonts w:hint="eastAsia" w:ascii="宋体" w:hAnsi="宋体" w:eastAsia="宋体" w:cs="宋体"/>
          <w:sz w:val="21"/>
          <w:szCs w:val="21"/>
          <w:lang w:val="en-US" w:eastAsia="zh-CN"/>
        </w:rPr>
        <w:t>到97</w:t>
      </w:r>
      <w:r>
        <w:rPr>
          <w:rFonts w:hint="eastAsia" w:ascii="宋体" w:hAnsi="宋体" w:eastAsia="宋体" w:cs="宋体"/>
          <w:sz w:val="21"/>
          <w:szCs w:val="21"/>
        </w:rPr>
        <w:t>%</w:t>
      </w:r>
      <w:r>
        <w:rPr>
          <w:rFonts w:hint="eastAsia" w:ascii="宋体" w:hAnsi="宋体" w:eastAsia="宋体" w:cs="宋体"/>
          <w:sz w:val="21"/>
          <w:szCs w:val="21"/>
          <w:lang w:val="en-US" w:eastAsia="zh-CN"/>
        </w:rPr>
        <w:t>的合同</w:t>
      </w:r>
      <w:r>
        <w:rPr>
          <w:rFonts w:hint="eastAsia" w:ascii="宋体" w:hAnsi="宋体" w:eastAsia="宋体" w:cs="宋体"/>
          <w:sz w:val="21"/>
          <w:szCs w:val="21"/>
        </w:rPr>
        <w:t>款。</w:t>
      </w:r>
    </w:p>
    <w:p w14:paraId="354E062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4、竣工验收</w:t>
      </w:r>
      <w:r>
        <w:rPr>
          <w:rFonts w:hint="eastAsia" w:ascii="宋体" w:hAnsi="宋体" w:eastAsia="宋体" w:cs="宋体"/>
          <w:sz w:val="21"/>
          <w:szCs w:val="21"/>
          <w:lang w:val="en-US" w:eastAsia="zh-CN"/>
        </w:rPr>
        <w:t>0.5</w:t>
      </w:r>
      <w:r>
        <w:rPr>
          <w:rFonts w:hint="eastAsia" w:ascii="宋体" w:hAnsi="宋体" w:eastAsia="宋体" w:cs="宋体"/>
          <w:sz w:val="21"/>
          <w:szCs w:val="21"/>
        </w:rPr>
        <w:t>年后，无保修问题，</w:t>
      </w:r>
      <w:r>
        <w:rPr>
          <w:rFonts w:hint="eastAsia" w:ascii="宋体" w:hAnsi="宋体" w:eastAsia="宋体" w:cs="宋体"/>
          <w:sz w:val="21"/>
          <w:szCs w:val="21"/>
          <w:lang w:val="en-US" w:eastAsia="zh-CN"/>
        </w:rPr>
        <w:t>乙方出具支付申请函后，</w:t>
      </w:r>
      <w:r>
        <w:rPr>
          <w:rFonts w:hint="eastAsia" w:ascii="宋体" w:hAnsi="宋体" w:eastAsia="宋体" w:cs="宋体"/>
          <w:sz w:val="21"/>
          <w:szCs w:val="21"/>
        </w:rPr>
        <w:t>甲方</w:t>
      </w:r>
      <w:r>
        <w:rPr>
          <w:rFonts w:hint="eastAsia" w:ascii="宋体" w:hAnsi="宋体" w:eastAsia="宋体" w:cs="宋体"/>
          <w:sz w:val="21"/>
          <w:szCs w:val="21"/>
          <w:lang w:val="en-US" w:eastAsia="zh-CN"/>
        </w:rPr>
        <w:t>根据要求</w:t>
      </w:r>
      <w:r>
        <w:rPr>
          <w:rFonts w:hint="eastAsia" w:ascii="宋体" w:hAnsi="宋体" w:eastAsia="宋体" w:cs="宋体"/>
          <w:sz w:val="21"/>
          <w:szCs w:val="21"/>
        </w:rPr>
        <w:t>支付保修金，即合同价款的3%，保修金支付办法按本工程《工程质量保修书》相应条款执行。</w:t>
      </w:r>
    </w:p>
    <w:p w14:paraId="31F7362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5、乙方须在甲方每次支付工程款时，向甲方开具增值税专用发票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税率9%</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以此</w:t>
      </w:r>
      <w:r>
        <w:rPr>
          <w:rFonts w:hint="eastAsia" w:ascii="宋体" w:hAnsi="宋体" w:eastAsia="宋体" w:cs="宋体"/>
          <w:sz w:val="21"/>
          <w:szCs w:val="21"/>
        </w:rPr>
        <w:t>作为付款依据</w:t>
      </w:r>
      <w:r>
        <w:rPr>
          <w:rFonts w:hint="eastAsia" w:ascii="宋体" w:hAnsi="宋体" w:eastAsia="宋体" w:cs="宋体"/>
          <w:sz w:val="21"/>
          <w:szCs w:val="21"/>
          <w:lang w:val="en-US" w:eastAsia="zh-CN"/>
        </w:rPr>
        <w:t>的条件</w:t>
      </w:r>
      <w:r>
        <w:rPr>
          <w:rFonts w:hint="eastAsia" w:ascii="宋体" w:hAnsi="宋体" w:eastAsia="宋体" w:cs="宋体"/>
          <w:sz w:val="21"/>
          <w:szCs w:val="21"/>
        </w:rPr>
        <w:t>，否则甲方有权拒绝支付工程款，并乙方不得以此为由拒不履行合同。</w:t>
      </w:r>
    </w:p>
    <w:p w14:paraId="3A5CBAB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6、甲方公司的开票信息：</w:t>
      </w:r>
    </w:p>
    <w:p w14:paraId="5EFF1078">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单位名称：</w:t>
      </w:r>
      <w:r>
        <w:rPr>
          <w:rFonts w:hint="eastAsia" w:ascii="宋体" w:hAnsi="宋体" w:eastAsia="宋体" w:cs="宋体"/>
          <w:sz w:val="21"/>
          <w:szCs w:val="21"/>
          <w:lang w:eastAsia="zh-CN"/>
        </w:rPr>
        <w:t>深圳市深燃清洁能源有限公司</w:t>
      </w:r>
    </w:p>
    <w:p w14:paraId="416342B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纳税人识别号：91440300192408392D</w:t>
      </w:r>
    </w:p>
    <w:p w14:paraId="42B5DA7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地址：深圳市福田区梅坳一路268号</w:t>
      </w:r>
    </w:p>
    <w:p w14:paraId="44FFE08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电话：0755-88660049</w:t>
      </w:r>
    </w:p>
    <w:p w14:paraId="43113BC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sz w:val="21"/>
          <w:szCs w:val="21"/>
        </w:rPr>
        <w:t>7、乙方指定收款账号：</w:t>
      </w:r>
    </w:p>
    <w:p w14:paraId="2273237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户  名：</w:t>
      </w:r>
    </w:p>
    <w:p w14:paraId="5B4A49F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开户行： </w:t>
      </w:r>
    </w:p>
    <w:p w14:paraId="4C7A897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账  号：       </w:t>
      </w:r>
    </w:p>
    <w:p w14:paraId="34A44E2D">
      <w:pPr>
        <w:numPr>
          <w:ilvl w:val="0"/>
          <w:numId w:val="3"/>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乙方应提供的</w:t>
      </w:r>
      <w:r>
        <w:rPr>
          <w:rFonts w:hint="eastAsia" w:ascii="宋体" w:hAnsi="宋体" w:eastAsia="宋体" w:cs="宋体"/>
          <w:sz w:val="21"/>
          <w:szCs w:val="21"/>
          <w:lang w:val="en-US" w:eastAsia="zh-CN"/>
        </w:rPr>
        <w:t>竣工</w:t>
      </w:r>
      <w:r>
        <w:rPr>
          <w:rFonts w:hint="eastAsia" w:ascii="宋体" w:hAnsi="宋体" w:eastAsia="宋体" w:cs="宋体"/>
          <w:sz w:val="21"/>
          <w:szCs w:val="21"/>
        </w:rPr>
        <w:t>资料清单</w:t>
      </w:r>
      <w:r>
        <w:rPr>
          <w:rFonts w:hint="eastAsia" w:ascii="宋体" w:hAnsi="宋体" w:eastAsia="宋体" w:cs="宋体"/>
          <w:sz w:val="21"/>
          <w:szCs w:val="21"/>
          <w:lang w:eastAsia="zh-CN"/>
        </w:rPr>
        <w:t>：</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5881"/>
        <w:gridCol w:w="1902"/>
      </w:tblGrid>
      <w:tr w14:paraId="48EF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37" w:type="pct"/>
            <w:vAlign w:val="center"/>
          </w:tcPr>
          <w:p w14:paraId="3D65B7B3">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3448" w:type="pct"/>
            <w:vAlign w:val="center"/>
          </w:tcPr>
          <w:p w14:paraId="6A1226E5">
            <w:pPr>
              <w:jc w:val="center"/>
              <w:rPr>
                <w:rFonts w:hint="eastAsia" w:ascii="宋体" w:hAnsi="宋体" w:eastAsia="宋体" w:cs="宋体"/>
                <w:sz w:val="21"/>
                <w:szCs w:val="21"/>
              </w:rPr>
            </w:pPr>
            <w:r>
              <w:rPr>
                <w:rFonts w:hint="eastAsia" w:ascii="宋体" w:hAnsi="宋体" w:eastAsia="宋体" w:cs="宋体"/>
                <w:sz w:val="21"/>
                <w:szCs w:val="21"/>
              </w:rPr>
              <w:t>资 料 名 称</w:t>
            </w:r>
          </w:p>
        </w:tc>
        <w:tc>
          <w:tcPr>
            <w:tcW w:w="1114" w:type="pct"/>
            <w:vAlign w:val="center"/>
          </w:tcPr>
          <w:p w14:paraId="394BF326">
            <w:pPr>
              <w:jc w:val="center"/>
              <w:rPr>
                <w:rFonts w:hint="eastAsia" w:ascii="宋体" w:hAnsi="宋体" w:eastAsia="宋体" w:cs="宋体"/>
                <w:sz w:val="21"/>
                <w:szCs w:val="21"/>
              </w:rPr>
            </w:pPr>
            <w:r>
              <w:rPr>
                <w:rFonts w:hint="eastAsia" w:ascii="宋体" w:hAnsi="宋体" w:eastAsia="宋体" w:cs="宋体"/>
                <w:sz w:val="21"/>
                <w:szCs w:val="21"/>
              </w:rPr>
              <w:t>备注</w:t>
            </w:r>
          </w:p>
        </w:tc>
      </w:tr>
      <w:tr w14:paraId="4041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283F7442">
            <w:pPr>
              <w:jc w:val="center"/>
              <w:rPr>
                <w:rFonts w:hint="eastAsia" w:ascii="宋体" w:hAnsi="宋体" w:eastAsia="宋体" w:cs="宋体"/>
                <w:sz w:val="21"/>
                <w:szCs w:val="21"/>
              </w:rPr>
            </w:pPr>
            <w:r>
              <w:rPr>
                <w:rFonts w:hint="eastAsia" w:ascii="宋体" w:hAnsi="宋体" w:eastAsia="宋体" w:cs="宋体"/>
                <w:sz w:val="21"/>
                <w:szCs w:val="21"/>
              </w:rPr>
              <w:t>1</w:t>
            </w:r>
          </w:p>
        </w:tc>
        <w:tc>
          <w:tcPr>
            <w:tcW w:w="3448" w:type="pct"/>
            <w:vAlign w:val="center"/>
          </w:tcPr>
          <w:p w14:paraId="74FB5B9D">
            <w:pPr>
              <w:rPr>
                <w:rFonts w:hint="eastAsia" w:ascii="宋体" w:hAnsi="宋体" w:eastAsia="宋体" w:cs="宋体"/>
                <w:sz w:val="21"/>
                <w:szCs w:val="21"/>
              </w:rPr>
            </w:pPr>
            <w:r>
              <w:rPr>
                <w:rFonts w:hint="eastAsia" w:ascii="宋体" w:hAnsi="宋体" w:eastAsia="宋体" w:cs="宋体"/>
                <w:sz w:val="21"/>
                <w:szCs w:val="21"/>
              </w:rPr>
              <w:t>施工合同</w:t>
            </w:r>
          </w:p>
        </w:tc>
        <w:tc>
          <w:tcPr>
            <w:tcW w:w="1114" w:type="pct"/>
            <w:vAlign w:val="center"/>
          </w:tcPr>
          <w:p w14:paraId="37920BC5">
            <w:pPr>
              <w:rPr>
                <w:rFonts w:hint="eastAsia" w:ascii="宋体" w:hAnsi="宋体" w:eastAsia="宋体" w:cs="宋体"/>
                <w:sz w:val="21"/>
                <w:szCs w:val="21"/>
              </w:rPr>
            </w:pPr>
            <w:r>
              <w:rPr>
                <w:rFonts w:hint="eastAsia" w:ascii="宋体" w:hAnsi="宋体" w:eastAsia="宋体" w:cs="宋体"/>
                <w:sz w:val="21"/>
                <w:szCs w:val="21"/>
              </w:rPr>
              <w:t>复印件加盖公章</w:t>
            </w:r>
          </w:p>
        </w:tc>
      </w:tr>
      <w:tr w14:paraId="0613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05ECE307">
            <w:pPr>
              <w:jc w:val="center"/>
              <w:rPr>
                <w:rFonts w:hint="eastAsia" w:ascii="宋体" w:hAnsi="宋体" w:eastAsia="宋体" w:cs="宋体"/>
                <w:sz w:val="21"/>
                <w:szCs w:val="21"/>
              </w:rPr>
            </w:pPr>
            <w:r>
              <w:rPr>
                <w:rFonts w:hint="eastAsia" w:ascii="宋体" w:hAnsi="宋体" w:eastAsia="宋体" w:cs="宋体"/>
                <w:sz w:val="21"/>
                <w:szCs w:val="21"/>
              </w:rPr>
              <w:t>2</w:t>
            </w:r>
          </w:p>
        </w:tc>
        <w:tc>
          <w:tcPr>
            <w:tcW w:w="3448" w:type="pct"/>
            <w:vAlign w:val="center"/>
          </w:tcPr>
          <w:p w14:paraId="6EA12A17">
            <w:pPr>
              <w:rPr>
                <w:rFonts w:hint="eastAsia" w:ascii="宋体" w:hAnsi="宋体" w:eastAsia="宋体" w:cs="宋体"/>
                <w:sz w:val="21"/>
                <w:szCs w:val="21"/>
              </w:rPr>
            </w:pPr>
            <w:r>
              <w:rPr>
                <w:rFonts w:hint="eastAsia" w:ascii="宋体" w:hAnsi="宋体" w:eastAsia="宋体" w:cs="宋体"/>
                <w:sz w:val="21"/>
                <w:szCs w:val="21"/>
              </w:rPr>
              <w:t xml:space="preserve">施工单位营业执照和资质证明 </w:t>
            </w:r>
          </w:p>
        </w:tc>
        <w:tc>
          <w:tcPr>
            <w:tcW w:w="1114" w:type="pct"/>
            <w:vAlign w:val="center"/>
          </w:tcPr>
          <w:p w14:paraId="7602514C">
            <w:pPr>
              <w:rPr>
                <w:rFonts w:hint="eastAsia" w:ascii="宋体" w:hAnsi="宋体" w:eastAsia="宋体" w:cs="宋体"/>
                <w:sz w:val="21"/>
                <w:szCs w:val="21"/>
              </w:rPr>
            </w:pPr>
            <w:r>
              <w:rPr>
                <w:rFonts w:hint="eastAsia" w:ascii="宋体" w:hAnsi="宋体" w:eastAsia="宋体" w:cs="宋体"/>
                <w:sz w:val="21"/>
                <w:szCs w:val="21"/>
              </w:rPr>
              <w:t>复印件加盖公章</w:t>
            </w:r>
          </w:p>
        </w:tc>
      </w:tr>
      <w:tr w14:paraId="7E62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33E7C097">
            <w:pPr>
              <w:jc w:val="center"/>
              <w:rPr>
                <w:rFonts w:hint="eastAsia" w:ascii="宋体" w:hAnsi="宋体" w:eastAsia="宋体" w:cs="宋体"/>
                <w:sz w:val="21"/>
                <w:szCs w:val="21"/>
              </w:rPr>
            </w:pPr>
            <w:r>
              <w:rPr>
                <w:rFonts w:hint="eastAsia" w:ascii="宋体" w:hAnsi="宋体" w:eastAsia="宋体" w:cs="宋体"/>
                <w:sz w:val="21"/>
                <w:szCs w:val="21"/>
              </w:rPr>
              <w:t>3</w:t>
            </w:r>
          </w:p>
        </w:tc>
        <w:tc>
          <w:tcPr>
            <w:tcW w:w="3448" w:type="pct"/>
            <w:vAlign w:val="center"/>
          </w:tcPr>
          <w:p w14:paraId="2B40533E">
            <w:pPr>
              <w:rPr>
                <w:rFonts w:hint="eastAsia" w:ascii="宋体" w:hAnsi="宋体" w:eastAsia="宋体" w:cs="宋体"/>
                <w:sz w:val="21"/>
                <w:szCs w:val="21"/>
              </w:rPr>
            </w:pPr>
            <w:r>
              <w:rPr>
                <w:rFonts w:hint="eastAsia" w:ascii="宋体" w:hAnsi="宋体" w:eastAsia="宋体" w:cs="宋体"/>
                <w:sz w:val="21"/>
                <w:szCs w:val="21"/>
              </w:rPr>
              <w:t>施工组织设计或施工方案</w:t>
            </w:r>
          </w:p>
        </w:tc>
        <w:tc>
          <w:tcPr>
            <w:tcW w:w="1114" w:type="pct"/>
            <w:vAlign w:val="center"/>
          </w:tcPr>
          <w:p w14:paraId="2F0A010D">
            <w:pPr>
              <w:rPr>
                <w:rFonts w:hint="eastAsia" w:ascii="宋体" w:hAnsi="宋体" w:eastAsia="宋体" w:cs="宋体"/>
                <w:sz w:val="21"/>
                <w:szCs w:val="21"/>
              </w:rPr>
            </w:pPr>
            <w:r>
              <w:rPr>
                <w:rFonts w:hint="eastAsia" w:ascii="宋体" w:hAnsi="宋体" w:eastAsia="宋体" w:cs="宋体"/>
                <w:sz w:val="21"/>
                <w:szCs w:val="21"/>
              </w:rPr>
              <w:t>复印件加盖公章</w:t>
            </w:r>
          </w:p>
        </w:tc>
      </w:tr>
      <w:tr w14:paraId="3E4A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2EF99E92">
            <w:pPr>
              <w:jc w:val="center"/>
              <w:rPr>
                <w:rFonts w:hint="eastAsia" w:ascii="宋体" w:hAnsi="宋体" w:eastAsia="宋体" w:cs="宋体"/>
                <w:sz w:val="21"/>
                <w:szCs w:val="21"/>
              </w:rPr>
            </w:pPr>
            <w:r>
              <w:rPr>
                <w:rFonts w:hint="eastAsia" w:ascii="宋体" w:hAnsi="宋体" w:eastAsia="宋体" w:cs="宋体"/>
                <w:sz w:val="21"/>
                <w:szCs w:val="21"/>
              </w:rPr>
              <w:t>4</w:t>
            </w:r>
          </w:p>
        </w:tc>
        <w:tc>
          <w:tcPr>
            <w:tcW w:w="3448" w:type="pct"/>
            <w:vAlign w:val="center"/>
          </w:tcPr>
          <w:p w14:paraId="77954CE5">
            <w:pPr>
              <w:rPr>
                <w:rFonts w:hint="eastAsia" w:ascii="宋体" w:hAnsi="宋体" w:eastAsia="宋体" w:cs="宋体"/>
                <w:sz w:val="21"/>
                <w:szCs w:val="21"/>
              </w:rPr>
            </w:pPr>
            <w:r>
              <w:rPr>
                <w:rFonts w:hint="eastAsia" w:ascii="宋体" w:hAnsi="宋体" w:eastAsia="宋体" w:cs="宋体"/>
                <w:sz w:val="21"/>
                <w:szCs w:val="21"/>
              </w:rPr>
              <w:t>设计变更或现场签证单</w:t>
            </w:r>
          </w:p>
        </w:tc>
        <w:tc>
          <w:tcPr>
            <w:tcW w:w="1114" w:type="pct"/>
            <w:vAlign w:val="center"/>
          </w:tcPr>
          <w:p w14:paraId="14873694">
            <w:pPr>
              <w:rPr>
                <w:rFonts w:hint="eastAsia" w:ascii="宋体" w:hAnsi="宋体" w:eastAsia="宋体" w:cs="宋体"/>
                <w:sz w:val="21"/>
                <w:szCs w:val="21"/>
              </w:rPr>
            </w:pPr>
            <w:r>
              <w:rPr>
                <w:rFonts w:hint="eastAsia" w:ascii="宋体" w:hAnsi="宋体" w:eastAsia="宋体" w:cs="宋体"/>
                <w:sz w:val="21"/>
                <w:szCs w:val="21"/>
              </w:rPr>
              <w:t>复印件加盖公章</w:t>
            </w:r>
          </w:p>
        </w:tc>
      </w:tr>
      <w:tr w14:paraId="0E16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062DF087">
            <w:pPr>
              <w:jc w:val="center"/>
              <w:rPr>
                <w:rFonts w:hint="eastAsia" w:ascii="宋体" w:hAnsi="宋体" w:eastAsia="宋体" w:cs="宋体"/>
                <w:sz w:val="21"/>
                <w:szCs w:val="21"/>
              </w:rPr>
            </w:pPr>
            <w:r>
              <w:rPr>
                <w:rFonts w:hint="eastAsia" w:ascii="宋体" w:hAnsi="宋体" w:eastAsia="宋体" w:cs="宋体"/>
                <w:sz w:val="21"/>
                <w:szCs w:val="21"/>
              </w:rPr>
              <w:t>5</w:t>
            </w:r>
          </w:p>
        </w:tc>
        <w:tc>
          <w:tcPr>
            <w:tcW w:w="3448" w:type="pct"/>
            <w:vAlign w:val="center"/>
          </w:tcPr>
          <w:p w14:paraId="372275A8">
            <w:pPr>
              <w:rPr>
                <w:rFonts w:hint="eastAsia" w:ascii="宋体" w:hAnsi="宋体" w:eastAsia="宋体" w:cs="宋体"/>
                <w:sz w:val="21"/>
                <w:szCs w:val="21"/>
              </w:rPr>
            </w:pPr>
            <w:r>
              <w:rPr>
                <w:rFonts w:hint="eastAsia" w:ascii="宋体" w:hAnsi="宋体" w:eastAsia="宋体" w:cs="宋体"/>
                <w:sz w:val="21"/>
                <w:szCs w:val="21"/>
              </w:rPr>
              <w:t>竣工验收质量合格文件（包括设备材料质量证明文件）</w:t>
            </w:r>
          </w:p>
        </w:tc>
        <w:tc>
          <w:tcPr>
            <w:tcW w:w="1114" w:type="pct"/>
            <w:vAlign w:val="center"/>
          </w:tcPr>
          <w:p w14:paraId="226213C6">
            <w:pPr>
              <w:rPr>
                <w:rFonts w:hint="eastAsia" w:ascii="宋体" w:hAnsi="宋体" w:eastAsia="宋体" w:cs="宋体"/>
                <w:sz w:val="21"/>
                <w:szCs w:val="21"/>
              </w:rPr>
            </w:pPr>
            <w:r>
              <w:rPr>
                <w:rFonts w:hint="eastAsia" w:ascii="宋体" w:hAnsi="宋体" w:eastAsia="宋体" w:cs="宋体"/>
                <w:sz w:val="21"/>
                <w:szCs w:val="21"/>
              </w:rPr>
              <w:t>复印件加盖公章</w:t>
            </w:r>
          </w:p>
        </w:tc>
      </w:tr>
      <w:tr w14:paraId="2A35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6B0F09EE">
            <w:pPr>
              <w:jc w:val="center"/>
              <w:rPr>
                <w:rFonts w:hint="eastAsia" w:ascii="宋体" w:hAnsi="宋体" w:eastAsia="宋体" w:cs="宋体"/>
                <w:sz w:val="21"/>
                <w:szCs w:val="21"/>
              </w:rPr>
            </w:pPr>
            <w:r>
              <w:rPr>
                <w:rFonts w:hint="eastAsia" w:ascii="宋体" w:hAnsi="宋体" w:eastAsia="宋体" w:cs="宋体"/>
                <w:sz w:val="21"/>
                <w:szCs w:val="21"/>
              </w:rPr>
              <w:t>6</w:t>
            </w:r>
          </w:p>
        </w:tc>
        <w:tc>
          <w:tcPr>
            <w:tcW w:w="3448" w:type="pct"/>
            <w:vAlign w:val="center"/>
          </w:tcPr>
          <w:p w14:paraId="368019BC">
            <w:pPr>
              <w:rPr>
                <w:rFonts w:hint="eastAsia" w:ascii="宋体" w:hAnsi="宋体" w:eastAsia="宋体" w:cs="宋体"/>
                <w:sz w:val="21"/>
                <w:szCs w:val="21"/>
              </w:rPr>
            </w:pPr>
            <w:r>
              <w:rPr>
                <w:rFonts w:hint="eastAsia" w:ascii="宋体" w:hAnsi="宋体" w:eastAsia="宋体" w:cs="宋体"/>
                <w:sz w:val="21"/>
                <w:szCs w:val="21"/>
              </w:rPr>
              <w:t>竣工图（必须有甲方代表签字确认）</w:t>
            </w:r>
          </w:p>
        </w:tc>
        <w:tc>
          <w:tcPr>
            <w:tcW w:w="1114" w:type="pct"/>
            <w:vAlign w:val="center"/>
          </w:tcPr>
          <w:p w14:paraId="12563FF0">
            <w:pPr>
              <w:rPr>
                <w:rFonts w:hint="eastAsia" w:ascii="宋体" w:hAnsi="宋体" w:eastAsia="宋体" w:cs="宋体"/>
                <w:sz w:val="21"/>
                <w:szCs w:val="21"/>
              </w:rPr>
            </w:pPr>
            <w:r>
              <w:rPr>
                <w:rFonts w:hint="eastAsia" w:ascii="宋体" w:hAnsi="宋体" w:eastAsia="宋体" w:cs="宋体"/>
                <w:sz w:val="21"/>
                <w:szCs w:val="21"/>
              </w:rPr>
              <w:t>原件</w:t>
            </w:r>
          </w:p>
        </w:tc>
      </w:tr>
      <w:tr w14:paraId="7656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23681B16">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p>
        </w:tc>
        <w:tc>
          <w:tcPr>
            <w:tcW w:w="3448" w:type="pct"/>
            <w:vAlign w:val="center"/>
          </w:tcPr>
          <w:p w14:paraId="400B9F42">
            <w:pPr>
              <w:rPr>
                <w:rFonts w:hint="eastAsia" w:ascii="宋体" w:hAnsi="宋体" w:eastAsia="宋体" w:cs="宋体"/>
                <w:sz w:val="21"/>
                <w:szCs w:val="21"/>
              </w:rPr>
            </w:pPr>
            <w:r>
              <w:rPr>
                <w:rFonts w:hint="eastAsia" w:ascii="宋体" w:hAnsi="宋体" w:eastAsia="宋体" w:cs="宋体"/>
                <w:sz w:val="21"/>
                <w:szCs w:val="21"/>
              </w:rPr>
              <w:t>工程款项收取情况表</w:t>
            </w:r>
          </w:p>
        </w:tc>
        <w:tc>
          <w:tcPr>
            <w:tcW w:w="1114" w:type="pct"/>
            <w:vAlign w:val="center"/>
          </w:tcPr>
          <w:p w14:paraId="0D3AB083">
            <w:pPr>
              <w:rPr>
                <w:rFonts w:hint="eastAsia" w:ascii="宋体" w:hAnsi="宋体" w:eastAsia="宋体" w:cs="宋体"/>
                <w:sz w:val="21"/>
                <w:szCs w:val="21"/>
              </w:rPr>
            </w:pPr>
            <w:r>
              <w:rPr>
                <w:rFonts w:hint="eastAsia" w:ascii="宋体" w:hAnsi="宋体" w:eastAsia="宋体" w:cs="宋体"/>
                <w:sz w:val="21"/>
                <w:szCs w:val="21"/>
              </w:rPr>
              <w:t>原件</w:t>
            </w:r>
          </w:p>
        </w:tc>
      </w:tr>
      <w:tr w14:paraId="40B8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7" w:type="pct"/>
            <w:vAlign w:val="center"/>
          </w:tcPr>
          <w:p w14:paraId="6E34BB9F">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3448" w:type="pct"/>
            <w:vAlign w:val="center"/>
          </w:tcPr>
          <w:p w14:paraId="380F3BD8">
            <w:pPr>
              <w:rPr>
                <w:rFonts w:hint="eastAsia" w:ascii="宋体" w:hAnsi="宋体" w:eastAsia="宋体" w:cs="宋体"/>
                <w:sz w:val="21"/>
                <w:szCs w:val="21"/>
              </w:rPr>
            </w:pPr>
            <w:r>
              <w:rPr>
                <w:rFonts w:hint="eastAsia" w:ascii="宋体" w:hAnsi="宋体" w:eastAsia="宋体" w:cs="宋体"/>
                <w:sz w:val="21"/>
                <w:szCs w:val="21"/>
              </w:rPr>
              <w:t>工程情况总结说明（须经项目经理、甲方签字确认）</w:t>
            </w:r>
          </w:p>
        </w:tc>
        <w:tc>
          <w:tcPr>
            <w:tcW w:w="1114" w:type="pct"/>
            <w:vAlign w:val="center"/>
          </w:tcPr>
          <w:p w14:paraId="4ECBF223">
            <w:pPr>
              <w:rPr>
                <w:rFonts w:hint="eastAsia" w:ascii="宋体" w:hAnsi="宋体" w:eastAsia="宋体" w:cs="宋体"/>
                <w:sz w:val="21"/>
                <w:szCs w:val="21"/>
              </w:rPr>
            </w:pPr>
            <w:r>
              <w:rPr>
                <w:rFonts w:hint="eastAsia" w:ascii="宋体" w:hAnsi="宋体" w:eastAsia="宋体" w:cs="宋体"/>
                <w:sz w:val="21"/>
                <w:szCs w:val="21"/>
              </w:rPr>
              <w:t>原件</w:t>
            </w:r>
          </w:p>
        </w:tc>
      </w:tr>
      <w:tr w14:paraId="065E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gridSpan w:val="3"/>
            <w:vAlign w:val="center"/>
          </w:tcPr>
          <w:p w14:paraId="4D0D7831">
            <w:pPr>
              <w:rPr>
                <w:rFonts w:hint="eastAsia" w:ascii="宋体" w:hAnsi="宋体" w:eastAsia="宋体" w:cs="宋体"/>
                <w:sz w:val="21"/>
                <w:szCs w:val="21"/>
              </w:rPr>
            </w:pPr>
            <w:r>
              <w:rPr>
                <w:rFonts w:hint="eastAsia" w:ascii="宋体" w:hAnsi="宋体" w:eastAsia="宋体" w:cs="宋体"/>
                <w:sz w:val="21"/>
                <w:szCs w:val="21"/>
              </w:rPr>
              <w:t>上述资料一式两份，除竣工图外，其余资料一律不退回。</w:t>
            </w:r>
          </w:p>
        </w:tc>
      </w:tr>
    </w:tbl>
    <w:p w14:paraId="6BB05C2A">
      <w:pPr>
        <w:spacing w:line="360" w:lineRule="auto"/>
        <w:rPr>
          <w:rFonts w:hint="eastAsia" w:ascii="宋体" w:hAnsi="宋体" w:eastAsia="宋体" w:cs="宋体"/>
          <w:b/>
          <w:sz w:val="21"/>
          <w:szCs w:val="21"/>
        </w:rPr>
      </w:pPr>
      <w:r>
        <w:rPr>
          <w:rFonts w:hint="eastAsia" w:ascii="宋体" w:hAnsi="宋体" w:eastAsia="宋体" w:cs="宋体"/>
          <w:b/>
          <w:sz w:val="21"/>
          <w:szCs w:val="21"/>
        </w:rPr>
        <w:t>第三条：工期</w:t>
      </w:r>
    </w:p>
    <w:p w14:paraId="71EDCB27">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一、总工期</w:t>
      </w:r>
    </w:p>
    <w:p w14:paraId="44E13D77">
      <w:pPr>
        <w:tabs>
          <w:tab w:val="left" w:pos="596"/>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1、总工期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30</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个日历日。</w:t>
      </w:r>
    </w:p>
    <w:p w14:paraId="5A363CBD">
      <w:pPr>
        <w:tabs>
          <w:tab w:val="left" w:pos="851"/>
        </w:tabs>
        <w:spacing w:line="360" w:lineRule="auto"/>
        <w:ind w:firstLine="420" w:firstLineChars="200"/>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highlight w:val="none"/>
        </w:rPr>
        <w:t>开工日期：</w:t>
      </w:r>
      <w:r>
        <w:rPr>
          <w:rFonts w:hint="eastAsia" w:ascii="宋体" w:hAnsi="宋体" w:eastAsia="宋体" w:cs="宋体"/>
          <w:sz w:val="21"/>
          <w:szCs w:val="21"/>
          <w:highlight w:val="none"/>
          <w:u w:val="single"/>
          <w:lang w:val="en-US" w:eastAsia="zh-CN"/>
        </w:rPr>
        <w:t>拟定2026年8月10日，具体以甲方发出的开工日期为准。</w:t>
      </w:r>
    </w:p>
    <w:p w14:paraId="411F1E5F">
      <w:pPr>
        <w:tabs>
          <w:tab w:val="left" w:pos="851"/>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2、以上工期已经充分考虑了节假日、法定假期等，除因甲方原因及不可抗力，经甲方书面确认顺延工期外，不作任何调整。</w:t>
      </w:r>
    </w:p>
    <w:p w14:paraId="58476FF6">
      <w:pPr>
        <w:tabs>
          <w:tab w:val="left" w:pos="851"/>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3、发生本合同约定工期可顺延事项的，乙方应在发生后24小时内以书面方式向甲方提供顺延申请，逾期视为无延期的要求。</w:t>
      </w:r>
    </w:p>
    <w:p w14:paraId="4044FB33">
      <w:pPr>
        <w:tabs>
          <w:tab w:val="left" w:pos="851"/>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乙方所承包项目施工过程中出现的任何工程验收、设计变更、工期变更、停开工、现场签证、价款调整等涉及合同履行及合同条款变更、修改事项的文件必须由甲方项目代表签字及加盖甲方公章确认方可作为结算依据。</w:t>
      </w:r>
    </w:p>
    <w:p w14:paraId="3F6C39A4">
      <w:pPr>
        <w:spacing w:line="360" w:lineRule="auto"/>
        <w:rPr>
          <w:rFonts w:hint="eastAsia" w:ascii="宋体" w:hAnsi="宋体" w:eastAsia="宋体" w:cs="宋体"/>
          <w:sz w:val="21"/>
          <w:szCs w:val="21"/>
        </w:rPr>
      </w:pPr>
      <w:r>
        <w:rPr>
          <w:rFonts w:hint="eastAsia" w:ascii="宋体" w:hAnsi="宋体" w:eastAsia="宋体" w:cs="宋体"/>
          <w:sz w:val="21"/>
          <w:szCs w:val="21"/>
        </w:rPr>
        <w:t>二、如遇下列情况，经甲方书面确认后，工期可以根据实际情况作相应顺延（不含材料垂直运输所需的时间），但甲方不再承担其他责任（包括乙方人员、设备窝工停工工期等）。乙方应在下述事件发生之日起的3日内或事件为持续发生的在事件终止后3日内，向甲方申请工期顺延签证，逾期未申请的，工期不得顺延。</w:t>
      </w:r>
    </w:p>
    <w:p w14:paraId="29EB1CC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1、因自然灾害（如暴雨、台风、水灾、地震等）造成停工时间。</w:t>
      </w:r>
    </w:p>
    <w:p w14:paraId="4D554D7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2、因停水、停电或因电力、水压不能满足施工需要，影响达连续12小时以上者。</w:t>
      </w:r>
    </w:p>
    <w:p w14:paraId="2F93EAC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3、因甲方原因导致部分工程进行重大设计修改，影响进度或增大工程量者。</w:t>
      </w:r>
    </w:p>
    <w:p w14:paraId="2A25F7C3">
      <w:pPr>
        <w:spacing w:line="360" w:lineRule="auto"/>
        <w:rPr>
          <w:rFonts w:hint="eastAsia" w:ascii="宋体" w:hAnsi="宋体" w:eastAsia="宋体" w:cs="宋体"/>
          <w:sz w:val="21"/>
          <w:szCs w:val="21"/>
        </w:rPr>
      </w:pPr>
      <w:r>
        <w:rPr>
          <w:rFonts w:hint="eastAsia" w:ascii="宋体" w:hAnsi="宋体" w:eastAsia="宋体" w:cs="宋体"/>
          <w:sz w:val="21"/>
          <w:szCs w:val="21"/>
        </w:rPr>
        <w:t>三、乙方应在本合同签订之日起10天内向甲方提交切实可行的工程总进度计划，以后每月5日前更新上报，包括但不限于以下时间计划：</w:t>
      </w:r>
    </w:p>
    <w:p w14:paraId="7B84217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1、开工日期；</w:t>
      </w:r>
    </w:p>
    <w:p w14:paraId="6535C14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2、施工安装工期；</w:t>
      </w:r>
    </w:p>
    <w:p w14:paraId="7589164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3、竣工日期；</w:t>
      </w:r>
    </w:p>
    <w:p w14:paraId="6A4345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4、在工程实施期间，乙方应按照甲方要求的时间和格式及时向甲方提交工程月报、周报。乙方所提交的工程施工计划不论甲方是否接受或认可，均不能理解为对于合同约定工期的调整。</w:t>
      </w:r>
    </w:p>
    <w:p w14:paraId="361D74B7">
      <w:pPr>
        <w:spacing w:line="360" w:lineRule="auto"/>
        <w:rPr>
          <w:rFonts w:hint="eastAsia" w:ascii="宋体" w:hAnsi="宋体" w:eastAsia="宋体" w:cs="宋体"/>
          <w:b/>
          <w:sz w:val="21"/>
          <w:szCs w:val="21"/>
        </w:rPr>
      </w:pPr>
      <w:r>
        <w:rPr>
          <w:rFonts w:hint="eastAsia" w:ascii="宋体" w:hAnsi="宋体" w:eastAsia="宋体" w:cs="宋体"/>
          <w:b/>
          <w:sz w:val="21"/>
          <w:szCs w:val="21"/>
        </w:rPr>
        <w:t>第四条：工程质量</w:t>
      </w:r>
    </w:p>
    <w:p w14:paraId="13C206C3">
      <w:pPr>
        <w:spacing w:line="360" w:lineRule="auto"/>
        <w:rPr>
          <w:rFonts w:hint="eastAsia" w:ascii="宋体" w:hAnsi="宋体" w:eastAsia="宋体" w:cs="宋体"/>
          <w:sz w:val="21"/>
          <w:szCs w:val="21"/>
        </w:rPr>
      </w:pPr>
      <w:r>
        <w:rPr>
          <w:rFonts w:hint="eastAsia" w:ascii="宋体" w:hAnsi="宋体" w:eastAsia="宋体" w:cs="宋体"/>
          <w:sz w:val="21"/>
          <w:szCs w:val="21"/>
        </w:rPr>
        <w:t>一、工程质量标准：</w:t>
      </w:r>
      <w:r>
        <w:rPr>
          <w:rFonts w:hint="eastAsia" w:ascii="宋体" w:hAnsi="宋体" w:eastAsia="宋体" w:cs="宋体"/>
          <w:sz w:val="21"/>
          <w:szCs w:val="21"/>
          <w:u w:val="single"/>
        </w:rPr>
        <w:t>合格</w:t>
      </w:r>
    </w:p>
    <w:p w14:paraId="72CDDA47">
      <w:pPr>
        <w:spacing w:line="360" w:lineRule="auto"/>
        <w:rPr>
          <w:rFonts w:hint="eastAsia" w:ascii="宋体" w:hAnsi="宋体" w:eastAsia="宋体" w:cs="宋体"/>
          <w:sz w:val="21"/>
          <w:szCs w:val="21"/>
        </w:rPr>
      </w:pPr>
      <w:r>
        <w:rPr>
          <w:rFonts w:hint="eastAsia" w:ascii="宋体" w:hAnsi="宋体" w:eastAsia="宋体" w:cs="宋体"/>
          <w:sz w:val="21"/>
          <w:szCs w:val="21"/>
        </w:rPr>
        <w:t>二、工程质量具体要求：施工质量必须符合合同文件与现行施工规范的要求,以施工图纸、作法说明、设计变更和国家制订的施工及验收规范为质量评定验收标准，且须满足消防、节能、环保等要求，竣工资料符合相关规范与文件的规定。</w:t>
      </w:r>
    </w:p>
    <w:p w14:paraId="1933B2A6">
      <w:pPr>
        <w:spacing w:line="360" w:lineRule="auto"/>
        <w:rPr>
          <w:rFonts w:hint="eastAsia" w:ascii="宋体" w:hAnsi="宋体" w:eastAsia="宋体" w:cs="宋体"/>
          <w:sz w:val="21"/>
          <w:szCs w:val="21"/>
        </w:rPr>
      </w:pPr>
      <w:r>
        <w:rPr>
          <w:rFonts w:hint="eastAsia" w:ascii="宋体" w:hAnsi="宋体" w:eastAsia="宋体" w:cs="宋体"/>
          <w:sz w:val="21"/>
          <w:szCs w:val="21"/>
        </w:rPr>
        <w:t>三、如果上述国家、地方或行业的规范、规程、标准存在相互重叠、矛盾的内容，按较高的质量标准执行。上述规范、规程、规定、标准等被新规范、规程、规定、标准等所取代时，按新颁布的规范、规程、规定、标准等执行。</w:t>
      </w:r>
    </w:p>
    <w:p w14:paraId="4C9264E5">
      <w:pPr>
        <w:spacing w:line="360" w:lineRule="auto"/>
        <w:rPr>
          <w:rFonts w:hint="eastAsia" w:ascii="宋体" w:hAnsi="宋体" w:eastAsia="宋体" w:cs="宋体"/>
          <w:sz w:val="21"/>
          <w:szCs w:val="21"/>
        </w:rPr>
      </w:pPr>
      <w:r>
        <w:rPr>
          <w:rFonts w:hint="eastAsia" w:ascii="宋体" w:hAnsi="宋体" w:eastAsia="宋体" w:cs="宋体"/>
          <w:sz w:val="21"/>
          <w:szCs w:val="21"/>
        </w:rPr>
        <w:t>四、乙方对本工程所有的材料、设备安装以及所要求的有关文件与证明负全部责任，并且必须保证甲方免于承担来自：施工操作、材料、质量引起的任何损坏所造成的一切损失；本工程的非正常变质、老化或风化所造成的一切损失；超过本合同招标文件技术规范及国家相关规范规定限度的所造成的一切损失；保修期内所造成的一切损失；装饰出现超过正常风蚀或老化的变形或褪色所造成的一切损失；以及未能达到合同文件所规定的其它任何性能或质量要求而引起的一切责任。任何因上述事宜而导致任何人员的伤亡或财产损失，乙方都必须承担损失赔偿责任，甲方不承担任何责任。</w:t>
      </w:r>
    </w:p>
    <w:p w14:paraId="7C6BB39E">
      <w:pPr>
        <w:spacing w:line="360" w:lineRule="auto"/>
        <w:rPr>
          <w:rFonts w:hint="eastAsia" w:ascii="宋体" w:hAnsi="宋体" w:eastAsia="宋体" w:cs="宋体"/>
          <w:sz w:val="21"/>
          <w:szCs w:val="21"/>
        </w:rPr>
      </w:pPr>
      <w:r>
        <w:rPr>
          <w:rFonts w:hint="eastAsia" w:ascii="宋体" w:hAnsi="宋体" w:eastAsia="宋体" w:cs="宋体"/>
          <w:sz w:val="21"/>
          <w:szCs w:val="21"/>
        </w:rPr>
        <w:t>五、工程质量未达到合同文件规定的质量标准与要求，乙方必须负责无条件整改直至工程达到规定的等级和标准，工期不予顺延，所产生的各项费用和损失赔偿责任由乙方承担。由于乙方原因造成的质量事故，其返工费用由乙方自行承担，工期不顺延。由于甲方提出增加项目、数量及变更，工期应顺延。</w:t>
      </w:r>
    </w:p>
    <w:p w14:paraId="616BBD30">
      <w:pPr>
        <w:spacing w:line="360" w:lineRule="auto"/>
        <w:rPr>
          <w:rFonts w:hint="eastAsia" w:ascii="宋体" w:hAnsi="宋体" w:eastAsia="宋体" w:cs="宋体"/>
          <w:sz w:val="21"/>
          <w:szCs w:val="21"/>
        </w:rPr>
      </w:pPr>
      <w:r>
        <w:rPr>
          <w:rFonts w:hint="eastAsia" w:ascii="宋体" w:hAnsi="宋体" w:eastAsia="宋体" w:cs="宋体"/>
          <w:sz w:val="21"/>
          <w:szCs w:val="21"/>
        </w:rPr>
        <w:t>六、乙方严格按设计要求和提供的材料样板采购和使用，如果发现乙方提供的材料以次充好，达不到高品质要求而造成返工损失的，除由乙方承担返工损失外，按乙方完成合格工程量的60%进行结算，同时给予重罚。乙方应按甲方要求开除施工中不合格的工人，以保证工程质量。</w:t>
      </w:r>
    </w:p>
    <w:p w14:paraId="09A1BBDE">
      <w:pPr>
        <w:spacing w:line="360" w:lineRule="auto"/>
        <w:rPr>
          <w:rFonts w:hint="eastAsia" w:ascii="宋体" w:hAnsi="宋体" w:eastAsia="宋体" w:cs="宋体"/>
          <w:sz w:val="21"/>
          <w:szCs w:val="21"/>
        </w:rPr>
      </w:pPr>
      <w:r>
        <w:rPr>
          <w:rFonts w:hint="eastAsia" w:ascii="宋体" w:hAnsi="宋体" w:eastAsia="宋体" w:cs="宋体"/>
          <w:sz w:val="21"/>
          <w:szCs w:val="21"/>
        </w:rPr>
        <w:t>七、乙方应按国家及地方相关法律、行政法规或关于工程质量保修的有关规定，对交付甲方使用的工程在质量保修期内承担质量保修责任。若国家或地方规定以及本合同约定不一致的，按照最严格的保修义务标准和期限执行。工程从施工验收合格并交付使用之日起，</w:t>
      </w:r>
      <w:r>
        <w:rPr>
          <w:rFonts w:hint="eastAsia" w:ascii="宋体" w:hAnsi="宋体" w:eastAsia="宋体" w:cs="宋体"/>
          <w:sz w:val="21"/>
          <w:szCs w:val="21"/>
          <w:u w:val="single"/>
        </w:rPr>
        <w:t>保修</w:t>
      </w:r>
      <w:r>
        <w:rPr>
          <w:rFonts w:hint="eastAsia" w:ascii="宋体" w:hAnsi="宋体" w:eastAsia="宋体" w:cs="宋体"/>
          <w:sz w:val="21"/>
          <w:szCs w:val="21"/>
          <w:u w:val="single"/>
          <w:lang w:val="en-US" w:eastAsia="zh-CN"/>
        </w:rPr>
        <w:t>0.5</w:t>
      </w:r>
      <w:r>
        <w:rPr>
          <w:rFonts w:hint="eastAsia" w:ascii="宋体" w:hAnsi="宋体" w:eastAsia="宋体" w:cs="宋体"/>
          <w:sz w:val="21"/>
          <w:szCs w:val="21"/>
          <w:u w:val="single"/>
        </w:rPr>
        <w:t>年</w:t>
      </w:r>
      <w:r>
        <w:rPr>
          <w:rFonts w:hint="eastAsia" w:ascii="宋体" w:hAnsi="宋体" w:eastAsia="宋体" w:cs="宋体"/>
          <w:sz w:val="21"/>
          <w:szCs w:val="21"/>
        </w:rPr>
        <w:t>，在保修期内，如甲方人为造成损坏或因用户使用不当造成的质量问题，乙方负责有偿维修，维修费由甲、乙双方另行协商。工程交付后，如不能满足使用要求或存在乙方施工时引起的损坏、缺陷，乙方接到甲方通知后24小时内予以回应，2天内必须派员到场修复，一周内维修完毕。如乙方未按时到场履行修复义务的，甲方可委托第三人进行修复，修复费用由乙方承担，同时乙方按修复费用的20%向甲方支付违约金，且甲方有权从保修金中扣除修复费用和违约金，不足部分乙方应予以补足。</w:t>
      </w:r>
    </w:p>
    <w:p w14:paraId="6A8D8855">
      <w:pPr>
        <w:spacing w:line="360" w:lineRule="auto"/>
        <w:rPr>
          <w:rFonts w:hint="eastAsia" w:ascii="宋体" w:hAnsi="宋体" w:eastAsia="宋体" w:cs="宋体"/>
          <w:sz w:val="21"/>
          <w:szCs w:val="21"/>
        </w:rPr>
      </w:pPr>
      <w:r>
        <w:rPr>
          <w:rFonts w:hint="eastAsia" w:ascii="宋体" w:hAnsi="宋体" w:eastAsia="宋体" w:cs="宋体"/>
          <w:sz w:val="21"/>
          <w:szCs w:val="21"/>
        </w:rPr>
        <w:t>八、甲方检查发现问题后，乙方应立即整改，并作返工处理，费用由乙方承担，工期不予顺延。</w:t>
      </w:r>
    </w:p>
    <w:p w14:paraId="5F8924FF">
      <w:pPr>
        <w:spacing w:line="360" w:lineRule="auto"/>
        <w:rPr>
          <w:rFonts w:hint="eastAsia" w:ascii="宋体" w:hAnsi="宋体" w:eastAsia="宋体" w:cs="宋体"/>
          <w:b/>
          <w:sz w:val="21"/>
          <w:szCs w:val="21"/>
        </w:rPr>
      </w:pPr>
      <w:r>
        <w:rPr>
          <w:rFonts w:hint="eastAsia" w:ascii="宋体" w:hAnsi="宋体" w:eastAsia="宋体" w:cs="宋体"/>
          <w:sz w:val="21"/>
          <w:szCs w:val="21"/>
        </w:rPr>
        <w:t>九、乙方在工程竣工时，应按照甲方的保修书格式与甲方签订质量保修书。</w:t>
      </w:r>
    </w:p>
    <w:p w14:paraId="37F91A8A">
      <w:pPr>
        <w:spacing w:line="360" w:lineRule="auto"/>
        <w:rPr>
          <w:rFonts w:hint="eastAsia" w:ascii="宋体" w:hAnsi="宋体" w:eastAsia="宋体" w:cs="宋体"/>
          <w:b/>
          <w:sz w:val="21"/>
          <w:szCs w:val="21"/>
        </w:rPr>
      </w:pPr>
      <w:r>
        <w:rPr>
          <w:rFonts w:hint="eastAsia" w:ascii="宋体" w:hAnsi="宋体" w:eastAsia="宋体" w:cs="宋体"/>
          <w:b/>
          <w:sz w:val="21"/>
          <w:szCs w:val="21"/>
        </w:rPr>
        <w:t>第五条：材料要求</w:t>
      </w:r>
    </w:p>
    <w:p w14:paraId="72ACFF57">
      <w:pPr>
        <w:spacing w:line="360" w:lineRule="auto"/>
        <w:rPr>
          <w:rFonts w:hint="eastAsia" w:ascii="宋体" w:hAnsi="宋体" w:eastAsia="宋体" w:cs="宋体"/>
          <w:sz w:val="21"/>
          <w:szCs w:val="21"/>
        </w:rPr>
      </w:pPr>
      <w:r>
        <w:rPr>
          <w:rFonts w:hint="eastAsia" w:ascii="宋体" w:hAnsi="宋体" w:eastAsia="宋体" w:cs="宋体"/>
          <w:sz w:val="21"/>
          <w:szCs w:val="21"/>
        </w:rPr>
        <w:t>一、乙方提供材料应符合下列要求：</w:t>
      </w:r>
    </w:p>
    <w:p w14:paraId="56431CD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1、材料进场必须由甲方现场代表及分管负责人联合验收。</w:t>
      </w:r>
    </w:p>
    <w:p w14:paraId="4893D28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2、乙方提供的材料必须符合国家标准的环保、节能要求、消防规定及相关资质规定（含国家强制性资质规定及要求）。</w:t>
      </w:r>
    </w:p>
    <w:p w14:paraId="13638B8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3、乙方提供的材料应为全新、完整、无损的产品，具有产品合格证具检测报告。材料规格、品种品牌均按设计文件和甲方要求采购制作。</w:t>
      </w:r>
    </w:p>
    <w:p w14:paraId="6EE8BE1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4、符合设计及甲方要求，并以设计公司或乙方提供的样板为准。甲方未指定品牌范围的材料须满足本工程设计要求及国家相关规定的要求。</w:t>
      </w:r>
    </w:p>
    <w:p w14:paraId="533F871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4.1符合国家、地方和行业装饰工程有关规范规定（规定不一致，按照最高标准执行），特别是影响使用的建筑材料（如给排水管道、防水预埋、电线、电缆等）。</w:t>
      </w:r>
    </w:p>
    <w:p w14:paraId="66A62E4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4.2以上材料甲方有权抽检，若抽检合格，检验费用由甲方</w:t>
      </w:r>
      <w:r>
        <w:rPr>
          <w:rFonts w:hint="eastAsia" w:ascii="宋体" w:hAnsi="宋体" w:eastAsia="宋体" w:cs="宋体"/>
          <w:sz w:val="21"/>
          <w:szCs w:val="21"/>
          <w:lang w:val="en-US" w:eastAsia="zh-CN"/>
        </w:rPr>
        <w:t>承担</w:t>
      </w:r>
      <w:r>
        <w:rPr>
          <w:rFonts w:hint="eastAsia" w:ascii="宋体" w:hAnsi="宋体" w:eastAsia="宋体" w:cs="宋体"/>
          <w:sz w:val="21"/>
          <w:szCs w:val="21"/>
        </w:rPr>
        <w:t>，若不合格检验费由乙方承担，并乙方须承担由此产生的一切责任。</w:t>
      </w:r>
    </w:p>
    <w:p w14:paraId="6D6C9640">
      <w:pPr>
        <w:spacing w:line="360" w:lineRule="auto"/>
        <w:rPr>
          <w:rFonts w:hint="eastAsia" w:ascii="宋体" w:hAnsi="宋体" w:eastAsia="宋体" w:cs="宋体"/>
          <w:sz w:val="21"/>
          <w:szCs w:val="21"/>
        </w:rPr>
      </w:pPr>
      <w:r>
        <w:rPr>
          <w:rFonts w:hint="eastAsia" w:ascii="宋体" w:hAnsi="宋体" w:eastAsia="宋体" w:cs="宋体"/>
          <w:sz w:val="21"/>
          <w:szCs w:val="21"/>
        </w:rPr>
        <w:t>二、乙方不按甲方要求或合同确定的材料品牌、厂家、产地、规格、型号、包装及材质组织生产和供货，即为货不对板，发生货不对板（事前书面报请甲方同意更改的除外），乙方同意按照下列条款承担违约责任和赔偿责任：</w:t>
      </w:r>
    </w:p>
    <w:p w14:paraId="3B51ACE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1、材料货到工地施工安装前，如发现所供产品货不对板，除无条件全部更换，工期不予顺延外，且按到货货不对板产品数量总价的30%向甲方支付违约金，结算时在乙方结算款中径行扣除。</w:t>
      </w:r>
    </w:p>
    <w:p w14:paraId="527493B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材料货到工地已经安装或施工安装完成，如发现所供产品货不对板，乙方除无条件全部拆除、更换，并承担修复建筑物和相关其他成品的责任外，按到货不对板产品数量总价的二至五倍向甲方支付违约金，工期不予顺延。如果因此造成甲方建筑物或其他成品无法修复的后果，除承担本款上述责任外，并应支付重做的相应费用（无论是否重做）。</w:t>
      </w:r>
    </w:p>
    <w:p w14:paraId="7A12A80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3、乙方自检后，若发现同一货物两次或两次以上货不对板或者同一工程两次或两次以上货不对板，乙方同意按上述责任条款加倍承担违约责任。</w:t>
      </w:r>
    </w:p>
    <w:p w14:paraId="3238569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4、凡发现乙方存在货不对板的情况，甲方有权拒付后续的所有款项，且乙方同意甲方在乙方与甲方签订的其它合同中扣付货不对板违约金，甲方同时保留追究乙方法律责任的权利。</w:t>
      </w:r>
    </w:p>
    <w:p w14:paraId="24AB260B">
      <w:pPr>
        <w:spacing w:line="360" w:lineRule="auto"/>
        <w:rPr>
          <w:rFonts w:hint="eastAsia" w:ascii="宋体" w:hAnsi="宋体" w:eastAsia="宋体" w:cs="宋体"/>
          <w:sz w:val="21"/>
          <w:szCs w:val="21"/>
        </w:rPr>
      </w:pPr>
      <w:r>
        <w:rPr>
          <w:rFonts w:hint="eastAsia" w:ascii="宋体" w:hAnsi="宋体" w:eastAsia="宋体" w:cs="宋体"/>
          <w:sz w:val="21"/>
          <w:szCs w:val="21"/>
        </w:rPr>
        <w:t>三、甲供材料、设备的供货，甲方提前二天通知乙方，货物运到现场后，乙方应安排适当卸货位置并协助卸货（卸货由供应商负责，但二次搬运由乙方负责），并在1小时内组织验收并办理移交/接收手续。逾时未验收，视为乙方已验收。</w:t>
      </w:r>
    </w:p>
    <w:p w14:paraId="671623E6">
      <w:pPr>
        <w:spacing w:line="360" w:lineRule="auto"/>
        <w:rPr>
          <w:rFonts w:hint="eastAsia" w:ascii="宋体" w:hAnsi="宋体" w:eastAsia="宋体" w:cs="宋体"/>
          <w:sz w:val="21"/>
          <w:szCs w:val="21"/>
        </w:rPr>
      </w:pPr>
      <w:r>
        <w:rPr>
          <w:rFonts w:hint="eastAsia" w:ascii="宋体" w:hAnsi="宋体" w:eastAsia="宋体" w:cs="宋体"/>
          <w:sz w:val="21"/>
          <w:szCs w:val="21"/>
        </w:rPr>
        <w:t>四、对于乙方负责采购的材料，如乙方所订材料超过总进度计划时间5天仍不能到货，并对工程进度造成影响的，甲方有权另行组织订货，其违约责任由乙方承担，甲方有权按该项材料总额的100%向乙方收取违约金，所订材料款及违约金从乙方工程进度款中径行扣除。</w:t>
      </w:r>
    </w:p>
    <w:p w14:paraId="22C4E3B3">
      <w:pPr>
        <w:spacing w:line="360" w:lineRule="auto"/>
        <w:rPr>
          <w:rFonts w:hint="eastAsia" w:ascii="宋体" w:hAnsi="宋体" w:eastAsia="宋体" w:cs="宋体"/>
          <w:sz w:val="21"/>
          <w:szCs w:val="21"/>
        </w:rPr>
      </w:pPr>
      <w:r>
        <w:rPr>
          <w:rFonts w:hint="eastAsia" w:ascii="宋体" w:hAnsi="宋体" w:eastAsia="宋体" w:cs="宋体"/>
          <w:sz w:val="21"/>
          <w:szCs w:val="21"/>
        </w:rPr>
        <w:t>五、甲供材料在结算时须与实际应使用数量一致。乙方对甲供材料的数量的准确性负责。如在结算时经甲方确认实际应使用数量与乙方上报的甲供数量存在差异的，则甲方视为乙方挪作他用，除在结算时按照甲供材料甲方采购价格及差异数量在乙方结算款中径行扣除外，另乙方须按照差异部分的材料费用的一倍向甲方支付违约金。</w:t>
      </w:r>
    </w:p>
    <w:p w14:paraId="1F6EA211">
      <w:pPr>
        <w:spacing w:line="360" w:lineRule="auto"/>
        <w:rPr>
          <w:rFonts w:hint="eastAsia" w:ascii="宋体" w:hAnsi="宋体" w:eastAsia="宋体" w:cs="宋体"/>
          <w:b/>
          <w:sz w:val="21"/>
          <w:szCs w:val="21"/>
        </w:rPr>
      </w:pPr>
    </w:p>
    <w:p w14:paraId="5690B95D">
      <w:pPr>
        <w:spacing w:line="360" w:lineRule="auto"/>
        <w:rPr>
          <w:rFonts w:hint="eastAsia" w:ascii="宋体" w:hAnsi="宋体" w:eastAsia="宋体" w:cs="宋体"/>
          <w:sz w:val="21"/>
          <w:szCs w:val="21"/>
        </w:rPr>
      </w:pPr>
      <w:r>
        <w:rPr>
          <w:rFonts w:hint="eastAsia" w:ascii="宋体" w:hAnsi="宋体" w:eastAsia="宋体" w:cs="宋体"/>
          <w:b/>
          <w:sz w:val="21"/>
          <w:szCs w:val="21"/>
        </w:rPr>
        <w:t>第六条：施工组织与设计变更</w:t>
      </w:r>
    </w:p>
    <w:p w14:paraId="0D76365A">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一、乙方在施工中必须遵照国家颁发的施工验收规范和质量检验标准，按设计要求组织施工。</w:t>
      </w:r>
    </w:p>
    <w:p w14:paraId="75174DC8">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二、乙方在正式进场施工前，应向甲方提供完整的施工组织设计、施工进度计划，材料进度计划、并附所有现场施工管理人员的组织网络机构图。</w:t>
      </w:r>
    </w:p>
    <w:p w14:paraId="333BD367">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三、乙方必须严格按照甲方审定后的图纸施工，不得随意更改，否则甲方不办理签证手续及乙方必须赔偿由此造成的甲方所有损失。如乙方认为施工图纸存在问题和缺陷，应经设计公司和甲方签审认可后施工。</w:t>
      </w:r>
    </w:p>
    <w:p w14:paraId="326FE33A">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四、乙方严格执行装修部分隐蔽工程的验收制度，隐蔽工程验收完毕并做好记录，方能进行下道工序的施工，凡隐蔽工程验收由乙方书面通知甲方，共同进行验收并办理验收手续。</w:t>
      </w:r>
    </w:p>
    <w:p w14:paraId="4CA778F2">
      <w:pPr>
        <w:snapToGrid w:val="0"/>
        <w:spacing w:line="360" w:lineRule="auto"/>
        <w:rPr>
          <w:rFonts w:hint="eastAsia" w:ascii="宋体" w:hAnsi="宋体" w:eastAsia="宋体" w:cs="宋体"/>
          <w:sz w:val="21"/>
          <w:szCs w:val="21"/>
        </w:rPr>
      </w:pPr>
      <w:r>
        <w:rPr>
          <w:rFonts w:hint="eastAsia" w:ascii="宋体" w:hAnsi="宋体" w:eastAsia="宋体" w:cs="宋体"/>
          <w:sz w:val="21"/>
          <w:szCs w:val="21"/>
        </w:rPr>
        <w:t>五、双方须以书面形式确认工程量的增减、签证、技术问题等，并以甲方签认为准。</w:t>
      </w:r>
    </w:p>
    <w:p w14:paraId="3A9879C0">
      <w:pPr>
        <w:spacing w:line="360" w:lineRule="auto"/>
        <w:rPr>
          <w:rFonts w:hint="eastAsia" w:ascii="宋体" w:hAnsi="宋体" w:eastAsia="宋体" w:cs="宋体"/>
          <w:sz w:val="21"/>
          <w:szCs w:val="21"/>
        </w:rPr>
      </w:pPr>
      <w:r>
        <w:rPr>
          <w:rFonts w:hint="eastAsia" w:ascii="宋体" w:hAnsi="宋体" w:eastAsia="宋体" w:cs="宋体"/>
          <w:sz w:val="21"/>
          <w:szCs w:val="21"/>
        </w:rPr>
        <w:t>六、如乙方向甲方申报的工程签证存在弄虚作假、恶意串通情况，经甲方查证为弄虚作假的，该签证无效，同时甲方有权要求乙方按该签证额的两倍向甲方支付赔偿金。</w:t>
      </w:r>
    </w:p>
    <w:p w14:paraId="4638A46C">
      <w:pPr>
        <w:spacing w:line="360" w:lineRule="auto"/>
        <w:rPr>
          <w:rFonts w:hint="eastAsia" w:ascii="宋体" w:hAnsi="宋体" w:eastAsia="宋体" w:cs="宋体"/>
          <w:b/>
          <w:sz w:val="21"/>
          <w:szCs w:val="21"/>
        </w:rPr>
      </w:pPr>
    </w:p>
    <w:p w14:paraId="3D570C29">
      <w:pPr>
        <w:spacing w:line="360" w:lineRule="auto"/>
        <w:rPr>
          <w:rFonts w:hint="eastAsia" w:ascii="宋体" w:hAnsi="宋体" w:eastAsia="宋体" w:cs="宋体"/>
          <w:sz w:val="21"/>
          <w:szCs w:val="21"/>
        </w:rPr>
      </w:pPr>
      <w:r>
        <w:rPr>
          <w:rFonts w:hint="eastAsia" w:ascii="宋体" w:hAnsi="宋体" w:eastAsia="宋体" w:cs="宋体"/>
          <w:b/>
          <w:sz w:val="21"/>
          <w:szCs w:val="21"/>
        </w:rPr>
        <w:t>第七条：安全要求</w:t>
      </w:r>
    </w:p>
    <w:p w14:paraId="267042CB">
      <w:pPr>
        <w:tabs>
          <w:tab w:val="left" w:pos="99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rPr>
        <w:t>一、乙方施工人员进场前要进行三级安全教育，合格后才能进入施工现场，进场后必须遵守安全生产操作规程并自觉遵守甲方的所有管理规定，服从甲方安全管理人员的管理。采取严格、科学的安全防护措施，确保施工安全和第三者的安全，消除事故隐患，否则甲方管理人员有权按甲方的管理规定对乙方违章违规人员进行经济处罚或处理</w:t>
      </w:r>
      <w:r>
        <w:rPr>
          <w:rFonts w:hint="eastAsia" w:ascii="宋体" w:hAnsi="宋体" w:eastAsia="宋体" w:cs="宋体"/>
          <w:sz w:val="21"/>
          <w:szCs w:val="21"/>
          <w:lang w:eastAsia="zh-CN"/>
        </w:rPr>
        <w:t>。</w:t>
      </w:r>
    </w:p>
    <w:p w14:paraId="7E7EE7B4">
      <w:pPr>
        <w:tabs>
          <w:tab w:val="left" w:pos="990"/>
        </w:tabs>
        <w:spacing w:line="360" w:lineRule="auto"/>
        <w:rPr>
          <w:rFonts w:hint="eastAsia" w:ascii="宋体" w:hAnsi="宋体" w:eastAsia="宋体" w:cs="宋体"/>
          <w:sz w:val="21"/>
          <w:szCs w:val="21"/>
        </w:rPr>
      </w:pPr>
      <w:r>
        <w:rPr>
          <w:rFonts w:hint="eastAsia" w:ascii="宋体" w:hAnsi="宋体" w:eastAsia="宋体" w:cs="宋体"/>
          <w:sz w:val="21"/>
          <w:szCs w:val="21"/>
        </w:rPr>
        <w:t>二、乙方应按国家及</w:t>
      </w:r>
      <w:r>
        <w:rPr>
          <w:rFonts w:hint="eastAsia" w:ascii="宋体" w:hAnsi="宋体" w:eastAsia="宋体" w:cs="宋体"/>
          <w:sz w:val="21"/>
          <w:szCs w:val="21"/>
          <w:u w:val="single"/>
        </w:rPr>
        <w:t>深圳</w:t>
      </w:r>
      <w:r>
        <w:rPr>
          <w:rFonts w:hint="eastAsia" w:ascii="宋体" w:hAnsi="宋体" w:eastAsia="宋体" w:cs="宋体"/>
          <w:sz w:val="21"/>
          <w:szCs w:val="21"/>
        </w:rPr>
        <w:t>市有关安全施工的规定，采取严格、科学的安全防护措施，确保施工安全和第三者的财产及人身安全；施工现场应按工程需要提供和维护必要的照明、看守、围栏等设备和设施，如乙方未履行上述义务，造成本工程及第三者财产损失和人身伤害，由乙方承担责任及发生的费用。</w:t>
      </w:r>
    </w:p>
    <w:p w14:paraId="14AB0060">
      <w:pPr>
        <w:tabs>
          <w:tab w:val="left" w:pos="990"/>
        </w:tabs>
        <w:spacing w:line="360" w:lineRule="auto"/>
        <w:rPr>
          <w:rFonts w:hint="eastAsia" w:ascii="宋体" w:hAnsi="宋体" w:eastAsia="宋体" w:cs="宋体"/>
          <w:sz w:val="21"/>
          <w:szCs w:val="21"/>
        </w:rPr>
      </w:pPr>
      <w:r>
        <w:rPr>
          <w:rFonts w:hint="eastAsia" w:ascii="宋体" w:hAnsi="宋体" w:eastAsia="宋体" w:cs="宋体"/>
          <w:sz w:val="21"/>
          <w:szCs w:val="21"/>
        </w:rPr>
        <w:t>三、由于乙方安全措施不力造成事故的所有法律责任和造成的一切经济赔偿责任由乙方承担，并立即书面报告市建设主管单位、甲方。</w:t>
      </w:r>
    </w:p>
    <w:p w14:paraId="0AC59B43">
      <w:pPr>
        <w:spacing w:line="360" w:lineRule="auto"/>
        <w:rPr>
          <w:rFonts w:hint="eastAsia" w:ascii="宋体" w:hAnsi="宋体" w:eastAsia="宋体" w:cs="宋体"/>
          <w:sz w:val="21"/>
          <w:szCs w:val="21"/>
        </w:rPr>
      </w:pPr>
      <w:r>
        <w:rPr>
          <w:rFonts w:hint="eastAsia" w:ascii="宋体" w:hAnsi="宋体" w:eastAsia="宋体" w:cs="宋体"/>
          <w:sz w:val="21"/>
          <w:szCs w:val="21"/>
        </w:rPr>
        <w:t>四、乙方进场后自行申购包括但不限于工伤保险、人身意外险、工程财产险及安装工程一切险，乙方施工过程中发生的一切人身损害等伤亡事故和财产损失均由乙方承担赔偿责任，造成甲方损失的，甲方有权向乙方追偿。乙方应遵守国家劳动合同法及相关法律法规，处理好内部劳动关系，所发生的一切劳资纠纷自行处理，与甲方无关，甲方不承担任何责任。</w:t>
      </w:r>
    </w:p>
    <w:p w14:paraId="5C80F9ED">
      <w:pPr>
        <w:spacing w:line="360" w:lineRule="auto"/>
        <w:rPr>
          <w:rFonts w:hint="eastAsia" w:ascii="宋体" w:hAnsi="宋体" w:eastAsia="宋体" w:cs="宋体"/>
          <w:sz w:val="21"/>
          <w:szCs w:val="21"/>
        </w:rPr>
      </w:pPr>
      <w:r>
        <w:rPr>
          <w:rFonts w:hint="eastAsia" w:ascii="宋体" w:hAnsi="宋体" w:eastAsia="宋体" w:cs="宋体"/>
          <w:sz w:val="21"/>
          <w:szCs w:val="21"/>
        </w:rPr>
        <w:t>五、在工程施工过程中，由于乙方责任出现质量、安全事故、劳动纠纷的，乙方承担相关责任并按每起事故或纠纷视情节轻重向甲方支付违约金人民币3－5万元；受到媒体或有关主管部门通报或批评，甲方有权单方面解除本合同，乙方应向甲方支付违约金人民币5－10万元，并赔偿由此给甲方造成的其他损失。</w:t>
      </w:r>
    </w:p>
    <w:p w14:paraId="57E940AD">
      <w:pPr>
        <w:spacing w:line="360" w:lineRule="auto"/>
        <w:rPr>
          <w:rFonts w:hint="eastAsia" w:ascii="宋体" w:hAnsi="宋体" w:eastAsia="宋体" w:cs="宋体"/>
          <w:sz w:val="21"/>
          <w:szCs w:val="21"/>
        </w:rPr>
      </w:pPr>
      <w:r>
        <w:rPr>
          <w:rFonts w:hint="eastAsia" w:ascii="宋体" w:hAnsi="宋体" w:eastAsia="宋体" w:cs="宋体"/>
          <w:sz w:val="21"/>
          <w:szCs w:val="21"/>
        </w:rPr>
        <w:t>六、乙方必须派一名安全管理人员负责现场安全工作，所有特种作业人员必须持证上岗，否则按有关规定处理。</w:t>
      </w:r>
    </w:p>
    <w:p w14:paraId="6F4D189D">
      <w:pPr>
        <w:spacing w:line="360" w:lineRule="auto"/>
        <w:rPr>
          <w:rFonts w:hint="eastAsia" w:ascii="宋体" w:hAnsi="宋体" w:eastAsia="宋体" w:cs="宋体"/>
          <w:sz w:val="21"/>
          <w:szCs w:val="21"/>
        </w:rPr>
      </w:pPr>
    </w:p>
    <w:p w14:paraId="5354F214">
      <w:pPr>
        <w:spacing w:line="360" w:lineRule="auto"/>
        <w:rPr>
          <w:rFonts w:hint="eastAsia" w:ascii="宋体" w:hAnsi="宋体" w:eastAsia="宋体" w:cs="宋体"/>
          <w:b/>
          <w:sz w:val="21"/>
          <w:szCs w:val="21"/>
        </w:rPr>
      </w:pPr>
      <w:r>
        <w:rPr>
          <w:rFonts w:hint="eastAsia" w:ascii="宋体" w:hAnsi="宋体" w:eastAsia="宋体" w:cs="宋体"/>
          <w:b/>
          <w:sz w:val="21"/>
          <w:szCs w:val="21"/>
        </w:rPr>
        <w:t>第八条：文明施工要求</w:t>
      </w:r>
    </w:p>
    <w:p w14:paraId="3815A105">
      <w:pPr>
        <w:spacing w:line="360" w:lineRule="auto"/>
        <w:rPr>
          <w:rFonts w:hint="eastAsia" w:ascii="宋体" w:hAnsi="宋体" w:eastAsia="宋体" w:cs="宋体"/>
          <w:sz w:val="21"/>
          <w:szCs w:val="21"/>
        </w:rPr>
      </w:pPr>
      <w:r>
        <w:rPr>
          <w:rFonts w:hint="eastAsia" w:ascii="宋体" w:hAnsi="宋体" w:eastAsia="宋体" w:cs="宋体"/>
          <w:sz w:val="21"/>
          <w:szCs w:val="21"/>
        </w:rPr>
        <w:t>一、乙方必须加强施工现场管理，确保文明施工现场。现场不得留宿三无人员及其家眷，严禁男女混住。</w:t>
      </w:r>
    </w:p>
    <w:p w14:paraId="64604780">
      <w:pPr>
        <w:spacing w:line="360" w:lineRule="auto"/>
        <w:rPr>
          <w:rFonts w:hint="eastAsia" w:ascii="宋体" w:hAnsi="宋体" w:eastAsia="宋体" w:cs="宋体"/>
          <w:sz w:val="21"/>
          <w:szCs w:val="21"/>
        </w:rPr>
      </w:pPr>
      <w:r>
        <w:rPr>
          <w:rFonts w:hint="eastAsia" w:ascii="宋体" w:hAnsi="宋体" w:eastAsia="宋体" w:cs="宋体"/>
          <w:sz w:val="21"/>
          <w:szCs w:val="21"/>
        </w:rPr>
        <w:t>二、乙方所承建的工程区域必须达到深圳市文明施工的标准要求，遵守</w:t>
      </w:r>
      <w:r>
        <w:rPr>
          <w:rFonts w:hint="eastAsia" w:ascii="宋体" w:hAnsi="宋体" w:eastAsia="宋体" w:cs="宋体"/>
          <w:sz w:val="21"/>
          <w:szCs w:val="21"/>
          <w:u w:val="single"/>
        </w:rPr>
        <w:t>深圳</w:t>
      </w:r>
      <w:r>
        <w:rPr>
          <w:rFonts w:hint="eastAsia" w:ascii="宋体" w:hAnsi="宋体" w:eastAsia="宋体" w:cs="宋体"/>
          <w:sz w:val="21"/>
          <w:szCs w:val="21"/>
        </w:rPr>
        <w:t>市政府和有关部门对施工场地交通、施工现场环境卫生和场外污染等的管理规定。否则，造成的违约金和整改费用由乙方负责。</w:t>
      </w:r>
    </w:p>
    <w:p w14:paraId="138948AA">
      <w:pPr>
        <w:spacing w:line="360" w:lineRule="auto"/>
        <w:rPr>
          <w:rFonts w:hint="eastAsia" w:ascii="宋体" w:hAnsi="宋体" w:eastAsia="宋体" w:cs="宋体"/>
          <w:sz w:val="21"/>
          <w:szCs w:val="21"/>
        </w:rPr>
      </w:pPr>
      <w:r>
        <w:rPr>
          <w:rFonts w:hint="eastAsia" w:ascii="宋体" w:hAnsi="宋体" w:eastAsia="宋体" w:cs="宋体"/>
          <w:sz w:val="21"/>
          <w:szCs w:val="21"/>
        </w:rPr>
        <w:t>三、乙方必须按照施工平面布置要求进行施工；各种材料堆放分类堆放，并挂牌标识；易燃易爆物品设置隔离区和安全消防通道。</w:t>
      </w:r>
    </w:p>
    <w:p w14:paraId="6E20095B">
      <w:pPr>
        <w:spacing w:line="360" w:lineRule="auto"/>
        <w:rPr>
          <w:rFonts w:hint="eastAsia" w:ascii="宋体" w:hAnsi="宋体" w:eastAsia="宋体" w:cs="宋体"/>
          <w:sz w:val="21"/>
          <w:szCs w:val="21"/>
        </w:rPr>
      </w:pPr>
      <w:r>
        <w:rPr>
          <w:rFonts w:hint="eastAsia" w:ascii="宋体" w:hAnsi="宋体" w:eastAsia="宋体" w:cs="宋体"/>
          <w:sz w:val="21"/>
          <w:szCs w:val="21"/>
        </w:rPr>
        <w:t>四、乙方施工人员严禁在施工现场从事任何与“黄、赌、毒”有关的活动，一经发现，甲方有权立即将其清除。</w:t>
      </w:r>
    </w:p>
    <w:p w14:paraId="5E6BBF90">
      <w:pPr>
        <w:tabs>
          <w:tab w:val="left" w:pos="990"/>
        </w:tabs>
        <w:spacing w:line="360" w:lineRule="auto"/>
        <w:rPr>
          <w:rFonts w:hint="eastAsia" w:ascii="宋体" w:hAnsi="宋体" w:eastAsia="宋体" w:cs="宋体"/>
          <w:sz w:val="21"/>
          <w:szCs w:val="21"/>
        </w:rPr>
      </w:pPr>
      <w:r>
        <w:rPr>
          <w:rFonts w:hint="eastAsia" w:ascii="宋体" w:hAnsi="宋体" w:eastAsia="宋体" w:cs="宋体"/>
          <w:sz w:val="21"/>
          <w:szCs w:val="21"/>
        </w:rPr>
        <w:t>五、乙方施工中须及时将建筑垃圾清运出工地现场，并运至相关主管部门指定地点。乙方在施工时须保持现场文明，工程竣工验收前及移交前均应认真清理现场，达到符合规范要求，否则发生的文明施工费用全部由乙方承担。</w:t>
      </w:r>
    </w:p>
    <w:p w14:paraId="1F58BE3B">
      <w:pPr>
        <w:spacing w:line="360" w:lineRule="auto"/>
        <w:rPr>
          <w:rFonts w:hint="eastAsia" w:ascii="宋体" w:hAnsi="宋体" w:eastAsia="宋体" w:cs="宋体"/>
          <w:sz w:val="21"/>
          <w:szCs w:val="21"/>
        </w:rPr>
      </w:pPr>
      <w:r>
        <w:rPr>
          <w:rFonts w:hint="eastAsia" w:ascii="宋体" w:hAnsi="宋体" w:eastAsia="宋体" w:cs="宋体"/>
          <w:sz w:val="21"/>
          <w:szCs w:val="21"/>
        </w:rPr>
        <w:t>六、乙方应加强本施工队伍的教育和管理，当与甲方发生任何意见分歧和其他问题时，均应通过双方代表协商解决，不准采取过激的言论和行动，禁止劳务工群聚向甲方要工资或到相关管理部门投诉。同时，不得怂恿员工聚众闹事或以其它形式扰乱社会治安正常秩序，利用媒体干扰正常工作秩序等不良行为。如有上述不良行为发生，乙方负对所辖人员监管不力责任，并对不良行为者以每人次违约金1000元从乙方的工程款中扣除。</w:t>
      </w:r>
    </w:p>
    <w:p w14:paraId="19B82FE2">
      <w:pPr>
        <w:spacing w:line="360" w:lineRule="auto"/>
        <w:rPr>
          <w:rFonts w:hint="eastAsia" w:ascii="宋体" w:hAnsi="宋体" w:eastAsia="宋体" w:cs="宋体"/>
          <w:sz w:val="21"/>
          <w:szCs w:val="21"/>
        </w:rPr>
      </w:pPr>
      <w:r>
        <w:rPr>
          <w:rFonts w:hint="eastAsia" w:ascii="宋体" w:hAnsi="宋体" w:eastAsia="宋体" w:cs="宋体"/>
          <w:sz w:val="21"/>
          <w:szCs w:val="21"/>
        </w:rPr>
        <w:t>七、乙方不配合和服从甲方或监理的日常管理或发生严重冲突，甲方有权要求乙方退场。</w:t>
      </w:r>
    </w:p>
    <w:p w14:paraId="28D73751">
      <w:pPr>
        <w:spacing w:line="360" w:lineRule="auto"/>
        <w:rPr>
          <w:rFonts w:hint="eastAsia" w:ascii="宋体" w:hAnsi="宋体" w:eastAsia="宋体" w:cs="宋体"/>
          <w:sz w:val="21"/>
          <w:szCs w:val="21"/>
        </w:rPr>
      </w:pPr>
      <w:r>
        <w:rPr>
          <w:rFonts w:hint="eastAsia" w:ascii="宋体" w:hAnsi="宋体" w:eastAsia="宋体" w:cs="宋体"/>
          <w:sz w:val="21"/>
          <w:szCs w:val="21"/>
        </w:rPr>
        <w:t>八、乙方违反本协议之规定，除应赔偿给甲方造成的全部经济损失外，甲方可视具体情况，要求乙方按本合同总价款的1%-10%承担违约金。</w:t>
      </w:r>
    </w:p>
    <w:p w14:paraId="750F1F4F">
      <w:pPr>
        <w:spacing w:line="360" w:lineRule="auto"/>
        <w:rPr>
          <w:rFonts w:hint="eastAsia" w:ascii="宋体" w:hAnsi="宋体" w:eastAsia="宋体" w:cs="宋体"/>
          <w:b/>
          <w:sz w:val="21"/>
          <w:szCs w:val="21"/>
        </w:rPr>
      </w:pPr>
    </w:p>
    <w:p w14:paraId="5C1924CC">
      <w:pPr>
        <w:spacing w:line="360" w:lineRule="auto"/>
        <w:rPr>
          <w:rFonts w:hint="eastAsia" w:ascii="宋体" w:hAnsi="宋体" w:eastAsia="宋体" w:cs="宋体"/>
          <w:sz w:val="21"/>
          <w:szCs w:val="21"/>
        </w:rPr>
      </w:pPr>
      <w:r>
        <w:rPr>
          <w:rFonts w:hint="eastAsia" w:ascii="宋体" w:hAnsi="宋体" w:eastAsia="宋体" w:cs="宋体"/>
          <w:b/>
          <w:sz w:val="21"/>
          <w:szCs w:val="21"/>
        </w:rPr>
        <w:t>第九条：保险</w:t>
      </w:r>
    </w:p>
    <w:p w14:paraId="66164B22">
      <w:pPr>
        <w:spacing w:line="36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、工程开工前，乙方应为施工场地内的所有人员及第三者生命、财产办理保险，支付保险费用。</w:t>
      </w:r>
    </w:p>
    <w:p w14:paraId="6255A41B">
      <w:pPr>
        <w:spacing w:line="36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二</w:t>
      </w:r>
      <w:r>
        <w:rPr>
          <w:rFonts w:hint="eastAsia" w:ascii="宋体" w:hAnsi="宋体" w:eastAsia="宋体" w:cs="宋体"/>
          <w:sz w:val="21"/>
          <w:szCs w:val="21"/>
        </w:rPr>
        <w:t>、乙方须为所有施工人员办理工伤保险并对从事危险作业的施工人员办理意外伤害保险，支付保险费用。</w:t>
      </w:r>
    </w:p>
    <w:p w14:paraId="03B0FE6C">
      <w:pPr>
        <w:spacing w:line="36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、上述</w:t>
      </w:r>
      <w:r>
        <w:rPr>
          <w:rFonts w:hint="eastAsia" w:ascii="宋体" w:hAnsi="宋体" w:eastAsia="宋体" w:cs="宋体"/>
          <w:sz w:val="21"/>
          <w:szCs w:val="21"/>
          <w:lang w:val="en-US" w:eastAsia="zh-CN"/>
        </w:rPr>
        <w:t>两</w:t>
      </w:r>
      <w:r>
        <w:rPr>
          <w:rFonts w:hint="eastAsia" w:ascii="宋体" w:hAnsi="宋体" w:eastAsia="宋体" w:cs="宋体"/>
          <w:sz w:val="21"/>
          <w:szCs w:val="21"/>
        </w:rPr>
        <w:t>项保险费及免赔额已包括在投标报价中，如果乙方未能遵守本条规定，则乙方应向甲方承担违约责任，并赔偿甲方因此造成的全部损失（含第三方向甲方的索赔）。</w:t>
      </w:r>
    </w:p>
    <w:p w14:paraId="0961B515">
      <w:pPr>
        <w:spacing w:line="360" w:lineRule="auto"/>
        <w:jc w:val="left"/>
        <w:rPr>
          <w:rFonts w:hint="eastAsia" w:ascii="宋体" w:hAnsi="宋体" w:eastAsia="宋体" w:cs="宋体"/>
          <w:sz w:val="21"/>
          <w:szCs w:val="21"/>
        </w:rPr>
      </w:pPr>
    </w:p>
    <w:p w14:paraId="4C336A0A">
      <w:pPr>
        <w:spacing w:line="360" w:lineRule="auto"/>
        <w:jc w:val="left"/>
        <w:rPr>
          <w:rFonts w:hint="eastAsia" w:ascii="宋体" w:hAnsi="宋体" w:eastAsia="宋体" w:cs="宋体"/>
          <w:sz w:val="21"/>
          <w:szCs w:val="21"/>
        </w:rPr>
      </w:pPr>
      <w:r>
        <w:rPr>
          <w:rFonts w:hint="eastAsia" w:ascii="宋体" w:hAnsi="宋体" w:eastAsia="宋体" w:cs="宋体"/>
          <w:b/>
          <w:sz w:val="21"/>
          <w:szCs w:val="21"/>
        </w:rPr>
        <w:t>第十条： 工程管理</w:t>
      </w:r>
    </w:p>
    <w:p w14:paraId="3D8E629D">
      <w:pPr>
        <w:spacing w:line="360" w:lineRule="auto"/>
        <w:rPr>
          <w:rFonts w:hint="eastAsia" w:ascii="宋体" w:hAnsi="宋体" w:eastAsia="宋体" w:cs="宋体"/>
          <w:sz w:val="21"/>
          <w:szCs w:val="21"/>
        </w:rPr>
      </w:pPr>
      <w:r>
        <w:rPr>
          <w:rFonts w:hint="eastAsia" w:ascii="宋体" w:hAnsi="宋体" w:eastAsia="宋体" w:cs="宋体"/>
          <w:sz w:val="21"/>
          <w:szCs w:val="21"/>
        </w:rPr>
        <w:t>一、依国家有关规范和质量验评标准进行验收，本工程应达到合格标准。达不到合格标准时甲方有权不予支付任何款项，乙方应在合同工期内整改至约定的质量标准；如乙方在合同工期内未能整改至约定的质量标准时，甲方有权委托第三方进行整改，所发生的费用经甲方确认后直接从乙方工程款中扣除，乙方工程款不足部分亦由乙方承担，乙方对甲方委托的第三方和所发生的费用不得提出任何异议，乙方必须无条件接受。</w:t>
      </w:r>
    </w:p>
    <w:p w14:paraId="4AEF0CC6">
      <w:pPr>
        <w:spacing w:line="360" w:lineRule="auto"/>
        <w:rPr>
          <w:rFonts w:hint="eastAsia" w:ascii="宋体" w:hAnsi="宋体" w:eastAsia="宋体" w:cs="宋体"/>
          <w:sz w:val="21"/>
          <w:szCs w:val="21"/>
        </w:rPr>
      </w:pPr>
      <w:r>
        <w:rPr>
          <w:rFonts w:hint="eastAsia" w:ascii="宋体" w:hAnsi="宋体" w:eastAsia="宋体" w:cs="宋体"/>
          <w:sz w:val="21"/>
          <w:szCs w:val="21"/>
        </w:rPr>
        <w:t>二、乙方除应履行本合同各项义务外，还须执行甲方代表在安全生产、文明施工方面的规章制度，服从甲方代表对乙方安全生产、文明施工及执行各项规章制度方面的检查及奖罚。</w:t>
      </w:r>
    </w:p>
    <w:p w14:paraId="7019089D">
      <w:pPr>
        <w:spacing w:line="360" w:lineRule="auto"/>
        <w:rPr>
          <w:rFonts w:hint="eastAsia" w:ascii="宋体" w:hAnsi="宋体" w:eastAsia="宋体" w:cs="宋体"/>
          <w:sz w:val="21"/>
          <w:szCs w:val="21"/>
        </w:rPr>
      </w:pPr>
      <w:r>
        <w:rPr>
          <w:rFonts w:hint="eastAsia" w:ascii="宋体" w:hAnsi="宋体" w:eastAsia="宋体" w:cs="宋体"/>
          <w:sz w:val="21"/>
          <w:szCs w:val="21"/>
        </w:rPr>
        <w:t>三、如乙方在现场不服从甲方代表的正确指令并给甲方利益造成损害，甲方代表有权视具体情况向乙方进行索赔，甲方有权直接从乙方工程款中扣除。</w:t>
      </w:r>
    </w:p>
    <w:p w14:paraId="73F2C235">
      <w:pPr>
        <w:spacing w:line="360" w:lineRule="auto"/>
        <w:rPr>
          <w:rFonts w:hint="eastAsia" w:ascii="宋体" w:hAnsi="宋体" w:eastAsia="宋体" w:cs="宋体"/>
          <w:sz w:val="21"/>
          <w:szCs w:val="21"/>
        </w:rPr>
      </w:pPr>
      <w:r>
        <w:rPr>
          <w:rFonts w:hint="eastAsia" w:ascii="宋体" w:hAnsi="宋体" w:eastAsia="宋体" w:cs="宋体"/>
          <w:sz w:val="21"/>
          <w:szCs w:val="21"/>
        </w:rPr>
        <w:t>四、因乙方成品保护不力，造成乙方或其它专业成品的损坏，乙方应无偿修复，如乙方未按要求修复，甲方有权委托他人进行修复，所发生的一切责任及费用由乙方承担，甲方有权直接从乙方工程款中扣除；如由于甲方原因造成成品损坏，由甲方负责，乙方有权追加工程款。对由于第三方原因造成成品损坏的，乙方负责免费维修，甲方协助乙方向第三方进行索赔。</w:t>
      </w:r>
    </w:p>
    <w:p w14:paraId="2C3F2809">
      <w:pPr>
        <w:spacing w:line="360" w:lineRule="auto"/>
        <w:rPr>
          <w:rFonts w:hint="eastAsia" w:ascii="宋体" w:hAnsi="宋体" w:eastAsia="宋体" w:cs="宋体"/>
          <w:sz w:val="21"/>
          <w:szCs w:val="21"/>
        </w:rPr>
      </w:pPr>
      <w:r>
        <w:rPr>
          <w:rFonts w:hint="eastAsia" w:ascii="宋体" w:hAnsi="宋体" w:eastAsia="宋体" w:cs="宋体"/>
          <w:sz w:val="21"/>
          <w:szCs w:val="21"/>
        </w:rPr>
        <w:t>五、乙方完成的工程项目存在质量或量、价方面的问题时，乙方应在甲方代表提出问题后二日内提供书面答复，在此类争议解决前，乙方应接受甲方代表推迟或暂时减少拨付工程款的决定，并不得以任何理由停止施工。</w:t>
      </w:r>
    </w:p>
    <w:p w14:paraId="24B4E788">
      <w:pPr>
        <w:spacing w:line="360" w:lineRule="auto"/>
        <w:rPr>
          <w:rFonts w:hint="eastAsia" w:ascii="宋体" w:hAnsi="宋体" w:eastAsia="宋体" w:cs="宋体"/>
          <w:sz w:val="21"/>
          <w:szCs w:val="21"/>
        </w:rPr>
      </w:pPr>
      <w:r>
        <w:rPr>
          <w:rFonts w:hint="eastAsia" w:ascii="宋体" w:hAnsi="宋体" w:eastAsia="宋体" w:cs="宋体"/>
          <w:sz w:val="21"/>
          <w:szCs w:val="21"/>
        </w:rPr>
        <w:t>六、如乙方施工与经甲方确认的设计图纸内容不符，或者实际施工效果与设计效果（含经甲方确认的样板效果）不符时，甲方应书面通知乙方并有权拒绝支付工程款，乙方应在甲方要求的限期内整改至与设计图纸内容和设计效果相符。</w:t>
      </w:r>
    </w:p>
    <w:p w14:paraId="14BFE39F">
      <w:pPr>
        <w:spacing w:line="360" w:lineRule="auto"/>
        <w:jc w:val="left"/>
        <w:rPr>
          <w:rFonts w:hint="eastAsia" w:ascii="宋体" w:hAnsi="宋体" w:eastAsia="宋体" w:cs="宋体"/>
          <w:sz w:val="21"/>
          <w:szCs w:val="21"/>
        </w:rPr>
      </w:pPr>
    </w:p>
    <w:p w14:paraId="2D17978C">
      <w:pPr>
        <w:pStyle w:val="8"/>
        <w:spacing w:line="360" w:lineRule="auto"/>
        <w:ind w:firstLine="0" w:firstLineChars="0"/>
        <w:rPr>
          <w:rFonts w:hint="eastAsia" w:ascii="宋体" w:hAnsi="宋体" w:eastAsia="宋体" w:cs="宋体"/>
          <w:b/>
          <w:bCs/>
          <w:color w:val="auto"/>
          <w:sz w:val="21"/>
          <w:szCs w:val="21"/>
          <w:u w:val="none"/>
        </w:rPr>
      </w:pPr>
      <w:r>
        <w:rPr>
          <w:rFonts w:hint="eastAsia" w:ascii="宋体" w:hAnsi="宋体" w:eastAsia="宋体" w:cs="宋体"/>
          <w:b/>
          <w:bCs/>
          <w:color w:val="auto"/>
          <w:sz w:val="21"/>
          <w:szCs w:val="21"/>
          <w:u w:val="none"/>
        </w:rPr>
        <w:t xml:space="preserve">第十一条：竣工验收 </w:t>
      </w:r>
    </w:p>
    <w:p w14:paraId="2D13719D">
      <w:pPr>
        <w:spacing w:line="360" w:lineRule="auto"/>
        <w:jc w:val="left"/>
        <w:rPr>
          <w:rFonts w:hint="eastAsia" w:ascii="宋体" w:hAnsi="宋体" w:eastAsia="宋体" w:cs="宋体"/>
          <w:sz w:val="21"/>
          <w:szCs w:val="21"/>
        </w:rPr>
      </w:pPr>
      <w:r>
        <w:rPr>
          <w:rFonts w:hint="eastAsia" w:ascii="宋体" w:hAnsi="宋体" w:eastAsia="宋体" w:cs="宋体"/>
          <w:sz w:val="21"/>
          <w:szCs w:val="21"/>
        </w:rPr>
        <w:t>一、工程竣工验收应当具备下列条件：</w:t>
      </w:r>
    </w:p>
    <w:p w14:paraId="18C5C92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1、完成设计文件和合同约定的各项内容；</w:t>
      </w:r>
    </w:p>
    <w:p w14:paraId="602B281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2、乙方负责按规定编制工程验收资料，有完整的技术档案和施工管理资料，工程完工后移交甲方保管（包括汇总、整理甲方直接发包的承包人提交的竣工资料）；</w:t>
      </w:r>
    </w:p>
    <w:p w14:paraId="57F93BD8">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3、乙方所有自行购买的材料及半成品需提供出厂合格证或检测证明；</w:t>
      </w:r>
    </w:p>
    <w:p w14:paraId="52526CC0">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4、有乙方签署的工程保修书。</w:t>
      </w:r>
    </w:p>
    <w:p w14:paraId="76888767">
      <w:pPr>
        <w:spacing w:line="360" w:lineRule="auto"/>
        <w:rPr>
          <w:rFonts w:hint="eastAsia" w:ascii="宋体" w:hAnsi="宋体" w:eastAsia="宋体" w:cs="宋体"/>
          <w:sz w:val="21"/>
          <w:szCs w:val="21"/>
        </w:rPr>
      </w:pPr>
      <w:r>
        <w:rPr>
          <w:rFonts w:hint="eastAsia" w:ascii="宋体" w:hAnsi="宋体" w:eastAsia="宋体" w:cs="宋体"/>
          <w:sz w:val="21"/>
          <w:szCs w:val="21"/>
        </w:rPr>
        <w:t>二、工程竣工后，工程变更不大的，由乙方在原施工图上加上注明及编制竣工资料交给甲方。工程变更较大的，应由原设计方出具变更图纸，由乙方在竣工图上签注。</w:t>
      </w:r>
    </w:p>
    <w:p w14:paraId="60130B29">
      <w:pPr>
        <w:spacing w:line="360" w:lineRule="auto"/>
        <w:rPr>
          <w:rFonts w:hint="eastAsia" w:ascii="宋体" w:hAnsi="宋体" w:eastAsia="宋体" w:cs="宋体"/>
          <w:sz w:val="21"/>
          <w:szCs w:val="21"/>
        </w:rPr>
      </w:pPr>
    </w:p>
    <w:p w14:paraId="1CFC7B5E">
      <w:pPr>
        <w:spacing w:line="360" w:lineRule="auto"/>
        <w:rPr>
          <w:rFonts w:hint="eastAsia" w:ascii="宋体" w:hAnsi="宋体" w:eastAsia="宋体" w:cs="宋体"/>
          <w:b/>
          <w:sz w:val="21"/>
          <w:szCs w:val="21"/>
        </w:rPr>
      </w:pPr>
      <w:r>
        <w:rPr>
          <w:rFonts w:hint="eastAsia" w:ascii="宋体" w:hAnsi="宋体" w:eastAsia="宋体" w:cs="宋体"/>
          <w:b/>
          <w:sz w:val="21"/>
          <w:szCs w:val="21"/>
        </w:rPr>
        <w:t>第十二条：双方的权利和义务</w:t>
      </w:r>
    </w:p>
    <w:p w14:paraId="5CAD5821">
      <w:pPr>
        <w:spacing w:line="360" w:lineRule="auto"/>
        <w:rPr>
          <w:rFonts w:hint="eastAsia" w:ascii="宋体" w:hAnsi="宋体" w:eastAsia="宋体" w:cs="宋体"/>
          <w:sz w:val="21"/>
          <w:szCs w:val="21"/>
        </w:rPr>
      </w:pPr>
      <w:r>
        <w:rPr>
          <w:rFonts w:hint="eastAsia" w:ascii="宋体" w:hAnsi="宋体" w:eastAsia="宋体" w:cs="宋体"/>
          <w:sz w:val="21"/>
          <w:szCs w:val="21"/>
        </w:rPr>
        <w:t>一、甲方的权利和义务</w:t>
      </w:r>
    </w:p>
    <w:p w14:paraId="02CF79D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1、于开工前提供项目平面图、设计施工图等图纸，提供临时用水、用电接口，为乙方进场施工提供便利条件。</w:t>
      </w:r>
    </w:p>
    <w:p w14:paraId="554ED1A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2、指派</w:t>
      </w:r>
      <w:r>
        <w:rPr>
          <w:rFonts w:hint="eastAsia" w:ascii="宋体" w:hAnsi="宋体" w:eastAsia="宋体" w:cs="宋体"/>
          <w:sz w:val="21"/>
          <w:szCs w:val="21"/>
          <w:u w:val="single"/>
        </w:rPr>
        <w:t xml:space="preserve">         </w:t>
      </w:r>
      <w:r>
        <w:rPr>
          <w:rFonts w:hint="eastAsia" w:ascii="宋体" w:hAnsi="宋体" w:eastAsia="宋体" w:cs="宋体"/>
          <w:sz w:val="21"/>
          <w:szCs w:val="21"/>
        </w:rPr>
        <w:t>为唯一指定负责合同履行的现场技术代表及项目代表，负责对工程质量、进度的监督检查，任何涉及合同履行、变更、修改和调整的事项，均指定由其上传下达。</w:t>
      </w:r>
    </w:p>
    <w:p w14:paraId="76770CA8">
      <w:pPr>
        <w:spacing w:line="360" w:lineRule="auto"/>
        <w:rPr>
          <w:rFonts w:hint="eastAsia" w:ascii="宋体" w:hAnsi="宋体" w:eastAsia="宋体" w:cs="宋体"/>
          <w:sz w:val="21"/>
          <w:szCs w:val="21"/>
        </w:rPr>
      </w:pPr>
      <w:r>
        <w:rPr>
          <w:rFonts w:hint="eastAsia" w:ascii="宋体" w:hAnsi="宋体" w:eastAsia="宋体" w:cs="宋体"/>
          <w:sz w:val="21"/>
          <w:szCs w:val="21"/>
        </w:rPr>
        <w:t>二、乙方的权利和义务</w:t>
      </w:r>
    </w:p>
    <w:p w14:paraId="645E4A7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highlight w:val="none"/>
        </w:rPr>
        <w:t>1、委派</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为乙方代表，</w:t>
      </w:r>
      <w:r>
        <w:rPr>
          <w:rFonts w:hint="eastAsia" w:ascii="宋体" w:hAnsi="宋体" w:eastAsia="宋体" w:cs="宋体"/>
          <w:sz w:val="21"/>
          <w:szCs w:val="21"/>
        </w:rPr>
        <w:t>负责施工期间的施工质量、进度、安全及与甲方联络等问题。乙方代表应为投标文件所载明的人选，乙方如需更换代表，应取得甲方的同意，并至少提前7 天以书面形式通知甲方，否则该项更换无效。</w:t>
      </w:r>
    </w:p>
    <w:p w14:paraId="44E72C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应在接到甲方开工通知后按通知的日期要求及时组织开工，施工时应按国家及行业的相关施工规范、竣工验收规范和标准、施工图纸、施工方案、甲方指令等进行。甲方发现乙方在主要工程节点上进度拖延5天以上或在主要分项工程上存在重要质量问题时，甲方以书面通知乙方，乙方应在2天内采取有效措施纠正，否则甲方有权解除本合同，追究乙方的违约责任，并由乙方承担甲方的经济损失。</w:t>
      </w:r>
    </w:p>
    <w:p w14:paraId="3B4D2A3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3、乙方自行管理施工所用的一切材料、工具、设备及完成的半成品、成品，如有损坏或丢失的，由乙方自行承担。</w:t>
      </w:r>
    </w:p>
    <w:p w14:paraId="5962957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施工期间，严格遵守甲方有关规章制度，严格遵守安全施工、劳动保护、防火等方面的有关规定，指定安全、防火、卫生、文明施工责任人，教育施工人员做好文明施工工作，如因违反规定所造成的一切损失，由乙方负责。如乙方怠于处理上述事宜，则甲方有权单方解除合同并由乙方承担违约责任和各项损失，该违约金及损失可从工程款中直接扣除。</w:t>
      </w:r>
    </w:p>
    <w:p w14:paraId="0ADB61F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5、工程管理人员，严格持证上岗，负责现场施工管理，建立质量自检制度，确保工程施工质量，并负责与甲方联系，便于协商配合。</w:t>
      </w:r>
    </w:p>
    <w:p w14:paraId="24BB4D6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6、服从现场规章管理制度及甲方管理人员的的现场统一指挥，按时参加现场协调会。</w:t>
      </w:r>
    </w:p>
    <w:p w14:paraId="63F0E1F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7、乙方对甲方代表的指令应予执行，乙方认为甲方代表指令不合理的，应在收到指令后24小时内提出书面报告，甲方代表在收到申告后24小时内做出修改指令或继续执行指令决定，乙方应立即予以配合执行。</w:t>
      </w:r>
    </w:p>
    <w:p w14:paraId="1A7C923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8、保护现场甲方提供的材料，如有损坏、被盗、浪费，乙方按材料价的双倍偿还给甲方。</w:t>
      </w:r>
    </w:p>
    <w:p w14:paraId="3958D07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9、严格按照施工图和甲方的要求进行施工，不得擅自变更，如确需变更的，应向设计单位和甲方提出，经甲方和设计单位书面确认批准后方可实施。</w:t>
      </w:r>
    </w:p>
    <w:p w14:paraId="11B423F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10、乙方有义务事先告知甲方未知的与本工程质量相关的事项，如乙方知道或根据经验应知道的有关质量问题而未告知甲方，造成的损失由乙方承担。</w:t>
      </w:r>
    </w:p>
    <w:p w14:paraId="748A38C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11、本工程严禁转包和分包，如经发现，甲方有权提出终止合同，要求乙方支付合同总价20%的违约金，并由乙方承担由此造成的一切损失。</w:t>
      </w:r>
    </w:p>
    <w:p w14:paraId="3A281A5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施工中未经甲方同意或有关部门批准，不得随意拆改原建筑物结构及各种设备管线。未经甲方同意，乙方擅自拆改原建筑物结构或设备管线，由此发生的损失或造成的事故（包括违约金），由乙方负责并承担损失。 </w:t>
      </w:r>
    </w:p>
    <w:p w14:paraId="119F546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负责自行缴纳政府、各级主管部门等规定的应该缴纳的各项税费。负责对自身管理人员、工人（包括设备安装工人）的管理，严格遵守劳动管理部门的规定，符合法律、政府部门关于合法用工、安全生产、劳动保护、社会保障、劳动保险等各项规定。乙方应及时、足额发放其所雇人员（含劳务工）的工资及相关费用，严禁发生劳资纠纷，如因此发生的纠纷致使甲方受到影响或损失，每发生一次，甲方有权扣除按合同金额的0.5％，作为乙方的违约金，并有权自应支付给乙方的工程款中直接扣除应支付的工人工资，而无需承担任何违约或赔偿责任。因劳资纠纷和其它原因造成怠工、停工而影响进度计划的，乙方无条件退场，并按甲方要求清场。乙方拖欠施工工人工资所产生的经济和法律责任，由乙方全部承担。</w:t>
      </w:r>
    </w:p>
    <w:p w14:paraId="2175667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14、工程竣工后，乙方应全面自检，并清理场地达到干净合格后书面通知甲方组织全面验收。</w:t>
      </w:r>
    </w:p>
    <w:p w14:paraId="723ECA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15、乙方负责解决施工人员宿舍及临时办公室，水电费由乙方自行承担。</w:t>
      </w:r>
    </w:p>
    <w:p w14:paraId="0F9DBC0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16、合同签订后或进场施工过程中，乙方单方反悔、退出该工程施工，甲方有权没收乙方全部履约保证金并对已完工程按合格工程量50%进行工程结算，同时甲方有权要求乙方支付合同总价20%的违约金，违约金不足以弥补甲方损失的，乙方应继续赔偿。</w:t>
      </w:r>
    </w:p>
    <w:p w14:paraId="15620CD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17、乙方应充分考虑市场的波动所产生的价格变动，不得因费用上涨而提出加价、暂停施工或提出其他不合理要求。工程提前退场，甲方按乙方所完成的合格工程量及半成品按项目清单单价50%结算，并甲方有权要求乙方支付合同总价20%的违约金。甲方有权追究乙方耽误工期或致使甲方不能按期验收和使用所造成的损失，每延期一日，乙方应支付违约金10000元，违约金不足以弥补甲方损失的，乙方应继续补足。</w:t>
      </w:r>
    </w:p>
    <w:p w14:paraId="72A614E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18、乙方施工原因，造成工程质量不合格，所有责任均由乙方承担。如第三方因此向甲方索赔，乙方应立即先行赔偿，否则甲方有权直接扣除乙方工程款予以赔偿。</w:t>
      </w:r>
    </w:p>
    <w:p w14:paraId="00ACDCA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19、乙方不得以签证暂时未达成一致意见为由拖延或停止施工。</w:t>
      </w:r>
    </w:p>
    <w:p w14:paraId="65E3151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20、乙方保证拥有承包本工程并进行施工的资质，并保持至本合同履行完毕之日，否则，由此产生的全部责任由乙方承担，并赔偿甲方损失。</w:t>
      </w:r>
    </w:p>
    <w:p w14:paraId="185D845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21、乙方必须如实提供包括资格证书、企业营业执照在内的全部文件，并无保留地说明可能与本合同履行有关的全部信息，包括与甲方是否存在关联关系等，否则，承担违约责任。</w:t>
      </w:r>
    </w:p>
    <w:p w14:paraId="73D3D60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乙方及乙方工作人员应廉洁自律，不得向任何相关单位和个人索取或接受礼金、财物；不得接受任何相关单位和个人的宴请或其他娱乐活动；不得利用职务之便谋取其他不正当的利益。上述现象一经发现，甲方有权终止合同，不予支付任何款项，追究乙方违约责任，并要求乙方赔偿全部损失。</w:t>
      </w:r>
    </w:p>
    <w:p w14:paraId="0F400C6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23、乙方自行负责办理与本工程施工有关的政府要求的一切手续，如因未办理政府相关手续影响工期或导致甲方损失的，将由乙方承担一切责任并赔偿甲方的损失。</w:t>
      </w:r>
    </w:p>
    <w:p w14:paraId="34E9BBDF">
      <w:pPr>
        <w:spacing w:line="360" w:lineRule="auto"/>
        <w:rPr>
          <w:rFonts w:hint="eastAsia" w:ascii="宋体" w:hAnsi="宋体" w:eastAsia="宋体" w:cs="宋体"/>
          <w:b/>
          <w:sz w:val="21"/>
          <w:szCs w:val="21"/>
        </w:rPr>
      </w:pPr>
    </w:p>
    <w:p w14:paraId="448A3147">
      <w:pPr>
        <w:spacing w:line="360" w:lineRule="auto"/>
        <w:rPr>
          <w:rFonts w:hint="eastAsia" w:ascii="宋体" w:hAnsi="宋体" w:eastAsia="宋体" w:cs="宋体"/>
          <w:b/>
          <w:sz w:val="21"/>
          <w:szCs w:val="21"/>
        </w:rPr>
      </w:pPr>
      <w:r>
        <w:rPr>
          <w:rFonts w:hint="eastAsia" w:ascii="宋体" w:hAnsi="宋体" w:eastAsia="宋体" w:cs="宋体"/>
          <w:b/>
          <w:sz w:val="21"/>
          <w:szCs w:val="21"/>
        </w:rPr>
        <w:t>第十三条：违约责任</w:t>
      </w:r>
    </w:p>
    <w:p w14:paraId="6198B873">
      <w:pPr>
        <w:spacing w:line="360" w:lineRule="auto"/>
        <w:rPr>
          <w:rFonts w:hint="eastAsia" w:ascii="宋体" w:hAnsi="宋体" w:eastAsia="宋体" w:cs="宋体"/>
          <w:sz w:val="21"/>
          <w:szCs w:val="21"/>
        </w:rPr>
      </w:pPr>
      <w:r>
        <w:rPr>
          <w:rFonts w:hint="eastAsia" w:ascii="宋体" w:hAnsi="宋体" w:eastAsia="宋体" w:cs="宋体"/>
          <w:sz w:val="21"/>
          <w:szCs w:val="21"/>
        </w:rPr>
        <w:t>一、本工程严禁转包或分包，若乙方擅自分包、转包或中途退场的，甲方有权单方解除本合同，合同解除后，乙方应无条件退还甲方已付工程款，同时乙方应向甲方支付合同总价20%的违约金，给甲方造成损失的，乙方还应赔偿。</w:t>
      </w:r>
    </w:p>
    <w:p w14:paraId="286EDD34">
      <w:pPr>
        <w:spacing w:line="360" w:lineRule="auto"/>
        <w:rPr>
          <w:rFonts w:hint="eastAsia" w:ascii="宋体" w:hAnsi="宋体" w:eastAsia="宋体" w:cs="宋体"/>
          <w:sz w:val="21"/>
          <w:szCs w:val="21"/>
        </w:rPr>
      </w:pPr>
      <w:r>
        <w:rPr>
          <w:rFonts w:hint="eastAsia" w:ascii="宋体" w:hAnsi="宋体" w:eastAsia="宋体" w:cs="宋体"/>
          <w:sz w:val="21"/>
          <w:szCs w:val="21"/>
        </w:rPr>
        <w:t>二、乙方逾期完工的，每逾期一天，应向甲方支付违约金人民币5000元/天。</w:t>
      </w:r>
    </w:p>
    <w:p w14:paraId="486343DB">
      <w:pPr>
        <w:spacing w:line="360" w:lineRule="auto"/>
        <w:rPr>
          <w:rFonts w:hint="eastAsia" w:ascii="宋体" w:hAnsi="宋体" w:eastAsia="宋体" w:cs="宋体"/>
          <w:sz w:val="21"/>
          <w:szCs w:val="21"/>
        </w:rPr>
      </w:pPr>
      <w:r>
        <w:rPr>
          <w:rFonts w:hint="eastAsia" w:ascii="宋体" w:hAnsi="宋体" w:eastAsia="宋体" w:cs="宋体"/>
          <w:sz w:val="21"/>
          <w:szCs w:val="21"/>
        </w:rPr>
        <w:t>三、乙方逾期开工的，按本条第二款逾期完工的约定承担违约责任。</w:t>
      </w:r>
    </w:p>
    <w:p w14:paraId="43347E47">
      <w:pPr>
        <w:spacing w:line="360" w:lineRule="auto"/>
        <w:rPr>
          <w:rFonts w:hint="eastAsia" w:ascii="宋体" w:hAnsi="宋体" w:eastAsia="宋体" w:cs="宋体"/>
          <w:sz w:val="21"/>
          <w:szCs w:val="21"/>
        </w:rPr>
      </w:pPr>
      <w:r>
        <w:rPr>
          <w:rFonts w:hint="eastAsia" w:ascii="宋体" w:hAnsi="宋体" w:eastAsia="宋体" w:cs="宋体"/>
          <w:sz w:val="21"/>
          <w:szCs w:val="21"/>
        </w:rPr>
        <w:t>四、工程全部竣工，经甲方验收工程质量未能达到本合同约定标准和国家相关标准的，乙方应向甲方支付本合同总价20%的违约金，同时乙方须按甲方要求无条件整改至合格，费用由乙方承担，工期不予顺延，造成工期延误的，乙方还应按按本条第二款逾期完工的约定承担违约责任。</w:t>
      </w:r>
    </w:p>
    <w:p w14:paraId="5CE81338">
      <w:pPr>
        <w:spacing w:line="360" w:lineRule="auto"/>
        <w:rPr>
          <w:rFonts w:hint="eastAsia" w:ascii="宋体" w:hAnsi="宋体" w:eastAsia="宋体" w:cs="宋体"/>
          <w:sz w:val="21"/>
          <w:szCs w:val="21"/>
        </w:rPr>
      </w:pPr>
      <w:r>
        <w:rPr>
          <w:rFonts w:hint="eastAsia" w:ascii="宋体" w:hAnsi="宋体" w:eastAsia="宋体" w:cs="宋体"/>
          <w:sz w:val="21"/>
          <w:szCs w:val="21"/>
        </w:rPr>
        <w:t>五、乙方未按招标文件、设计文件及合同条款的规定进行施工的，甲方有权单方面解除本合同，自甲方通知乙方解除合同时，乙方应立即退场，甲方有权要求乙方承担合同总价20％的违约金。因乙方提前退场造成甲方其他损失的，乙方应继续承担赔偿责任。</w:t>
      </w:r>
    </w:p>
    <w:p w14:paraId="443B909B">
      <w:pPr>
        <w:tabs>
          <w:tab w:val="left" w:pos="851"/>
        </w:tabs>
        <w:spacing w:line="360" w:lineRule="auto"/>
        <w:rPr>
          <w:rFonts w:hint="eastAsia" w:ascii="宋体" w:hAnsi="宋体" w:eastAsia="宋体" w:cs="宋体"/>
          <w:sz w:val="21"/>
          <w:szCs w:val="21"/>
        </w:rPr>
      </w:pPr>
      <w:r>
        <w:rPr>
          <w:rFonts w:hint="eastAsia" w:ascii="宋体" w:hAnsi="宋体" w:eastAsia="宋体" w:cs="宋体"/>
          <w:sz w:val="21"/>
          <w:szCs w:val="21"/>
        </w:rPr>
        <w:t>六、本合同签订并生效后，甲方有权解除本合同，需提前3天告知乙方，并按照乙方已经验收合格的工程进行结算，此外，甲方无需承担任何责任。</w:t>
      </w:r>
    </w:p>
    <w:p w14:paraId="46FCC50F">
      <w:pPr>
        <w:tabs>
          <w:tab w:val="left" w:pos="851"/>
        </w:tabs>
        <w:spacing w:line="360" w:lineRule="auto"/>
        <w:rPr>
          <w:rFonts w:hint="eastAsia" w:ascii="宋体" w:hAnsi="宋体" w:eastAsia="宋体" w:cs="宋体"/>
          <w:sz w:val="21"/>
          <w:szCs w:val="21"/>
        </w:rPr>
      </w:pPr>
      <w:r>
        <w:rPr>
          <w:rFonts w:hint="eastAsia" w:ascii="宋体" w:hAnsi="宋体" w:eastAsia="宋体" w:cs="宋体"/>
          <w:sz w:val="21"/>
          <w:szCs w:val="21"/>
        </w:rPr>
        <w:t>七、除非双方协议将合同终止，违约方承担前述违约责任后仍必须履行合同。</w:t>
      </w:r>
    </w:p>
    <w:p w14:paraId="39E0DA79">
      <w:pPr>
        <w:spacing w:line="360" w:lineRule="auto"/>
        <w:rPr>
          <w:rFonts w:hint="eastAsia" w:ascii="宋体" w:hAnsi="宋体" w:eastAsia="宋体" w:cs="宋体"/>
          <w:b/>
          <w:sz w:val="21"/>
          <w:szCs w:val="21"/>
        </w:rPr>
      </w:pPr>
      <w:r>
        <w:rPr>
          <w:rFonts w:hint="eastAsia" w:ascii="宋体" w:hAnsi="宋体" w:eastAsia="宋体" w:cs="宋体"/>
          <w:sz w:val="21"/>
          <w:szCs w:val="21"/>
        </w:rPr>
        <w:t>八、未经甲方事前书面同意，乙方不得当方解除、变更本合同，否则，乙方应向甲方承担本合同总金额30%的违约金予以赔偿，不足部分，甲方有权继续追偿乙方责任，乙方已完工并验收的工程按照50%进行结算，已经结算的，乙方应将多余费用退还给甲方。本合同中对于乙方的违约责任如有约定不一致的，按照最严格的约定执行，如果违约责任类别或性质不同的，则甲方有权选择全部执行部分执行。</w:t>
      </w:r>
    </w:p>
    <w:p w14:paraId="4D4A9A97">
      <w:pPr>
        <w:spacing w:line="360" w:lineRule="auto"/>
        <w:rPr>
          <w:rFonts w:hint="eastAsia" w:ascii="宋体" w:hAnsi="宋体" w:eastAsia="宋体" w:cs="宋体"/>
          <w:sz w:val="21"/>
          <w:szCs w:val="21"/>
        </w:rPr>
      </w:pPr>
    </w:p>
    <w:p w14:paraId="41DDA8EF">
      <w:pPr>
        <w:spacing w:line="360" w:lineRule="auto"/>
        <w:rPr>
          <w:rFonts w:hint="eastAsia" w:ascii="宋体" w:hAnsi="宋体" w:eastAsia="宋体" w:cs="宋体"/>
          <w:b/>
          <w:sz w:val="21"/>
          <w:szCs w:val="21"/>
        </w:rPr>
      </w:pPr>
      <w:r>
        <w:rPr>
          <w:rFonts w:hint="eastAsia" w:ascii="宋体" w:hAnsi="宋体" w:eastAsia="宋体" w:cs="宋体"/>
          <w:b/>
          <w:sz w:val="21"/>
          <w:szCs w:val="21"/>
        </w:rPr>
        <w:t>第十四条：罚则</w:t>
      </w:r>
    </w:p>
    <w:p w14:paraId="04FC7487">
      <w:pPr>
        <w:spacing w:line="360" w:lineRule="auto"/>
        <w:rPr>
          <w:rFonts w:hint="eastAsia" w:ascii="宋体" w:hAnsi="宋体" w:eastAsia="宋体" w:cs="宋体"/>
          <w:sz w:val="21"/>
          <w:szCs w:val="21"/>
        </w:rPr>
      </w:pPr>
      <w:r>
        <w:rPr>
          <w:rFonts w:hint="eastAsia" w:ascii="宋体" w:hAnsi="宋体" w:eastAsia="宋体" w:cs="宋体"/>
          <w:sz w:val="21"/>
          <w:szCs w:val="21"/>
        </w:rPr>
        <w:t>一、质量罚则：</w:t>
      </w:r>
    </w:p>
    <w:p w14:paraId="0B97925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1、乙方施工过中不服从甲方派驻的工程管理人员对因工程质量而展开的整改要求，对甲方提出的书面或口头整改意见拒绝接受或未落实的，甲方将对乙方予以1000元/次违约金；</w:t>
      </w:r>
    </w:p>
    <w:p w14:paraId="675BE15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2、乙方施工出现质量缺陷或违规、违章施工受到甲方书面通知的，甲方予以1000元/次违约金；</w:t>
      </w:r>
    </w:p>
    <w:p w14:paraId="1CE04F7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3、乙方施工工艺、构造做法不符合招标文件、合同和设计图纸要求，将对其进行处罚2000元/次违约金，且乙方必须无条件返工；</w:t>
      </w:r>
    </w:p>
    <w:p w14:paraId="1FF2545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经乙方自检合格后，申请竣工验收，甲方组织验收总质量，总质量达不到要求的，乙方向甲方支付履约保证金10%的违约金，甲方从履约保证金中直接扣除。乙方并负责整改至质量合格并竣工验收合格，工期不得延误。</w:t>
      </w:r>
    </w:p>
    <w:p w14:paraId="09434B5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5、重点部位防水，防止渗漏。如有发生渗漏等情况，乙方除返工外，甲方有权从质保金中扣除所需的返工费用。</w:t>
      </w:r>
    </w:p>
    <w:p w14:paraId="60067CA8">
      <w:pPr>
        <w:spacing w:line="360" w:lineRule="auto"/>
        <w:rPr>
          <w:rFonts w:hint="eastAsia" w:ascii="宋体" w:hAnsi="宋体" w:eastAsia="宋体" w:cs="宋体"/>
          <w:sz w:val="21"/>
          <w:szCs w:val="21"/>
        </w:rPr>
      </w:pPr>
      <w:r>
        <w:rPr>
          <w:rFonts w:hint="eastAsia" w:ascii="宋体" w:hAnsi="宋体" w:eastAsia="宋体" w:cs="宋体"/>
          <w:sz w:val="21"/>
          <w:szCs w:val="21"/>
        </w:rPr>
        <w:t>二、安全文明施工罚则：</w:t>
      </w:r>
    </w:p>
    <w:p w14:paraId="7B13F71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1、违章指挥造成隐患、险情并不配合整改，甲方将对乙方予以2000元/次违约金。</w:t>
      </w:r>
    </w:p>
    <w:p w14:paraId="0C287DF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2、乙方建筑垃圾拉到甲方指定场所。材料堆放混乱，建筑垃圾、生活垃圾未能及时清理，甲方将对乙方予以1000元/次违约金。</w:t>
      </w:r>
    </w:p>
    <w:p w14:paraId="52DD9EA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3、攀登、跨越各种栏、网、架、墙、乘坐非载人提升设备上下，从上抛掷物料、垃圾；甲方将对乙方予以500元/人/次违约金。</w:t>
      </w:r>
    </w:p>
    <w:p w14:paraId="455D3B4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4、无证进行特种作业，甲方将对乙方予以1000元/人/次违约金。</w:t>
      </w:r>
    </w:p>
    <w:p w14:paraId="4E58280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进入施工现场后不容许偷窃工地上的财物，如果发现乙方施工人员有偷盗行为的将给予5000元/人次违约金，并由乙方赔偿甲方的损失。如所承包楼栋的燃气表、电表、水表、电线电缆、配电箱丢失（因装修班组为楼上的主要施工班组，有责任及义务看管甲方材料），乙方承担丢失产品的赔偿责任。</w:t>
      </w:r>
    </w:p>
    <w:p w14:paraId="42360A5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6、施工人员在施工场地不服从管理，打架斗殴的，甲方将给予乙方5000元/人/次违约金，且所造成的一切后果由乙方负责。</w:t>
      </w:r>
    </w:p>
    <w:p w14:paraId="5677152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7、进入现场工人必要带安全帽和其他安全设施，甲方安全部门有权对违章人员依甲方有关规定警告和处罚。不戴安全帽、不系安全带，甲方将对乙方予以100元/人/次违约金。</w:t>
      </w:r>
    </w:p>
    <w:p w14:paraId="2BEB3A3F">
      <w:pPr>
        <w:spacing w:line="360" w:lineRule="auto"/>
        <w:rPr>
          <w:rFonts w:hint="eastAsia" w:ascii="宋体" w:hAnsi="宋体" w:eastAsia="宋体" w:cs="宋体"/>
          <w:b/>
          <w:sz w:val="21"/>
          <w:szCs w:val="21"/>
        </w:rPr>
      </w:pPr>
    </w:p>
    <w:p w14:paraId="76012705">
      <w:pPr>
        <w:spacing w:line="360" w:lineRule="auto"/>
        <w:rPr>
          <w:rFonts w:hint="eastAsia" w:ascii="宋体" w:hAnsi="宋体" w:eastAsia="宋体" w:cs="宋体"/>
          <w:b/>
          <w:sz w:val="21"/>
          <w:szCs w:val="21"/>
        </w:rPr>
      </w:pPr>
      <w:r>
        <w:rPr>
          <w:rFonts w:hint="eastAsia" w:ascii="宋体" w:hAnsi="宋体" w:eastAsia="宋体" w:cs="宋体"/>
          <w:b/>
          <w:sz w:val="21"/>
          <w:szCs w:val="21"/>
        </w:rPr>
        <w:t>第十五条：合同解除</w:t>
      </w:r>
    </w:p>
    <w:p w14:paraId="548EFA5F">
      <w:pPr>
        <w:spacing w:line="360" w:lineRule="auto"/>
        <w:rPr>
          <w:rFonts w:hint="eastAsia" w:ascii="宋体" w:hAnsi="宋体" w:eastAsia="宋体" w:cs="宋体"/>
          <w:sz w:val="21"/>
          <w:szCs w:val="21"/>
        </w:rPr>
      </w:pPr>
      <w:r>
        <w:rPr>
          <w:rFonts w:hint="eastAsia" w:ascii="宋体" w:hAnsi="宋体" w:eastAsia="宋体" w:cs="宋体"/>
          <w:sz w:val="21"/>
          <w:szCs w:val="21"/>
        </w:rPr>
        <w:t>出现下列情形之一时，甲方有权随时解除合同：</w:t>
      </w:r>
    </w:p>
    <w:p w14:paraId="63B488D7">
      <w:pPr>
        <w:spacing w:line="360" w:lineRule="auto"/>
        <w:rPr>
          <w:rFonts w:hint="eastAsia" w:ascii="宋体" w:hAnsi="宋体" w:eastAsia="宋体" w:cs="宋体"/>
          <w:sz w:val="21"/>
          <w:szCs w:val="21"/>
        </w:rPr>
      </w:pPr>
      <w:r>
        <w:rPr>
          <w:rFonts w:hint="eastAsia" w:ascii="宋体" w:hAnsi="宋体" w:eastAsia="宋体" w:cs="宋体"/>
          <w:sz w:val="21"/>
          <w:szCs w:val="21"/>
        </w:rPr>
        <w:t>一、乙方人员与甲方管理人员有任何不当、不轨行为；</w:t>
      </w:r>
    </w:p>
    <w:p w14:paraId="46F7E8EE">
      <w:pPr>
        <w:spacing w:line="360" w:lineRule="auto"/>
        <w:rPr>
          <w:rFonts w:hint="eastAsia" w:ascii="宋体" w:hAnsi="宋体" w:eastAsia="宋体" w:cs="宋体"/>
          <w:sz w:val="21"/>
          <w:szCs w:val="21"/>
        </w:rPr>
      </w:pPr>
      <w:r>
        <w:rPr>
          <w:rFonts w:hint="eastAsia" w:ascii="宋体" w:hAnsi="宋体" w:eastAsia="宋体" w:cs="宋体"/>
          <w:sz w:val="21"/>
          <w:szCs w:val="21"/>
        </w:rPr>
        <w:t>二、乙方连续停工超过 15 天或累计停工超过 20天；</w:t>
      </w:r>
    </w:p>
    <w:p w14:paraId="34171D85">
      <w:pPr>
        <w:spacing w:line="360" w:lineRule="auto"/>
        <w:rPr>
          <w:rFonts w:hint="eastAsia" w:ascii="宋体" w:hAnsi="宋体" w:eastAsia="宋体" w:cs="宋体"/>
          <w:sz w:val="21"/>
          <w:szCs w:val="21"/>
        </w:rPr>
      </w:pPr>
      <w:r>
        <w:rPr>
          <w:rFonts w:hint="eastAsia" w:ascii="宋体" w:hAnsi="宋体" w:eastAsia="宋体" w:cs="宋体"/>
          <w:sz w:val="21"/>
          <w:szCs w:val="21"/>
        </w:rPr>
        <w:t>三、乙方逾期超过 20 天未完工；</w:t>
      </w:r>
    </w:p>
    <w:p w14:paraId="22283C28">
      <w:pPr>
        <w:spacing w:line="360" w:lineRule="auto"/>
        <w:rPr>
          <w:rFonts w:hint="eastAsia" w:ascii="宋体" w:hAnsi="宋体" w:eastAsia="宋体" w:cs="宋体"/>
          <w:sz w:val="21"/>
          <w:szCs w:val="21"/>
        </w:rPr>
      </w:pPr>
      <w:r>
        <w:rPr>
          <w:rFonts w:hint="eastAsia" w:ascii="宋体" w:hAnsi="宋体" w:eastAsia="宋体" w:cs="宋体"/>
          <w:sz w:val="21"/>
          <w:szCs w:val="21"/>
        </w:rPr>
        <w:t>四、乙方违反合同约定，经甲方提出后超过 5 天内仍未改正；</w:t>
      </w:r>
    </w:p>
    <w:p w14:paraId="25174269">
      <w:pPr>
        <w:spacing w:line="360" w:lineRule="auto"/>
        <w:rPr>
          <w:rFonts w:hint="eastAsia" w:ascii="宋体" w:hAnsi="宋体" w:eastAsia="宋体" w:cs="宋体"/>
          <w:sz w:val="21"/>
          <w:szCs w:val="21"/>
        </w:rPr>
      </w:pPr>
      <w:r>
        <w:rPr>
          <w:rFonts w:hint="eastAsia" w:ascii="宋体" w:hAnsi="宋体" w:eastAsia="宋体" w:cs="宋体"/>
          <w:sz w:val="21"/>
          <w:szCs w:val="21"/>
        </w:rPr>
        <w:t>五、乙方累计违约超过 3次；</w:t>
      </w:r>
    </w:p>
    <w:p w14:paraId="1A4C482B">
      <w:pPr>
        <w:spacing w:line="360" w:lineRule="auto"/>
        <w:rPr>
          <w:rFonts w:hint="eastAsia" w:ascii="宋体" w:hAnsi="宋体" w:eastAsia="宋体" w:cs="宋体"/>
          <w:sz w:val="21"/>
          <w:szCs w:val="21"/>
        </w:rPr>
      </w:pPr>
      <w:r>
        <w:rPr>
          <w:rFonts w:hint="eastAsia" w:ascii="宋体" w:hAnsi="宋体" w:eastAsia="宋体" w:cs="宋体"/>
          <w:sz w:val="21"/>
          <w:szCs w:val="21"/>
        </w:rPr>
        <w:t>六、其他致使甲方无法实现合同目的的情形。因自然灾害、战争、政府政策等不可抗拒因素造成的停工，经双方协商可解除合同，按已完工程量办理结算，互不追究责任。</w:t>
      </w:r>
    </w:p>
    <w:p w14:paraId="5DD95C1E">
      <w:pPr>
        <w:spacing w:line="360" w:lineRule="auto"/>
        <w:rPr>
          <w:rFonts w:hint="eastAsia" w:ascii="宋体" w:hAnsi="宋体" w:eastAsia="宋体" w:cs="宋体"/>
          <w:sz w:val="21"/>
          <w:szCs w:val="21"/>
        </w:rPr>
      </w:pPr>
      <w:r>
        <w:rPr>
          <w:rFonts w:hint="eastAsia" w:ascii="宋体" w:hAnsi="宋体" w:eastAsia="宋体" w:cs="宋体"/>
          <w:sz w:val="21"/>
          <w:szCs w:val="21"/>
        </w:rPr>
        <w:t>七、本合同规定的其他情形。</w:t>
      </w:r>
    </w:p>
    <w:p w14:paraId="141A895D">
      <w:pPr>
        <w:spacing w:line="360" w:lineRule="auto"/>
        <w:rPr>
          <w:rFonts w:hint="eastAsia" w:ascii="宋体" w:hAnsi="宋体" w:eastAsia="宋体" w:cs="宋体"/>
          <w:sz w:val="21"/>
          <w:szCs w:val="21"/>
        </w:rPr>
      </w:pPr>
      <w:r>
        <w:rPr>
          <w:rFonts w:hint="eastAsia" w:ascii="宋体" w:hAnsi="宋体" w:eastAsia="宋体" w:cs="宋体"/>
          <w:sz w:val="21"/>
          <w:szCs w:val="21"/>
        </w:rPr>
        <w:t>本合同的解除不影响合同约定的违约责任条款效力，同时乙方应赔偿因合同解除给甲方造成的损失。</w:t>
      </w:r>
    </w:p>
    <w:p w14:paraId="18A4A5A4">
      <w:pPr>
        <w:spacing w:line="360" w:lineRule="auto"/>
        <w:rPr>
          <w:rFonts w:hint="eastAsia" w:ascii="宋体" w:hAnsi="宋体" w:eastAsia="宋体" w:cs="宋体"/>
          <w:b/>
          <w:sz w:val="21"/>
          <w:szCs w:val="21"/>
        </w:rPr>
      </w:pPr>
    </w:p>
    <w:p w14:paraId="7C4437DA">
      <w:pPr>
        <w:spacing w:line="360" w:lineRule="auto"/>
        <w:rPr>
          <w:rFonts w:hint="eastAsia" w:ascii="宋体" w:hAnsi="宋体" w:eastAsia="宋体" w:cs="宋体"/>
          <w:b/>
          <w:sz w:val="21"/>
          <w:szCs w:val="21"/>
        </w:rPr>
      </w:pPr>
      <w:r>
        <w:rPr>
          <w:rFonts w:hint="eastAsia" w:ascii="宋体" w:hAnsi="宋体" w:eastAsia="宋体" w:cs="宋体"/>
          <w:b/>
          <w:sz w:val="21"/>
          <w:szCs w:val="21"/>
        </w:rPr>
        <w:t>第十六条：争议解决</w:t>
      </w:r>
    </w:p>
    <w:p w14:paraId="684A5A36">
      <w:pPr>
        <w:spacing w:line="360" w:lineRule="auto"/>
        <w:rPr>
          <w:rFonts w:hint="eastAsia" w:ascii="宋体" w:hAnsi="宋体" w:eastAsia="宋体" w:cs="宋体"/>
          <w:sz w:val="21"/>
          <w:szCs w:val="21"/>
        </w:rPr>
      </w:pPr>
      <w:r>
        <w:rPr>
          <w:rFonts w:hint="eastAsia" w:ascii="宋体" w:hAnsi="宋体" w:eastAsia="宋体" w:cs="宋体"/>
          <w:sz w:val="21"/>
          <w:szCs w:val="21"/>
        </w:rPr>
        <w:t>双方在履行合同时有争议可协商解决，如无法协商或协商不成可向合同履行地法院提起诉讼。除提交诉讼的争议事项外，施工工作应照常进行。败诉方承担诉讼费、律师费、鉴定费、工期延误费、担保费、保全费等费用。</w:t>
      </w:r>
    </w:p>
    <w:p w14:paraId="2CCB9256">
      <w:pPr>
        <w:spacing w:line="360" w:lineRule="auto"/>
        <w:rPr>
          <w:rFonts w:hint="eastAsia" w:ascii="宋体" w:hAnsi="宋体" w:eastAsia="宋体" w:cs="宋体"/>
          <w:b/>
          <w:sz w:val="21"/>
          <w:szCs w:val="21"/>
        </w:rPr>
      </w:pPr>
    </w:p>
    <w:p w14:paraId="1543F63E">
      <w:pPr>
        <w:spacing w:line="360" w:lineRule="auto"/>
        <w:rPr>
          <w:rFonts w:hint="eastAsia" w:ascii="宋体" w:hAnsi="宋体" w:eastAsia="宋体" w:cs="宋体"/>
          <w:b/>
          <w:sz w:val="21"/>
          <w:szCs w:val="21"/>
        </w:rPr>
      </w:pPr>
      <w:r>
        <w:rPr>
          <w:rFonts w:hint="eastAsia" w:ascii="宋体" w:hAnsi="宋体" w:eastAsia="宋体" w:cs="宋体"/>
          <w:b/>
          <w:sz w:val="21"/>
          <w:szCs w:val="21"/>
        </w:rPr>
        <w:t>第十七条：通知</w:t>
      </w:r>
    </w:p>
    <w:p w14:paraId="5EE67C0A">
      <w:pPr>
        <w:spacing w:line="360" w:lineRule="auto"/>
        <w:rPr>
          <w:rFonts w:hint="eastAsia" w:ascii="宋体" w:hAnsi="宋体" w:eastAsia="宋体" w:cs="宋体"/>
          <w:sz w:val="21"/>
          <w:szCs w:val="21"/>
        </w:rPr>
      </w:pPr>
      <w:r>
        <w:rPr>
          <w:rFonts w:hint="eastAsia" w:ascii="宋体" w:hAnsi="宋体" w:eastAsia="宋体" w:cs="宋体"/>
          <w:sz w:val="21"/>
          <w:szCs w:val="21"/>
        </w:rPr>
        <w:t>一、双方应保证地址、联系方式、企业法定代表人等工商登记情况及代理人等有关资料和证件真实有效，如有变更，须提前7天书面通知对方，否则视为无变动。</w:t>
      </w:r>
    </w:p>
    <w:p w14:paraId="5496CEA7">
      <w:pPr>
        <w:spacing w:line="360" w:lineRule="auto"/>
        <w:rPr>
          <w:rFonts w:hint="eastAsia" w:ascii="宋体" w:hAnsi="宋体" w:eastAsia="宋体" w:cs="宋体"/>
          <w:sz w:val="21"/>
          <w:szCs w:val="21"/>
        </w:rPr>
      </w:pPr>
      <w:r>
        <w:rPr>
          <w:rFonts w:hint="eastAsia" w:ascii="宋体" w:hAnsi="宋体" w:eastAsia="宋体" w:cs="宋体"/>
          <w:sz w:val="21"/>
          <w:szCs w:val="21"/>
        </w:rPr>
        <w:t>二、与本合同有关的通知、文件等均须采用书面形式发出，并由顺丰、中国邮政特快专递（EMS）或专人送至本合同首页载明的通讯地址；顺丰、EMS寄出第3日（无论对方签收与否）或对方签收日视为已送达。</w:t>
      </w:r>
    </w:p>
    <w:p w14:paraId="2A9542B2">
      <w:pPr>
        <w:pStyle w:val="6"/>
        <w:rPr>
          <w:rFonts w:hint="eastAsia"/>
        </w:rPr>
      </w:pPr>
    </w:p>
    <w:p w14:paraId="51222BE4">
      <w:pPr>
        <w:spacing w:line="360" w:lineRule="auto"/>
        <w:rPr>
          <w:rFonts w:hint="eastAsia" w:ascii="宋体" w:hAnsi="宋体" w:eastAsia="宋体" w:cs="宋体"/>
          <w:b/>
          <w:sz w:val="21"/>
          <w:szCs w:val="21"/>
        </w:rPr>
      </w:pPr>
      <w:r>
        <w:rPr>
          <w:rFonts w:hint="eastAsia" w:ascii="宋体" w:hAnsi="宋体" w:eastAsia="宋体" w:cs="宋体"/>
          <w:b/>
          <w:sz w:val="21"/>
          <w:szCs w:val="21"/>
        </w:rPr>
        <w:t>第十八条 保密义务</w:t>
      </w:r>
    </w:p>
    <w:p w14:paraId="49039685">
      <w:pPr>
        <w:spacing w:line="360" w:lineRule="auto"/>
        <w:rPr>
          <w:rFonts w:hint="eastAsia" w:ascii="宋体" w:hAnsi="宋体" w:eastAsia="宋体" w:cs="宋体"/>
          <w:b/>
          <w:sz w:val="21"/>
          <w:szCs w:val="21"/>
        </w:rPr>
      </w:pPr>
      <w:r>
        <w:rPr>
          <w:rFonts w:hint="eastAsia" w:ascii="宋体" w:hAnsi="宋体" w:eastAsia="宋体" w:cs="宋体"/>
          <w:sz w:val="21"/>
          <w:szCs w:val="21"/>
        </w:rPr>
        <w:t>乙方应对因履行本合同而知悉的甲方所有技术信息（包括但不限于设备参数、工艺流程、设计图纸、实验数据）、经营信息（包括但不限于合同价格、商业计划）及与深圳市龙华区求雨岭储备库相关的任何非公开信息承担严格保密义务，不得向任何第三方泄露或用于本合同目的之外的任何用途；该保密义务为永久性义务，不因本合同的变更、解除或终止而失效。乙方违反本条约定给甲方造成损失的，应全额赔偿甲方的直接及间接损失（包括维权费用），且甲方有权从乙方工程结算款中直接扣除相应违约金。</w:t>
      </w:r>
    </w:p>
    <w:p w14:paraId="68909300">
      <w:pPr>
        <w:spacing w:line="360" w:lineRule="auto"/>
        <w:rPr>
          <w:rFonts w:hint="eastAsia" w:ascii="宋体" w:hAnsi="宋体" w:eastAsia="宋体" w:cs="宋体"/>
          <w:b/>
          <w:sz w:val="21"/>
          <w:szCs w:val="21"/>
        </w:rPr>
      </w:pPr>
    </w:p>
    <w:p w14:paraId="118596AE">
      <w:pPr>
        <w:spacing w:line="360" w:lineRule="auto"/>
        <w:rPr>
          <w:rFonts w:hint="eastAsia" w:ascii="宋体" w:hAnsi="宋体" w:eastAsia="宋体" w:cs="宋体"/>
          <w:sz w:val="21"/>
          <w:szCs w:val="21"/>
        </w:rPr>
      </w:pPr>
      <w:r>
        <w:rPr>
          <w:rFonts w:hint="eastAsia" w:ascii="宋体" w:hAnsi="宋体" w:eastAsia="宋体" w:cs="宋体"/>
          <w:b/>
          <w:sz w:val="21"/>
          <w:szCs w:val="21"/>
        </w:rPr>
        <w:t>第十</w:t>
      </w:r>
      <w:r>
        <w:rPr>
          <w:rFonts w:hint="eastAsia" w:ascii="宋体" w:hAnsi="宋体" w:eastAsia="宋体" w:cs="宋体"/>
          <w:b/>
          <w:sz w:val="21"/>
          <w:szCs w:val="21"/>
          <w:lang w:val="en-US" w:eastAsia="zh-CN"/>
        </w:rPr>
        <w:t>九</w:t>
      </w:r>
      <w:r>
        <w:rPr>
          <w:rFonts w:hint="eastAsia" w:ascii="宋体" w:hAnsi="宋体" w:eastAsia="宋体" w:cs="宋体"/>
          <w:b/>
          <w:sz w:val="21"/>
          <w:szCs w:val="21"/>
        </w:rPr>
        <w:t>条：其他</w:t>
      </w:r>
    </w:p>
    <w:p w14:paraId="5BD638DF">
      <w:pPr>
        <w:spacing w:line="360" w:lineRule="auto"/>
        <w:rPr>
          <w:rFonts w:hint="eastAsia" w:ascii="宋体" w:hAnsi="宋体" w:eastAsia="宋体" w:cs="宋体"/>
          <w:sz w:val="21"/>
          <w:szCs w:val="21"/>
        </w:rPr>
      </w:pPr>
      <w:r>
        <w:rPr>
          <w:rFonts w:hint="eastAsia" w:ascii="宋体" w:hAnsi="宋体" w:eastAsia="宋体" w:cs="宋体"/>
          <w:sz w:val="21"/>
          <w:szCs w:val="21"/>
        </w:rPr>
        <w:t>一、构成本合同的合同文件之间应当能相互说明和相互补充。除非合同文件另有约定,合同文件的组成及解释顺序如下:</w:t>
      </w:r>
    </w:p>
    <w:p w14:paraId="2B34266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1、已纳入或将纳入本合同条款的具有合同约束力的补充协议或其他经双方签字盖章确认的书面文件等文件(时间后者效力优先)；</w:t>
      </w:r>
    </w:p>
    <w:p w14:paraId="7A74B94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2、合同条款及合同附件；</w:t>
      </w:r>
    </w:p>
    <w:p w14:paraId="73074494">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3、图纸</w:t>
      </w:r>
      <w:r>
        <w:rPr>
          <w:rFonts w:hint="eastAsia" w:ascii="宋体" w:hAnsi="宋体" w:eastAsia="宋体" w:cs="宋体"/>
          <w:sz w:val="21"/>
          <w:szCs w:val="21"/>
          <w:lang w:eastAsia="zh-CN"/>
        </w:rPr>
        <w:t>；</w:t>
      </w:r>
    </w:p>
    <w:p w14:paraId="5AF2607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4、工程量清单</w:t>
      </w:r>
      <w:r>
        <w:rPr>
          <w:rFonts w:hint="eastAsia" w:ascii="宋体" w:hAnsi="宋体" w:eastAsia="宋体" w:cs="宋体"/>
          <w:sz w:val="21"/>
          <w:szCs w:val="21"/>
          <w:lang w:eastAsia="zh-CN"/>
        </w:rPr>
        <w:t>；</w:t>
      </w:r>
    </w:p>
    <w:p w14:paraId="46ED1D0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5、标准、规范及有关技术文件，包括《 深圳市建设工程现场文明施工管理办法》、《 深圳市建设工程现场文明施工检查评定标准》、以及国家和地方相关施工、验收规范与要求等；</w:t>
      </w:r>
    </w:p>
    <w:p w14:paraId="406C3A3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投标文件。双方在本合同履行中所共同签署或认可的符合现行法律、法规、规章及规范性文件,且符合本合同实质性约定的指令、洽商、纪要或同类性质的文件,均构成合同文件的有效补充。如发生解释争议时,则做出最有利于甲方的解释。</w:t>
      </w:r>
    </w:p>
    <w:p w14:paraId="638BCC84">
      <w:pPr>
        <w:spacing w:line="360" w:lineRule="auto"/>
        <w:rPr>
          <w:rFonts w:hint="eastAsia" w:ascii="宋体" w:hAnsi="宋体" w:eastAsia="宋体" w:cs="宋体"/>
          <w:sz w:val="21"/>
          <w:szCs w:val="21"/>
        </w:rPr>
      </w:pPr>
      <w:r>
        <w:rPr>
          <w:rFonts w:hint="eastAsia" w:ascii="宋体" w:hAnsi="宋体" w:eastAsia="宋体" w:cs="宋体"/>
          <w:sz w:val="21"/>
          <w:szCs w:val="21"/>
        </w:rPr>
        <w:t>二、因乙方原因终止合同时，现场工程材料、设备及施工机具装备、临时设施等由甲方决定是由乙方转交其他承包人继续使用(乙方同意甲方全权处置上述工程材料、设备及施工机具设备、临时设施的数量和价格并做好配合工作)还是由乙方撤离现场。为了保证本工程施工的目的，甲方或其邀请实施本合同工程的其他承包人仍可继续使用乙方己租用的任何装备，其租用条件在各方面都应与租给乙方的条件相同。已经订货的材料、设备由订货方负责退货或解除订货合同，不能退还的货款和因退货、解除订货合同发生的相关费用由责任方承担。</w:t>
      </w:r>
    </w:p>
    <w:p w14:paraId="75CB52AB">
      <w:pPr>
        <w:tabs>
          <w:tab w:val="left" w:pos="780"/>
        </w:tabs>
        <w:spacing w:line="360" w:lineRule="auto"/>
        <w:rPr>
          <w:rFonts w:hint="eastAsia" w:ascii="宋体" w:hAnsi="宋体" w:eastAsia="宋体" w:cs="宋体"/>
          <w:sz w:val="21"/>
          <w:szCs w:val="21"/>
        </w:rPr>
      </w:pPr>
      <w:r>
        <w:rPr>
          <w:rFonts w:hint="eastAsia" w:ascii="宋体" w:hAnsi="宋体" w:eastAsia="宋体" w:cs="宋体"/>
          <w:sz w:val="21"/>
          <w:szCs w:val="21"/>
        </w:rPr>
        <w:t>三、乙方应确保其使用的材料符合</w:t>
      </w:r>
      <w:r>
        <w:rPr>
          <w:rFonts w:hint="eastAsia" w:ascii="宋体" w:hAnsi="宋体" w:eastAsia="宋体" w:cs="宋体"/>
          <w:sz w:val="21"/>
          <w:szCs w:val="21"/>
          <w:u w:val="single"/>
        </w:rPr>
        <w:t>深圳</w:t>
      </w:r>
      <w:r>
        <w:rPr>
          <w:rFonts w:hint="eastAsia" w:ascii="宋体" w:hAnsi="宋体" w:eastAsia="宋体" w:cs="宋体"/>
          <w:sz w:val="21"/>
          <w:szCs w:val="21"/>
        </w:rPr>
        <w:t>市环保主管部门的环保要求，确保工程竣工验收通过室内污染物检测验收合格标准。如因不符合环保要求而造成返工纠纷和有关赔偿，责任和费用概由乙方负责。</w:t>
      </w:r>
    </w:p>
    <w:p w14:paraId="7291F635">
      <w:pPr>
        <w:tabs>
          <w:tab w:val="left" w:pos="780"/>
        </w:tabs>
        <w:spacing w:line="360" w:lineRule="auto"/>
        <w:rPr>
          <w:rFonts w:hint="eastAsia" w:ascii="宋体" w:hAnsi="宋体" w:eastAsia="宋体" w:cs="宋体"/>
          <w:sz w:val="21"/>
          <w:szCs w:val="21"/>
        </w:rPr>
      </w:pPr>
      <w:r>
        <w:rPr>
          <w:rFonts w:hint="eastAsia" w:ascii="宋体" w:hAnsi="宋体" w:eastAsia="宋体" w:cs="宋体"/>
          <w:sz w:val="21"/>
          <w:szCs w:val="21"/>
        </w:rPr>
        <w:t>四、乙方必须按经甲乙双方确认的施工图纸内容全部施工到位，对于因乙方在预算书中漏报项目或者少报工程量的，概由乙方负责按施工图纸施工到位，费用由乙方承担，甲方不作任何补偿。</w:t>
      </w:r>
    </w:p>
    <w:p w14:paraId="6195E260">
      <w:pPr>
        <w:spacing w:line="360" w:lineRule="auto"/>
        <w:rPr>
          <w:rFonts w:hint="eastAsia" w:ascii="宋体" w:hAnsi="宋体" w:eastAsia="宋体" w:cs="宋体"/>
          <w:sz w:val="21"/>
          <w:szCs w:val="21"/>
        </w:rPr>
      </w:pPr>
      <w:r>
        <w:rPr>
          <w:rFonts w:hint="eastAsia" w:ascii="宋体" w:hAnsi="宋体" w:eastAsia="宋体" w:cs="宋体"/>
          <w:sz w:val="21"/>
          <w:szCs w:val="21"/>
        </w:rPr>
        <w:t>五、本合同未尽事宜，经双方协商签订补充协议，与原合同有同等法律效力。</w:t>
      </w:r>
    </w:p>
    <w:p w14:paraId="1B13BB12">
      <w:pPr>
        <w:spacing w:line="360" w:lineRule="auto"/>
        <w:rPr>
          <w:rFonts w:hint="eastAsia" w:ascii="宋体" w:hAnsi="宋体" w:eastAsia="宋体" w:cs="宋体"/>
          <w:sz w:val="21"/>
          <w:szCs w:val="21"/>
        </w:rPr>
      </w:pPr>
      <w:r>
        <w:rPr>
          <w:rFonts w:hint="eastAsia" w:ascii="宋体" w:hAnsi="宋体" w:eastAsia="宋体" w:cs="宋体"/>
          <w:sz w:val="21"/>
          <w:szCs w:val="21"/>
        </w:rPr>
        <w:t>六、本合同一式</w:t>
      </w:r>
      <w:r>
        <w:rPr>
          <w:rFonts w:hint="eastAsia" w:ascii="宋体" w:hAnsi="宋体" w:eastAsia="宋体" w:cs="宋体"/>
          <w:sz w:val="21"/>
          <w:szCs w:val="21"/>
          <w:lang w:val="en-US" w:eastAsia="zh-CN"/>
        </w:rPr>
        <w:t>陆</w:t>
      </w:r>
      <w:r>
        <w:rPr>
          <w:rFonts w:hint="eastAsia" w:ascii="宋体" w:hAnsi="宋体" w:eastAsia="宋体" w:cs="宋体"/>
          <w:sz w:val="21"/>
          <w:szCs w:val="21"/>
        </w:rPr>
        <w:t>份，</w:t>
      </w:r>
      <w:r>
        <w:rPr>
          <w:rFonts w:hint="eastAsia" w:ascii="宋体" w:hAnsi="宋体" w:eastAsia="宋体" w:cs="宋体"/>
          <w:sz w:val="21"/>
          <w:szCs w:val="21"/>
          <w:lang w:val="en-US" w:eastAsia="zh-CN"/>
        </w:rPr>
        <w:t>甲乙双方各</w:t>
      </w:r>
      <w:r>
        <w:rPr>
          <w:rFonts w:hint="eastAsia" w:ascii="宋体" w:hAnsi="宋体" w:eastAsia="宋体" w:cs="宋体"/>
          <w:sz w:val="21"/>
          <w:szCs w:val="21"/>
        </w:rPr>
        <w:t>执</w:t>
      </w:r>
      <w:r>
        <w:rPr>
          <w:rFonts w:hint="eastAsia" w:ascii="宋体" w:hAnsi="宋体" w:eastAsia="宋体" w:cs="宋体"/>
          <w:sz w:val="21"/>
          <w:szCs w:val="21"/>
          <w:lang w:val="en-US" w:eastAsia="zh-CN"/>
        </w:rPr>
        <w:t>叁</w:t>
      </w:r>
      <w:r>
        <w:rPr>
          <w:rFonts w:hint="eastAsia" w:ascii="宋体" w:hAnsi="宋体" w:eastAsia="宋体" w:cs="宋体"/>
          <w:sz w:val="21"/>
          <w:szCs w:val="21"/>
        </w:rPr>
        <w:t>份，签字盖章后生效。</w:t>
      </w:r>
    </w:p>
    <w:p w14:paraId="2ADC0657">
      <w:pPr>
        <w:tabs>
          <w:tab w:val="left" w:pos="780"/>
        </w:tabs>
        <w:spacing w:line="360" w:lineRule="auto"/>
        <w:ind w:firstLine="2730" w:firstLineChars="1300"/>
        <w:rPr>
          <w:rFonts w:hint="eastAsia" w:ascii="宋体" w:hAnsi="宋体" w:eastAsia="宋体" w:cs="宋体"/>
          <w:sz w:val="21"/>
          <w:szCs w:val="21"/>
        </w:rPr>
      </w:pPr>
      <w:r>
        <w:rPr>
          <w:rFonts w:hint="eastAsia" w:ascii="宋体" w:hAnsi="宋体" w:eastAsia="宋体" w:cs="宋体"/>
          <w:sz w:val="21"/>
          <w:szCs w:val="21"/>
        </w:rPr>
        <w:t>（下页为合同签署页）</w:t>
      </w:r>
    </w:p>
    <w:p w14:paraId="65AFB60C">
      <w:pPr>
        <w:spacing w:line="240" w:lineRule="auto"/>
        <w:rPr>
          <w:rFonts w:hint="eastAsia" w:ascii="宋体" w:hAnsi="宋体" w:eastAsia="宋体" w:cs="宋体"/>
          <w:sz w:val="21"/>
          <w:szCs w:val="21"/>
        </w:rPr>
      </w:pPr>
      <w:r>
        <w:rPr>
          <w:rFonts w:hint="eastAsia" w:ascii="宋体" w:hAnsi="宋体" w:eastAsia="宋体" w:cs="宋体"/>
          <w:sz w:val="21"/>
          <w:szCs w:val="21"/>
        </w:rPr>
        <w:br w:type="page"/>
      </w:r>
    </w:p>
    <w:p w14:paraId="6B7740F7">
      <w:pPr>
        <w:spacing w:line="240" w:lineRule="auto"/>
        <w:jc w:val="center"/>
        <w:rPr>
          <w:rFonts w:hint="eastAsia" w:ascii="宋体" w:hAnsi="宋体" w:eastAsia="宋体" w:cs="宋体"/>
          <w:b/>
          <w:bCs/>
          <w:sz w:val="21"/>
          <w:szCs w:val="21"/>
        </w:rPr>
      </w:pPr>
    </w:p>
    <w:p w14:paraId="714DC098">
      <w:pPr>
        <w:spacing w:line="240" w:lineRule="auto"/>
        <w:jc w:val="center"/>
        <w:rPr>
          <w:rFonts w:hint="eastAsia" w:ascii="宋体" w:hAnsi="宋体" w:eastAsia="宋体" w:cs="宋体"/>
          <w:b/>
          <w:bCs/>
          <w:sz w:val="21"/>
          <w:szCs w:val="21"/>
        </w:rPr>
      </w:pPr>
    </w:p>
    <w:p w14:paraId="11F18B7C">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合同签署页</w:t>
      </w:r>
    </w:p>
    <w:p w14:paraId="44854B4C">
      <w:pPr>
        <w:tabs>
          <w:tab w:val="left" w:pos="780"/>
        </w:tabs>
        <w:spacing w:line="360" w:lineRule="auto"/>
        <w:rPr>
          <w:rFonts w:hint="eastAsia" w:ascii="宋体" w:hAnsi="宋体" w:eastAsia="宋体" w:cs="宋体"/>
          <w:sz w:val="21"/>
          <w:szCs w:val="21"/>
        </w:rPr>
      </w:pPr>
    </w:p>
    <w:tbl>
      <w:tblPr>
        <w:tblStyle w:val="13"/>
        <w:tblpPr w:leftFromText="180" w:rightFromText="180" w:vertAnchor="text" w:horzAnchor="margin" w:tblpXSpec="center" w:tblpY="-63"/>
        <w:tblOverlap w:val="never"/>
        <w:tblW w:w="4999" w:type="pct"/>
        <w:jc w:val="center"/>
        <w:tblLayout w:type="autofit"/>
        <w:tblCellMar>
          <w:top w:w="0" w:type="dxa"/>
          <w:left w:w="108" w:type="dxa"/>
          <w:bottom w:w="0" w:type="dxa"/>
          <w:right w:w="108" w:type="dxa"/>
        </w:tblCellMar>
      </w:tblPr>
      <w:tblGrid>
        <w:gridCol w:w="4354"/>
        <w:gridCol w:w="4172"/>
      </w:tblGrid>
      <w:tr w14:paraId="26A74B2B">
        <w:tblPrEx>
          <w:tblCellMar>
            <w:top w:w="0" w:type="dxa"/>
            <w:left w:w="108" w:type="dxa"/>
            <w:bottom w:w="0" w:type="dxa"/>
            <w:right w:w="108" w:type="dxa"/>
          </w:tblCellMar>
        </w:tblPrEx>
        <w:trPr>
          <w:trHeight w:val="961" w:hRule="atLeast"/>
          <w:jc w:val="center"/>
        </w:trPr>
        <w:tc>
          <w:tcPr>
            <w:tcW w:w="2553" w:type="pct"/>
            <w:vAlign w:val="center"/>
          </w:tcPr>
          <w:p w14:paraId="1EED1E45">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甲方（盖章）：</w:t>
            </w:r>
          </w:p>
          <w:p w14:paraId="7AAABD63">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lang w:eastAsia="zh-CN"/>
              </w:rPr>
            </w:pPr>
            <w:r>
              <w:rPr>
                <w:rFonts w:hint="eastAsia" w:ascii="宋体" w:hAnsi="宋体" w:eastAsia="宋体" w:cs="宋体"/>
                <w:sz w:val="21"/>
                <w:szCs w:val="21"/>
                <w:lang w:eastAsia="zh-CN"/>
              </w:rPr>
              <w:t>深圳市深燃清洁能源有限公司</w:t>
            </w:r>
          </w:p>
          <w:p w14:paraId="6E753D07">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p w14:paraId="48C22029">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tc>
        <w:tc>
          <w:tcPr>
            <w:tcW w:w="2446" w:type="pct"/>
            <w:vAlign w:val="center"/>
          </w:tcPr>
          <w:p w14:paraId="3989DC65">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乙方（盖章）：</w:t>
            </w:r>
          </w:p>
          <w:p w14:paraId="5FB6126A">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p w14:paraId="69CB7885">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tc>
      </w:tr>
      <w:tr w14:paraId="13F65E50">
        <w:tblPrEx>
          <w:tblCellMar>
            <w:top w:w="0" w:type="dxa"/>
            <w:left w:w="108" w:type="dxa"/>
            <w:bottom w:w="0" w:type="dxa"/>
            <w:right w:w="108" w:type="dxa"/>
          </w:tblCellMar>
        </w:tblPrEx>
        <w:trPr>
          <w:trHeight w:val="2018" w:hRule="atLeast"/>
          <w:jc w:val="center"/>
        </w:trPr>
        <w:tc>
          <w:tcPr>
            <w:tcW w:w="2553" w:type="pct"/>
          </w:tcPr>
          <w:p w14:paraId="79D7228F">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法定代表人或委托代理人（签名）：</w:t>
            </w:r>
          </w:p>
          <w:p w14:paraId="49D18A81">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p w14:paraId="31B552D0">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经办人（签字）：</w:t>
            </w:r>
          </w:p>
          <w:p w14:paraId="3C53A30C">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tc>
        <w:tc>
          <w:tcPr>
            <w:tcW w:w="2446" w:type="pct"/>
          </w:tcPr>
          <w:p w14:paraId="3120D6A2">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法定代表人或委托代理人（签名）：</w:t>
            </w:r>
          </w:p>
          <w:p w14:paraId="1868D81C">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p w14:paraId="185AB9CD">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 xml:space="preserve">经办人（签字）： </w:t>
            </w:r>
          </w:p>
          <w:p w14:paraId="4EA07786">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p>
        </w:tc>
      </w:tr>
      <w:tr w14:paraId="21EFB2C3">
        <w:tblPrEx>
          <w:tblCellMar>
            <w:top w:w="0" w:type="dxa"/>
            <w:left w:w="108" w:type="dxa"/>
            <w:bottom w:w="0" w:type="dxa"/>
            <w:right w:w="108" w:type="dxa"/>
          </w:tblCellMar>
        </w:tblPrEx>
        <w:trPr>
          <w:trHeight w:val="698" w:hRule="atLeast"/>
          <w:jc w:val="center"/>
        </w:trPr>
        <w:tc>
          <w:tcPr>
            <w:tcW w:w="2553" w:type="pct"/>
          </w:tcPr>
          <w:p w14:paraId="3CCF81DE">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地址：深圳市福田区梅坳一路268号</w:t>
            </w:r>
          </w:p>
        </w:tc>
        <w:tc>
          <w:tcPr>
            <w:tcW w:w="2446" w:type="pct"/>
          </w:tcPr>
          <w:p w14:paraId="21621E90">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地址：</w:t>
            </w:r>
          </w:p>
        </w:tc>
      </w:tr>
      <w:tr w14:paraId="68C291CF">
        <w:tblPrEx>
          <w:tblCellMar>
            <w:top w:w="0" w:type="dxa"/>
            <w:left w:w="108" w:type="dxa"/>
            <w:bottom w:w="0" w:type="dxa"/>
            <w:right w:w="108" w:type="dxa"/>
          </w:tblCellMar>
        </w:tblPrEx>
        <w:trPr>
          <w:trHeight w:val="899" w:hRule="atLeast"/>
          <w:jc w:val="center"/>
        </w:trPr>
        <w:tc>
          <w:tcPr>
            <w:tcW w:w="2553" w:type="pct"/>
            <w:vAlign w:val="center"/>
          </w:tcPr>
          <w:p w14:paraId="084D066E">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统一社会信用代码：</w:t>
            </w:r>
          </w:p>
          <w:p w14:paraId="512C8BAE">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开户行：</w:t>
            </w:r>
          </w:p>
          <w:p w14:paraId="4BEE3A3F">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银行账号：</w:t>
            </w:r>
          </w:p>
          <w:p w14:paraId="74F00F8B">
            <w:pPr>
              <w:keepNext w:val="0"/>
              <w:keepLines w:val="0"/>
              <w:pageBreakBefore w:val="0"/>
              <w:widowControl w:val="0"/>
              <w:kinsoku/>
              <w:wordWrap/>
              <w:overflowPunct/>
              <w:topLinePunct w:val="0"/>
              <w:bidi w:val="0"/>
              <w:adjustRightInd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电话：</w:t>
            </w:r>
          </w:p>
          <w:p w14:paraId="6310F9B0">
            <w:pPr>
              <w:pStyle w:val="18"/>
              <w:keepNext w:val="0"/>
              <w:keepLines w:val="0"/>
              <w:pageBreakBefore w:val="0"/>
              <w:widowControl w:val="0"/>
              <w:kinsoku/>
              <w:wordWrap/>
              <w:overflowPunct/>
              <w:topLinePunct w:val="0"/>
              <w:bidi w:val="0"/>
              <w:spacing w:line="360" w:lineRule="auto"/>
              <w:textAlignment w:val="bottom"/>
              <w:rPr>
                <w:rFonts w:hint="eastAsia" w:ascii="宋体" w:hAnsi="宋体" w:eastAsia="宋体" w:cs="宋体"/>
                <w:sz w:val="21"/>
                <w:szCs w:val="21"/>
              </w:rPr>
            </w:pPr>
          </w:p>
          <w:p w14:paraId="28CD133E">
            <w:pPr>
              <w:pStyle w:val="18"/>
              <w:keepNext w:val="0"/>
              <w:keepLines w:val="0"/>
              <w:pageBreakBefore w:val="0"/>
              <w:widowControl w:val="0"/>
              <w:kinsoku/>
              <w:wordWrap/>
              <w:overflowPunct/>
              <w:topLinePunct w:val="0"/>
              <w:bidi w:val="0"/>
              <w:spacing w:line="360" w:lineRule="auto"/>
              <w:textAlignment w:val="bottom"/>
              <w:rPr>
                <w:rFonts w:hint="eastAsia" w:ascii="宋体" w:hAnsi="宋体" w:eastAsia="宋体" w:cs="宋体"/>
                <w:sz w:val="21"/>
                <w:szCs w:val="21"/>
              </w:rPr>
            </w:pPr>
          </w:p>
          <w:p w14:paraId="50A25E5E">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签订日期：202</w:t>
            </w:r>
            <w:r>
              <w:rPr>
                <w:rFonts w:hint="eastAsia" w:ascii="宋体" w:hAnsi="宋体" w:eastAsia="宋体" w:cs="宋体"/>
                <w:sz w:val="21"/>
                <w:szCs w:val="21"/>
                <w:lang w:val="en-US" w:eastAsia="zh-CN"/>
              </w:rPr>
              <w:t>6</w:t>
            </w:r>
            <w:r>
              <w:rPr>
                <w:rFonts w:hint="eastAsia" w:ascii="宋体" w:hAnsi="宋体" w:eastAsia="宋体" w:cs="宋体"/>
                <w:sz w:val="21"/>
                <w:szCs w:val="21"/>
              </w:rPr>
              <w:t>年    月    日</w:t>
            </w:r>
          </w:p>
        </w:tc>
        <w:tc>
          <w:tcPr>
            <w:tcW w:w="2446" w:type="pct"/>
            <w:vAlign w:val="center"/>
          </w:tcPr>
          <w:p w14:paraId="1649C892">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统一社会信用代码:</w:t>
            </w:r>
          </w:p>
          <w:p w14:paraId="1BF03388">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开户行：</w:t>
            </w:r>
          </w:p>
          <w:p w14:paraId="0ABF46A0">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lang w:val="en-US" w:eastAsia="zh-CN"/>
              </w:rPr>
            </w:pPr>
            <w:r>
              <w:rPr>
                <w:rFonts w:hint="eastAsia" w:ascii="宋体" w:hAnsi="宋体" w:eastAsia="宋体" w:cs="宋体"/>
                <w:sz w:val="21"/>
                <w:szCs w:val="21"/>
              </w:rPr>
              <w:t>银行账号：电话：</w:t>
            </w:r>
          </w:p>
          <w:p w14:paraId="2C876A4C">
            <w:pPr>
              <w:pStyle w:val="18"/>
              <w:keepNext w:val="0"/>
              <w:keepLines w:val="0"/>
              <w:pageBreakBefore w:val="0"/>
              <w:widowControl w:val="0"/>
              <w:kinsoku/>
              <w:wordWrap/>
              <w:overflowPunct/>
              <w:topLinePunct w:val="0"/>
              <w:bidi w:val="0"/>
              <w:spacing w:line="360" w:lineRule="auto"/>
              <w:textAlignment w:val="bottom"/>
              <w:rPr>
                <w:rFonts w:hint="eastAsia" w:ascii="宋体" w:hAnsi="宋体" w:eastAsia="宋体" w:cs="宋体"/>
                <w:sz w:val="21"/>
                <w:szCs w:val="21"/>
              </w:rPr>
            </w:pPr>
          </w:p>
          <w:p w14:paraId="0D0AE210">
            <w:pPr>
              <w:pStyle w:val="18"/>
              <w:keepNext w:val="0"/>
              <w:keepLines w:val="0"/>
              <w:pageBreakBefore w:val="0"/>
              <w:widowControl w:val="0"/>
              <w:kinsoku/>
              <w:wordWrap/>
              <w:overflowPunct/>
              <w:topLinePunct w:val="0"/>
              <w:bidi w:val="0"/>
              <w:spacing w:line="360" w:lineRule="auto"/>
              <w:textAlignment w:val="bottom"/>
              <w:rPr>
                <w:rFonts w:hint="eastAsia" w:ascii="宋体" w:hAnsi="宋体" w:eastAsia="宋体" w:cs="宋体"/>
                <w:sz w:val="21"/>
                <w:szCs w:val="21"/>
              </w:rPr>
            </w:pPr>
          </w:p>
          <w:p w14:paraId="40068E81">
            <w:pPr>
              <w:keepNext w:val="0"/>
              <w:keepLines w:val="0"/>
              <w:pageBreakBefore w:val="0"/>
              <w:widowControl w:val="0"/>
              <w:kinsoku/>
              <w:wordWrap/>
              <w:overflowPunct/>
              <w:topLinePunct w:val="0"/>
              <w:bidi w:val="0"/>
              <w:snapToGrid w:val="0"/>
              <w:spacing w:line="360" w:lineRule="auto"/>
              <w:textAlignment w:val="bottom"/>
              <w:rPr>
                <w:rFonts w:hint="eastAsia" w:ascii="宋体" w:hAnsi="宋体" w:eastAsia="宋体" w:cs="宋体"/>
                <w:sz w:val="21"/>
                <w:szCs w:val="21"/>
              </w:rPr>
            </w:pPr>
            <w:r>
              <w:rPr>
                <w:rFonts w:hint="eastAsia" w:ascii="宋体" w:hAnsi="宋体" w:eastAsia="宋体" w:cs="宋体"/>
                <w:sz w:val="21"/>
                <w:szCs w:val="21"/>
              </w:rPr>
              <w:t>签订日期：202</w:t>
            </w:r>
            <w:r>
              <w:rPr>
                <w:rFonts w:hint="eastAsia" w:ascii="宋体" w:hAnsi="宋体" w:eastAsia="宋体" w:cs="宋体"/>
                <w:sz w:val="21"/>
                <w:szCs w:val="21"/>
                <w:lang w:val="en-US" w:eastAsia="zh-CN"/>
              </w:rPr>
              <w:t>6</w:t>
            </w:r>
            <w:r>
              <w:rPr>
                <w:rFonts w:hint="eastAsia" w:ascii="宋体" w:hAnsi="宋体" w:eastAsia="宋体" w:cs="宋体"/>
                <w:sz w:val="21"/>
                <w:szCs w:val="21"/>
              </w:rPr>
              <w:t>年    月    日</w:t>
            </w:r>
          </w:p>
        </w:tc>
      </w:tr>
    </w:tbl>
    <w:p w14:paraId="637CDC72">
      <w:pPr>
        <w:tabs>
          <w:tab w:val="left" w:pos="780"/>
        </w:tabs>
        <w:spacing w:line="360" w:lineRule="auto"/>
        <w:rPr>
          <w:rFonts w:hint="eastAsia" w:ascii="宋体" w:hAnsi="宋体" w:eastAsia="宋体"/>
          <w:sz w:val="24"/>
          <w:szCs w:val="24"/>
        </w:rPr>
      </w:pPr>
    </w:p>
    <w:p w14:paraId="7DC145A4">
      <w:pPr>
        <w:pStyle w:val="6"/>
        <w:rPr>
          <w:rFonts w:hint="eastAsia" w:ascii="宋体" w:hAnsi="宋体" w:eastAsia="宋体"/>
          <w:sz w:val="24"/>
          <w:szCs w:val="24"/>
        </w:rPr>
      </w:pPr>
    </w:p>
    <w:p w14:paraId="208ADB28">
      <w:pPr>
        <w:widowControl/>
        <w:spacing w:line="240" w:lineRule="auto"/>
        <w:ind w:firstLine="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4D68FE0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附件1：</w:t>
      </w:r>
    </w:p>
    <w:p w14:paraId="39B05BD3">
      <w:pPr>
        <w:widowControl w:val="0"/>
        <w:spacing w:line="560" w:lineRule="exact"/>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t>安全生产管理协议</w:t>
      </w:r>
    </w:p>
    <w:p w14:paraId="5BFA3BA0">
      <w:pPr>
        <w:widowControl w:val="0"/>
        <w:spacing w:line="560" w:lineRule="exact"/>
        <w:ind w:firstLine="420"/>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建设单位（以下简称甲方）：</w:t>
      </w:r>
      <w:r>
        <w:rPr>
          <w:rFonts w:hint="eastAsia" w:ascii="宋体" w:hAnsi="宋体" w:cs="宋体"/>
          <w:color w:val="auto"/>
          <w:szCs w:val="21"/>
          <w:highlight w:val="none"/>
          <w:lang w:eastAsia="zh-CN"/>
        </w:rPr>
        <w:t>深圳市深燃清洁能源有限公司</w:t>
      </w:r>
    </w:p>
    <w:p w14:paraId="1189DB0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承包单位（以下简称乙方）：</w:t>
      </w:r>
    </w:p>
    <w:p w14:paraId="61A43A8F">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第一条 目的</w:t>
      </w:r>
    </w:p>
    <w:p w14:paraId="1987EC1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根据《中华人民共和国安全生产法》、《中华人民共和国建筑法》、《中华人民共和国民法典》以及《建设工程安全生产管理条例》等国家、行业、地方有关的法律法规和甲方相关的安全管理规定，为维护甲乙双方的共同利益，及加强工程建设过程中的安全管理，保证施工质量、安全生产和良好的工作秩序、施工场所的安全、卫生环境，经甲乙双方平等协商，签定本安全生产管理协议。</w:t>
      </w:r>
    </w:p>
    <w:p w14:paraId="01B79515">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第二条 工程概况</w:t>
      </w:r>
    </w:p>
    <w:p w14:paraId="349B7D2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1、工程</w:t>
      </w:r>
      <w:r>
        <w:rPr>
          <w:rFonts w:hint="eastAsia" w:ascii="宋体" w:hAnsi="宋体" w:cs="宋体"/>
          <w:color w:val="auto"/>
          <w:szCs w:val="21"/>
          <w:highlight w:val="none"/>
          <w:lang w:val="en-US" w:eastAsia="zh-CN"/>
        </w:rPr>
        <w:t>名称</w:t>
      </w:r>
      <w:r>
        <w:rPr>
          <w:rFonts w:hint="eastAsia" w:ascii="宋体" w:hAnsi="宋体" w:cs="宋体"/>
          <w:color w:val="auto"/>
          <w:szCs w:val="21"/>
          <w:highlight w:val="none"/>
        </w:rPr>
        <w:t xml:space="preserve">: </w:t>
      </w:r>
    </w:p>
    <w:p w14:paraId="6CE0100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2、工程地点：</w:t>
      </w:r>
    </w:p>
    <w:p w14:paraId="290EC71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3、工程内容： </w:t>
      </w:r>
    </w:p>
    <w:p w14:paraId="187A854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4、适用时间： </w:t>
      </w:r>
    </w:p>
    <w:p w14:paraId="359B3AAC">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第三条 甲乙方共有安全责任</w:t>
      </w:r>
    </w:p>
    <w:p w14:paraId="6662942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1、必须遵守本法和其他有关安全生产的法律、法规，加强安全生产管理，建立、健全安全生产责任制和安全生产规章制度，改善安全生产条件，推进安全生 产标准化建设，提高安全生产水平，确保安全生产。必须执行依法制定的保障安全生产的国家标准或者行业标</w:t>
      </w:r>
    </w:p>
    <w:p w14:paraId="59C370C2">
      <w:pPr>
        <w:widowControl w:val="0"/>
        <w:spacing w:line="56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准。</w:t>
      </w:r>
    </w:p>
    <w:p w14:paraId="205D5FE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2、安全生产责任制应当明确各岗位的责任人员、责任范围和考核标准等内容。生产经营单位应当建立相应的机制，加强对安全生产责任制落实情况的监督考核，保证安全生产责任制的落实。</w:t>
      </w:r>
    </w:p>
    <w:p w14:paraId="34EBE32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3、应当具备的安全生产条件所必需的资金投入，由生产经营单 位的决策机构、主要负责人或者个人经营的投资人予以保证，并对由于安全生产所必需的资金投入不足导致的后果承担责任。</w:t>
      </w:r>
    </w:p>
    <w:p w14:paraId="784C323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4、应当设置安全生产管理机构或者配备专职安全生产管理人员。</w:t>
      </w:r>
    </w:p>
    <w:p w14:paraId="1BC031E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5、应当对从业人员进行安全生产教育和培训，保证从业人员 具备必要的安全生产知识，熟悉有关的安全生产规章制度和安全操作规程，掌握本岗位的安全操作技能，了解事故应急处理措施，知悉自身在安全生产方面的权利和义务。</w:t>
      </w:r>
    </w:p>
    <w:p w14:paraId="3E02E91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6、对重大危险源应当登记建档，进行定期检测、评估、监控， 并制定应急预案，告知从业人员和相关人员在紧急情况下应当采取的应急措施。</w:t>
      </w:r>
    </w:p>
    <w:p w14:paraId="201BA3D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7、应当建立健全生产安全事故隐患排查治理制度，采取技术、 管理措施，及时发现并消除事故隐患。</w:t>
      </w:r>
    </w:p>
    <w:p w14:paraId="2F0E63E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8、应当教育和督促从业人员严格执行本单位的安全生产规章制度和安全操作规程；并向从业人员如实告知作业场所和工作岗位存在的危险因素、防范措 施以及事故应急措施。</w:t>
      </w:r>
    </w:p>
    <w:p w14:paraId="75F023D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9、必须为从业人员提供符合国家标准或者行业标准的劳动防护用品，并监督、教育从业人员按照使用规则佩戴、使用。</w:t>
      </w:r>
    </w:p>
    <w:p w14:paraId="43EDF5C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10、两个以上生产经营单位在同一作业区域内进行生产经营活动，可能危及对方生产安全的，应当签订安全生产管理协议，明确各自的安全生产管理职责和应当采取的 安全措施，并指定专职安全生产管理人员进行安全检查与协调。</w:t>
      </w:r>
    </w:p>
    <w:p w14:paraId="5233F0F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11、发生生产安全事故时，单位的主要负责人应当立即组织抢救，并不得在事故调查处理期间擅离职守。</w:t>
      </w:r>
    </w:p>
    <w:p w14:paraId="5F60A07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12、必须依法参加工伤保险，为从业人员缴纳保险费。</w:t>
      </w:r>
    </w:p>
    <w:p w14:paraId="1BE906F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13、应当制定本单位生产安全事故应急救援预案，与所在地县 级以上地方人民政府组织制定的生产安全事故应急救援预案相衔接，并定期组织演练。</w:t>
      </w:r>
    </w:p>
    <w:p w14:paraId="4815E867">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第四条 甲方安全责任</w:t>
      </w:r>
    </w:p>
    <w:p w14:paraId="3D4E110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1、甲方应当在工程开工前向安监机构提交下列文件，申办工程施工安全受监登记：</w:t>
      </w:r>
    </w:p>
    <w:p w14:paraId="43AFFFD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1）建筑许可证；</w:t>
      </w:r>
    </w:p>
    <w:p w14:paraId="01D3C0B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2）招标投标定标书或者工程造价审定书；</w:t>
      </w:r>
    </w:p>
    <w:p w14:paraId="325EC82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3）工程承包合同。</w:t>
      </w:r>
    </w:p>
    <w:p w14:paraId="0682F9A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办理施工安全受监登记时，应当按规定缴纳安全监督费。</w:t>
      </w:r>
    </w:p>
    <w:p w14:paraId="677366E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2、甲方应当根据工程特点、规模和技术要求设立安全技术措施费。安全技术措施费在工程施工招标中应当单列，不得将其作为招标投标竞价条件。</w:t>
      </w:r>
    </w:p>
    <w:p w14:paraId="18E2493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3、甲方应当根据工程特点、规模和技术要求，选择符合安全资质要求的施工企业。</w:t>
      </w:r>
    </w:p>
    <w:p w14:paraId="58D3428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4、应当将施工图设计文件报政府建设行政主管部门或者其他有关部门审查。施工图设计文件未经审查批准的，不得使用。</w:t>
      </w:r>
    </w:p>
    <w:p w14:paraId="3782D50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5、甲方在领取施工许可证或者开工报告前，应当按照国家有关规定办理工程质量监督手续。</w:t>
      </w:r>
    </w:p>
    <w:p w14:paraId="121FAC1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甲方应当为施工企业提供准确的水文地质、地下管线设施等资料和其他必要条件。甲方应向乙方提供与建设工程相关的原始资料，尤其是地下管线资料，并提醒相关方对地下管线采取确认措施。组织有资质的鉴定单位对施工活动中可能影响的周边建筑物、构筑物进行安全鉴定，并督促制定相应的安全措施。</w:t>
      </w:r>
    </w:p>
    <w:p w14:paraId="5B5E5CF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7、甲方在工程开工前，应当对相邻建筑物、构筑物、地下管线、市政公用设施等进行安全防护。</w:t>
      </w:r>
    </w:p>
    <w:p w14:paraId="5A3B9ED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8、甲方不得明示或暗示施工单位购买、租赁、使用不符合安全施工要求的安全防护用具、机械设备、施工机具及配件、消防设施和器材。甲方在申请领取施工许可证时，应当提供建设工程有关安全施工措施的资料。甲方应当自开工报告批准之日起15日内，将保证安全施工的措施报送建设工程所在地的县级以上地方人民政府建设行政主管部门或者其他有关部门备案。</w:t>
      </w:r>
    </w:p>
    <w:p w14:paraId="3AA4A26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9、实行监理的建设工程，甲方应当委托具有相应资质等级的工程监理单位进行监理，也可以委托具有工程监理相应资质等级并与被监理工程的施工承包单位没有隶属关系或者其他利害关系的该工程的设计单位进行监理。</w:t>
      </w:r>
    </w:p>
    <w:p w14:paraId="325142A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10、甲方采购建筑材料、建筑构配件和设备的，甲方应当保证建筑材料、建筑构配件和设备符合设计文件和合同要求。甲方不得明示或者暗示施工单位使用不合格的建筑材料、建筑构配件和设备。</w:t>
      </w:r>
    </w:p>
    <w:p w14:paraId="2D489A1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11、涉及建筑主体和承重结构变动的装修工程，甲方应当在施工前委托原设计单位或者具有相应资质等级的设计单位提出设计方案；没有设计方案的，不得施工。在装修过程中，不得擅自变动房屋建筑主体和承重结构。</w:t>
      </w:r>
    </w:p>
    <w:p w14:paraId="712858B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12、甲方收到建设工程竣工报告后，应当组织设计、施工、工程监理等有关单位进行竣工验收。</w:t>
      </w:r>
    </w:p>
    <w:p w14:paraId="4475602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13、甲方应当严格按照国家有关档案管理的规定，及时收集、整理建设项目各环节的文件资料，建立、健全建设项目档案，并在建设工程竣工验收后，及时向建设行政主管部门或者其他有关部门移交建设项目档案。</w:t>
      </w:r>
    </w:p>
    <w:p w14:paraId="5B70FD8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14、甲方有权检查、督促乙方执行有关安全生产方面的工作规定，对乙方不符合安全文明施工的行为有权进行制止、纠正并发出安全整改通知书，直至清退出场。但本条款不作为免除乙方施工安全责任义务的免责条款。</w:t>
      </w:r>
    </w:p>
    <w:p w14:paraId="57314A0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15、甲方有权对乙方参与施工的人员进行安全技术知识和安全工作规程的抽考,对抽考不合格的施工人员，乙方应根据甲方建议对施工人员进行更换。</w:t>
      </w:r>
    </w:p>
    <w:p w14:paraId="39732673">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第五条 乙方安全责任</w:t>
      </w:r>
    </w:p>
    <w:p w14:paraId="4F3DFF5A">
      <w:pPr>
        <w:widowControl w:val="0"/>
        <w:spacing w:line="560" w:lineRule="exact"/>
        <w:ind w:firstLine="420"/>
        <w:jc w:val="left"/>
        <w:rPr>
          <w:rFonts w:ascii="宋体" w:hAnsi="宋体" w:cs="宋体"/>
          <w:b/>
          <w:bCs/>
          <w:color w:val="auto"/>
          <w:szCs w:val="21"/>
          <w:highlight w:val="none"/>
        </w:rPr>
      </w:pPr>
      <w:r>
        <w:rPr>
          <w:rFonts w:hint="eastAsia" w:ascii="宋体" w:hAnsi="宋体" w:cs="宋体"/>
          <w:color w:val="auto"/>
          <w:szCs w:val="21"/>
          <w:highlight w:val="none"/>
        </w:rPr>
        <w:t>乙方必须严格遵守国家及地方政府有关安全生产的法律、法规及相关规定。作为工程项目的承包单位，施工现场安全由乙方负责。对工程施工过程中发生的人身伤害、设备损坏事故承担安全责任。乙方应切实履行以下安全责任：</w:t>
      </w:r>
    </w:p>
    <w:p w14:paraId="57D6EE9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乙方应当具备国家规定的注册资本、专业技术人员、技术装备和安全生产等条件，依法取得相应等级的资质证书，并在其资质等级许可的范围内承揽工程。乙方不得超越本单位资质等级许可的业务范围或者以其他施工单位的名义承揽工程。禁止乙方允许其他单位或者个人以本单位的名义承揽工程。施工单位不得转包或者违法分包工程。</w:t>
      </w:r>
    </w:p>
    <w:p w14:paraId="64A8698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乙方应具备工程项目要求确保相关资质在施工期间内合法有效。乙方所提供的承包工程要求的相关资质证明材料应真实、合法。</w:t>
      </w:r>
    </w:p>
    <w:p w14:paraId="114ECED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2、乙方应当制定施工安全的目标和措施；应当建立施工安全、质量保障体系；建立作业许可制度；应当建立专业检查、自检、定期</w:t>
      </w:r>
    </w:p>
    <w:p w14:paraId="591B436E">
      <w:pPr>
        <w:widowControl w:val="0"/>
        <w:spacing w:line="56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检查和安全日检制度。</w:t>
      </w:r>
    </w:p>
    <w:p w14:paraId="5C2D6A1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乙方应当设立安全生产管理机构，配备专职安全生产管理人员。施工期间，乙方应指派专职安全员作为安全工作联系和现场安全管理。作业人员应当遵守施工安全的技术标准、操作规程和制度，提高自我保护意识。</w:t>
      </w:r>
    </w:p>
    <w:p w14:paraId="71F88F9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4、乙方必须按国家有关规定，保障安全投入到位。</w:t>
      </w:r>
    </w:p>
    <w:p w14:paraId="0D08949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1）按规定购买相关保险。如，为施工人员参加工伤保险缴纳工伤保险费，购买人身保险。应当为施工现场从事危险作业的人员办理意外伤害保险。意外伤害保险期限自建设工程开工之日起至竣工验收合格止。</w:t>
      </w:r>
    </w:p>
    <w:p w14:paraId="7252FDF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2）乙方应根据国家的有关法律法规和合同的有关要求，确保安全资金及时有效的投入，安全文明措施资金要专款专用，做好安全文明生产施工的各项保障措施。</w:t>
      </w:r>
    </w:p>
    <w:p w14:paraId="2D783F1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3）对列入建设工程概算的安全作业环境及安全施工措施所需费用，应当用于施工安全防护用具及设施的采购和更新、安全施工措施的落实、安全生产条件的改善，不得挪作他用。</w:t>
      </w:r>
    </w:p>
    <w:p w14:paraId="4F02004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乙方应当在施工组织设计中编制安全技术措施和施工现场临时用电方案；对专业性较强的工程项目，应当编制专项安全施工组织设计，并采取安全技术措施。对下列达到一定规模的危险性较大的分部分项工程编制专项施工方案，并附具安全验算结果，经施工单位技术负责人、总监理工程师签字后实施，由专职安全生产管理人员进行现场监督：</w:t>
      </w:r>
    </w:p>
    <w:p w14:paraId="155C871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1)基坑支护与降水工程；</w:t>
      </w:r>
    </w:p>
    <w:p w14:paraId="5788E2C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2)土方开挖工程；</w:t>
      </w:r>
    </w:p>
    <w:p w14:paraId="264D2C2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3)模板工程；</w:t>
      </w:r>
    </w:p>
    <w:p w14:paraId="453E5C3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4)起重吊装工程；</w:t>
      </w:r>
    </w:p>
    <w:p w14:paraId="3989BD6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5)脚手架工程；</w:t>
      </w:r>
    </w:p>
    <w:p w14:paraId="0B34D8E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6)拆除、爆破工程；</w:t>
      </w:r>
    </w:p>
    <w:p w14:paraId="254A596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7)国务院建设行政主管部门或者其他有关部门规定的其他危险性较大的工程。</w:t>
      </w:r>
    </w:p>
    <w:p w14:paraId="5FFA6C6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8）对前款所列工程中涉及深基坑、地下暗挖工程、高大模板工程的专项施工方案，施工单位还应当组织专家进行论证、审查。</w:t>
      </w:r>
    </w:p>
    <w:p w14:paraId="64E25BC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在项目开工前或各专项工程开工前，乙方应对员工进行安全技术交底，在交底中提出明确的安全要求，并做好交底记录。施工前，施工单位负责项目管理的技术人员应当对有关安全施工的技术要求向施工作业班组、作业人员作出详细说明，并由双方签字确认。</w:t>
      </w:r>
    </w:p>
    <w:p w14:paraId="77E473A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乙方应当向作业人员提供合格的安全防护用品、用具和安全防护服装，告知其正确的使用方法。并书面告知危险岗位的操作规程和违章操作的危害。应对影响人身健康的作业程序和作业条件作出改进，应配备安全生产所需的防护用品。</w:t>
      </w:r>
    </w:p>
    <w:p w14:paraId="13EC39C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8、乙方采购、租赁的安全防护用具、机械设备、施工机具及配件，应当具有生产(制造)许可证、产品合格证，并在进入施工现场前进行查验。</w:t>
      </w:r>
    </w:p>
    <w:p w14:paraId="490F137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施工现场的安全防护用具、机械设备、施工机具及配件必须由专人管理，定期进行检查、维修和保养，建立相应的资料档案，并按照国家有关规定及时报废。</w:t>
      </w:r>
    </w:p>
    <w:p w14:paraId="3495871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14:paraId="4C68F42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《特种设备安全监察条例》规定的施工起重机械，在验收前应当经有相应资质的检验检测机构监督检验合格。</w:t>
      </w:r>
    </w:p>
    <w:p w14:paraId="67EFF89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乙方应当自施工起重机械和整体提升脚手架、模板等自升式架设设施验收合格之日起30日内，向建设行政主管部门或者其他有关部门登记。登记标志应当置于或者附着于该设备的显著位置。</w:t>
      </w:r>
    </w:p>
    <w:p w14:paraId="2BA37D9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按规范要求搭设脚手架做好安全防护工作，确保安全。对于施工安全设施、架设机具、机械设备，应当定期检查、维修和保养，并建立检查、维修和保养登记簿。</w:t>
      </w:r>
    </w:p>
    <w:p w14:paraId="65E95F9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按规范要求做好临时用电，定期巡查、检测并做相关记录。</w:t>
      </w:r>
    </w:p>
    <w:p w14:paraId="7ABF8DD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9、乙方对因建设工程施工可能造成损害的毗邻建筑物、构筑物和地下管线等，应当采取专项防护措施，与权属单位签订保护协议。</w:t>
      </w:r>
    </w:p>
    <w:p w14:paraId="37308F2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乙方应当在施工现场采取维护安全、防范危险、预防火灾等措施；有条件的，应当对施工现场实行封闭管理。</w:t>
      </w:r>
    </w:p>
    <w:p w14:paraId="05CC015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乙方应在施工范围装设临时围栏或警告标志，不得超越指定的施工范围进行施工，禁止无关人员进入施工现场。</w:t>
      </w:r>
    </w:p>
    <w:p w14:paraId="26BA805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乙方应当根据不同施工阶段和周围环境及季节、气候的变化，在施工现场采取相应的安全施工措施。施工现场暂时停止施工的，乙方应当做好现场防护，所需费用由责任方承担，或者按照合同约定执行。</w:t>
      </w:r>
    </w:p>
    <w:p w14:paraId="03D5FC0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10、乙方在施工过程中，应当遵守有关安全生产的法律、法规和建筑行业安全规章、规程，不得违章指挥、强令冒险作业或者违章作业。乙方管理人员一旦发现有上述情形的，应当立即制止。</w:t>
      </w:r>
    </w:p>
    <w:p w14:paraId="793E97C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11、乙方施工过程中应做到日产、日清，确保施工场地卫生整洁。做好文明施工、安全施工;施工过程中需使用电、水源，应事先与甲方取得联系，不得私拉乱接; 乙方应当将施工现场的办公、生活区与作业区分开设置，并保持安全距离；办公、生活区的选址应当符合安全性要求。职工的膳食、饮水、休息场所等应当符合卫生标准。乙方不得在尚未竣工的建筑物内设置员工集体宿舍。</w:t>
      </w:r>
    </w:p>
    <w:p w14:paraId="5F1EEB2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施工现场临时搭建的建筑物应当符合安全使用要求。施工现场使用的装配式活动房屋应当具有产品合格证。</w:t>
      </w:r>
    </w:p>
    <w:p w14:paraId="7D60310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当遵守有关环境保护法律、法规的规定，在施工现场采取措施，防止或者减少粉尘、废气、废水、固体废物、噪声、振动和施工照明对人和环境的危害和污染在城市市区内的建设工程，乙方应当对施工现场实行封闭围挡。</w:t>
      </w:r>
    </w:p>
    <w:p w14:paraId="076ED58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12、乙方应当根据工程情况建立消防安全责任制度，消防安全操作规程；实行防火安全责任制，确定消防安全责任人，制定用火、用电、使用易燃易爆材料等各项消防安全管理制度和操作规程，设置消防通道、消防水源，配备消防设施和灭火器材，并在施工现场入口处设置明显标志。</w:t>
      </w:r>
    </w:p>
    <w:p w14:paraId="2FA484C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施工现场应当建立防火和危险品保管使用制度，设置符合消防要求的设施，并保持其完好的备用状态。</w:t>
      </w:r>
    </w:p>
    <w:p w14:paraId="656A877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根据工程的特点开展消防宣传教育；组织防火检查，及时消除火灾隐患；按照国家有关规定配置消防设施和器材、设置消防安全标志，并定期组织检验、维修，确保消防设施和器材完好、有效；保障疏散通道、安全出口畅通，并设置符合国家规定的消防安全疏散标志。居民住宅区的管理单位，应当依照前款有关规定，履行消防安全职责，做好住宅区的消防安全工作。</w:t>
      </w:r>
    </w:p>
    <w:p w14:paraId="06371A4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13、乙方应当建立、健全教育培训制度，加强对职工的教育培训；未经教育培训或者考核不合格的人员，不得上岗作业。乙方作业人员进入新的岗位或者新的施工现场前，应当接受安全生产教育培训。开工前，乙方应组织全体施工人员进行安全技术交底。特种作业人员，必须按照国家有关规定经过专门的安全作业培训，并取得特种作业操作资格证书后，方可上岗作业。</w:t>
      </w:r>
    </w:p>
    <w:p w14:paraId="791B54E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乙方在采用新技术、新工艺、新设备、新材料时，应当对作业人员进行相应的安全生产教育培训。</w:t>
      </w:r>
    </w:p>
    <w:p w14:paraId="2C0B687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乙方项目经理等现场主要管理人员、专职安全生产管理人员应当经建设行政主管部门或者其他有关部门考核合格后方可任职。</w:t>
      </w:r>
    </w:p>
    <w:p w14:paraId="2B5D564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乙方应当对管理人员和作业人员每年至少进行一次安全生产教育培训，其教育培训情况记入个人工作档案。安全生产教育培训考核不合格的人员，不得上岗。</w:t>
      </w:r>
    </w:p>
    <w:p w14:paraId="60322EB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14、乙方应当建立应急救援组织、编制应急救援预案。工程规模较小的，可以不建立应急救援组织，但应当指定兼职的应急救援人员。施工现场应当设有必要的预防危害人体健康和安全急救的设施及抢救措施。应当配备必要的应急救援器材、设备和物资，并进行经常性维护、保养，保证 正常运转。在施工中发生危及人身安全的紧急情况时，乙方应立即停止作业或者在采取必要的应急措施后撤离危险区域。</w:t>
      </w:r>
    </w:p>
    <w:p w14:paraId="5B2134D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现场工地要切实加强节日期间安全、文明生产工作，一旦发生各类突发事故和紧急情况，要立即启动应急预案，并按照有关规定及时上报和妥善处置。</w:t>
      </w:r>
    </w:p>
    <w:p w14:paraId="417838D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15、乙方必须依法加强对建筑安全生产的管理，执行安全生产责任制度，采取有效措施，防止伤亡和其他安全生产事故的发生。施工中发生事故时，乙方应当采取紧急措施减少人员伤亡和事故损失，并按照国家有关规定及时向有关部门报告。乙方应将事故调查组的事故调查报告及乙方事故处理意见提交甲方备案。</w:t>
      </w:r>
    </w:p>
    <w:p w14:paraId="4831031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发生以下情况应停工整顿，因停工造成的违约责任由乙方承担：</w:t>
      </w:r>
    </w:p>
    <w:p w14:paraId="5B97E0B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(1)人身伤亡事故;</w:t>
      </w:r>
    </w:p>
    <w:p w14:paraId="1EE04B7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(2)发生施工机械、生产主设备严重损坏事故;</w:t>
      </w:r>
    </w:p>
    <w:p w14:paraId="08F939D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(3)发生场站内火灾事故;</w:t>
      </w:r>
    </w:p>
    <w:p w14:paraId="3AE458E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(4)发生违章作业、冒险作业不听劝告的;</w:t>
      </w:r>
    </w:p>
    <w:p w14:paraId="0DBF1AD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(5)施工现场脏、乱、差，不能满足安全和文明施工要求的;</w:t>
      </w:r>
    </w:p>
    <w:p w14:paraId="0441484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(6)施工过程中，因违反工程相关规定的，被相关管理机关勒令停工的。</w:t>
      </w:r>
    </w:p>
    <w:p w14:paraId="2379528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16、乙方对建设工程的施工质量负责。</w:t>
      </w:r>
    </w:p>
    <w:p w14:paraId="6BD0F52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乙方应当建立质量责任制，确定工程项目的项目经理、技术负责人和施工管理负责人。实行总承包的，乙方应当对全部建设工程质量负责；勘察、设计、施工、设备采购的一项或者多项实行总承包的，乙方应当对其承包的建设工程或者采购的设备的质量负责。</w:t>
      </w:r>
    </w:p>
    <w:p w14:paraId="6D19D0D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2）材料进场前乙方需要检查是否有出产合格证，同时应经甲方现场负责人或监理工程师验证后方可使用。</w:t>
      </w:r>
    </w:p>
    <w:p w14:paraId="23E2879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3）乙方必须按照工程设计图纸和施工技术标准施工，不得擅自修改工程设计，不得偷工减料。乙方在施工过程中发现设计文件和图纸有差错的，应当及时提出意见和建议。</w:t>
      </w:r>
    </w:p>
    <w:p w14:paraId="2113560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4）乙方必须按照工程设计要求、施工技术标准和合同约定，对建筑材料、建筑构配件、设备和商品混凝土进行检验，检验应当有书面记录和专人签字；未经检验或者检验不合格的，不得使用。</w:t>
      </w:r>
    </w:p>
    <w:p w14:paraId="559FD15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5）乙方必须建立、健全施工质量的检验制度，严格工序管理，作好隐蔽工程的质量检查和记录。隐蔽工程在隐蔽前，乙方应当通知建设单位和建设工程质量监督机构。</w:t>
      </w:r>
    </w:p>
    <w:p w14:paraId="333DFCC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对涉及结构安全的试块、试件以及有关材料，应当在甲方或者工程监理单位监督下现场取样，并送具有相应资质等级的质量检测单位进行检测。乙方对施工中出现质量问题的建设工程或者竣工验收不合格的建设工程，应当负责返修。</w:t>
      </w:r>
    </w:p>
    <w:p w14:paraId="479ED9C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17、乙方应建立风险分级管控和隐患排查治理双重预防体系机制。通过强化安全风险分级管控，从源头上消除、降低或控制相关风险，进而降低事故发生的可能性和后果的严重性。通过隐患排查治理工作，查找风险管控措施的失效、缺陷或不足，采取措施予以整改，同时，分析、验证各类危险有害因素辨识评估的完整性和准确性，进而完善风险分级管控措施，减少或杜绝事故发生的可能性。</w:t>
      </w:r>
    </w:p>
    <w:p w14:paraId="717E9DD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按照风险不同级别、所需管控资源、管控能力、管控措施复杂及难易程度等因素而确定不同管控层级的风险管控方式。按照风险越大，管控级别越高；上级负责管控的风险，下级必须负责管控，并逐级落实具体措施的基本原则执行。</w:t>
      </w:r>
    </w:p>
    <w:p w14:paraId="2A6BEB8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乙方应组织安全生产管理人员、工程技术人员和其他相关人员，对本工程项目的事故隐患进行排查，并对排查出的事故隐患，按照事故隐患的等级进行登记，建立事故隐患台账。</w:t>
      </w:r>
    </w:p>
    <w:p w14:paraId="460A122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乙方应开展隐患排查治理活动,对排查出的事故隐患按照职责分工明确整改责任，制定整改计划、落实整改资金、实施监控治理和复查验收,做到闭环管理。</w:t>
      </w:r>
    </w:p>
    <w:p w14:paraId="4B57A19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应根据季节和生产情况的变化组织开展各类检查活动，如定期的安全大检查、专项检查、安全隐患排查以及不定期安全突击检查工作。应建立整改责任制，对检查中发现的质量安全隐患，能现场整改的要立即整改，不能立即整改的要限期整改。对于隐患要采取有效措施，专人负责，确保整改到位，做到闭环管理。</w:t>
      </w:r>
    </w:p>
    <w:p w14:paraId="6194D9F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专职安全生产管理人员负责对安全生产进行现场监督检查。发现安全事故隐患，应当及时向项目负责人和安全生产管理机构报告。</w:t>
      </w:r>
    </w:p>
    <w:p w14:paraId="1B8307D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18、乙方须根据施工季节及所处环境情况做好防暑、防火、防雷、防风、防台、防汛等应对措施，避免恶</w:t>
      </w:r>
      <w:r>
        <w:rPr>
          <w:rFonts w:hint="eastAsia" w:ascii="宋体" w:hAnsi="宋体" w:cs="宋体"/>
          <w:color w:val="auto"/>
          <w:szCs w:val="21"/>
          <w:highlight w:val="none"/>
          <w:lang w:val="en-US" w:eastAsia="zh-CN"/>
        </w:rPr>
        <w:t>劣</w:t>
      </w:r>
      <w:r>
        <w:rPr>
          <w:rFonts w:hint="eastAsia" w:ascii="宋体" w:hAnsi="宋体" w:cs="宋体"/>
          <w:color w:val="auto"/>
          <w:szCs w:val="21"/>
          <w:highlight w:val="none"/>
        </w:rPr>
        <w:t>气候、地质等自然灾害对工程造成损失或不良影响。</w:t>
      </w:r>
    </w:p>
    <w:p w14:paraId="1F4F88D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19、乙方须遵守深圳当地政府各项要求。</w:t>
      </w:r>
    </w:p>
    <w:p w14:paraId="5D62A7A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1）乙方须按照《建设工程扬尘污染防治技术规范》（SZDB/Z 247-2017）、“深圳市住房和建设局关于印发《深圳市建设工程扬尘污染防治专项方案》的通知（深建质安[2018]70号）”开展扬尘治理工作。</w:t>
      </w:r>
    </w:p>
    <w:p w14:paraId="73A83BB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2）乙方须遵守“深圳市住房和建设局关于印发《深圳市建设工程施工围挡改造提升工作方案》的通知”，参照《深圳市建设工程施工围挡图集（试行版）》对施工场地进行围挡。</w:t>
      </w:r>
    </w:p>
    <w:p w14:paraId="34534FC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3）乙方须遵守深圳当地政府对建设工程项目的其他规定或要求。</w:t>
      </w:r>
    </w:p>
    <w:p w14:paraId="39DCF8F5">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第六条 违约条款</w:t>
      </w:r>
    </w:p>
    <w:p w14:paraId="70790AC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若乙方在施工期间内因相关资质过期失效，应暂停进行本工程作业，乙方应按国家及地方相关规定重新取得相关资质后方能继续本工程的施工作业，因此导致工期延误根据本工程施工合同相关工期延误违约条款执行。</w:t>
      </w:r>
    </w:p>
    <w:p w14:paraId="58A96C1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乙方进行违规或违法用工导致的安全事故或法律责任由乙方全部负责。</w:t>
      </w:r>
    </w:p>
    <w:p w14:paraId="2CA5ED1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因乙方未按合同约定购买本工程相关保险，若发生事故造成损失由乙方承担完全的先行赔偿责任，如因第三方过错导致该事故发生，乙方应先行赔偿后再依照法律相关规定或谈判向第三方进行索赔。</w:t>
      </w:r>
    </w:p>
    <w:p w14:paraId="0A99707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乙方因使用不合格的设备材料导致验收不合格时，应在本工程施工合同约定的工期内进行整改，若乙方无力整改，经甲方书面同意后可委托具有相关资质的第三方进行整改工作，因此产生的费用由乙方承担且工期不予延期，若因此导致工期延误，根据本工程施工合同相关工期延误违约条款执行。</w:t>
      </w:r>
    </w:p>
    <w:p w14:paraId="2137B5DF">
      <w:pPr>
        <w:widowControl w:val="0"/>
        <w:spacing w:line="560" w:lineRule="exact"/>
        <w:ind w:firstLine="422"/>
        <w:jc w:val="left"/>
        <w:rPr>
          <w:rFonts w:ascii="宋体" w:hAnsi="宋体" w:cs="宋体"/>
          <w:b/>
          <w:bCs/>
          <w:color w:val="auto"/>
          <w:szCs w:val="21"/>
          <w:highlight w:val="none"/>
        </w:rPr>
      </w:pPr>
      <w:r>
        <w:rPr>
          <w:rFonts w:hint="eastAsia" w:ascii="宋体" w:hAnsi="宋体" w:cs="宋体"/>
          <w:b/>
          <w:bCs/>
          <w:color w:val="auto"/>
          <w:szCs w:val="21"/>
          <w:highlight w:val="none"/>
        </w:rPr>
        <w:t>第七条 处罚条款</w:t>
      </w:r>
    </w:p>
    <w:p w14:paraId="334475F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1、项目经理及会议通知的主要管理人员开会不到场，会前也不请假，每次处罚500至1000元；</w:t>
      </w:r>
    </w:p>
    <w:p w14:paraId="5F61057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2、乙方项目部管理人员不请假，工作不交接，擅自离开工作岗位，也未通知监理及甲方，每发现一次处罚500至1000元；</w:t>
      </w:r>
    </w:p>
    <w:p w14:paraId="6E3FFAC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3、乙方未进行安全交底、工前教育的，每发现一次处罚1000至2000元；</w:t>
      </w:r>
    </w:p>
    <w:p w14:paraId="270D77C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4、特种作业无有效操作证人员上岗操作，每次处罚承包人2000至10000元； </w:t>
      </w:r>
    </w:p>
    <w:p w14:paraId="6E95157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5、安全员不到场、到场不履行安全职责，如不指正、不落实要求已处罚或要求整改的安全问题的，不对新进现场人员安全教育等，每发现一次处罚500至2000元；</w:t>
      </w:r>
    </w:p>
    <w:p w14:paraId="58F7398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6、施工作业区域须与外界围挡隔离，无围挡每发现一次，处罚1000至2000元；围挡不全的，每发现一处，每次处罚500至1000元；</w:t>
      </w:r>
    </w:p>
    <w:p w14:paraId="1576E94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7、不按要求文明施工，造成影响的，视情节严重程度每次处罚500至2000元；</w:t>
      </w:r>
    </w:p>
    <w:p w14:paraId="0FC2CCA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8、接电用电，无电工证违章接电，违规使用临时电缆，每发现一次，处罚1000至2000元；</w:t>
      </w:r>
    </w:p>
    <w:p w14:paraId="37ACD19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9、搭建、拆除脚手架及高空操作平台应在地面圈画出安全范围，禁止无关人员进入操作现场，防止意外掉落物品伤到人员及设备，禁止高空抛物，违反本条每发现一次处罚500至2000元；</w:t>
      </w:r>
    </w:p>
    <w:p w14:paraId="0ADF0BB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10、未配备工鞋、工衣、安全帽、手套、眼镜、口罩、安全带等劳保防护用品的，每发现一次处罚200至1000元；</w:t>
      </w:r>
    </w:p>
    <w:p w14:paraId="68F0026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11、焊接质量不合格，每发现一次处罚500至2000元；</w:t>
      </w:r>
    </w:p>
    <w:p w14:paraId="161DB67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12、不配和检查人员工作，蒙蔽检查事项，每发生一次处以500至2000元处罚；</w:t>
      </w:r>
    </w:p>
    <w:p w14:paraId="19B15E9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13、辱骂检查人员，阻挠甲方或监理等部门检查人员工作的，检查人员可以以照片或录音、或视频或第三方人员签字证明为准对乙方进行处罚，每次处罚1000至10000元；</w:t>
      </w:r>
    </w:p>
    <w:p w14:paraId="2F9FCE1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14、对已发现的安全隐患须立即整改，未进行整改而继续作业的，每发现一次处罚500至5000元；</w:t>
      </w:r>
    </w:p>
    <w:p w14:paraId="2897E56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15、乙方未制定应急预案，应急机制不全，或未定期举行应急演练，处罚500至1000元；</w:t>
      </w:r>
    </w:p>
    <w:p w14:paraId="108AC2E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16、对乙方不报、瞒报、隐匿事故的，视情况处罚5000至20000元；</w:t>
      </w:r>
    </w:p>
    <w:p w14:paraId="41CD849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17、接到停工整改通知，不立即停工整改，继续违规施工的，发生一次处罚2000至10000元；</w:t>
      </w:r>
    </w:p>
    <w:p w14:paraId="1174062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18、违反相关法律法规、技术规范、设计文件本、QHSE管理及其他相关规定的，在本文处罚项目未明确列明的项目，根据情节严重与否，每发现一次处罚1000-100000元；</w:t>
      </w:r>
    </w:p>
    <w:p w14:paraId="735F885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19、上述处罚条款，若承包人发生2次或以上相同条款被业主处罚，则业主有权向承包人对该条款处罚金额进行加倍。</w:t>
      </w:r>
    </w:p>
    <w:p w14:paraId="2C28C550">
      <w:pPr>
        <w:widowControl w:val="0"/>
        <w:spacing w:line="560" w:lineRule="exact"/>
        <w:ind w:firstLine="422"/>
        <w:jc w:val="left"/>
        <w:rPr>
          <w:rFonts w:ascii="宋体" w:hAnsi="宋体" w:cs="宋体"/>
          <w:color w:val="auto"/>
          <w:szCs w:val="21"/>
          <w:highlight w:val="none"/>
        </w:rPr>
      </w:pPr>
      <w:r>
        <w:rPr>
          <w:rFonts w:hint="eastAsia" w:ascii="宋体" w:hAnsi="宋体" w:cs="宋体"/>
          <w:b/>
          <w:bCs/>
          <w:color w:val="auto"/>
          <w:szCs w:val="21"/>
          <w:highlight w:val="none"/>
        </w:rPr>
        <w:t>第八条</w:t>
      </w:r>
      <w:r>
        <w:rPr>
          <w:rFonts w:hint="eastAsia" w:ascii="宋体" w:hAnsi="宋体" w:cs="宋体"/>
          <w:color w:val="auto"/>
          <w:szCs w:val="21"/>
          <w:highlight w:val="none"/>
        </w:rPr>
        <w:t xml:space="preserve"> 施工前双方已知本工程工作内容可能存在包含但不限于以下的风险，当风险发生时乙方应采取相应的防范措施:</w:t>
      </w:r>
    </w:p>
    <w:p w14:paraId="5835830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1、热工气割作业中存在着火、爆炸、烧伤、死亡和财产损失等风险。</w:t>
      </w:r>
    </w:p>
    <w:p w14:paraId="64FF24B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取得作业许可及完成作业前风险分析；配备好灭火器，使用防火毯和回火器；作业开始前检查作业区易燃物；如果在气体影响区作业，使用气体检测器；作业人员均通过热工作业培训。</w:t>
      </w:r>
    </w:p>
    <w:p w14:paraId="3665E61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2、打磨作业中存在受损砂轮损伤施工人员、切伤、着火、触电等风险。</w:t>
      </w:r>
    </w:p>
    <w:p w14:paraId="4B1EECD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取得作业许可及完成作业前风险分析；穿戴适当的劳动防护用品；检查磨砂机和砂轮确保性能良好；隔离作业区；设置灭火器；确保电缆完好，断路保护器运转良好；施工人员与易燃物、气瓶、油桶等保持安全距离；遵守安全操作指南，正确架设或拆除砂轮；使用过或损坏的砂轮应立即清除或毁坏；禁止将切割片当砂轮使用；砂轮机必须经过检验并适当贴标后方可使用；砂轮机需置放于安全干燥的场所，与其他设备隔离开来，并加以保护；切割机、打磨机操作工应时常提醒附近人员注意打磨作业；决不可在潮湿环境中使用电动打磨机，确保打磨机电源已进行接地处理。</w:t>
      </w:r>
    </w:p>
    <w:p w14:paraId="68EC466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3、电焊作业中存在火灾、触电、爆炸、烧伤、绊倒、中暑、窒息等风险。</w:t>
      </w:r>
    </w:p>
    <w:p w14:paraId="6564A35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取得作业许可及完成作业前风险分析；焊工必须持有效资格证上岗作业，焊工应参加并通过安全入场培训和热工作业培训；施工现场应配备灭火器、防火毯或其它预防电焊火花和焊渣的措施；确保漏电保护器完好；若遇雨天或6级以上大风天气应停止电焊作业；电焊工应保护电焊现场附近人员安全，并提醒附近人员处于安全范围内；采取相应保护措施避免电焊弧光伤眼；没有进行电焊操作时电焊工应拔除焊机电源；所有电焊设备必须适当接地，并由有资质的电气工程师进行检验；使用前应检查焊接，合格后张贴标签。</w:t>
      </w:r>
    </w:p>
    <w:p w14:paraId="0CF96E5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4、基坑作业中存在人员坠落导致受伤或死亡、触电、塌陷、溺水、落物撞击、车辆或移动设备和机具翻倒等风险。</w:t>
      </w:r>
    </w:p>
    <w:p w14:paraId="7EF5C1E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选定开挖作业类型前要评估现场情况，任何5米及以上的开挖都必须有开挖安全方案，由当地专家进行论证审批；施工前应由具备资格的人员对坡度的稳定性开展风险分析并出具相关报告；施工前应识别地下设施如管道、电缆、光纤等；施工人员应参加相关培训；准备好开挖作业许可；设置排水系统；设置适当的坡度支撑或台阶；设置硬围护；应为施工人员设置进出口安全通道；安全合理地堆放废土；废土、石头或其它材料与基坑边缘应保持一定安全距离，严格控制堆放高度，覆盖好堆放的土壤防止灰尘；设置安全标识包括防坠落、触电、绊倒、高空落物、溺水、限速等风险识别；安排信号指挥工；机械在软土场地作业时，应采取铺设渣土或砂石等硬化措施作业开始前（尤其是暴雨来临前）要检查壕沟、基坑；开挖深度超过2米及以上的基坑周边必须安装符合规范要求的防护栏杆；仅可使用经过批准的基坑支撑，不可使用临时支撑。</w:t>
      </w:r>
    </w:p>
    <w:p w14:paraId="4ADB450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5、脚手架作业中存在脚手架坍塌、高空坠落、松散物高空着落、触电、绊倒、着火、夹手等风险。</w:t>
      </w:r>
    </w:p>
    <w:p w14:paraId="6C30183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脚手架搭设应编制专项施工方案，结构设计应进行计算，并按规定进行审核、审批；当架体搭设超过规范允许高度时，应组织专家对专项施工方案进行论证；取得作业许可及完成作业前风险分析；在现场投入使用前，脚手架材料必须有质保书及合格证；脚手架应由具备资格的人员方可搭设、更改、修正和拆除；指派具备资格的脚手架主管人员进行管理；检查地面情况，确保该区域总体安全承载量；正确安装垫块或垫板；脚手架的步距、纵距、大小横杆、踢脚板、支撑都必须满足国家的相关安全要求和项目安全要求；安全通道必须有适当的踢脚板、扶手和安全网；脚手架通道必须处于完好状态；禁止攀爬未通过验收的脚手架，脚手架通道口必须挂验收牌；脚手架作业必须100%系挂安全带；脚手架不得超载，脚手架牌必须标示载重和类型；保持脚手架通道畅通；禁止随意更改脚手架结构；禁止使用变形或损坏的脚手架材料；热工作业时应采取适当的防火措施；与高空电缆保持安全距离；做好电缆绝缘并采取防损坏和绊倒措施；禁止摘除任何脚手架部件，如扶手、踢脚板、开孔覆盖板等；恶劣天气下不得从事脚手架作业，如暴雨、暴雪、6级以上大风、大雾等；不得在脚手架平台上堆放过多材料；脚手架操作工人必须具备相应的资质，并且该资质应经过严格审查和交叉审查。</w:t>
      </w:r>
    </w:p>
    <w:p w14:paraId="4636D24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6、电气作业中存在触电、烧伤、起火、财产损失、高空坠落等风险。</w:t>
      </w:r>
    </w:p>
    <w:p w14:paraId="11FF6C5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做好现场电气设施的计划、布置和安装工作；与电气设施有关的材料必须合格并持有证书；电气工具和设备入场前必须通过甲方或监理单位的验收；入场前电气工具和设备必须张贴合格标签；只有具备资格并经过培训的人员才可进行安装、保养和修复用电工具和设备的作业；现场电工必须有资格证；电箱、开关面板、配电板必须正确安装并定期检查保证其处于良好状态；保护好所有电缆；确保正确接地，漏电保护器运转良好；施工场地内的所有人员应穿戴适当的劳动防护用品；便携式电动工具必须处于完好状态，一旦发现问题和缺陷如绝缘保护层破损等应立即停用；严格遵守作业许可、作业前风险分析、挂牌上锁程序和要求；指定电工或工程师定期对用电设备、工具进行检查并做好记录；危险用电安全标识应按相关规定进行悬挂；制作地下电缆警示标识，防止开挖或其它施工活动导致切断或损坏；在开关室、变电室或其它危险地方设置保安；配备适当的灭火器；所有电源必须由专业电工检查后方可接入电缆进行使用；所有接入接出电缆都应做好贴标和记录工作；任何坏损的电缆都不得被遮盖；只有得到许可的专业人员方可维修或使用电缆。</w:t>
      </w:r>
    </w:p>
    <w:p w14:paraId="52CDAFB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7、钢筋作业中存在割伤或割裂手、夹手、眼伤或其它伤害、触电、夹住、着火、高空坠落、落物、绊倒等风险。</w:t>
      </w:r>
    </w:p>
    <w:p w14:paraId="57740D8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作业人员应参加并通过入场安全培训，按要求参加特殊工种培训，尤其是高处作业培训，张贴高处作业培训标签便于识别；使用前应检查所有机械、手动工具并张贴标签；向工人发放适当的劳动防护用品；遵守现场电焊、打磨、气割的安全要求；消防设备应配备到位；遵守现场吊车操作和安全吊装程序，吊车、索具装置在使用前必须经过检查并张贴标签；配备足够的吊装监管、索具人员以及信号指挥工；合理布置电缆并做好保护；做好文明施工；安全卸载和堆放钢筋防止发生危险；遵守现场防坠落程序，如提供安全通道、穿戴全身式安全带等；固定材料，禁止抛掷材料；合理规划平台材料堆放，堆放物不能超载；顶部、中间和底部平台通道必须安全结实，并及时安装竖向安全网；吊装钢筋网片前应仔细检查每片钢筋网；不许在施工人员上方吊装安全网片；禁止在大雾、暴雨、暴雪或6级以上大风天气下吊装钢筋网片；在搬移钢筋之前，应进行适当计划，要提前考察搬移路线，并对该路线进行讨论。</w:t>
      </w:r>
    </w:p>
    <w:p w14:paraId="71900D1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8、打桩作业中存在触电、掉进孔中、吊装事故、溺水、电焊弧光或飞来之物发生烧伤或眼睛击伤事故、手伤、交通事故、挖孔桩坍塌、挖孔桩透水等风险。</w:t>
      </w:r>
    </w:p>
    <w:p w14:paraId="0268D44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编制作业方案、取得作业许可及完成作业前风险分析；修建临时设施，如：临时办公室、钢筋堆放区，钢筋笼预制场地应满足各自安全要求；合理规划并安全安装电源、主供电室、主电缆和水管（指地下设施）；开关箱、照明电缆、电焊机、钢筋弯曲机、砂轮气割机、桩机、空压机、水泵、打磨机必须处于良好状态并有保护措施；规划泥浆池，确保大小满足桩基施工需求；设置硬围护；平整并夯实地面保证材料安全运输；保证夜班作业照明充分；所有桩基设备、工具在使用前都必须经过检查并张贴标识；配备有资格的施工人员如电工、焊工、吊车操作工、桩基工、开挖工、挖机操作工、司机、司索工、信号指挥工，并满足安全覆盖要求，同时要检查其资格证书文件，并做好检查记录；所有人员应参加现场安全入场培训并按要求参加相应的特殊工种培训；遵守现场安全开挖程序；遵守桩机安全操作程序和说明书；遵守现场文明施工程序；遵守当地和现场环境要求；决不允许任何人员进入桩孔。</w:t>
      </w:r>
    </w:p>
    <w:p w14:paraId="47791C1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9、起重作业中存在吊物坠落、吊物翻转、坠入现场开挖区、撞击或损坏财物、重伤等风险。</w:t>
      </w:r>
    </w:p>
    <w:p w14:paraId="4811044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检查吊绳、吊钩、锁链、吊眼，确保无缺陷；张贴相关载重和操作指南，放在显眼处；张贴吊车手势信号手册，操作人员应理解信号含义；如有使用外伸架的需要，则外伸架应放置安全场所，且底板应以适当角度放置；履带式起重机、塔吊和液压式起重机的操作要在指挥员的监视和指挥下进行；若情况允许，则要使用对讲机；讨论每日需要操作起重机的工作内容，并制定日计划，起重机的操作应根据日计划进行；根据需要清除带电电缆或保持安全距离；要在吊装半径内进行吊装；根据需要围护作业区；对于晃动的吊物要使用牵引绳；配备便携式灭火器。</w:t>
      </w:r>
    </w:p>
    <w:p w14:paraId="1DCF8B29">
      <w:pPr>
        <w:widowControl w:val="0"/>
        <w:numPr>
          <w:ilvl w:val="0"/>
          <w:numId w:val="4"/>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受限空间作业中存在人员受伤、财产损失等风险。</w:t>
      </w:r>
    </w:p>
    <w:p w14:paraId="23B0272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要确保受限空间风险已全部识别；作业人员应进行并通过受限空间作业入场课程培训；确保所有受限空间作业人员都了解风险控制措施；进入受限空间前应开展工具箱会议；确保进入受限空间前所有相关测试都已开展并合格后方可入内；确保进入受限空间前作业许可要求的所有程序和设备都已准备好；确保救援设施、人员准备就位，且救援设施性能良好；确保安全封闭并控制好受限空间；持续更新入场人员记录，保证入场人员记录的精确性；应与入内人员沟通，监控他们的状况，并提醒入内人员何时需疏散；所有区域的气体测试应由受过适当培训的安全员执行；受限空间工作区域内的所有电仪、电机设备均应隔离、贴标并记录，并且该记录要作为工作许可证的附件；时刻监控受限空间区域工作人员；要编制并执行应急计划，工作组成员应熟知应急计划操作流程；任何进入受限空间的操作必须记录并存档；做好进入受限空间前的防暑措施。</w:t>
      </w:r>
    </w:p>
    <w:p w14:paraId="27814368">
      <w:pPr>
        <w:widowControl w:val="0"/>
        <w:numPr>
          <w:ilvl w:val="0"/>
          <w:numId w:val="4"/>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水上作业中存在溺水、低温、丧命等风险。</w:t>
      </w:r>
    </w:p>
    <w:p w14:paraId="26E0D6E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水上作业人员必须佩戴安全帽、穿救生衣、系安全带、穿防滑鞋；水上作业应遵守作业许可程序；水上作业平台周边必须设置防护栏杆，并挂设安全网，如设置防护栏杆有困难的，工人作业必须系安全带；施工中对水上作业的安全技术设施发现有缺陷和隐患时，必须及时解决，危及人身安全时，必须停止作业；施工作业场所有坠落可能的物件，应先行撤除或加以固定；水上作业中所用的物料，均应堆放平稳，不妨碍通行和装卸；操作过程中必须有充足的照明，夜间必须有充分的照明，必须直接照亮周围作业水面；严格控制电气设备的使用，并采取措施保证电线不因过长而拖到水里，防止落入水中发生触电等事故；指导所有人员发生紧急情况如何发出警报和如何开展救援演练；现场监管人员或指定人员应定期清点作业人数；任何水上作业都必须由两人及以上人员共同完成，单独一个人禁止水上作业。</w:t>
      </w:r>
    </w:p>
    <w:p w14:paraId="12B9052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12、平台操作作业中存在坍塌、人员伤害、高处坠落、设备损坏、物体打击、绊倒等风险。</w:t>
      </w:r>
    </w:p>
    <w:p w14:paraId="7BDFFAE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必须时刻留意，避免绊倒、坠落事件发生；平台架设必须根据图纸，并由至少两方检查通过后方可执行；平台上不可放置可能掉落的物体；所有手持工具应绑牢，或放置于安全的盒状容器中；保护平台边缘，以免锋利边缘伤人；发放个人劳保用品，并合理放置；高处作业时，严格遵守一切相关规则，离地作业时应完全系紧安全带；由具有资质的吊装队伍进行吊装操作，吊装现场应隔离，以防止闲杂人等进入造成伤亡；所有参加安全喊话和工作前风险分析的人员应熟知正在进行的交叉工作，并明确相关防范措施；场地上所有运输材料的车辆应限速，并时刻注意行人；注意文明施工，正确处理废料，不可乱丢垃圾，影响他人。</w:t>
      </w:r>
    </w:p>
    <w:p w14:paraId="7E86311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13、现场管梁和其它材料架设作业中存在脚手架坍塌、高处坠落、松散物高空着落、触电、绊倒、着火、夹手等风险。</w:t>
      </w:r>
    </w:p>
    <w:p w14:paraId="60D1AB5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按国家、地方相关规定安装安全网；穿戴合适的劳动防护用品，如安全帽、眼罩、安全带、安全鞋、手套和长袖工作衫等；吊装作业应使用牵引绳；检查铆钉作业和电焊作业火灾隐患；设置梯子、台阶或其它安全通道；检查提升装置；做好文明施工，焊接作业，吊装实践；要做好区域隔离；现场指挥员应就位，指挥员要使用警告口哨；作业前应进行适当计划；所有吊装物、装载物必须得到适当保护。</w:t>
      </w:r>
    </w:p>
    <w:p w14:paraId="29E9F8B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14、施工升降机的安装与拆卸作业中存在高处坠落、人员伤害、物体打击、设备损害等风险。</w:t>
      </w:r>
    </w:p>
    <w:p w14:paraId="7BC7A48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安装、拆卸单位应具有起重设备安装工程专业承包资质和安全生产许可证；安装、拆卸应制定专项施工方案，并经过审核、审批；安装完毕应履行验收程序；安装、拆卸作业人员及司机应持证上岗；施工升降机作业前应按规定进行例行检查；实行多班作业，按规定填写交接班记录。</w:t>
      </w:r>
    </w:p>
    <w:p w14:paraId="5AAC035A">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各工作类型应力测试作业中存在物体打击、高处坠落、人体伤害、设备损害等风险。</w:t>
      </w:r>
    </w:p>
    <w:p w14:paraId="56818E9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所有测试应遵照计划进行；所有压力测试进行前应提前知会甲方及监理单位；所有压力测试设备应按照说明书进行操作；所有压力测试场所应隔离并树立合适标牌；压力测试完成后必须及时通报工作完成，确保工作及时停止；测试完成后所有障碍和标牌应及时撤除；必须确保进行压力测试的人员都通过相关培训。</w:t>
      </w:r>
    </w:p>
    <w:p w14:paraId="6736B5F2">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人员移动或携带设备、吊篮和人员吊篮作业中存在高处坠落、物体打击、设备损害、财产损失等风险。</w:t>
      </w:r>
    </w:p>
    <w:p w14:paraId="70ECCE9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所有人员运载装置必须持相应机构颁发的证明，设备要贴牌；所有涉及人员运载装置工作的人必须要经过培训；所有乘员必须在每次使用前检查设备索具，起吊装置必须满足现场要求；养护记录和使用记录必须及时更新；运载人员的设备绝对不可以超载；运载人员的装置必须保证整洁无杂物，以防绊倒；运载人员的装置应确保用生命线（使用标记）；吊装区域确保应做出标记，做好维护，安装好标牌。</w:t>
      </w:r>
    </w:p>
    <w:p w14:paraId="0CCD4EA7">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使用机器、卡车、设备作业中存在人员受伤、设备受损、财产损失等风险。</w:t>
      </w:r>
    </w:p>
    <w:p w14:paraId="0A58F4B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应做好所有车辆、设备的机械性能保养工作，保证所有安全装置都运转良好；对所有车辆、设备开展入场前检查，并张贴相应标签；使用人员每日应对所有车辆、设备开展检查，并完善检查表；确保司机了解紧急情况下的应对措施；车辆出发前应检查载物是否已固定好；检查操作人员是否持有有效证书；检查车辆是否符合当地法律法规要求；检查刹车、车灯、报警装置；检查限重控制好负载；所有车辆都应配备安全带；为承载人员的车辆提供适当的安全通道；车辆承载人员时，车厢内不得有工具或设备；设备运行时必须有人监护；做好活动部件的润滑与修复工作；必要时应检查车轮情况；设备停用时应做好保护；如有必要配备安全带；配备灭火器和急救箱。</w:t>
      </w:r>
    </w:p>
    <w:p w14:paraId="6D552ED2">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现场驾驶作业中存在道路交通事故、人员受伤、死亡事故、财产损失、环境污染等风险。</w:t>
      </w:r>
    </w:p>
    <w:p w14:paraId="2647D140">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做好入场安全培训；如果怀疑有饮酒，则应做呼吸检测；检查车况，并张贴标签；司机和乘客必须配备劳动防护用品；所有人员都必须通知所有司机现场限定车速；检查车辆相关文件；检查司机驾驶资格证；包括驾驶员在内的所有现场工作人员应接受入场培训，且在培训中要对驾驶员强调超速问题；所有驾驶员应熟知在场地上进行的各种施工活动的危险性，并且在驾驶过程中应留意过往行人，避免事故；在合适地点设置路障加以隔离；应在工地设置有关场地驾驶规则的标牌。</w:t>
      </w:r>
    </w:p>
    <w:p w14:paraId="2FA02817">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涉及化学品的作业中存在污染环境、火灾、人员健康损害等风险。</w:t>
      </w:r>
    </w:p>
    <w:p w14:paraId="5862846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分包商必须编制化学物品溢漏紧急预案；现场使用化学物品必须经过承包商和业主审批；承包商在现场必须尽量少用化学物品；正确操作、储存和处理化学品，液体化学物品，做好泄露二次围堵措施，配备充足的消防和急救设施；配备充足的溢漏容器；申请使用化学物质的人员必须经过培训并有相应资质；配备适当的劳动防护用品；运输、储存和使用过程中应有化学品安全技术说明书；所有化学物品应有张贴清楚的标识；储存化学物品的容器不要直接接触地面，盖紧瓶盖；稀释或溶剂不得排入污水排放系统；提供充足的处理设施；在适当场所树立化学危害警示标牌；适当配备防溢漏工具箱；编制并执行化学危害应急处理流程；在场地附近张贴化学品量化清单。</w:t>
      </w:r>
    </w:p>
    <w:p w14:paraId="4E37909C">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山区作业中存在泥石流、滑坡、滚落、摔跤、蚊虫蛇蚁叮咬等风险。</w:t>
      </w:r>
    </w:p>
    <w:p w14:paraId="57CF39E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配备劳保防护设施，防滑鞋；做好施工环境地质灾害情况观察；配备驱蚊水，蛇药。</w:t>
      </w:r>
    </w:p>
    <w:p w14:paraId="02F6F9D4">
      <w:pPr>
        <w:widowControl w:val="0"/>
        <w:numPr>
          <w:ilvl w:val="0"/>
          <w:numId w:val="5"/>
        </w:numPr>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恶劣天气条件下作业中存在中暑、晒伤、冻伤、台风、沙暴等风险。</w:t>
      </w:r>
    </w:p>
    <w:p w14:paraId="52F7EEC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检查并通知未来天气情况（更新布告栏）；准备急救箱和一些基本急救设施；根据症状和处理方式进行培训与教育；设置适当的防护棚；要确保干净充足的饮水地；做好健康教育；为工人提供适当劳动防护用品；根据天气合理安排工作时间；加强现场监管；恶劣天气禁止冒险作业，尤其是开展高风险作业，如高空作业、塔吊作业、移动吊车操作和吊装作业、运输等；必须监控台风动态；讨论台风高发地段的天气状况和应采取的防御措施；所有机具和建筑物地下部分必须进行保护；工作时应在工作区域进行控制扬尘措施；在有烟尘和空气颗粒物的区域工作时，做好劳动保护。</w:t>
      </w:r>
    </w:p>
    <w:p w14:paraId="17B7A30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若施工过程中发生包含但不限于上述风险，按本工程施工合同及国家与地方相关法律法规进行解决。</w:t>
      </w:r>
    </w:p>
    <w:p w14:paraId="6FDFFC5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（以下无正文）</w:t>
      </w:r>
    </w:p>
    <w:p w14:paraId="4C2D07D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甲方：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乙方：</w:t>
      </w:r>
    </w:p>
    <w:p w14:paraId="5469A1BD">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lang w:eastAsia="zh-CN"/>
        </w:rPr>
        <w:t>深圳市深燃清洁能源有限公司</w:t>
      </w:r>
      <w:r>
        <w:rPr>
          <w:rFonts w:hint="eastAsia" w:ascii="宋体" w:hAnsi="宋体" w:cs="宋体"/>
          <w:color w:val="auto"/>
          <w:szCs w:val="21"/>
          <w:highlight w:val="none"/>
        </w:rPr>
        <w:t xml:space="preserve">                          </w:t>
      </w:r>
    </w:p>
    <w:p w14:paraId="133491C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法定代表人或授权委托人：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法定代表人或授权委托人：</w:t>
      </w:r>
    </w:p>
    <w:p w14:paraId="30EC3428">
      <w:pPr>
        <w:widowControl w:val="0"/>
        <w:spacing w:line="560" w:lineRule="exact"/>
        <w:ind w:firstLine="420"/>
        <w:jc w:val="left"/>
        <w:rPr>
          <w:rFonts w:ascii="宋体" w:hAnsi="宋体" w:cs="宋体"/>
          <w:color w:val="auto"/>
          <w:szCs w:val="21"/>
          <w:highlight w:val="none"/>
        </w:rPr>
      </w:pPr>
    </w:p>
    <w:p w14:paraId="3855C27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日期：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日期：</w:t>
      </w:r>
    </w:p>
    <w:p w14:paraId="70E7847D">
      <w:pPr>
        <w:widowControl w:val="0"/>
        <w:spacing w:line="560" w:lineRule="exact"/>
        <w:ind w:firstLine="420"/>
        <w:jc w:val="center"/>
        <w:rPr>
          <w:rFonts w:ascii="宋体" w:hAnsi="宋体" w:cs="宋体"/>
          <w:color w:val="auto"/>
          <w:szCs w:val="21"/>
          <w:highlight w:val="none"/>
        </w:rPr>
      </w:pPr>
    </w:p>
    <w:p w14:paraId="3A7B2D24">
      <w:pPr>
        <w:widowControl w:val="0"/>
        <w:spacing w:line="560" w:lineRule="exact"/>
        <w:ind w:firstLine="420"/>
        <w:jc w:val="left"/>
        <w:rPr>
          <w:rFonts w:ascii="宋体" w:hAnsi="宋体" w:cs="宋体"/>
          <w:color w:val="auto"/>
          <w:szCs w:val="21"/>
          <w:highlight w:val="none"/>
        </w:rPr>
      </w:pPr>
    </w:p>
    <w:p w14:paraId="25740627">
      <w:pPr>
        <w:widowControl w:val="0"/>
        <w:spacing w:line="560" w:lineRule="exact"/>
        <w:ind w:firstLine="0" w:firstLineChars="0"/>
        <w:rPr>
          <w:rFonts w:ascii="宋体" w:hAnsi="宋体" w:cs="宋体"/>
          <w:color w:val="auto"/>
          <w:szCs w:val="21"/>
          <w:highlight w:val="none"/>
        </w:rPr>
      </w:pPr>
    </w:p>
    <w:p w14:paraId="0FC7E064">
      <w:pPr>
        <w:widowControl w:val="0"/>
        <w:spacing w:line="560" w:lineRule="exact"/>
        <w:ind w:firstLine="422"/>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附件：</w:t>
      </w:r>
    </w:p>
    <w:p w14:paraId="2B46AA61">
      <w:pPr>
        <w:ind w:firstLine="3795" w:firstLineChars="1800"/>
        <w:rPr>
          <w:rFonts w:ascii="宋体" w:hAnsi="宋体" w:cs="宋体"/>
          <w:b/>
          <w:color w:val="auto"/>
          <w:szCs w:val="21"/>
          <w:highlight w:val="none"/>
        </w:rPr>
      </w:pPr>
      <w:bookmarkStart w:id="7" w:name="_Toc13834"/>
      <w:bookmarkStart w:id="8" w:name="_Toc1171"/>
      <w:r>
        <w:rPr>
          <w:rFonts w:hint="eastAsia" w:ascii="宋体" w:hAnsi="宋体" w:cs="宋体"/>
          <w:b/>
          <w:color w:val="auto"/>
          <w:szCs w:val="21"/>
          <w:highlight w:val="none"/>
        </w:rPr>
        <w:t>工程质量保修书</w:t>
      </w:r>
      <w:bookmarkEnd w:id="7"/>
      <w:bookmarkEnd w:id="8"/>
    </w:p>
    <w:p w14:paraId="1238EEB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lang w:eastAsia="zh-CN"/>
        </w:rPr>
        <w:t>深圳市深燃清洁能源有限公司</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input272 \* MERGEFORMAT </w:instrText>
      </w:r>
      <w:r>
        <w:rPr>
          <w:rFonts w:hint="eastAsia" w:ascii="宋体" w:hAnsi="宋体" w:cs="宋体"/>
          <w:color w:val="auto"/>
          <w:szCs w:val="21"/>
          <w:highlight w:val="none"/>
        </w:rPr>
        <w:fldChar w:fldCharType="end"/>
      </w:r>
    </w:p>
    <w:p w14:paraId="0F5CA2C6">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input273 \* MERGEFORMAT </w:instrText>
      </w:r>
      <w:r>
        <w:rPr>
          <w:rFonts w:hint="eastAsia" w:ascii="宋体" w:hAnsi="宋体" w:cs="宋体"/>
          <w:color w:val="auto"/>
          <w:szCs w:val="21"/>
          <w:highlight w:val="none"/>
        </w:rPr>
        <w:fldChar w:fldCharType="end"/>
      </w:r>
    </w:p>
    <w:p w14:paraId="1E516FAF">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input274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工程名称）在合理使用期限内正常使用，发包人和承包人根据《中华人民共和国建筑法（2011修正）》、《建设工程质量管理条例》、《深圳特区建设工程质量管理条例》，经协商一致，签订工程质量保修书。承包人在质量保修期内按照有关规定及双方约定承担工程质量保修责任。</w:t>
      </w:r>
    </w:p>
    <w:p w14:paraId="4CD96CC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一、工程质量保修范围</w:t>
      </w:r>
    </w:p>
    <w:p w14:paraId="5AA49FB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质量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14:paraId="48A08265">
      <w:pPr>
        <w:widowControl w:val="0"/>
        <w:spacing w:line="56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具体质量保修范围，双方约定如下：</w:t>
      </w:r>
      <w:r>
        <w:rPr>
          <w:rFonts w:hint="eastAsia" w:ascii="宋体" w:hAnsi="宋体" w:cs="宋体"/>
          <w:color w:val="auto"/>
          <w:szCs w:val="21"/>
          <w:highlight w:val="none"/>
          <w:u w:val="single"/>
        </w:rPr>
        <w:t>承包人承包范围内的所有工程内容。</w:t>
      </w:r>
    </w:p>
    <w:p w14:paraId="0AA1B5B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二、工程质量保修期</w:t>
      </w:r>
    </w:p>
    <w:p w14:paraId="6E42D7E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质量保修期从工程实际竣工之日算起。单项竣工验收的工程，按单项工程分别计算质量保修期。</w:t>
      </w:r>
    </w:p>
    <w:p w14:paraId="78119C1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双方约定本工程质量保修期如下：</w:t>
      </w:r>
    </w:p>
    <w:p w14:paraId="601AF55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input276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地基基础工程、主体结构工程为设计文件规定的合理使用年限；</w:t>
      </w:r>
    </w:p>
    <w:p w14:paraId="1C57093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input277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屋面防水工程、有防水要求的卫生间/房间和外墙面的防渗漏工程为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input278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年（最低为5年）；</w:t>
      </w:r>
    </w:p>
    <w:p w14:paraId="706A2A7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input279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电气管线工程、给排水管道工程、设备安装工程为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input280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年（最低为2年）；</w:t>
      </w:r>
    </w:p>
    <w:p w14:paraId="468F4158">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input281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供热和供冷系统工程为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input282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个（最低为2个）采暖期、供冷期；</w:t>
      </w:r>
    </w:p>
    <w:p w14:paraId="2E380F8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input283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装饰装修工程为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input284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年；</w:t>
      </w:r>
    </w:p>
    <w:p w14:paraId="6432A53B">
      <w:pPr>
        <w:widowControl w:val="0"/>
        <w:spacing w:line="56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input285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其他项目保修期约定：</w:t>
      </w:r>
      <w:r>
        <w:rPr>
          <w:rFonts w:hint="eastAsia" w:ascii="宋体" w:hAnsi="宋体" w:cs="宋体"/>
          <w:color w:val="auto"/>
          <w:szCs w:val="21"/>
          <w:highlight w:val="none"/>
          <w:u w:val="single"/>
        </w:rPr>
        <w:t>本工程施工的保修期为</w:t>
      </w:r>
      <w:r>
        <w:rPr>
          <w:rFonts w:hint="eastAsia" w:ascii="宋体" w:hAnsi="宋体" w:cs="宋体"/>
          <w:color w:val="auto"/>
          <w:szCs w:val="21"/>
          <w:highlight w:val="none"/>
          <w:u w:val="single"/>
          <w:lang w:val="en-US" w:eastAsia="zh-CN"/>
        </w:rPr>
        <w:t>0.5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input286 \* MERGEFORMAT </w:instrText>
      </w:r>
      <w:r>
        <w:rPr>
          <w:rFonts w:hint="eastAsia" w:ascii="宋体" w:hAnsi="宋体" w:cs="宋体"/>
          <w:color w:val="auto"/>
          <w:szCs w:val="21"/>
          <w:highlight w:val="none"/>
        </w:rPr>
        <w:fldChar w:fldCharType="end"/>
      </w:r>
    </w:p>
    <w:p w14:paraId="43760CE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三、工程质量保修责任</w:t>
      </w:r>
    </w:p>
    <w:p w14:paraId="481292E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1.属于保修范围内的项目，在保修期内，承包人应在接到保修通知之日后７天内派人修理。承包人不在约定期限内派人修理，发包人可委托其他人员修理。</w:t>
      </w:r>
    </w:p>
    <w:p w14:paraId="217F14EC">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2.发生紧急抢修事故的，承包人接到事故通知后，应立即到达事故现场抢修。</w:t>
      </w:r>
    </w:p>
    <w:p w14:paraId="12F2581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四、工程质量保修费用</w:t>
      </w:r>
    </w:p>
    <w:p w14:paraId="4F7AB9A3">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工程质量保修费用及相关的损害赔偿责任由造成质量缺陷的责任方承担。</w:t>
      </w:r>
    </w:p>
    <w:p w14:paraId="2AABDFB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五、工程质量保证方式</w:t>
      </w:r>
    </w:p>
    <w:p w14:paraId="4620B73E">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工程质量保证方式可采用以下方式：</w:t>
      </w:r>
    </w:p>
    <w:p w14:paraId="33662615">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input287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质量保证金：</w:t>
      </w:r>
    </w:p>
    <w:p w14:paraId="35B1BA22">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质量保证金一般不超过签约合同价的</w:t>
      </w:r>
      <w:r>
        <w:rPr>
          <w:rFonts w:hint="eastAsia" w:ascii="宋体" w:hAnsi="宋体" w:cs="宋体"/>
          <w:color w:val="auto"/>
          <w:szCs w:val="21"/>
          <w:highlight w:val="none"/>
          <w:u w:val="single"/>
          <w:lang w:val="en-US" w:eastAsia="zh-CN"/>
        </w:rPr>
        <w:t xml:space="preserve"> 3 </w:t>
      </w:r>
      <w:r>
        <w:rPr>
          <w:rFonts w:hint="eastAsia" w:ascii="宋体" w:hAnsi="宋体" w:cs="宋体"/>
          <w:color w:val="auto"/>
          <w:szCs w:val="21"/>
          <w:highlight w:val="none"/>
        </w:rPr>
        <w:t>％，发包人承包人约定本工程的质量保证金为工程结算价的</w:t>
      </w:r>
      <w:r>
        <w:rPr>
          <w:rFonts w:hint="eastAsia" w:ascii="宋体" w:hAnsi="宋体" w:cs="宋体"/>
          <w:color w:val="auto"/>
          <w:szCs w:val="21"/>
          <w:highlight w:val="none"/>
          <w:u w:val="single"/>
          <w:lang w:val="en-US" w:eastAsia="zh-CN"/>
        </w:rPr>
        <w:t xml:space="preserve"> 3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input288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％，具体为：</w:t>
      </w:r>
    </w:p>
    <w:p w14:paraId="7CAA7FF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币种：</w:t>
      </w:r>
      <w:r>
        <w:rPr>
          <w:rFonts w:hint="eastAsia" w:ascii="宋体" w:hAnsi="宋体" w:cs="宋体"/>
          <w:color w:val="auto"/>
          <w:szCs w:val="21"/>
          <w:highlight w:val="none"/>
          <w:u w:val="single"/>
        </w:rPr>
        <w:t xml:space="preserve"> 人民币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input289 \* MERGEFORMAT </w:instrText>
      </w:r>
      <w:r>
        <w:rPr>
          <w:rFonts w:hint="eastAsia" w:ascii="宋体" w:hAnsi="宋体" w:cs="宋体"/>
          <w:color w:val="auto"/>
          <w:szCs w:val="21"/>
          <w:highlight w:val="none"/>
        </w:rPr>
        <w:fldChar w:fldCharType="end"/>
      </w:r>
    </w:p>
    <w:p w14:paraId="5BD7805B">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金额（大写）：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input290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元</w:t>
      </w:r>
    </w:p>
    <w:p w14:paraId="2A0ECD7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（小写）：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input291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元</w:t>
      </w:r>
    </w:p>
    <w:p w14:paraId="1C7193E9">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质量保证金银行利率为：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input292 \* MERGEFORMAT </w:instrText>
      </w:r>
      <w:r>
        <w:rPr>
          <w:rFonts w:hint="eastAsia" w:ascii="宋体" w:hAnsi="宋体" w:cs="宋体"/>
          <w:color w:val="auto"/>
          <w:szCs w:val="21"/>
          <w:highlight w:val="none"/>
        </w:rPr>
        <w:fldChar w:fldCharType="end"/>
      </w:r>
    </w:p>
    <w:p w14:paraId="29D1FD0A">
      <w:pPr>
        <w:widowControl w:val="0"/>
        <w:spacing w:line="56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input293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工程质量保证担保：</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input294 \* MERGEFORMAT </w:instrText>
      </w:r>
      <w:r>
        <w:rPr>
          <w:rFonts w:hint="eastAsia" w:ascii="宋体" w:hAnsi="宋体" w:cs="宋体"/>
          <w:color w:val="auto"/>
          <w:szCs w:val="21"/>
          <w:highlight w:val="none"/>
        </w:rPr>
        <w:fldChar w:fldCharType="end"/>
      </w:r>
    </w:p>
    <w:p w14:paraId="2501FAE0">
      <w:pPr>
        <w:widowControl w:val="0"/>
        <w:spacing w:line="56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AUTOTEXT  input295 \* MERGEFORMAT </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工程质量保险：</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input296 \* MERGEFORMAT </w:instrText>
      </w:r>
      <w:r>
        <w:rPr>
          <w:rFonts w:hint="eastAsia" w:ascii="宋体" w:hAnsi="宋体" w:cs="宋体"/>
          <w:color w:val="auto"/>
          <w:szCs w:val="21"/>
          <w:highlight w:val="none"/>
        </w:rPr>
        <w:fldChar w:fldCharType="end"/>
      </w:r>
    </w:p>
    <w:p w14:paraId="747CF117">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六、质量保证金的支付</w:t>
      </w:r>
    </w:p>
    <w:p w14:paraId="73C0B18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采用质量保证金方式时，发包人在工程竣工验收合格满二年后第14天内，将剩余质量保证金支付给承包人，但并不免除承包人在保修期内的保修责任。</w:t>
      </w:r>
    </w:p>
    <w:p w14:paraId="4C375D21">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如发包人不在约定时限内足额向承包人支付剩余质量保证金和利息的，发包人应从约定应付之日起按同期银行贷款利率向承包人支付拖欠款额的贷款利息，并按每延期一天向承包人赔偿拖欠款额的千分之一的标准承担违约责任。</w:t>
      </w:r>
    </w:p>
    <w:p w14:paraId="2BE2B4EA">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七、其他</w:t>
      </w:r>
    </w:p>
    <w:p w14:paraId="4F9C41E3">
      <w:pPr>
        <w:widowControl w:val="0"/>
        <w:spacing w:line="56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发包人承包人约定的其他工程质量保修事项：</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AUTOTEXT  input297 \* MERGEFORMAT </w:instrText>
      </w:r>
      <w:r>
        <w:rPr>
          <w:rFonts w:hint="eastAsia" w:ascii="宋体" w:hAnsi="宋体" w:cs="宋体"/>
          <w:color w:val="auto"/>
          <w:szCs w:val="21"/>
          <w:highlight w:val="none"/>
        </w:rPr>
        <w:fldChar w:fldCharType="end"/>
      </w:r>
    </w:p>
    <w:p w14:paraId="77BFD704">
      <w:pPr>
        <w:widowControl w:val="0"/>
        <w:spacing w:line="5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本《工程质量保修书》作为施工合同附件由发包人承包人双方共同签署。</w:t>
      </w:r>
    </w:p>
    <w:p w14:paraId="1FBC9C7A">
      <w:pPr>
        <w:widowControl w:val="0"/>
        <w:spacing w:before="100" w:beforeAutospacing="1" w:after="100" w:afterAutospacing="1" w:line="560" w:lineRule="exact"/>
        <w:ind w:firstLine="0" w:firstLineChars="0"/>
        <w:jc w:val="center"/>
        <w:rPr>
          <w:rFonts w:ascii="宋体" w:hAnsi="宋体" w:cs="宋体"/>
          <w:snapToGrid w:val="0"/>
          <w:color w:val="auto"/>
          <w:kern w:val="0"/>
          <w:szCs w:val="21"/>
          <w:highlight w:val="none"/>
        </w:rPr>
      </w:pPr>
      <w:r>
        <w:rPr>
          <w:rFonts w:hint="eastAsia" w:ascii="宋体" w:hAnsi="宋体" w:cs="宋体"/>
          <w:b/>
          <w:snapToGrid w:val="0"/>
          <w:color w:val="auto"/>
          <w:kern w:val="0"/>
          <w:szCs w:val="21"/>
          <w:highlight w:val="none"/>
          <w:bdr w:val="single" w:color="auto" w:sz="4" w:space="0"/>
        </w:rPr>
        <w:t>签署页</w:t>
      </w:r>
    </w:p>
    <w:p w14:paraId="7246DAD4">
      <w:pPr>
        <w:widowControl w:val="0"/>
        <w:spacing w:line="560" w:lineRule="exact"/>
        <w:ind w:firstLine="422"/>
        <w:jc w:val="center"/>
        <w:rPr>
          <w:rFonts w:ascii="宋体" w:hAnsi="宋体" w:cs="宋体"/>
          <w:b/>
          <w:color w:val="auto"/>
          <w:szCs w:val="21"/>
          <w:highlight w:val="none"/>
          <w:bdr w:val="single" w:color="auto" w:sz="4" w:space="0"/>
        </w:rPr>
      </w:pPr>
    </w:p>
    <w:tbl>
      <w:tblPr>
        <w:tblStyle w:val="13"/>
        <w:tblpPr w:leftFromText="180" w:rightFromText="180" w:vertAnchor="text" w:horzAnchor="page" w:tblpX="1375" w:tblpY="605"/>
        <w:tblOverlap w:val="never"/>
        <w:tblW w:w="9480" w:type="dxa"/>
        <w:tblInd w:w="0" w:type="dxa"/>
        <w:tblLayout w:type="fixed"/>
        <w:tblCellMar>
          <w:top w:w="0" w:type="dxa"/>
          <w:left w:w="108" w:type="dxa"/>
          <w:bottom w:w="0" w:type="dxa"/>
          <w:right w:w="108" w:type="dxa"/>
        </w:tblCellMar>
      </w:tblPr>
      <w:tblGrid>
        <w:gridCol w:w="4920"/>
        <w:gridCol w:w="4560"/>
      </w:tblGrid>
      <w:tr w14:paraId="748CC463">
        <w:tblPrEx>
          <w:tblCellMar>
            <w:top w:w="0" w:type="dxa"/>
            <w:left w:w="108" w:type="dxa"/>
            <w:bottom w:w="0" w:type="dxa"/>
            <w:right w:w="108" w:type="dxa"/>
          </w:tblCellMar>
        </w:tblPrEx>
        <w:trPr>
          <w:trHeight w:val="961" w:hRule="atLeast"/>
        </w:trPr>
        <w:tc>
          <w:tcPr>
            <w:tcW w:w="4920" w:type="dxa"/>
            <w:vAlign w:val="center"/>
          </w:tcPr>
          <w:p w14:paraId="2751BA74">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发包人（盖章）：</w:t>
            </w:r>
          </w:p>
          <w:p w14:paraId="5B5F4F7B">
            <w:pPr>
              <w:widowControl w:val="0"/>
              <w:snapToGrid w:val="0"/>
              <w:spacing w:line="240" w:lineRule="auto"/>
              <w:ind w:firstLine="0" w:firstLineChars="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lang w:eastAsia="zh-CN"/>
              </w:rPr>
              <w:t>深圳市深燃清洁能源有限公司</w:t>
            </w:r>
          </w:p>
        </w:tc>
        <w:tc>
          <w:tcPr>
            <w:tcW w:w="4560" w:type="dxa"/>
            <w:vAlign w:val="center"/>
          </w:tcPr>
          <w:p w14:paraId="5E3461CE">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承包人（盖章）：</w:t>
            </w:r>
          </w:p>
          <w:p w14:paraId="79B4432F">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 </w:t>
            </w:r>
          </w:p>
        </w:tc>
      </w:tr>
      <w:tr w14:paraId="78A5D80E">
        <w:tblPrEx>
          <w:tblCellMar>
            <w:top w:w="0" w:type="dxa"/>
            <w:left w:w="108" w:type="dxa"/>
            <w:bottom w:w="0" w:type="dxa"/>
            <w:right w:w="108" w:type="dxa"/>
          </w:tblCellMar>
        </w:tblPrEx>
        <w:trPr>
          <w:trHeight w:val="2018" w:hRule="atLeast"/>
        </w:trPr>
        <w:tc>
          <w:tcPr>
            <w:tcW w:w="4920" w:type="dxa"/>
          </w:tcPr>
          <w:p w14:paraId="00729599">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法定代表人或委托代理人（签名）：</w:t>
            </w:r>
          </w:p>
          <w:p w14:paraId="185A1CDD">
            <w:pPr>
              <w:widowControl w:val="0"/>
              <w:snapToGrid w:val="0"/>
              <w:spacing w:line="240" w:lineRule="auto"/>
              <w:ind w:firstLine="0" w:firstLineChars="0"/>
              <w:rPr>
                <w:rFonts w:ascii="宋体" w:hAnsi="宋体" w:cs="宋体"/>
                <w:color w:val="auto"/>
                <w:szCs w:val="21"/>
                <w:highlight w:val="none"/>
              </w:rPr>
            </w:pPr>
          </w:p>
          <w:p w14:paraId="5F2F8327">
            <w:pPr>
              <w:widowControl w:val="0"/>
              <w:snapToGrid w:val="0"/>
              <w:spacing w:line="240" w:lineRule="auto"/>
              <w:ind w:firstLine="0" w:firstLineChars="0"/>
              <w:rPr>
                <w:rFonts w:ascii="宋体" w:hAnsi="宋体" w:cs="宋体"/>
                <w:color w:val="auto"/>
                <w:szCs w:val="21"/>
                <w:highlight w:val="none"/>
              </w:rPr>
            </w:pPr>
          </w:p>
          <w:p w14:paraId="4AD2F833">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经办人（签字）：</w:t>
            </w:r>
          </w:p>
          <w:p w14:paraId="7205A55F">
            <w:pPr>
              <w:widowControl w:val="0"/>
              <w:snapToGrid w:val="0"/>
              <w:spacing w:line="240" w:lineRule="auto"/>
              <w:ind w:firstLine="0" w:firstLineChars="0"/>
              <w:rPr>
                <w:rFonts w:ascii="宋体" w:hAnsi="宋体" w:cs="宋体"/>
                <w:color w:val="auto"/>
                <w:szCs w:val="21"/>
                <w:highlight w:val="none"/>
              </w:rPr>
            </w:pPr>
          </w:p>
          <w:p w14:paraId="5E44D585">
            <w:pPr>
              <w:widowControl w:val="0"/>
              <w:snapToGrid w:val="0"/>
              <w:spacing w:line="240" w:lineRule="auto"/>
              <w:ind w:firstLine="0" w:firstLineChars="0"/>
              <w:rPr>
                <w:rFonts w:ascii="宋体" w:hAnsi="宋体" w:cs="宋体"/>
                <w:color w:val="auto"/>
                <w:szCs w:val="21"/>
                <w:highlight w:val="none"/>
              </w:rPr>
            </w:pPr>
          </w:p>
        </w:tc>
        <w:tc>
          <w:tcPr>
            <w:tcW w:w="4560" w:type="dxa"/>
          </w:tcPr>
          <w:p w14:paraId="5712A768">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法定代表人或委托代理人（签名）：</w:t>
            </w:r>
          </w:p>
          <w:p w14:paraId="3A0496C6">
            <w:pPr>
              <w:widowControl w:val="0"/>
              <w:snapToGrid w:val="0"/>
              <w:spacing w:line="240" w:lineRule="auto"/>
              <w:ind w:firstLine="0" w:firstLineChars="0"/>
              <w:rPr>
                <w:rFonts w:ascii="宋体" w:hAnsi="宋体" w:cs="宋体"/>
                <w:color w:val="auto"/>
                <w:szCs w:val="21"/>
                <w:highlight w:val="none"/>
              </w:rPr>
            </w:pPr>
          </w:p>
          <w:p w14:paraId="73C71F26">
            <w:pPr>
              <w:widowControl w:val="0"/>
              <w:snapToGrid w:val="0"/>
              <w:spacing w:line="240" w:lineRule="auto"/>
              <w:ind w:firstLine="0" w:firstLineChars="0"/>
              <w:rPr>
                <w:rFonts w:ascii="宋体" w:hAnsi="宋体" w:cs="宋体"/>
                <w:color w:val="auto"/>
                <w:szCs w:val="21"/>
                <w:highlight w:val="none"/>
              </w:rPr>
            </w:pPr>
          </w:p>
          <w:p w14:paraId="3F641E71">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经办人（签字）：</w:t>
            </w:r>
          </w:p>
          <w:p w14:paraId="309B5791">
            <w:pPr>
              <w:widowControl w:val="0"/>
              <w:snapToGrid w:val="0"/>
              <w:spacing w:line="240" w:lineRule="auto"/>
              <w:ind w:firstLine="0" w:firstLineChars="0"/>
              <w:rPr>
                <w:rFonts w:ascii="宋体" w:hAnsi="宋体" w:cs="宋体"/>
                <w:color w:val="auto"/>
                <w:szCs w:val="21"/>
                <w:highlight w:val="none"/>
              </w:rPr>
            </w:pPr>
          </w:p>
          <w:p w14:paraId="5FE4F114">
            <w:pPr>
              <w:widowControl w:val="0"/>
              <w:snapToGrid w:val="0"/>
              <w:spacing w:line="240" w:lineRule="auto"/>
              <w:ind w:firstLine="0" w:firstLineChars="0"/>
              <w:rPr>
                <w:rFonts w:ascii="宋体" w:hAnsi="宋体" w:cs="宋体"/>
                <w:color w:val="auto"/>
                <w:szCs w:val="21"/>
                <w:highlight w:val="none"/>
              </w:rPr>
            </w:pPr>
          </w:p>
        </w:tc>
      </w:tr>
      <w:tr w14:paraId="7519BDA2">
        <w:tblPrEx>
          <w:tblCellMar>
            <w:top w:w="0" w:type="dxa"/>
            <w:left w:w="108" w:type="dxa"/>
            <w:bottom w:w="0" w:type="dxa"/>
            <w:right w:w="108" w:type="dxa"/>
          </w:tblCellMar>
        </w:tblPrEx>
        <w:trPr>
          <w:trHeight w:val="698" w:hRule="atLeast"/>
        </w:trPr>
        <w:tc>
          <w:tcPr>
            <w:tcW w:w="4920" w:type="dxa"/>
          </w:tcPr>
          <w:p w14:paraId="36E320BB">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地址：</w:t>
            </w:r>
          </w:p>
        </w:tc>
        <w:tc>
          <w:tcPr>
            <w:tcW w:w="4560" w:type="dxa"/>
          </w:tcPr>
          <w:p w14:paraId="3C973826">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地址： </w:t>
            </w:r>
          </w:p>
        </w:tc>
      </w:tr>
      <w:tr w14:paraId="4AA744B9">
        <w:tblPrEx>
          <w:tblCellMar>
            <w:top w:w="0" w:type="dxa"/>
            <w:left w:w="108" w:type="dxa"/>
            <w:bottom w:w="0" w:type="dxa"/>
            <w:right w:w="108" w:type="dxa"/>
          </w:tblCellMar>
        </w:tblPrEx>
        <w:trPr>
          <w:trHeight w:val="899" w:hRule="atLeast"/>
        </w:trPr>
        <w:tc>
          <w:tcPr>
            <w:tcW w:w="4920" w:type="dxa"/>
            <w:vAlign w:val="center"/>
          </w:tcPr>
          <w:p w14:paraId="145926E9">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法定代表人：</w:t>
            </w:r>
          </w:p>
          <w:p w14:paraId="390475C4">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电话：</w:t>
            </w:r>
          </w:p>
          <w:p w14:paraId="3EE77E9C">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传真：</w:t>
            </w:r>
          </w:p>
          <w:p w14:paraId="078DEB5D">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纳税人识别号：</w:t>
            </w:r>
          </w:p>
          <w:p w14:paraId="1A8EB35C">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开户行：</w:t>
            </w:r>
          </w:p>
          <w:p w14:paraId="0132D7F8">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银行账号：</w:t>
            </w:r>
          </w:p>
          <w:p w14:paraId="5C3A81EA">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电话：</w:t>
            </w:r>
          </w:p>
        </w:tc>
        <w:tc>
          <w:tcPr>
            <w:tcW w:w="4560" w:type="dxa"/>
            <w:vAlign w:val="center"/>
          </w:tcPr>
          <w:p w14:paraId="0093EDB4">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法定代表人： </w:t>
            </w:r>
          </w:p>
          <w:p w14:paraId="3FAD7531">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电话： </w:t>
            </w:r>
          </w:p>
          <w:p w14:paraId="46746DD6">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传真：</w:t>
            </w:r>
          </w:p>
          <w:p w14:paraId="58050C09">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邮箱： </w:t>
            </w:r>
          </w:p>
          <w:p w14:paraId="59EFF527">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开户行： </w:t>
            </w:r>
          </w:p>
          <w:p w14:paraId="0615B267">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银行账号： </w:t>
            </w:r>
          </w:p>
          <w:p w14:paraId="3BE7C49C">
            <w:pPr>
              <w:widowControl w:val="0"/>
              <w:snapToGrid w:val="0"/>
              <w:spacing w:line="240" w:lineRule="auto"/>
              <w:ind w:firstLine="0" w:firstLineChars="0"/>
              <w:rPr>
                <w:rFonts w:ascii="宋体" w:hAnsi="宋体" w:cs="宋体"/>
                <w:color w:val="auto"/>
                <w:szCs w:val="21"/>
                <w:highlight w:val="none"/>
              </w:rPr>
            </w:pPr>
          </w:p>
        </w:tc>
      </w:tr>
      <w:tr w14:paraId="2DC572CC">
        <w:tblPrEx>
          <w:tblCellMar>
            <w:top w:w="0" w:type="dxa"/>
            <w:left w:w="108" w:type="dxa"/>
            <w:bottom w:w="0" w:type="dxa"/>
            <w:right w:w="108" w:type="dxa"/>
          </w:tblCellMar>
        </w:tblPrEx>
        <w:trPr>
          <w:trHeight w:val="738" w:hRule="atLeast"/>
        </w:trPr>
        <w:tc>
          <w:tcPr>
            <w:tcW w:w="4920" w:type="dxa"/>
            <w:vAlign w:val="center"/>
          </w:tcPr>
          <w:p w14:paraId="2A08DDC0">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签订日期：  年    月   日</w:t>
            </w:r>
          </w:p>
        </w:tc>
        <w:tc>
          <w:tcPr>
            <w:tcW w:w="4560" w:type="dxa"/>
            <w:vAlign w:val="center"/>
          </w:tcPr>
          <w:p w14:paraId="24B858C9">
            <w:pPr>
              <w:widowControl w:val="0"/>
              <w:snapToGrid w:val="0"/>
              <w:spacing w:line="24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签订日期：   年   月   日</w:t>
            </w:r>
          </w:p>
        </w:tc>
      </w:tr>
    </w:tbl>
    <w:p w14:paraId="0101041C">
      <w:pPr>
        <w:widowControl w:val="0"/>
        <w:spacing w:line="560" w:lineRule="exact"/>
        <w:ind w:firstLine="358" w:firstLineChars="0"/>
        <w:rPr>
          <w:rFonts w:ascii="宋体" w:hAnsi="宋体" w:cs="宋体"/>
          <w:color w:val="auto"/>
          <w:szCs w:val="21"/>
          <w:highlight w:val="none"/>
        </w:rPr>
      </w:pPr>
    </w:p>
    <w:p w14:paraId="23F6F923">
      <w:pPr>
        <w:widowControl w:val="0"/>
        <w:spacing w:line="240" w:lineRule="auto"/>
        <w:ind w:firstLine="0" w:firstLineChars="0"/>
        <w:jc w:val="center"/>
        <w:rPr>
          <w:rFonts w:ascii="宋体" w:hAnsi="宋体" w:cs="宋体"/>
          <w:color w:val="auto"/>
          <w:szCs w:val="21"/>
          <w:highlight w:val="none"/>
        </w:rPr>
      </w:pPr>
    </w:p>
    <w:p w14:paraId="441EEAC2">
      <w:pPr>
        <w:widowControl w:val="0"/>
        <w:spacing w:line="400" w:lineRule="exact"/>
        <w:ind w:firstLine="0" w:firstLineChars="0"/>
        <w:jc w:val="center"/>
        <w:rPr>
          <w:color w:val="auto"/>
          <w:highlight w:val="none"/>
        </w:rPr>
      </w:pPr>
    </w:p>
    <w:p w14:paraId="6BCC75E9">
      <w:pPr>
        <w:widowControl w:val="0"/>
        <w:spacing w:line="400" w:lineRule="exact"/>
        <w:ind w:firstLine="0" w:firstLineChars="0"/>
        <w:jc w:val="center"/>
        <w:rPr>
          <w:color w:val="auto"/>
          <w:highlight w:val="none"/>
        </w:rPr>
      </w:pPr>
    </w:p>
    <w:p w14:paraId="4F8BE2ED">
      <w:pPr>
        <w:widowControl w:val="0"/>
        <w:spacing w:line="400" w:lineRule="exact"/>
        <w:ind w:firstLine="0" w:firstLineChars="0"/>
        <w:jc w:val="center"/>
        <w:rPr>
          <w:color w:val="auto"/>
          <w:highlight w:val="none"/>
        </w:rPr>
      </w:pPr>
    </w:p>
    <w:p w14:paraId="32520FF4">
      <w:pPr>
        <w:widowControl w:val="0"/>
        <w:autoSpaceDE w:val="0"/>
        <w:autoSpaceDN w:val="0"/>
        <w:adjustRightInd w:val="0"/>
        <w:snapToGrid w:val="0"/>
        <w:ind w:firstLine="0" w:firstLineChars="0"/>
        <w:jc w:val="center"/>
        <w:rPr>
          <w:rFonts w:ascii="宋体" w:hAnsi="宋体"/>
          <w:bCs/>
          <w:color w:val="auto"/>
          <w:szCs w:val="21"/>
          <w:highlight w:val="none"/>
        </w:rPr>
      </w:pPr>
    </w:p>
    <w:p w14:paraId="6E37770E">
      <w:pPr>
        <w:widowControl w:val="0"/>
        <w:autoSpaceDE w:val="0"/>
        <w:autoSpaceDN w:val="0"/>
        <w:adjustRightInd w:val="0"/>
        <w:snapToGrid w:val="0"/>
        <w:ind w:firstLine="0" w:firstLineChars="0"/>
        <w:jc w:val="center"/>
        <w:rPr>
          <w:rFonts w:ascii="宋体" w:hAnsi="宋体"/>
          <w:color w:val="auto"/>
          <w:sz w:val="52"/>
          <w:szCs w:val="52"/>
          <w:highlight w:val="none"/>
        </w:rPr>
      </w:pPr>
      <w:r>
        <w:rPr>
          <w:rFonts w:ascii="宋体" w:hAnsi="宋体"/>
          <w:color w:val="auto"/>
          <w:sz w:val="52"/>
          <w:szCs w:val="52"/>
          <w:highlight w:val="none"/>
        </w:rPr>
        <w:br w:type="page"/>
      </w:r>
    </w:p>
    <w:p w14:paraId="3886B364">
      <w:pPr>
        <w:keepNext/>
        <w:keepLines/>
        <w:widowControl w:val="0"/>
        <w:spacing w:before="0" w:after="0" w:line="578" w:lineRule="auto"/>
        <w:jc w:val="left"/>
        <w:outlineLvl w:val="0"/>
        <w:rPr>
          <w:rFonts w:hint="eastAsia" w:ascii="宋体" w:hAnsi="宋体" w:eastAsia="宋体" w:cs="宋体"/>
          <w:b/>
          <w:bCs/>
          <w:kern w:val="0"/>
          <w:sz w:val="30"/>
          <w:szCs w:val="30"/>
          <w:lang w:val="en-US" w:eastAsia="zh-CN" w:bidi="ar-SA"/>
        </w:rPr>
      </w:pPr>
      <w:r>
        <w:rPr>
          <w:rFonts w:hint="eastAsia" w:ascii="宋体" w:hAnsi="宋体" w:eastAsia="宋体" w:cs="宋体"/>
          <w:b/>
          <w:bCs/>
          <w:kern w:val="0"/>
          <w:sz w:val="30"/>
          <w:szCs w:val="30"/>
          <w:lang w:val="en-US" w:eastAsia="zh-CN" w:bidi="ar-SA"/>
        </w:rPr>
        <w:t>附件</w:t>
      </w:r>
    </w:p>
    <w:p w14:paraId="7F876C55">
      <w:pPr>
        <w:keepNext/>
        <w:keepLines/>
        <w:widowControl w:val="0"/>
        <w:spacing w:before="0" w:after="0" w:line="578" w:lineRule="auto"/>
        <w:jc w:val="center"/>
        <w:outlineLvl w:val="0"/>
        <w:rPr>
          <w:rFonts w:hint="eastAsia" w:ascii="宋体" w:hAnsi="宋体" w:eastAsia="宋体" w:cs="宋体"/>
          <w:b/>
          <w:bCs/>
          <w:kern w:val="44"/>
          <w:sz w:val="32"/>
          <w:szCs w:val="32"/>
          <w:lang w:val="en-US" w:eastAsia="zh-CN" w:bidi="ar-SA"/>
        </w:rPr>
      </w:pPr>
      <w:r>
        <w:rPr>
          <w:rFonts w:hint="eastAsia" w:ascii="宋体" w:hAnsi="宋体" w:eastAsia="宋体" w:cs="宋体"/>
          <w:b/>
          <w:bCs/>
          <w:kern w:val="44"/>
          <w:sz w:val="32"/>
          <w:szCs w:val="32"/>
          <w:lang w:val="en-US" w:eastAsia="zh-CN" w:bidi="ar-SA"/>
        </w:rPr>
        <w:t>项目廉政责任书</w:t>
      </w:r>
    </w:p>
    <w:p w14:paraId="4010A104">
      <w:pPr>
        <w:widowControl w:val="0"/>
        <w:spacing w:line="240" w:lineRule="auto"/>
        <w:ind w:firstLine="0" w:firstLineChars="0"/>
        <w:rPr>
          <w:rFonts w:hint="eastAsia" w:ascii="Times New Roman" w:hAnsi="Times New Roman" w:eastAsia="宋体" w:cs="Times New Roman"/>
        </w:rPr>
      </w:pPr>
    </w:p>
    <w:p w14:paraId="4A05B036">
      <w:pPr>
        <w:widowControl w:val="0"/>
        <w:spacing w:line="400" w:lineRule="exact"/>
        <w:ind w:firstLine="480" w:firstLineChars="200"/>
        <w:rPr>
          <w:rFonts w:hint="default" w:ascii="宋体" w:hAnsi="宋体" w:eastAsia="宋体" w:cs="宋体"/>
          <w:sz w:val="24"/>
          <w:u w:val="single"/>
          <w:lang w:val="en-US" w:eastAsia="zh-CN"/>
        </w:rPr>
      </w:pPr>
      <w:r>
        <w:rPr>
          <w:rFonts w:hint="eastAsia" w:ascii="宋体" w:hAnsi="宋体" w:eastAsia="宋体" w:cs="宋体"/>
          <w:sz w:val="24"/>
          <w:szCs w:val="24"/>
          <w:lang w:eastAsia="zh-CN"/>
        </w:rPr>
        <w:t>项目</w:t>
      </w:r>
      <w:r>
        <w:rPr>
          <w:rFonts w:hint="eastAsia" w:ascii="宋体" w:hAnsi="宋体" w:eastAsia="宋体" w:cs="宋体"/>
          <w:sz w:val="24"/>
          <w:szCs w:val="24"/>
        </w:rPr>
        <w:t>名称：</w:t>
      </w:r>
      <w:r>
        <w:rPr>
          <w:rFonts w:hint="eastAsia" w:ascii="宋体" w:hAnsi="宋体" w:eastAsia="宋体" w:cs="宋体"/>
          <w:sz w:val="24"/>
          <w:szCs w:val="24"/>
          <w:lang w:val="en-US" w:eastAsia="zh-CN"/>
        </w:rPr>
        <w:t>______________________________</w:t>
      </w:r>
    </w:p>
    <w:p w14:paraId="510E1CCA">
      <w:pPr>
        <w:widowControl w:val="0"/>
        <w:spacing w:line="40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项目</w:t>
      </w:r>
      <w:r>
        <w:rPr>
          <w:rFonts w:hint="eastAsia" w:ascii="宋体" w:hAnsi="宋体" w:eastAsia="宋体" w:cs="宋体"/>
          <w:sz w:val="24"/>
          <w:szCs w:val="24"/>
        </w:rPr>
        <w:t>地</w:t>
      </w:r>
      <w:r>
        <w:rPr>
          <w:rFonts w:hint="eastAsia" w:ascii="宋体" w:hAnsi="宋体" w:eastAsia="宋体" w:cs="宋体"/>
          <w:sz w:val="24"/>
          <w:szCs w:val="24"/>
          <w:lang w:eastAsia="zh-CN"/>
        </w:rPr>
        <w:t>址</w:t>
      </w:r>
      <w:r>
        <w:rPr>
          <w:rFonts w:hint="eastAsia" w:ascii="宋体" w:hAnsi="宋体" w:eastAsia="宋体" w:cs="宋体"/>
          <w:sz w:val="24"/>
          <w:szCs w:val="24"/>
        </w:rPr>
        <w:t>：</w:t>
      </w:r>
      <w:r>
        <w:rPr>
          <w:rFonts w:hint="eastAsia" w:ascii="宋体" w:hAnsi="宋体" w:eastAsia="宋体" w:cs="宋体"/>
          <w:sz w:val="24"/>
          <w:szCs w:val="24"/>
          <w:lang w:val="en-US" w:eastAsia="zh-CN"/>
        </w:rPr>
        <w:t>______________________________</w:t>
      </w:r>
    </w:p>
    <w:p w14:paraId="07E396D7">
      <w:pPr>
        <w:widowControl w:val="0"/>
        <w:spacing w:line="400" w:lineRule="exact"/>
        <w:ind w:firstLine="450" w:firstLineChars="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甲方</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发包人</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___________________________</w:t>
      </w:r>
    </w:p>
    <w:p w14:paraId="5D13D0FD">
      <w:pPr>
        <w:widowControl w:val="0"/>
        <w:spacing w:line="400" w:lineRule="exact"/>
        <w:ind w:firstLine="450" w:firstLineChars="0"/>
        <w:rPr>
          <w:rFonts w:hint="default" w:ascii="Times New Roman" w:hAnsi="Times New Roman" w:eastAsia="宋体" w:cs="Times New Roman"/>
          <w:sz w:val="24"/>
          <w:u w:val="single"/>
          <w:lang w:val="en-US" w:eastAsia="zh-CN"/>
        </w:rPr>
      </w:pPr>
      <w:r>
        <w:rPr>
          <w:rFonts w:hint="eastAsia" w:ascii="Times New Roman" w:hAnsi="Times New Roman" w:eastAsia="宋体" w:cs="Times New Roman"/>
          <w:sz w:val="24"/>
          <w:lang w:val="en-US" w:eastAsia="zh-CN"/>
        </w:rPr>
        <w:t>乙方</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承包人</w:t>
      </w:r>
      <w:r>
        <w:rPr>
          <w:rFonts w:hint="eastAsia" w:ascii="Times New Roman" w:hAnsi="Times New Roman" w:eastAsia="宋体" w:cs="Times New Roman"/>
          <w:sz w:val="24"/>
        </w:rPr>
        <w:t>）：</w:t>
      </w:r>
      <w:r>
        <w:rPr>
          <w:rFonts w:hint="eastAsia" w:ascii="宋体" w:hAnsi="宋体" w:eastAsia="宋体" w:cs="宋体"/>
          <w:sz w:val="24"/>
          <w:u w:val="single"/>
          <w:lang w:val="en-US" w:eastAsia="zh-CN"/>
        </w:rPr>
        <w:t xml:space="preserve">                         </w:t>
      </w:r>
    </w:p>
    <w:p w14:paraId="65CA3F58">
      <w:pPr>
        <w:widowControl w:val="0"/>
        <w:autoSpaceDE w:val="0"/>
        <w:autoSpaceDN w:val="0"/>
        <w:spacing w:line="400" w:lineRule="exact"/>
        <w:ind w:firstLine="0" w:firstLineChars="0"/>
        <w:rPr>
          <w:rFonts w:hint="eastAsia" w:ascii="Times New Roman" w:hAnsi="Times New Roman" w:eastAsia="宋体" w:cs="Times New Roman"/>
          <w:sz w:val="24"/>
          <w:lang w:val="en-US" w:eastAsia="zh-CN"/>
        </w:rPr>
      </w:pPr>
    </w:p>
    <w:p w14:paraId="06455E8E">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为加强</w:t>
      </w:r>
      <w:r>
        <w:rPr>
          <w:rFonts w:hint="eastAsia" w:ascii="宋体" w:hAnsi="宋体" w:eastAsia="宋体" w:cs="宋体"/>
          <w:sz w:val="21"/>
          <w:szCs w:val="21"/>
          <w:lang w:val="en-US" w:eastAsia="zh-CN"/>
        </w:rPr>
        <w:t>项目</w:t>
      </w:r>
      <w:r>
        <w:rPr>
          <w:rFonts w:hint="eastAsia" w:ascii="宋体" w:hAnsi="宋体" w:eastAsia="宋体" w:cs="宋体"/>
          <w:sz w:val="21"/>
          <w:szCs w:val="21"/>
        </w:rPr>
        <w:t>中的廉政建设，规范项目</w:t>
      </w:r>
      <w:r>
        <w:rPr>
          <w:rFonts w:hint="eastAsia" w:ascii="宋体" w:hAnsi="宋体" w:eastAsia="宋体" w:cs="宋体"/>
          <w:sz w:val="21"/>
          <w:szCs w:val="21"/>
          <w:lang w:val="en-US" w:eastAsia="zh-CN"/>
        </w:rPr>
        <w:t>甲乙</w:t>
      </w:r>
      <w:r>
        <w:rPr>
          <w:rFonts w:hint="eastAsia" w:ascii="宋体" w:hAnsi="宋体" w:eastAsia="宋体" w:cs="宋体"/>
          <w:sz w:val="21"/>
          <w:szCs w:val="21"/>
        </w:rPr>
        <w:t>双方的各项活动，防止发生各种谋取不正当利益的违法违纪行为，保护国家、集体和当事人的合法权益，根据国家有关法律法规和廉政建设责任制规定，特订立本廉政责任书。</w:t>
      </w:r>
    </w:p>
    <w:p w14:paraId="28A71B92">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第一条 甲乙双方的责任</w:t>
      </w:r>
    </w:p>
    <w:p w14:paraId="614B35DE">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（一）应严格遵守国家关于市场准入、项目招标投标等有关法律、法规，相关政策，以及廉政建设的各项规定。</w:t>
      </w:r>
    </w:p>
    <w:p w14:paraId="41F23900">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（二）严格执项目合同文件，自觉按合同办事。</w:t>
      </w:r>
    </w:p>
    <w:p w14:paraId="32260E7F">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（三）业务活动必须坚持公开、公平、公正、诚信、透明的原则（除法律法规另有规定者外），不得为获取不正当的利益，损害国家、集体和对方利益，不得违反</w:t>
      </w:r>
      <w:r>
        <w:rPr>
          <w:rFonts w:hint="eastAsia" w:ascii="宋体" w:hAnsi="宋体" w:eastAsia="宋体" w:cs="宋体"/>
          <w:sz w:val="21"/>
          <w:szCs w:val="21"/>
          <w:lang w:val="en-US" w:eastAsia="zh-CN"/>
        </w:rPr>
        <w:t>相关</w:t>
      </w:r>
      <w:r>
        <w:rPr>
          <w:rFonts w:hint="eastAsia" w:ascii="宋体" w:hAnsi="宋体" w:eastAsia="宋体" w:cs="宋体"/>
          <w:sz w:val="21"/>
          <w:szCs w:val="21"/>
        </w:rPr>
        <w:t>规章制度。</w:t>
      </w:r>
    </w:p>
    <w:p w14:paraId="5D7C261E">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（四）树立监督意识，履行监督责任。发现对方在业务活动中有违规、违纪、违法行为的，应及时提醒对方，情节严重的，应向其上级主管部门或纪检监察、司法等有关机关举报。</w:t>
      </w:r>
    </w:p>
    <w:p w14:paraId="3AEDAA15">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第二条 甲方的责任</w:t>
      </w:r>
    </w:p>
    <w:p w14:paraId="1B4D09DE">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甲方的领导和从事该项目的工作人员，在</w:t>
      </w:r>
      <w:r>
        <w:rPr>
          <w:rFonts w:hint="eastAsia" w:ascii="宋体" w:hAnsi="宋体" w:eastAsia="宋体" w:cs="宋体"/>
          <w:sz w:val="21"/>
          <w:szCs w:val="21"/>
          <w:lang w:val="en-US" w:eastAsia="zh-CN"/>
        </w:rPr>
        <w:t>项目</w:t>
      </w:r>
      <w:r>
        <w:rPr>
          <w:rFonts w:hint="eastAsia" w:ascii="宋体" w:hAnsi="宋体" w:eastAsia="宋体" w:cs="宋体"/>
          <w:sz w:val="21"/>
          <w:szCs w:val="21"/>
        </w:rPr>
        <w:t>的事前、事中、事后应遵守以下规定：</w:t>
      </w:r>
    </w:p>
    <w:p w14:paraId="0FE4410E">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（一）不准向乙方和相关单位索要或接受回扣、礼金、有价证券、贵重物品和好处费、感谢费等。</w:t>
      </w:r>
    </w:p>
    <w:p w14:paraId="53E8B904">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（二）不准在乙方和相关单位报销任何应由甲方或个人支付的费用。</w:t>
      </w:r>
    </w:p>
    <w:p w14:paraId="0EF822A5">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（三）不准要求、暗示和接受乙方和相关单位为个人装修住房、婚丧嫁娶、配偶子女的工作安排以及出国（境）、旅游等提供方便。</w:t>
      </w:r>
    </w:p>
    <w:p w14:paraId="74A50C48">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（四）不准参加有可能影响公正执行公务的乙方和相关单位的宴请和健身、娱乐等活动。</w:t>
      </w:r>
    </w:p>
    <w:p w14:paraId="3EBD864F">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五）不准向乙方介绍或为配偶、子女、亲属参与同甲方项目合同有关的设备、材料、工程分包、劳务等经济活动。不得以任何理由向乙方和相关单位推荐分包单位和要求乙方购买项目合同规定以外的材料、设备等。</w:t>
      </w:r>
    </w:p>
    <w:p w14:paraId="11B2DFA4">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第三条 乙方的责任</w:t>
      </w:r>
    </w:p>
    <w:p w14:paraId="34F3526D">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应与甲方保持正常的业务交往，按照有关法律法规和程序开展业务工作，严格执行</w:t>
      </w:r>
      <w:r>
        <w:rPr>
          <w:rFonts w:hint="eastAsia" w:ascii="宋体" w:hAnsi="宋体" w:eastAsia="宋体" w:cs="宋体"/>
          <w:sz w:val="21"/>
          <w:szCs w:val="21"/>
          <w:lang w:val="en-US" w:eastAsia="zh-CN"/>
        </w:rPr>
        <w:t>相</w:t>
      </w:r>
      <w:r>
        <w:rPr>
          <w:rFonts w:hint="eastAsia" w:ascii="宋体" w:hAnsi="宋体" w:eastAsia="宋体" w:cs="宋体"/>
          <w:sz w:val="21"/>
          <w:szCs w:val="21"/>
        </w:rPr>
        <w:t>关方针、政策，尤其是有关强制性标准和规范，并遵守以下规定：</w:t>
      </w:r>
    </w:p>
    <w:p w14:paraId="00328791">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（一）不准以任何理由向甲方、相关单位及其工作人员索要、接受或赠送礼金、有价证券、贵重物品和回扣、好处费、感谢费等。</w:t>
      </w:r>
    </w:p>
    <w:p w14:paraId="59DE204D">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（二）不准以任何理由为甲方和相关单位报销应由对方或个人支付的费用。</w:t>
      </w:r>
    </w:p>
    <w:p w14:paraId="59B3DCB0">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（三）不准接受或暗示为甲方、相关单位或个人装修住房、婚丧嫁娶、配偶子女的工作安排以及出国（境）、旅游等提供方便。</w:t>
      </w:r>
    </w:p>
    <w:p w14:paraId="3A57904E">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（四）不准以任何理由为甲方、相关单位或个人组织有可能影响公正执行公务的宴请、健身、娱乐等活动。</w:t>
      </w:r>
    </w:p>
    <w:p w14:paraId="25FA0EA5">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第四条 违约责任</w:t>
      </w:r>
    </w:p>
    <w:p w14:paraId="6CE9D12D">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5662C9B3">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7790DD18">
      <w:pPr>
        <w:widowControl w:val="0"/>
        <w:spacing w:after="200" w:line="400" w:lineRule="exact"/>
        <w:ind w:firstLine="450" w:firstLineChars="0"/>
        <w:rPr>
          <w:rFonts w:hint="eastAsia" w:ascii="宋体" w:hAnsi="宋体" w:eastAsia="宋体" w:cs="宋体"/>
          <w:sz w:val="21"/>
          <w:szCs w:val="21"/>
        </w:rPr>
      </w:pPr>
      <w:r>
        <w:rPr>
          <w:rFonts w:hint="eastAsia" w:ascii="宋体" w:hAnsi="宋体" w:eastAsia="宋体" w:cs="宋体"/>
          <w:sz w:val="21"/>
          <w:szCs w:val="21"/>
        </w:rPr>
        <w:t>第五条 本责任书作为合同的附件，与合同具有同等法律效力。经双方签署后立即生效。</w:t>
      </w:r>
    </w:p>
    <w:p w14:paraId="4A58FACD">
      <w:pPr>
        <w:widowControl w:val="0"/>
        <w:spacing w:after="200" w:line="400" w:lineRule="exact"/>
        <w:ind w:firstLine="450" w:firstLineChars="0"/>
        <w:rPr>
          <w:rFonts w:ascii="宋体" w:hAnsi="宋体" w:eastAsia="宋体" w:cs="宋体"/>
          <w:sz w:val="21"/>
          <w:szCs w:val="21"/>
        </w:rPr>
      </w:pPr>
      <w:r>
        <w:rPr>
          <w:rFonts w:hint="eastAsia" w:ascii="宋体" w:hAnsi="宋体" w:eastAsia="宋体" w:cs="宋体"/>
          <w:sz w:val="21"/>
          <w:szCs w:val="21"/>
        </w:rPr>
        <w:t>第六条 本责任书的有效期为双方签署之日起至该项目</w:t>
      </w:r>
      <w:r>
        <w:rPr>
          <w:rFonts w:hint="eastAsia" w:ascii="宋体" w:hAnsi="宋体" w:eastAsia="宋体" w:cs="宋体"/>
          <w:sz w:val="21"/>
          <w:szCs w:val="21"/>
          <w:lang w:val="en-US" w:eastAsia="zh-CN"/>
        </w:rPr>
        <w:t>合同履行结束</w:t>
      </w:r>
      <w:r>
        <w:rPr>
          <w:rFonts w:hint="eastAsia" w:ascii="宋体" w:hAnsi="宋体" w:eastAsia="宋体" w:cs="宋体"/>
          <w:sz w:val="21"/>
          <w:szCs w:val="21"/>
        </w:rPr>
        <w:t>。</w:t>
      </w:r>
    </w:p>
    <w:p w14:paraId="4C8EDBB5">
      <w:pPr>
        <w:widowControl w:val="0"/>
        <w:jc w:val="both"/>
        <w:rPr>
          <w:rFonts w:hint="eastAsia" w:ascii="宋体" w:hAnsi="Times New Roman" w:eastAsia="宋体" w:cs="Times New Roman"/>
          <w:kern w:val="0"/>
          <w:sz w:val="21"/>
          <w:szCs w:val="21"/>
          <w:lang w:val="en-US" w:eastAsia="zh-CN" w:bidi="ar-SA"/>
        </w:rPr>
      </w:pPr>
      <w:r>
        <w:rPr>
          <w:rFonts w:ascii="宋体" w:hAnsi="Times New Roman" w:eastAsia="宋体" w:cs="Times New Roman"/>
          <w:kern w:val="0"/>
          <w:sz w:val="21"/>
          <w:szCs w:val="21"/>
          <w:lang w:val="en-US" w:eastAsia="zh-CN" w:bidi="ar-SA"/>
        </w:rPr>
        <w:br w:type="page"/>
      </w:r>
    </w:p>
    <w:tbl>
      <w:tblPr>
        <w:tblStyle w:val="13"/>
        <w:tblpPr w:leftFromText="180" w:rightFromText="180" w:vertAnchor="text" w:horzAnchor="page" w:tblpX="1513" w:tblpY="1280"/>
        <w:tblOverlap w:val="never"/>
        <w:tblW w:w="8760" w:type="dxa"/>
        <w:tblInd w:w="0" w:type="dxa"/>
        <w:tblLayout w:type="fixed"/>
        <w:tblCellMar>
          <w:top w:w="0" w:type="dxa"/>
          <w:left w:w="108" w:type="dxa"/>
          <w:bottom w:w="0" w:type="dxa"/>
          <w:right w:w="108" w:type="dxa"/>
        </w:tblCellMar>
      </w:tblPr>
      <w:tblGrid>
        <w:gridCol w:w="4387"/>
        <w:gridCol w:w="309"/>
        <w:gridCol w:w="4064"/>
      </w:tblGrid>
      <w:tr w14:paraId="1D812375">
        <w:tblPrEx>
          <w:tblCellMar>
            <w:top w:w="0" w:type="dxa"/>
            <w:left w:w="108" w:type="dxa"/>
            <w:bottom w:w="0" w:type="dxa"/>
            <w:right w:w="108" w:type="dxa"/>
          </w:tblCellMar>
        </w:tblPrEx>
        <w:trPr>
          <w:trHeight w:val="90" w:hRule="atLeast"/>
        </w:trPr>
        <w:tc>
          <w:tcPr>
            <w:tcW w:w="4387" w:type="dxa"/>
            <w:noWrap w:val="0"/>
            <w:vAlign w:val="top"/>
          </w:tcPr>
          <w:p w14:paraId="40089C4F">
            <w:pPr>
              <w:widowControl w:val="0"/>
              <w:spacing w:before="156" w:beforeLines="50" w:line="400" w:lineRule="exact"/>
              <w:ind w:firstLine="0" w:firstLineChars="0"/>
              <w:rPr>
                <w:rFonts w:hint="eastAsia" w:ascii="宋体" w:hAnsi="宋体" w:eastAsia="宋体" w:cs="宋体"/>
                <w:sz w:val="21"/>
                <w:szCs w:val="21"/>
              </w:rPr>
            </w:pPr>
            <w:r>
              <w:rPr>
                <w:rFonts w:hint="eastAsia" w:ascii="宋体" w:hAnsi="宋体" w:eastAsia="宋体" w:cs="宋体"/>
                <w:sz w:val="21"/>
                <w:szCs w:val="21"/>
                <w:lang w:val="en-US" w:eastAsia="zh-CN"/>
              </w:rPr>
              <w:t>甲方</w:t>
            </w:r>
            <w:r>
              <w:rPr>
                <w:rFonts w:hint="eastAsia" w:ascii="宋体" w:hAnsi="宋体" w:eastAsia="宋体" w:cs="宋体"/>
                <w:sz w:val="21"/>
                <w:szCs w:val="21"/>
              </w:rPr>
              <w:t>：（盖章）</w:t>
            </w:r>
          </w:p>
          <w:p w14:paraId="28A7CECC">
            <w:pPr>
              <w:widowControl w:val="0"/>
              <w:spacing w:before="156" w:beforeLines="50" w:line="400" w:lineRule="exact"/>
              <w:ind w:firstLine="0" w:firstLineChars="0"/>
              <w:rPr>
                <w:rFonts w:ascii="宋体" w:hAnsi="宋体" w:eastAsia="宋体" w:cs="宋体"/>
                <w:sz w:val="21"/>
                <w:szCs w:val="21"/>
              </w:rPr>
            </w:pPr>
          </w:p>
        </w:tc>
        <w:tc>
          <w:tcPr>
            <w:tcW w:w="309" w:type="dxa"/>
            <w:noWrap w:val="0"/>
            <w:vAlign w:val="top"/>
          </w:tcPr>
          <w:p w14:paraId="0A7089FF">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776A8060">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sz w:val="21"/>
                <w:szCs w:val="21"/>
                <w:lang w:val="en-US" w:eastAsia="zh-CN"/>
              </w:rPr>
              <w:t>乙方</w:t>
            </w:r>
            <w:r>
              <w:rPr>
                <w:rFonts w:hint="eastAsia" w:ascii="宋体" w:hAnsi="宋体" w:eastAsia="宋体" w:cs="宋体"/>
                <w:sz w:val="21"/>
                <w:szCs w:val="21"/>
              </w:rPr>
              <w:t>：（盖章）</w:t>
            </w:r>
          </w:p>
          <w:p w14:paraId="473DC91B">
            <w:pPr>
              <w:widowControl w:val="0"/>
              <w:spacing w:before="156" w:beforeLines="50" w:line="400" w:lineRule="exact"/>
              <w:ind w:firstLine="0" w:firstLineChars="0"/>
              <w:rPr>
                <w:rFonts w:ascii="宋体" w:hAnsi="宋体" w:eastAsia="宋体" w:cs="宋体"/>
                <w:sz w:val="21"/>
                <w:szCs w:val="21"/>
              </w:rPr>
            </w:pPr>
          </w:p>
        </w:tc>
      </w:tr>
      <w:tr w14:paraId="75476240">
        <w:tblPrEx>
          <w:tblCellMar>
            <w:top w:w="0" w:type="dxa"/>
            <w:left w:w="108" w:type="dxa"/>
            <w:bottom w:w="0" w:type="dxa"/>
            <w:right w:w="108" w:type="dxa"/>
          </w:tblCellMar>
        </w:tblPrEx>
        <w:trPr>
          <w:trHeight w:val="629" w:hRule="atLeast"/>
        </w:trPr>
        <w:tc>
          <w:tcPr>
            <w:tcW w:w="4387" w:type="dxa"/>
            <w:noWrap w:val="0"/>
            <w:vAlign w:val="top"/>
          </w:tcPr>
          <w:p w14:paraId="722A78CB">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sz w:val="21"/>
                <w:szCs w:val="21"/>
              </w:rPr>
              <w:t>：（签字）</w:t>
            </w:r>
          </w:p>
        </w:tc>
        <w:tc>
          <w:tcPr>
            <w:tcW w:w="309" w:type="dxa"/>
            <w:noWrap w:val="0"/>
            <w:vAlign w:val="top"/>
          </w:tcPr>
          <w:p w14:paraId="07AC8BEB">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4F71DCA3">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sz w:val="21"/>
                <w:szCs w:val="21"/>
              </w:rPr>
              <w:t>：</w:t>
            </w:r>
          </w:p>
        </w:tc>
      </w:tr>
      <w:tr w14:paraId="074C25A5">
        <w:tblPrEx>
          <w:tblCellMar>
            <w:top w:w="0" w:type="dxa"/>
            <w:left w:w="108" w:type="dxa"/>
            <w:bottom w:w="0" w:type="dxa"/>
            <w:right w:w="108" w:type="dxa"/>
          </w:tblCellMar>
        </w:tblPrEx>
        <w:trPr>
          <w:trHeight w:val="629" w:hRule="atLeast"/>
        </w:trPr>
        <w:tc>
          <w:tcPr>
            <w:tcW w:w="4387" w:type="dxa"/>
            <w:noWrap w:val="0"/>
            <w:vAlign w:val="top"/>
          </w:tcPr>
          <w:p w14:paraId="2633CFFE">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color w:val="000000"/>
                <w:sz w:val="21"/>
                <w:szCs w:val="21"/>
              </w:rPr>
              <w:t>组织机构代码</w:t>
            </w:r>
            <w:r>
              <w:rPr>
                <w:rFonts w:hint="eastAsia" w:ascii="宋体" w:hAnsi="宋体" w:eastAsia="宋体" w:cs="宋体"/>
                <w:sz w:val="21"/>
                <w:szCs w:val="21"/>
              </w:rPr>
              <w:t>：</w:t>
            </w:r>
          </w:p>
        </w:tc>
        <w:tc>
          <w:tcPr>
            <w:tcW w:w="309" w:type="dxa"/>
            <w:noWrap w:val="0"/>
            <w:vAlign w:val="top"/>
          </w:tcPr>
          <w:p w14:paraId="1B249863">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28C4811E">
            <w:pPr>
              <w:widowControl w:val="0"/>
              <w:spacing w:before="156" w:beforeLines="50" w:line="400" w:lineRule="exact"/>
              <w:ind w:firstLine="0" w:firstLineChars="0"/>
              <w:rPr>
                <w:rFonts w:hint="eastAsia" w:ascii="宋体" w:hAnsi="宋体" w:eastAsia="宋体" w:cs="宋体"/>
                <w:sz w:val="21"/>
                <w:szCs w:val="21"/>
                <w:u w:val="none"/>
                <w:lang w:eastAsia="zh-CN"/>
              </w:rPr>
            </w:pPr>
            <w:r>
              <w:rPr>
                <w:rFonts w:hint="eastAsia" w:ascii="宋体" w:hAnsi="宋体" w:eastAsia="宋体" w:cs="宋体"/>
                <w:sz w:val="21"/>
                <w:szCs w:val="21"/>
                <w:u w:val="none"/>
              </w:rPr>
              <w:t>组织机构代码：</w:t>
            </w:r>
            <w:r>
              <w:rPr>
                <w:rFonts w:hint="eastAsia" w:ascii="宋体" w:hAnsi="宋体" w:eastAsia="宋体" w:cs="宋体"/>
                <w:sz w:val="21"/>
                <w:szCs w:val="21"/>
                <w:u w:val="none"/>
                <w:lang w:val="en-US" w:eastAsia="zh-CN"/>
              </w:rPr>
              <w:t xml:space="preserve"> </w:t>
            </w:r>
          </w:p>
        </w:tc>
      </w:tr>
      <w:tr w14:paraId="1EDF0C8B">
        <w:tblPrEx>
          <w:tblCellMar>
            <w:top w:w="0" w:type="dxa"/>
            <w:left w:w="108" w:type="dxa"/>
            <w:bottom w:w="0" w:type="dxa"/>
            <w:right w:w="108" w:type="dxa"/>
          </w:tblCellMar>
        </w:tblPrEx>
        <w:trPr>
          <w:trHeight w:val="629" w:hRule="atLeast"/>
        </w:trPr>
        <w:tc>
          <w:tcPr>
            <w:tcW w:w="4387" w:type="dxa"/>
            <w:noWrap w:val="0"/>
            <w:vAlign w:val="top"/>
          </w:tcPr>
          <w:p w14:paraId="7980FC73">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color w:val="000000"/>
                <w:sz w:val="21"/>
                <w:szCs w:val="21"/>
              </w:rPr>
              <w:t>地  址</w:t>
            </w:r>
            <w:r>
              <w:rPr>
                <w:rFonts w:hint="eastAsia" w:ascii="宋体" w:hAnsi="宋体" w:eastAsia="宋体" w:cs="宋体"/>
                <w:sz w:val="21"/>
                <w:szCs w:val="21"/>
              </w:rPr>
              <w:t>：</w:t>
            </w:r>
            <w:r>
              <w:rPr>
                <w:rFonts w:ascii="宋体" w:hAnsi="宋体" w:eastAsia="宋体" w:cs="宋体"/>
                <w:sz w:val="21"/>
                <w:szCs w:val="21"/>
              </w:rPr>
              <w:t xml:space="preserve"> </w:t>
            </w:r>
          </w:p>
        </w:tc>
        <w:tc>
          <w:tcPr>
            <w:tcW w:w="309" w:type="dxa"/>
            <w:noWrap w:val="0"/>
            <w:vAlign w:val="top"/>
          </w:tcPr>
          <w:p w14:paraId="4107BEDF">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09191FC0">
            <w:pPr>
              <w:widowControl w:val="0"/>
              <w:spacing w:before="156" w:beforeLines="50" w:line="400" w:lineRule="exact"/>
              <w:ind w:firstLine="0" w:firstLineChars="0"/>
              <w:rPr>
                <w:rFonts w:hint="eastAsia" w:ascii="宋体" w:hAnsi="宋体" w:eastAsia="宋体" w:cs="宋体"/>
                <w:sz w:val="21"/>
                <w:szCs w:val="21"/>
                <w:u w:val="none"/>
              </w:rPr>
            </w:pPr>
            <w:r>
              <w:rPr>
                <w:rFonts w:hint="eastAsia" w:ascii="宋体" w:hAnsi="宋体" w:eastAsia="宋体" w:cs="宋体"/>
                <w:sz w:val="21"/>
                <w:szCs w:val="21"/>
                <w:u w:val="none"/>
              </w:rPr>
              <w:t>地  址：</w:t>
            </w:r>
            <w:r>
              <w:rPr>
                <w:rFonts w:hint="eastAsia" w:ascii="宋体" w:hAnsi="宋体" w:eastAsia="宋体" w:cs="宋体"/>
                <w:sz w:val="21"/>
                <w:szCs w:val="21"/>
                <w:u w:val="none"/>
                <w:lang w:val="en-US" w:eastAsia="zh-CN"/>
              </w:rPr>
              <w:t xml:space="preserve"> </w:t>
            </w:r>
          </w:p>
        </w:tc>
      </w:tr>
      <w:tr w14:paraId="50DBB345">
        <w:tblPrEx>
          <w:tblCellMar>
            <w:top w:w="0" w:type="dxa"/>
            <w:left w:w="108" w:type="dxa"/>
            <w:bottom w:w="0" w:type="dxa"/>
            <w:right w:w="108" w:type="dxa"/>
          </w:tblCellMar>
        </w:tblPrEx>
        <w:trPr>
          <w:trHeight w:val="537" w:hRule="atLeast"/>
        </w:trPr>
        <w:tc>
          <w:tcPr>
            <w:tcW w:w="4387" w:type="dxa"/>
            <w:noWrap w:val="0"/>
            <w:vAlign w:val="top"/>
          </w:tcPr>
          <w:p w14:paraId="258036CE">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sz w:val="21"/>
                <w:szCs w:val="21"/>
              </w:rPr>
              <w:t>法定代表人：</w:t>
            </w:r>
          </w:p>
        </w:tc>
        <w:tc>
          <w:tcPr>
            <w:tcW w:w="309" w:type="dxa"/>
            <w:noWrap w:val="0"/>
            <w:vAlign w:val="top"/>
          </w:tcPr>
          <w:p w14:paraId="660147D6">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149CF2A6">
            <w:pPr>
              <w:widowControl w:val="0"/>
              <w:spacing w:before="156" w:beforeLines="50" w:line="400" w:lineRule="exact"/>
              <w:ind w:firstLine="0" w:firstLineChars="0"/>
              <w:rPr>
                <w:rFonts w:hint="eastAsia" w:ascii="宋体" w:hAnsi="宋体" w:eastAsia="宋体" w:cs="宋体"/>
                <w:sz w:val="21"/>
                <w:szCs w:val="21"/>
                <w:u w:val="none"/>
              </w:rPr>
            </w:pPr>
            <w:r>
              <w:rPr>
                <w:rFonts w:hint="eastAsia" w:ascii="宋体" w:hAnsi="宋体" w:eastAsia="宋体" w:cs="宋体"/>
                <w:sz w:val="21"/>
                <w:szCs w:val="21"/>
                <w:u w:val="none"/>
              </w:rPr>
              <w:t>法定代表人：</w:t>
            </w:r>
          </w:p>
        </w:tc>
      </w:tr>
      <w:tr w14:paraId="5AB06BB9">
        <w:tblPrEx>
          <w:tblCellMar>
            <w:top w:w="0" w:type="dxa"/>
            <w:left w:w="108" w:type="dxa"/>
            <w:bottom w:w="0" w:type="dxa"/>
            <w:right w:w="108" w:type="dxa"/>
          </w:tblCellMar>
        </w:tblPrEx>
        <w:trPr>
          <w:trHeight w:val="537" w:hRule="atLeast"/>
        </w:trPr>
        <w:tc>
          <w:tcPr>
            <w:tcW w:w="4387" w:type="dxa"/>
            <w:noWrap w:val="0"/>
            <w:vAlign w:val="top"/>
          </w:tcPr>
          <w:p w14:paraId="23CB7901">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sz w:val="21"/>
                <w:szCs w:val="21"/>
              </w:rPr>
              <w:t>委托代理人：</w:t>
            </w:r>
          </w:p>
        </w:tc>
        <w:tc>
          <w:tcPr>
            <w:tcW w:w="309" w:type="dxa"/>
            <w:noWrap w:val="0"/>
            <w:vAlign w:val="top"/>
          </w:tcPr>
          <w:p w14:paraId="6B50B7DC">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3938FE4A">
            <w:pPr>
              <w:widowControl w:val="0"/>
              <w:spacing w:before="156" w:beforeLines="50" w:line="400" w:lineRule="exact"/>
              <w:ind w:firstLine="0" w:firstLineChars="0"/>
              <w:rPr>
                <w:rFonts w:hint="eastAsia" w:ascii="宋体" w:hAnsi="宋体" w:eastAsia="宋体" w:cs="宋体"/>
                <w:sz w:val="21"/>
                <w:szCs w:val="21"/>
                <w:u w:val="none"/>
              </w:rPr>
            </w:pPr>
            <w:r>
              <w:rPr>
                <w:rFonts w:hint="eastAsia" w:ascii="宋体" w:hAnsi="宋体" w:eastAsia="宋体" w:cs="宋体"/>
                <w:sz w:val="21"/>
                <w:szCs w:val="21"/>
                <w:u w:val="none"/>
              </w:rPr>
              <w:t>委托代理人：</w:t>
            </w:r>
          </w:p>
        </w:tc>
      </w:tr>
      <w:tr w14:paraId="63A92601">
        <w:tblPrEx>
          <w:tblCellMar>
            <w:top w:w="0" w:type="dxa"/>
            <w:left w:w="108" w:type="dxa"/>
            <w:bottom w:w="0" w:type="dxa"/>
            <w:right w:w="108" w:type="dxa"/>
          </w:tblCellMar>
        </w:tblPrEx>
        <w:trPr>
          <w:trHeight w:val="596" w:hRule="atLeast"/>
        </w:trPr>
        <w:tc>
          <w:tcPr>
            <w:tcW w:w="4387" w:type="dxa"/>
            <w:noWrap w:val="0"/>
            <w:vAlign w:val="top"/>
          </w:tcPr>
          <w:p w14:paraId="2B8DFDB4">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sz w:val="21"/>
                <w:szCs w:val="21"/>
              </w:rPr>
              <w:t>电    话：</w:t>
            </w:r>
          </w:p>
        </w:tc>
        <w:tc>
          <w:tcPr>
            <w:tcW w:w="309" w:type="dxa"/>
            <w:noWrap w:val="0"/>
            <w:vAlign w:val="top"/>
          </w:tcPr>
          <w:p w14:paraId="6AB8F00B">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79BFD1AB">
            <w:pPr>
              <w:widowControl w:val="0"/>
              <w:spacing w:before="156" w:beforeLines="50" w:line="400" w:lineRule="exact"/>
              <w:ind w:firstLine="0" w:firstLineChars="0"/>
              <w:rPr>
                <w:rFonts w:hint="default" w:ascii="宋体" w:hAnsi="宋体" w:eastAsia="宋体" w:cs="宋体"/>
                <w:sz w:val="21"/>
                <w:szCs w:val="21"/>
                <w:u w:val="none"/>
                <w:lang w:val="en-US" w:eastAsia="zh-CN"/>
              </w:rPr>
            </w:pPr>
            <w:r>
              <w:rPr>
                <w:rFonts w:hint="eastAsia" w:ascii="宋体" w:hAnsi="宋体" w:eastAsia="宋体" w:cs="宋体"/>
                <w:sz w:val="21"/>
                <w:szCs w:val="21"/>
                <w:u w:val="none"/>
              </w:rPr>
              <w:t>电    话：</w:t>
            </w:r>
            <w:r>
              <w:rPr>
                <w:rFonts w:hint="eastAsia" w:ascii="宋体" w:hAnsi="宋体" w:eastAsia="宋体" w:cs="宋体"/>
                <w:sz w:val="21"/>
                <w:szCs w:val="21"/>
                <w:u w:val="none"/>
                <w:lang w:val="en-US" w:eastAsia="zh-CN"/>
              </w:rPr>
              <w:t xml:space="preserve"> </w:t>
            </w:r>
          </w:p>
        </w:tc>
      </w:tr>
      <w:tr w14:paraId="69279C90">
        <w:tblPrEx>
          <w:tblCellMar>
            <w:top w:w="0" w:type="dxa"/>
            <w:left w:w="108" w:type="dxa"/>
            <w:bottom w:w="0" w:type="dxa"/>
            <w:right w:w="108" w:type="dxa"/>
          </w:tblCellMar>
        </w:tblPrEx>
        <w:trPr>
          <w:trHeight w:val="596" w:hRule="atLeast"/>
        </w:trPr>
        <w:tc>
          <w:tcPr>
            <w:tcW w:w="4387" w:type="dxa"/>
            <w:noWrap w:val="0"/>
            <w:vAlign w:val="top"/>
          </w:tcPr>
          <w:p w14:paraId="0B775B6F">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sz w:val="21"/>
                <w:szCs w:val="21"/>
              </w:rPr>
              <w:t>传    真：</w:t>
            </w:r>
          </w:p>
        </w:tc>
        <w:tc>
          <w:tcPr>
            <w:tcW w:w="309" w:type="dxa"/>
            <w:noWrap w:val="0"/>
            <w:vAlign w:val="top"/>
          </w:tcPr>
          <w:p w14:paraId="1654E732">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713DCB91">
            <w:pPr>
              <w:widowControl w:val="0"/>
              <w:spacing w:before="156" w:beforeLines="50" w:line="400" w:lineRule="exact"/>
              <w:ind w:firstLine="0" w:firstLineChars="0"/>
              <w:rPr>
                <w:rFonts w:hint="eastAsia" w:ascii="宋体" w:hAnsi="宋体" w:eastAsia="宋体" w:cs="宋体"/>
                <w:sz w:val="21"/>
                <w:szCs w:val="21"/>
                <w:u w:val="none"/>
              </w:rPr>
            </w:pPr>
            <w:r>
              <w:rPr>
                <w:rFonts w:hint="eastAsia" w:ascii="宋体" w:hAnsi="宋体" w:eastAsia="宋体" w:cs="宋体"/>
                <w:sz w:val="21"/>
                <w:szCs w:val="21"/>
                <w:u w:val="none"/>
              </w:rPr>
              <w:t>传    真：</w:t>
            </w:r>
          </w:p>
        </w:tc>
      </w:tr>
      <w:tr w14:paraId="508A6B1E">
        <w:tblPrEx>
          <w:tblCellMar>
            <w:top w:w="0" w:type="dxa"/>
            <w:left w:w="108" w:type="dxa"/>
            <w:bottom w:w="0" w:type="dxa"/>
            <w:right w:w="108" w:type="dxa"/>
          </w:tblCellMar>
        </w:tblPrEx>
        <w:trPr>
          <w:trHeight w:val="574" w:hRule="atLeast"/>
        </w:trPr>
        <w:tc>
          <w:tcPr>
            <w:tcW w:w="4387" w:type="dxa"/>
            <w:noWrap w:val="0"/>
            <w:vAlign w:val="top"/>
          </w:tcPr>
          <w:p w14:paraId="429BE4EB">
            <w:pPr>
              <w:widowControl w:val="0"/>
              <w:spacing w:before="156" w:beforeLines="50" w:line="400" w:lineRule="exact"/>
              <w:ind w:firstLine="0" w:firstLineChars="0"/>
              <w:rPr>
                <w:rFonts w:ascii="宋体" w:hAnsi="宋体" w:eastAsia="宋体" w:cs="宋体"/>
                <w:sz w:val="21"/>
                <w:szCs w:val="21"/>
              </w:rPr>
            </w:pPr>
            <w:r>
              <w:rPr>
                <w:rFonts w:hint="eastAsia" w:ascii="宋体" w:hAnsi="宋体" w:eastAsia="宋体" w:cs="宋体"/>
                <w:sz w:val="21"/>
                <w:szCs w:val="21"/>
              </w:rPr>
              <w:t>电子信</w:t>
            </w:r>
            <w:r>
              <w:rPr>
                <w:rFonts w:hint="eastAsia" w:ascii="宋体" w:hAnsi="宋体" w:eastAsia="宋体" w:cs="宋体"/>
                <w:sz w:val="21"/>
                <w:szCs w:val="21"/>
                <w:u w:val="none"/>
              </w:rPr>
              <w:t>箱：</w:t>
            </w:r>
          </w:p>
        </w:tc>
        <w:tc>
          <w:tcPr>
            <w:tcW w:w="309" w:type="dxa"/>
            <w:noWrap w:val="0"/>
            <w:vAlign w:val="top"/>
          </w:tcPr>
          <w:p w14:paraId="02CC1F66">
            <w:pPr>
              <w:widowControl w:val="0"/>
              <w:spacing w:before="156" w:beforeLines="50" w:line="400" w:lineRule="exact"/>
              <w:ind w:firstLine="0" w:firstLineChars="0"/>
              <w:rPr>
                <w:rFonts w:ascii="宋体" w:hAnsi="宋体" w:eastAsia="宋体" w:cs="宋体"/>
                <w:sz w:val="21"/>
                <w:szCs w:val="21"/>
              </w:rPr>
            </w:pPr>
          </w:p>
        </w:tc>
        <w:tc>
          <w:tcPr>
            <w:tcW w:w="4064" w:type="dxa"/>
            <w:noWrap w:val="0"/>
            <w:vAlign w:val="top"/>
          </w:tcPr>
          <w:p w14:paraId="5F979FF4">
            <w:pPr>
              <w:widowControl w:val="0"/>
              <w:spacing w:before="156" w:beforeLines="50" w:line="400" w:lineRule="exact"/>
              <w:ind w:firstLine="0" w:firstLineChars="0"/>
              <w:rPr>
                <w:rFonts w:hint="default" w:ascii="宋体" w:hAnsi="宋体" w:eastAsia="宋体" w:cs="宋体"/>
                <w:sz w:val="21"/>
                <w:szCs w:val="21"/>
                <w:u w:val="none"/>
                <w:lang w:val="en-US" w:eastAsia="zh-CN"/>
              </w:rPr>
            </w:pPr>
            <w:r>
              <w:rPr>
                <w:rFonts w:hint="eastAsia" w:ascii="宋体" w:hAnsi="宋体" w:eastAsia="宋体" w:cs="宋体"/>
                <w:sz w:val="21"/>
                <w:szCs w:val="21"/>
                <w:u w:val="none"/>
              </w:rPr>
              <w:t>电子信箱：</w:t>
            </w:r>
            <w:r>
              <w:rPr>
                <w:rFonts w:hint="eastAsia" w:ascii="宋体" w:hAnsi="宋体" w:eastAsia="宋体" w:cs="宋体"/>
                <w:sz w:val="21"/>
                <w:szCs w:val="21"/>
                <w:u w:val="none"/>
                <w:lang w:val="en-US" w:eastAsia="zh-CN"/>
              </w:rPr>
              <w:t xml:space="preserve"> </w:t>
            </w:r>
          </w:p>
        </w:tc>
      </w:tr>
    </w:tbl>
    <w:p w14:paraId="715BE7A5">
      <w:pPr>
        <w:widowControl w:val="0"/>
        <w:spacing w:line="240" w:lineRule="auto"/>
        <w:ind w:firstLine="0" w:firstLineChars="0"/>
        <w:rPr>
          <w:rFonts w:ascii="Times New Roman" w:hAnsi="Times New Roman" w:eastAsia="宋体" w:cs="Times New Roman"/>
        </w:rPr>
      </w:pPr>
    </w:p>
    <w:p w14:paraId="1F9F5CB3">
      <w:pPr>
        <w:jc w:val="center"/>
        <w:rPr>
          <w:rFonts w:hint="eastAsia" w:ascii="宋体" w:hAnsi="宋体" w:eastAsia="宋体"/>
          <w:sz w:val="24"/>
          <w:szCs w:val="24"/>
        </w:rPr>
      </w:pPr>
      <w:r>
        <w:rPr>
          <w:rFonts w:hint="eastAsia" w:ascii="宋体" w:hAnsi="宋体"/>
          <w:bCs w:val="0"/>
          <w:color w:val="auto"/>
          <w:sz w:val="52"/>
          <w:szCs w:val="52"/>
          <w:highlight w:val="none"/>
        </w:rPr>
        <w:br w:type="page"/>
      </w:r>
    </w:p>
    <w:p w14:paraId="2C680FDF">
      <w:pPr>
        <w:pStyle w:val="3"/>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第五章 项目采购需求</w:t>
      </w:r>
    </w:p>
    <w:p w14:paraId="23E7C7C7">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14:paraId="621417F9">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lang w:val="en-US" w:eastAsia="zh-CN"/>
        </w:rPr>
        <w:t>深圳市深燃清洁能源有限公司参加了科技部的国家重点研发计划“燃料电池与涡轮混合循环发电系统技术”科研项目，依据签署的任务书要求，拟在求雨岭储备库建设“燃料电池-涡轮混合循环发电系统演示示范验证装置”，现开展工程施工招标工作。该项目由甲方提供试制设备一套，包含燃料电池模块、涡轮模块、氮氢瓶组、中控设备、水和天然气净化设备、以及缓冲连接模块等，上述模块均已撬装化，整体占地面积不超过80m</w:t>
      </w:r>
      <w:r>
        <w:rPr>
          <w:rFonts w:hint="eastAsia" w:ascii="宋体" w:hAnsi="宋体" w:eastAsia="宋体"/>
          <w:szCs w:val="21"/>
          <w:vertAlign w:val="superscript"/>
          <w:lang w:val="en-US" w:eastAsia="zh-CN"/>
        </w:rPr>
        <w:t>2</w:t>
      </w:r>
      <w:r>
        <w:rPr>
          <w:rFonts w:hint="eastAsia" w:ascii="宋体" w:hAnsi="宋体" w:eastAsia="宋体"/>
          <w:szCs w:val="21"/>
          <w:lang w:val="en-US" w:eastAsia="zh-CN"/>
        </w:rPr>
        <w:t>。其中燃料电池功率为120kW，涡轮功率为60kW，由求雨岭储备库提供中压燃气供燃料电池-涡轮使用，燃料电池-涡轮发电后并网给园区工业设备使用。服务地点：深圳市。合同期：30天。</w:t>
      </w:r>
    </w:p>
    <w:p w14:paraId="36CCA01E">
      <w:pPr>
        <w:tabs>
          <w:tab w:val="left" w:pos="7560"/>
        </w:tabs>
        <w:adjustRightInd w:val="0"/>
        <w:snapToGrid w:val="0"/>
        <w:spacing w:line="360" w:lineRule="auto"/>
        <w:ind w:firstLine="422" w:firstLineChars="200"/>
        <w:contextualSpacing/>
        <w:rPr>
          <w:rFonts w:hint="eastAsia" w:ascii="宋体" w:hAnsi="宋体" w:eastAsia="宋体"/>
          <w:b/>
          <w:color w:val="auto"/>
          <w:szCs w:val="21"/>
        </w:rPr>
      </w:pPr>
      <w:r>
        <w:rPr>
          <w:rFonts w:ascii="宋体" w:hAnsi="宋体" w:eastAsia="宋体"/>
          <w:b/>
          <w:color w:val="auto"/>
          <w:szCs w:val="21"/>
        </w:rPr>
        <w:t>二、</w:t>
      </w:r>
      <w:r>
        <w:rPr>
          <w:rFonts w:hint="eastAsia" w:ascii="宋体" w:hAnsi="宋体" w:eastAsia="宋体"/>
          <w:b/>
          <w:color w:val="auto"/>
          <w:szCs w:val="21"/>
        </w:rPr>
        <w:t>服务成果</w:t>
      </w:r>
    </w:p>
    <w:p w14:paraId="3A6CE58F">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eastAsia="宋体"/>
          <w:szCs w:val="21"/>
          <w:lang w:val="en-US" w:eastAsia="zh-CN"/>
        </w:rPr>
        <w:t>详见图纸和工程量清单（附件），完成相应施工工作。</w:t>
      </w:r>
    </w:p>
    <w:p w14:paraId="5B6A9C05">
      <w:pPr>
        <w:tabs>
          <w:tab w:val="left" w:pos="7560"/>
        </w:tabs>
        <w:adjustRightInd w:val="0"/>
        <w:snapToGrid w:val="0"/>
        <w:spacing w:line="360" w:lineRule="auto"/>
        <w:ind w:firstLine="422" w:firstLineChars="200"/>
        <w:contextualSpacing/>
        <w:rPr>
          <w:rFonts w:hint="eastAsia" w:ascii="宋体" w:hAnsi="宋体" w:eastAsia="宋体"/>
          <w:b/>
          <w:szCs w:val="21"/>
          <w:lang w:val="en-US" w:eastAsia="zh-CN"/>
        </w:rPr>
      </w:pPr>
      <w:r>
        <w:rPr>
          <w:rFonts w:ascii="宋体" w:hAnsi="宋体" w:eastAsia="宋体"/>
          <w:b/>
          <w:szCs w:val="21"/>
        </w:rPr>
        <w:t>三、性能指标</w:t>
      </w:r>
      <w:r>
        <w:rPr>
          <w:rFonts w:hint="eastAsia" w:ascii="宋体" w:hAnsi="宋体" w:eastAsia="宋体"/>
          <w:b/>
          <w:szCs w:val="21"/>
        </w:rPr>
        <w:t>或</w:t>
      </w:r>
      <w:r>
        <w:rPr>
          <w:rFonts w:hint="eastAsia" w:ascii="宋体" w:hAnsi="宋体" w:eastAsia="宋体"/>
          <w:b/>
          <w:szCs w:val="21"/>
          <w:lang w:val="en-US" w:eastAsia="zh-CN"/>
        </w:rPr>
        <w:t>服务</w:t>
      </w:r>
      <w:r>
        <w:rPr>
          <w:rFonts w:hint="eastAsia" w:ascii="宋体" w:hAnsi="宋体" w:eastAsia="宋体"/>
          <w:b/>
          <w:szCs w:val="21"/>
        </w:rPr>
        <w:t>标准</w:t>
      </w:r>
      <w:r>
        <w:rPr>
          <w:rFonts w:hint="eastAsia" w:ascii="宋体" w:hAnsi="宋体" w:eastAsia="宋体"/>
          <w:b/>
          <w:szCs w:val="21"/>
          <w:lang w:val="en-US" w:eastAsia="zh-CN"/>
        </w:rPr>
        <w:t>或验收标准</w:t>
      </w:r>
    </w:p>
    <w:p w14:paraId="7565B362">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验收参考的标准：</w:t>
      </w:r>
    </w:p>
    <w:p w14:paraId="0ADE796F">
      <w:pPr>
        <w:adjustRightInd w:val="0"/>
        <w:snapToGrid w:val="0"/>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GB/T 51455-2023《城镇燃气输配工程施工及验收标准》</w:t>
      </w:r>
    </w:p>
    <w:p w14:paraId="26142741">
      <w:pPr>
        <w:adjustRightInd w:val="0"/>
        <w:snapToGrid w:val="0"/>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GB 50236-2011《现场设备、工业管道焊接工程施工规范》</w:t>
      </w:r>
    </w:p>
    <w:p w14:paraId="2415A803">
      <w:pPr>
        <w:adjustRightInd w:val="0"/>
        <w:snapToGrid w:val="0"/>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GB 50683-2011《现场设备、工业管道焊接工程施工质量验收规范》</w:t>
      </w:r>
    </w:p>
    <w:p w14:paraId="0F3F8263">
      <w:pPr>
        <w:adjustRightInd w:val="0"/>
        <w:snapToGrid w:val="0"/>
        <w:spacing w:line="360" w:lineRule="auto"/>
        <w:ind w:firstLine="420" w:firstLineChars="200"/>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GB 50235-2010《工业金属管道工程施工规范》</w:t>
      </w:r>
    </w:p>
    <w:p w14:paraId="0F41AB85">
      <w:pPr>
        <w:adjustRightInd w:val="0"/>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参考标准，工程验收合格。</w:t>
      </w:r>
    </w:p>
    <w:p w14:paraId="0CC9D4A8">
      <w:pPr>
        <w:numPr>
          <w:ilvl w:val="0"/>
          <w:numId w:val="6"/>
        </w:numPr>
        <w:tabs>
          <w:tab w:val="left" w:pos="7560"/>
        </w:tabs>
        <w:adjustRightInd w:val="0"/>
        <w:snapToGrid w:val="0"/>
        <w:spacing w:line="360" w:lineRule="auto"/>
        <w:ind w:firstLine="422" w:firstLineChars="200"/>
        <w:contextualSpacing/>
        <w:rPr>
          <w:rFonts w:hint="eastAsia" w:ascii="宋体" w:hAnsi="宋体" w:eastAsia="宋体"/>
          <w:b/>
          <w:szCs w:val="21"/>
        </w:rPr>
      </w:pPr>
      <w:r>
        <w:rPr>
          <w:rFonts w:hint="eastAsia" w:ascii="宋体" w:hAnsi="宋体" w:eastAsia="宋体"/>
          <w:b/>
          <w:szCs w:val="21"/>
        </w:rPr>
        <w:t>其他</w:t>
      </w:r>
    </w:p>
    <w:p w14:paraId="0DA7FCF4">
      <w:pPr>
        <w:adjustRightInd w:val="0"/>
        <w:snapToGrid w:val="0"/>
        <w:spacing w:line="360" w:lineRule="auto"/>
        <w:ind w:firstLine="420" w:firstLineChars="200"/>
        <w:rPr>
          <w:rFonts w:hint="default"/>
          <w:lang w:val="en-US" w:eastAsia="zh-CN"/>
        </w:rPr>
      </w:pPr>
      <w:r>
        <w:rPr>
          <w:rFonts w:hint="eastAsia"/>
          <w:lang w:val="en-US" w:eastAsia="zh-CN"/>
        </w:rPr>
        <w:t>工期要求：30日历天</w:t>
      </w:r>
    </w:p>
    <w:p w14:paraId="4DEEB094">
      <w:pPr>
        <w:widowControl/>
        <w:jc w:val="left"/>
        <w:rPr>
          <w:rFonts w:ascii="黑体" w:hAnsi="黑体" w:eastAsia="黑体" w:cs="Times New Roman"/>
          <w:b/>
          <w:bCs/>
          <w:kern w:val="44"/>
          <w:sz w:val="28"/>
          <w:szCs w:val="28"/>
        </w:rPr>
      </w:pPr>
    </w:p>
    <w:p w14:paraId="5E2A87A1">
      <w:pPr>
        <w:pStyle w:val="3"/>
        <w:spacing w:before="0" w:after="0" w:line="360" w:lineRule="auto"/>
        <w:contextualSpacing/>
        <w:jc w:val="center"/>
        <w:rPr>
          <w:rFonts w:hint="eastAsia" w:ascii="黑体" w:hAnsi="黑体" w:eastAsia="黑体"/>
          <w:sz w:val="28"/>
          <w:szCs w:val="28"/>
        </w:rPr>
      </w:pPr>
    </w:p>
    <w:p w14:paraId="5EFC9BDB">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7929CF2F">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14:paraId="13ECA9B2">
      <w:pPr>
        <w:adjustRightInd w:val="0"/>
        <w:snapToGrid w:val="0"/>
        <w:jc w:val="center"/>
      </w:pPr>
      <w:bookmarkStart w:id="9" w:name="_Hlk532142230"/>
    </w:p>
    <w:p w14:paraId="0610A8BB">
      <w:pPr>
        <w:pStyle w:val="6"/>
      </w:pPr>
    </w:p>
    <w:p w14:paraId="6C2D9B1E">
      <w:pPr>
        <w:adjustRightInd w:val="0"/>
        <w:snapToGrid w:val="0"/>
        <w:rPr>
          <w:sz w:val="20"/>
          <w:szCs w:val="20"/>
        </w:rPr>
      </w:pPr>
    </w:p>
    <w:p w14:paraId="5B4E0CF2">
      <w:pPr>
        <w:adjustRightInd w:val="0"/>
        <w:snapToGrid w:val="0"/>
        <w:rPr>
          <w:sz w:val="20"/>
          <w:szCs w:val="20"/>
        </w:rPr>
      </w:pPr>
    </w:p>
    <w:p w14:paraId="04A1FDC9">
      <w:pPr>
        <w:adjustRightInd w:val="0"/>
        <w:snapToGrid w:val="0"/>
        <w:jc w:val="center"/>
        <w:rPr>
          <w:rFonts w:cs="Courier New"/>
          <w:b/>
          <w:bCs/>
          <w:sz w:val="52"/>
          <w:szCs w:val="52"/>
        </w:rPr>
      </w:pPr>
    </w:p>
    <w:p w14:paraId="284EB3B7">
      <w:pPr>
        <w:adjustRightInd w:val="0"/>
        <w:snapToGrid w:val="0"/>
        <w:jc w:val="center"/>
        <w:rPr>
          <w:rFonts w:cs="Courier New"/>
          <w:b/>
          <w:bCs/>
          <w:sz w:val="84"/>
          <w:szCs w:val="84"/>
        </w:rPr>
      </w:pPr>
      <w:r>
        <w:rPr>
          <w:rFonts w:cs="Courier New"/>
          <w:b/>
          <w:bCs/>
          <w:sz w:val="84"/>
          <w:szCs w:val="84"/>
        </w:rPr>
        <w:t>响应文件</w:t>
      </w:r>
    </w:p>
    <w:p w14:paraId="16380857">
      <w:pPr>
        <w:adjustRightInd w:val="0"/>
        <w:snapToGrid w:val="0"/>
        <w:rPr>
          <w:sz w:val="28"/>
          <w:szCs w:val="28"/>
        </w:rPr>
      </w:pPr>
    </w:p>
    <w:p w14:paraId="2F34D097">
      <w:pPr>
        <w:tabs>
          <w:tab w:val="left" w:pos="7560"/>
        </w:tabs>
        <w:spacing w:line="360" w:lineRule="auto"/>
        <w:contextualSpacing/>
        <w:jc w:val="center"/>
        <w:rPr>
          <w:rFonts w:ascii="宋体" w:hAnsi="宋体" w:eastAsia="宋体" w:cs="仿宋_GB2312"/>
          <w:b/>
          <w:sz w:val="32"/>
          <w:szCs w:val="32"/>
        </w:rPr>
      </w:pPr>
    </w:p>
    <w:p w14:paraId="7DC095C3">
      <w:pPr>
        <w:adjustRightInd w:val="0"/>
        <w:snapToGrid w:val="0"/>
        <w:jc w:val="center"/>
        <w:rPr>
          <w:sz w:val="28"/>
          <w:szCs w:val="28"/>
        </w:rPr>
      </w:pPr>
    </w:p>
    <w:p w14:paraId="0DE7B957">
      <w:pPr>
        <w:tabs>
          <w:tab w:val="left" w:pos="7560"/>
        </w:tabs>
        <w:spacing w:line="360" w:lineRule="auto"/>
        <w:ind w:firstLine="562" w:firstLineChars="200"/>
        <w:contextualSpacing/>
        <w:rPr>
          <w:rFonts w:ascii="宋体" w:hAnsi="宋体" w:eastAsia="宋体" w:cs="仿宋_GB2312"/>
          <w:b/>
          <w:sz w:val="28"/>
          <w:szCs w:val="28"/>
        </w:rPr>
      </w:pPr>
    </w:p>
    <w:p w14:paraId="3C1471AC">
      <w:pPr>
        <w:tabs>
          <w:tab w:val="left" w:pos="7560"/>
        </w:tabs>
        <w:spacing w:line="360" w:lineRule="auto"/>
        <w:ind w:firstLine="562" w:firstLineChars="200"/>
        <w:contextualSpacing/>
        <w:rPr>
          <w:rFonts w:ascii="宋体" w:hAnsi="宋体" w:eastAsia="宋体" w:cs="仿宋_GB2312"/>
          <w:b/>
          <w:sz w:val="28"/>
          <w:szCs w:val="28"/>
        </w:rPr>
      </w:pPr>
    </w:p>
    <w:p w14:paraId="0D906029">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14:paraId="60E5FA0C">
      <w:pPr>
        <w:spacing w:line="360" w:lineRule="auto"/>
        <w:ind w:firstLine="562" w:firstLineChars="200"/>
        <w:contextualSpacing/>
        <w:rPr>
          <w:rFonts w:ascii="宋体" w:hAnsi="宋体" w:eastAsia="宋体"/>
          <w:b/>
          <w:sz w:val="28"/>
          <w:szCs w:val="28"/>
        </w:rPr>
      </w:pPr>
    </w:p>
    <w:p w14:paraId="723687AE">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14:paraId="7C93EB3B">
      <w:pPr>
        <w:tabs>
          <w:tab w:val="left" w:pos="7560"/>
        </w:tabs>
        <w:spacing w:line="360" w:lineRule="auto"/>
        <w:ind w:firstLine="562" w:firstLineChars="200"/>
        <w:contextualSpacing/>
        <w:rPr>
          <w:rFonts w:ascii="宋体" w:hAnsi="宋体" w:eastAsia="宋体"/>
          <w:b/>
          <w:sz w:val="28"/>
          <w:szCs w:val="28"/>
        </w:rPr>
      </w:pPr>
    </w:p>
    <w:p w14:paraId="19A96F4D">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14:paraId="5FF39273">
      <w:pPr>
        <w:tabs>
          <w:tab w:val="left" w:pos="7560"/>
        </w:tabs>
        <w:spacing w:line="360" w:lineRule="auto"/>
        <w:contextualSpacing/>
        <w:rPr>
          <w:rFonts w:ascii="宋体" w:hAnsi="宋体" w:eastAsia="宋体"/>
          <w:szCs w:val="21"/>
        </w:rPr>
      </w:pPr>
    </w:p>
    <w:p w14:paraId="2302536F">
      <w:pPr>
        <w:tabs>
          <w:tab w:val="left" w:pos="7560"/>
        </w:tabs>
        <w:spacing w:line="360" w:lineRule="auto"/>
        <w:ind w:firstLine="420" w:firstLineChars="200"/>
        <w:contextualSpacing/>
        <w:rPr>
          <w:rFonts w:ascii="宋体" w:hAnsi="宋体" w:eastAsia="宋体"/>
          <w:szCs w:val="21"/>
        </w:rPr>
      </w:pPr>
    </w:p>
    <w:p w14:paraId="2175264D">
      <w:pPr>
        <w:tabs>
          <w:tab w:val="left" w:pos="7560"/>
        </w:tabs>
        <w:spacing w:line="360" w:lineRule="auto"/>
        <w:ind w:firstLine="420" w:firstLineChars="200"/>
        <w:contextualSpacing/>
        <w:rPr>
          <w:rFonts w:ascii="宋体" w:hAnsi="宋体" w:eastAsia="宋体"/>
          <w:szCs w:val="21"/>
        </w:rPr>
      </w:pPr>
    </w:p>
    <w:p w14:paraId="66A687CE">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9"/>
    <w:p w14:paraId="338671CA">
      <w:pPr>
        <w:widowControl/>
        <w:jc w:val="left"/>
      </w:pPr>
      <w:r>
        <w:br w:type="page"/>
      </w:r>
    </w:p>
    <w:p w14:paraId="14E1EF33">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14:paraId="01C5A93C">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5768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4C5BAFC0">
            <w:pPr>
              <w:pStyle w:val="11"/>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14:paraId="5C450694">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14:paraId="07868346">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14:paraId="7567A607">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14:paraId="4FB3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76D1AE57">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14:paraId="4759B779">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14:paraId="2A18C8F4">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14:paraId="148BAC4E">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76A3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457A12E6">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14:paraId="1C691F83">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14:paraId="5591F3DD">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14:paraId="7D281DD5">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4959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4E01BDAE">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14:paraId="37B2FE7C">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14:paraId="4CB5EC1F">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14:paraId="6F9F0483">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29DF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0BEB297">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14:paraId="3E8ACAC0">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14:paraId="6106FA5C">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484B70C2">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0D27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FB8CD8A">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14:paraId="7B44C9C9">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14:paraId="783D7DC4">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6B561266">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14:paraId="64BE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132A4FD">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14:paraId="75727902">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14:paraId="3B35315E">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3ECAC7F3">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1E2E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4034BB9E">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14:paraId="1589B485">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14:paraId="379D16C7">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14:paraId="58F7BC2D">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728A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B5A183F">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14:paraId="5DF6DC86">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14:paraId="62A72F23">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14:paraId="5064D983">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19A7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01CC485">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14:paraId="1F3BA681">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14:paraId="1CCD6015">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14:paraId="18E9BBC7">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04E4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C424D11">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14:paraId="119C771A">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14:paraId="2DF4ADB1">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14:paraId="03EF2F40">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6D8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6B82551">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14:paraId="454CC91C">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14:paraId="04E2F921">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395E6A18">
            <w:pPr>
              <w:pStyle w:val="11"/>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r w14:paraId="158E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A8DCB5E">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12</w:t>
            </w:r>
          </w:p>
        </w:tc>
        <w:tc>
          <w:tcPr>
            <w:tcW w:w="1297" w:type="pct"/>
            <w:vAlign w:val="center"/>
          </w:tcPr>
          <w:p w14:paraId="2AC84C25">
            <w:pPr>
              <w:widowControl/>
              <w:spacing w:line="240" w:lineRule="auto"/>
              <w:contextualSpacing/>
              <w:jc w:val="center"/>
              <w:rPr>
                <w:rFonts w:hint="eastAsia" w:ascii="宋体" w:hAnsi="宋体" w:eastAsia="宋体" w:cs="宋体"/>
                <w:color w:val="auto"/>
                <w:kern w:val="2"/>
                <w:sz w:val="21"/>
                <w:szCs w:val="21"/>
                <w:lang w:val="en-US" w:eastAsia="zh-CN" w:bidi="ar-SA"/>
              </w:rPr>
            </w:pPr>
            <w:r>
              <w:rPr>
                <w:rFonts w:hint="eastAsia" w:ascii="宋体" w:hAnsi="宋体" w:eastAsia="宋体" w:cs="Times New Roman"/>
                <w:color w:val="0070C0"/>
                <w:sz w:val="21"/>
                <w:szCs w:val="21"/>
                <w:highlight w:val="none"/>
                <w:u w:val="single"/>
                <w:lang w:val="en-US" w:eastAsia="zh-CN"/>
              </w:rPr>
              <w:t>（采购人补充的内容）</w:t>
            </w:r>
          </w:p>
        </w:tc>
        <w:tc>
          <w:tcPr>
            <w:tcW w:w="2562" w:type="pct"/>
            <w:vAlign w:val="center"/>
          </w:tcPr>
          <w:p w14:paraId="20E14410">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p>
        </w:tc>
        <w:tc>
          <w:tcPr>
            <w:tcW w:w="661" w:type="pct"/>
            <w:vAlign w:val="center"/>
          </w:tcPr>
          <w:p w14:paraId="7121DF48">
            <w:pPr>
              <w:pStyle w:val="11"/>
              <w:spacing w:before="0" w:beforeAutospacing="0" w:after="0" w:afterAutospacing="0"/>
              <w:contextualSpacing/>
              <w:jc w:val="center"/>
              <w:rPr>
                <w:rFonts w:hint="eastAsia" w:asciiTheme="minorEastAsia" w:hAnsiTheme="minorEastAsia" w:eastAsiaTheme="minorEastAsia"/>
                <w:color w:val="auto"/>
                <w:sz w:val="21"/>
                <w:szCs w:val="21"/>
                <w:lang w:val="en-US" w:eastAsia="zh-CN"/>
              </w:rPr>
            </w:pPr>
          </w:p>
        </w:tc>
      </w:tr>
    </w:tbl>
    <w:p w14:paraId="6D7D44E0">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3727EBB4">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77D1C6EA">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14:paraId="5711C822">
      <w:pPr>
        <w:widowControl/>
        <w:jc w:val="left"/>
        <w:rPr>
          <w:rFonts w:ascii="宋体" w:hAnsi="宋体" w:eastAsia="宋体"/>
          <w:szCs w:val="21"/>
        </w:rPr>
      </w:pPr>
      <w:r>
        <w:rPr>
          <w:rFonts w:ascii="宋体" w:hAnsi="宋体" w:eastAsia="宋体"/>
          <w:szCs w:val="21"/>
        </w:rPr>
        <w:br w:type="page"/>
      </w:r>
    </w:p>
    <w:p w14:paraId="5A8C6725">
      <w:pPr>
        <w:pStyle w:val="4"/>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14:paraId="42BE0160">
      <w:pPr>
        <w:tabs>
          <w:tab w:val="left" w:pos="7560"/>
        </w:tabs>
        <w:spacing w:line="360" w:lineRule="auto"/>
        <w:ind w:firstLine="420" w:firstLineChars="200"/>
        <w:contextualSpacing/>
        <w:rPr>
          <w:rFonts w:ascii="宋体" w:hAnsi="宋体" w:eastAsia="宋体"/>
          <w:szCs w:val="21"/>
        </w:rPr>
      </w:pPr>
    </w:p>
    <w:p w14:paraId="4128B9EA">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14:paraId="028BB019">
      <w:pPr>
        <w:tabs>
          <w:tab w:val="left" w:pos="7560"/>
        </w:tabs>
        <w:spacing w:line="360" w:lineRule="auto"/>
        <w:ind w:firstLine="420" w:firstLineChars="200"/>
        <w:contextualSpacing/>
        <w:rPr>
          <w:rFonts w:ascii="宋体" w:hAnsi="宋体" w:eastAsia="宋体"/>
          <w:szCs w:val="21"/>
        </w:rPr>
      </w:pPr>
    </w:p>
    <w:p w14:paraId="5D4E7C68">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4EAB765F">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14:paraId="40449679">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14:paraId="7A260D12">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14:paraId="6B2CE992">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14:paraId="2AA1DFAD">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14:paraId="10D1D94E">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14:paraId="10F7EDCC">
      <w:pPr>
        <w:tabs>
          <w:tab w:val="left" w:pos="7560"/>
        </w:tabs>
        <w:spacing w:line="360" w:lineRule="auto"/>
        <w:ind w:firstLine="420" w:firstLineChars="200"/>
        <w:contextualSpacing/>
        <w:rPr>
          <w:rFonts w:ascii="宋体" w:hAnsi="宋体" w:eastAsia="宋体"/>
          <w:szCs w:val="21"/>
        </w:rPr>
      </w:pPr>
    </w:p>
    <w:p w14:paraId="3A828EFA">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14:paraId="5F9ED64B">
      <w:pPr>
        <w:tabs>
          <w:tab w:val="left" w:pos="7560"/>
        </w:tabs>
        <w:spacing w:line="360" w:lineRule="auto"/>
        <w:ind w:firstLine="420" w:firstLineChars="200"/>
        <w:contextualSpacing/>
        <w:rPr>
          <w:rFonts w:ascii="宋体" w:hAnsi="宋体" w:eastAsia="宋体"/>
          <w:szCs w:val="21"/>
        </w:rPr>
      </w:pPr>
    </w:p>
    <w:p w14:paraId="702361DF">
      <w:pPr>
        <w:tabs>
          <w:tab w:val="left" w:pos="7560"/>
        </w:tabs>
        <w:spacing w:line="360" w:lineRule="auto"/>
        <w:ind w:firstLine="420" w:firstLineChars="200"/>
        <w:contextualSpacing/>
        <w:rPr>
          <w:rFonts w:ascii="宋体" w:hAnsi="宋体" w:eastAsia="宋体"/>
          <w:szCs w:val="21"/>
        </w:rPr>
      </w:pPr>
    </w:p>
    <w:p w14:paraId="550E5093">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14:paraId="04CF9B0E">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14:paraId="17D4ABF4">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14:paraId="5A1F6EC6">
      <w:pPr>
        <w:tabs>
          <w:tab w:val="left" w:pos="7560"/>
        </w:tabs>
        <w:spacing w:line="360" w:lineRule="auto"/>
        <w:ind w:firstLine="420" w:firstLineChars="200"/>
        <w:contextualSpacing/>
        <w:rPr>
          <w:rFonts w:ascii="宋体" w:hAnsi="宋体" w:eastAsia="宋体" w:cs="仿宋_GB2312"/>
          <w:szCs w:val="21"/>
        </w:rPr>
      </w:pPr>
    </w:p>
    <w:p w14:paraId="61F012E2">
      <w:pPr>
        <w:tabs>
          <w:tab w:val="left" w:pos="7560"/>
        </w:tabs>
        <w:spacing w:line="360" w:lineRule="auto"/>
        <w:ind w:firstLine="420" w:firstLineChars="200"/>
        <w:contextualSpacing/>
        <w:rPr>
          <w:rFonts w:ascii="宋体" w:hAnsi="宋体" w:eastAsia="宋体" w:cs="仿宋_GB2312"/>
          <w:szCs w:val="21"/>
        </w:rPr>
      </w:pPr>
    </w:p>
    <w:p w14:paraId="552D00D0">
      <w:pPr>
        <w:widowControl/>
        <w:jc w:val="left"/>
        <w:rPr>
          <w:rFonts w:ascii="宋体" w:hAnsi="宋体" w:eastAsia="宋体" w:cs="仿宋_GB2312"/>
          <w:szCs w:val="21"/>
        </w:rPr>
      </w:pPr>
      <w:r>
        <w:rPr>
          <w:rFonts w:ascii="宋体" w:hAnsi="宋体" w:eastAsia="宋体" w:cs="仿宋_GB2312"/>
          <w:szCs w:val="21"/>
        </w:rPr>
        <w:br w:type="page"/>
      </w:r>
    </w:p>
    <w:p w14:paraId="7EABCFCE">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14:paraId="172D0FFF">
      <w:pPr>
        <w:tabs>
          <w:tab w:val="left" w:pos="7560"/>
        </w:tabs>
        <w:spacing w:line="360" w:lineRule="auto"/>
        <w:ind w:firstLine="562" w:firstLineChars="200"/>
        <w:contextualSpacing/>
        <w:jc w:val="center"/>
        <w:rPr>
          <w:rFonts w:ascii="宋体" w:hAnsi="宋体" w:eastAsia="宋体" w:cs="仿宋_GB2312"/>
          <w:b/>
          <w:sz w:val="28"/>
          <w:szCs w:val="28"/>
        </w:rPr>
      </w:pPr>
    </w:p>
    <w:p w14:paraId="609D352F">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14:paraId="28CF76D0">
      <w:pPr>
        <w:tabs>
          <w:tab w:val="left" w:pos="7560"/>
        </w:tabs>
        <w:spacing w:line="360" w:lineRule="auto"/>
        <w:ind w:firstLine="420" w:firstLineChars="200"/>
        <w:contextualSpacing/>
        <w:rPr>
          <w:rFonts w:ascii="宋体" w:hAnsi="宋体" w:eastAsia="宋体"/>
          <w:szCs w:val="21"/>
        </w:rPr>
      </w:pPr>
    </w:p>
    <w:p w14:paraId="469F8BA0">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14:paraId="05ABDD86">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14:paraId="4E8A71D8">
      <w:pPr>
        <w:tabs>
          <w:tab w:val="left" w:pos="7560"/>
        </w:tabs>
        <w:spacing w:line="360" w:lineRule="auto"/>
        <w:ind w:firstLine="420" w:firstLineChars="200"/>
        <w:contextualSpacing/>
        <w:rPr>
          <w:rFonts w:ascii="宋体" w:hAnsi="宋体" w:eastAsia="宋体"/>
          <w:szCs w:val="21"/>
          <w:highlight w:val="none"/>
        </w:rPr>
      </w:pPr>
    </w:p>
    <w:p w14:paraId="7AFDA488">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14:paraId="50A931DF">
      <w:pPr>
        <w:tabs>
          <w:tab w:val="left" w:pos="7560"/>
        </w:tabs>
        <w:spacing w:line="360" w:lineRule="auto"/>
        <w:ind w:firstLine="420" w:firstLineChars="200"/>
        <w:contextualSpacing/>
        <w:rPr>
          <w:rFonts w:ascii="宋体" w:hAnsi="宋体" w:eastAsia="宋体"/>
          <w:szCs w:val="21"/>
          <w:highlight w:val="none"/>
        </w:rPr>
      </w:pPr>
    </w:p>
    <w:p w14:paraId="006E4D58">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0EDF4A4C">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4528E77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2AC6A673">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14:paraId="0A04D005">
      <w:pPr>
        <w:tabs>
          <w:tab w:val="left" w:pos="7560"/>
        </w:tabs>
        <w:spacing w:line="360" w:lineRule="auto"/>
        <w:ind w:firstLine="420" w:firstLineChars="200"/>
        <w:contextualSpacing/>
        <w:rPr>
          <w:rFonts w:ascii="宋体" w:hAnsi="宋体" w:eastAsia="宋体" w:cs="仿宋_GB2312"/>
          <w:szCs w:val="21"/>
        </w:rPr>
      </w:pPr>
    </w:p>
    <w:p w14:paraId="527DF957">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14:paraId="54DE7834">
      <w:pPr>
        <w:widowControl/>
        <w:jc w:val="left"/>
        <w:rPr>
          <w:rFonts w:ascii="宋体" w:hAnsi="宋体" w:eastAsia="宋体" w:cstheme="majorBidi"/>
          <w:b/>
          <w:bCs/>
          <w:szCs w:val="21"/>
        </w:rPr>
      </w:pPr>
      <w:r>
        <w:rPr>
          <w:rFonts w:ascii="宋体" w:hAnsi="宋体" w:eastAsia="宋体"/>
          <w:szCs w:val="21"/>
        </w:rPr>
        <w:br w:type="page"/>
      </w:r>
    </w:p>
    <w:p w14:paraId="6B4AE316">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14:paraId="6C12D61A">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14:paraId="02E771E1">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14:paraId="107338E1">
      <w:pPr>
        <w:rPr>
          <w:rFonts w:hint="eastAsia" w:ascii="宋体" w:hAnsi="宋体" w:eastAsia="宋体" w:cs="仿宋_GB2312"/>
          <w:szCs w:val="21"/>
        </w:rPr>
      </w:pPr>
      <w:r>
        <w:rPr>
          <w:rFonts w:hint="eastAsia" w:ascii="宋体" w:hAnsi="宋体" w:eastAsia="宋体" w:cs="仿宋_GB2312"/>
          <w:szCs w:val="21"/>
        </w:rPr>
        <w:br w:type="page"/>
      </w:r>
    </w:p>
    <w:p w14:paraId="78E27AA2">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14:paraId="78163F39">
      <w:pPr>
        <w:keepNext/>
        <w:keepLines/>
        <w:widowControl w:val="0"/>
        <w:ind w:firstLine="422"/>
        <w:contextualSpacing/>
        <w:outlineLvl w:val="9"/>
        <w:rPr>
          <w:rFonts w:hint="eastAsia" w:ascii="宋体" w:hAnsi="宋体"/>
          <w:b/>
          <w:bCs/>
          <w:color w:val="auto"/>
          <w:szCs w:val="21"/>
          <w:highlight w:val="yellow"/>
          <w:lang w:val="en-US" w:eastAsia="zh-CN"/>
        </w:rPr>
      </w:pPr>
    </w:p>
    <w:p w14:paraId="0177E24D">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14:paraId="319CC734">
      <w:pPr>
        <w:rPr>
          <w:highlight w:val="none"/>
        </w:rPr>
      </w:pPr>
    </w:p>
    <w:p w14:paraId="3C80AD1E">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highlight w:val="none"/>
          <w:lang w:val="en-US" w:eastAsia="zh-CN" w:bidi="ar-SA"/>
        </w:rPr>
      </w:pPr>
      <w:r>
        <w:rPr>
          <w:rFonts w:hint="eastAsia" w:ascii="方正小标宋简体" w:hAnsi="方正小标宋简体" w:eastAsia="方正小标宋简体" w:cs="方正小标宋简体"/>
          <w:b w:val="0"/>
          <w:bCs w:val="0"/>
          <w:kern w:val="2"/>
          <w:sz w:val="28"/>
          <w:szCs w:val="28"/>
          <w:highlight w:val="none"/>
          <w:lang w:val="en-US" w:eastAsia="zh-CN" w:bidi="ar-SA"/>
        </w:rPr>
        <w:t>供应商基本情况表</w:t>
      </w:r>
    </w:p>
    <w:p w14:paraId="66E7543A">
      <w:pPr>
        <w:pStyle w:val="6"/>
        <w:rPr>
          <w:rFonts w:hint="eastAsia"/>
          <w:highlight w:val="none"/>
          <w:lang w:val="en-US" w:eastAsia="zh-CN"/>
        </w:rPr>
      </w:pPr>
    </w:p>
    <w:p w14:paraId="14E8AB11">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填表单位：（加盖单位公章）</w:t>
      </w:r>
      <w:r>
        <w:rPr>
          <w:rFonts w:hint="eastAsia" w:ascii="宋体" w:hAnsi="宋体" w:eastAsia="宋体" w:cs="宋体"/>
          <w:sz w:val="21"/>
          <w:szCs w:val="21"/>
          <w:highlight w:val="none"/>
          <w:lang w:val="en-US" w:eastAsia="zh-CN"/>
        </w:rPr>
        <w:tab/>
      </w:r>
      <w:r>
        <w:rPr>
          <w:rFonts w:hint="eastAsia" w:ascii="宋体" w:hAnsi="宋体" w:eastAsia="宋体" w:cs="宋体"/>
          <w:sz w:val="21"/>
          <w:szCs w:val="21"/>
          <w:highlight w:val="none"/>
          <w:lang w:val="en-US" w:eastAsia="zh-CN"/>
        </w:rPr>
        <w:tab/>
      </w:r>
      <w:r>
        <w:rPr>
          <w:rFonts w:hint="eastAsia" w:ascii="宋体" w:hAnsi="宋体" w:eastAsia="宋体" w:cs="宋体"/>
          <w:sz w:val="21"/>
          <w:szCs w:val="21"/>
          <w:highlight w:val="none"/>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7185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7A2DCBDE">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采购人</w:t>
            </w:r>
          </w:p>
        </w:tc>
        <w:tc>
          <w:tcPr>
            <w:tcW w:w="2553" w:type="dxa"/>
            <w:gridSpan w:val="2"/>
            <w:noWrap w:val="0"/>
            <w:vAlign w:val="center"/>
          </w:tcPr>
          <w:p w14:paraId="0831DB49">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4931BAB4">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项目名称</w:t>
            </w:r>
          </w:p>
        </w:tc>
        <w:tc>
          <w:tcPr>
            <w:tcW w:w="2985" w:type="dxa"/>
            <w:gridSpan w:val="2"/>
            <w:noWrap w:val="0"/>
            <w:vAlign w:val="center"/>
          </w:tcPr>
          <w:p w14:paraId="77903DB1">
            <w:pPr>
              <w:jc w:val="center"/>
              <w:rPr>
                <w:rFonts w:hint="eastAsia" w:ascii="宋体" w:hAnsi="宋体" w:eastAsia="宋体" w:cs="宋体"/>
                <w:sz w:val="21"/>
                <w:szCs w:val="21"/>
                <w:highlight w:val="none"/>
                <w:vertAlign w:val="baseline"/>
                <w:lang w:val="en-US" w:eastAsia="zh-CN"/>
              </w:rPr>
            </w:pPr>
          </w:p>
        </w:tc>
      </w:tr>
      <w:tr w14:paraId="26E8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3E48D1B7">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投标（响应）供应商</w:t>
            </w:r>
          </w:p>
        </w:tc>
        <w:tc>
          <w:tcPr>
            <w:tcW w:w="2553" w:type="dxa"/>
            <w:gridSpan w:val="2"/>
            <w:noWrap w:val="0"/>
            <w:vAlign w:val="center"/>
          </w:tcPr>
          <w:p w14:paraId="0FD7CC44">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1F4E04DA">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供应商统一社会信用代码</w:t>
            </w:r>
          </w:p>
        </w:tc>
        <w:tc>
          <w:tcPr>
            <w:tcW w:w="2985" w:type="dxa"/>
            <w:gridSpan w:val="2"/>
            <w:noWrap w:val="0"/>
            <w:vAlign w:val="center"/>
          </w:tcPr>
          <w:p w14:paraId="0BE03D91">
            <w:pPr>
              <w:jc w:val="center"/>
              <w:rPr>
                <w:rFonts w:hint="eastAsia" w:ascii="宋体" w:hAnsi="宋体" w:eastAsia="宋体" w:cs="宋体"/>
                <w:sz w:val="21"/>
                <w:szCs w:val="21"/>
                <w:highlight w:val="none"/>
                <w:vertAlign w:val="baseline"/>
                <w:lang w:val="en-US" w:eastAsia="zh-CN"/>
              </w:rPr>
            </w:pPr>
          </w:p>
        </w:tc>
      </w:tr>
      <w:tr w14:paraId="0804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76B2FF61">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投标（响应）供应商相关人员情况</w:t>
            </w:r>
          </w:p>
        </w:tc>
      </w:tr>
      <w:tr w14:paraId="1447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5B6CC9A">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序号</w:t>
            </w:r>
          </w:p>
        </w:tc>
        <w:tc>
          <w:tcPr>
            <w:tcW w:w="2282" w:type="dxa"/>
            <w:gridSpan w:val="2"/>
            <w:tcBorders>
              <w:bottom w:val="single" w:color="auto" w:sz="4" w:space="0"/>
            </w:tcBorders>
            <w:noWrap w:val="0"/>
            <w:vAlign w:val="center"/>
          </w:tcPr>
          <w:p w14:paraId="09EBF4FE">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职务</w:t>
            </w:r>
          </w:p>
        </w:tc>
        <w:tc>
          <w:tcPr>
            <w:tcW w:w="947" w:type="dxa"/>
            <w:tcBorders>
              <w:bottom w:val="single" w:color="auto" w:sz="4" w:space="0"/>
            </w:tcBorders>
            <w:noWrap w:val="0"/>
            <w:vAlign w:val="center"/>
          </w:tcPr>
          <w:p w14:paraId="4349CA84">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姓名</w:t>
            </w:r>
          </w:p>
        </w:tc>
        <w:tc>
          <w:tcPr>
            <w:tcW w:w="1991" w:type="dxa"/>
            <w:gridSpan w:val="2"/>
            <w:tcBorders>
              <w:bottom w:val="single" w:color="auto" w:sz="4" w:space="0"/>
            </w:tcBorders>
            <w:noWrap w:val="0"/>
            <w:vAlign w:val="center"/>
          </w:tcPr>
          <w:p w14:paraId="6BEA5749">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身份证号码</w:t>
            </w:r>
          </w:p>
        </w:tc>
        <w:tc>
          <w:tcPr>
            <w:tcW w:w="1500" w:type="dxa"/>
            <w:tcBorders>
              <w:bottom w:val="single" w:color="auto" w:sz="4" w:space="0"/>
            </w:tcBorders>
            <w:noWrap w:val="0"/>
            <w:vAlign w:val="center"/>
          </w:tcPr>
          <w:p w14:paraId="6A23C576">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劳动合同</w:t>
            </w:r>
          </w:p>
          <w:p w14:paraId="53FC3557">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关系单位</w:t>
            </w:r>
          </w:p>
        </w:tc>
        <w:tc>
          <w:tcPr>
            <w:tcW w:w="1485" w:type="dxa"/>
            <w:tcBorders>
              <w:bottom w:val="single" w:color="auto" w:sz="4" w:space="0"/>
            </w:tcBorders>
            <w:noWrap w:val="0"/>
            <w:vAlign w:val="center"/>
          </w:tcPr>
          <w:p w14:paraId="32741575">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缴纳社会</w:t>
            </w:r>
          </w:p>
          <w:p w14:paraId="0D3D9461">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保险单位</w:t>
            </w:r>
          </w:p>
        </w:tc>
      </w:tr>
      <w:tr w14:paraId="3324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22B8199">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FC82584">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highlight w:val="none"/>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7D72004">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9CB75CA">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4AA2FDA">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8839281">
            <w:pPr>
              <w:jc w:val="center"/>
              <w:rPr>
                <w:rFonts w:hint="eastAsia" w:ascii="宋体" w:hAnsi="宋体" w:eastAsia="宋体" w:cs="宋体"/>
                <w:sz w:val="21"/>
                <w:szCs w:val="21"/>
                <w:highlight w:val="none"/>
                <w:vertAlign w:val="baseline"/>
                <w:lang w:val="en-US" w:eastAsia="zh-CN"/>
              </w:rPr>
            </w:pPr>
          </w:p>
        </w:tc>
      </w:tr>
      <w:tr w14:paraId="6CE8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393FC14">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38FFD7B">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120CCA44">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403DAE6B">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8C6407E">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F92DDC6">
            <w:pPr>
              <w:jc w:val="center"/>
              <w:rPr>
                <w:rFonts w:hint="eastAsia" w:ascii="宋体" w:hAnsi="宋体" w:eastAsia="宋体" w:cs="宋体"/>
                <w:sz w:val="21"/>
                <w:szCs w:val="21"/>
                <w:highlight w:val="none"/>
                <w:vertAlign w:val="baseline"/>
                <w:lang w:val="en-US" w:eastAsia="zh-CN"/>
              </w:rPr>
            </w:pPr>
          </w:p>
        </w:tc>
      </w:tr>
      <w:tr w14:paraId="2DAC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7AB9D169">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3</w:t>
            </w:r>
          </w:p>
        </w:tc>
        <w:tc>
          <w:tcPr>
            <w:tcW w:w="2282" w:type="dxa"/>
            <w:gridSpan w:val="2"/>
            <w:tcBorders>
              <w:top w:val="single" w:color="auto" w:sz="4" w:space="0"/>
            </w:tcBorders>
            <w:noWrap w:val="0"/>
            <w:vAlign w:val="center"/>
          </w:tcPr>
          <w:p w14:paraId="4305C74C">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14:paraId="6BB15286">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tcBorders>
            <w:noWrap w:val="0"/>
            <w:vAlign w:val="center"/>
          </w:tcPr>
          <w:p w14:paraId="23E90C15">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tcBorders>
            <w:noWrap w:val="0"/>
            <w:vAlign w:val="center"/>
          </w:tcPr>
          <w:p w14:paraId="13525AC2">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tcBorders>
            <w:noWrap w:val="0"/>
            <w:vAlign w:val="center"/>
          </w:tcPr>
          <w:p w14:paraId="7ADB5F1C">
            <w:pPr>
              <w:jc w:val="center"/>
              <w:rPr>
                <w:rFonts w:hint="eastAsia" w:ascii="宋体" w:hAnsi="宋体" w:eastAsia="宋体" w:cs="宋体"/>
                <w:sz w:val="21"/>
                <w:szCs w:val="21"/>
                <w:highlight w:val="none"/>
                <w:vertAlign w:val="baseline"/>
                <w:lang w:val="en-US" w:eastAsia="zh-CN"/>
              </w:rPr>
            </w:pPr>
          </w:p>
        </w:tc>
      </w:tr>
      <w:tr w14:paraId="5008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17C6ACB4">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4</w:t>
            </w:r>
          </w:p>
        </w:tc>
        <w:tc>
          <w:tcPr>
            <w:tcW w:w="2282" w:type="dxa"/>
            <w:gridSpan w:val="2"/>
            <w:noWrap w:val="0"/>
            <w:vAlign w:val="center"/>
          </w:tcPr>
          <w:p w14:paraId="78FDC74D">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14:paraId="466A16D4">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586A4069">
            <w:pPr>
              <w:jc w:val="center"/>
              <w:rPr>
                <w:rFonts w:hint="eastAsia" w:ascii="宋体" w:hAnsi="宋体" w:eastAsia="宋体" w:cs="宋体"/>
                <w:sz w:val="21"/>
                <w:szCs w:val="21"/>
                <w:highlight w:val="none"/>
                <w:vertAlign w:val="baseline"/>
                <w:lang w:val="en-US" w:eastAsia="zh-CN"/>
              </w:rPr>
            </w:pPr>
          </w:p>
        </w:tc>
        <w:tc>
          <w:tcPr>
            <w:tcW w:w="1500" w:type="dxa"/>
            <w:noWrap w:val="0"/>
            <w:vAlign w:val="center"/>
          </w:tcPr>
          <w:p w14:paraId="2AD69335">
            <w:pPr>
              <w:jc w:val="center"/>
              <w:rPr>
                <w:rFonts w:hint="eastAsia" w:ascii="宋体" w:hAnsi="宋体" w:eastAsia="宋体" w:cs="宋体"/>
                <w:sz w:val="21"/>
                <w:szCs w:val="21"/>
                <w:highlight w:val="none"/>
                <w:vertAlign w:val="baseline"/>
                <w:lang w:val="en-US" w:eastAsia="zh-CN"/>
              </w:rPr>
            </w:pPr>
          </w:p>
        </w:tc>
        <w:tc>
          <w:tcPr>
            <w:tcW w:w="1485" w:type="dxa"/>
            <w:noWrap w:val="0"/>
            <w:vAlign w:val="center"/>
          </w:tcPr>
          <w:p w14:paraId="4E5A9B26">
            <w:pPr>
              <w:jc w:val="center"/>
              <w:rPr>
                <w:rFonts w:hint="eastAsia" w:ascii="宋体" w:hAnsi="宋体" w:eastAsia="宋体" w:cs="宋体"/>
                <w:sz w:val="21"/>
                <w:szCs w:val="21"/>
                <w:highlight w:val="none"/>
                <w:vertAlign w:val="baseline"/>
                <w:lang w:val="en-US" w:eastAsia="zh-CN"/>
              </w:rPr>
            </w:pPr>
          </w:p>
        </w:tc>
      </w:tr>
      <w:tr w14:paraId="4E10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38313196">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5</w:t>
            </w:r>
          </w:p>
        </w:tc>
        <w:tc>
          <w:tcPr>
            <w:tcW w:w="2282" w:type="dxa"/>
            <w:gridSpan w:val="2"/>
            <w:noWrap w:val="0"/>
            <w:vAlign w:val="center"/>
          </w:tcPr>
          <w:p w14:paraId="4816D5BE">
            <w:pPr>
              <w:widowControl w:val="0"/>
              <w:snapToGrid w:val="0"/>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14:paraId="29B6CF46">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15FD9552">
            <w:pPr>
              <w:jc w:val="center"/>
              <w:rPr>
                <w:rFonts w:hint="eastAsia" w:ascii="宋体" w:hAnsi="宋体" w:eastAsia="宋体" w:cs="宋体"/>
                <w:sz w:val="21"/>
                <w:szCs w:val="21"/>
                <w:highlight w:val="none"/>
                <w:vertAlign w:val="baseline"/>
                <w:lang w:val="en-US" w:eastAsia="zh-CN"/>
              </w:rPr>
            </w:pPr>
          </w:p>
        </w:tc>
        <w:tc>
          <w:tcPr>
            <w:tcW w:w="1500" w:type="dxa"/>
            <w:noWrap w:val="0"/>
            <w:vAlign w:val="center"/>
          </w:tcPr>
          <w:p w14:paraId="74E05AE9">
            <w:pPr>
              <w:jc w:val="center"/>
              <w:rPr>
                <w:rFonts w:hint="eastAsia" w:ascii="宋体" w:hAnsi="宋体" w:eastAsia="宋体" w:cs="宋体"/>
                <w:sz w:val="21"/>
                <w:szCs w:val="21"/>
                <w:highlight w:val="none"/>
                <w:vertAlign w:val="baseline"/>
                <w:lang w:val="en-US" w:eastAsia="zh-CN"/>
              </w:rPr>
            </w:pPr>
          </w:p>
        </w:tc>
        <w:tc>
          <w:tcPr>
            <w:tcW w:w="1485" w:type="dxa"/>
            <w:noWrap w:val="0"/>
            <w:vAlign w:val="center"/>
          </w:tcPr>
          <w:p w14:paraId="23453208">
            <w:pPr>
              <w:jc w:val="center"/>
              <w:rPr>
                <w:rFonts w:hint="eastAsia" w:ascii="宋体" w:hAnsi="宋体" w:eastAsia="宋体" w:cs="宋体"/>
                <w:sz w:val="21"/>
                <w:szCs w:val="21"/>
                <w:highlight w:val="none"/>
                <w:vertAlign w:val="baseline"/>
                <w:lang w:val="en-US" w:eastAsia="zh-CN"/>
              </w:rPr>
            </w:pPr>
          </w:p>
        </w:tc>
      </w:tr>
      <w:tr w14:paraId="3B1A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0D5ACA70">
            <w:pPr>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none"/>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14:paraId="4F12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269B10DF">
            <w:pPr>
              <w:jc w:val="center"/>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投标（响应）供应商关联关系情况</w:t>
            </w:r>
          </w:p>
        </w:tc>
      </w:tr>
      <w:tr w14:paraId="06D6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1CD25E24">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序号</w:t>
            </w:r>
          </w:p>
        </w:tc>
        <w:tc>
          <w:tcPr>
            <w:tcW w:w="2282" w:type="dxa"/>
            <w:gridSpan w:val="2"/>
            <w:tcBorders>
              <w:bottom w:val="single" w:color="auto" w:sz="4" w:space="0"/>
            </w:tcBorders>
            <w:noWrap w:val="0"/>
            <w:vAlign w:val="center"/>
          </w:tcPr>
          <w:p w14:paraId="0B576EC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14:paraId="2A406A5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14:paraId="7E81F49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6D70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C55386F">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4720B52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0A46A20D">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006C6C62">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305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E78D871">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D2458D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4FD3D723">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E38C61A">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6499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78D9E2CA">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0933B800">
      <w:pPr>
        <w:tabs>
          <w:tab w:val="left" w:pos="7560"/>
        </w:tabs>
        <w:spacing w:line="360" w:lineRule="auto"/>
        <w:contextualSpacing/>
        <w:rPr>
          <w:rFonts w:hint="eastAsia" w:ascii="宋体" w:hAnsi="宋体" w:eastAsia="宋体" w:cs="仿宋_GB2312"/>
          <w:szCs w:val="21"/>
        </w:rPr>
      </w:pPr>
    </w:p>
    <w:p w14:paraId="3832A02F">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14:paraId="69420B8E">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14:paraId="3D560698">
      <w:pPr>
        <w:pStyle w:val="4"/>
        <w:spacing w:before="0" w:after="0" w:line="360" w:lineRule="auto"/>
        <w:ind w:firstLine="422" w:firstLineChars="200"/>
        <w:contextualSpacing/>
        <w:rPr>
          <w:rFonts w:hint="eastAsia" w:ascii="宋体" w:hAnsi="宋体" w:eastAsia="宋体"/>
          <w:sz w:val="21"/>
          <w:szCs w:val="21"/>
          <w:highlight w:val="none"/>
        </w:rPr>
      </w:pPr>
    </w:p>
    <w:p w14:paraId="191B888C">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14:paraId="1C04B2C3">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14:paraId="7F0A01DA">
      <w:pPr>
        <w:pStyle w:val="4"/>
        <w:spacing w:before="0" w:after="0" w:line="360" w:lineRule="auto"/>
        <w:ind w:firstLine="422" w:firstLineChars="200"/>
        <w:contextualSpacing/>
        <w:rPr>
          <w:rFonts w:hint="eastAsia" w:ascii="宋体" w:hAnsi="宋体" w:eastAsia="宋体"/>
          <w:sz w:val="21"/>
          <w:szCs w:val="21"/>
          <w:highlight w:val="none"/>
        </w:rPr>
      </w:pPr>
    </w:p>
    <w:p w14:paraId="3157D591">
      <w:pPr>
        <w:pStyle w:val="4"/>
        <w:spacing w:before="0" w:after="0" w:line="360" w:lineRule="auto"/>
        <w:ind w:firstLine="422" w:firstLineChars="200"/>
        <w:contextualSpacing/>
        <w:rPr>
          <w:rFonts w:hint="eastAsia" w:ascii="宋体" w:hAnsi="宋体" w:eastAsia="宋体"/>
          <w:sz w:val="21"/>
          <w:szCs w:val="21"/>
          <w:highlight w:val="none"/>
        </w:rPr>
      </w:pPr>
    </w:p>
    <w:p w14:paraId="4EE903BB">
      <w:pPr>
        <w:pStyle w:val="4"/>
        <w:spacing w:before="0" w:after="0" w:line="360" w:lineRule="auto"/>
        <w:ind w:firstLine="422" w:firstLineChars="200"/>
        <w:contextualSpacing/>
        <w:rPr>
          <w:rFonts w:hint="eastAsia" w:ascii="宋体" w:hAnsi="宋体" w:eastAsia="宋体"/>
          <w:sz w:val="21"/>
          <w:szCs w:val="21"/>
          <w:highlight w:val="none"/>
        </w:rPr>
      </w:pPr>
    </w:p>
    <w:p w14:paraId="6E20FD6E">
      <w:pPr>
        <w:pStyle w:val="4"/>
        <w:spacing w:before="0" w:after="0" w:line="360" w:lineRule="auto"/>
        <w:ind w:firstLine="422" w:firstLineChars="200"/>
        <w:contextualSpacing/>
        <w:rPr>
          <w:rFonts w:hint="eastAsia" w:ascii="宋体" w:hAnsi="宋体" w:eastAsia="宋体"/>
          <w:sz w:val="21"/>
          <w:szCs w:val="21"/>
          <w:highlight w:val="none"/>
        </w:rPr>
      </w:pPr>
    </w:p>
    <w:p w14:paraId="71E7FCA0">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14:paraId="7D85509D">
      <w:pPr>
        <w:pStyle w:val="4"/>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14:paraId="33A0CFB0">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14:paraId="3D33DE46">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14:paraId="2168713B">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14:paraId="7E88446A">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14:paraId="25301E20">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1A34708B">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14:paraId="4B331AD8">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14:paraId="0AE81112">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14:paraId="75287123">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14:paraId="0EFD4CB0">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14:paraId="0E1EFFCC">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14:paraId="3A3D9ED4">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14:paraId="06433D1B">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14:paraId="0E93949C">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14:paraId="1B3EC50D">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14:paraId="63008CF5">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14:paraId="56F820A7">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14:paraId="08FF5406">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14:paraId="33F41A70">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14:paraId="4EFD53A9">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14:paraId="479397BA">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14:paraId="7BA576B1">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14:paraId="586757B6">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14:paraId="35B89D5C">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14:paraId="46349CEF">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3EC0AC92">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14:paraId="4C6A3497">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27159021">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14:paraId="59E4C855">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14:paraId="6AF8CE90">
      <w:pPr>
        <w:widowControl w:val="0"/>
        <w:tabs>
          <w:tab w:val="left" w:pos="7560"/>
        </w:tabs>
        <w:spacing w:line="240" w:lineRule="auto"/>
        <w:ind w:firstLine="420"/>
        <w:contextualSpacing/>
        <w:rPr>
          <w:rFonts w:ascii="宋体" w:hAnsi="宋体" w:cs="宋体"/>
          <w:b/>
          <w:bCs/>
          <w:color w:val="auto"/>
          <w:szCs w:val="21"/>
          <w:highlight w:val="none"/>
        </w:rPr>
      </w:pPr>
    </w:p>
    <w:p w14:paraId="12A4678A">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w:t>
      </w:r>
      <w:r>
        <w:rPr>
          <w:rFonts w:hint="eastAsia" w:asciiTheme="minorHAnsi" w:hAnsiTheme="minorHAnsi" w:eastAsiaTheme="minorEastAsia" w:cstheme="minorBidi"/>
          <w:b/>
          <w:bCs/>
          <w:color w:val="auto"/>
          <w:sz w:val="21"/>
          <w:szCs w:val="22"/>
          <w:highlight w:val="none"/>
        </w:rPr>
        <w:t>采购</w:t>
      </w:r>
      <w:r>
        <w:rPr>
          <w:rFonts w:hint="eastAsia" w:asciiTheme="minorHAnsi" w:hAnsiTheme="minorHAnsi" w:eastAsiaTheme="minorEastAsia" w:cstheme="minorBidi"/>
          <w:b/>
          <w:bCs/>
          <w:color w:val="auto"/>
          <w:sz w:val="21"/>
          <w:szCs w:val="22"/>
          <w:highlight w:val="none"/>
          <w:lang w:val="en-US" w:eastAsia="zh-CN"/>
        </w:rPr>
        <w:t>公告</w:t>
      </w:r>
      <w:r>
        <w:rPr>
          <w:rFonts w:hint="eastAsia"/>
          <w:b/>
          <w:bCs/>
          <w:color w:val="auto"/>
          <w:highlight w:val="none"/>
          <w:lang w:val="en-US" w:eastAsia="zh-CN"/>
        </w:rPr>
        <w:t>规定的网址信息，提供对应网站查询截图，相关信息以本项目</w:t>
      </w:r>
      <w:r>
        <w:rPr>
          <w:rFonts w:hint="eastAsia"/>
          <w:b/>
          <w:bCs/>
          <w:color w:val="FF0000"/>
          <w:highlight w:val="none"/>
          <w:lang w:val="en-US" w:eastAsia="zh-CN"/>
        </w:rPr>
        <w:t>开标前两个工作日</w:t>
      </w:r>
      <w:r>
        <w:rPr>
          <w:rFonts w:hint="eastAsia"/>
          <w:b/>
          <w:bCs/>
          <w:color w:val="auto"/>
          <w:highlight w:val="none"/>
          <w:lang w:val="en-US" w:eastAsia="zh-CN"/>
        </w:rPr>
        <w:t>内的查询结果为准。</w:t>
      </w:r>
      <w:r>
        <w:rPr>
          <w:rFonts w:hint="eastAsia" w:ascii="宋体" w:hAnsi="宋体" w:cs="宋体"/>
          <w:b/>
          <w:bCs/>
          <w:color w:val="auto"/>
          <w:szCs w:val="21"/>
          <w:highlight w:val="none"/>
          <w:lang w:val="en-US" w:eastAsia="zh-CN"/>
        </w:rPr>
        <w:t>）</w:t>
      </w:r>
    </w:p>
    <w:p w14:paraId="14E85991">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3729FED">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14:paraId="571426C6">
      <w:pPr>
        <w:widowControl w:val="0"/>
        <w:autoSpaceDE w:val="0"/>
        <w:autoSpaceDN w:val="0"/>
        <w:adjustRightInd w:val="0"/>
        <w:snapToGrid w:val="0"/>
        <w:ind w:firstLine="0" w:firstLineChars="0"/>
        <w:jc w:val="left"/>
        <w:rPr>
          <w:rFonts w:ascii="宋体" w:hAnsi="宋体"/>
          <w:b/>
          <w:bCs/>
          <w:color w:val="auto"/>
          <w:szCs w:val="21"/>
          <w:highlight w:val="none"/>
        </w:rPr>
      </w:pPr>
    </w:p>
    <w:p w14:paraId="55FF8934">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14:paraId="077D3363">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响应人针对网址信息，提供对应网站查询截图，相关信息以本项目</w:t>
      </w:r>
      <w:r>
        <w:rPr>
          <w:rFonts w:hint="eastAsia" w:ascii="宋体" w:hAnsi="宋体" w:cs="宋体"/>
          <w:b/>
          <w:bCs/>
          <w:color w:val="FF0000"/>
          <w:szCs w:val="21"/>
          <w:highlight w:val="none"/>
          <w:lang w:val="en-US" w:eastAsia="zh-CN"/>
        </w:rPr>
        <w:t>开标前两个工作日</w:t>
      </w:r>
      <w:r>
        <w:rPr>
          <w:rFonts w:hint="eastAsia" w:ascii="宋体" w:hAnsi="宋体" w:cs="宋体"/>
          <w:color w:val="auto"/>
          <w:szCs w:val="21"/>
          <w:highlight w:val="none"/>
          <w:lang w:val="en-US" w:eastAsia="zh-CN"/>
        </w:rPr>
        <w:t xml:space="preserve">内的查询结果为准，截图中需体现查询日期。（中标候选人公示期间，采购人有权对中标候选人的上述网址信息进行复核，若发现中标候选人存在上述否决情形的，采购人有权取消其中标资格。） </w:t>
      </w:r>
    </w:p>
    <w:p w14:paraId="2072FEE3">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14:paraId="08B6FB71">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14:paraId="6B3E5D0A">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14:paraId="1B87D170">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14:paraId="37616A8A">
      <w:pPr>
        <w:widowControl w:val="0"/>
        <w:numPr>
          <w:ilvl w:val="0"/>
          <w:numId w:val="0"/>
        </w:numPr>
        <w:spacing w:line="240" w:lineRule="auto"/>
        <w:ind w:firstLine="0" w:firstLineChars="0"/>
      </w:pPr>
    </w:p>
    <w:p w14:paraId="714B2CC1">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14:paraId="10F15146">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5FEDA7AE">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w:t>
      </w:r>
      <w:r>
        <w:rPr>
          <w:rFonts w:hint="eastAsia" w:ascii="Calibri" w:hAnsi="Calibri"/>
          <w:b w:val="0"/>
          <w:bCs w:val="0"/>
          <w:color w:val="auto"/>
          <w:highlight w:val="none"/>
          <w:lang w:val="en-US" w:eastAsia="zh-CN"/>
        </w:rPr>
        <w:t>查询入口：</w:t>
      </w:r>
      <w:r>
        <w:rPr>
          <w:rFonts w:hint="eastAsia" w:ascii="Calibri" w:hAnsi="Calibri" w:eastAsia="宋体"/>
          <w:b w:val="0"/>
          <w:bCs w:val="0"/>
          <w:color w:val="auto"/>
          <w:highlight w:val="none"/>
        </w:rPr>
        <w:t>政务公开-信用信息双公示-行政处罚</w:t>
      </w:r>
      <w:r>
        <w:rPr>
          <w:rFonts w:hint="eastAsia" w:ascii="Calibri" w:hAnsi="Calibri" w:eastAsia="宋体"/>
          <w:lang w:val="en-US" w:eastAsia="zh-CN"/>
        </w:rPr>
        <w:t>截图证明：</w:t>
      </w:r>
    </w:p>
    <w:p w14:paraId="3BC67BAE">
      <w:pPr>
        <w:widowControl w:val="0"/>
        <w:numPr>
          <w:ilvl w:val="0"/>
          <w:numId w:val="0"/>
        </w:numPr>
        <w:spacing w:line="240" w:lineRule="auto"/>
        <w:rPr>
          <w:rFonts w:hint="eastAsia" w:ascii="Calibri" w:hAnsi="Calibri" w:eastAsia="宋体"/>
          <w:lang w:val="en-US" w:eastAsia="zh-CN"/>
        </w:rPr>
      </w:pPr>
    </w:p>
    <w:p w14:paraId="71F7FE4D">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w:t>
      </w:r>
      <w:r>
        <w:rPr>
          <w:rFonts w:hint="eastAsia" w:ascii="Calibri" w:hAnsi="Calibri"/>
          <w:b w:val="0"/>
          <w:bCs w:val="0"/>
          <w:color w:val="auto"/>
          <w:highlight w:val="none"/>
          <w:lang w:val="en-US" w:eastAsia="zh-CN"/>
        </w:rPr>
        <w:t>查询入口：</w:t>
      </w:r>
      <w:r>
        <w:rPr>
          <w:rFonts w:hint="eastAsia" w:ascii="Calibri" w:hAnsi="Calibri" w:eastAsia="宋体" w:cs="Times New Roman"/>
          <w:b w:val="0"/>
          <w:bCs w:val="0"/>
          <w:color w:val="auto"/>
          <w:kern w:val="2"/>
          <w:sz w:val="21"/>
          <w:szCs w:val="24"/>
          <w:lang w:val="en-US" w:eastAsia="zh-CN" w:bidi="ar-SA"/>
        </w:rPr>
        <w:t>网站首页-采购监管-诚信档案-入口查询行政处罚记录</w:t>
      </w:r>
      <w:r>
        <w:rPr>
          <w:rFonts w:hint="eastAsia" w:ascii="Calibri" w:hAnsi="Calibri" w:eastAsia="宋体"/>
          <w:lang w:val="en-US" w:eastAsia="zh-CN"/>
        </w:rPr>
        <w:t>截图证明：</w:t>
      </w:r>
    </w:p>
    <w:p w14:paraId="2F0DFA83">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14:paraId="2BC0417F">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Calibri" w:hAnsi="Calibri"/>
          <w:b w:val="0"/>
          <w:bCs w:val="0"/>
          <w:color w:val="auto"/>
          <w:highlight w:val="none"/>
          <w:lang w:val="en-US" w:eastAsia="zh-CN"/>
        </w:rPr>
        <w:t>查询入口：</w:t>
      </w:r>
      <w:r>
        <w:rPr>
          <w:rFonts w:hint="eastAsia" w:ascii="宋体" w:hAnsi="宋体"/>
          <w:b w:val="0"/>
          <w:bCs w:val="0"/>
          <w:color w:val="auto"/>
          <w:szCs w:val="21"/>
          <w:highlight w:val="none"/>
        </w:rPr>
        <w:t>监管信息-监管信息-交易曝光台及其他监管信息</w:t>
      </w:r>
      <w:r>
        <w:rPr>
          <w:rFonts w:hint="eastAsia" w:ascii="Calibri" w:hAnsi="Calibri" w:eastAsia="宋体"/>
          <w:lang w:val="en-US" w:eastAsia="zh-CN"/>
        </w:rPr>
        <w:t>截图证明</w:t>
      </w:r>
      <w:r>
        <w:rPr>
          <w:rFonts w:hint="eastAsia" w:ascii="宋体" w:hAnsi="宋体"/>
          <w:b w:val="0"/>
          <w:bCs w:val="0"/>
          <w:color w:val="auto"/>
          <w:szCs w:val="21"/>
          <w:highlight w:val="none"/>
        </w:rPr>
        <w:t>：</w:t>
      </w:r>
    </w:p>
    <w:p w14:paraId="072F464E">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0AD6483D">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14:paraId="0870C5EE">
      <w:pPr>
        <w:widowControl w:val="0"/>
        <w:numPr>
          <w:ilvl w:val="0"/>
          <w:numId w:val="0"/>
        </w:numPr>
        <w:spacing w:line="240" w:lineRule="auto"/>
        <w:rPr>
          <w:rFonts w:hint="eastAsia" w:ascii="Calibri" w:hAnsi="Calibri" w:eastAsia="宋体"/>
          <w:lang w:val="en-US" w:eastAsia="zh-CN"/>
        </w:rPr>
      </w:pPr>
    </w:p>
    <w:p w14:paraId="21FA6D6E">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14:paraId="3FB4ABB9">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14:paraId="2D5486FF">
      <w:pPr>
        <w:widowControl w:val="0"/>
        <w:spacing w:line="240" w:lineRule="auto"/>
        <w:ind w:firstLine="0" w:firstLineChars="0"/>
        <w:rPr>
          <w:rFonts w:hint="eastAsia" w:ascii="Calibri" w:hAnsi="Calibri" w:eastAsia="宋体"/>
          <w:b w:val="0"/>
          <w:bCs w:val="0"/>
          <w:color w:val="auto"/>
          <w:highlight w:val="none"/>
          <w:lang w:eastAsia="zh-CN"/>
        </w:rPr>
      </w:pPr>
    </w:p>
    <w:p w14:paraId="44D42C70">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1BD6847F">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6ADAEACE">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14:paraId="223BB901">
      <w:pPr>
        <w:widowControl w:val="0"/>
        <w:numPr>
          <w:ilvl w:val="0"/>
          <w:numId w:val="0"/>
        </w:numPr>
        <w:spacing w:line="240" w:lineRule="auto"/>
        <w:rPr>
          <w:rFonts w:hint="eastAsia" w:ascii="Calibri" w:hAnsi="Calibri" w:eastAsia="宋体"/>
          <w:lang w:val="en-US" w:eastAsia="zh-CN"/>
        </w:rPr>
      </w:pPr>
    </w:p>
    <w:p w14:paraId="74122C86">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14:paraId="0882BEB9">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14:paraId="7310B9D5">
      <w:pPr>
        <w:widowControl w:val="0"/>
        <w:spacing w:line="240" w:lineRule="auto"/>
        <w:ind w:firstLine="0" w:firstLineChars="0"/>
        <w:rPr>
          <w:rFonts w:hint="eastAsia" w:ascii="Calibri" w:hAnsi="Calibri" w:eastAsia="宋体"/>
          <w:b w:val="0"/>
          <w:bCs w:val="0"/>
          <w:color w:val="auto"/>
          <w:highlight w:val="none"/>
          <w:lang w:val="en-US" w:eastAsia="zh-CN"/>
        </w:rPr>
      </w:pPr>
    </w:p>
    <w:p w14:paraId="2325C04B">
      <w:pPr>
        <w:widowControl w:val="0"/>
        <w:numPr>
          <w:ilvl w:val="0"/>
          <w:numId w:val="0"/>
        </w:numPr>
        <w:spacing w:line="240" w:lineRule="auto"/>
        <w:rPr>
          <w:rFonts w:hint="eastAsia" w:ascii="Calibri" w:hAnsi="Calibri" w:eastAsia="宋体"/>
          <w:b w:val="0"/>
          <w:bCs w:val="0"/>
          <w:color w:val="auto"/>
          <w:highlight w:val="none"/>
          <w:lang w:val="en-US" w:eastAsia="zh-CN"/>
        </w:rPr>
      </w:pPr>
    </w:p>
    <w:p w14:paraId="67999D48">
      <w:pPr>
        <w:widowControl w:val="0"/>
        <w:numPr>
          <w:ilvl w:val="0"/>
          <w:numId w:val="0"/>
        </w:numPr>
        <w:spacing w:line="240" w:lineRule="auto"/>
        <w:ind w:left="0" w:leftChars="0" w:firstLine="0" w:firstLineChars="0"/>
        <w:rPr>
          <w:rFonts w:eastAsia="宋体"/>
        </w:rPr>
      </w:pPr>
    </w:p>
    <w:p w14:paraId="00DE4802">
      <w:pPr>
        <w:widowControl w:val="0"/>
        <w:numPr>
          <w:ilvl w:val="0"/>
          <w:numId w:val="0"/>
        </w:numPr>
        <w:spacing w:line="240" w:lineRule="auto"/>
        <w:ind w:left="0" w:leftChars="0" w:firstLine="0" w:firstLineChars="0"/>
        <w:rPr>
          <w:rFonts w:eastAsia="宋体"/>
        </w:rPr>
      </w:pPr>
    </w:p>
    <w:p w14:paraId="2C11709F">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14:paraId="5DEC6281">
      <w:pPr>
        <w:widowControl w:val="0"/>
        <w:numPr>
          <w:ilvl w:val="0"/>
          <w:numId w:val="0"/>
        </w:numPr>
        <w:spacing w:line="240" w:lineRule="auto"/>
        <w:ind w:leftChars="0"/>
        <w:rPr>
          <w:rFonts w:hint="eastAsia" w:ascii="Calibri" w:hAnsi="Calibri" w:eastAsia="宋体"/>
          <w:lang w:val="en-US" w:eastAsia="zh-CN"/>
        </w:rPr>
      </w:pPr>
    </w:p>
    <w:p w14:paraId="79F8DF69">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14:paraId="2FC25887">
      <w:pPr>
        <w:widowControl w:val="0"/>
        <w:numPr>
          <w:ilvl w:val="0"/>
          <w:numId w:val="0"/>
        </w:numPr>
        <w:spacing w:line="240" w:lineRule="auto"/>
        <w:ind w:leftChars="0"/>
        <w:rPr>
          <w:rFonts w:hint="eastAsia" w:ascii="Calibri" w:hAnsi="Calibri" w:eastAsia="宋体"/>
          <w:lang w:val="en-US" w:eastAsia="zh-CN"/>
        </w:rPr>
      </w:pPr>
    </w:p>
    <w:p w14:paraId="55A8871C">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14:paraId="783BFD7C">
      <w:pPr>
        <w:widowControl w:val="0"/>
        <w:numPr>
          <w:ilvl w:val="0"/>
          <w:numId w:val="0"/>
        </w:numPr>
        <w:spacing w:line="240" w:lineRule="auto"/>
        <w:rPr>
          <w:rFonts w:hint="eastAsia" w:ascii="Calibri" w:hAnsi="Calibri" w:eastAsia="宋体" w:cs="Times New Roman"/>
          <w:kern w:val="2"/>
          <w:sz w:val="21"/>
          <w:szCs w:val="24"/>
          <w:lang w:val="en-US" w:eastAsia="zh-CN" w:bidi="ar-SA"/>
        </w:rPr>
      </w:pPr>
    </w:p>
    <w:p w14:paraId="18647004">
      <w:pPr>
        <w:widowControl w:val="0"/>
        <w:numPr>
          <w:ilvl w:val="0"/>
          <w:numId w:val="0"/>
        </w:numPr>
        <w:spacing w:line="240" w:lineRule="auto"/>
        <w:rPr>
          <w:rFonts w:hint="eastAsia" w:ascii="Calibri" w:hAnsi="Calibri" w:eastAsia="宋体"/>
          <w:lang w:val="en-US" w:eastAsia="zh-CN"/>
        </w:rPr>
      </w:pPr>
    </w:p>
    <w:p w14:paraId="367617B4">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032A1F27">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09D2D3FA">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b w:val="0"/>
          <w:bCs w:val="0"/>
          <w:color w:val="auto"/>
          <w:highlight w:val="none"/>
          <w:lang w:val="en-US" w:eastAsia="zh-CN"/>
        </w:rPr>
        <w:t>查询入口：</w:t>
      </w:r>
      <w:r>
        <w:rPr>
          <w:rFonts w:hint="eastAsia" w:ascii="Calibri" w:hAnsi="Calibri"/>
          <w:lang w:val="en-US" w:eastAsia="zh-CN"/>
        </w:rPr>
        <w:t>信息公示-行政管理信息查询-严重失信主体名单查询</w:t>
      </w:r>
      <w:r>
        <w:rPr>
          <w:rFonts w:hint="eastAsia" w:ascii="Calibri" w:hAnsi="Calibri" w:eastAsia="宋体"/>
          <w:lang w:val="en-US" w:eastAsia="zh-CN"/>
        </w:rPr>
        <w:t>截图证明：</w:t>
      </w:r>
    </w:p>
    <w:p w14:paraId="0B4BC977">
      <w:pPr>
        <w:widowControl w:val="0"/>
        <w:numPr>
          <w:ilvl w:val="0"/>
          <w:numId w:val="0"/>
        </w:numPr>
        <w:spacing w:line="240" w:lineRule="auto"/>
        <w:rPr>
          <w:rFonts w:hint="eastAsia" w:ascii="Calibri" w:hAnsi="Calibri" w:eastAsia="宋体"/>
          <w:lang w:val="en-US" w:eastAsia="zh-CN"/>
        </w:rPr>
      </w:pPr>
    </w:p>
    <w:p w14:paraId="7864CD21">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14:paraId="0CEB47F0">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14:paraId="0322602B">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14:paraId="0DE428C7">
      <w:pPr>
        <w:widowControl w:val="0"/>
        <w:numPr>
          <w:ilvl w:val="0"/>
          <w:numId w:val="0"/>
        </w:numPr>
        <w:spacing w:line="240" w:lineRule="auto"/>
        <w:ind w:left="0" w:leftChars="0" w:firstLine="0" w:firstLineChars="0"/>
      </w:pPr>
    </w:p>
    <w:p w14:paraId="3DAF3C3B">
      <w:pPr>
        <w:widowControl w:val="0"/>
        <w:spacing w:line="240" w:lineRule="auto"/>
        <w:ind w:firstLine="0" w:firstLineChars="0"/>
        <w:rPr>
          <w:rFonts w:hint="eastAsia" w:ascii="Calibri" w:hAnsi="Calibri" w:eastAsia="宋体"/>
          <w:b w:val="0"/>
          <w:bCs w:val="0"/>
          <w:color w:val="auto"/>
          <w:highlight w:val="none"/>
        </w:rPr>
      </w:pPr>
    </w:p>
    <w:p w14:paraId="4C7B4BCE">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14:paraId="0B4427BB">
      <w:pPr>
        <w:widowControl w:val="0"/>
        <w:numPr>
          <w:ilvl w:val="0"/>
          <w:numId w:val="0"/>
        </w:numPr>
        <w:spacing w:line="240" w:lineRule="auto"/>
        <w:jc w:val="both"/>
        <w:rPr>
          <w:rFonts w:hint="eastAsia" w:ascii="Calibri" w:hAnsi="Calibri" w:eastAsia="宋体"/>
          <w:lang w:val="en-US" w:eastAsia="zh-CN"/>
        </w:rPr>
      </w:pPr>
    </w:p>
    <w:p w14:paraId="0E861AA9">
      <w:pPr>
        <w:pStyle w:val="4"/>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14:paraId="304EC6E2">
      <w:pPr>
        <w:pStyle w:val="4"/>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14:paraId="1F91C999">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14:paraId="2541F7F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w:t>
      </w:r>
    </w:p>
    <w:p w14:paraId="46B9747C">
      <w:pPr>
        <w:rPr>
          <w:rFonts w:hint="eastAsia"/>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3BC0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633BAE5">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14:paraId="0B5E184E">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14:paraId="7FAA4344">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14:paraId="7AAFE69B">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14:paraId="221B8724">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14:paraId="7672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6D08C4D">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14:paraId="781CECDF">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14:paraId="28FA25CE">
            <w:pPr>
              <w:rPr>
                <w:rFonts w:hint="default"/>
                <w:sz w:val="20"/>
                <w:szCs w:val="21"/>
                <w:u w:val="none"/>
                <w:vertAlign w:val="baseline"/>
                <w:lang w:val="en-US" w:eastAsia="zh-CN"/>
              </w:rPr>
            </w:pPr>
          </w:p>
        </w:tc>
        <w:tc>
          <w:tcPr>
            <w:tcW w:w="1957" w:type="dxa"/>
          </w:tcPr>
          <w:p w14:paraId="049B58D7">
            <w:pPr>
              <w:rPr>
                <w:rFonts w:hint="default"/>
                <w:sz w:val="20"/>
                <w:szCs w:val="21"/>
                <w:u w:val="none"/>
                <w:vertAlign w:val="baseline"/>
                <w:lang w:val="en-US" w:eastAsia="zh-CN"/>
              </w:rPr>
            </w:pPr>
          </w:p>
        </w:tc>
        <w:tc>
          <w:tcPr>
            <w:tcW w:w="1705" w:type="dxa"/>
          </w:tcPr>
          <w:p w14:paraId="62317FB6">
            <w:pPr>
              <w:rPr>
                <w:rFonts w:hint="default"/>
                <w:sz w:val="20"/>
                <w:szCs w:val="21"/>
                <w:u w:val="none"/>
                <w:vertAlign w:val="baseline"/>
                <w:lang w:val="en-US" w:eastAsia="zh-CN"/>
              </w:rPr>
            </w:pPr>
          </w:p>
        </w:tc>
      </w:tr>
      <w:tr w14:paraId="38AF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3409E3F">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14:paraId="3DA179D0">
            <w:pPr>
              <w:rPr>
                <w:rFonts w:hint="eastAsia"/>
                <w:sz w:val="20"/>
                <w:szCs w:val="21"/>
                <w:u w:val="none"/>
                <w:vertAlign w:val="baseline"/>
                <w:lang w:val="en-US" w:eastAsia="zh-CN"/>
              </w:rPr>
            </w:pPr>
          </w:p>
        </w:tc>
        <w:tc>
          <w:tcPr>
            <w:tcW w:w="2113" w:type="dxa"/>
          </w:tcPr>
          <w:p w14:paraId="74ADEAA7">
            <w:pPr>
              <w:rPr>
                <w:rFonts w:hint="default"/>
                <w:sz w:val="20"/>
                <w:szCs w:val="21"/>
                <w:u w:val="none"/>
                <w:vertAlign w:val="baseline"/>
                <w:lang w:val="en-US" w:eastAsia="zh-CN"/>
              </w:rPr>
            </w:pPr>
          </w:p>
        </w:tc>
        <w:tc>
          <w:tcPr>
            <w:tcW w:w="1957" w:type="dxa"/>
          </w:tcPr>
          <w:p w14:paraId="530EA390">
            <w:pPr>
              <w:rPr>
                <w:rFonts w:hint="default"/>
                <w:sz w:val="20"/>
                <w:szCs w:val="21"/>
                <w:u w:val="none"/>
                <w:vertAlign w:val="baseline"/>
                <w:lang w:val="en-US" w:eastAsia="zh-CN"/>
              </w:rPr>
            </w:pPr>
          </w:p>
        </w:tc>
        <w:tc>
          <w:tcPr>
            <w:tcW w:w="1705" w:type="dxa"/>
          </w:tcPr>
          <w:p w14:paraId="18478BBA">
            <w:pPr>
              <w:rPr>
                <w:rFonts w:hint="default"/>
                <w:sz w:val="20"/>
                <w:szCs w:val="21"/>
                <w:u w:val="none"/>
                <w:vertAlign w:val="baseline"/>
                <w:lang w:val="en-US" w:eastAsia="zh-CN"/>
              </w:rPr>
            </w:pPr>
          </w:p>
        </w:tc>
      </w:tr>
      <w:tr w14:paraId="4CC6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7326E44D">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14:paraId="583F8035">
            <w:pPr>
              <w:rPr>
                <w:rFonts w:hint="eastAsia"/>
                <w:sz w:val="20"/>
                <w:szCs w:val="21"/>
                <w:u w:val="none"/>
                <w:vertAlign w:val="baseline"/>
                <w:lang w:val="en-US" w:eastAsia="zh-CN"/>
              </w:rPr>
            </w:pPr>
          </w:p>
        </w:tc>
        <w:tc>
          <w:tcPr>
            <w:tcW w:w="2113" w:type="dxa"/>
          </w:tcPr>
          <w:p w14:paraId="32B0BAE3">
            <w:pPr>
              <w:rPr>
                <w:rFonts w:hint="default"/>
                <w:sz w:val="20"/>
                <w:szCs w:val="21"/>
                <w:u w:val="none"/>
                <w:vertAlign w:val="baseline"/>
                <w:lang w:val="en-US" w:eastAsia="zh-CN"/>
              </w:rPr>
            </w:pPr>
          </w:p>
        </w:tc>
        <w:tc>
          <w:tcPr>
            <w:tcW w:w="1957" w:type="dxa"/>
          </w:tcPr>
          <w:p w14:paraId="79597C75">
            <w:pPr>
              <w:rPr>
                <w:rFonts w:hint="default"/>
                <w:sz w:val="20"/>
                <w:szCs w:val="21"/>
                <w:u w:val="none"/>
                <w:vertAlign w:val="baseline"/>
                <w:lang w:val="en-US" w:eastAsia="zh-CN"/>
              </w:rPr>
            </w:pPr>
          </w:p>
        </w:tc>
        <w:tc>
          <w:tcPr>
            <w:tcW w:w="1705" w:type="dxa"/>
          </w:tcPr>
          <w:p w14:paraId="3CD05F1D">
            <w:pPr>
              <w:rPr>
                <w:rFonts w:hint="default"/>
                <w:sz w:val="20"/>
                <w:szCs w:val="21"/>
                <w:u w:val="none"/>
                <w:vertAlign w:val="baseline"/>
                <w:lang w:val="en-US" w:eastAsia="zh-CN"/>
              </w:rPr>
            </w:pPr>
          </w:p>
        </w:tc>
      </w:tr>
    </w:tbl>
    <w:p w14:paraId="1D5466A1">
      <w:pPr>
        <w:rPr>
          <w:rFonts w:hint="default"/>
          <w:u w:val="none"/>
          <w:lang w:val="en-US" w:eastAsia="zh-CN"/>
        </w:rPr>
      </w:pPr>
    </w:p>
    <w:p w14:paraId="296815E4">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14:paraId="1E0AAAB7">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14:paraId="4176580B">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14:paraId="11523D4E">
      <w:pPr>
        <w:pStyle w:val="2"/>
        <w:rPr>
          <w:rFonts w:hint="eastAsia"/>
          <w:lang w:val="en-US" w:eastAsia="zh-CN"/>
        </w:rPr>
      </w:pPr>
    </w:p>
    <w:p w14:paraId="50FE34BC">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7BE0223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14:paraId="79665015">
      <w:pPr>
        <w:tabs>
          <w:tab w:val="left" w:pos="7560"/>
        </w:tabs>
        <w:spacing w:line="360" w:lineRule="auto"/>
        <w:ind w:firstLine="420" w:firstLineChars="200"/>
        <w:contextualSpacing/>
        <w:rPr>
          <w:rFonts w:hint="eastAsia" w:ascii="宋体" w:hAnsi="宋体" w:eastAsia="宋体" w:cs="仿宋_GB2312"/>
          <w:szCs w:val="21"/>
        </w:rPr>
      </w:pPr>
    </w:p>
    <w:p w14:paraId="254FCFE8">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14:paraId="4EAB91E2">
      <w:pPr>
        <w:rPr>
          <w:rFonts w:hint="eastAsia" w:ascii="宋体" w:hAnsi="宋体" w:eastAsia="宋体" w:cs="宋体"/>
          <w:b/>
          <w:kern w:val="2"/>
          <w:sz w:val="36"/>
          <w:szCs w:val="32"/>
          <w:lang w:val="en-US" w:eastAsia="zh-CN"/>
        </w:rPr>
      </w:pPr>
    </w:p>
    <w:p w14:paraId="4E696398">
      <w:pPr>
        <w:rPr>
          <w:rFonts w:hint="eastAsia" w:ascii="宋体" w:hAnsi="宋体" w:eastAsia="宋体" w:cs="宋体"/>
          <w:b/>
          <w:kern w:val="2"/>
          <w:sz w:val="36"/>
          <w:szCs w:val="32"/>
          <w:lang w:val="en-US" w:eastAsia="zh-CN"/>
        </w:rPr>
      </w:pPr>
    </w:p>
    <w:p w14:paraId="1CB7B62F">
      <w:pPr>
        <w:rPr>
          <w:rFonts w:hint="eastAsia" w:ascii="宋体" w:hAnsi="宋体" w:eastAsia="宋体" w:cs="宋体"/>
          <w:b/>
          <w:kern w:val="2"/>
          <w:sz w:val="36"/>
          <w:szCs w:val="32"/>
          <w:lang w:val="en-US" w:eastAsia="zh-CN"/>
        </w:rPr>
      </w:pPr>
    </w:p>
    <w:p w14:paraId="7F6580FA">
      <w:pPr>
        <w:rPr>
          <w:rFonts w:hint="eastAsia" w:ascii="宋体" w:hAnsi="宋体" w:eastAsia="宋体" w:cs="宋体"/>
          <w:b/>
          <w:kern w:val="2"/>
          <w:sz w:val="36"/>
          <w:szCs w:val="32"/>
          <w:lang w:val="en-US" w:eastAsia="zh-CN"/>
        </w:rPr>
      </w:pPr>
    </w:p>
    <w:p w14:paraId="1253BBD8">
      <w:pPr>
        <w:rPr>
          <w:rFonts w:hint="eastAsia" w:ascii="宋体" w:hAnsi="宋体" w:eastAsia="宋体" w:cs="宋体"/>
          <w:b/>
          <w:kern w:val="2"/>
          <w:sz w:val="36"/>
          <w:szCs w:val="32"/>
          <w:lang w:val="en-US" w:eastAsia="zh-CN"/>
        </w:rPr>
      </w:pPr>
    </w:p>
    <w:p w14:paraId="79E83731">
      <w:pPr>
        <w:rPr>
          <w:rFonts w:hint="eastAsia" w:ascii="宋体" w:hAnsi="宋体" w:eastAsia="宋体" w:cs="宋体"/>
          <w:b/>
          <w:kern w:val="2"/>
          <w:sz w:val="36"/>
          <w:szCs w:val="32"/>
          <w:lang w:val="en-US" w:eastAsia="zh-CN"/>
        </w:rPr>
      </w:pPr>
    </w:p>
    <w:p w14:paraId="5F0FA34A">
      <w:pPr>
        <w:rPr>
          <w:rFonts w:hint="eastAsia" w:ascii="宋体" w:hAnsi="宋体" w:eastAsia="宋体" w:cs="宋体"/>
          <w:b/>
          <w:kern w:val="2"/>
          <w:sz w:val="36"/>
          <w:szCs w:val="32"/>
          <w:lang w:val="en-US" w:eastAsia="zh-CN"/>
        </w:rPr>
      </w:pPr>
    </w:p>
    <w:p w14:paraId="13A41FA3">
      <w:pPr>
        <w:rPr>
          <w:rFonts w:hint="eastAsia" w:ascii="宋体" w:hAnsi="宋体" w:eastAsia="宋体" w:cs="宋体"/>
          <w:b/>
          <w:kern w:val="2"/>
          <w:sz w:val="36"/>
          <w:szCs w:val="32"/>
          <w:lang w:val="en-US" w:eastAsia="zh-CN"/>
        </w:rPr>
      </w:pPr>
    </w:p>
    <w:p w14:paraId="0C1B12F4">
      <w:pPr>
        <w:pStyle w:val="4"/>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14:paraId="59624F01">
      <w:pPr>
        <w:rPr>
          <w:rFonts w:hint="eastAsia" w:ascii="宋体" w:hAnsi="宋体" w:eastAsia="宋体" w:cs="宋体"/>
          <w:b/>
          <w:kern w:val="2"/>
          <w:sz w:val="36"/>
          <w:szCs w:val="32"/>
          <w:lang w:val="en-US" w:eastAsia="zh-CN"/>
        </w:rPr>
      </w:pPr>
    </w:p>
    <w:p w14:paraId="5949C8F9">
      <w:pPr>
        <w:rPr>
          <w:rFonts w:hint="eastAsia" w:ascii="宋体" w:hAnsi="宋体" w:eastAsia="宋体" w:cs="宋体"/>
          <w:b/>
          <w:kern w:val="2"/>
          <w:sz w:val="36"/>
          <w:szCs w:val="32"/>
          <w:lang w:val="en-US" w:eastAsia="zh-CN"/>
        </w:rPr>
      </w:pPr>
    </w:p>
    <w:p w14:paraId="6297FD22">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14:paraId="04AA036A">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14:paraId="17B1A74E">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14:paraId="2207591E">
      <w:pPr>
        <w:tabs>
          <w:tab w:val="left" w:pos="7560"/>
        </w:tabs>
        <w:spacing w:line="360" w:lineRule="auto"/>
        <w:ind w:firstLine="420" w:firstLineChars="200"/>
        <w:contextualSpacing/>
        <w:rPr>
          <w:rFonts w:ascii="宋体" w:hAnsi="宋体" w:eastAsia="宋体"/>
          <w:szCs w:val="21"/>
        </w:rPr>
      </w:pPr>
    </w:p>
    <w:p w14:paraId="631B6D7A">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14:paraId="2A0C9164">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14:paraId="45D55F1F">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14:paraId="40F3C6D3">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14:paraId="2A797A3D">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14:paraId="35296B6F">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243F2F60">
      <w:pPr>
        <w:tabs>
          <w:tab w:val="left" w:pos="7560"/>
        </w:tabs>
        <w:spacing w:line="360" w:lineRule="auto"/>
        <w:ind w:firstLine="420" w:firstLineChars="200"/>
        <w:contextualSpacing/>
        <w:rPr>
          <w:color w:val="auto"/>
        </w:rPr>
      </w:pPr>
      <w:r>
        <w:rPr>
          <w:rFonts w:hint="eastAsia" w:ascii="宋体" w:hAnsi="宋体" w:eastAsia="宋体"/>
          <w:color w:val="auto"/>
          <w:szCs w:val="21"/>
          <w:lang w:val="en-US" w:eastAsia="zh-CN"/>
        </w:rPr>
        <w:t>税率</w:t>
      </w:r>
      <w:r>
        <w:rPr>
          <w:rFonts w:hint="eastAsia" w:ascii="宋体" w:hAnsi="宋体" w:eastAsia="宋体"/>
          <w:color w:val="auto"/>
          <w:szCs w:val="21"/>
        </w:rPr>
        <w:t>（%）：</w:t>
      </w:r>
      <w:r>
        <w:rPr>
          <w:rFonts w:hint="eastAsia" w:ascii="宋体" w:hAnsi="宋体" w:eastAsia="宋体"/>
          <w:color w:val="auto"/>
          <w:szCs w:val="21"/>
          <w:u w:val="single"/>
        </w:rPr>
        <w:t xml:space="preserve">              </w:t>
      </w:r>
    </w:p>
    <w:p w14:paraId="2993439D">
      <w:pPr>
        <w:tabs>
          <w:tab w:val="left" w:pos="7560"/>
        </w:tabs>
        <w:spacing w:line="360" w:lineRule="auto"/>
        <w:contextualSpacing/>
        <w:rPr>
          <w:rFonts w:ascii="宋体" w:hAnsi="宋体" w:eastAsia="宋体" w:cs="仿宋_GB2312"/>
          <w:szCs w:val="21"/>
        </w:rPr>
      </w:pPr>
    </w:p>
    <w:p w14:paraId="31FCDCFB">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14:paraId="68E1D261">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14:paraId="7AC15DD4">
      <w:pPr>
        <w:pStyle w:val="6"/>
        <w:spacing w:line="360" w:lineRule="auto"/>
        <w:rPr>
          <w:rFonts w:hint="eastAsia" w:ascii="宋体" w:hAnsi="宋体"/>
          <w:szCs w:val="21"/>
          <w:highlight w:val="yellow"/>
        </w:rPr>
      </w:pPr>
      <w:r>
        <w:rPr>
          <w:rFonts w:hint="eastAsia" w:ascii="宋体" w:hAnsi="宋体" w:cs="仿宋_GB2312"/>
          <w:kern w:val="2"/>
          <w:sz w:val="21"/>
          <w:szCs w:val="21"/>
        </w:rPr>
        <w:t>响应人联系人及其联系电话</w:t>
      </w:r>
      <w:r>
        <w:rPr>
          <w:rFonts w:hint="eastAsia" w:ascii="宋体" w:hAnsi="宋体" w:cs="仿宋_GB2312"/>
          <w:szCs w:val="21"/>
        </w:rPr>
        <w:t>：</w:t>
      </w:r>
      <w:r>
        <w:rPr>
          <w:rFonts w:hint="eastAsia" w:ascii="宋体" w:hAnsi="宋体" w:cs="仿宋_GB2312"/>
          <w:szCs w:val="21"/>
          <w:u w:val="single"/>
        </w:rPr>
        <w:t xml:space="preserve">                                 </w:t>
      </w:r>
      <w:bookmarkStart w:id="10" w:name="_GoBack"/>
      <w:bookmarkEnd w:id="10"/>
    </w:p>
    <w:p w14:paraId="5B13E40A">
      <w:pPr>
        <w:tabs>
          <w:tab w:val="left" w:pos="7560"/>
        </w:tabs>
        <w:spacing w:line="360" w:lineRule="auto"/>
        <w:ind w:firstLine="422" w:firstLineChars="200"/>
        <w:contextualSpacing/>
        <w:rPr>
          <w:rFonts w:ascii="宋体" w:hAnsi="宋体" w:eastAsia="宋体"/>
          <w:b/>
          <w:color w:val="000000"/>
          <w:szCs w:val="21"/>
        </w:rPr>
      </w:pPr>
    </w:p>
    <w:p w14:paraId="582B4FF1">
      <w:pPr>
        <w:widowControl/>
        <w:spacing w:line="360" w:lineRule="auto"/>
        <w:ind w:firstLine="420" w:firstLineChars="200"/>
        <w:contextualSpacing/>
        <w:rPr>
          <w:rFonts w:ascii="宋体" w:hAnsi="宋体" w:eastAsia="宋体" w:cs="仿宋_GB2312"/>
          <w:szCs w:val="21"/>
        </w:rPr>
      </w:pPr>
    </w:p>
    <w:p w14:paraId="2B9AFBE5">
      <w:pPr>
        <w:widowControl/>
        <w:spacing w:line="360" w:lineRule="auto"/>
        <w:ind w:firstLine="420" w:firstLineChars="200"/>
        <w:contextualSpacing/>
        <w:rPr>
          <w:rFonts w:ascii="宋体" w:hAnsi="宋体" w:eastAsia="宋体" w:cs="仿宋_GB2312"/>
          <w:szCs w:val="21"/>
        </w:rPr>
      </w:pPr>
    </w:p>
    <w:p w14:paraId="5FEA05DB">
      <w:pPr>
        <w:widowControl/>
        <w:jc w:val="left"/>
        <w:rPr>
          <w:rFonts w:ascii="宋体" w:hAnsi="宋体" w:eastAsia="宋体"/>
          <w:szCs w:val="21"/>
        </w:rPr>
      </w:pPr>
    </w:p>
    <w:p w14:paraId="197B48FB"/>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BC9361-449A-41C7-93FE-2738EB813EA8}"/>
  </w:font>
  <w:font w:name="Courier New">
    <w:panose1 w:val="02070309020205020404"/>
    <w:charset w:val="01"/>
    <w:family w:val="modern"/>
    <w:pitch w:val="default"/>
    <w:sig w:usb0="E0002EFF" w:usb1="C0007843" w:usb2="00000009" w:usb3="00000000" w:csb0="400001FF" w:csb1="FFFF0000"/>
    <w:embedRegular r:id="rId2" w:fontKey="{5525C465-8D8F-4DF3-98C9-7555CD04272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6DADE81-D1B4-46B0-B02E-3167A693324A}"/>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2289BD10-082C-466D-B484-D26B1468E664}"/>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embedRegular r:id="rId5" w:fontKey="{9BFDAAB6-C1CF-46FD-88E9-E2D47ED9FC72}"/>
  </w:font>
  <w:font w:name="方正小标宋简体">
    <w:panose1 w:val="02000000000000000000"/>
    <w:charset w:val="86"/>
    <w:family w:val="auto"/>
    <w:pitch w:val="default"/>
    <w:sig w:usb0="A00002BF" w:usb1="184F6CFA" w:usb2="00000012" w:usb3="00000000" w:csb0="00040001" w:csb1="00000000"/>
    <w:embedRegular r:id="rId6" w:fontKey="{7843F26D-0B75-4BCD-B663-C8CD609A3AA6}"/>
  </w:font>
  <w:font w:name="Segoe UI Symbol">
    <w:panose1 w:val="020B0502040204020203"/>
    <w:charset w:val="00"/>
    <w:family w:val="swiss"/>
    <w:pitch w:val="default"/>
    <w:sig w:usb0="800001E3" w:usb1="1200FFEF" w:usb2="00040000" w:usb3="04000000" w:csb0="00000001" w:csb1="40000000"/>
    <w:embedRegular r:id="rId7" w:fontKey="{F4A71694-5950-4864-A2C6-129766CF46A2}"/>
  </w:font>
  <w:font w:name="WPSEMBED1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6337D">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701BE">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4C63869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F129B">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abstractNum w:abstractNumId="1">
    <w:nsid w:val="00000000"/>
    <w:multiLevelType w:val="singleLevel"/>
    <w:tmpl w:val="00000000"/>
    <w:lvl w:ilvl="0" w:tentative="0">
      <w:start w:val="8"/>
      <w:numFmt w:val="decimal"/>
      <w:suff w:val="nothing"/>
      <w:lvlText w:val="%1、"/>
      <w:lvlJc w:val="left"/>
    </w:lvl>
  </w:abstractNum>
  <w:abstractNum w:abstractNumId="2">
    <w:nsid w:val="00000001"/>
    <w:multiLevelType w:val="singleLevel"/>
    <w:tmpl w:val="00000001"/>
    <w:lvl w:ilvl="0" w:tentative="0">
      <w:start w:val="1"/>
      <w:numFmt w:val="chineseCounting"/>
      <w:suff w:val="nothing"/>
      <w:lvlText w:val="%1、"/>
      <w:lvlJc w:val="left"/>
      <w:rPr>
        <w:rFonts w:hint="eastAsia"/>
      </w:rPr>
    </w:lvl>
  </w:abstractNum>
  <w:abstractNum w:abstractNumId="3">
    <w:nsid w:val="58F032E6"/>
    <w:multiLevelType w:val="singleLevel"/>
    <w:tmpl w:val="58F032E6"/>
    <w:lvl w:ilvl="0" w:tentative="0">
      <w:start w:val="10"/>
      <w:numFmt w:val="decimal"/>
      <w:suff w:val="nothing"/>
      <w:lvlText w:val="%1、"/>
      <w:lvlJc w:val="left"/>
    </w:lvl>
  </w:abstractNum>
  <w:abstractNum w:abstractNumId="4">
    <w:nsid w:val="58F03478"/>
    <w:multiLevelType w:val="singleLevel"/>
    <w:tmpl w:val="58F03478"/>
    <w:lvl w:ilvl="0" w:tentative="0">
      <w:start w:val="15"/>
      <w:numFmt w:val="decimal"/>
      <w:suff w:val="nothing"/>
      <w:lvlText w:val="%1、"/>
      <w:lvlJc w:val="left"/>
    </w:lvl>
  </w:abstractNum>
  <w:abstractNum w:abstractNumId="5">
    <w:nsid w:val="671E52EF"/>
    <w:multiLevelType w:val="singleLevel"/>
    <w:tmpl w:val="671E52EF"/>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4291871696168723NR"/>
    <w:docVar w:name="aztPrintName" w:val="000000ESAOAPRINT"/>
    <w:docVar w:name="aztPrintType" w:val="2"/>
  </w:docVars>
  <w:rsids>
    <w:rsidRoot w:val="00000000"/>
    <w:rsid w:val="01C77EEB"/>
    <w:rsid w:val="01F51D29"/>
    <w:rsid w:val="02590097"/>
    <w:rsid w:val="03323B24"/>
    <w:rsid w:val="04C64E6C"/>
    <w:rsid w:val="05D9472B"/>
    <w:rsid w:val="08122176"/>
    <w:rsid w:val="0A726EFC"/>
    <w:rsid w:val="0C9F0527"/>
    <w:rsid w:val="0DF821FB"/>
    <w:rsid w:val="0E266886"/>
    <w:rsid w:val="0F7C1515"/>
    <w:rsid w:val="106C4FF9"/>
    <w:rsid w:val="14966516"/>
    <w:rsid w:val="168406E3"/>
    <w:rsid w:val="196E29F7"/>
    <w:rsid w:val="19D53961"/>
    <w:rsid w:val="1CCF4162"/>
    <w:rsid w:val="1DFE6FCD"/>
    <w:rsid w:val="1F2E1897"/>
    <w:rsid w:val="1F7E2174"/>
    <w:rsid w:val="1FF757A6"/>
    <w:rsid w:val="26F90132"/>
    <w:rsid w:val="2B3869FB"/>
    <w:rsid w:val="2C1300E8"/>
    <w:rsid w:val="2FB10427"/>
    <w:rsid w:val="32150ED6"/>
    <w:rsid w:val="35C00D16"/>
    <w:rsid w:val="37003C4A"/>
    <w:rsid w:val="37977E1F"/>
    <w:rsid w:val="3B245E6D"/>
    <w:rsid w:val="3D332398"/>
    <w:rsid w:val="3F3A3345"/>
    <w:rsid w:val="3F406FEE"/>
    <w:rsid w:val="42C35F6C"/>
    <w:rsid w:val="465F5FAB"/>
    <w:rsid w:val="47796768"/>
    <w:rsid w:val="49A563CB"/>
    <w:rsid w:val="49BC5519"/>
    <w:rsid w:val="4AAB5976"/>
    <w:rsid w:val="4CF96744"/>
    <w:rsid w:val="4E654FFE"/>
    <w:rsid w:val="4F9E4497"/>
    <w:rsid w:val="50AF31D1"/>
    <w:rsid w:val="50D902AD"/>
    <w:rsid w:val="53073C53"/>
    <w:rsid w:val="55FC08E0"/>
    <w:rsid w:val="56646BDD"/>
    <w:rsid w:val="569C43FB"/>
    <w:rsid w:val="57FA3D86"/>
    <w:rsid w:val="587D6765"/>
    <w:rsid w:val="59022F3E"/>
    <w:rsid w:val="5A2D0385"/>
    <w:rsid w:val="5A697F36"/>
    <w:rsid w:val="5B5E7F7E"/>
    <w:rsid w:val="5D9712D3"/>
    <w:rsid w:val="5DC015CE"/>
    <w:rsid w:val="5DDD6788"/>
    <w:rsid w:val="6445580E"/>
    <w:rsid w:val="64E363CF"/>
    <w:rsid w:val="67C76F53"/>
    <w:rsid w:val="69E41031"/>
    <w:rsid w:val="69E63C4E"/>
    <w:rsid w:val="6CD72490"/>
    <w:rsid w:val="6F665CD2"/>
    <w:rsid w:val="6FC53B42"/>
    <w:rsid w:val="7000549B"/>
    <w:rsid w:val="72A31F74"/>
    <w:rsid w:val="739807BF"/>
    <w:rsid w:val="739A2A0C"/>
    <w:rsid w:val="74300AF6"/>
    <w:rsid w:val="756533CA"/>
    <w:rsid w:val="76B647A4"/>
    <w:rsid w:val="7C594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atLeast"/>
    </w:pPr>
    <w:rPr>
      <w:rFonts w:ascii="宋体" w:hAnsi="宋体" w:eastAsia="宋体" w:cs="宋体"/>
      <w:sz w:val="28"/>
      <w:szCs w:val="28"/>
    </w:rPr>
  </w:style>
  <w:style w:type="paragraph" w:styleId="6">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7">
    <w:name w:val="annotation text"/>
    <w:basedOn w:val="1"/>
    <w:unhideWhenUsed/>
    <w:qFormat/>
    <w:uiPriority w:val="0"/>
    <w:pPr>
      <w:jc w:val="left"/>
    </w:pPr>
  </w:style>
  <w:style w:type="paragraph" w:styleId="8">
    <w:name w:val="Body Text Indent"/>
    <w:basedOn w:val="1"/>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2">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4">
    <w:name w:val="Table Grid"/>
    <w:basedOn w:val="13"/>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color w:val="auto"/>
      <w:u w:val="none"/>
    </w:rPr>
  </w:style>
  <w:style w:type="character" w:customStyle="1" w:styleId="17">
    <w:name w:val="editmail"/>
    <w:qFormat/>
    <w:uiPriority w:val="0"/>
  </w:style>
  <w:style w:type="paragraph" w:customStyle="1" w:styleId="18">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76</Pages>
  <Words>45423</Words>
  <Characters>47087</Characters>
  <Lines>0</Lines>
  <Paragraphs>0</Paragraphs>
  <TotalTime>0</TotalTime>
  <ScaleCrop>false</ScaleCrop>
  <LinksUpToDate>false</LinksUpToDate>
  <CharactersWithSpaces>48020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yogurt</cp:lastModifiedBy>
  <dcterms:modified xsi:type="dcterms:W3CDTF">2026-07-31T08:51:37Z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28387FD1F9B9442AAD6DFFB571480887_13</vt:lpwstr>
  </property>
  <property fmtid="{D5CDD505-2E9C-101B-9397-08002B2CF9AE}" pid="4" name="KSOTemplateDocerSaveRecord">
    <vt:lpwstr>eyJoZGlkIjoiNDFkNTIzY2YyMzZkNzczZTZmMGU0YTg2MmVjMWFhNWEiLCJ1c2VySWQiOiIzNDgxNDcyODgifQ==</vt:lpwstr>
  </property>
</Properties>
</file>