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楷体" w:cs="Times New Roman"/>
          <w:b/>
          <w:sz w:val="24"/>
          <w:szCs w:val="24"/>
        </w:rPr>
      </w:pPr>
      <w:r>
        <w:rPr>
          <w:rFonts w:hint="eastAsia" w:ascii="Times New Roman" w:hAnsi="Times New Roman" w:eastAsia="楷体" w:cs="Times New Roman"/>
          <w:b/>
          <w:sz w:val="24"/>
          <w:szCs w:val="24"/>
        </w:rPr>
        <w:t>采购</w:t>
      </w:r>
      <w:r>
        <w:rPr>
          <w:rFonts w:ascii="Times New Roman" w:hAnsi="Times New Roman" w:eastAsia="楷体" w:cs="Times New Roman"/>
          <w:b/>
          <w:sz w:val="24"/>
          <w:szCs w:val="24"/>
        </w:rPr>
        <w:t>文件模板版本号：V20260106</w:t>
      </w:r>
    </w:p>
    <w:p>
      <w:pPr>
        <w:rPr>
          <w:rFonts w:ascii="楷体" w:hAnsi="楷体" w:eastAsia="楷体"/>
          <w:b/>
          <w:sz w:val="44"/>
          <w:szCs w:val="44"/>
        </w:rPr>
      </w:pPr>
    </w:p>
    <w:p>
      <w:pPr>
        <w:rPr>
          <w:rFonts w:ascii="楷体" w:hAnsi="楷体" w:eastAsia="楷体"/>
          <w:b/>
          <w:sz w:val="44"/>
          <w:szCs w:val="44"/>
        </w:rPr>
      </w:pPr>
    </w:p>
    <w:p>
      <w:pPr>
        <w:rPr>
          <w:rFonts w:ascii="楷体" w:hAnsi="楷体" w:eastAsia="楷体"/>
          <w:b/>
          <w:sz w:val="44"/>
          <w:szCs w:val="44"/>
        </w:rPr>
      </w:pPr>
      <w:r>
        <w:rPr>
          <w:rFonts w:hint="eastAsia" w:ascii="楷体" w:hAnsi="楷体" w:eastAsia="楷体"/>
          <w:b/>
          <w:sz w:val="44"/>
          <w:szCs w:val="44"/>
        </w:rPr>
        <w:t>项目</w:t>
      </w:r>
      <w:r>
        <w:rPr>
          <w:rFonts w:ascii="楷体" w:hAnsi="楷体" w:eastAsia="楷体"/>
          <w:b/>
          <w:sz w:val="44"/>
          <w:szCs w:val="44"/>
        </w:rPr>
        <w:t>编号</w:t>
      </w:r>
      <w:r>
        <w:rPr>
          <w:rFonts w:hint="eastAsia" w:ascii="楷体" w:hAnsi="楷体" w:eastAsia="楷体"/>
          <w:b/>
          <w:sz w:val="44"/>
          <w:szCs w:val="44"/>
        </w:rPr>
        <w:t>：</w:t>
      </w:r>
      <w:sdt>
        <w:sdtPr>
          <w:rPr>
            <w:rFonts w:ascii="Times New Roman" w:hAnsi="Times New Roman" w:eastAsia="楷体" w:cs="Times New Roman"/>
            <w:b/>
            <w:sz w:val="44"/>
            <w:szCs w:val="44"/>
          </w:rPr>
          <w:alias w:val="填写项目编号"/>
          <w:tag w:val="项目编号"/>
          <w:id w:val="1014951778"/>
          <w:lock w:val="sdtLocked"/>
          <w:placeholder>
            <w:docPart w:val="C60977237EFC430880E3A8173828F9B3"/>
          </w:placeholder>
        </w:sdtPr>
        <w:sdtEndPr>
          <w:rPr>
            <w:rFonts w:ascii="Times New Roman" w:hAnsi="Times New Roman" w:eastAsia="楷体" w:cs="Times New Roman"/>
            <w:b/>
            <w:sz w:val="44"/>
            <w:szCs w:val="44"/>
          </w:rPr>
        </w:sdtEndPr>
        <w:sdtContent>
          <w:r>
            <w:rPr>
              <w:rFonts w:hint="eastAsia" w:ascii="Times New Roman" w:hAnsi="Times New Roman" w:eastAsia="楷体" w:cs="Times New Roman"/>
              <w:b/>
              <w:sz w:val="44"/>
              <w:szCs w:val="44"/>
            </w:rPr>
            <w:t>ZSGD202606003</w:t>
          </w:r>
        </w:sdtContent>
      </w:sdt>
    </w:p>
    <w:p>
      <w:pPr>
        <w:rPr>
          <w:rFonts w:ascii="楷体" w:hAnsi="楷体" w:eastAsia="楷体"/>
          <w:b/>
          <w:sz w:val="44"/>
          <w:szCs w:val="44"/>
        </w:rPr>
      </w:pPr>
    </w:p>
    <w:p>
      <w:pPr>
        <w:rPr>
          <w:rFonts w:ascii="楷体" w:hAnsi="楷体" w:eastAsia="楷体"/>
          <w:b/>
          <w:sz w:val="44"/>
          <w:szCs w:val="44"/>
        </w:rPr>
      </w:pPr>
    </w:p>
    <w:sdt>
      <w:sdtPr>
        <w:rPr>
          <w:rFonts w:ascii="Times New Roman" w:hAnsi="Times New Roman" w:eastAsia="楷体" w:cs="Times New Roman"/>
          <w:b/>
          <w:sz w:val="44"/>
          <w:szCs w:val="44"/>
        </w:rPr>
        <w:alias w:val="填写项目名称"/>
        <w:tag w:val="项目名称"/>
        <w:id w:val="191418463"/>
        <w:lock w:val="sdtLocked"/>
        <w:placeholder>
          <w:docPart w:val="E4CA1962D4D846E291B515D0B8C0B857"/>
        </w:placeholder>
      </w:sdtPr>
      <w:sdtEndPr>
        <w:rPr>
          <w:rFonts w:ascii="Times New Roman" w:hAnsi="Times New Roman" w:eastAsia="楷体" w:cs="Times New Roman"/>
          <w:b/>
          <w:sz w:val="44"/>
          <w:szCs w:val="44"/>
        </w:rPr>
      </w:sdtEndPr>
      <w:sdtContent>
        <w:p>
          <w:pPr>
            <w:jc w:val="center"/>
            <w:rPr>
              <w:rFonts w:ascii="Times New Roman" w:hAnsi="Times New Roman" w:eastAsia="楷体" w:cs="Times New Roman"/>
              <w:b/>
              <w:sz w:val="44"/>
              <w:szCs w:val="44"/>
            </w:rPr>
          </w:pPr>
          <w:r>
            <w:rPr>
              <w:rFonts w:ascii="Times New Roman" w:hAnsi="Times New Roman" w:eastAsia="楷体" w:cs="Times New Roman"/>
              <w:b/>
              <w:sz w:val="44"/>
              <w:szCs w:val="44"/>
            </w:rPr>
            <w:t>2026年招商供电数字化服务采购项目</w:t>
          </w:r>
        </w:p>
        <w:p>
          <w:pPr>
            <w:jc w:val="center"/>
            <w:rPr>
              <w:rFonts w:ascii="Times New Roman" w:hAnsi="Times New Roman" w:eastAsia="楷体" w:cs="Times New Roman"/>
              <w:b/>
              <w:sz w:val="44"/>
              <w:szCs w:val="44"/>
            </w:rPr>
          </w:pPr>
          <w:r>
            <w:rPr>
              <w:rFonts w:hint="eastAsia" w:ascii="Times New Roman" w:hAnsi="Times New Roman" w:eastAsia="楷体" w:cs="Times New Roman"/>
              <w:b/>
              <w:sz w:val="44"/>
              <w:szCs w:val="44"/>
            </w:rPr>
            <w:t>（公司新型电力</w:t>
          </w:r>
          <w:bookmarkStart w:id="152" w:name="_GoBack"/>
          <w:bookmarkEnd w:id="152"/>
          <w:r>
            <w:rPr>
              <w:rFonts w:hint="eastAsia" w:ascii="Times New Roman" w:hAnsi="Times New Roman" w:eastAsia="楷体" w:cs="Times New Roman"/>
              <w:b/>
              <w:sz w:val="44"/>
              <w:szCs w:val="44"/>
            </w:rPr>
            <w:t>系统光纤网络规划设计）</w:t>
          </w:r>
        </w:p>
      </w:sdtContent>
    </w:sdt>
    <w:p>
      <w:pPr>
        <w:jc w:val="center"/>
        <w:rPr>
          <w:rFonts w:ascii="楷体" w:hAnsi="楷体" w:eastAsia="楷体"/>
          <w:b/>
          <w:sz w:val="44"/>
          <w:szCs w:val="44"/>
        </w:rPr>
      </w:pPr>
      <w:r>
        <w:rPr>
          <w:rFonts w:hint="eastAsia" w:ascii="楷体" w:hAnsi="楷体" w:eastAsia="楷体"/>
          <w:b/>
          <w:sz w:val="44"/>
          <w:szCs w:val="44"/>
        </w:rPr>
        <w:t>采购</w:t>
      </w:r>
      <w:r>
        <w:rPr>
          <w:rFonts w:ascii="楷体" w:hAnsi="楷体" w:eastAsia="楷体"/>
          <w:b/>
          <w:sz w:val="44"/>
          <w:szCs w:val="44"/>
        </w:rPr>
        <w:t>文件</w:t>
      </w:r>
    </w:p>
    <w:p>
      <w:pPr>
        <w:rPr>
          <w:rFonts w:ascii="楷体" w:hAnsi="楷体" w:eastAsia="楷体"/>
          <w:b/>
          <w:sz w:val="44"/>
          <w:szCs w:val="44"/>
        </w:rPr>
      </w:pPr>
    </w:p>
    <w:p>
      <w:pPr>
        <w:rPr>
          <w:rFonts w:ascii="楷体" w:hAnsi="楷体" w:eastAsia="楷体"/>
          <w:b/>
          <w:sz w:val="44"/>
          <w:szCs w:val="44"/>
        </w:rPr>
      </w:pPr>
    </w:p>
    <w:p>
      <w:pPr>
        <w:rPr>
          <w:rFonts w:ascii="楷体" w:hAnsi="楷体" w:eastAsia="楷体"/>
          <w:b/>
          <w:sz w:val="44"/>
          <w:szCs w:val="44"/>
        </w:rPr>
      </w:pPr>
    </w:p>
    <w:p>
      <w:pPr>
        <w:rPr>
          <w:rFonts w:ascii="楷体" w:hAnsi="楷体" w:eastAsia="楷体"/>
          <w:b/>
          <w:sz w:val="44"/>
          <w:szCs w:val="44"/>
        </w:rPr>
      </w:pPr>
    </w:p>
    <w:p>
      <w:pPr>
        <w:rPr>
          <w:rFonts w:ascii="楷体" w:hAnsi="楷体" w:eastAsia="楷体"/>
          <w:b/>
          <w:sz w:val="44"/>
          <w:szCs w:val="44"/>
        </w:rPr>
      </w:pPr>
    </w:p>
    <w:p>
      <w:pPr>
        <w:rPr>
          <w:rFonts w:ascii="楷体" w:hAnsi="楷体" w:eastAsia="楷体"/>
          <w:b/>
          <w:sz w:val="44"/>
          <w:szCs w:val="44"/>
        </w:rPr>
      </w:pPr>
    </w:p>
    <w:p>
      <w:pPr>
        <w:jc w:val="center"/>
        <w:rPr>
          <w:rFonts w:ascii="楷体" w:hAnsi="楷体" w:eastAsia="楷体"/>
          <w:b/>
          <w:sz w:val="36"/>
          <w:szCs w:val="44"/>
        </w:rPr>
      </w:pPr>
      <w:r>
        <w:rPr>
          <w:rFonts w:hint="eastAsia" w:ascii="楷体" w:hAnsi="楷体" w:eastAsia="楷体"/>
          <w:b/>
          <w:sz w:val="36"/>
          <w:szCs w:val="44"/>
        </w:rPr>
        <w:t>采购单位</w:t>
      </w:r>
      <w:r>
        <w:rPr>
          <w:rFonts w:ascii="楷体" w:hAnsi="楷体" w:eastAsia="楷体"/>
          <w:b/>
          <w:sz w:val="36"/>
          <w:szCs w:val="44"/>
        </w:rPr>
        <w:t>：</w:t>
      </w:r>
      <w:sdt>
        <w:sdtPr>
          <w:rPr>
            <w:rFonts w:ascii="Times New Roman" w:hAnsi="Times New Roman" w:eastAsia="楷体" w:cs="Times New Roman"/>
            <w:b/>
            <w:sz w:val="36"/>
            <w:szCs w:val="44"/>
          </w:rPr>
          <w:alias w:val="填写采购单位名称"/>
          <w:id w:val="461315173"/>
          <w:lock w:val="sdtLocked"/>
          <w:placeholder>
            <w:docPart w:val="0BB2F8C19A694B68BBDBF950377003AD"/>
          </w:placeholder>
        </w:sdtPr>
        <w:sdtEndPr>
          <w:rPr>
            <w:rFonts w:ascii="Times New Roman" w:hAnsi="Times New Roman" w:eastAsia="楷体" w:cs="Times New Roman"/>
            <w:b/>
            <w:sz w:val="36"/>
            <w:szCs w:val="44"/>
          </w:rPr>
        </w:sdtEndPr>
        <w:sdtContent>
          <w:r>
            <w:rPr>
              <w:rFonts w:hint="eastAsia" w:ascii="Times New Roman" w:hAnsi="Times New Roman" w:eastAsia="楷体" w:cs="Times New Roman"/>
              <w:b/>
              <w:sz w:val="36"/>
              <w:szCs w:val="44"/>
            </w:rPr>
            <w:t>深圳招商供电有限公司</w:t>
          </w:r>
        </w:sdtContent>
      </w:sdt>
    </w:p>
    <w:p>
      <w:pPr>
        <w:jc w:val="center"/>
        <w:rPr>
          <w:rFonts w:ascii="楷体" w:hAnsi="楷体" w:eastAsia="楷体"/>
          <w:b/>
          <w:sz w:val="36"/>
          <w:szCs w:val="44"/>
        </w:rPr>
      </w:pPr>
      <w:r>
        <w:rPr>
          <w:rFonts w:hint="eastAsia" w:ascii="楷体" w:hAnsi="楷体" w:eastAsia="楷体"/>
          <w:b/>
          <w:sz w:val="36"/>
          <w:szCs w:val="44"/>
        </w:rPr>
        <w:t>招标代理单位</w:t>
      </w:r>
      <w:r>
        <w:rPr>
          <w:rFonts w:ascii="楷体" w:hAnsi="楷体" w:eastAsia="楷体"/>
          <w:b/>
          <w:sz w:val="36"/>
          <w:szCs w:val="44"/>
        </w:rPr>
        <w:t>：</w:t>
      </w:r>
      <w:sdt>
        <w:sdtPr>
          <w:rPr>
            <w:rFonts w:ascii="Times New Roman" w:hAnsi="Times New Roman" w:eastAsia="楷体" w:cs="Times New Roman"/>
            <w:b/>
            <w:sz w:val="36"/>
            <w:szCs w:val="44"/>
          </w:rPr>
          <w:alias w:val="填写采购单位名称"/>
          <w:id w:val="1356156820"/>
          <w:placeholder>
            <w:docPart w:val="520D106300174B9CB8501BB1268146FC"/>
          </w:placeholder>
        </w:sdtPr>
        <w:sdtEndPr>
          <w:rPr>
            <w:rFonts w:ascii="Times New Roman" w:hAnsi="Times New Roman" w:eastAsia="楷体" w:cs="Times New Roman"/>
            <w:b/>
            <w:sz w:val="36"/>
            <w:szCs w:val="44"/>
          </w:rPr>
        </w:sdtEndPr>
        <w:sdtContent>
          <w:r>
            <w:rPr>
              <w:rFonts w:hint="eastAsia" w:ascii="Times New Roman" w:hAnsi="Times New Roman" w:eastAsia="楷体" w:cs="Times New Roman"/>
              <w:b/>
              <w:sz w:val="36"/>
              <w:szCs w:val="44"/>
            </w:rPr>
            <w:t>深圳前供综合能源有限公司</w:t>
          </w:r>
        </w:sdtContent>
      </w:sdt>
    </w:p>
    <w:p>
      <w:pPr>
        <w:rPr>
          <w:rFonts w:ascii="楷体" w:hAnsi="楷体" w:eastAsia="楷体"/>
          <w:b/>
          <w:sz w:val="36"/>
          <w:szCs w:val="44"/>
        </w:rPr>
      </w:pPr>
    </w:p>
    <w:p>
      <w:pPr>
        <w:rPr>
          <w:rFonts w:ascii="楷体" w:hAnsi="楷体" w:eastAsia="楷体"/>
          <w:b/>
          <w:sz w:val="36"/>
          <w:szCs w:val="44"/>
        </w:rPr>
      </w:pPr>
    </w:p>
    <w:p>
      <w:pPr>
        <w:jc w:val="center"/>
        <w:rPr>
          <w:rFonts w:ascii="楷体" w:hAnsi="楷体" w:eastAsia="楷体"/>
          <w:b/>
          <w:sz w:val="36"/>
          <w:szCs w:val="44"/>
        </w:rPr>
      </w:pPr>
      <w:sdt>
        <w:sdtPr>
          <w:rPr>
            <w:rFonts w:ascii="Times New Roman" w:hAnsi="Times New Roman" w:eastAsia="楷体" w:cs="Times New Roman"/>
            <w:b/>
            <w:sz w:val="36"/>
            <w:szCs w:val="44"/>
          </w:rPr>
          <w:alias w:val="填写年份"/>
          <w:tag w:val="填写年份"/>
          <w:id w:val="167845458"/>
          <w:lock w:val="sdtLocked"/>
          <w:placeholder>
            <w:docPart w:val="5A3D5A398F6F409FB714807B5E1F0AE4"/>
          </w:placeholder>
        </w:sdtPr>
        <w:sdtEndPr>
          <w:rPr>
            <w:rFonts w:ascii="Times New Roman" w:hAnsi="Times New Roman" w:eastAsia="楷体" w:cs="Times New Roman"/>
            <w:b/>
            <w:sz w:val="36"/>
            <w:szCs w:val="44"/>
          </w:rPr>
        </w:sdtEndPr>
        <w:sdtContent>
          <w:r>
            <w:rPr>
              <w:rFonts w:ascii="Times New Roman" w:hAnsi="Times New Roman" w:eastAsia="楷体" w:cs="Times New Roman"/>
              <w:b/>
              <w:sz w:val="36"/>
              <w:szCs w:val="44"/>
            </w:rPr>
            <w:t>2026</w:t>
          </w:r>
        </w:sdtContent>
      </w:sdt>
      <w:r>
        <w:rPr>
          <w:rFonts w:hint="eastAsia" w:ascii="楷体" w:hAnsi="楷体" w:eastAsia="楷体"/>
          <w:b/>
          <w:sz w:val="36"/>
          <w:szCs w:val="44"/>
        </w:rPr>
        <w:t>年</w:t>
      </w:r>
      <w:sdt>
        <w:sdtPr>
          <w:rPr>
            <w:rFonts w:ascii="Times New Roman" w:hAnsi="Times New Roman" w:eastAsia="楷体" w:cs="Times New Roman"/>
            <w:b/>
            <w:sz w:val="36"/>
            <w:szCs w:val="44"/>
          </w:rPr>
          <w:alias w:val="填写月份"/>
          <w:tag w:val="填写月份"/>
          <w:id w:val="864955497"/>
          <w:lock w:val="sdtLocked"/>
          <w:placeholder>
            <w:docPart w:val="309BD572530C470B8530953FA1F244B9"/>
          </w:placeholder>
        </w:sdtPr>
        <w:sdtEndPr>
          <w:rPr>
            <w:rFonts w:ascii="Times New Roman" w:hAnsi="Times New Roman" w:eastAsia="楷体" w:cs="Times New Roman"/>
            <w:b/>
            <w:sz w:val="36"/>
            <w:szCs w:val="44"/>
          </w:rPr>
        </w:sdtEndPr>
        <w:sdtContent>
          <w:r>
            <w:rPr>
              <w:rFonts w:ascii="Times New Roman" w:hAnsi="Times New Roman" w:eastAsia="楷体" w:cs="Times New Roman"/>
              <w:b/>
              <w:sz w:val="36"/>
              <w:szCs w:val="44"/>
            </w:rPr>
            <w:t>6</w:t>
          </w:r>
        </w:sdtContent>
      </w:sdt>
      <w:r>
        <w:rPr>
          <w:rFonts w:ascii="楷体" w:hAnsi="楷体" w:eastAsia="楷体"/>
          <w:b/>
          <w:sz w:val="36"/>
          <w:szCs w:val="44"/>
        </w:rPr>
        <w:t>月</w:t>
      </w:r>
    </w:p>
    <w:p>
      <w:pPr>
        <w:widowControl/>
        <w:jc w:val="left"/>
        <w:rPr>
          <w:rFonts w:ascii="宋体" w:hAnsi="宋体" w:eastAsia="宋体"/>
        </w:rPr>
      </w:pPr>
    </w:p>
    <w:p>
      <w:pPr>
        <w:widowControl/>
        <w:jc w:val="left"/>
        <w:rPr>
          <w:rFonts w:ascii="宋体" w:hAnsi="宋体" w:eastAsia="宋体"/>
        </w:rPr>
        <w:sectPr>
          <w:footerReference r:id="rId3" w:type="default"/>
          <w:pgSz w:w="11906" w:h="16838"/>
          <w:pgMar w:top="1440" w:right="1800" w:bottom="1440" w:left="1800" w:header="851" w:footer="992" w:gutter="0"/>
          <w:cols w:space="425" w:num="1"/>
          <w:titlePg/>
          <w:docGrid w:type="lines" w:linePitch="312" w:charSpace="0"/>
        </w:sectPr>
      </w:pPr>
    </w:p>
    <w:sdt>
      <w:sdtPr>
        <w:rPr>
          <w:rFonts w:asciiTheme="minorHAnsi" w:hAnsiTheme="minorHAnsi" w:eastAsiaTheme="minorEastAsia" w:cstheme="minorBidi"/>
          <w:color w:val="auto"/>
          <w:kern w:val="2"/>
          <w:sz w:val="21"/>
          <w:szCs w:val="22"/>
          <w:lang w:val="zh-CN"/>
        </w:rPr>
        <w:id w:val="13353145"/>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7"/>
            <w:jc w:val="center"/>
          </w:pPr>
          <w:r>
            <w:rPr>
              <w:lang w:val="zh-CN"/>
            </w:rPr>
            <w:t>目录</w:t>
          </w:r>
        </w:p>
        <w:p>
          <w:pPr>
            <w:pStyle w:val="11"/>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TOC \o "1-2" \h \z \u </w:instrText>
          </w:r>
          <w:r>
            <w:rPr>
              <w:rFonts w:ascii="黑体" w:hAnsi="黑体" w:eastAsia="黑体" w:cs="黑体"/>
              <w:b/>
              <w:bCs/>
            </w:rPr>
            <w:fldChar w:fldCharType="separate"/>
          </w:r>
          <w:r>
            <w:rPr>
              <w:rFonts w:ascii="黑体" w:hAnsi="黑体" w:eastAsia="黑体" w:cs="黑体"/>
              <w:b/>
              <w:bCs/>
            </w:rPr>
            <w:fldChar w:fldCharType="begin"/>
          </w:r>
          <w:r>
            <w:rPr>
              <w:rFonts w:ascii="黑体" w:hAnsi="黑体" w:eastAsia="黑体" w:cs="黑体"/>
              <w:b/>
              <w:bCs/>
            </w:rPr>
            <w:instrText xml:space="preserve"> HYPERLINK \l _Toc14532 </w:instrText>
          </w:r>
          <w:r>
            <w:rPr>
              <w:rFonts w:ascii="黑体" w:hAnsi="黑体" w:eastAsia="黑体" w:cs="黑体"/>
              <w:b/>
              <w:bCs/>
            </w:rPr>
            <w:fldChar w:fldCharType="separate"/>
          </w:r>
          <w:r>
            <w:rPr>
              <w:rFonts w:hint="eastAsia" w:ascii="黑体" w:hAnsi="黑体" w:eastAsia="黑体" w:cs="黑体"/>
              <w:b/>
              <w:bCs/>
              <w:szCs w:val="44"/>
            </w:rPr>
            <w:t>第一章</w:t>
          </w:r>
          <w:r>
            <w:rPr>
              <w:rFonts w:ascii="黑体" w:hAnsi="黑体" w:eastAsia="黑体" w:cs="黑体"/>
              <w:b/>
              <w:bCs/>
              <w:szCs w:val="44"/>
            </w:rPr>
            <w:t xml:space="preserve"> </w:t>
          </w:r>
          <w:r>
            <w:rPr>
              <w:rFonts w:hint="eastAsia" w:ascii="黑体" w:hAnsi="黑体" w:eastAsia="黑体" w:cs="黑体"/>
              <w:b/>
              <w:bCs/>
              <w:szCs w:val="44"/>
            </w:rPr>
            <w:t>供应商须知</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_Toc14532 \h </w:instrText>
          </w:r>
          <w:r>
            <w:rPr>
              <w:rFonts w:ascii="黑体" w:hAnsi="黑体" w:eastAsia="黑体" w:cs="黑体"/>
              <w:b/>
              <w:bCs/>
            </w:rPr>
            <w:fldChar w:fldCharType="separate"/>
          </w:r>
          <w:r>
            <w:rPr>
              <w:rFonts w:ascii="黑体" w:hAnsi="黑体" w:eastAsia="黑体" w:cs="黑体"/>
              <w:b/>
              <w:bCs/>
            </w:rPr>
            <w:t>3</w:t>
          </w:r>
          <w:r>
            <w:rPr>
              <w:rFonts w:ascii="黑体" w:hAnsi="黑体" w:eastAsia="黑体" w:cs="黑体"/>
              <w:b/>
              <w:bCs/>
            </w:rPr>
            <w:fldChar w:fldCharType="end"/>
          </w:r>
          <w:r>
            <w:rPr>
              <w:rFonts w:ascii="黑体" w:hAnsi="黑体" w:eastAsia="黑体" w:cs="黑体"/>
              <w:b/>
              <w:bCs/>
            </w:rPr>
            <w:fldChar w:fldCharType="end"/>
          </w:r>
        </w:p>
        <w:p>
          <w:pPr>
            <w:pStyle w:val="12"/>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_Toc1289 </w:instrText>
          </w:r>
          <w:r>
            <w:rPr>
              <w:rFonts w:ascii="黑体" w:hAnsi="黑体" w:eastAsia="黑体" w:cs="黑体"/>
              <w:b/>
              <w:bCs/>
            </w:rPr>
            <w:fldChar w:fldCharType="separate"/>
          </w:r>
          <w:r>
            <w:rPr>
              <w:rFonts w:hint="eastAsia" w:ascii="黑体" w:hAnsi="黑体" w:eastAsia="黑体" w:cs="黑体"/>
              <w:b/>
              <w:bCs/>
              <w:szCs w:val="30"/>
            </w:rPr>
            <w:t>第一节</w:t>
          </w:r>
          <w:r>
            <w:rPr>
              <w:rFonts w:ascii="黑体" w:hAnsi="黑体" w:eastAsia="黑体" w:cs="黑体"/>
              <w:b/>
              <w:bCs/>
              <w:szCs w:val="30"/>
            </w:rPr>
            <w:t xml:space="preserve"> </w:t>
          </w:r>
          <w:r>
            <w:rPr>
              <w:rFonts w:hint="eastAsia" w:ascii="黑体" w:hAnsi="黑体" w:eastAsia="黑体" w:cs="黑体"/>
              <w:b/>
              <w:bCs/>
              <w:szCs w:val="30"/>
            </w:rPr>
            <w:t>供应商</w:t>
          </w:r>
          <w:r>
            <w:rPr>
              <w:rFonts w:ascii="黑体" w:hAnsi="黑体" w:eastAsia="黑体" w:cs="黑体"/>
              <w:b/>
              <w:bCs/>
              <w:szCs w:val="30"/>
            </w:rPr>
            <w:t>须知前附表</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_Toc1289 \h </w:instrText>
          </w:r>
          <w:r>
            <w:rPr>
              <w:rFonts w:ascii="黑体" w:hAnsi="黑体" w:eastAsia="黑体" w:cs="黑体"/>
              <w:b/>
              <w:bCs/>
            </w:rPr>
            <w:fldChar w:fldCharType="separate"/>
          </w:r>
          <w:r>
            <w:rPr>
              <w:rFonts w:ascii="黑体" w:hAnsi="黑体" w:eastAsia="黑体" w:cs="黑体"/>
              <w:b/>
              <w:bCs/>
            </w:rPr>
            <w:t>3</w:t>
          </w:r>
          <w:r>
            <w:rPr>
              <w:rFonts w:ascii="黑体" w:hAnsi="黑体" w:eastAsia="黑体" w:cs="黑体"/>
              <w:b/>
              <w:bCs/>
            </w:rPr>
            <w:fldChar w:fldCharType="end"/>
          </w:r>
          <w:r>
            <w:rPr>
              <w:rFonts w:ascii="黑体" w:hAnsi="黑体" w:eastAsia="黑体" w:cs="黑体"/>
              <w:b/>
              <w:bCs/>
            </w:rPr>
            <w:fldChar w:fldCharType="end"/>
          </w:r>
        </w:p>
        <w:p>
          <w:pPr>
            <w:pStyle w:val="12"/>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_Toc25566 </w:instrText>
          </w:r>
          <w:r>
            <w:rPr>
              <w:rFonts w:ascii="黑体" w:hAnsi="黑体" w:eastAsia="黑体" w:cs="黑体"/>
              <w:b/>
              <w:bCs/>
            </w:rPr>
            <w:fldChar w:fldCharType="separate"/>
          </w:r>
          <w:r>
            <w:rPr>
              <w:rFonts w:hint="eastAsia" w:ascii="黑体" w:hAnsi="黑体" w:eastAsia="黑体" w:cs="黑体"/>
              <w:b/>
              <w:bCs/>
              <w:szCs w:val="30"/>
            </w:rPr>
            <w:t>第二节</w:t>
          </w:r>
          <w:r>
            <w:rPr>
              <w:rFonts w:ascii="黑体" w:hAnsi="黑体" w:eastAsia="黑体" w:cs="黑体"/>
              <w:b/>
              <w:bCs/>
              <w:szCs w:val="30"/>
            </w:rPr>
            <w:t xml:space="preserve"> </w:t>
          </w:r>
          <w:r>
            <w:rPr>
              <w:rFonts w:hint="eastAsia" w:ascii="黑体" w:hAnsi="黑体" w:eastAsia="黑体" w:cs="黑体"/>
              <w:b/>
              <w:bCs/>
              <w:szCs w:val="30"/>
            </w:rPr>
            <w:t>否决性条款摘要</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_Toc25566 \h </w:instrText>
          </w:r>
          <w:r>
            <w:rPr>
              <w:rFonts w:ascii="黑体" w:hAnsi="黑体" w:eastAsia="黑体" w:cs="黑体"/>
              <w:b/>
              <w:bCs/>
            </w:rPr>
            <w:fldChar w:fldCharType="separate"/>
          </w:r>
          <w:r>
            <w:rPr>
              <w:rFonts w:ascii="黑体" w:hAnsi="黑体" w:eastAsia="黑体" w:cs="黑体"/>
              <w:b/>
              <w:bCs/>
            </w:rPr>
            <w:t>10</w:t>
          </w:r>
          <w:r>
            <w:rPr>
              <w:rFonts w:ascii="黑体" w:hAnsi="黑体" w:eastAsia="黑体" w:cs="黑体"/>
              <w:b/>
              <w:bCs/>
            </w:rPr>
            <w:fldChar w:fldCharType="end"/>
          </w:r>
          <w:r>
            <w:rPr>
              <w:rFonts w:ascii="黑体" w:hAnsi="黑体" w:eastAsia="黑体" w:cs="黑体"/>
              <w:b/>
              <w:bCs/>
            </w:rPr>
            <w:fldChar w:fldCharType="end"/>
          </w:r>
        </w:p>
        <w:p>
          <w:pPr>
            <w:pStyle w:val="12"/>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_Toc7902 </w:instrText>
          </w:r>
          <w:r>
            <w:rPr>
              <w:rFonts w:ascii="黑体" w:hAnsi="黑体" w:eastAsia="黑体" w:cs="黑体"/>
              <w:b/>
              <w:bCs/>
            </w:rPr>
            <w:fldChar w:fldCharType="separate"/>
          </w:r>
          <w:r>
            <w:rPr>
              <w:rFonts w:hint="eastAsia" w:ascii="黑体" w:hAnsi="黑体" w:eastAsia="黑体" w:cs="黑体"/>
              <w:b/>
              <w:bCs/>
              <w:szCs w:val="30"/>
            </w:rPr>
            <w:t>第三节</w:t>
          </w:r>
          <w:r>
            <w:rPr>
              <w:rFonts w:ascii="黑体" w:hAnsi="黑体" w:eastAsia="黑体" w:cs="黑体"/>
              <w:b/>
              <w:bCs/>
              <w:szCs w:val="30"/>
            </w:rPr>
            <w:t xml:space="preserve"> </w:t>
          </w:r>
          <w:r>
            <w:rPr>
              <w:rFonts w:hint="eastAsia" w:ascii="黑体" w:hAnsi="黑体" w:eastAsia="黑体" w:cs="黑体"/>
              <w:b/>
              <w:bCs/>
              <w:szCs w:val="30"/>
            </w:rPr>
            <w:t>供应商须知</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_Toc7902 \h </w:instrText>
          </w:r>
          <w:r>
            <w:rPr>
              <w:rFonts w:ascii="黑体" w:hAnsi="黑体" w:eastAsia="黑体" w:cs="黑体"/>
              <w:b/>
              <w:bCs/>
            </w:rPr>
            <w:fldChar w:fldCharType="separate"/>
          </w:r>
          <w:r>
            <w:rPr>
              <w:rFonts w:ascii="黑体" w:hAnsi="黑体" w:eastAsia="黑体" w:cs="黑体"/>
              <w:b/>
              <w:bCs/>
            </w:rPr>
            <w:t>12</w:t>
          </w:r>
          <w:r>
            <w:rPr>
              <w:rFonts w:ascii="黑体" w:hAnsi="黑体" w:eastAsia="黑体" w:cs="黑体"/>
              <w:b/>
              <w:bCs/>
            </w:rPr>
            <w:fldChar w:fldCharType="end"/>
          </w:r>
          <w:r>
            <w:rPr>
              <w:rFonts w:ascii="黑体" w:hAnsi="黑体" w:eastAsia="黑体" w:cs="黑体"/>
              <w:b/>
              <w:bCs/>
            </w:rPr>
            <w:fldChar w:fldCharType="end"/>
          </w:r>
        </w:p>
        <w:p>
          <w:pPr>
            <w:pStyle w:val="11"/>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_Toc16405 </w:instrText>
          </w:r>
          <w:r>
            <w:rPr>
              <w:rFonts w:ascii="黑体" w:hAnsi="黑体" w:eastAsia="黑体" w:cs="黑体"/>
              <w:b/>
              <w:bCs/>
            </w:rPr>
            <w:fldChar w:fldCharType="separate"/>
          </w:r>
          <w:r>
            <w:rPr>
              <w:rFonts w:hint="eastAsia" w:ascii="黑体" w:hAnsi="黑体" w:eastAsia="黑体" w:cs="黑体"/>
              <w:b/>
              <w:bCs/>
              <w:szCs w:val="44"/>
            </w:rPr>
            <w:t>第二章</w:t>
          </w:r>
          <w:r>
            <w:rPr>
              <w:rFonts w:ascii="黑体" w:hAnsi="黑体" w:eastAsia="黑体" w:cs="黑体"/>
              <w:b/>
              <w:bCs/>
              <w:szCs w:val="44"/>
            </w:rPr>
            <w:t xml:space="preserve"> </w:t>
          </w:r>
          <w:r>
            <w:rPr>
              <w:rFonts w:hint="eastAsia" w:ascii="黑体" w:hAnsi="黑体" w:eastAsia="黑体" w:cs="黑体"/>
              <w:b/>
              <w:bCs/>
              <w:szCs w:val="44"/>
            </w:rPr>
            <w:t>报价</w:t>
          </w:r>
          <w:r>
            <w:rPr>
              <w:rFonts w:ascii="黑体" w:hAnsi="黑体" w:eastAsia="黑体" w:cs="黑体"/>
              <w:b/>
              <w:bCs/>
              <w:szCs w:val="44"/>
            </w:rPr>
            <w:t>文件格式</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_Toc16405 \h </w:instrText>
          </w:r>
          <w:r>
            <w:rPr>
              <w:rFonts w:ascii="黑体" w:hAnsi="黑体" w:eastAsia="黑体" w:cs="黑体"/>
              <w:b/>
              <w:bCs/>
            </w:rPr>
            <w:fldChar w:fldCharType="separate"/>
          </w:r>
          <w:r>
            <w:rPr>
              <w:rFonts w:ascii="黑体" w:hAnsi="黑体" w:eastAsia="黑体" w:cs="黑体"/>
              <w:b/>
              <w:bCs/>
            </w:rPr>
            <w:t>27</w:t>
          </w:r>
          <w:r>
            <w:rPr>
              <w:rFonts w:ascii="黑体" w:hAnsi="黑体" w:eastAsia="黑体" w:cs="黑体"/>
              <w:b/>
              <w:bCs/>
            </w:rPr>
            <w:fldChar w:fldCharType="end"/>
          </w:r>
          <w:r>
            <w:rPr>
              <w:rFonts w:ascii="黑体" w:hAnsi="黑体" w:eastAsia="黑体" w:cs="黑体"/>
              <w:b/>
              <w:bCs/>
            </w:rPr>
            <w:fldChar w:fldCharType="end"/>
          </w:r>
        </w:p>
        <w:p>
          <w:pPr>
            <w:pStyle w:val="12"/>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_Toc7105 </w:instrText>
          </w:r>
          <w:r>
            <w:rPr>
              <w:rFonts w:ascii="黑体" w:hAnsi="黑体" w:eastAsia="黑体" w:cs="黑体"/>
              <w:b/>
              <w:bCs/>
            </w:rPr>
            <w:fldChar w:fldCharType="separate"/>
          </w:r>
          <w:r>
            <w:rPr>
              <w:rFonts w:hint="eastAsia" w:ascii="黑体" w:hAnsi="黑体" w:eastAsia="黑体" w:cs="黑体"/>
              <w:b/>
              <w:bCs/>
              <w:szCs w:val="32"/>
            </w:rPr>
            <w:t>价格文件</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_Toc7105 \h </w:instrText>
          </w:r>
          <w:r>
            <w:rPr>
              <w:rFonts w:ascii="黑体" w:hAnsi="黑体" w:eastAsia="黑体" w:cs="黑体"/>
              <w:b/>
              <w:bCs/>
            </w:rPr>
            <w:fldChar w:fldCharType="separate"/>
          </w:r>
          <w:r>
            <w:rPr>
              <w:rFonts w:ascii="黑体" w:hAnsi="黑体" w:eastAsia="黑体" w:cs="黑体"/>
              <w:b/>
              <w:bCs/>
            </w:rPr>
            <w:t>28</w:t>
          </w:r>
          <w:r>
            <w:rPr>
              <w:rFonts w:ascii="黑体" w:hAnsi="黑体" w:eastAsia="黑体" w:cs="黑体"/>
              <w:b/>
              <w:bCs/>
            </w:rPr>
            <w:fldChar w:fldCharType="end"/>
          </w:r>
          <w:r>
            <w:rPr>
              <w:rFonts w:ascii="黑体" w:hAnsi="黑体" w:eastAsia="黑体" w:cs="黑体"/>
              <w:b/>
              <w:bCs/>
            </w:rPr>
            <w:fldChar w:fldCharType="end"/>
          </w:r>
        </w:p>
        <w:p>
          <w:pPr>
            <w:pStyle w:val="12"/>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_Toc26871 </w:instrText>
          </w:r>
          <w:r>
            <w:rPr>
              <w:rFonts w:ascii="黑体" w:hAnsi="黑体" w:eastAsia="黑体" w:cs="黑体"/>
              <w:b/>
              <w:bCs/>
            </w:rPr>
            <w:fldChar w:fldCharType="separate"/>
          </w:r>
          <w:r>
            <w:rPr>
              <w:rFonts w:hint="eastAsia" w:ascii="黑体" w:hAnsi="黑体" w:eastAsia="黑体" w:cs="黑体"/>
              <w:b/>
              <w:bCs/>
              <w:szCs w:val="32"/>
            </w:rPr>
            <w:t>价格部分</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_Toc26871 \h </w:instrText>
          </w:r>
          <w:r>
            <w:rPr>
              <w:rFonts w:ascii="黑体" w:hAnsi="黑体" w:eastAsia="黑体" w:cs="黑体"/>
              <w:b/>
              <w:bCs/>
            </w:rPr>
            <w:fldChar w:fldCharType="separate"/>
          </w:r>
          <w:r>
            <w:rPr>
              <w:rFonts w:ascii="黑体" w:hAnsi="黑体" w:eastAsia="黑体" w:cs="黑体"/>
              <w:b/>
              <w:bCs/>
            </w:rPr>
            <w:t>30</w:t>
          </w:r>
          <w:r>
            <w:rPr>
              <w:rFonts w:ascii="黑体" w:hAnsi="黑体" w:eastAsia="黑体" w:cs="黑体"/>
              <w:b/>
              <w:bCs/>
            </w:rPr>
            <w:fldChar w:fldCharType="end"/>
          </w:r>
          <w:r>
            <w:rPr>
              <w:rFonts w:ascii="黑体" w:hAnsi="黑体" w:eastAsia="黑体" w:cs="黑体"/>
              <w:b/>
              <w:bCs/>
            </w:rPr>
            <w:fldChar w:fldCharType="end"/>
          </w:r>
        </w:p>
        <w:p>
          <w:pPr>
            <w:pStyle w:val="12"/>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_Toc17941 </w:instrText>
          </w:r>
          <w:r>
            <w:rPr>
              <w:rFonts w:ascii="黑体" w:hAnsi="黑体" w:eastAsia="黑体" w:cs="黑体"/>
              <w:b/>
              <w:bCs/>
            </w:rPr>
            <w:fldChar w:fldCharType="separate"/>
          </w:r>
          <w:r>
            <w:rPr>
              <w:rFonts w:hint="eastAsia" w:ascii="黑体" w:hAnsi="黑体" w:eastAsia="黑体" w:cs="黑体"/>
              <w:b/>
              <w:bCs/>
              <w:szCs w:val="32"/>
            </w:rPr>
            <w:t>其他文件</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_Toc17941 \h </w:instrText>
          </w:r>
          <w:r>
            <w:rPr>
              <w:rFonts w:ascii="黑体" w:hAnsi="黑体" w:eastAsia="黑体" w:cs="黑体"/>
              <w:b/>
              <w:bCs/>
            </w:rPr>
            <w:fldChar w:fldCharType="separate"/>
          </w:r>
          <w:r>
            <w:rPr>
              <w:rFonts w:ascii="黑体" w:hAnsi="黑体" w:eastAsia="黑体" w:cs="黑体"/>
              <w:b/>
              <w:bCs/>
            </w:rPr>
            <w:t>33</w:t>
          </w:r>
          <w:r>
            <w:rPr>
              <w:rFonts w:ascii="黑体" w:hAnsi="黑体" w:eastAsia="黑体" w:cs="黑体"/>
              <w:b/>
              <w:bCs/>
            </w:rPr>
            <w:fldChar w:fldCharType="end"/>
          </w:r>
          <w:r>
            <w:rPr>
              <w:rFonts w:ascii="黑体" w:hAnsi="黑体" w:eastAsia="黑体" w:cs="黑体"/>
              <w:b/>
              <w:bCs/>
            </w:rPr>
            <w:fldChar w:fldCharType="end"/>
          </w:r>
        </w:p>
        <w:p>
          <w:pPr>
            <w:pStyle w:val="12"/>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_Toc28714 </w:instrText>
          </w:r>
          <w:r>
            <w:rPr>
              <w:rFonts w:ascii="黑体" w:hAnsi="黑体" w:eastAsia="黑体" w:cs="黑体"/>
              <w:b/>
              <w:bCs/>
            </w:rPr>
            <w:fldChar w:fldCharType="separate"/>
          </w:r>
          <w:r>
            <w:rPr>
              <w:rFonts w:hint="eastAsia" w:ascii="黑体" w:hAnsi="黑体" w:eastAsia="黑体" w:cs="黑体"/>
              <w:b/>
              <w:bCs/>
              <w:szCs w:val="32"/>
            </w:rPr>
            <w:t>一、资格部分</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_Toc28714 \h </w:instrText>
          </w:r>
          <w:r>
            <w:rPr>
              <w:rFonts w:ascii="黑体" w:hAnsi="黑体" w:eastAsia="黑体" w:cs="黑体"/>
              <w:b/>
              <w:bCs/>
            </w:rPr>
            <w:fldChar w:fldCharType="separate"/>
          </w:r>
          <w:r>
            <w:rPr>
              <w:rFonts w:ascii="黑体" w:hAnsi="黑体" w:eastAsia="黑体" w:cs="黑体"/>
              <w:b/>
              <w:bCs/>
            </w:rPr>
            <w:t>34</w:t>
          </w:r>
          <w:r>
            <w:rPr>
              <w:rFonts w:ascii="黑体" w:hAnsi="黑体" w:eastAsia="黑体" w:cs="黑体"/>
              <w:b/>
              <w:bCs/>
            </w:rPr>
            <w:fldChar w:fldCharType="end"/>
          </w:r>
          <w:r>
            <w:rPr>
              <w:rFonts w:ascii="黑体" w:hAnsi="黑体" w:eastAsia="黑体" w:cs="黑体"/>
              <w:b/>
              <w:bCs/>
            </w:rPr>
            <w:fldChar w:fldCharType="end"/>
          </w:r>
        </w:p>
        <w:p>
          <w:pPr>
            <w:pStyle w:val="12"/>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_Toc16013 </w:instrText>
          </w:r>
          <w:r>
            <w:rPr>
              <w:rFonts w:ascii="黑体" w:hAnsi="黑体" w:eastAsia="黑体" w:cs="黑体"/>
              <w:b/>
              <w:bCs/>
            </w:rPr>
            <w:fldChar w:fldCharType="separate"/>
          </w:r>
          <w:r>
            <w:rPr>
              <w:rFonts w:hint="eastAsia" w:ascii="黑体" w:hAnsi="黑体" w:eastAsia="黑体" w:cs="黑体"/>
              <w:b/>
              <w:bCs/>
              <w:szCs w:val="32"/>
            </w:rPr>
            <w:t>二、商务部分</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_Toc16013 \h </w:instrText>
          </w:r>
          <w:r>
            <w:rPr>
              <w:rFonts w:ascii="黑体" w:hAnsi="黑体" w:eastAsia="黑体" w:cs="黑体"/>
              <w:b/>
              <w:bCs/>
            </w:rPr>
            <w:fldChar w:fldCharType="separate"/>
          </w:r>
          <w:r>
            <w:rPr>
              <w:rFonts w:ascii="黑体" w:hAnsi="黑体" w:eastAsia="黑体" w:cs="黑体"/>
              <w:b/>
              <w:bCs/>
            </w:rPr>
            <w:t>40</w:t>
          </w:r>
          <w:r>
            <w:rPr>
              <w:rFonts w:ascii="黑体" w:hAnsi="黑体" w:eastAsia="黑体" w:cs="黑体"/>
              <w:b/>
              <w:bCs/>
            </w:rPr>
            <w:fldChar w:fldCharType="end"/>
          </w:r>
          <w:r>
            <w:rPr>
              <w:rFonts w:ascii="黑体" w:hAnsi="黑体" w:eastAsia="黑体" w:cs="黑体"/>
              <w:b/>
              <w:bCs/>
            </w:rPr>
            <w:fldChar w:fldCharType="end"/>
          </w:r>
        </w:p>
        <w:p>
          <w:pPr>
            <w:pStyle w:val="12"/>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_Toc31407 </w:instrText>
          </w:r>
          <w:r>
            <w:rPr>
              <w:rFonts w:ascii="黑体" w:hAnsi="黑体" w:eastAsia="黑体" w:cs="黑体"/>
              <w:b/>
              <w:bCs/>
            </w:rPr>
            <w:fldChar w:fldCharType="separate"/>
          </w:r>
          <w:r>
            <w:rPr>
              <w:rFonts w:hint="eastAsia" w:ascii="黑体" w:hAnsi="黑体" w:eastAsia="黑体" w:cs="黑体"/>
              <w:b/>
              <w:bCs/>
              <w:szCs w:val="32"/>
            </w:rPr>
            <w:t>三、技术部分</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_Toc31407 \h </w:instrText>
          </w:r>
          <w:r>
            <w:rPr>
              <w:rFonts w:ascii="黑体" w:hAnsi="黑体" w:eastAsia="黑体" w:cs="黑体"/>
              <w:b/>
              <w:bCs/>
            </w:rPr>
            <w:fldChar w:fldCharType="separate"/>
          </w:r>
          <w:r>
            <w:rPr>
              <w:rFonts w:ascii="黑体" w:hAnsi="黑体" w:eastAsia="黑体" w:cs="黑体"/>
              <w:b/>
              <w:bCs/>
            </w:rPr>
            <w:t>47</w:t>
          </w:r>
          <w:r>
            <w:rPr>
              <w:rFonts w:ascii="黑体" w:hAnsi="黑体" w:eastAsia="黑体" w:cs="黑体"/>
              <w:b/>
              <w:bCs/>
            </w:rPr>
            <w:fldChar w:fldCharType="end"/>
          </w:r>
          <w:r>
            <w:rPr>
              <w:rFonts w:ascii="黑体" w:hAnsi="黑体" w:eastAsia="黑体" w:cs="黑体"/>
              <w:b/>
              <w:bCs/>
            </w:rPr>
            <w:fldChar w:fldCharType="end"/>
          </w:r>
        </w:p>
        <w:p>
          <w:pPr>
            <w:pStyle w:val="11"/>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_Toc26840 </w:instrText>
          </w:r>
          <w:r>
            <w:rPr>
              <w:rFonts w:ascii="黑体" w:hAnsi="黑体" w:eastAsia="黑体" w:cs="黑体"/>
              <w:b/>
              <w:bCs/>
            </w:rPr>
            <w:fldChar w:fldCharType="separate"/>
          </w:r>
          <w:r>
            <w:rPr>
              <w:rFonts w:hint="eastAsia" w:ascii="黑体" w:hAnsi="黑体" w:eastAsia="黑体" w:cs="黑体"/>
              <w:b/>
              <w:bCs/>
              <w:szCs w:val="44"/>
            </w:rPr>
            <w:t>第三章</w:t>
          </w:r>
          <w:r>
            <w:rPr>
              <w:rFonts w:ascii="黑体" w:hAnsi="黑体" w:eastAsia="黑体" w:cs="黑体"/>
              <w:b/>
              <w:bCs/>
              <w:szCs w:val="44"/>
            </w:rPr>
            <w:t xml:space="preserve"> </w:t>
          </w:r>
          <w:r>
            <w:rPr>
              <w:rFonts w:hint="eastAsia" w:ascii="黑体" w:hAnsi="黑体" w:eastAsia="黑体" w:cs="黑体"/>
              <w:b/>
              <w:bCs/>
              <w:szCs w:val="44"/>
            </w:rPr>
            <w:t>合同</w:t>
          </w:r>
          <w:r>
            <w:rPr>
              <w:rFonts w:ascii="黑体" w:hAnsi="黑体" w:eastAsia="黑体" w:cs="黑体"/>
              <w:b/>
              <w:bCs/>
              <w:szCs w:val="44"/>
            </w:rPr>
            <w:t>条款及格式</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_Toc26840 \h </w:instrText>
          </w:r>
          <w:r>
            <w:rPr>
              <w:rFonts w:ascii="黑体" w:hAnsi="黑体" w:eastAsia="黑体" w:cs="黑体"/>
              <w:b/>
              <w:bCs/>
            </w:rPr>
            <w:fldChar w:fldCharType="separate"/>
          </w:r>
          <w:r>
            <w:rPr>
              <w:rFonts w:ascii="黑体" w:hAnsi="黑体" w:eastAsia="黑体" w:cs="黑体"/>
              <w:b/>
              <w:bCs/>
            </w:rPr>
            <w:t>48</w:t>
          </w:r>
          <w:r>
            <w:rPr>
              <w:rFonts w:ascii="黑体" w:hAnsi="黑体" w:eastAsia="黑体" w:cs="黑体"/>
              <w:b/>
              <w:bCs/>
            </w:rPr>
            <w:fldChar w:fldCharType="end"/>
          </w:r>
          <w:r>
            <w:rPr>
              <w:rFonts w:ascii="黑体" w:hAnsi="黑体" w:eastAsia="黑体" w:cs="黑体"/>
              <w:b/>
              <w:bCs/>
            </w:rPr>
            <w:fldChar w:fldCharType="end"/>
          </w:r>
        </w:p>
        <w:p>
          <w:pPr>
            <w:pStyle w:val="11"/>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_Toc11619 </w:instrText>
          </w:r>
          <w:r>
            <w:rPr>
              <w:rFonts w:ascii="黑体" w:hAnsi="黑体" w:eastAsia="黑体" w:cs="黑体"/>
              <w:b/>
              <w:bCs/>
            </w:rPr>
            <w:fldChar w:fldCharType="separate"/>
          </w:r>
          <w:r>
            <w:rPr>
              <w:rFonts w:hint="eastAsia" w:ascii="黑体" w:hAnsi="黑体" w:eastAsia="黑体" w:cs="黑体"/>
              <w:b/>
              <w:bCs/>
              <w:szCs w:val="44"/>
            </w:rPr>
            <w:t>第四章</w:t>
          </w:r>
          <w:r>
            <w:rPr>
              <w:rFonts w:ascii="黑体" w:hAnsi="黑体" w:eastAsia="黑体" w:cs="黑体"/>
              <w:b/>
              <w:bCs/>
              <w:szCs w:val="44"/>
            </w:rPr>
            <w:t xml:space="preserve"> </w:t>
          </w:r>
          <w:r>
            <w:rPr>
              <w:rFonts w:hint="eastAsia" w:ascii="黑体" w:hAnsi="黑体" w:eastAsia="黑体" w:cs="黑体"/>
              <w:b/>
              <w:bCs/>
              <w:szCs w:val="44"/>
            </w:rPr>
            <w:t>评审办法</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_Toc11619 \h </w:instrText>
          </w:r>
          <w:r>
            <w:rPr>
              <w:rFonts w:ascii="黑体" w:hAnsi="黑体" w:eastAsia="黑体" w:cs="黑体"/>
              <w:b/>
              <w:bCs/>
            </w:rPr>
            <w:fldChar w:fldCharType="separate"/>
          </w:r>
          <w:r>
            <w:rPr>
              <w:rFonts w:ascii="黑体" w:hAnsi="黑体" w:eastAsia="黑体" w:cs="黑体"/>
              <w:b/>
              <w:bCs/>
            </w:rPr>
            <w:t>74</w:t>
          </w:r>
          <w:r>
            <w:rPr>
              <w:rFonts w:ascii="黑体" w:hAnsi="黑体" w:eastAsia="黑体" w:cs="黑体"/>
              <w:b/>
              <w:bCs/>
            </w:rPr>
            <w:fldChar w:fldCharType="end"/>
          </w:r>
          <w:r>
            <w:rPr>
              <w:rFonts w:ascii="黑体" w:hAnsi="黑体" w:eastAsia="黑体" w:cs="黑体"/>
              <w:b/>
              <w:bCs/>
            </w:rPr>
            <w:fldChar w:fldCharType="end"/>
          </w:r>
        </w:p>
        <w:p>
          <w:pPr>
            <w:pStyle w:val="12"/>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_Toc3744 </w:instrText>
          </w:r>
          <w:r>
            <w:rPr>
              <w:rFonts w:ascii="黑体" w:hAnsi="黑体" w:eastAsia="黑体" w:cs="黑体"/>
              <w:b/>
              <w:bCs/>
            </w:rPr>
            <w:fldChar w:fldCharType="separate"/>
          </w:r>
          <w:r>
            <w:rPr>
              <w:rFonts w:hint="eastAsia" w:ascii="黑体" w:hAnsi="黑体" w:eastAsia="黑体" w:cs="黑体"/>
              <w:b/>
              <w:bCs/>
              <w:szCs w:val="30"/>
            </w:rPr>
            <w:t>定性</w:t>
          </w:r>
          <w:r>
            <w:rPr>
              <w:rFonts w:ascii="黑体" w:hAnsi="黑体" w:eastAsia="黑体" w:cs="黑体"/>
              <w:b/>
              <w:bCs/>
              <w:szCs w:val="30"/>
            </w:rPr>
            <w:t>评审法（</w:t>
          </w:r>
          <w:r>
            <w:rPr>
              <w:rFonts w:hint="eastAsia" w:ascii="黑体" w:hAnsi="黑体" w:eastAsia="黑体" w:cs="黑体"/>
              <w:b/>
              <w:bCs/>
              <w:szCs w:val="30"/>
            </w:rPr>
            <w:t>评定</w:t>
          </w:r>
          <w:r>
            <w:rPr>
              <w:rFonts w:ascii="黑体" w:hAnsi="黑体" w:eastAsia="黑体" w:cs="黑体"/>
              <w:b/>
              <w:bCs/>
              <w:szCs w:val="30"/>
            </w:rPr>
            <w:t>分离）</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_Toc3744 \h </w:instrText>
          </w:r>
          <w:r>
            <w:rPr>
              <w:rFonts w:ascii="黑体" w:hAnsi="黑体" w:eastAsia="黑体" w:cs="黑体"/>
              <w:b/>
              <w:bCs/>
            </w:rPr>
            <w:fldChar w:fldCharType="separate"/>
          </w:r>
          <w:r>
            <w:rPr>
              <w:rFonts w:ascii="黑体" w:hAnsi="黑体" w:eastAsia="黑体" w:cs="黑体"/>
              <w:b/>
              <w:bCs/>
            </w:rPr>
            <w:t>74</w:t>
          </w:r>
          <w:r>
            <w:rPr>
              <w:rFonts w:ascii="黑体" w:hAnsi="黑体" w:eastAsia="黑体" w:cs="黑体"/>
              <w:b/>
              <w:bCs/>
            </w:rPr>
            <w:fldChar w:fldCharType="end"/>
          </w:r>
          <w:r>
            <w:rPr>
              <w:rFonts w:ascii="黑体" w:hAnsi="黑体" w:eastAsia="黑体" w:cs="黑体"/>
              <w:b/>
              <w:bCs/>
            </w:rPr>
            <w:fldChar w:fldCharType="end"/>
          </w:r>
        </w:p>
        <w:p>
          <w:pPr>
            <w:pStyle w:val="11"/>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_Toc2688 </w:instrText>
          </w:r>
          <w:r>
            <w:rPr>
              <w:rFonts w:ascii="黑体" w:hAnsi="黑体" w:eastAsia="黑体" w:cs="黑体"/>
              <w:b/>
              <w:bCs/>
            </w:rPr>
            <w:fldChar w:fldCharType="separate"/>
          </w:r>
          <w:r>
            <w:rPr>
              <w:rFonts w:hint="eastAsia" w:ascii="黑体" w:hAnsi="黑体" w:eastAsia="黑体" w:cs="黑体"/>
              <w:b/>
              <w:bCs/>
              <w:szCs w:val="44"/>
            </w:rPr>
            <w:t>第五章</w:t>
          </w:r>
          <w:r>
            <w:rPr>
              <w:rFonts w:ascii="黑体" w:hAnsi="黑体" w:eastAsia="黑体" w:cs="黑体"/>
              <w:b/>
              <w:bCs/>
              <w:szCs w:val="44"/>
            </w:rPr>
            <w:t xml:space="preserve"> </w:t>
          </w:r>
          <w:r>
            <w:rPr>
              <w:rFonts w:hint="eastAsia" w:ascii="黑体" w:hAnsi="黑体" w:eastAsia="黑体" w:cs="黑体"/>
              <w:b/>
              <w:bCs/>
              <w:szCs w:val="44"/>
            </w:rPr>
            <w:t>项目</w:t>
          </w:r>
          <w:r>
            <w:rPr>
              <w:rFonts w:ascii="黑体" w:hAnsi="黑体" w:eastAsia="黑体" w:cs="黑体"/>
              <w:b/>
              <w:bCs/>
              <w:szCs w:val="44"/>
            </w:rPr>
            <w:t>需求书</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_Toc2688 \h </w:instrText>
          </w:r>
          <w:r>
            <w:rPr>
              <w:rFonts w:ascii="黑体" w:hAnsi="黑体" w:eastAsia="黑体" w:cs="黑体"/>
              <w:b/>
              <w:bCs/>
            </w:rPr>
            <w:fldChar w:fldCharType="separate"/>
          </w:r>
          <w:r>
            <w:rPr>
              <w:rFonts w:ascii="黑体" w:hAnsi="黑体" w:eastAsia="黑体" w:cs="黑体"/>
              <w:b/>
              <w:bCs/>
            </w:rPr>
            <w:t>80</w:t>
          </w:r>
          <w:r>
            <w:rPr>
              <w:rFonts w:ascii="黑体" w:hAnsi="黑体" w:eastAsia="黑体" w:cs="黑体"/>
              <w:b/>
              <w:bCs/>
            </w:rPr>
            <w:fldChar w:fldCharType="end"/>
          </w:r>
          <w:r>
            <w:rPr>
              <w:rFonts w:ascii="黑体" w:hAnsi="黑体" w:eastAsia="黑体" w:cs="黑体"/>
              <w:b/>
              <w:bCs/>
            </w:rPr>
            <w:fldChar w:fldCharType="end"/>
          </w:r>
        </w:p>
        <w:p>
          <w:pPr>
            <w:pStyle w:val="12"/>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_Toc29576 </w:instrText>
          </w:r>
          <w:r>
            <w:rPr>
              <w:rFonts w:ascii="黑体" w:hAnsi="黑体" w:eastAsia="黑体" w:cs="黑体"/>
              <w:b/>
              <w:bCs/>
            </w:rPr>
            <w:fldChar w:fldCharType="separate"/>
          </w:r>
          <w:r>
            <w:rPr>
              <w:rFonts w:hint="eastAsia" w:ascii="黑体" w:hAnsi="黑体" w:eastAsia="黑体" w:cs="黑体"/>
              <w:b/>
              <w:bCs/>
              <w:szCs w:val="30"/>
            </w:rPr>
            <w:t>第一节</w:t>
          </w:r>
          <w:r>
            <w:rPr>
              <w:rFonts w:ascii="黑体" w:hAnsi="黑体" w:eastAsia="黑体" w:cs="黑体"/>
              <w:b/>
              <w:bCs/>
              <w:szCs w:val="30"/>
            </w:rPr>
            <w:t xml:space="preserve"> </w:t>
          </w:r>
          <w:r>
            <w:rPr>
              <w:rFonts w:hint="eastAsia" w:ascii="黑体" w:hAnsi="黑体" w:eastAsia="黑体" w:cs="黑体"/>
              <w:b/>
              <w:bCs/>
              <w:szCs w:val="30"/>
            </w:rPr>
            <w:t>项目实质性</w:t>
          </w:r>
          <w:r>
            <w:rPr>
              <w:rFonts w:ascii="黑体" w:hAnsi="黑体" w:eastAsia="黑体" w:cs="黑体"/>
              <w:b/>
              <w:bCs/>
              <w:szCs w:val="30"/>
            </w:rPr>
            <w:t>要求和条件</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_Toc29576 \h </w:instrText>
          </w:r>
          <w:r>
            <w:rPr>
              <w:rFonts w:ascii="黑体" w:hAnsi="黑体" w:eastAsia="黑体" w:cs="黑体"/>
              <w:b/>
              <w:bCs/>
            </w:rPr>
            <w:fldChar w:fldCharType="separate"/>
          </w:r>
          <w:r>
            <w:rPr>
              <w:rFonts w:ascii="黑体" w:hAnsi="黑体" w:eastAsia="黑体" w:cs="黑体"/>
              <w:b/>
              <w:bCs/>
            </w:rPr>
            <w:t>80</w:t>
          </w:r>
          <w:r>
            <w:rPr>
              <w:rFonts w:ascii="黑体" w:hAnsi="黑体" w:eastAsia="黑体" w:cs="黑体"/>
              <w:b/>
              <w:bCs/>
            </w:rPr>
            <w:fldChar w:fldCharType="end"/>
          </w:r>
          <w:r>
            <w:rPr>
              <w:rFonts w:ascii="黑体" w:hAnsi="黑体" w:eastAsia="黑体" w:cs="黑体"/>
              <w:b/>
              <w:bCs/>
            </w:rPr>
            <w:fldChar w:fldCharType="end"/>
          </w:r>
        </w:p>
        <w:p>
          <w:pPr>
            <w:pStyle w:val="12"/>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_Toc12328 </w:instrText>
          </w:r>
          <w:r>
            <w:rPr>
              <w:rFonts w:ascii="黑体" w:hAnsi="黑体" w:eastAsia="黑体" w:cs="黑体"/>
              <w:b/>
              <w:bCs/>
            </w:rPr>
            <w:fldChar w:fldCharType="separate"/>
          </w:r>
          <w:r>
            <w:rPr>
              <w:rFonts w:hint="eastAsia" w:ascii="黑体" w:hAnsi="黑体" w:eastAsia="黑体" w:cs="黑体"/>
              <w:b/>
              <w:bCs/>
              <w:szCs w:val="30"/>
            </w:rPr>
            <w:t>第二节</w:t>
          </w:r>
          <w:r>
            <w:rPr>
              <w:rFonts w:ascii="黑体" w:hAnsi="黑体" w:eastAsia="黑体" w:cs="黑体"/>
              <w:b/>
              <w:bCs/>
              <w:szCs w:val="30"/>
            </w:rPr>
            <w:t xml:space="preserve"> </w:t>
          </w:r>
          <w:r>
            <w:rPr>
              <w:rFonts w:hint="eastAsia" w:ascii="黑体" w:hAnsi="黑体" w:eastAsia="黑体" w:cs="黑体"/>
              <w:b/>
              <w:bCs/>
              <w:szCs w:val="30"/>
            </w:rPr>
            <w:t>商务</w:t>
          </w:r>
          <w:r>
            <w:rPr>
              <w:rFonts w:ascii="黑体" w:hAnsi="黑体" w:eastAsia="黑体" w:cs="黑体"/>
              <w:b/>
              <w:bCs/>
              <w:szCs w:val="30"/>
            </w:rPr>
            <w:t>要求</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_Toc12328 \h </w:instrText>
          </w:r>
          <w:r>
            <w:rPr>
              <w:rFonts w:ascii="黑体" w:hAnsi="黑体" w:eastAsia="黑体" w:cs="黑体"/>
              <w:b/>
              <w:bCs/>
            </w:rPr>
            <w:fldChar w:fldCharType="separate"/>
          </w:r>
          <w:r>
            <w:rPr>
              <w:rFonts w:ascii="黑体" w:hAnsi="黑体" w:eastAsia="黑体" w:cs="黑体"/>
              <w:b/>
              <w:bCs/>
            </w:rPr>
            <w:t>81</w:t>
          </w:r>
          <w:r>
            <w:rPr>
              <w:rFonts w:ascii="黑体" w:hAnsi="黑体" w:eastAsia="黑体" w:cs="黑体"/>
              <w:b/>
              <w:bCs/>
            </w:rPr>
            <w:fldChar w:fldCharType="end"/>
          </w:r>
          <w:r>
            <w:rPr>
              <w:rFonts w:ascii="黑体" w:hAnsi="黑体" w:eastAsia="黑体" w:cs="黑体"/>
              <w:b/>
              <w:bCs/>
            </w:rPr>
            <w:fldChar w:fldCharType="end"/>
          </w:r>
        </w:p>
        <w:p>
          <w:pPr>
            <w:pStyle w:val="12"/>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_Toc10765 </w:instrText>
          </w:r>
          <w:r>
            <w:rPr>
              <w:rFonts w:ascii="黑体" w:hAnsi="黑体" w:eastAsia="黑体" w:cs="黑体"/>
              <w:b/>
              <w:bCs/>
            </w:rPr>
            <w:fldChar w:fldCharType="separate"/>
          </w:r>
          <w:r>
            <w:rPr>
              <w:rFonts w:hint="eastAsia" w:ascii="黑体" w:hAnsi="黑体" w:eastAsia="黑体" w:cs="黑体"/>
              <w:b/>
              <w:bCs/>
              <w:szCs w:val="30"/>
            </w:rPr>
            <w:t>第三节</w:t>
          </w:r>
          <w:r>
            <w:rPr>
              <w:rFonts w:ascii="黑体" w:hAnsi="黑体" w:eastAsia="黑体" w:cs="黑体"/>
              <w:b/>
              <w:bCs/>
              <w:szCs w:val="30"/>
            </w:rPr>
            <w:t xml:space="preserve"> </w:t>
          </w:r>
          <w:r>
            <w:rPr>
              <w:rFonts w:hint="eastAsia" w:ascii="黑体" w:hAnsi="黑体" w:eastAsia="黑体" w:cs="黑体"/>
              <w:b/>
              <w:bCs/>
              <w:szCs w:val="30"/>
            </w:rPr>
            <w:t>技术</w:t>
          </w:r>
          <w:r>
            <w:rPr>
              <w:rFonts w:ascii="黑体" w:hAnsi="黑体" w:eastAsia="黑体" w:cs="黑体"/>
              <w:b/>
              <w:bCs/>
              <w:szCs w:val="30"/>
            </w:rPr>
            <w:t>要求</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_Toc10765 \h </w:instrText>
          </w:r>
          <w:r>
            <w:rPr>
              <w:rFonts w:ascii="黑体" w:hAnsi="黑体" w:eastAsia="黑体" w:cs="黑体"/>
              <w:b/>
              <w:bCs/>
            </w:rPr>
            <w:fldChar w:fldCharType="separate"/>
          </w:r>
          <w:r>
            <w:rPr>
              <w:rFonts w:ascii="黑体" w:hAnsi="黑体" w:eastAsia="黑体" w:cs="黑体"/>
              <w:b/>
              <w:bCs/>
            </w:rPr>
            <w:t>82</w:t>
          </w:r>
          <w:r>
            <w:rPr>
              <w:rFonts w:ascii="黑体" w:hAnsi="黑体" w:eastAsia="黑体" w:cs="黑体"/>
              <w:b/>
              <w:bCs/>
            </w:rPr>
            <w:fldChar w:fldCharType="end"/>
          </w:r>
          <w:r>
            <w:rPr>
              <w:rFonts w:ascii="黑体" w:hAnsi="黑体" w:eastAsia="黑体" w:cs="黑体"/>
              <w:b/>
              <w:bCs/>
            </w:rPr>
            <w:fldChar w:fldCharType="end"/>
          </w:r>
        </w:p>
        <w:p>
          <w:pPr>
            <w:pStyle w:val="11"/>
            <w:tabs>
              <w:tab w:val="right" w:leader="dot" w:pos="8548"/>
            </w:tabs>
            <w:rPr>
              <w:rFonts w:ascii="黑体" w:hAnsi="黑体" w:eastAsia="黑体" w:cs="黑体"/>
              <w:b/>
              <w:bCs/>
            </w:rPr>
          </w:pPr>
          <w:r>
            <w:rPr>
              <w:rFonts w:ascii="黑体" w:hAnsi="黑体" w:eastAsia="黑体" w:cs="黑体"/>
              <w:b/>
              <w:bCs/>
            </w:rPr>
            <w:fldChar w:fldCharType="begin"/>
          </w:r>
          <w:r>
            <w:rPr>
              <w:rFonts w:ascii="黑体" w:hAnsi="黑体" w:eastAsia="黑体" w:cs="黑体"/>
              <w:b/>
              <w:bCs/>
            </w:rPr>
            <w:instrText xml:space="preserve"> HYPERLINK \l _Toc10304 </w:instrText>
          </w:r>
          <w:r>
            <w:rPr>
              <w:rFonts w:ascii="黑体" w:hAnsi="黑体" w:eastAsia="黑体" w:cs="黑体"/>
              <w:b/>
              <w:bCs/>
            </w:rPr>
            <w:fldChar w:fldCharType="separate"/>
          </w:r>
          <w:r>
            <w:rPr>
              <w:rFonts w:hint="eastAsia" w:ascii="黑体" w:hAnsi="黑体" w:eastAsia="黑体" w:cs="黑体"/>
              <w:b/>
              <w:bCs/>
              <w:szCs w:val="44"/>
            </w:rPr>
            <w:t>第六章</w:t>
          </w:r>
          <w:r>
            <w:rPr>
              <w:rFonts w:ascii="黑体" w:hAnsi="黑体" w:eastAsia="黑体" w:cs="黑体"/>
              <w:b/>
              <w:bCs/>
              <w:szCs w:val="44"/>
            </w:rPr>
            <w:t xml:space="preserve"> </w:t>
          </w:r>
          <w:r>
            <w:rPr>
              <w:rFonts w:hint="eastAsia" w:ascii="黑体" w:hAnsi="黑体" w:eastAsia="黑体" w:cs="黑体"/>
              <w:b/>
              <w:bCs/>
              <w:szCs w:val="44"/>
            </w:rPr>
            <w:t>招标代理服务费缴纳说明</w:t>
          </w:r>
          <w:r>
            <w:rPr>
              <w:rFonts w:ascii="黑体" w:hAnsi="黑体" w:eastAsia="黑体" w:cs="黑体"/>
              <w:b/>
              <w:bCs/>
            </w:rPr>
            <w:tab/>
          </w:r>
          <w:r>
            <w:rPr>
              <w:rFonts w:ascii="黑体" w:hAnsi="黑体" w:eastAsia="黑体" w:cs="黑体"/>
              <w:b/>
              <w:bCs/>
            </w:rPr>
            <w:fldChar w:fldCharType="begin"/>
          </w:r>
          <w:r>
            <w:rPr>
              <w:rFonts w:ascii="黑体" w:hAnsi="黑体" w:eastAsia="黑体" w:cs="黑体"/>
              <w:b/>
              <w:bCs/>
            </w:rPr>
            <w:instrText xml:space="preserve"> PAGEREF _Toc10304 \h </w:instrText>
          </w:r>
          <w:r>
            <w:rPr>
              <w:rFonts w:ascii="黑体" w:hAnsi="黑体" w:eastAsia="黑体" w:cs="黑体"/>
              <w:b/>
              <w:bCs/>
            </w:rPr>
            <w:fldChar w:fldCharType="separate"/>
          </w:r>
          <w:r>
            <w:rPr>
              <w:rFonts w:ascii="黑体" w:hAnsi="黑体" w:eastAsia="黑体" w:cs="黑体"/>
              <w:b/>
              <w:bCs/>
            </w:rPr>
            <w:t>89</w:t>
          </w:r>
          <w:r>
            <w:rPr>
              <w:rFonts w:ascii="黑体" w:hAnsi="黑体" w:eastAsia="黑体" w:cs="黑体"/>
              <w:b/>
              <w:bCs/>
            </w:rPr>
            <w:fldChar w:fldCharType="end"/>
          </w:r>
          <w:r>
            <w:rPr>
              <w:rFonts w:ascii="黑体" w:hAnsi="黑体" w:eastAsia="黑体" w:cs="黑体"/>
              <w:b/>
              <w:bCs/>
            </w:rPr>
            <w:fldChar w:fldCharType="end"/>
          </w:r>
        </w:p>
        <w:p>
          <w:pPr>
            <w:rPr>
              <w:rFonts w:ascii="宋体" w:hAnsi="宋体" w:eastAsia="宋体"/>
            </w:rPr>
          </w:pPr>
          <w:r>
            <w:rPr>
              <w:rFonts w:ascii="黑体" w:hAnsi="黑体" w:eastAsia="黑体" w:cs="黑体"/>
              <w:b/>
              <w:bCs/>
            </w:rPr>
            <w:fldChar w:fldCharType="end"/>
          </w:r>
        </w:p>
      </w:sdtContent>
    </w:sdt>
    <w:p>
      <w:pPr>
        <w:widowControl/>
        <w:jc w:val="left"/>
        <w:rPr>
          <w:rFonts w:ascii="宋体" w:hAnsi="宋体" w:eastAsia="宋体"/>
        </w:rPr>
      </w:pPr>
      <w:r>
        <w:rPr>
          <w:rFonts w:ascii="宋体" w:hAnsi="宋体" w:eastAsia="宋体"/>
        </w:rPr>
        <w:br w:type="page"/>
      </w:r>
    </w:p>
    <w:p>
      <w:pPr>
        <w:jc w:val="center"/>
        <w:outlineLvl w:val="0"/>
        <w:rPr>
          <w:rFonts w:ascii="黑体" w:hAnsi="黑体" w:eastAsia="黑体"/>
          <w:b/>
          <w:bCs/>
          <w:sz w:val="44"/>
          <w:szCs w:val="44"/>
        </w:rPr>
      </w:pPr>
      <w:bookmarkStart w:id="0" w:name="_Toc216716585"/>
      <w:bookmarkStart w:id="1" w:name="_Toc14532"/>
      <w:r>
        <w:rPr>
          <w:rFonts w:hint="eastAsia" w:ascii="黑体" w:hAnsi="黑体" w:eastAsia="黑体"/>
          <w:b/>
          <w:bCs/>
          <w:sz w:val="44"/>
          <w:szCs w:val="44"/>
        </w:rPr>
        <w:t>第一章 供应商须知</w:t>
      </w:r>
      <w:bookmarkEnd w:id="0"/>
      <w:bookmarkEnd w:id="1"/>
    </w:p>
    <w:p>
      <w:pPr>
        <w:jc w:val="center"/>
        <w:outlineLvl w:val="1"/>
        <w:rPr>
          <w:rFonts w:ascii="黑体" w:hAnsi="黑体" w:eastAsia="黑体" w:cs="Times New Roman"/>
          <w:b/>
          <w:bCs/>
          <w:sz w:val="30"/>
          <w:szCs w:val="30"/>
        </w:rPr>
      </w:pPr>
      <w:bookmarkStart w:id="2" w:name="_Toc216716586"/>
      <w:bookmarkStart w:id="3" w:name="_Toc1289"/>
      <w:r>
        <w:rPr>
          <w:rFonts w:hint="eastAsia" w:ascii="黑体" w:hAnsi="黑体" w:eastAsia="黑体" w:cs="Times New Roman"/>
          <w:b/>
          <w:bCs/>
          <w:sz w:val="30"/>
          <w:szCs w:val="30"/>
        </w:rPr>
        <w:t>第一节 供应商</w:t>
      </w:r>
      <w:r>
        <w:rPr>
          <w:rFonts w:ascii="黑体" w:hAnsi="黑体" w:eastAsia="黑体" w:cs="Times New Roman"/>
          <w:b/>
          <w:bCs/>
          <w:sz w:val="30"/>
          <w:szCs w:val="30"/>
        </w:rPr>
        <w:t>须知前附表</w:t>
      </w:r>
      <w:bookmarkEnd w:id="2"/>
      <w:bookmarkEnd w:id="3"/>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240"/>
        <w:gridCol w:w="6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blHeader/>
          <w:jc w:val="center"/>
        </w:trPr>
        <w:tc>
          <w:tcPr>
            <w:tcW w:w="257"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序号</w:t>
            </w:r>
          </w:p>
        </w:tc>
        <w:tc>
          <w:tcPr>
            <w:tcW w:w="1278"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条款名称</w:t>
            </w:r>
          </w:p>
        </w:tc>
        <w:tc>
          <w:tcPr>
            <w:tcW w:w="3465"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 xml:space="preserve">编列内容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8" w:type="pct"/>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采购单位</w:t>
            </w:r>
          </w:p>
        </w:tc>
        <w:tc>
          <w:tcPr>
            <w:tcW w:w="3465" w:type="pct"/>
            <w:vAlign w:val="center"/>
          </w:tcPr>
          <w:p>
            <w:pPr>
              <w:spacing w:line="360" w:lineRule="auto"/>
              <w:rPr>
                <w:rFonts w:ascii="Times New Roman" w:hAnsi="Times New Roman" w:eastAsia="宋体" w:cs="Times New Roman"/>
                <w:szCs w:val="20"/>
              </w:rPr>
            </w:pPr>
            <w:r>
              <w:rPr>
                <w:rFonts w:ascii="Times New Roman" w:hAnsi="Times New Roman" w:eastAsia="宋体" w:cs="Times New Roman"/>
                <w:szCs w:val="21"/>
              </w:rPr>
              <w:t>采购单位：</w:t>
            </w:r>
            <w:sdt>
              <w:sdtPr>
                <w:rPr>
                  <w:rFonts w:ascii="Times New Roman" w:hAnsi="Times New Roman" w:eastAsia="宋体" w:cs="Times New Roman"/>
                  <w:szCs w:val="20"/>
                </w:rPr>
                <w:alias w:val="填写采购单位名称"/>
                <w:tag w:val="填写采购单位名称"/>
                <w:id w:val="832650541"/>
                <w:placeholder>
                  <w:docPart w:val="F72D6BFD2B684726AAB445D54C0EEAD7"/>
                </w:placeholder>
              </w:sdtPr>
              <w:sdtEndPr>
                <w:rPr>
                  <w:rFonts w:ascii="Times New Roman" w:hAnsi="Times New Roman" w:eastAsia="宋体" w:cs="Times New Roman"/>
                  <w:szCs w:val="20"/>
                </w:rPr>
              </w:sdtEndPr>
              <w:sdtContent>
                <w:r>
                  <w:rPr>
                    <w:rFonts w:hint="eastAsia" w:ascii="Times New Roman" w:hAnsi="Times New Roman" w:eastAsia="宋体" w:cs="Times New Roman"/>
                    <w:szCs w:val="20"/>
                  </w:rPr>
                  <w:t>深圳招商供电有限公司</w:t>
                </w:r>
              </w:sdtContent>
            </w:sdt>
          </w:p>
          <w:p>
            <w:pPr>
              <w:spacing w:line="360" w:lineRule="auto"/>
              <w:rPr>
                <w:rFonts w:ascii="Times New Roman" w:hAnsi="Times New Roman" w:eastAsia="宋体" w:cs="Times New Roman"/>
                <w:szCs w:val="21"/>
              </w:rPr>
            </w:pPr>
            <w:r>
              <w:rPr>
                <w:rFonts w:ascii="Times New Roman" w:hAnsi="Times New Roman" w:eastAsia="宋体" w:cs="Times New Roman"/>
                <w:szCs w:val="21"/>
              </w:rPr>
              <w:t>地址：深圳市南山区蛇口工业八路274号</w:t>
            </w:r>
          </w:p>
          <w:p>
            <w:pPr>
              <w:spacing w:line="360" w:lineRule="auto"/>
              <w:rPr>
                <w:rFonts w:ascii="Times New Roman" w:hAnsi="Times New Roman" w:eastAsia="宋体" w:cs="Times New Roman"/>
                <w:szCs w:val="21"/>
              </w:rPr>
            </w:pPr>
            <w:r>
              <w:rPr>
                <w:rFonts w:ascii="Times New Roman" w:hAnsi="Times New Roman" w:eastAsia="宋体" w:cs="Times New Roman"/>
                <w:szCs w:val="21"/>
              </w:rPr>
              <w:t>联系人：林工</w:t>
            </w:r>
            <w:r>
              <w:rPr>
                <w:rFonts w:hint="eastAsia" w:ascii="Times New Roman" w:hAnsi="Times New Roman" w:eastAsia="宋体" w:cs="Times New Roman"/>
                <w:szCs w:val="21"/>
              </w:rPr>
              <w:t>/</w:t>
            </w:r>
            <w:r>
              <w:rPr>
                <w:rFonts w:hint="eastAsia" w:ascii="Times New Roman" w:hAnsi="Times New Roman" w:eastAsia="宋体" w:cs="Times New Roman"/>
                <w:kern w:val="0"/>
                <w:szCs w:val="21"/>
              </w:rPr>
              <w:t>冯工</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电话：0755-26829856/18988752423</w:t>
            </w:r>
          </w:p>
          <w:p>
            <w:pPr>
              <w:spacing w:line="360" w:lineRule="auto"/>
              <w:ind w:firstLine="630" w:firstLineChars="300"/>
              <w:rPr>
                <w:rFonts w:ascii="Times New Roman" w:hAnsi="Times New Roman" w:eastAsia="宋体" w:cs="Times New Roman"/>
                <w:szCs w:val="21"/>
              </w:rPr>
            </w:pPr>
            <w:r>
              <w:rPr>
                <w:rFonts w:ascii="Times New Roman" w:hAnsi="Times New Roman" w:eastAsia="宋体" w:cs="Times New Roman"/>
                <w:kern w:val="0"/>
                <w:szCs w:val="21"/>
              </w:rPr>
              <w:t>0755-26821124/13822228002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8" w:type="pct"/>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招标代理机构</w:t>
            </w:r>
          </w:p>
        </w:tc>
        <w:tc>
          <w:tcPr>
            <w:tcW w:w="3465" w:type="pct"/>
            <w:vAlign w:val="center"/>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招标代理机构：</w:t>
            </w:r>
            <w:r>
              <w:rPr>
                <w:rFonts w:hint="eastAsia" w:ascii="Times New Roman" w:hAnsi="Times New Roman" w:eastAsia="宋体" w:cs="Times New Roman"/>
                <w:kern w:val="0"/>
                <w:szCs w:val="21"/>
              </w:rPr>
              <w:t>深圳前供综合能源有限公司</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联系人及电话：</w:t>
            </w:r>
            <w:r>
              <w:rPr>
                <w:rFonts w:hint="eastAsia" w:ascii="Times New Roman" w:hAnsi="Times New Roman" w:eastAsia="宋体" w:cs="Times New Roman"/>
                <w:kern w:val="0"/>
                <w:szCs w:val="21"/>
              </w:rPr>
              <w:t>陈工</w:t>
            </w:r>
            <w:r>
              <w:rPr>
                <w:rFonts w:ascii="Times New Roman" w:hAnsi="Times New Roman" w:eastAsia="宋体" w:cs="Times New Roman"/>
                <w:kern w:val="0"/>
                <w:szCs w:val="21"/>
              </w:rPr>
              <w:t xml:space="preserve"> 18319294329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8" w:type="pct"/>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招标代理服务费</w:t>
            </w:r>
          </w:p>
        </w:tc>
        <w:tc>
          <w:tcPr>
            <w:tcW w:w="3465" w:type="pct"/>
            <w:vAlign w:val="center"/>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招标代理服务费由成交单位支付，计算方法详见第六章招标代理费取费说明。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8"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项目名称</w:t>
            </w:r>
          </w:p>
        </w:tc>
        <w:sdt>
          <w:sdtPr>
            <w:rPr>
              <w:rFonts w:ascii="Times New Roman" w:hAnsi="Times New Roman" w:eastAsia="宋体" w:cs="Times New Roman"/>
              <w:color w:val="000000" w:themeColor="text1"/>
              <w:szCs w:val="21"/>
              <w14:textFill>
                <w14:solidFill>
                  <w14:schemeClr w14:val="tx1"/>
                </w14:solidFill>
              </w14:textFill>
            </w:rPr>
            <w:alias w:val="填写项目名称"/>
            <w:tag w:val="填写项目名称"/>
            <w:id w:val="-302083017"/>
            <w:lock w:val="sdtLocked"/>
            <w:placeholder>
              <w:docPart w:val="DE43E2DC523F4DAD8D185B8F56F5E7E1"/>
            </w:placeholder>
          </w:sdtPr>
          <w:sdtEndPr>
            <w:rPr>
              <w:rFonts w:ascii="Times New Roman" w:hAnsi="Times New Roman" w:eastAsia="宋体" w:cs="Times New Roman"/>
              <w:color w:val="000000" w:themeColor="text1"/>
              <w:szCs w:val="21"/>
              <w14:textFill>
                <w14:solidFill>
                  <w14:schemeClr w14:val="tx1"/>
                </w14:solidFill>
              </w14:textFill>
            </w:rPr>
          </w:sdtEndPr>
          <w:sdtContent>
            <w:tc>
              <w:tcPr>
                <w:tcW w:w="3465" w:type="pct"/>
                <w:vAlign w:val="center"/>
              </w:tcPr>
              <w:p>
                <w:pPr>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themeColor="text1"/>
                    <w:szCs w:val="21"/>
                    <w14:textFill>
                      <w14:solidFill>
                        <w14:schemeClr w14:val="tx1"/>
                      </w14:solidFill>
                    </w14:textFill>
                  </w:rPr>
                  <w:t>2026年招商供电数字化服务采购项目（公司新型电力系统光纤网络规划设计）</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8"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实施地点</w:t>
            </w:r>
          </w:p>
        </w:tc>
        <w:tc>
          <w:tcPr>
            <w:tcW w:w="3465" w:type="pct"/>
            <w:vAlign w:val="center"/>
          </w:tcPr>
          <w:p>
            <w:pPr>
              <w:spacing w:line="360" w:lineRule="auto"/>
              <w:rPr>
                <w:rFonts w:ascii="Times New Roman" w:hAnsi="Times New Roman" w:eastAsia="宋体" w:cs="Times New Roman"/>
                <w:b/>
                <w:color w:val="000000"/>
                <w:szCs w:val="21"/>
              </w:rPr>
            </w:pPr>
            <w:r>
              <w:rPr>
                <w:rFonts w:ascii="Times New Roman" w:hAnsi="Times New Roman" w:eastAsia="宋体" w:cs="Times New Roman"/>
                <w:color w:val="000000"/>
                <w:szCs w:val="21"/>
              </w:rPr>
              <w:t>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8"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项目概况</w:t>
            </w:r>
          </w:p>
        </w:tc>
        <w:sdt>
          <w:sdtPr>
            <w:rPr>
              <w:rFonts w:ascii="Times New Roman" w:hAnsi="Times New Roman" w:eastAsia="宋体" w:cs="Times New Roman"/>
              <w:szCs w:val="20"/>
            </w:rPr>
            <w:alias w:val="填写项目概况"/>
            <w:tag w:val="填写项目概况"/>
            <w:id w:val="1330941599"/>
            <w:lock w:val="sdtLocked"/>
            <w:placeholder>
              <w:docPart w:val="CCAC6151CDC54E2882C8A28CF40471F2"/>
            </w:placeholder>
          </w:sdtPr>
          <w:sdtEndPr>
            <w:rPr>
              <w:rFonts w:ascii="Times New Roman" w:hAnsi="Times New Roman" w:eastAsia="宋体" w:cs="Times New Roman"/>
              <w:szCs w:val="20"/>
            </w:rPr>
          </w:sdtEndPr>
          <w:sdtContent>
            <w:tc>
              <w:tcPr>
                <w:tcW w:w="3465" w:type="pct"/>
                <w:vAlign w:val="center"/>
              </w:tcPr>
              <w:p>
                <w:pPr>
                  <w:spacing w:line="360" w:lineRule="auto"/>
                  <w:rPr>
                    <w:rFonts w:ascii="Times New Roman" w:hAnsi="Times New Roman" w:eastAsia="宋体" w:cs="Times New Roman"/>
                    <w:color w:val="000000"/>
                    <w:szCs w:val="21"/>
                  </w:rPr>
                </w:pPr>
                <w:r>
                  <w:rPr>
                    <w:rFonts w:hint="eastAsia" w:ascii="Times New Roman" w:hAnsi="Times New Roman" w:eastAsia="宋体" w:cs="Times New Roman"/>
                    <w:szCs w:val="20"/>
                  </w:rPr>
                  <w:t>为适配新型电力系统建设发展需求，完善公司电力通信光纤网络架构，提升网络可靠性、带宽容量、智能化运维水平及安全防护能力，满足电网调度、继电保护、配电自动化、新能源接入、用电信息采集、视频通讯、用户侧设备接入、电力鸿蒙物联网设备接入等全业务通信承载需求，现需委托专业设计单位，编制公司管辖范围内电力通信光纤网络规划设计，并完成各类通信节点建设典型设计，为后续网络建设、改造及运维管理提供科学依据与技术标准。</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8"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采购内容</w:t>
            </w:r>
          </w:p>
        </w:tc>
        <w:sdt>
          <w:sdtPr>
            <w:rPr>
              <w:rFonts w:ascii="Times New Roman" w:hAnsi="Times New Roman" w:eastAsia="宋体" w:cs="Times New Roman"/>
              <w:szCs w:val="20"/>
            </w:rPr>
            <w:alias w:val="填写采购内容"/>
            <w:id w:val="-871225178"/>
            <w:lock w:val="sdtLocked"/>
            <w:placeholder>
              <w:docPart w:val="85A0B029137F4304B253EF250318B72E"/>
            </w:placeholder>
          </w:sdtPr>
          <w:sdtEndPr>
            <w:rPr>
              <w:rFonts w:ascii="Times New Roman" w:hAnsi="Times New Roman" w:eastAsia="宋体" w:cs="Times New Roman"/>
              <w:szCs w:val="20"/>
            </w:rPr>
          </w:sdtEndPr>
          <w:sdtContent>
            <w:tc>
              <w:tcPr>
                <w:tcW w:w="3465" w:type="pct"/>
                <w:vAlign w:val="center"/>
              </w:tcPr>
              <w:p>
                <w:pPr>
                  <w:spacing w:line="360" w:lineRule="auto"/>
                  <w:jc w:val="left"/>
                  <w:rPr>
                    <w:rFonts w:ascii="Times New Roman" w:hAnsi="Times New Roman" w:eastAsia="宋体" w:cs="Times New Roman"/>
                    <w:szCs w:val="20"/>
                  </w:rPr>
                </w:pPr>
                <w:r>
                  <w:rPr>
                    <w:rFonts w:hint="eastAsia" w:ascii="Times New Roman" w:hAnsi="Times New Roman" w:eastAsia="宋体" w:cs="Times New Roman"/>
                    <w:szCs w:val="20"/>
                  </w:rPr>
                  <w:t>公司新型电力系统光纤网络规划设计</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8"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采购方式</w:t>
            </w:r>
          </w:p>
        </w:tc>
        <w:tc>
          <w:tcPr>
            <w:tcW w:w="3465"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kern w:val="0"/>
                <w:szCs w:val="21"/>
              </w:rPr>
              <w:t>询价采购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8" w:type="pct"/>
            <w:vAlign w:val="center"/>
          </w:tcPr>
          <w:p>
            <w:pPr>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资金来源和落实情况</w:t>
            </w:r>
          </w:p>
        </w:tc>
        <w:tc>
          <w:tcPr>
            <w:tcW w:w="3465" w:type="pct"/>
            <w:vAlign w:val="center"/>
          </w:tcPr>
          <w:p>
            <w:pPr>
              <w:spacing w:line="360" w:lineRule="auto"/>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资金来源：企业自筹</w:t>
            </w:r>
          </w:p>
          <w:p>
            <w:pPr>
              <w:spacing w:line="360" w:lineRule="auto"/>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出资比例：100％</w:t>
            </w:r>
          </w:p>
          <w:p>
            <w:pPr>
              <w:spacing w:line="360" w:lineRule="auto"/>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资金落实情况：已落实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tcBorders>
              <w:top w:val="nil"/>
            </w:tcBorders>
            <w:vAlign w:val="center"/>
          </w:tcPr>
          <w:p>
            <w:pPr>
              <w:numPr>
                <w:ilvl w:val="0"/>
                <w:numId w:val="1"/>
              </w:numPr>
              <w:spacing w:line="360" w:lineRule="auto"/>
              <w:ind w:left="105" w:leftChars="50"/>
              <w:jc w:val="center"/>
              <w:rPr>
                <w:rFonts w:ascii="Times New Roman" w:hAnsi="Times New Roman" w:eastAsia="宋体" w:cs="Times New Roman"/>
                <w:color w:val="000000"/>
                <w:szCs w:val="21"/>
              </w:rPr>
            </w:pPr>
          </w:p>
        </w:tc>
        <w:tc>
          <w:tcPr>
            <w:tcW w:w="1278" w:type="pct"/>
            <w:tcBorders>
              <w:top w:val="nil"/>
            </w:tcBorders>
            <w:vAlign w:val="center"/>
          </w:tcPr>
          <w:p>
            <w:pPr>
              <w:spacing w:line="360" w:lineRule="auto"/>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服务期限/工期/交货期</w:t>
            </w:r>
          </w:p>
        </w:tc>
        <w:tc>
          <w:tcPr>
            <w:tcW w:w="3465" w:type="pct"/>
            <w:tcBorders>
              <w:top w:val="nil"/>
            </w:tcBorders>
            <w:vAlign w:val="center"/>
          </w:tcPr>
          <w:p>
            <w:pPr>
              <w:spacing w:line="360" w:lineRule="auto"/>
              <w:rPr>
                <w:rFonts w:ascii="Times New Roman" w:hAnsi="Times New Roman" w:eastAsia="宋体" w:cs="Times New Roman"/>
                <w:bCs/>
                <w:color w:val="000000" w:themeColor="text1"/>
                <w:szCs w:val="20"/>
                <w14:textFill>
                  <w14:solidFill>
                    <w14:schemeClr w14:val="tx1"/>
                  </w14:solidFill>
                </w14:textFill>
              </w:rPr>
            </w:pPr>
            <w:sdt>
              <w:sdtPr>
                <w:rPr>
                  <w:rFonts w:ascii="Times New Roman" w:hAnsi="Times New Roman" w:eastAsia="宋体" w:cs="Times New Roman"/>
                </w:rPr>
                <w:id w:val="-173190927"/>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t>□</w:t>
                </w:r>
              </w:sdtContent>
            </w:sdt>
            <w:r>
              <w:rPr>
                <w:rFonts w:ascii="Times New Roman" w:hAnsi="Times New Roman" w:eastAsia="宋体" w:cs="Times New Roman"/>
                <w:bCs/>
                <w:color w:val="000000" w:themeColor="text1"/>
                <w:szCs w:val="20"/>
                <w14:textFill>
                  <w14:solidFill>
                    <w14:schemeClr w14:val="tx1"/>
                  </w14:solidFill>
                </w14:textFill>
              </w:rPr>
              <w:t>服务期限：</w:t>
            </w:r>
            <w:sdt>
              <w:sdtPr>
                <w:rPr>
                  <w:rFonts w:ascii="Times New Roman" w:hAnsi="Times New Roman" w:eastAsia="宋体" w:cs="Times New Roman"/>
                  <w:bCs/>
                  <w:color w:val="000000" w:themeColor="text1"/>
                  <w:szCs w:val="20"/>
                  <w14:textFill>
                    <w14:solidFill>
                      <w14:schemeClr w14:val="tx1"/>
                    </w14:solidFill>
                  </w14:textFill>
                </w:rPr>
                <w:alias w:val="填写服务期限"/>
                <w:tag w:val="填写服务期限"/>
                <w:id w:val="124508664"/>
                <w:lock w:val="sdtLocked"/>
                <w:placeholder>
                  <w:docPart w:val="00D0556E766A4C19961418CEA4378C22"/>
                </w:placeholder>
                <w:showingPlcHdr/>
              </w:sdtPr>
              <w:sdtEndPr>
                <w:rPr>
                  <w:rFonts w:ascii="Times New Roman" w:hAnsi="Times New Roman" w:eastAsia="宋体" w:cs="Times New Roman"/>
                  <w:bCs/>
                  <w:color w:val="000000" w:themeColor="text1"/>
                  <w:szCs w:val="20"/>
                  <w14:textFill>
                    <w14:solidFill>
                      <w14:schemeClr w14:val="tx1"/>
                    </w14:solidFill>
                  </w14:textFill>
                </w:rPr>
              </w:sdtEndPr>
              <w:sdtContent>
                <w:r>
                  <w:rPr>
                    <w:rStyle w:val="25"/>
                  </w:rPr>
                  <w:t>单击或点击此处输入文字。</w:t>
                </w:r>
              </w:sdtContent>
            </w:sdt>
          </w:p>
          <w:p>
            <w:pPr>
              <w:spacing w:line="360" w:lineRule="auto"/>
              <w:rPr>
                <w:rFonts w:ascii="Times New Roman" w:hAnsi="Times New Roman" w:eastAsia="宋体" w:cs="Times New Roman"/>
                <w:bCs/>
                <w:color w:val="000000" w:themeColor="text1"/>
                <w:szCs w:val="20"/>
                <w14:textFill>
                  <w14:solidFill>
                    <w14:schemeClr w14:val="tx1"/>
                  </w14:solidFill>
                </w14:textFill>
              </w:rPr>
            </w:pPr>
            <w:sdt>
              <w:sdtPr>
                <w:rPr>
                  <w:rFonts w:ascii="Times New Roman" w:hAnsi="Times New Roman" w:eastAsia="宋体" w:cs="Times New Roman"/>
                </w:rPr>
                <w:id w:val="2059660778"/>
                <w14:checkbox>
                  <w14:checked w14:val="1"/>
                  <w14:checkedState w14:val="0052" w14:font="Wingdings 2"/>
                  <w14:uncheckedState w14:val="25A1" w14:font="宋体"/>
                </w14:checkbox>
              </w:sdtPr>
              <w:sdtEndPr>
                <w:rPr>
                  <w:rFonts w:ascii="Times New Roman" w:hAnsi="Times New Roman" w:eastAsia="宋体" w:cs="Times New Roman"/>
                </w:rPr>
              </w:sdtEndPr>
              <w:sdtContent>
                <w:r>
                  <w:rPr>
                    <w:rFonts w:ascii="Times New Roman" w:hAnsi="Times New Roman" w:eastAsia="宋体" w:cs="Times New Roman"/>
                  </w:rPr>
                  <w:sym w:font="Wingdings 2" w:char="F052"/>
                </w:r>
              </w:sdtContent>
            </w:sdt>
            <w:r>
              <w:rPr>
                <w:rFonts w:ascii="Times New Roman" w:hAnsi="Times New Roman" w:eastAsia="宋体" w:cs="Times New Roman"/>
                <w:bCs/>
                <w:color w:val="000000" w:themeColor="text1"/>
                <w:szCs w:val="20"/>
                <w14:textFill>
                  <w14:solidFill>
                    <w14:schemeClr w14:val="tx1"/>
                  </w14:solidFill>
                </w14:textFill>
              </w:rPr>
              <w:t>工期：</w:t>
            </w:r>
            <w:sdt>
              <w:sdtPr>
                <w:rPr>
                  <w:rFonts w:ascii="Times New Roman" w:hAnsi="Times New Roman" w:eastAsia="宋体" w:cs="Times New Roman"/>
                  <w:bCs/>
                  <w:color w:val="000000" w:themeColor="text1"/>
                  <w:szCs w:val="20"/>
                  <w14:textFill>
                    <w14:solidFill>
                      <w14:schemeClr w14:val="tx1"/>
                    </w14:solidFill>
                  </w14:textFill>
                </w:rPr>
                <w:alias w:val="填写工期要求"/>
                <w:tag w:val="填写工期要求"/>
                <w:id w:val="1785153872"/>
                <w:lock w:val="sdtLocked"/>
                <w:placeholder>
                  <w:docPart w:val="E11FCE4170C443DF869F9C2B0BF62FBA"/>
                </w:placeholder>
              </w:sdtPr>
              <w:sdtEndPr>
                <w:rPr>
                  <w:rFonts w:ascii="Times New Roman" w:hAnsi="Times New Roman" w:eastAsia="宋体" w:cs="Times New Roman"/>
                  <w:bCs/>
                  <w:color w:val="000000" w:themeColor="text1"/>
                  <w:szCs w:val="20"/>
                  <w14:textFill>
                    <w14:solidFill>
                      <w14:schemeClr w14:val="tx1"/>
                    </w14:solidFill>
                  </w14:textFill>
                </w:rPr>
              </w:sdtEndPr>
              <w:sdtContent>
                <w:r>
                  <w:rPr>
                    <w:rFonts w:ascii="Times New Roman" w:hAnsi="Times New Roman" w:eastAsia="宋体" w:cs="Times New Roman"/>
                    <w:bCs/>
                    <w:color w:val="000000" w:themeColor="text1"/>
                    <w:szCs w:val="20"/>
                    <w14:textFill>
                      <w14:solidFill>
                        <w14:schemeClr w14:val="tx1"/>
                      </w14:solidFill>
                    </w14:textFill>
                  </w:rPr>
                  <w:t>120</w:t>
                </w:r>
                <w:r>
                  <w:rPr>
                    <w:rFonts w:hint="eastAsia" w:ascii="Times New Roman" w:hAnsi="Times New Roman" w:eastAsia="宋体" w:cs="Times New Roman"/>
                    <w:bCs/>
                    <w:color w:val="000000" w:themeColor="text1"/>
                    <w:szCs w:val="20"/>
                    <w14:textFill>
                      <w14:solidFill>
                        <w14:schemeClr w14:val="tx1"/>
                      </w14:solidFill>
                    </w14:textFill>
                  </w:rPr>
                  <w:t>天</w:t>
                </w:r>
              </w:sdtContent>
            </w:sdt>
          </w:p>
          <w:p>
            <w:pPr>
              <w:spacing w:line="360" w:lineRule="auto"/>
              <w:rPr>
                <w:rFonts w:ascii="Times New Roman" w:hAnsi="Times New Roman" w:eastAsia="宋体" w:cs="Times New Roman"/>
                <w:bCs/>
                <w:color w:val="000000" w:themeColor="text1"/>
                <w:szCs w:val="20"/>
                <w14:textFill>
                  <w14:solidFill>
                    <w14:schemeClr w14:val="tx1"/>
                  </w14:solidFill>
                </w14:textFill>
              </w:rPr>
            </w:pPr>
            <w:sdt>
              <w:sdtPr>
                <w:rPr>
                  <w:rFonts w:ascii="Times New Roman" w:hAnsi="Times New Roman" w:eastAsia="宋体" w:cs="Times New Roman"/>
                </w:rPr>
                <w:id w:val="-1901207764"/>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t>□</w:t>
                </w:r>
              </w:sdtContent>
            </w:sdt>
            <w:r>
              <w:rPr>
                <w:rFonts w:ascii="Times New Roman" w:hAnsi="Times New Roman" w:eastAsia="宋体" w:cs="Times New Roman"/>
                <w:bCs/>
                <w:color w:val="000000" w:themeColor="text1"/>
                <w:szCs w:val="20"/>
                <w14:textFill>
                  <w14:solidFill>
                    <w14:schemeClr w14:val="tx1"/>
                  </w14:solidFill>
                </w14:textFill>
              </w:rPr>
              <w:t>交货期：</w:t>
            </w:r>
            <w:sdt>
              <w:sdtPr>
                <w:rPr>
                  <w:rFonts w:ascii="Times New Roman" w:hAnsi="Times New Roman" w:eastAsia="宋体" w:cs="Times New Roman"/>
                  <w:bCs/>
                  <w:color w:val="000000" w:themeColor="text1"/>
                  <w:szCs w:val="20"/>
                  <w14:textFill>
                    <w14:solidFill>
                      <w14:schemeClr w14:val="tx1"/>
                    </w14:solidFill>
                  </w14:textFill>
                </w:rPr>
                <w:alias w:val="填写交货期要求"/>
                <w:tag w:val="填写交货期要求"/>
                <w:id w:val="-449548315"/>
                <w:lock w:val="sdtLocked"/>
                <w:placeholder>
                  <w:docPart w:val="E068F70E0886461F90CBA22618ACCC01"/>
                </w:placeholder>
                <w:showingPlcHdr/>
              </w:sdtPr>
              <w:sdtEndPr>
                <w:rPr>
                  <w:rFonts w:ascii="Times New Roman" w:hAnsi="Times New Roman" w:eastAsia="宋体" w:cs="Times New Roman"/>
                  <w:bCs/>
                  <w:color w:val="000000" w:themeColor="text1"/>
                  <w:szCs w:val="20"/>
                  <w14:textFill>
                    <w14:solidFill>
                      <w14:schemeClr w14:val="tx1"/>
                    </w14:solidFill>
                  </w14:textFill>
                </w:rPr>
              </w:sdtEndPr>
              <w:sdtContent>
                <w:r>
                  <w:rPr>
                    <w:rStyle w:val="25"/>
                    <w:rFonts w:ascii="Times New Roman" w:hAnsi="Times New Roman" w:cs="Times New Roman"/>
                  </w:rPr>
                  <w:t>单击或点击此处输入文字。</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质量要求</w:t>
            </w:r>
          </w:p>
        </w:tc>
        <w:tc>
          <w:tcPr>
            <w:tcW w:w="3465"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57" w:type="pct"/>
            <w:vMerge w:val="restar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Merge w:val="restar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分包</w:t>
            </w:r>
            <w:r>
              <w:rPr>
                <w:rFonts w:ascii="宋体" w:hAnsi="宋体" w:eastAsia="宋体" w:cs="Times New Roman"/>
                <w:color w:val="000000"/>
                <w:szCs w:val="21"/>
              </w:rPr>
              <w:t>要求</w:t>
            </w:r>
          </w:p>
        </w:tc>
        <w:tc>
          <w:tcPr>
            <w:tcW w:w="3465" w:type="pct"/>
            <w:vAlign w:val="center"/>
          </w:tcPr>
          <w:p>
            <w:pPr>
              <w:spacing w:line="360" w:lineRule="auto"/>
              <w:ind w:right="252" w:rightChars="120"/>
              <w:rPr>
                <w:rFonts w:ascii="Times New Roman" w:hAnsi="Times New Roman" w:eastAsia="宋体" w:cs="Times New Roman"/>
                <w:color w:val="000000"/>
                <w:szCs w:val="21"/>
              </w:rPr>
            </w:pPr>
            <w:sdt>
              <w:sdtPr>
                <w:rPr>
                  <w:rFonts w:ascii="Times New Roman" w:hAnsi="Times New Roman" w:eastAsia="宋体" w:cs="Times New Roman"/>
                  <w:kern w:val="0"/>
                </w:rPr>
                <w:id w:val="1430234714"/>
                <w14:checkbox>
                  <w14:checked w14:val="1"/>
                  <w14:checkedState w14:val="0052" w14:font="Wingdings 2"/>
                  <w14:uncheckedState w14:val="25A1" w14:font="宋体"/>
                </w14:checkbox>
              </w:sdtPr>
              <w:sdtEndPr>
                <w:rPr>
                  <w:rFonts w:ascii="Times New Roman" w:hAnsi="Times New Roman" w:eastAsia="宋体" w:cs="Times New Roman"/>
                  <w:kern w:val="0"/>
                </w:rPr>
              </w:sdtEndPr>
              <w:sdtContent>
                <w:r>
                  <w:rPr>
                    <w:rFonts w:hint="eastAsia" w:ascii="宋体" w:hAnsi="宋体" w:eastAsia="宋体" w:cs="Times New Roman"/>
                    <w:kern w:val="0"/>
                  </w:rPr>
                  <w:sym w:font="Wingdings 2" w:char="F052"/>
                </w:r>
              </w:sdtContent>
            </w:sdt>
            <w:r>
              <w:rPr>
                <w:rFonts w:ascii="Times New Roman" w:hAnsi="Times New Roman" w:eastAsia="宋体" w:cs="Times New Roman"/>
                <w:bCs/>
                <w:color w:val="00000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Merge w:val="continue"/>
            <w:vAlign w:val="center"/>
          </w:tcPr>
          <w:p>
            <w:pPr>
              <w:spacing w:line="360" w:lineRule="auto"/>
              <w:jc w:val="center"/>
              <w:rPr>
                <w:rFonts w:ascii="宋体" w:hAnsi="宋体" w:eastAsia="宋体" w:cs="Times New Roman"/>
                <w:color w:val="000000"/>
                <w:szCs w:val="21"/>
              </w:rPr>
            </w:pPr>
          </w:p>
        </w:tc>
        <w:tc>
          <w:tcPr>
            <w:tcW w:w="3465" w:type="pct"/>
            <w:vAlign w:val="center"/>
          </w:tcPr>
          <w:p>
            <w:pPr>
              <w:spacing w:line="360" w:lineRule="auto"/>
              <w:ind w:right="252" w:rightChars="120"/>
              <w:rPr>
                <w:rFonts w:ascii="Times New Roman" w:hAnsi="Times New Roman" w:eastAsia="宋体" w:cs="Times New Roman"/>
                <w:bCs/>
                <w:color w:val="000000"/>
                <w:szCs w:val="21"/>
              </w:rPr>
            </w:pPr>
            <w:sdt>
              <w:sdtPr>
                <w:rPr>
                  <w:rFonts w:ascii="Times New Roman" w:hAnsi="Times New Roman" w:eastAsia="宋体" w:cs="Times New Roman"/>
                  <w:kern w:val="0"/>
                </w:rPr>
                <w:id w:val="366260567"/>
                <w14:checkbox>
                  <w14:checked w14:val="0"/>
                  <w14:checkedState w14:val="0052" w14:font="Wingdings 2"/>
                  <w14:uncheckedState w14:val="25A1" w14:font="宋体"/>
                </w14:checkbox>
              </w:sdtPr>
              <w:sdtEndPr>
                <w:rPr>
                  <w:rFonts w:ascii="Times New Roman" w:hAnsi="Times New Roman" w:eastAsia="宋体" w:cs="Times New Roman"/>
                  <w:kern w:val="0"/>
                </w:rPr>
              </w:sdtEndPr>
              <w:sdtContent>
                <w:r>
                  <w:rPr>
                    <w:rFonts w:hint="eastAsia" w:ascii="宋体" w:hAnsi="宋体" w:eastAsia="宋体" w:cs="Times New Roman"/>
                    <w:kern w:val="0"/>
                  </w:rPr>
                  <w:t>□</w:t>
                </w:r>
              </w:sdtContent>
            </w:sdt>
            <w:r>
              <w:rPr>
                <w:rFonts w:ascii="Times New Roman" w:hAnsi="Times New Roman" w:eastAsia="宋体" w:cs="Times New Roman"/>
                <w:bCs/>
                <w:color w:val="000000"/>
                <w:szCs w:val="21"/>
              </w:rPr>
              <w:t>允许</w:t>
            </w:r>
          </w:p>
          <w:p>
            <w:pPr>
              <w:spacing w:line="360" w:lineRule="auto"/>
              <w:ind w:right="252" w:rightChars="120"/>
              <w:rPr>
                <w:rFonts w:ascii="Times New Roman" w:hAnsi="Times New Roman" w:eastAsia="宋体" w:cs="Times New Roman"/>
                <w:bCs/>
                <w:color w:val="000000"/>
                <w:szCs w:val="21"/>
              </w:rPr>
            </w:pPr>
            <w:r>
              <w:rPr>
                <w:rFonts w:ascii="Times New Roman" w:hAnsi="Times New Roman" w:eastAsia="宋体" w:cs="Times New Roman"/>
                <w:bCs/>
                <w:color w:val="000000"/>
                <w:szCs w:val="21"/>
              </w:rPr>
              <w:t>允许分包项目：</w:t>
            </w:r>
            <w:sdt>
              <w:sdtPr>
                <w:rPr>
                  <w:rStyle w:val="20"/>
                  <w:rFonts w:ascii="Times New Roman" w:hAnsi="Times New Roman" w:cs="Times New Roman"/>
                </w:rPr>
                <w:id w:val="-1564787399"/>
                <w:lock w:val="sdtLocked"/>
                <w:placeholder>
                  <w:docPart w:val="9A90C02EA1484A1694AD31786AE2FEE3"/>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p>
          <w:p>
            <w:pPr>
              <w:spacing w:line="360" w:lineRule="auto"/>
              <w:ind w:right="252" w:rightChars="120"/>
              <w:rPr>
                <w:rFonts w:ascii="Times New Roman" w:hAnsi="Times New Roman" w:eastAsia="宋体" w:cs="Times New Roman"/>
                <w:bCs/>
                <w:color w:val="000000"/>
                <w:szCs w:val="21"/>
              </w:rPr>
            </w:pPr>
            <w:r>
              <w:rPr>
                <w:rFonts w:ascii="Times New Roman" w:hAnsi="Times New Roman" w:eastAsia="宋体" w:cs="Times New Roman"/>
                <w:bCs/>
                <w:color w:val="000000"/>
                <w:szCs w:val="21"/>
              </w:rPr>
              <w:t>分包方资质要求：</w:t>
            </w:r>
            <w:sdt>
              <w:sdtPr>
                <w:rPr>
                  <w:rStyle w:val="20"/>
                  <w:rFonts w:ascii="Times New Roman" w:hAnsi="Times New Roman" w:cs="Times New Roman"/>
                </w:rPr>
                <w:id w:val="-1005043448"/>
                <w:lock w:val="sdtLocked"/>
                <w:placeholder>
                  <w:docPart w:val="AB15341593ED4ADA90C2DAC5BA2F2275"/>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p>
          <w:p>
            <w:pPr>
              <w:spacing w:line="360" w:lineRule="auto"/>
              <w:ind w:right="252" w:rightChars="120"/>
              <w:rPr>
                <w:rFonts w:ascii="Times New Roman" w:hAnsi="Times New Roman" w:eastAsia="宋体" w:cs="Times New Roman"/>
                <w:bCs/>
                <w:color w:val="000000"/>
                <w:szCs w:val="21"/>
              </w:rPr>
            </w:pPr>
            <w:r>
              <w:rPr>
                <w:rFonts w:ascii="Times New Roman" w:hAnsi="Times New Roman" w:eastAsia="宋体" w:cs="Times New Roman"/>
                <w:bCs/>
                <w:color w:val="000000"/>
                <w:szCs w:val="21"/>
              </w:rPr>
              <w:t>供应商拟在成交后将成交项目的部分工作分包的：</w:t>
            </w:r>
          </w:p>
          <w:p>
            <w:pPr>
              <w:spacing w:line="360" w:lineRule="auto"/>
              <w:ind w:right="252" w:rightChars="120"/>
              <w:rPr>
                <w:rFonts w:ascii="Times New Roman" w:hAnsi="Times New Roman" w:eastAsia="宋体" w:cs="Times New Roman"/>
                <w:bCs/>
                <w:color w:val="000000"/>
                <w:szCs w:val="21"/>
              </w:rPr>
            </w:pPr>
            <w:sdt>
              <w:sdtPr>
                <w:rPr>
                  <w:rFonts w:ascii="Times New Roman" w:hAnsi="Times New Roman" w:eastAsia="宋体" w:cs="Times New Roman"/>
                  <w:kern w:val="0"/>
                </w:rPr>
                <w:id w:val="1485893080"/>
                <w14:checkbox>
                  <w14:checked w14:val="0"/>
                  <w14:checkedState w14:val="0052" w14:font="Wingdings 2"/>
                  <w14:uncheckedState w14:val="25A1" w14:font="宋体"/>
                </w14:checkbox>
              </w:sdtPr>
              <w:sdtEndPr>
                <w:rPr>
                  <w:rFonts w:ascii="Times New Roman" w:hAnsi="Times New Roman" w:eastAsia="宋体" w:cs="Times New Roman"/>
                  <w:kern w:val="0"/>
                </w:rPr>
              </w:sdtEndPr>
              <w:sdtContent>
                <w:r>
                  <w:rPr>
                    <w:rFonts w:hint="eastAsia" w:ascii="宋体" w:hAnsi="宋体" w:eastAsia="宋体" w:cs="Times New Roman"/>
                    <w:kern w:val="0"/>
                  </w:rPr>
                  <w:t>□</w:t>
                </w:r>
              </w:sdtContent>
            </w:sdt>
            <w:r>
              <w:rPr>
                <w:rFonts w:ascii="Times New Roman" w:hAnsi="Times New Roman" w:eastAsia="宋体" w:cs="Times New Roman"/>
                <w:bCs/>
                <w:color w:val="000000"/>
                <w:szCs w:val="21"/>
              </w:rPr>
              <w:t>应在报价文件中提交分包合同</w:t>
            </w:r>
          </w:p>
          <w:p>
            <w:pPr>
              <w:spacing w:line="360" w:lineRule="auto"/>
              <w:ind w:right="252" w:rightChars="120"/>
              <w:rPr>
                <w:rFonts w:ascii="Times New Roman" w:hAnsi="Times New Roman" w:eastAsia="宋体" w:cs="Times New Roman"/>
                <w:bCs/>
                <w:color w:val="000000"/>
                <w:szCs w:val="21"/>
              </w:rPr>
            </w:pPr>
            <w:sdt>
              <w:sdtPr>
                <w:rPr>
                  <w:rFonts w:ascii="Times New Roman" w:hAnsi="Times New Roman" w:eastAsia="宋体" w:cs="Times New Roman"/>
                  <w:kern w:val="0"/>
                </w:rPr>
                <w:id w:val="-1947760717"/>
                <w14:checkbox>
                  <w14:checked w14:val="0"/>
                  <w14:checkedState w14:val="0052" w14:font="Wingdings 2"/>
                  <w14:uncheckedState w14:val="25A1" w14:font="宋体"/>
                </w14:checkbox>
              </w:sdtPr>
              <w:sdtEndPr>
                <w:rPr>
                  <w:rFonts w:ascii="Times New Roman" w:hAnsi="Times New Roman" w:eastAsia="宋体" w:cs="Times New Roman"/>
                  <w:kern w:val="0"/>
                </w:rPr>
              </w:sdtEndPr>
              <w:sdtContent>
                <w:r>
                  <w:rPr>
                    <w:rFonts w:hint="eastAsia" w:ascii="宋体" w:hAnsi="宋体" w:eastAsia="宋体" w:cs="Times New Roman"/>
                    <w:kern w:val="0"/>
                  </w:rPr>
                  <w:t>□</w:t>
                </w:r>
              </w:sdtContent>
            </w:sdt>
            <w:r>
              <w:rPr>
                <w:rFonts w:ascii="Times New Roman" w:hAnsi="Times New Roman" w:eastAsia="宋体" w:cs="Times New Roman"/>
                <w:bCs/>
                <w:color w:val="000000"/>
                <w:szCs w:val="21"/>
              </w:rPr>
              <w:t>应在报价文件中作说明</w:t>
            </w:r>
          </w:p>
          <w:p>
            <w:pPr>
              <w:spacing w:line="360" w:lineRule="auto"/>
              <w:ind w:right="252" w:rightChars="120"/>
              <w:rPr>
                <w:rFonts w:ascii="Times New Roman" w:hAnsi="Times New Roman" w:eastAsia="宋体" w:cs="Times New Roman"/>
                <w:color w:val="000000"/>
                <w:szCs w:val="21"/>
              </w:rPr>
            </w:pPr>
            <w:r>
              <w:rPr>
                <w:rFonts w:ascii="Times New Roman" w:hAnsi="Times New Roman" w:eastAsia="宋体" w:cs="Times New Roman"/>
                <w:bCs/>
                <w:color w:val="000000"/>
                <w:szCs w:val="21"/>
              </w:rPr>
              <w:t>供应商须取得采购单位同意方可进行分包。分包供应商不得将分包项目再次分包。成交供应商应当就分包项目对采购单位负责，分包供应商就分包项目承担连带责任。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Align w:val="center"/>
          </w:tcPr>
          <w:p>
            <w:pPr>
              <w:spacing w:line="360" w:lineRule="auto"/>
              <w:jc w:val="center"/>
              <w:rPr>
                <w:rFonts w:ascii="宋体" w:hAnsi="宋体" w:eastAsia="宋体" w:cs="Times New Roman"/>
                <w:bCs/>
                <w:color w:val="000000"/>
                <w:szCs w:val="21"/>
              </w:rPr>
            </w:pPr>
            <w:r>
              <w:rPr>
                <w:rFonts w:hint="eastAsia" w:ascii="宋体" w:hAnsi="宋体" w:eastAsia="宋体" w:cs="Times New Roman"/>
                <w:color w:val="000000"/>
                <w:szCs w:val="21"/>
              </w:rPr>
              <w:t>标段划分情况</w:t>
            </w:r>
          </w:p>
        </w:tc>
        <w:tc>
          <w:tcPr>
            <w:tcW w:w="3465" w:type="pct"/>
            <w:vAlign w:val="center"/>
          </w:tcPr>
          <w:p>
            <w:pPr>
              <w:spacing w:line="360" w:lineRule="auto"/>
              <w:ind w:right="252" w:rightChars="120"/>
              <w:rPr>
                <w:rFonts w:ascii="Times New Roman" w:hAnsi="Times New Roman" w:eastAsia="宋体" w:cs="Times New Roman"/>
                <w:color w:val="000000"/>
                <w:szCs w:val="21"/>
              </w:rPr>
            </w:pPr>
            <w:r>
              <w:rPr>
                <w:rFonts w:ascii="Times New Roman" w:hAnsi="Times New Roman" w:eastAsia="宋体" w:cs="Times New Roman"/>
                <w:color w:val="000000"/>
                <w:szCs w:val="21"/>
              </w:rPr>
              <w:t>本次采购分为</w:t>
            </w:r>
            <w:sdt>
              <w:sdtPr>
                <w:rPr>
                  <w:rStyle w:val="20"/>
                  <w:rFonts w:ascii="Times New Roman" w:hAnsi="Times New Roman" w:cs="Times New Roman"/>
                </w:rPr>
                <w:alias w:val="填写标段数量"/>
                <w:tag w:val="填写标段数量"/>
                <w:id w:val="1215392024"/>
                <w:lock w:val="sdtLocked"/>
                <w:placeholder>
                  <w:docPart w:val="D87BAC51FBC74DC89F70C6303A169A68"/>
                </w:placeholder>
              </w:sdtPr>
              <w:sdtEndPr>
                <w:rPr>
                  <w:rStyle w:val="16"/>
                  <w:rFonts w:ascii="Times New Roman" w:hAnsi="Times New Roman" w:cs="Times New Roman" w:eastAsiaTheme="minorEastAsia"/>
                  <w:color w:val="000000" w:themeColor="text1"/>
                  <w:szCs w:val="21"/>
                  <w:u w:val="none"/>
                  <w14:textFill>
                    <w14:solidFill>
                      <w14:schemeClr w14:val="tx1"/>
                    </w14:solidFill>
                  </w14:textFill>
                </w:rPr>
              </w:sdtEndPr>
              <w:sdtContent>
                <w:r>
                  <w:rPr>
                    <w:rStyle w:val="20"/>
                    <w:rFonts w:ascii="Times New Roman" w:hAnsi="Times New Roman" w:cs="Times New Roman"/>
                  </w:rPr>
                  <w:t>1</w:t>
                </w:r>
              </w:sdtContent>
            </w:sdt>
            <w:r>
              <w:rPr>
                <w:rFonts w:ascii="Times New Roman" w:hAnsi="Times New Roman" w:eastAsia="宋体" w:cs="Times New Roman"/>
                <w:color w:val="000000"/>
                <w:szCs w:val="21"/>
              </w:rPr>
              <w:t>个标段，确定</w:t>
            </w:r>
            <w:sdt>
              <w:sdtPr>
                <w:rPr>
                  <w:rStyle w:val="20"/>
                  <w:rFonts w:ascii="Times New Roman" w:hAnsi="Times New Roman" w:cs="Times New Roman"/>
                </w:rPr>
                <w:alias w:val="填写中标人数量"/>
                <w:id w:val="821240462"/>
                <w:lock w:val="sdtLocked"/>
                <w:placeholder>
                  <w:docPart w:val="87AD13120A9947A5B1F5113E4ED23155"/>
                </w:placeholder>
              </w:sdtPr>
              <w:sdtEndPr>
                <w:rPr>
                  <w:rStyle w:val="16"/>
                  <w:rFonts w:ascii="Times New Roman" w:hAnsi="Times New Roman" w:cs="Times New Roman" w:eastAsiaTheme="minorEastAsia"/>
                  <w:color w:val="000000" w:themeColor="text1"/>
                  <w:szCs w:val="21"/>
                  <w:u w:val="none"/>
                  <w14:textFill>
                    <w14:solidFill>
                      <w14:schemeClr w14:val="tx1"/>
                    </w14:solidFill>
                  </w14:textFill>
                </w:rPr>
              </w:sdtEndPr>
              <w:sdtContent>
                <w:r>
                  <w:rPr>
                    <w:rStyle w:val="20"/>
                    <w:rFonts w:ascii="Times New Roman" w:hAnsi="Times New Roman" w:cs="Times New Roman"/>
                  </w:rPr>
                  <w:t>1</w:t>
                </w:r>
              </w:sdtContent>
            </w:sdt>
            <w:r>
              <w:rPr>
                <w:rFonts w:ascii="Times New Roman" w:hAnsi="Times New Roman" w:eastAsia="宋体" w:cs="Times New Roman"/>
                <w:color w:val="000000"/>
                <w:szCs w:val="21"/>
              </w:rPr>
              <w:t>名成交人。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仿宋_GB2312"/>
                <w:color w:val="000000"/>
                <w:kern w:val="0"/>
                <w:szCs w:val="21"/>
              </w:rPr>
              <w:t>供应商资质要求</w:t>
            </w:r>
          </w:p>
        </w:tc>
        <w:tc>
          <w:tcPr>
            <w:tcW w:w="3465" w:type="pct"/>
            <w:vAlign w:val="center"/>
          </w:tcPr>
          <w:sdt>
            <w:sdtPr>
              <w:rPr>
                <w:rFonts w:ascii="Times New Roman" w:hAnsi="Times New Roman" w:eastAsia="宋体" w:cs="Times New Roman"/>
                <w:bCs/>
                <w:color w:val="000000" w:themeColor="text1"/>
                <w:szCs w:val="20"/>
                <w14:textFill>
                  <w14:solidFill>
                    <w14:schemeClr w14:val="tx1"/>
                  </w14:solidFill>
                </w14:textFill>
              </w:rPr>
              <w:alias w:val="填写资质要求"/>
              <w:tag w:val="填写资质要求"/>
              <w:id w:val="-2008748669"/>
              <w:lock w:val="sdtLocked"/>
              <w:placeholder>
                <w:docPart w:val="A7C0456DD0EB4A36A3834A0A1D75E378"/>
              </w:placeholder>
            </w:sdtPr>
            <w:sdtEndPr>
              <w:rPr>
                <w:rFonts w:ascii="Times New Roman" w:hAnsi="Times New Roman" w:eastAsia="宋体" w:cs="Times New Roman"/>
                <w:bCs/>
                <w:color w:val="000000" w:themeColor="text1"/>
                <w:szCs w:val="20"/>
                <w14:textFill>
                  <w14:solidFill>
                    <w14:schemeClr w14:val="tx1"/>
                  </w14:solidFill>
                </w14:textFill>
              </w:rPr>
            </w:sdtEndPr>
            <w:sdtContent>
              <w:p>
                <w:pPr>
                  <w:spacing w:line="360" w:lineRule="auto"/>
                  <w:rPr>
                    <w:rFonts w:ascii="Times New Roman" w:hAnsi="Times New Roman" w:eastAsia="宋体" w:cs="Times New Roman"/>
                    <w:bCs/>
                    <w:color w:val="000000" w:themeColor="text1"/>
                    <w:szCs w:val="20"/>
                    <w14:textFill>
                      <w14:solidFill>
                        <w14:schemeClr w14:val="tx1"/>
                      </w14:solidFill>
                    </w14:textFill>
                  </w:rPr>
                </w:pPr>
                <w:r>
                  <w:rPr>
                    <w:rFonts w:ascii="Times New Roman" w:hAnsi="Times New Roman" w:eastAsia="宋体" w:cs="Times New Roman"/>
                    <w:bCs/>
                    <w:color w:val="000000" w:themeColor="text1"/>
                    <w:szCs w:val="20"/>
                    <w14:textFill>
                      <w14:solidFill>
                        <w14:schemeClr w14:val="tx1"/>
                      </w14:solidFill>
                    </w14:textFill>
                  </w:rPr>
                  <w:t>1</w:t>
                </w:r>
                <w:r>
                  <w:rPr>
                    <w:rFonts w:hint="eastAsia" w:ascii="Times New Roman" w:hAnsi="Times New Roman" w:eastAsia="宋体" w:cs="Times New Roman"/>
                    <w:bCs/>
                    <w:color w:val="000000" w:themeColor="text1"/>
                    <w:szCs w:val="20"/>
                    <w14:textFill>
                      <w14:solidFill>
                        <w14:schemeClr w14:val="tx1"/>
                      </w14:solidFill>
                    </w14:textFill>
                  </w:rPr>
                  <w:t>、投标单位必须为中华人民共和国境内注册的独立法人资格或合伙制企业或其他组织，具有有效的营业执照或事业单位法人证书或其他主体证明文件扫描件。</w:t>
                </w:r>
              </w:p>
              <w:p>
                <w:pPr>
                  <w:spacing w:line="360" w:lineRule="auto"/>
                  <w:rPr>
                    <w:rFonts w:ascii="宋体" w:hAnsi="宋体" w:eastAsia="宋体"/>
                  </w:rPr>
                </w:pPr>
                <w:r>
                  <w:rPr>
                    <w:rFonts w:hint="eastAsia" w:ascii="Times New Roman" w:hAnsi="Times New Roman" w:eastAsia="宋体" w:cs="Times New Roman"/>
                    <w:bCs/>
                    <w:color w:val="000000" w:themeColor="text1"/>
                    <w:szCs w:val="20"/>
                    <w14:textFill>
                      <w14:solidFill>
                        <w14:schemeClr w14:val="tx1"/>
                      </w14:solidFill>
                    </w14:textFill>
                  </w:rPr>
                  <w:t>2、</w:t>
                </w:r>
                <w:r>
                  <w:rPr>
                    <w:rFonts w:hint="eastAsia" w:ascii="宋体" w:hAnsi="宋体" w:eastAsia="宋体"/>
                  </w:rPr>
                  <w:t>具备有线通信设计专业乙级及以上资质（资质需在有效期内）。</w:t>
                </w:r>
              </w:p>
              <w:p>
                <w:pPr>
                  <w:spacing w:line="360" w:lineRule="auto"/>
                  <w:rPr>
                    <w:rFonts w:ascii="Times New Roman" w:hAnsi="Times New Roman" w:eastAsia="宋体" w:cs="Times New Roman"/>
                    <w:bCs/>
                    <w:color w:val="000000" w:themeColor="text1"/>
                    <w:szCs w:val="20"/>
                    <w14:textFill>
                      <w14:solidFill>
                        <w14:schemeClr w14:val="tx1"/>
                      </w14:solidFill>
                    </w14:textFill>
                  </w:rPr>
                </w:pPr>
                <w:r>
                  <w:rPr>
                    <w:rFonts w:hint="eastAsia" w:ascii="Times New Roman" w:hAnsi="Times New Roman" w:eastAsia="宋体" w:cs="Times New Roman"/>
                    <w:bCs/>
                    <w:color w:val="000000" w:themeColor="text1"/>
                    <w:szCs w:val="20"/>
                    <w14:textFill>
                      <w14:solidFill>
                        <w14:schemeClr w14:val="tx1"/>
                      </w14:solidFill>
                    </w14:textFill>
                  </w:rPr>
                  <w:t>3、没有被国家市场监督管理机关在国家企业信用信息公示系统（</w:t>
                </w:r>
                <w:r>
                  <w:rPr>
                    <w:rFonts w:ascii="Times New Roman" w:hAnsi="Times New Roman" w:eastAsia="宋体" w:cs="Times New Roman"/>
                    <w:bCs/>
                    <w:color w:val="000000" w:themeColor="text1"/>
                    <w:szCs w:val="20"/>
                    <w14:textFill>
                      <w14:solidFill>
                        <w14:schemeClr w14:val="tx1"/>
                      </w14:solidFill>
                    </w14:textFill>
                  </w:rPr>
                  <w:t>www.gsxt.gov.cn</w:t>
                </w:r>
                <w:r>
                  <w:rPr>
                    <w:rFonts w:hint="eastAsia" w:ascii="Times New Roman" w:hAnsi="Times New Roman" w:eastAsia="宋体" w:cs="Times New Roman"/>
                    <w:bCs/>
                    <w:color w:val="000000" w:themeColor="text1"/>
                    <w:szCs w:val="20"/>
                    <w14:textFill>
                      <w14:solidFill>
                        <w14:schemeClr w14:val="tx1"/>
                      </w14:solidFill>
                    </w14:textFill>
                  </w:rPr>
                  <w:t>）中列入严重违法失信企业名单。</w:t>
                </w:r>
              </w:p>
              <w:p>
                <w:pPr>
                  <w:spacing w:line="360" w:lineRule="auto"/>
                  <w:rPr>
                    <w:rFonts w:ascii="Times New Roman" w:hAnsi="Times New Roman" w:eastAsia="宋体" w:cs="Times New Roman"/>
                    <w:bCs/>
                    <w:color w:val="000000" w:themeColor="text1"/>
                    <w:szCs w:val="20"/>
                    <w14:textFill>
                      <w14:solidFill>
                        <w14:schemeClr w14:val="tx1"/>
                      </w14:solidFill>
                    </w14:textFill>
                  </w:rPr>
                </w:pPr>
                <w:r>
                  <w:rPr>
                    <w:rFonts w:hint="eastAsia" w:ascii="Times New Roman" w:hAnsi="Times New Roman" w:eastAsia="宋体" w:cs="Times New Roman"/>
                    <w:bCs/>
                    <w:color w:val="000000" w:themeColor="text1"/>
                    <w:szCs w:val="20"/>
                    <w14:textFill>
                      <w14:solidFill>
                        <w14:schemeClr w14:val="tx1"/>
                      </w14:solidFill>
                    </w14:textFill>
                  </w:rPr>
                  <w:t>4、没有被</w:t>
                </w:r>
                <w:r>
                  <w:rPr>
                    <w:rFonts w:ascii="Times New Roman" w:hAnsi="Times New Roman" w:eastAsia="宋体" w:cs="Times New Roman"/>
                    <w:bCs/>
                    <w:color w:val="000000" w:themeColor="text1"/>
                    <w:szCs w:val="20"/>
                    <w14:textFill>
                      <w14:solidFill>
                        <w14:schemeClr w14:val="tx1"/>
                      </w14:solidFill>
                    </w14:textFill>
                  </w:rPr>
                  <w:t>“</w:t>
                </w:r>
                <w:r>
                  <w:rPr>
                    <w:rFonts w:hint="eastAsia" w:ascii="Times New Roman" w:hAnsi="Times New Roman" w:eastAsia="宋体" w:cs="Times New Roman"/>
                    <w:bCs/>
                    <w:color w:val="000000" w:themeColor="text1"/>
                    <w:szCs w:val="20"/>
                    <w14:textFill>
                      <w14:solidFill>
                        <w14:schemeClr w14:val="tx1"/>
                      </w14:solidFill>
                    </w14:textFill>
                  </w:rPr>
                  <w:t>信用中国</w:t>
                </w:r>
                <w:r>
                  <w:rPr>
                    <w:rFonts w:ascii="Times New Roman" w:hAnsi="Times New Roman" w:eastAsia="宋体" w:cs="Times New Roman"/>
                    <w:bCs/>
                    <w:color w:val="000000" w:themeColor="text1"/>
                    <w:szCs w:val="20"/>
                    <w14:textFill>
                      <w14:solidFill>
                        <w14:schemeClr w14:val="tx1"/>
                      </w14:solidFill>
                    </w14:textFill>
                  </w:rPr>
                  <w:t>”</w:t>
                </w:r>
                <w:r>
                  <w:rPr>
                    <w:rFonts w:hint="eastAsia" w:ascii="Times New Roman" w:hAnsi="Times New Roman" w:eastAsia="宋体" w:cs="Times New Roman"/>
                    <w:bCs/>
                    <w:color w:val="000000" w:themeColor="text1"/>
                    <w:szCs w:val="20"/>
                    <w14:textFill>
                      <w14:solidFill>
                        <w14:schemeClr w14:val="tx1"/>
                      </w14:solidFill>
                    </w14:textFill>
                  </w:rPr>
                  <w:t>网站（</w:t>
                </w:r>
                <w:r>
                  <w:rPr>
                    <w:rFonts w:ascii="Times New Roman" w:hAnsi="Times New Roman" w:eastAsia="宋体" w:cs="Times New Roman"/>
                    <w:bCs/>
                    <w:color w:val="000000" w:themeColor="text1"/>
                    <w:szCs w:val="20"/>
                    <w14:textFill>
                      <w14:solidFill>
                        <w14:schemeClr w14:val="tx1"/>
                      </w14:solidFill>
                    </w14:textFill>
                  </w:rPr>
                  <w:t>www.creditchina.gov.cn</w:t>
                </w:r>
                <w:r>
                  <w:rPr>
                    <w:rFonts w:hint="eastAsia" w:ascii="Times New Roman" w:hAnsi="Times New Roman" w:eastAsia="宋体" w:cs="Times New Roman"/>
                    <w:bCs/>
                    <w:color w:val="000000" w:themeColor="text1"/>
                    <w:szCs w:val="20"/>
                    <w14:textFill>
                      <w14:solidFill>
                        <w14:schemeClr w14:val="tx1"/>
                      </w14:solidFill>
                    </w14:textFill>
                  </w:rPr>
                  <w:t>）或</w:t>
                </w:r>
                <w:r>
                  <w:rPr>
                    <w:rFonts w:ascii="Times New Roman" w:hAnsi="Times New Roman" w:eastAsia="宋体" w:cs="Times New Roman"/>
                    <w:bCs/>
                    <w:color w:val="000000" w:themeColor="text1"/>
                    <w:szCs w:val="20"/>
                    <w14:textFill>
                      <w14:solidFill>
                        <w14:schemeClr w14:val="tx1"/>
                      </w14:solidFill>
                    </w14:textFill>
                  </w:rPr>
                  <w:t>“</w:t>
                </w:r>
                <w:r>
                  <w:rPr>
                    <w:rFonts w:hint="eastAsia" w:ascii="Times New Roman" w:hAnsi="Times New Roman" w:eastAsia="宋体" w:cs="Times New Roman"/>
                    <w:bCs/>
                    <w:color w:val="000000" w:themeColor="text1"/>
                    <w:szCs w:val="20"/>
                    <w14:textFill>
                      <w14:solidFill>
                        <w14:schemeClr w14:val="tx1"/>
                      </w14:solidFill>
                    </w14:textFill>
                  </w:rPr>
                  <w:t>中国执行信息公开网</w:t>
                </w:r>
                <w:r>
                  <w:rPr>
                    <w:rFonts w:ascii="Times New Roman" w:hAnsi="Times New Roman" w:eastAsia="宋体" w:cs="Times New Roman"/>
                    <w:bCs/>
                    <w:color w:val="000000" w:themeColor="text1"/>
                    <w:szCs w:val="20"/>
                    <w14:textFill>
                      <w14:solidFill>
                        <w14:schemeClr w14:val="tx1"/>
                      </w14:solidFill>
                    </w14:textFill>
                  </w:rPr>
                  <w:t>”</w:t>
                </w:r>
                <w:r>
                  <w:rPr>
                    <w:rFonts w:hint="eastAsia" w:ascii="Times New Roman" w:hAnsi="Times New Roman" w:eastAsia="宋体" w:cs="Times New Roman"/>
                    <w:bCs/>
                    <w:color w:val="000000" w:themeColor="text1"/>
                    <w:szCs w:val="20"/>
                    <w14:textFill>
                      <w14:solidFill>
                        <w14:schemeClr w14:val="tx1"/>
                      </w14:solidFill>
                    </w14:textFill>
                  </w:rPr>
                  <w:t>（</w:t>
                </w:r>
                <w:r>
                  <w:rPr>
                    <w:rFonts w:ascii="Times New Roman" w:hAnsi="Times New Roman" w:eastAsia="宋体" w:cs="Times New Roman"/>
                    <w:bCs/>
                    <w:color w:val="000000" w:themeColor="text1"/>
                    <w:szCs w:val="20"/>
                    <w14:textFill>
                      <w14:solidFill>
                        <w14:schemeClr w14:val="tx1"/>
                      </w14:solidFill>
                    </w14:textFill>
                  </w:rPr>
                  <w:t>http://zxgk.court.gov.cn/shixin</w:t>
                </w:r>
                <w:r>
                  <w:rPr>
                    <w:rFonts w:hint="eastAsia" w:ascii="Times New Roman" w:hAnsi="Times New Roman" w:eastAsia="宋体" w:cs="Times New Roman"/>
                    <w:bCs/>
                    <w:color w:val="000000" w:themeColor="text1"/>
                    <w:szCs w:val="20"/>
                    <w14:textFill>
                      <w14:solidFill>
                        <w14:schemeClr w14:val="tx1"/>
                      </w14:solidFill>
                    </w14:textFill>
                  </w:rPr>
                  <w:t>）列入失信被执行人名单。</w:t>
                </w:r>
              </w:p>
              <w:p>
                <w:pPr>
                  <w:widowControl/>
                  <w:jc w:val="left"/>
                  <w:rPr>
                    <w:rFonts w:ascii="宋体" w:hAnsi="宋体" w:eastAsia="宋体" w:cs="宋体"/>
                    <w:kern w:val="0"/>
                    <w:sz w:val="24"/>
                    <w:szCs w:val="24"/>
                  </w:rPr>
                </w:pPr>
                <w:r>
                  <w:rPr>
                    <w:rFonts w:hint="eastAsia" w:ascii="Times New Roman" w:hAnsi="Times New Roman" w:eastAsia="宋体" w:cs="Times New Roman"/>
                    <w:bCs/>
                    <w:color w:val="000000" w:themeColor="text1"/>
                    <w:kern w:val="0"/>
                    <w:szCs w:val="20"/>
                    <w14:textFill>
                      <w14:solidFill>
                        <w14:schemeClr w14:val="tx1"/>
                      </w14:solidFill>
                    </w14:textFill>
                  </w:rPr>
                  <w:t>5、在深圳招商供电有限公司被纳入禁入供应商名单，且未解除的，禁止参加本项目投标。</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仿宋_GB2312"/>
                <w:color w:val="000000"/>
                <w:kern w:val="0"/>
                <w:szCs w:val="21"/>
              </w:rPr>
              <w:t>是否接受联合体报价</w:t>
            </w:r>
          </w:p>
        </w:tc>
        <w:tc>
          <w:tcPr>
            <w:tcW w:w="3465" w:type="pct"/>
            <w:vAlign w:val="center"/>
          </w:tcPr>
          <w:p>
            <w:pPr>
              <w:spacing w:line="360" w:lineRule="auto"/>
              <w:rPr>
                <w:rFonts w:ascii="宋体" w:hAnsi="宋体" w:eastAsia="宋体" w:cs="Times New Roman"/>
                <w:bCs/>
                <w:color w:val="000000"/>
                <w:szCs w:val="21"/>
              </w:rPr>
            </w:pPr>
            <w:sdt>
              <w:sdtPr>
                <w:rPr>
                  <w:rFonts w:hint="eastAsia" w:ascii="宋体" w:hAnsi="宋体" w:eastAsia="宋体"/>
                  <w:kern w:val="0"/>
                </w:rPr>
                <w:id w:val="1417054130"/>
                <w14:checkbox>
                  <w14:checked w14:val="1"/>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sym w:font="Wingdings 2" w:char="F052"/>
                </w:r>
              </w:sdtContent>
            </w:sdt>
            <w:r>
              <w:rPr>
                <w:rFonts w:hint="eastAsia" w:ascii="宋体" w:hAnsi="宋体" w:eastAsia="宋体" w:cs="Times New Roman"/>
                <w:bCs/>
                <w:color w:val="000000"/>
                <w:szCs w:val="21"/>
              </w:rPr>
              <w:t xml:space="preserve">不接受 </w:t>
            </w:r>
            <w:r>
              <w:rPr>
                <w:rFonts w:ascii="宋体" w:hAnsi="宋体" w:eastAsia="宋体" w:cs="Times New Roman"/>
                <w:bCs/>
                <w:color w:val="000000"/>
                <w:szCs w:val="21"/>
              </w:rPr>
              <w:t xml:space="preserve">     </w:t>
            </w:r>
            <w:sdt>
              <w:sdtPr>
                <w:rPr>
                  <w:rFonts w:hint="eastAsia" w:ascii="宋体" w:hAnsi="宋体" w:eastAsia="宋体"/>
                  <w:kern w:val="0"/>
                </w:rPr>
                <w:id w:val="1657341967"/>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bCs/>
                <w:color w:val="000000"/>
                <w:szCs w:val="21"/>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kern w:val="0"/>
                <w:szCs w:val="21"/>
              </w:rPr>
              <w:t>资格</w:t>
            </w:r>
            <w:r>
              <w:rPr>
                <w:rFonts w:ascii="宋体" w:hAnsi="宋体" w:eastAsia="宋体" w:cs="仿宋_GB2312"/>
                <w:color w:val="000000"/>
                <w:kern w:val="0"/>
                <w:szCs w:val="21"/>
              </w:rPr>
              <w:t>审查</w:t>
            </w:r>
            <w:r>
              <w:rPr>
                <w:rFonts w:hint="eastAsia" w:ascii="宋体" w:hAnsi="宋体" w:eastAsia="宋体" w:cs="仿宋_GB2312"/>
                <w:color w:val="000000"/>
                <w:kern w:val="0"/>
                <w:szCs w:val="21"/>
              </w:rPr>
              <w:t>方式</w:t>
            </w:r>
          </w:p>
        </w:tc>
        <w:tc>
          <w:tcPr>
            <w:tcW w:w="3465" w:type="pct"/>
            <w:vAlign w:val="center"/>
          </w:tcPr>
          <w:p>
            <w:pPr>
              <w:spacing w:line="360" w:lineRule="auto"/>
              <w:rPr>
                <w:rFonts w:ascii="宋体" w:hAnsi="宋体" w:eastAsia="宋体" w:cs="Times New Roman"/>
                <w:bCs/>
                <w:color w:val="000000"/>
                <w:szCs w:val="21"/>
              </w:rPr>
            </w:pPr>
            <w:sdt>
              <w:sdtPr>
                <w:rPr>
                  <w:rFonts w:hint="eastAsia" w:ascii="宋体" w:hAnsi="宋体" w:eastAsia="宋体"/>
                  <w:kern w:val="0"/>
                </w:rPr>
                <w:id w:val="-54315094"/>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bCs/>
                <w:color w:val="000000"/>
                <w:szCs w:val="21"/>
              </w:rPr>
              <w:t>资格</w:t>
            </w:r>
            <w:r>
              <w:rPr>
                <w:rFonts w:ascii="宋体" w:hAnsi="宋体" w:eastAsia="宋体" w:cs="Times New Roman"/>
                <w:bCs/>
                <w:color w:val="000000"/>
                <w:szCs w:val="21"/>
              </w:rPr>
              <w:t>预审</w:t>
            </w:r>
            <w:r>
              <w:rPr>
                <w:rFonts w:hint="eastAsia" w:ascii="宋体" w:hAnsi="宋体" w:eastAsia="宋体" w:cs="Times New Roman"/>
                <w:bCs/>
                <w:color w:val="000000"/>
                <w:szCs w:val="21"/>
              </w:rPr>
              <w:t xml:space="preserve"> </w:t>
            </w:r>
            <w:r>
              <w:rPr>
                <w:rFonts w:ascii="宋体" w:hAnsi="宋体" w:eastAsia="宋体" w:cs="Times New Roman"/>
                <w:bCs/>
                <w:color w:val="000000"/>
                <w:szCs w:val="21"/>
              </w:rPr>
              <w:t xml:space="preserve">   </w:t>
            </w:r>
            <w:sdt>
              <w:sdtPr>
                <w:rPr>
                  <w:rFonts w:hint="eastAsia" w:ascii="宋体" w:hAnsi="宋体" w:eastAsia="宋体"/>
                  <w:kern w:val="0"/>
                </w:rPr>
                <w:id w:val="-286815732"/>
                <w14:checkbox>
                  <w14:checked w14:val="1"/>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sym w:font="Wingdings 2" w:char="F052"/>
                </w:r>
              </w:sdtContent>
            </w:sdt>
            <w:r>
              <w:rPr>
                <w:rFonts w:hint="eastAsia" w:ascii="宋体" w:hAnsi="宋体" w:eastAsia="宋体" w:cs="Times New Roman"/>
                <w:bCs/>
                <w:color w:val="000000"/>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Align w:val="center"/>
          </w:tcPr>
          <w:p>
            <w:pPr>
              <w:spacing w:line="360" w:lineRule="auto"/>
              <w:jc w:val="center"/>
              <w:rPr>
                <w:rFonts w:ascii="Times New Roman" w:hAnsi="Times New Roman" w:eastAsia="宋体" w:cs="Times New Roman"/>
                <w:color w:val="000000" w:themeColor="text1"/>
                <w:szCs w:val="21"/>
                <w:highlight w:val="yellow"/>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投标货币</w:t>
            </w:r>
          </w:p>
        </w:tc>
        <w:tc>
          <w:tcPr>
            <w:tcW w:w="3465" w:type="pct"/>
            <w:vAlign w:val="center"/>
          </w:tcPr>
          <w:p>
            <w:pPr>
              <w:spacing w:line="360" w:lineRule="auto"/>
              <w:rPr>
                <w:rFonts w:ascii="Times New Roman" w:hAnsi="Times New Roman" w:eastAsia="宋体" w:cs="Times New Roman"/>
                <w:szCs w:val="21"/>
                <w:u w:val="single"/>
              </w:rPr>
            </w:pPr>
            <w:sdt>
              <w:sdtPr>
                <w:rPr>
                  <w:rFonts w:ascii="Times New Roman" w:hAnsi="Times New Roman" w:eastAsia="宋体" w:cs="Times New Roman"/>
                </w:rPr>
                <w:id w:val="-1611666240"/>
                <w14:checkbox>
                  <w14:checked w14:val="1"/>
                  <w14:checkedState w14:val="0052" w14:font="Wingdings 2"/>
                  <w14:uncheckedState w14:val="25A1" w14:font="宋体"/>
                </w14:checkbox>
              </w:sdtPr>
              <w:sdtEndPr>
                <w:rPr>
                  <w:rFonts w:ascii="Times New Roman" w:hAnsi="Times New Roman" w:eastAsia="宋体" w:cs="Times New Roman"/>
                </w:rPr>
              </w:sdtEndPr>
              <w:sdtContent>
                <w:r>
                  <w:rPr>
                    <w:rFonts w:ascii="Times New Roman" w:hAnsi="Times New Roman" w:eastAsia="宋体" w:cs="Times New Roman"/>
                  </w:rPr>
                  <w:sym w:font="Wingdings 2" w:char="F052"/>
                </w:r>
              </w:sdtContent>
            </w:sdt>
            <w:r>
              <w:rPr>
                <w:rFonts w:ascii="Times New Roman" w:hAnsi="Times New Roman" w:eastAsia="宋体" w:cs="Times New Roman"/>
                <w:bCs/>
                <w:color w:val="000000" w:themeColor="text1"/>
                <w:szCs w:val="21"/>
                <w14:textFill>
                  <w14:solidFill>
                    <w14:schemeClr w14:val="tx1"/>
                  </w14:solidFill>
                </w14:textFill>
              </w:rPr>
              <w:t xml:space="preserve">人民币      </w:t>
            </w:r>
            <w:sdt>
              <w:sdtPr>
                <w:rPr>
                  <w:rFonts w:ascii="Times New Roman" w:hAnsi="Times New Roman" w:eastAsia="宋体" w:cs="Times New Roman"/>
                </w:rPr>
                <w:id w:val="-1852099205"/>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t>□</w:t>
                </w:r>
              </w:sdtContent>
            </w:sdt>
            <w:r>
              <w:rPr>
                <w:rFonts w:ascii="Times New Roman" w:hAnsi="Times New Roman" w:eastAsia="宋体" w:cs="Times New Roman"/>
                <w:bCs/>
                <w:color w:val="000000" w:themeColor="text1"/>
                <w:szCs w:val="21"/>
                <w14:textFill>
                  <w14:solidFill>
                    <w14:schemeClr w14:val="tx1"/>
                  </w14:solidFill>
                </w14:textFill>
              </w:rPr>
              <w:t>其他</w:t>
            </w:r>
            <w:sdt>
              <w:sdtPr>
                <w:rPr>
                  <w:rStyle w:val="20"/>
                  <w:rFonts w:ascii="Times New Roman" w:hAnsi="Times New Roman" w:cs="Times New Roman"/>
                </w:rPr>
                <w:alias w:val="填写币种"/>
                <w:tag w:val="填写币种"/>
                <w:id w:val="-1401907074"/>
                <w:lock w:val="sdtLocked"/>
                <w:placeholder>
                  <w:docPart w:val="3AA40B16AD864E73A5EC7A5B6D8D6214"/>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报价上限</w:t>
            </w:r>
          </w:p>
        </w:tc>
        <w:tc>
          <w:tcPr>
            <w:tcW w:w="3465" w:type="pct"/>
            <w:vAlign w:val="center"/>
          </w:tcPr>
          <w:p>
            <w:pPr>
              <w:spacing w:line="360" w:lineRule="auto"/>
              <w:rPr>
                <w:rFonts w:ascii="Times New Roman" w:hAnsi="Times New Roman" w:eastAsia="宋体" w:cs="Times New Roman"/>
                <w:color w:val="000000"/>
                <w:szCs w:val="21"/>
              </w:rPr>
            </w:pPr>
            <w:sdt>
              <w:sdtPr>
                <w:rPr>
                  <w:rFonts w:ascii="Times New Roman" w:hAnsi="Times New Roman" w:eastAsia="宋体" w:cs="Times New Roman"/>
                  <w:bCs/>
                  <w:color w:val="000000" w:themeColor="text1"/>
                  <w:szCs w:val="20"/>
                  <w14:textFill>
                    <w14:solidFill>
                      <w14:schemeClr w14:val="tx1"/>
                    </w14:solidFill>
                  </w14:textFill>
                </w:rPr>
                <w:alias w:val="填写最高投标限价"/>
                <w:tag w:val="填写最高投标限价"/>
                <w:id w:val="2139690629"/>
                <w:lock w:val="sdtLocked"/>
                <w:placeholder>
                  <w:docPart w:val="E66665B7E22F46358D1F47E1FF7C35DB"/>
                </w:placeholder>
              </w:sdtPr>
              <w:sdtEndPr>
                <w:rPr>
                  <w:rFonts w:ascii="Times New Roman" w:hAnsi="Times New Roman" w:eastAsia="宋体" w:cs="Times New Roman"/>
                  <w:bCs/>
                  <w:color w:val="000000" w:themeColor="text1"/>
                  <w:szCs w:val="20"/>
                  <w14:textFill>
                    <w14:solidFill>
                      <w14:schemeClr w14:val="tx1"/>
                    </w14:solidFill>
                  </w14:textFill>
                </w:rPr>
              </w:sdtEndPr>
              <w:sdtContent>
                <w:r>
                  <w:rPr>
                    <w:rFonts w:ascii="Times New Roman" w:hAnsi="Times New Roman" w:eastAsia="宋体" w:cs="Times New Roman"/>
                    <w:bCs/>
                    <w:color w:val="000000" w:themeColor="text1"/>
                    <w:szCs w:val="20"/>
                    <w14:textFill>
                      <w14:solidFill>
                        <w14:schemeClr w14:val="tx1"/>
                      </w14:solidFill>
                    </w14:textFill>
                  </w:rPr>
                  <w:t>196,400.00</w:t>
                </w:r>
                <w:r>
                  <w:rPr>
                    <w:rFonts w:hint="eastAsia" w:ascii="Times New Roman" w:hAnsi="Times New Roman" w:eastAsia="宋体" w:cs="Times New Roman"/>
                    <w:bCs/>
                    <w:color w:val="000000" w:themeColor="text1"/>
                    <w:szCs w:val="20"/>
                    <w14:textFill>
                      <w14:solidFill>
                        <w14:schemeClr w14:val="tx1"/>
                      </w14:solidFill>
                    </w14:textFill>
                  </w:rPr>
                  <w:t>元</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有效报价</w:t>
            </w:r>
          </w:p>
        </w:tc>
        <w:tc>
          <w:tcPr>
            <w:tcW w:w="3465"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不高于报价上限的报价为有效报价。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报价有效期</w:t>
            </w:r>
          </w:p>
        </w:tc>
        <w:tc>
          <w:tcPr>
            <w:tcW w:w="3465"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120日历天（从报价截止之日算起）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Align w:val="center"/>
          </w:tcPr>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采购文件</w:t>
            </w:r>
          </w:p>
          <w:p>
            <w:pPr>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质疑、</w:t>
            </w:r>
            <w:r>
              <w:rPr>
                <w:rFonts w:ascii="宋体" w:hAnsi="宋体" w:eastAsia="宋体" w:cs="Times New Roman"/>
                <w:kern w:val="0"/>
                <w:szCs w:val="21"/>
              </w:rPr>
              <w:t>答疑</w:t>
            </w:r>
          </w:p>
          <w:p>
            <w:pPr>
              <w:spacing w:line="360" w:lineRule="auto"/>
              <w:jc w:val="center"/>
              <w:rPr>
                <w:rFonts w:ascii="宋体" w:hAnsi="宋体" w:eastAsia="宋体" w:cs="仿宋_GB2312"/>
                <w:color w:val="000000"/>
                <w:kern w:val="0"/>
                <w:szCs w:val="21"/>
              </w:rPr>
            </w:pPr>
            <w:r>
              <w:rPr>
                <w:rFonts w:ascii="宋体" w:hAnsi="宋体" w:eastAsia="宋体" w:cs="Times New Roman"/>
                <w:kern w:val="0"/>
                <w:szCs w:val="21"/>
              </w:rPr>
              <w:t>澄清</w:t>
            </w:r>
            <w:r>
              <w:rPr>
                <w:rFonts w:hint="eastAsia" w:ascii="宋体" w:hAnsi="宋体" w:eastAsia="宋体" w:cs="Times New Roman"/>
                <w:kern w:val="0"/>
                <w:szCs w:val="21"/>
              </w:rPr>
              <w:t>、</w:t>
            </w:r>
            <w:r>
              <w:rPr>
                <w:rFonts w:ascii="宋体" w:hAnsi="宋体" w:eastAsia="宋体" w:cs="Times New Roman"/>
                <w:kern w:val="0"/>
                <w:szCs w:val="21"/>
              </w:rPr>
              <w:t>修改</w:t>
            </w:r>
          </w:p>
        </w:tc>
        <w:tc>
          <w:tcPr>
            <w:tcW w:w="3465" w:type="pct"/>
            <w:vAlign w:val="center"/>
          </w:tcPr>
          <w:p>
            <w:pPr>
              <w:tabs>
                <w:tab w:val="center" w:pos="4153"/>
                <w:tab w:val="right" w:pos="8306"/>
              </w:tabs>
              <w:snapToGrid w:val="0"/>
              <w:spacing w:line="360" w:lineRule="auto"/>
              <w:jc w:val="left"/>
              <w:rPr>
                <w:rFonts w:ascii="Times New Roman" w:hAnsi="Times New Roman" w:eastAsia="宋体" w:cs="Times New Roman"/>
                <w:color w:val="000000"/>
                <w:sz w:val="18"/>
                <w:szCs w:val="20"/>
              </w:rPr>
            </w:pPr>
            <w:r>
              <w:rPr>
                <w:rFonts w:ascii="Times New Roman" w:hAnsi="Times New Roman" w:eastAsia="宋体" w:cs="Times New Roman"/>
                <w:color w:val="000000"/>
                <w:szCs w:val="20"/>
              </w:rPr>
              <w:t>(1)供应商质疑截止时间：</w:t>
            </w:r>
            <w:sdt>
              <w:sdtPr>
                <w:rPr>
                  <w:rStyle w:val="20"/>
                  <w:rFonts w:ascii="Times New Roman" w:hAnsi="Times New Roman" w:cs="Times New Roman"/>
                </w:rPr>
                <w:alias w:val="填写时间"/>
                <w:tag w:val="填写时间"/>
                <w:id w:val="-113605374"/>
                <w:lock w:val="sdtLocked"/>
                <w:placeholder>
                  <w:docPart w:val="AD54E1C06FB74E4B94DB8710AE94A1EE"/>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0"/>
                    <w:rFonts w:hint="eastAsia" w:ascii="Times New Roman" w:hAnsi="Times New Roman" w:cs="Times New Roman"/>
                  </w:rPr>
                  <w:t>详见公告</w:t>
                </w:r>
              </w:sdtContent>
            </w:sdt>
            <w:r>
              <w:rPr>
                <w:rFonts w:ascii="Times New Roman" w:hAnsi="Times New Roman" w:eastAsia="宋体" w:cs="Times New Roman"/>
                <w:color w:val="000000"/>
                <w:szCs w:val="20"/>
              </w:rPr>
              <w:t>。</w:t>
            </w:r>
          </w:p>
          <w:p>
            <w:pPr>
              <w:tabs>
                <w:tab w:val="center" w:pos="4153"/>
                <w:tab w:val="right" w:pos="8306"/>
              </w:tabs>
              <w:suppressAutoHyphens/>
              <w:snapToGrid w:val="0"/>
              <w:spacing w:line="360" w:lineRule="auto"/>
              <w:jc w:val="left"/>
              <w:rPr>
                <w:rFonts w:ascii="Times New Roman" w:hAnsi="Times New Roman" w:eastAsia="宋体" w:cs="Times New Roman"/>
                <w:color w:val="000000"/>
                <w:sz w:val="18"/>
                <w:szCs w:val="20"/>
              </w:rPr>
            </w:pPr>
            <w:r>
              <w:rPr>
                <w:rFonts w:ascii="Times New Roman" w:hAnsi="Times New Roman" w:eastAsia="宋体" w:cs="Times New Roman"/>
                <w:color w:val="000000"/>
                <w:szCs w:val="20"/>
              </w:rPr>
              <w:t>(2)供应商提交疑问的方式：发送电子邮件至：</w:t>
            </w:r>
            <w:r>
              <w:rPr>
                <w:rFonts w:ascii="Times New Roman" w:hAnsi="Times New Roman" w:eastAsia="宋体" w:cs="Times New Roman"/>
                <w:color w:val="000000"/>
                <w:szCs w:val="18"/>
              </w:rPr>
              <w:t>qianhaizhaotoubiao@qianhaipower.com，</w:t>
            </w:r>
            <w:r>
              <w:rPr>
                <w:rFonts w:ascii="Times New Roman" w:hAnsi="Times New Roman" w:eastAsia="宋体" w:cs="Times New Roman"/>
                <w:color w:val="000000"/>
                <w:szCs w:val="20"/>
              </w:rPr>
              <w:t>澄清文件应为盖公章后扫描件，同时提供一份可编辑的文档，并电话告知采购单位</w:t>
            </w:r>
            <w:r>
              <w:rPr>
                <w:rFonts w:ascii="Times New Roman" w:hAnsi="Times New Roman" w:eastAsia="宋体" w:cs="Times New Roman"/>
                <w:color w:val="000000"/>
                <w:szCs w:val="18"/>
              </w:rPr>
              <w:t>，否则不予解答</w:t>
            </w:r>
            <w:r>
              <w:rPr>
                <w:rFonts w:ascii="Times New Roman" w:hAnsi="Times New Roman" w:eastAsia="宋体" w:cs="Times New Roman"/>
                <w:color w:val="000000"/>
                <w:szCs w:val="20"/>
              </w:rPr>
              <w:t>。</w:t>
            </w:r>
          </w:p>
          <w:p>
            <w:pPr>
              <w:tabs>
                <w:tab w:val="center" w:pos="4153"/>
                <w:tab w:val="right" w:pos="8306"/>
              </w:tabs>
              <w:snapToGrid w:val="0"/>
              <w:spacing w:line="360" w:lineRule="auto"/>
              <w:jc w:val="left"/>
              <w:rPr>
                <w:rFonts w:ascii="Times New Roman" w:hAnsi="Times New Roman" w:eastAsia="宋体" w:cs="Times New Roman"/>
                <w:color w:val="000000"/>
                <w:sz w:val="18"/>
                <w:szCs w:val="20"/>
              </w:rPr>
            </w:pPr>
            <w:r>
              <w:rPr>
                <w:rFonts w:ascii="Times New Roman" w:hAnsi="Times New Roman" w:eastAsia="宋体" w:cs="Times New Roman"/>
                <w:color w:val="000000"/>
                <w:szCs w:val="20"/>
              </w:rPr>
              <w:t>(3)采购单位澄清或修改、答疑截止时间：</w:t>
            </w:r>
            <w:sdt>
              <w:sdtPr>
                <w:rPr>
                  <w:rStyle w:val="20"/>
                  <w:rFonts w:ascii="Times New Roman" w:hAnsi="Times New Roman" w:cs="Times New Roman"/>
                </w:rPr>
                <w:alias w:val="填写时间"/>
                <w:tag w:val="填写时间"/>
                <w:id w:val="-765152885"/>
                <w:lock w:val="sdtLocked"/>
                <w:placeholder>
                  <w:docPart w:val="FD491392657D439F9CEE2510BE42E1C8"/>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0"/>
                    <w:rFonts w:hint="eastAsia" w:ascii="Times New Roman" w:hAnsi="Times New Roman" w:cs="Times New Roman"/>
                  </w:rPr>
                  <w:t>详见公告</w:t>
                </w:r>
              </w:sdtContent>
            </w:sdt>
            <w:r>
              <w:rPr>
                <w:rFonts w:ascii="Times New Roman" w:hAnsi="Times New Roman" w:eastAsia="宋体" w:cs="Times New Roman"/>
                <w:color w:val="000000"/>
                <w:szCs w:val="20"/>
              </w:rPr>
              <w:t>。</w:t>
            </w:r>
          </w:p>
          <w:p>
            <w:pPr>
              <w:tabs>
                <w:tab w:val="center" w:pos="4153"/>
                <w:tab w:val="right" w:pos="8306"/>
              </w:tabs>
              <w:snapToGrid w:val="0"/>
              <w:spacing w:line="360" w:lineRule="auto"/>
              <w:jc w:val="left"/>
              <w:rPr>
                <w:rFonts w:ascii="Times New Roman" w:hAnsi="Times New Roman" w:eastAsia="宋体" w:cs="Times New Roman"/>
                <w:kern w:val="0"/>
                <w:sz w:val="18"/>
                <w:szCs w:val="21"/>
              </w:rPr>
            </w:pPr>
            <w:r>
              <w:rPr>
                <w:rFonts w:ascii="Times New Roman" w:hAnsi="Times New Roman" w:eastAsia="宋体" w:cs="Times New Roman"/>
                <w:color w:val="000000"/>
                <w:szCs w:val="20"/>
              </w:rPr>
              <w:t>(4)</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获取答疑</w:t>
            </w:r>
            <w:r>
              <w:rPr>
                <w:rFonts w:hint="eastAsia" w:ascii="Times New Roman" w:hAnsi="Times New Roman" w:eastAsia="宋体" w:cs="Times New Roman"/>
                <w:color w:val="000000"/>
                <w:szCs w:val="20"/>
              </w:rPr>
              <w:t>、补遗</w:t>
            </w:r>
            <w:r>
              <w:rPr>
                <w:rFonts w:ascii="Times New Roman" w:hAnsi="Times New Roman" w:eastAsia="宋体" w:cs="Times New Roman"/>
                <w:color w:val="000000"/>
                <w:szCs w:val="20"/>
              </w:rPr>
              <w:t>文件的方式：</w:t>
            </w:r>
            <w:r>
              <w:rPr>
                <w:rFonts w:hint="eastAsia" w:ascii="Times New Roman" w:hAnsi="Times New Roman" w:eastAsia="宋体" w:cs="Times New Roman"/>
                <w:color w:val="000000"/>
                <w:szCs w:val="18"/>
              </w:rPr>
              <w:t>深圳阳光采购平台（</w:t>
            </w:r>
            <w:r>
              <w:rPr>
                <w:rFonts w:ascii="Times New Roman" w:hAnsi="Times New Roman" w:eastAsia="宋体" w:cs="Times New Roman"/>
                <w:color w:val="000000"/>
                <w:szCs w:val="18"/>
              </w:rPr>
              <w:t>https://ygcg.szexgrp.com/）。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kern w:val="0"/>
                <w:szCs w:val="21"/>
              </w:rPr>
            </w:pPr>
          </w:p>
        </w:tc>
        <w:tc>
          <w:tcPr>
            <w:tcW w:w="1278" w:type="pct"/>
            <w:vAlign w:val="center"/>
          </w:tcPr>
          <w:p>
            <w:pPr>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报价截止时间 </w:t>
            </w:r>
          </w:p>
        </w:tc>
        <w:tc>
          <w:tcPr>
            <w:tcW w:w="3465" w:type="pct"/>
            <w:vAlign w:val="center"/>
          </w:tcPr>
          <w:p>
            <w:pPr>
              <w:spacing w:line="360" w:lineRule="auto"/>
              <w:jc w:val="left"/>
              <w:rPr>
                <w:rFonts w:ascii="Times New Roman" w:hAnsi="Times New Roman" w:eastAsia="宋体" w:cs="Times New Roman"/>
                <w:kern w:val="0"/>
                <w:szCs w:val="21"/>
              </w:rPr>
            </w:pPr>
            <w:sdt>
              <w:sdtPr>
                <w:rPr>
                  <w:rStyle w:val="20"/>
                  <w:rFonts w:ascii="Times New Roman" w:hAnsi="Times New Roman" w:cs="Times New Roman"/>
                </w:rPr>
                <w:alias w:val="填写时间"/>
                <w:tag w:val="填写时间"/>
                <w:id w:val="1623883040"/>
                <w:lock w:val="sdtLocked"/>
                <w:placeholder>
                  <w:docPart w:val="511B20B70EAB4F36B5EAA442D9D5858D"/>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0"/>
                    <w:rFonts w:hint="eastAsia" w:ascii="Times New Roman" w:hAnsi="Times New Roman" w:cs="Times New Roman"/>
                  </w:rPr>
                  <w:t>详见公告</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Align w:val="center"/>
          </w:tcPr>
          <w:p>
            <w:pPr>
              <w:spacing w:line="360" w:lineRule="auto"/>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themeColor="text1"/>
                <w:kern w:val="0"/>
                <w:szCs w:val="21"/>
                <w14:textFill>
                  <w14:solidFill>
                    <w14:schemeClr w14:val="tx1"/>
                  </w14:solidFill>
                </w14:textFill>
              </w:rPr>
              <w:t>采购文件获取</w:t>
            </w:r>
          </w:p>
        </w:tc>
        <w:tc>
          <w:tcPr>
            <w:tcW w:w="3465" w:type="pct"/>
            <w:vAlign w:val="center"/>
          </w:tcPr>
          <w:p>
            <w:pPr>
              <w:spacing w:line="360" w:lineRule="auto"/>
              <w:rPr>
                <w:rFonts w:ascii="Times New Roman" w:hAnsi="Times New Roman" w:eastAsia="宋体" w:cs="Times New Roman"/>
                <w:color w:val="000000" w:themeColor="text1"/>
                <w:kern w:val="0"/>
                <w:szCs w:val="21"/>
                <w14:textFill>
                  <w14:solidFill>
                    <w14:schemeClr w14:val="tx1"/>
                  </w14:solidFill>
                </w14:textFill>
              </w:rPr>
            </w:pPr>
            <w:sdt>
              <w:sdtPr>
                <w:rPr>
                  <w:rFonts w:hint="eastAsia" w:ascii="宋体" w:hAnsi="宋体" w:eastAsia="宋体"/>
                  <w:kern w:val="0"/>
                </w:rPr>
                <w:id w:val="-1093386132"/>
                <w14:checkbox>
                  <w14:checked w14:val="1"/>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sym w:font="Wingdings 2" w:char="F052"/>
                </w:r>
              </w:sdtContent>
            </w:sdt>
            <w:r>
              <w:t xml:space="preserve"> </w:t>
            </w:r>
            <w:r>
              <w:fldChar w:fldCharType="begin"/>
            </w:r>
            <w:r>
              <w:instrText xml:space="preserve"> HYPERLINK "mailto:" </w:instrText>
            </w:r>
            <w:r>
              <w:fldChar w:fldCharType="separate"/>
            </w:r>
            <w:r>
              <w:fldChar w:fldCharType="end"/>
            </w:r>
            <w:r>
              <w:rPr>
                <w:rFonts w:hint="eastAsia" w:ascii="Times New Roman" w:hAnsi="Times New Roman" w:eastAsia="宋体" w:cs="Times New Roman"/>
                <w:color w:val="000000" w:themeColor="text1"/>
                <w:kern w:val="0"/>
                <w:szCs w:val="21"/>
                <w14:textFill>
                  <w14:solidFill>
                    <w14:schemeClr w14:val="tx1"/>
                  </w14:solidFill>
                </w14:textFill>
              </w:rPr>
              <w:t>深圳阳光采购平台（</w:t>
            </w:r>
            <w:r>
              <w:fldChar w:fldCharType="begin"/>
            </w:r>
            <w:r>
              <w:instrText xml:space="preserve"> HYPERLINK "https://ygcg.szexgrp.com/" </w:instrText>
            </w:r>
            <w:r>
              <w:fldChar w:fldCharType="separate"/>
            </w:r>
            <w:r>
              <w:rPr>
                <w:rStyle w:val="18"/>
                <w:rFonts w:hint="eastAsia" w:ascii="Times New Roman" w:hAnsi="Times New Roman" w:eastAsia="宋体" w:cs="Times New Roman"/>
                <w:kern w:val="0"/>
                <w:szCs w:val="21"/>
              </w:rPr>
              <w:t>h</w:t>
            </w:r>
            <w:r>
              <w:rPr>
                <w:rStyle w:val="18"/>
                <w:rFonts w:ascii="Times New Roman" w:hAnsi="Times New Roman" w:eastAsia="宋体" w:cs="Times New Roman"/>
                <w:kern w:val="0"/>
                <w:szCs w:val="21"/>
              </w:rPr>
              <w:t>ttps://ygcg.szexgrp.com/</w:t>
            </w:r>
            <w:r>
              <w:rPr>
                <w:rStyle w:val="18"/>
                <w:rFonts w:ascii="Times New Roman" w:hAnsi="Times New Roman" w:eastAsia="宋体" w:cs="Times New Roman"/>
                <w:kern w:val="0"/>
                <w:szCs w:val="21"/>
              </w:rPr>
              <w:fldChar w:fldCharType="end"/>
            </w:r>
            <w:r>
              <w:rPr>
                <w:rFonts w:hint="eastAsia" w:ascii="Times New Roman" w:hAnsi="Times New Roman" w:eastAsia="宋体" w:cs="Times New Roman"/>
                <w:color w:val="000000" w:themeColor="text1"/>
                <w:kern w:val="0"/>
                <w:szCs w:val="21"/>
                <w14:textFill>
                  <w14:solidFill>
                    <w14:schemeClr w14:val="tx1"/>
                  </w14:solidFill>
                </w14:textFill>
              </w:rPr>
              <w:t>）（本项目无需报名）</w:t>
            </w:r>
          </w:p>
          <w:p>
            <w:pPr>
              <w:spacing w:line="360" w:lineRule="auto"/>
              <w:rPr>
                <w:rFonts w:ascii="Times New Roman" w:hAnsi="Times New Roman" w:eastAsia="宋体" w:cs="Times New Roman"/>
                <w:color w:val="000000"/>
                <w:kern w:val="0"/>
                <w:szCs w:val="21"/>
              </w:rPr>
            </w:pPr>
            <w:sdt>
              <w:sdtPr>
                <w:rPr>
                  <w:rFonts w:hint="eastAsia" w:ascii="宋体" w:hAnsi="宋体" w:eastAsia="宋体"/>
                  <w:kern w:val="0"/>
                </w:rPr>
                <w:id w:val="-1741636968"/>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ascii="宋体" w:hAnsi="宋体" w:eastAsia="宋体"/>
                <w:kern w:val="0"/>
              </w:rPr>
              <w:t xml:space="preserve"> </w:t>
            </w:r>
            <w:r>
              <w:rPr>
                <w:rFonts w:hint="eastAsia" w:ascii="Times New Roman" w:hAnsi="Times New Roman" w:eastAsia="宋体" w:cs="Times New Roman"/>
                <w:color w:val="000000"/>
                <w:kern w:val="0"/>
                <w:szCs w:val="21"/>
              </w:rPr>
              <w:t>供应商须向采购人提交报名信息（营业执照副本（加盖公章）、联系人姓名、电话）发送至邮箱：</w:t>
            </w:r>
            <w:r>
              <w:rPr>
                <w:rFonts w:ascii="Times New Roman" w:hAnsi="Times New Roman" w:eastAsia="宋体" w:cs="Times New Roman"/>
                <w:color w:val="000000"/>
                <w:kern w:val="0"/>
                <w:szCs w:val="21"/>
              </w:rPr>
              <w:t>qianhaizhaotoubiao@qianhaipower.com，获取采购文件，邮件命名格式按：内部项目编号+报名+单位名称；未向采购人进行报名登记的，其递交的报价文件不予受理。</w:t>
            </w:r>
          </w:p>
          <w:p>
            <w:pPr>
              <w:spacing w:line="36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报名、获取文件联系人：陈工</w:t>
            </w:r>
            <w:r>
              <w:rPr>
                <w:rFonts w:ascii="Times New Roman" w:hAnsi="Times New Roman" w:eastAsia="宋体" w:cs="Times New Roman"/>
                <w:color w:val="000000"/>
                <w:kern w:val="0"/>
                <w:szCs w:val="21"/>
              </w:rPr>
              <w:t xml:space="preserve"> 18319294329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Align w:val="center"/>
          </w:tcPr>
          <w:p>
            <w:pPr>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报价文件递交</w:t>
            </w:r>
          </w:p>
        </w:tc>
        <w:tc>
          <w:tcPr>
            <w:tcW w:w="3465" w:type="pct"/>
            <w:vAlign w:val="center"/>
          </w:tcPr>
          <w:p>
            <w:pPr>
              <w:spacing w:line="360" w:lineRule="auto"/>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报价文件递交地点：深圳市南山区蛇口工业八路274号</w:t>
            </w:r>
          </w:p>
          <w:p>
            <w:pPr>
              <w:spacing w:line="360" w:lineRule="auto"/>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供应商可以选择现场递交或邮寄的方式递交报价文件，选择邮寄方式的，邮件应当在报价截止时间之前送达。</w:t>
            </w:r>
          </w:p>
          <w:p>
            <w:pPr>
              <w:spacing w:line="360" w:lineRule="auto"/>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报价文件接收人：林工18988752423</w:t>
            </w:r>
            <w:r>
              <w:rPr>
                <w:rFonts w:hint="eastAsia" w:ascii="Times New Roman" w:hAnsi="Times New Roman" w:eastAsia="宋体" w:cs="Times New Roman"/>
                <w:color w:val="000000"/>
                <w:kern w:val="0"/>
                <w:szCs w:val="21"/>
              </w:rPr>
              <w:t>冯工</w:t>
            </w:r>
            <w:r>
              <w:rPr>
                <w:rFonts w:ascii="Times New Roman" w:hAnsi="Times New Roman" w:eastAsia="宋体" w:cs="Times New Roman"/>
                <w:kern w:val="0"/>
                <w:szCs w:val="21"/>
              </w:rPr>
              <w:t>13822228002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是否退还报价文件</w:t>
            </w:r>
          </w:p>
        </w:tc>
        <w:tc>
          <w:tcPr>
            <w:tcW w:w="3465"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bCs/>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Align w:val="center"/>
          </w:tcPr>
          <w:p>
            <w:pPr>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报价文件开启</w:t>
            </w:r>
          </w:p>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时间和地点</w:t>
            </w:r>
          </w:p>
        </w:tc>
        <w:tc>
          <w:tcPr>
            <w:tcW w:w="3465" w:type="pct"/>
            <w:vAlign w:val="center"/>
          </w:tcPr>
          <w:p>
            <w:pPr>
              <w:spacing w:line="360" w:lineRule="auto"/>
              <w:rPr>
                <w:rFonts w:ascii="Times New Roman" w:hAnsi="Times New Roman" w:eastAsia="宋体" w:cs="Times New Roman"/>
                <w:b/>
                <w:kern w:val="0"/>
                <w:szCs w:val="21"/>
                <w:u w:val="single"/>
                <w:lang w:val="zh-CN"/>
              </w:rPr>
            </w:pPr>
            <w:r>
              <w:rPr>
                <w:rFonts w:ascii="Times New Roman" w:hAnsi="Times New Roman" w:eastAsia="宋体" w:cs="Times New Roman"/>
                <w:kern w:val="0"/>
                <w:szCs w:val="21"/>
              </w:rPr>
              <w:t>开启时间：</w:t>
            </w:r>
            <w:sdt>
              <w:sdtPr>
                <w:rPr>
                  <w:rStyle w:val="20"/>
                  <w:rFonts w:ascii="Times New Roman" w:hAnsi="Times New Roman" w:cs="Times New Roman"/>
                </w:rPr>
                <w:alias w:val="填写时间"/>
                <w:tag w:val="填写时间"/>
                <w:id w:val="-1092091940"/>
                <w:lock w:val="sdtLocked"/>
                <w:placeholder>
                  <w:docPart w:val="B52F1C91DC6C4581B6B385B55708C623"/>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0"/>
                    <w:rFonts w:hint="eastAsia" w:ascii="Times New Roman" w:hAnsi="Times New Roman" w:cs="Times New Roman"/>
                  </w:rPr>
                  <w:t>详见公告</w:t>
                </w:r>
              </w:sdtContent>
            </w:sdt>
            <w:r>
              <w:rPr>
                <w:rFonts w:ascii="Times New Roman" w:hAnsi="Times New Roman" w:eastAsia="宋体" w:cs="Times New Roman"/>
                <w:color w:val="000000"/>
                <w:szCs w:val="21"/>
              </w:rPr>
              <w:t>（暂定）</w:t>
            </w: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开启地点：深圳市南山区蛇口工业八路274号</w:t>
            </w: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0"/>
              </w:rPr>
              <w:t>供应商自行决定是否参加开标会，未参加开标会的，视为其认可开标程序和结果。参加开标会的供应商只可委托一名代表参加。参加开标会的供应商代表，须提供法定代表人/负责人证明书、授权委托书（法定代表人/负责人须签字）、委托代理人的身份证原件，以便采购单位现场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成交</w:t>
            </w:r>
            <w:r>
              <w:rPr>
                <w:rFonts w:ascii="宋体" w:hAnsi="宋体" w:eastAsia="宋体" w:cs="Times New Roman"/>
                <w:color w:val="000000"/>
                <w:szCs w:val="21"/>
              </w:rPr>
              <w:t>结果公示</w:t>
            </w:r>
          </w:p>
        </w:tc>
        <w:tc>
          <w:tcPr>
            <w:tcW w:w="3465" w:type="pct"/>
            <w:vAlign w:val="center"/>
          </w:tcPr>
          <w:p>
            <w:pPr>
              <w:spacing w:line="360" w:lineRule="auto"/>
              <w:rPr>
                <w:rFonts w:ascii="宋体" w:hAnsi="Times New Roman" w:eastAsia="宋体" w:cs="Times New Roman"/>
                <w:color w:val="000000"/>
                <w:szCs w:val="20"/>
              </w:rPr>
            </w:pPr>
            <w:r>
              <w:rPr>
                <w:rFonts w:hint="eastAsia" w:ascii="宋体" w:hAnsi="Times New Roman" w:eastAsia="宋体" w:cs="Times New Roman"/>
                <w:color w:val="000000"/>
                <w:szCs w:val="20"/>
              </w:rPr>
              <w:t>公示</w:t>
            </w:r>
            <w:r>
              <w:rPr>
                <w:rFonts w:ascii="宋体" w:hAnsi="Times New Roman" w:eastAsia="宋体" w:cs="Times New Roman"/>
                <w:color w:val="000000"/>
                <w:szCs w:val="20"/>
              </w:rPr>
              <w:t>/公告媒介：</w:t>
            </w:r>
          </w:p>
          <w:p>
            <w:pPr>
              <w:spacing w:line="360" w:lineRule="auto"/>
              <w:rPr>
                <w:rFonts w:ascii="宋体" w:hAnsi="Times New Roman" w:eastAsia="宋体" w:cs="Times New Roman"/>
                <w:color w:val="000000"/>
                <w:szCs w:val="20"/>
              </w:rPr>
            </w:pPr>
            <w:r>
              <w:rPr>
                <w:rFonts w:ascii="宋体" w:hAnsi="Times New Roman" w:eastAsia="宋体" w:cs="Times New Roman"/>
                <w:color w:val="000000"/>
                <w:szCs w:val="20"/>
              </w:rPr>
              <w:t>1、深圳阳光采购平台</w:t>
            </w:r>
            <w:r>
              <w:rPr>
                <w:rFonts w:hint="eastAsia" w:ascii="宋体" w:hAnsi="Times New Roman" w:eastAsia="宋体" w:cs="Times New Roman"/>
                <w:color w:val="000000"/>
                <w:szCs w:val="20"/>
              </w:rPr>
              <w:t>（</w:t>
            </w:r>
            <w:r>
              <w:rPr>
                <w:rFonts w:ascii="宋体" w:hAnsi="Times New Roman" w:eastAsia="宋体" w:cs="Times New Roman"/>
                <w:color w:val="000000"/>
                <w:szCs w:val="20"/>
              </w:rPr>
              <w:t>https://ygcg.szexgrp.com/）</w:t>
            </w:r>
          </w:p>
          <w:p>
            <w:pPr>
              <w:spacing w:line="360" w:lineRule="auto"/>
              <w:rPr>
                <w:rFonts w:ascii="宋体" w:hAnsi="宋体" w:eastAsia="宋体" w:cs="Times New Roman"/>
                <w:color w:val="000000"/>
                <w:szCs w:val="21"/>
              </w:rPr>
            </w:pPr>
            <w:r>
              <w:rPr>
                <w:rFonts w:ascii="宋体" w:hAnsi="Times New Roman" w:eastAsia="宋体" w:cs="Times New Roman"/>
                <w:color w:val="000000"/>
                <w:szCs w:val="20"/>
              </w:rPr>
              <w:t>2、中国招标投标公共服务平台（www.cebpubservice.com）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57" w:type="pct"/>
            <w:vMerge w:val="restar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Merge w:val="restart"/>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踏勘现场</w:t>
            </w:r>
          </w:p>
        </w:tc>
        <w:tc>
          <w:tcPr>
            <w:tcW w:w="3465" w:type="pct"/>
            <w:vAlign w:val="center"/>
          </w:tcPr>
          <w:p>
            <w:pPr>
              <w:spacing w:line="360" w:lineRule="auto"/>
              <w:rPr>
                <w:rFonts w:ascii="Times New Roman" w:hAnsi="Times New Roman" w:eastAsia="宋体" w:cs="Times New Roman"/>
                <w:szCs w:val="21"/>
              </w:rPr>
            </w:pPr>
            <w:sdt>
              <w:sdtPr>
                <w:rPr>
                  <w:rFonts w:ascii="Times New Roman" w:hAnsi="Times New Roman" w:eastAsia="宋体" w:cs="Times New Roman"/>
                  <w:kern w:val="0"/>
                </w:rPr>
                <w:id w:val="746392618"/>
                <w14:checkbox>
                  <w14:checked w14:val="1"/>
                  <w14:checkedState w14:val="0052" w14:font="Wingdings 2"/>
                  <w14:uncheckedState w14:val="25A1" w14:font="宋体"/>
                </w14:checkbox>
              </w:sdtPr>
              <w:sdtEndPr>
                <w:rPr>
                  <w:rFonts w:ascii="Times New Roman" w:hAnsi="Times New Roman" w:eastAsia="宋体" w:cs="Times New Roman"/>
                  <w:kern w:val="0"/>
                </w:rPr>
              </w:sdtEndPr>
              <w:sdtContent>
                <w:r>
                  <w:rPr>
                    <w:rFonts w:ascii="Times New Roman" w:hAnsi="Times New Roman" w:eastAsia="宋体" w:cs="Times New Roman"/>
                    <w:kern w:val="0"/>
                  </w:rPr>
                  <w:sym w:font="Wingdings 2" w:char="F052"/>
                </w:r>
              </w:sdtContent>
            </w:sdt>
            <w:r>
              <w:rPr>
                <w:rFonts w:ascii="Times New Roman" w:hAnsi="Times New Roman" w:eastAsia="宋体" w:cs="Times New Roman"/>
                <w:szCs w:val="21"/>
              </w:rPr>
              <w:t>不组织。可自行至</w:t>
            </w:r>
            <w:sdt>
              <w:sdtPr>
                <w:rPr>
                  <w:rStyle w:val="20"/>
                  <w:rFonts w:ascii="Times New Roman" w:hAnsi="Times New Roman" w:cs="Times New Roman"/>
                </w:rPr>
                <w:id w:val="-1066413756"/>
                <w:lock w:val="sdtLocked"/>
                <w:placeholder>
                  <w:docPart w:val="A65B5358D23F4E8CB78982EAC3537877"/>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r>
              <w:rPr>
                <w:rFonts w:ascii="Times New Roman" w:hAnsi="Times New Roman" w:eastAsia="宋体" w:cs="Times New Roman"/>
                <w:szCs w:val="21"/>
              </w:rPr>
              <w:t>踏勘。</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说明：采购单位不统一组织踏勘，供应商自行前往现场进行踏勘；采购单位不能保证提供给供应商的相关资料的准确性及完整性，供应商应到工地踏勘以充分了解工地位置、地形地貌、周边环境、道路、管网、储存空间、装卸限制及其它任何足以影响报价的情况，任何因忽视或误解工地情况而导致的费用索赔或工期延长申请不获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Merge w:val="continue"/>
            <w:vAlign w:val="center"/>
          </w:tcPr>
          <w:p>
            <w:pPr>
              <w:spacing w:line="360" w:lineRule="auto"/>
              <w:jc w:val="center"/>
              <w:rPr>
                <w:rFonts w:ascii="Times New Roman" w:hAnsi="Times New Roman" w:eastAsia="宋体" w:cs="Times New Roman"/>
                <w:szCs w:val="21"/>
              </w:rPr>
            </w:pPr>
          </w:p>
        </w:tc>
        <w:tc>
          <w:tcPr>
            <w:tcW w:w="3465" w:type="pct"/>
            <w:vAlign w:val="center"/>
          </w:tcPr>
          <w:p>
            <w:pPr>
              <w:spacing w:line="360" w:lineRule="auto"/>
              <w:rPr>
                <w:rFonts w:ascii="Times New Roman" w:hAnsi="Times New Roman" w:eastAsia="宋体" w:cs="Times New Roman"/>
                <w:szCs w:val="21"/>
              </w:rPr>
            </w:pPr>
            <w:sdt>
              <w:sdtPr>
                <w:rPr>
                  <w:rFonts w:ascii="Times New Roman" w:hAnsi="Times New Roman" w:eastAsia="宋体" w:cs="Times New Roman"/>
                  <w:kern w:val="0"/>
                </w:rPr>
                <w:id w:val="-2067023861"/>
                <w14:checkbox>
                  <w14:checked w14:val="0"/>
                  <w14:checkedState w14:val="0052" w14:font="Wingdings 2"/>
                  <w14:uncheckedState w14:val="25A1" w14:font="宋体"/>
                </w14:checkbox>
              </w:sdtPr>
              <w:sdtEndPr>
                <w:rPr>
                  <w:rFonts w:ascii="Times New Roman" w:hAnsi="Times New Roman" w:eastAsia="宋体" w:cs="Times New Roman"/>
                  <w:kern w:val="0"/>
                </w:rPr>
              </w:sdtEndPr>
              <w:sdtContent>
                <w:r>
                  <w:rPr>
                    <w:rFonts w:hint="eastAsia" w:ascii="宋体" w:hAnsi="宋体" w:eastAsia="宋体" w:cs="Times New Roman"/>
                    <w:kern w:val="0"/>
                  </w:rPr>
                  <w:t>□</w:t>
                </w:r>
              </w:sdtContent>
            </w:sdt>
            <w:r>
              <w:rPr>
                <w:rFonts w:ascii="Times New Roman" w:hAnsi="Times New Roman" w:eastAsia="宋体" w:cs="Times New Roman"/>
                <w:szCs w:val="21"/>
              </w:rPr>
              <w:t>组织。</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踏勘时间：</w:t>
            </w:r>
            <w:sdt>
              <w:sdtPr>
                <w:rPr>
                  <w:rStyle w:val="20"/>
                  <w:rFonts w:ascii="Times New Roman" w:hAnsi="Times New Roman" w:cs="Times New Roman"/>
                </w:rPr>
                <w:id w:val="1019048132"/>
                <w:lock w:val="sdtLocked"/>
                <w:placeholder>
                  <w:docPart w:val="DCDB8DB3CA0143928D1913F40C0B7CC9"/>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集合地点：</w:t>
            </w:r>
            <w:sdt>
              <w:sdtPr>
                <w:rPr>
                  <w:rStyle w:val="20"/>
                  <w:rFonts w:ascii="Times New Roman" w:hAnsi="Times New Roman" w:cs="Times New Roman"/>
                </w:rPr>
                <w:id w:val="-341327238"/>
                <w:lock w:val="sdtLocked"/>
                <w:placeholder>
                  <w:docPart w:val="F5945FCC23344C8687E2B945590733BC"/>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p>
          <w:p>
            <w:pPr>
              <w:spacing w:line="360" w:lineRule="auto"/>
              <w:rPr>
                <w:rFonts w:ascii="Times New Roman" w:hAnsi="Times New Roman" w:eastAsia="宋体" w:cs="Times New Roman"/>
                <w:szCs w:val="21"/>
              </w:rPr>
            </w:pPr>
            <w:r>
              <w:rPr>
                <w:rFonts w:ascii="Times New Roman" w:hAnsi="Times New Roman" w:eastAsia="宋体" w:cs="Times New Roman"/>
                <w:szCs w:val="21"/>
              </w:rPr>
              <w:t>说明：参与现场踏勘的供应商须提交营业执照（副本加盖公章）、授权委托书（加盖公章）和身份证复印件（加盖公章，验原件）。未提供上述资料的供应商将被拒绝踏勘现场。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kern w:val="0"/>
                <w:szCs w:val="21"/>
              </w:rPr>
              <w:t>评审小组推荐成交候选人</w:t>
            </w:r>
          </w:p>
        </w:tc>
        <w:tc>
          <w:tcPr>
            <w:tcW w:w="3465" w:type="pct"/>
            <w:vAlign w:val="center"/>
          </w:tcPr>
          <w:p>
            <w:pPr>
              <w:adjustRightInd w:val="0"/>
              <w:snapToGrid w:val="0"/>
              <w:spacing w:line="360" w:lineRule="auto"/>
              <w:jc w:val="left"/>
              <w:rPr>
                <w:rFonts w:ascii="宋体" w:hAnsi="宋体" w:eastAsia="宋体" w:cs="Times New Roman"/>
                <w:kern w:val="0"/>
                <w:szCs w:val="21"/>
              </w:rPr>
            </w:pPr>
            <w:r>
              <w:rPr>
                <w:rFonts w:hint="eastAsia" w:ascii="宋体" w:hAnsi="宋体" w:eastAsia="宋体" w:cs="Times New Roman"/>
                <w:kern w:val="0"/>
                <w:szCs w:val="21"/>
              </w:rPr>
              <w:t>评审小组按照评审结果推荐合格供应商为</w:t>
            </w:r>
            <w:r>
              <w:rPr>
                <w:rFonts w:ascii="宋体" w:hAnsi="宋体" w:eastAsia="宋体" w:cs="Times New Roman"/>
                <w:kern w:val="0"/>
                <w:szCs w:val="21"/>
              </w:rPr>
              <w:t xml:space="preserve"> </w:t>
            </w:r>
            <w:sdt>
              <w:sdtPr>
                <w:rPr>
                  <w:rFonts w:hint="eastAsia" w:ascii="宋体" w:hAnsi="宋体" w:eastAsia="宋体"/>
                  <w:kern w:val="0"/>
                </w:rPr>
                <w:id w:val="-1132245545"/>
                <w14:checkbox>
                  <w14:checked w14:val="1"/>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sym w:font="Wingdings 2" w:char="F052"/>
                </w:r>
              </w:sdtContent>
            </w:sdt>
            <w:r>
              <w:rPr>
                <w:rFonts w:hint="eastAsia" w:ascii="宋体" w:hAnsi="宋体" w:eastAsia="宋体" w:cs="Times New Roman"/>
                <w:kern w:val="0"/>
                <w:szCs w:val="21"/>
              </w:rPr>
              <w:t>无排序</w:t>
            </w:r>
            <w:r>
              <w:rPr>
                <w:rFonts w:ascii="宋体" w:hAnsi="宋体" w:eastAsia="宋体" w:cs="Times New Roman"/>
                <w:kern w:val="0"/>
                <w:szCs w:val="21"/>
              </w:rPr>
              <w:t xml:space="preserve"> </w:t>
            </w:r>
            <w:sdt>
              <w:sdtPr>
                <w:rPr>
                  <w:rFonts w:hint="eastAsia" w:ascii="宋体" w:hAnsi="宋体" w:eastAsia="宋体"/>
                  <w:kern w:val="0"/>
                </w:rPr>
                <w:id w:val="1747832210"/>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ascii="宋体" w:hAnsi="宋体" w:eastAsia="宋体" w:cs="Times New Roman"/>
                <w:kern w:val="0"/>
                <w:szCs w:val="21"/>
              </w:rPr>
              <w:t>有排序</w:t>
            </w:r>
            <w:r>
              <w:rPr>
                <w:rFonts w:hint="eastAsia" w:ascii="宋体" w:hAnsi="宋体" w:eastAsia="宋体" w:cs="Times New Roman"/>
                <w:kern w:val="0"/>
                <w:szCs w:val="21"/>
              </w:rPr>
              <w:t>的成交候选人。</w:t>
            </w:r>
          </w:p>
          <w:p>
            <w:pPr>
              <w:spacing w:line="360" w:lineRule="auto"/>
              <w:rPr>
                <w:rFonts w:ascii="宋体" w:hAnsi="宋体" w:eastAsia="宋体" w:cs="Times New Roman"/>
                <w:color w:val="000000"/>
                <w:szCs w:val="21"/>
              </w:rPr>
            </w:pPr>
            <w:r>
              <w:rPr>
                <w:rFonts w:hint="eastAsia" w:ascii="宋体" w:hAnsi="宋体" w:eastAsia="宋体" w:cs="Times New Roman"/>
                <w:kern w:val="0"/>
                <w:szCs w:val="21"/>
              </w:rPr>
              <w:t>（合格供应商指递交的报价文件不被判定为无效标或废标的）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Align w:val="center"/>
          </w:tcPr>
          <w:p>
            <w:pPr>
              <w:spacing w:line="360" w:lineRule="auto"/>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是否允许递交备选方案</w:t>
            </w:r>
          </w:p>
        </w:tc>
        <w:tc>
          <w:tcPr>
            <w:tcW w:w="3465" w:type="pct"/>
            <w:vAlign w:val="center"/>
          </w:tcPr>
          <w:p>
            <w:pPr>
              <w:spacing w:line="360" w:lineRule="auto"/>
              <w:rPr>
                <w:rFonts w:ascii="Times New Roman" w:hAnsi="Times New Roman" w:eastAsia="宋体" w:cs="Times New Roman"/>
                <w:kern w:val="0"/>
                <w:szCs w:val="21"/>
              </w:rPr>
            </w:pPr>
            <w:sdt>
              <w:sdtPr>
                <w:rPr>
                  <w:rFonts w:ascii="Times New Roman" w:hAnsi="Times New Roman" w:eastAsia="宋体" w:cs="Times New Roman"/>
                </w:rPr>
                <w:id w:val="410588186"/>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t>□</w:t>
                </w:r>
              </w:sdtContent>
            </w:sdt>
            <w:r>
              <w:rPr>
                <w:rFonts w:ascii="Times New Roman" w:hAnsi="Times New Roman" w:eastAsia="宋体" w:cs="Times New Roman"/>
                <w:kern w:val="0"/>
                <w:szCs w:val="21"/>
              </w:rPr>
              <w:t xml:space="preserve">允许     </w:t>
            </w:r>
            <w:sdt>
              <w:sdtPr>
                <w:rPr>
                  <w:rFonts w:ascii="Times New Roman" w:hAnsi="Times New Roman" w:eastAsia="宋体" w:cs="Times New Roman"/>
                </w:rPr>
                <w:id w:val="1572994950"/>
                <w14:checkbox>
                  <w14:checked w14:val="1"/>
                  <w14:checkedState w14:val="0052" w14:font="Wingdings 2"/>
                  <w14:uncheckedState w14:val="25A1" w14:font="宋体"/>
                </w14:checkbox>
              </w:sdtPr>
              <w:sdtEndPr>
                <w:rPr>
                  <w:rFonts w:ascii="Times New Roman" w:hAnsi="Times New Roman" w:eastAsia="宋体" w:cs="Times New Roman"/>
                </w:rPr>
              </w:sdtEndPr>
              <w:sdtContent>
                <w:r>
                  <w:rPr>
                    <w:rFonts w:ascii="Times New Roman" w:hAnsi="Times New Roman" w:eastAsia="宋体" w:cs="Times New Roman"/>
                  </w:rPr>
                  <w:sym w:font="Wingdings 2" w:char="F052"/>
                </w:r>
              </w:sdtContent>
            </w:sdt>
            <w:r>
              <w:rPr>
                <w:rFonts w:ascii="Times New Roman" w:hAnsi="Times New Roman" w:eastAsia="宋体" w:cs="Times New Roman"/>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签字或盖章要求</w:t>
            </w:r>
          </w:p>
        </w:tc>
        <w:tc>
          <w:tcPr>
            <w:tcW w:w="3465"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报价文件的正、副本均应由供应商的法定代表人/负责人或者其委托的代理人签署并加盖供应商公章（签署并盖章的内容至少应包括：</w:t>
            </w:r>
            <w:r>
              <w:rPr>
                <w:rFonts w:hint="eastAsia" w:ascii="宋体" w:hAnsi="宋体" w:eastAsia="宋体" w:cs="宋体"/>
                <w:color w:val="000000"/>
                <w:szCs w:val="21"/>
              </w:rPr>
              <w:t>①</w:t>
            </w:r>
            <w:r>
              <w:rPr>
                <w:rFonts w:ascii="Times New Roman" w:hAnsi="Times New Roman" w:eastAsia="宋体" w:cs="Times New Roman"/>
                <w:color w:val="000000"/>
                <w:szCs w:val="21"/>
              </w:rPr>
              <w:t>封面页（或扉页）；</w:t>
            </w:r>
            <w:r>
              <w:rPr>
                <w:rFonts w:hint="eastAsia" w:ascii="宋体" w:hAnsi="宋体" w:eastAsia="宋体" w:cs="宋体"/>
                <w:color w:val="000000"/>
                <w:szCs w:val="21"/>
              </w:rPr>
              <w:t>②</w:t>
            </w:r>
            <w:r>
              <w:rPr>
                <w:rFonts w:ascii="Times New Roman" w:hAnsi="Times New Roman" w:eastAsia="宋体" w:cs="Times New Roman"/>
                <w:color w:val="000000"/>
                <w:szCs w:val="21"/>
              </w:rPr>
              <w:t>采购文件中有要求的）。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Align w:val="center"/>
          </w:tcPr>
          <w:p>
            <w:pPr>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szCs w:val="21"/>
              </w:rPr>
              <w:t>报价文件构成及份数</w:t>
            </w:r>
          </w:p>
        </w:tc>
        <w:tc>
          <w:tcPr>
            <w:tcW w:w="3465" w:type="pct"/>
            <w:vAlign w:val="center"/>
          </w:tcPr>
          <w:p>
            <w:pPr>
              <w:spacing w:line="360" w:lineRule="auto"/>
              <w:rPr>
                <w:rFonts w:ascii="Times New Roman" w:hAnsi="Times New Roman" w:eastAsia="宋体" w:cs="Times New Roman"/>
                <w:color w:val="000000"/>
                <w:szCs w:val="21"/>
              </w:rPr>
            </w:pPr>
            <w:sdt>
              <w:sdtPr>
                <w:rPr>
                  <w:rFonts w:ascii="Times New Roman" w:hAnsi="Times New Roman" w:eastAsia="宋体" w:cs="Times New Roman"/>
                  <w:kern w:val="0"/>
                </w:rPr>
                <w:id w:val="-796533441"/>
                <w14:checkbox>
                  <w14:checked w14:val="1"/>
                  <w14:checkedState w14:val="0052" w14:font="Wingdings 2"/>
                  <w14:uncheckedState w14:val="25A1" w14:font="宋体"/>
                </w14:checkbox>
              </w:sdtPr>
              <w:sdtEndPr>
                <w:rPr>
                  <w:rFonts w:ascii="Times New Roman" w:hAnsi="Times New Roman" w:eastAsia="宋体" w:cs="Times New Roman"/>
                  <w:kern w:val="0"/>
                </w:rPr>
              </w:sdtEndPr>
              <w:sdtContent>
                <w:r>
                  <w:rPr>
                    <w:rFonts w:ascii="Times New Roman" w:hAnsi="Times New Roman" w:eastAsia="宋体" w:cs="Times New Roman"/>
                    <w:kern w:val="0"/>
                  </w:rPr>
                  <w:sym w:font="Wingdings 2" w:char="F052"/>
                </w:r>
              </w:sdtContent>
            </w:sdt>
            <w:r>
              <w:rPr>
                <w:rFonts w:ascii="Times New Roman" w:hAnsi="Times New Roman" w:eastAsia="宋体" w:cs="Times New Roman"/>
                <w:szCs w:val="21"/>
              </w:rPr>
              <w:t>报价文件</w:t>
            </w:r>
            <w:r>
              <w:rPr>
                <w:rFonts w:ascii="Times New Roman" w:hAnsi="Times New Roman" w:eastAsia="宋体" w:cs="Times New Roman"/>
                <w:color w:val="000000"/>
                <w:szCs w:val="21"/>
              </w:rPr>
              <w:t>正本</w:t>
            </w:r>
            <w:r>
              <w:rPr>
                <w:rFonts w:ascii="Times New Roman" w:hAnsi="Times New Roman" w:eastAsia="宋体" w:cs="Times New Roman"/>
                <w:color w:val="000000"/>
                <w:szCs w:val="21"/>
                <w:u w:val="single"/>
              </w:rPr>
              <w:t>1</w:t>
            </w:r>
            <w:r>
              <w:rPr>
                <w:rFonts w:ascii="Times New Roman" w:hAnsi="Times New Roman" w:eastAsia="宋体" w:cs="Times New Roman"/>
                <w:color w:val="000000"/>
                <w:szCs w:val="21"/>
              </w:rPr>
              <w:t>份，副本</w:t>
            </w:r>
            <w:r>
              <w:rPr>
                <w:rFonts w:ascii="Times New Roman" w:hAnsi="Times New Roman" w:eastAsia="宋体" w:cs="Times New Roman"/>
                <w:color w:val="000000"/>
                <w:szCs w:val="21"/>
                <w:u w:val="single"/>
              </w:rPr>
              <w:t>1</w:t>
            </w:r>
            <w:r>
              <w:rPr>
                <w:rFonts w:ascii="Times New Roman" w:hAnsi="Times New Roman" w:eastAsia="宋体" w:cs="Times New Roman"/>
                <w:color w:val="000000"/>
                <w:szCs w:val="21"/>
              </w:rPr>
              <w:t>份，</w:t>
            </w:r>
          </w:p>
          <w:p>
            <w:pPr>
              <w:spacing w:line="360" w:lineRule="auto"/>
              <w:rPr>
                <w:rFonts w:ascii="Times New Roman" w:hAnsi="Times New Roman" w:eastAsia="宋体" w:cs="Times New Roman"/>
                <w:color w:val="000000"/>
                <w:szCs w:val="21"/>
              </w:rPr>
            </w:pPr>
            <w:sdt>
              <w:sdtPr>
                <w:rPr>
                  <w:rFonts w:ascii="Times New Roman" w:hAnsi="Times New Roman" w:eastAsia="宋体" w:cs="Times New Roman"/>
                  <w:kern w:val="0"/>
                </w:rPr>
                <w:id w:val="-725285448"/>
                <w14:checkbox>
                  <w14:checked w14:val="1"/>
                  <w14:checkedState w14:val="0052" w14:font="Wingdings 2"/>
                  <w14:uncheckedState w14:val="25A1" w14:font="宋体"/>
                </w14:checkbox>
              </w:sdtPr>
              <w:sdtEndPr>
                <w:rPr>
                  <w:rFonts w:ascii="Times New Roman" w:hAnsi="Times New Roman" w:eastAsia="宋体" w:cs="Times New Roman"/>
                  <w:kern w:val="0"/>
                </w:rPr>
              </w:sdtEndPr>
              <w:sdtContent>
                <w:r>
                  <w:rPr>
                    <w:rFonts w:ascii="Times New Roman" w:hAnsi="Times New Roman" w:eastAsia="宋体" w:cs="Times New Roman"/>
                    <w:kern w:val="0"/>
                  </w:rPr>
                  <w:sym w:font="Wingdings 2" w:char="F052"/>
                </w:r>
              </w:sdtContent>
            </w:sdt>
            <w:r>
              <w:rPr>
                <w:rFonts w:ascii="Times New Roman" w:hAnsi="Times New Roman" w:eastAsia="宋体" w:cs="Times New Roman"/>
                <w:color w:val="000000"/>
                <w:szCs w:val="21"/>
              </w:rPr>
              <w:t>电子版本（光盘或U盘）</w:t>
            </w:r>
            <w:r>
              <w:rPr>
                <w:rFonts w:ascii="Times New Roman" w:hAnsi="Times New Roman" w:eastAsia="宋体" w:cs="Times New Roman"/>
                <w:color w:val="000000"/>
                <w:szCs w:val="21"/>
                <w:u w:val="single"/>
              </w:rPr>
              <w:t>1</w:t>
            </w:r>
            <w:r>
              <w:rPr>
                <w:rFonts w:ascii="Times New Roman" w:hAnsi="Times New Roman" w:eastAsia="宋体" w:cs="Times New Roman"/>
                <w:color w:val="000000"/>
                <w:szCs w:val="21"/>
              </w:rPr>
              <w:t>份。</w:t>
            </w: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0"/>
              </w:rPr>
              <w:t>若报价文件均未标记“正本”或“副本”，则均视为“正本”。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Align w:val="center"/>
          </w:tcPr>
          <w:p>
            <w:pPr>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装订要求</w:t>
            </w:r>
          </w:p>
        </w:tc>
        <w:tc>
          <w:tcPr>
            <w:tcW w:w="3465" w:type="pct"/>
            <w:vAlign w:val="center"/>
          </w:tcPr>
          <w:p>
            <w:pPr>
              <w:spacing w:line="360" w:lineRule="auto"/>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价格</w:t>
            </w:r>
            <w:r>
              <w:rPr>
                <w:rFonts w:ascii="Times New Roman" w:hAnsi="Times New Roman" w:eastAsia="宋体" w:cs="Times New Roman"/>
                <w:b/>
                <w:color w:val="000000"/>
                <w:szCs w:val="21"/>
              </w:rPr>
              <w:t>文件装订为一册</w:t>
            </w:r>
            <w:r>
              <w:rPr>
                <w:rFonts w:hint="eastAsia" w:ascii="Times New Roman" w:hAnsi="Times New Roman" w:eastAsia="宋体" w:cs="Times New Roman"/>
                <w:b/>
                <w:color w:val="000000"/>
                <w:szCs w:val="21"/>
              </w:rPr>
              <w:t>，独立封包；其他文件装订为一册，独立封包</w:t>
            </w:r>
            <w:r>
              <w:rPr>
                <w:rFonts w:ascii="Times New Roman" w:hAnsi="Times New Roman" w:eastAsia="宋体" w:cs="Times New Roman"/>
                <w:b/>
                <w:color w:val="000000"/>
                <w:szCs w:val="21"/>
              </w:rPr>
              <w:t>；电子版文件（</w:t>
            </w:r>
            <w:r>
              <w:rPr>
                <w:rFonts w:ascii="Times New Roman" w:hAnsi="Times New Roman" w:eastAsia="宋体" w:cs="Times New Roman"/>
                <w:b/>
                <w:color w:val="000000"/>
                <w:szCs w:val="20"/>
              </w:rPr>
              <w:t>PDF（纸质盖章版报价文件扫描件）和Word格式</w:t>
            </w:r>
            <w:r>
              <w:rPr>
                <w:rFonts w:ascii="Times New Roman" w:hAnsi="Times New Roman" w:eastAsia="宋体" w:cs="Times New Roman"/>
                <w:b/>
                <w:color w:val="000000"/>
                <w:szCs w:val="21"/>
              </w:rPr>
              <w:t>）独立封包。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kern w:val="0"/>
                <w:szCs w:val="21"/>
              </w:rPr>
            </w:pPr>
          </w:p>
        </w:tc>
        <w:tc>
          <w:tcPr>
            <w:tcW w:w="1278" w:type="pct"/>
            <w:vAlign w:val="center"/>
          </w:tcPr>
          <w:p>
            <w:pPr>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密封和标记</w:t>
            </w:r>
          </w:p>
        </w:tc>
        <w:tc>
          <w:tcPr>
            <w:tcW w:w="3465"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报价文件的包装必须密封，封套上应写明的内容见“供应商须知前附表”，封口处要贴密封条并由供应商的法定代表人/负责人或者其委托的代理人签字并加盖供应商公章。</w:t>
            </w:r>
          </w:p>
          <w:p>
            <w:pPr>
              <w:spacing w:line="360"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供应商可根据报价文件正本、副本和电子版文件体积大小自行决定封包数量，可以封装在一个密封袋里，也可以封装在多个密封袋里。</w:t>
            </w:r>
          </w:p>
          <w:p>
            <w:pPr>
              <w:spacing w:line="360" w:lineRule="auto"/>
              <w:rPr>
                <w:rFonts w:ascii="Times New Roman" w:hAnsi="Times New Roman" w:eastAsia="宋体" w:cs="Times New Roman"/>
                <w:color w:val="000000"/>
                <w:szCs w:val="21"/>
              </w:rPr>
            </w:pPr>
            <w:r>
              <w:rPr>
                <w:rFonts w:ascii="Times New Roman" w:hAnsi="Times New Roman" w:eastAsia="宋体" w:cs="Times New Roman"/>
                <w:b/>
                <w:szCs w:val="21"/>
              </w:rPr>
              <w:t>若供应商参加开标会，须提供法定代表人/负责人证明书、授权委托书（法定代表人/负责人须签字）、委托代理人身份证原件，以上文件不得装入报价文件密封袋内，于开标前提供给采购单位单独查验。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Align w:val="center"/>
          </w:tcPr>
          <w:p>
            <w:pPr>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封套上写明</w:t>
            </w:r>
          </w:p>
        </w:tc>
        <w:tc>
          <w:tcPr>
            <w:tcW w:w="3465" w:type="pct"/>
            <w:vAlign w:val="center"/>
          </w:tcPr>
          <w:p>
            <w:pPr>
              <w:spacing w:line="360" w:lineRule="auto"/>
              <w:rPr>
                <w:rFonts w:ascii="宋体" w:hAnsi="宋体" w:eastAsia="宋体" w:cs="仿宋_GB2312"/>
                <w:color w:val="000000"/>
                <w:kern w:val="0"/>
                <w:szCs w:val="21"/>
              </w:rPr>
            </w:pPr>
            <w:r>
              <w:rPr>
                <w:rFonts w:hint="eastAsia" w:ascii="宋体" w:hAnsi="宋体" w:eastAsia="宋体" w:cs="仿宋_GB2312"/>
                <w:color w:val="000000"/>
                <w:kern w:val="0"/>
                <w:szCs w:val="21"/>
                <w:u w:val="single"/>
              </w:rPr>
              <w:t>（项目名称）</w:t>
            </w:r>
            <w:r>
              <w:rPr>
                <w:rFonts w:hint="eastAsia" w:ascii="宋体" w:hAnsi="宋体" w:eastAsia="宋体" w:cs="仿宋_GB2312"/>
                <w:color w:val="000000"/>
                <w:kern w:val="0"/>
                <w:szCs w:val="21"/>
              </w:rPr>
              <w:t>报价文件</w:t>
            </w:r>
          </w:p>
          <w:p>
            <w:pPr>
              <w:spacing w:line="360" w:lineRule="auto"/>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在</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年</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月</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日</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时</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分</w:t>
            </w:r>
            <w:r>
              <w:rPr>
                <w:rFonts w:ascii="Times New Roman" w:hAnsi="Times New Roman" w:eastAsia="宋体" w:cs="Times New Roman"/>
                <w:color w:val="000000" w:themeColor="text1"/>
                <w:kern w:val="0"/>
                <w:szCs w:val="21"/>
                <w14:textFill>
                  <w14:solidFill>
                    <w14:schemeClr w14:val="tx1"/>
                  </w14:solidFill>
                </w14:textFill>
              </w:rPr>
              <w:t>前不得开启（按开标时间填写）</w:t>
            </w:r>
          </w:p>
          <w:p>
            <w:pPr>
              <w:spacing w:line="360" w:lineRule="auto"/>
              <w:rPr>
                <w:rFonts w:ascii="宋体" w:hAnsi="宋体" w:eastAsia="宋体" w:cs="Times New Roman"/>
                <w:color w:val="000000"/>
                <w:szCs w:val="21"/>
              </w:rPr>
            </w:pPr>
            <w:r>
              <w:rPr>
                <w:rFonts w:hint="eastAsia" w:ascii="Times New Roman" w:hAnsi="Times New Roman" w:eastAsia="宋体" w:cs="Times New Roman"/>
                <w:color w:val="000000" w:themeColor="text1"/>
                <w:kern w:val="0"/>
                <w:szCs w:val="21"/>
                <w14:textFill>
                  <w14:solidFill>
                    <w14:schemeClr w14:val="tx1"/>
                  </w14:solidFill>
                </w14:textFill>
              </w:rPr>
              <w:t>供应商</w:t>
            </w:r>
            <w:r>
              <w:rPr>
                <w:rFonts w:ascii="Times New Roman" w:hAnsi="Times New Roman" w:eastAsia="宋体"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themeColor="text1"/>
                <w:szCs w:val="21"/>
                <w:u w:val="single"/>
                <w14:textFill>
                  <w14:solidFill>
                    <w14:schemeClr w14:val="tx1"/>
                  </w14:solidFill>
                </w14:textFill>
              </w:rPr>
              <w:t xml:space="preserve"> (投标单位)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restar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Merge w:val="restar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kern w:val="0"/>
                <w:szCs w:val="21"/>
              </w:rPr>
              <w:t>响应</w:t>
            </w:r>
            <w:r>
              <w:rPr>
                <w:rFonts w:ascii="宋体" w:hAnsi="宋体" w:eastAsia="宋体" w:cs="仿宋_GB2312"/>
                <w:color w:val="000000"/>
                <w:kern w:val="0"/>
                <w:szCs w:val="21"/>
              </w:rPr>
              <w:t>担保</w:t>
            </w:r>
          </w:p>
        </w:tc>
        <w:tc>
          <w:tcPr>
            <w:tcW w:w="3465" w:type="pct"/>
            <w:vAlign w:val="center"/>
          </w:tcPr>
          <w:p>
            <w:pPr>
              <w:spacing w:line="360" w:lineRule="auto"/>
              <w:rPr>
                <w:rFonts w:ascii="宋体" w:hAnsi="宋体" w:eastAsia="宋体" w:cs="Times New Roman"/>
                <w:color w:val="000000"/>
                <w:szCs w:val="21"/>
              </w:rPr>
            </w:pPr>
            <w:sdt>
              <w:sdtPr>
                <w:rPr>
                  <w:rFonts w:hint="eastAsia" w:ascii="宋体" w:hAnsi="宋体" w:eastAsia="宋体"/>
                  <w:kern w:val="0"/>
                </w:rPr>
                <w:id w:val="261196320"/>
                <w14:checkbox>
                  <w14:checked w14:val="1"/>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sym w:font="Wingdings 2" w:char="F052"/>
                </w:r>
              </w:sdtContent>
            </w:sdt>
            <w:r>
              <w:rPr>
                <w:rFonts w:hint="eastAsia" w:ascii="宋体" w:hAnsi="宋体" w:eastAsia="宋体" w:cs="Times New Roman"/>
                <w:color w:val="000000"/>
                <w:szCs w:val="21"/>
              </w:rPr>
              <w:t xml:space="preserve">不收取     </w:t>
            </w:r>
            <w:sdt>
              <w:sdtPr>
                <w:rPr>
                  <w:rFonts w:hint="eastAsia" w:ascii="宋体" w:hAnsi="宋体" w:eastAsia="宋体"/>
                  <w:kern w:val="0"/>
                </w:rPr>
                <w:id w:val="1217388658"/>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color w:val="000000"/>
                <w:szCs w:val="21"/>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Merge w:val="continue"/>
            <w:vAlign w:val="center"/>
          </w:tcPr>
          <w:p>
            <w:pPr>
              <w:spacing w:line="360" w:lineRule="auto"/>
              <w:jc w:val="center"/>
              <w:rPr>
                <w:rFonts w:ascii="宋体" w:hAnsi="宋体" w:eastAsia="宋体" w:cs="仿宋_GB2312"/>
                <w:color w:val="000000"/>
                <w:kern w:val="0"/>
                <w:szCs w:val="21"/>
              </w:rPr>
            </w:pPr>
          </w:p>
        </w:tc>
        <w:tc>
          <w:tcPr>
            <w:tcW w:w="3465" w:type="pct"/>
            <w:vAlign w:val="center"/>
          </w:tcPr>
          <w:p>
            <w:pPr>
              <w:spacing w:line="360" w:lineRule="auto"/>
              <w:rPr>
                <w:rFonts w:ascii="宋体" w:hAnsi="宋体" w:eastAsia="宋体" w:cs="Times New Roman"/>
                <w:color w:val="000000"/>
                <w:szCs w:val="21"/>
              </w:rPr>
            </w:pPr>
            <w:r>
              <w:rPr>
                <w:rFonts w:hint="eastAsia" w:ascii="宋体" w:hAnsi="宋体" w:eastAsia="宋体" w:cs="Times New Roman"/>
                <w:color w:val="000000"/>
                <w:szCs w:val="21"/>
              </w:rPr>
              <w:t>响应</w:t>
            </w:r>
            <w:r>
              <w:rPr>
                <w:rFonts w:ascii="宋体" w:hAnsi="宋体" w:eastAsia="宋体" w:cs="Times New Roman"/>
                <w:color w:val="000000"/>
                <w:szCs w:val="21"/>
              </w:rPr>
              <w:t>担保的形式：</w:t>
            </w:r>
            <w:sdt>
              <w:sdtPr>
                <w:rPr>
                  <w:rFonts w:hint="eastAsia" w:ascii="宋体" w:hAnsi="宋体" w:eastAsia="宋体"/>
                  <w:kern w:val="0"/>
                </w:rPr>
                <w:id w:val="1513113213"/>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color w:val="000000"/>
                <w:szCs w:val="21"/>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Merge w:val="continue"/>
            <w:vAlign w:val="center"/>
          </w:tcPr>
          <w:p>
            <w:pPr>
              <w:spacing w:line="360" w:lineRule="auto"/>
              <w:jc w:val="center"/>
              <w:rPr>
                <w:rFonts w:ascii="宋体" w:hAnsi="宋体" w:eastAsia="宋体" w:cs="仿宋_GB2312"/>
                <w:color w:val="000000"/>
                <w:kern w:val="0"/>
                <w:szCs w:val="21"/>
              </w:rPr>
            </w:pPr>
          </w:p>
        </w:tc>
        <w:tc>
          <w:tcPr>
            <w:tcW w:w="3465"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响应担保的金额：人民币</w:t>
            </w:r>
            <w:sdt>
              <w:sdtPr>
                <w:rPr>
                  <w:rStyle w:val="20"/>
                  <w:rFonts w:ascii="Times New Roman" w:hAnsi="Times New Roman" w:cs="Times New Roman"/>
                </w:rPr>
                <w:id w:val="-1661528855"/>
                <w:lock w:val="sdtLocked"/>
                <w:placeholder>
                  <w:docPart w:val="CE3DF25A1B194F3C90AA3F5F3D0EE3EF"/>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r>
              <w:rPr>
                <w:rFonts w:ascii="Times New Roman" w:hAnsi="Times New Roman" w:eastAsia="宋体" w:cs="Times New Roman"/>
                <w:szCs w:val="21"/>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Merge w:val="continue"/>
            <w:vAlign w:val="center"/>
          </w:tcPr>
          <w:p>
            <w:pPr>
              <w:spacing w:line="360" w:lineRule="auto"/>
              <w:jc w:val="center"/>
              <w:rPr>
                <w:rFonts w:ascii="宋体" w:hAnsi="宋体" w:eastAsia="宋体" w:cs="仿宋_GB2312"/>
                <w:color w:val="000000"/>
                <w:kern w:val="0"/>
                <w:szCs w:val="21"/>
              </w:rPr>
            </w:pPr>
          </w:p>
        </w:tc>
        <w:tc>
          <w:tcPr>
            <w:tcW w:w="3465" w:type="pct"/>
            <w:vAlign w:val="center"/>
          </w:tcPr>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响应保证金收款单位：</w:t>
            </w:r>
            <w:sdt>
              <w:sdtPr>
                <w:rPr>
                  <w:rStyle w:val="20"/>
                  <w:rFonts w:ascii="Times New Roman" w:hAnsi="Times New Roman" w:cs="Times New Roman"/>
                </w:rPr>
                <w:id w:val="456297846"/>
                <w:lock w:val="sdtLocked"/>
                <w:placeholder>
                  <w:docPart w:val="19F07FE4FE9948098B85F66FA79D912B"/>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开户银行：招商银行深圳蛇口支行</w:t>
            </w: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帐号：</w:t>
            </w:r>
            <w:sdt>
              <w:sdtPr>
                <w:rPr>
                  <w:rStyle w:val="20"/>
                  <w:rFonts w:ascii="Times New Roman" w:hAnsi="Times New Roman" w:cs="Times New Roman"/>
                </w:rPr>
                <w:id w:val="-1839220508"/>
                <w:lock w:val="sdtLocked"/>
                <w:placeholder>
                  <w:docPart w:val="1D621DA28D9543E08D617B17DF91FADE"/>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5"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Merge w:val="continue"/>
            <w:vAlign w:val="center"/>
          </w:tcPr>
          <w:p>
            <w:pPr>
              <w:spacing w:line="360" w:lineRule="auto"/>
              <w:jc w:val="center"/>
              <w:rPr>
                <w:rFonts w:ascii="宋体" w:hAnsi="宋体" w:eastAsia="宋体" w:cs="仿宋_GB2312"/>
                <w:color w:val="000000"/>
                <w:kern w:val="0"/>
                <w:szCs w:val="21"/>
              </w:rPr>
            </w:pPr>
          </w:p>
        </w:tc>
        <w:tc>
          <w:tcPr>
            <w:tcW w:w="3465"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color w:val="000000"/>
                <w:szCs w:val="21"/>
              </w:rPr>
              <w:t>供应商在</w:t>
            </w:r>
            <w:r>
              <w:rPr>
                <w:rFonts w:ascii="Times New Roman" w:hAnsi="Times New Roman" w:eastAsia="宋体" w:cs="Times New Roman"/>
                <w:szCs w:val="21"/>
              </w:rPr>
              <w:t>截标前，将响应保证金转入响应保证金收款账号，转账时注明项目名称及项目编号，并在响应文件商务文件中提供响应保证金收讫证明或转账记录的扫描件，附上基本账户证明。</w:t>
            </w:r>
          </w:p>
          <w:p>
            <w:pPr>
              <w:spacing w:line="360" w:lineRule="auto"/>
              <w:rPr>
                <w:rFonts w:ascii="Times New Roman" w:hAnsi="Times New Roman" w:eastAsia="宋体" w:cs="Times New Roman"/>
                <w:bCs/>
                <w:color w:val="000000"/>
                <w:szCs w:val="21"/>
              </w:rPr>
            </w:pPr>
            <w:r>
              <w:rPr>
                <w:rFonts w:ascii="Times New Roman" w:hAnsi="Times New Roman" w:eastAsia="宋体" w:cs="Times New Roman"/>
                <w:bCs/>
                <w:color w:val="000000"/>
                <w:szCs w:val="21"/>
              </w:rPr>
              <w:t>供应商如需领取保证金收据原件，建议在截标前3个工作日，于工作时间携带响应担保转账截图前往深圳市南山区蛇口工业八路274号领取。</w:t>
            </w:r>
          </w:p>
          <w:p>
            <w:pPr>
              <w:spacing w:line="360" w:lineRule="auto"/>
              <w:rPr>
                <w:rFonts w:ascii="Times New Roman" w:hAnsi="Times New Roman" w:eastAsia="宋体" w:cs="Times New Roman"/>
                <w:bCs/>
                <w:color w:val="000000"/>
                <w:szCs w:val="21"/>
              </w:rPr>
            </w:pPr>
            <w:r>
              <w:rPr>
                <w:rFonts w:ascii="Times New Roman" w:hAnsi="Times New Roman" w:eastAsia="宋体" w:cs="Times New Roman"/>
                <w:bCs/>
                <w:color w:val="FF0000"/>
                <w:szCs w:val="21"/>
              </w:rPr>
              <w:t>响应保证金必须从供应商基本账户汇出，否则将按无效标处理，请供应商在报价文件商务文件中提供基本账户开户证明。</w:t>
            </w:r>
            <w:r>
              <w:rPr>
                <w:rFonts w:ascii="Times New Roman" w:hAnsi="Times New Roman" w:eastAsia="宋体" w:cs="Times New Roman"/>
                <w:bCs/>
                <w:color w:val="000000"/>
                <w:szCs w:val="21"/>
              </w:rPr>
              <w:t>若供应商未提供或提供的材料不满足要求，采购单位可要求供应商补充相关证明材料。采购过程中，供应商不按上述原则提交响应担保被质疑或投诉，且无法提供相关证明文件的，采购单位可取消其报价资格。</w:t>
            </w:r>
          </w:p>
          <w:p>
            <w:pPr>
              <w:spacing w:line="360" w:lineRule="auto"/>
              <w:rPr>
                <w:rFonts w:ascii="Times New Roman" w:hAnsi="Times New Roman" w:eastAsia="宋体" w:cs="Times New Roman"/>
                <w:color w:val="000000"/>
                <w:szCs w:val="21"/>
              </w:rPr>
            </w:pPr>
            <w:r>
              <w:rPr>
                <w:rFonts w:ascii="Times New Roman" w:hAnsi="Times New Roman" w:eastAsia="宋体" w:cs="Times New Roman"/>
                <w:bCs/>
                <w:color w:val="000000"/>
                <w:szCs w:val="21"/>
              </w:rPr>
              <w:t>成交人的响应保证金在签订合同后</w:t>
            </w:r>
            <w:r>
              <w:rPr>
                <w:rFonts w:hint="eastAsia" w:ascii="Times New Roman" w:hAnsi="Times New Roman" w:eastAsia="宋体" w:cs="Times New Roman"/>
                <w:bCs/>
                <w:color w:val="000000"/>
                <w:szCs w:val="21"/>
              </w:rPr>
              <w:t>将合同盖章扫描件发送电子邮件至：</w:t>
            </w:r>
            <w:r>
              <w:fldChar w:fldCharType="begin"/>
            </w:r>
            <w:r>
              <w:instrText xml:space="preserve"> HYPERLINK "mailto:qianhaizhaotoubiao@qianhaipower.com" </w:instrText>
            </w:r>
            <w:r>
              <w:fldChar w:fldCharType="separate"/>
            </w:r>
            <w:r>
              <w:rPr>
                <w:rStyle w:val="18"/>
                <w:rFonts w:ascii="Times New Roman" w:hAnsi="Times New Roman" w:eastAsia="宋体" w:cs="Times New Roman"/>
                <w:bCs/>
                <w:szCs w:val="21"/>
              </w:rPr>
              <w:t>qianhaizhaotoubiao@qianhaipower.com</w:t>
            </w:r>
            <w:r>
              <w:rPr>
                <w:rStyle w:val="18"/>
                <w:rFonts w:ascii="Times New Roman" w:hAnsi="Times New Roman" w:eastAsia="宋体" w:cs="Times New Roman"/>
                <w:bCs/>
                <w:szCs w:val="21"/>
              </w:rPr>
              <w:fldChar w:fldCharType="end"/>
            </w:r>
            <w:r>
              <w:rPr>
                <w:rFonts w:hint="eastAsia" w:ascii="Times New Roman" w:hAnsi="Times New Roman" w:eastAsia="宋体" w:cs="Times New Roman"/>
                <w:bCs/>
                <w:color w:val="000000"/>
                <w:szCs w:val="21"/>
              </w:rPr>
              <w:t>，采购单位自收到邮件</w:t>
            </w:r>
            <w:r>
              <w:rPr>
                <w:rFonts w:ascii="Times New Roman" w:hAnsi="Times New Roman" w:eastAsia="宋体" w:cs="Times New Roman"/>
                <w:bCs/>
                <w:color w:val="000000"/>
                <w:szCs w:val="21"/>
              </w:rPr>
              <w:t>20个工作日内无息退还，其余供应商的响应保证金在成交通知书发出后20个工作日内无息退还。其他有关响应担保的退还和没收的规定，按采购文件相关条款执行。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restar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Merge w:val="restar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kern w:val="0"/>
                <w:szCs w:val="21"/>
              </w:rPr>
              <w:t>履约担保</w:t>
            </w:r>
          </w:p>
        </w:tc>
        <w:tc>
          <w:tcPr>
            <w:tcW w:w="3465" w:type="pct"/>
            <w:vAlign w:val="center"/>
          </w:tcPr>
          <w:p>
            <w:pPr>
              <w:spacing w:line="360" w:lineRule="auto"/>
              <w:rPr>
                <w:rFonts w:ascii="宋体" w:hAnsi="宋体" w:eastAsia="宋体" w:cs="Times New Roman"/>
                <w:color w:val="000000"/>
                <w:szCs w:val="21"/>
              </w:rPr>
            </w:pPr>
            <w:sdt>
              <w:sdtPr>
                <w:rPr>
                  <w:rFonts w:hint="eastAsia" w:ascii="宋体" w:hAnsi="宋体" w:eastAsia="宋体"/>
                  <w:kern w:val="0"/>
                </w:rPr>
                <w:id w:val="-26027011"/>
                <w14:checkbox>
                  <w14:checked w14:val="1"/>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sym w:font="Wingdings 2" w:char="F052"/>
                </w:r>
              </w:sdtContent>
            </w:sdt>
            <w:r>
              <w:rPr>
                <w:rFonts w:hint="eastAsia" w:ascii="宋体" w:hAnsi="宋体" w:eastAsia="宋体" w:cs="Times New Roman"/>
                <w:color w:val="000000"/>
                <w:szCs w:val="21"/>
              </w:rPr>
              <w:t xml:space="preserve">不收取     </w:t>
            </w:r>
            <w:sdt>
              <w:sdtPr>
                <w:rPr>
                  <w:rFonts w:hint="eastAsia" w:ascii="宋体" w:hAnsi="宋体" w:eastAsia="宋体"/>
                  <w:kern w:val="0"/>
                </w:rPr>
                <w:id w:val="2137904117"/>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color w:val="000000"/>
                <w:szCs w:val="21"/>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Merge w:val="continue"/>
            <w:vAlign w:val="center"/>
          </w:tcPr>
          <w:p>
            <w:pPr>
              <w:spacing w:line="360" w:lineRule="auto"/>
              <w:jc w:val="center"/>
              <w:rPr>
                <w:rFonts w:ascii="宋体" w:hAnsi="宋体" w:eastAsia="宋体" w:cs="仿宋_GB2312"/>
                <w:color w:val="000000"/>
                <w:kern w:val="0"/>
                <w:szCs w:val="21"/>
              </w:rPr>
            </w:pPr>
          </w:p>
        </w:tc>
        <w:tc>
          <w:tcPr>
            <w:tcW w:w="3465" w:type="pct"/>
            <w:vAlign w:val="center"/>
          </w:tcPr>
          <w:p>
            <w:pPr>
              <w:spacing w:line="360" w:lineRule="auto"/>
              <w:rPr>
                <w:rFonts w:ascii="Times New Roman" w:hAnsi="Times New Roman" w:eastAsia="宋体" w:cs="Times New Roman"/>
                <w:color w:val="000000"/>
                <w:szCs w:val="21"/>
              </w:rPr>
            </w:pPr>
            <w:r>
              <w:rPr>
                <w:rFonts w:hint="eastAsia" w:ascii="宋体" w:hAnsi="宋体" w:eastAsia="宋体" w:cs="Times New Roman"/>
                <w:color w:val="000000"/>
                <w:szCs w:val="21"/>
              </w:rPr>
              <w:t>担</w:t>
            </w:r>
            <w:r>
              <w:rPr>
                <w:rFonts w:ascii="Times New Roman" w:hAnsi="Times New Roman" w:eastAsia="宋体" w:cs="Times New Roman"/>
                <w:color w:val="000000"/>
                <w:szCs w:val="21"/>
              </w:rPr>
              <w:t>保金额：成交价的</w:t>
            </w:r>
            <w:sdt>
              <w:sdtPr>
                <w:rPr>
                  <w:rStyle w:val="20"/>
                  <w:rFonts w:ascii="Times New Roman" w:hAnsi="Times New Roman" w:cs="Times New Roman"/>
                </w:rPr>
                <w:id w:val="-1239013169"/>
                <w:lock w:val="sdtLocked"/>
                <w:placeholder>
                  <w:docPart w:val="DA6FD6C8DE62488CA6B61B2DDFC0927C"/>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r>
              <w:rPr>
                <w:rFonts w:ascii="Times New Roman" w:hAnsi="Times New Roman" w:eastAsia="宋体" w:cs="Times New Roman"/>
                <w:color w:val="000000"/>
                <w:szCs w:val="21"/>
              </w:rPr>
              <w:t>%或</w:t>
            </w:r>
            <w:sdt>
              <w:sdtPr>
                <w:rPr>
                  <w:rStyle w:val="20"/>
                  <w:rFonts w:ascii="Times New Roman" w:hAnsi="Times New Roman" w:cs="Times New Roman"/>
                </w:rPr>
                <w:id w:val="-1707484342"/>
                <w:lock w:val="sdtLocked"/>
                <w:placeholder>
                  <w:docPart w:val="B99B79A5002F4A26814178B80BECCC1E"/>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Fonts w:ascii="Times New Roman" w:hAnsi="Times New Roman" w:cs="Times New Roman"/>
                  </w:rPr>
                  <w:t>单击或点击此处输入文字。</w:t>
                </w:r>
              </w:sdtContent>
            </w:sdt>
            <w:r>
              <w:rPr>
                <w:rFonts w:ascii="Times New Roman" w:hAnsi="Times New Roman" w:eastAsia="宋体" w:cs="Times New Roman"/>
                <w:color w:val="000000"/>
                <w:szCs w:val="21"/>
              </w:rPr>
              <w:t>元。</w:t>
            </w:r>
          </w:p>
          <w:p>
            <w:pPr>
              <w:spacing w:line="360" w:lineRule="auto"/>
              <w:rPr>
                <w:rFonts w:ascii="Times New Roman" w:hAnsi="Times New Roman" w:eastAsia="宋体" w:cs="Times New Roman"/>
                <w:color w:val="000000"/>
                <w:kern w:val="0"/>
                <w:szCs w:val="21"/>
              </w:rPr>
            </w:pPr>
            <w:r>
              <w:rPr>
                <w:rFonts w:ascii="Times New Roman" w:hAnsi="Times New Roman" w:eastAsia="宋体" w:cs="Times New Roman"/>
                <w:color w:val="000000"/>
                <w:szCs w:val="21"/>
              </w:rPr>
              <w:t>担保形式：</w:t>
            </w:r>
            <w:sdt>
              <w:sdtPr>
                <w:rPr>
                  <w:rFonts w:ascii="Times New Roman" w:hAnsi="Times New Roman" w:eastAsia="宋体" w:cs="Times New Roman"/>
                  <w:kern w:val="0"/>
                </w:rPr>
                <w:id w:val="1389999758"/>
                <w14:checkbox>
                  <w14:checked w14:val="0"/>
                  <w14:checkedState w14:val="0052" w14:font="Wingdings 2"/>
                  <w14:uncheckedState w14:val="25A1" w14:font="宋体"/>
                </w14:checkbox>
              </w:sdtPr>
              <w:sdtEndPr>
                <w:rPr>
                  <w:rFonts w:ascii="Times New Roman" w:hAnsi="Times New Roman" w:eastAsia="宋体" w:cs="Times New Roman"/>
                  <w:kern w:val="0"/>
                </w:rPr>
              </w:sdtEndPr>
              <w:sdtContent>
                <w:r>
                  <w:rPr>
                    <w:rFonts w:hint="eastAsia" w:ascii="宋体" w:hAnsi="宋体" w:eastAsia="宋体" w:cs="Times New Roman"/>
                    <w:kern w:val="0"/>
                  </w:rPr>
                  <w:t>□</w:t>
                </w:r>
              </w:sdtContent>
            </w:sdt>
            <w:r>
              <w:rPr>
                <w:rFonts w:ascii="Times New Roman" w:hAnsi="Times New Roman" w:eastAsia="宋体" w:cs="Times New Roman"/>
                <w:color w:val="000000"/>
                <w:kern w:val="0"/>
                <w:szCs w:val="21"/>
              </w:rPr>
              <w:t xml:space="preserve">现金、转账  </w:t>
            </w:r>
            <w:sdt>
              <w:sdtPr>
                <w:rPr>
                  <w:rFonts w:ascii="Times New Roman" w:hAnsi="Times New Roman" w:eastAsia="宋体" w:cs="Times New Roman"/>
                  <w:kern w:val="0"/>
                </w:rPr>
                <w:id w:val="-833142899"/>
                <w14:checkbox>
                  <w14:checked w14:val="0"/>
                  <w14:checkedState w14:val="0052" w14:font="Wingdings 2"/>
                  <w14:uncheckedState w14:val="25A1" w14:font="宋体"/>
                </w14:checkbox>
              </w:sdtPr>
              <w:sdtEndPr>
                <w:rPr>
                  <w:rFonts w:ascii="Times New Roman" w:hAnsi="Times New Roman" w:eastAsia="宋体" w:cs="Times New Roman"/>
                  <w:kern w:val="0"/>
                </w:rPr>
              </w:sdtEndPr>
              <w:sdtContent>
                <w:r>
                  <w:rPr>
                    <w:rFonts w:hint="eastAsia" w:ascii="宋体" w:hAnsi="宋体" w:eastAsia="宋体" w:cs="Times New Roman"/>
                    <w:kern w:val="0"/>
                  </w:rPr>
                  <w:t>□</w:t>
                </w:r>
              </w:sdtContent>
            </w:sdt>
            <w:r>
              <w:rPr>
                <w:rFonts w:ascii="Times New Roman" w:hAnsi="Times New Roman" w:eastAsia="宋体" w:cs="Times New Roman"/>
                <w:color w:val="000000"/>
                <w:kern w:val="0"/>
                <w:szCs w:val="21"/>
              </w:rPr>
              <w:t>银行保函</w:t>
            </w:r>
          </w:p>
          <w:p>
            <w:pPr>
              <w:spacing w:line="360" w:lineRule="auto"/>
              <w:rPr>
                <w:rFonts w:ascii="宋体" w:hAnsi="宋体" w:eastAsia="宋体" w:cs="Times New Roman"/>
                <w:color w:val="000000"/>
                <w:szCs w:val="21"/>
              </w:rPr>
            </w:pPr>
            <w:r>
              <w:rPr>
                <w:rFonts w:ascii="Times New Roman" w:hAnsi="Times New Roman" w:eastAsia="宋体" w:cs="Times New Roman"/>
                <w:color w:val="000000"/>
                <w:kern w:val="0"/>
                <w:szCs w:val="21"/>
              </w:rPr>
              <w:t>在成交通知书发出后30天内，并在签订合同前提交。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kern w:val="0"/>
                <w:szCs w:val="21"/>
              </w:rPr>
              <w:t>签订</w:t>
            </w:r>
            <w:r>
              <w:rPr>
                <w:rFonts w:ascii="宋体" w:hAnsi="宋体" w:eastAsia="宋体" w:cs="仿宋_GB2312"/>
                <w:color w:val="000000"/>
                <w:kern w:val="0"/>
                <w:szCs w:val="21"/>
              </w:rPr>
              <w:t>合同</w:t>
            </w:r>
          </w:p>
        </w:tc>
        <w:tc>
          <w:tcPr>
            <w:tcW w:w="3465" w:type="pct"/>
            <w:vAlign w:val="center"/>
          </w:tcPr>
          <w:p>
            <w:pPr>
              <w:spacing w:line="360" w:lineRule="auto"/>
              <w:rPr>
                <w:rFonts w:ascii="宋体" w:hAnsi="宋体" w:eastAsia="宋体" w:cs="Times New Roman"/>
                <w:color w:val="000000"/>
                <w:szCs w:val="21"/>
              </w:rPr>
            </w:pPr>
            <w:r>
              <w:rPr>
                <w:rFonts w:hint="eastAsia" w:ascii="宋体" w:hAnsi="宋体" w:eastAsia="宋体" w:cs="Times New Roman"/>
                <w:color w:val="000000"/>
                <w:szCs w:val="21"/>
              </w:rPr>
              <w:t>成交</w:t>
            </w:r>
            <w:r>
              <w:rPr>
                <w:rFonts w:ascii="宋体" w:hAnsi="宋体" w:eastAsia="宋体" w:cs="Times New Roman"/>
                <w:color w:val="000000"/>
                <w:szCs w:val="21"/>
              </w:rPr>
              <w:t>通知书</w:t>
            </w:r>
            <w:r>
              <w:rPr>
                <w:rFonts w:hint="eastAsia" w:ascii="宋体" w:hAnsi="宋体" w:eastAsia="宋体" w:cs="Times New Roman"/>
                <w:color w:val="000000"/>
                <w:szCs w:val="21"/>
              </w:rPr>
              <w:t>发出</w:t>
            </w:r>
            <w:r>
              <w:rPr>
                <w:rFonts w:ascii="宋体" w:hAnsi="宋体" w:eastAsia="宋体" w:cs="Times New Roman"/>
                <w:color w:val="000000"/>
                <w:szCs w:val="21"/>
              </w:rPr>
              <w:t>后</w:t>
            </w:r>
            <w:r>
              <w:rPr>
                <w:rFonts w:hint="eastAsia" w:ascii="宋体" w:hAnsi="宋体" w:eastAsia="宋体" w:cs="Times New Roman"/>
                <w:color w:val="000000"/>
                <w:szCs w:val="21"/>
              </w:rPr>
              <w:t>30天</w:t>
            </w:r>
            <w:r>
              <w:rPr>
                <w:rFonts w:ascii="宋体" w:hAnsi="宋体" w:eastAsia="宋体" w:cs="Times New Roman"/>
                <w:color w:val="000000"/>
                <w:szCs w:val="21"/>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kern w:val="0"/>
                <w:szCs w:val="21"/>
              </w:rPr>
              <w:t>评审方法</w:t>
            </w:r>
          </w:p>
        </w:tc>
        <w:tc>
          <w:tcPr>
            <w:tcW w:w="3465" w:type="pct"/>
            <w:vAlign w:val="center"/>
          </w:tcPr>
          <w:p>
            <w:pPr>
              <w:spacing w:line="360" w:lineRule="auto"/>
              <w:rPr>
                <w:rFonts w:ascii="宋体" w:hAnsi="宋体" w:eastAsia="宋体" w:cs="Times New Roman"/>
                <w:color w:val="000000"/>
                <w:szCs w:val="21"/>
              </w:rPr>
            </w:pPr>
            <w:sdt>
              <w:sdtPr>
                <w:rPr>
                  <w:rFonts w:hint="eastAsia" w:ascii="宋体" w:hAnsi="宋体" w:eastAsia="宋体"/>
                  <w:kern w:val="0"/>
                </w:rPr>
                <w:id w:val="1548336786"/>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color w:val="000000"/>
                <w:szCs w:val="21"/>
              </w:rPr>
              <w:t>综合</w:t>
            </w:r>
            <w:r>
              <w:rPr>
                <w:rFonts w:ascii="宋体" w:hAnsi="宋体" w:eastAsia="宋体" w:cs="Times New Roman"/>
                <w:color w:val="000000"/>
                <w:szCs w:val="21"/>
              </w:rPr>
              <w:t>评估法</w:t>
            </w:r>
          </w:p>
          <w:p>
            <w:pPr>
              <w:spacing w:line="360" w:lineRule="auto"/>
              <w:rPr>
                <w:rFonts w:ascii="宋体" w:hAnsi="宋体" w:eastAsia="宋体" w:cs="Times New Roman"/>
                <w:color w:val="000000"/>
                <w:szCs w:val="21"/>
              </w:rPr>
            </w:pPr>
            <w:sdt>
              <w:sdtPr>
                <w:rPr>
                  <w:rFonts w:hint="eastAsia" w:ascii="宋体" w:hAnsi="宋体" w:eastAsia="宋体"/>
                  <w:kern w:val="0"/>
                </w:rPr>
                <w:id w:val="1946647502"/>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color w:val="000000"/>
                <w:szCs w:val="21"/>
              </w:rPr>
              <w:t>经评审</w:t>
            </w:r>
            <w:r>
              <w:rPr>
                <w:rFonts w:ascii="宋体" w:hAnsi="宋体" w:eastAsia="宋体" w:cs="Times New Roman"/>
                <w:color w:val="000000"/>
                <w:szCs w:val="21"/>
              </w:rPr>
              <w:t>的最低</w:t>
            </w:r>
            <w:r>
              <w:rPr>
                <w:rFonts w:hint="eastAsia" w:ascii="宋体" w:hAnsi="宋体" w:eastAsia="宋体" w:cs="Times New Roman"/>
                <w:color w:val="000000"/>
                <w:szCs w:val="21"/>
              </w:rPr>
              <w:t>投标</w:t>
            </w:r>
            <w:r>
              <w:rPr>
                <w:rFonts w:ascii="宋体" w:hAnsi="宋体" w:eastAsia="宋体" w:cs="Times New Roman"/>
                <w:color w:val="000000"/>
                <w:szCs w:val="21"/>
              </w:rPr>
              <w:t>价法</w:t>
            </w:r>
          </w:p>
          <w:p>
            <w:pPr>
              <w:spacing w:line="360" w:lineRule="auto"/>
              <w:rPr>
                <w:rFonts w:ascii="宋体" w:hAnsi="宋体" w:eastAsia="宋体" w:cs="Times New Roman"/>
                <w:color w:val="000000"/>
                <w:szCs w:val="21"/>
              </w:rPr>
            </w:pPr>
            <w:sdt>
              <w:sdtPr>
                <w:rPr>
                  <w:rFonts w:hint="eastAsia" w:ascii="宋体" w:hAnsi="宋体" w:eastAsia="宋体"/>
                  <w:kern w:val="0"/>
                </w:rPr>
                <w:id w:val="585275736"/>
                <w14:checkbox>
                  <w14:checked w14:val="0"/>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t>□</w:t>
                </w:r>
              </w:sdtContent>
            </w:sdt>
            <w:r>
              <w:rPr>
                <w:rFonts w:hint="eastAsia" w:ascii="宋体" w:hAnsi="宋体" w:eastAsia="宋体" w:cs="Times New Roman"/>
                <w:color w:val="000000"/>
                <w:szCs w:val="21"/>
              </w:rPr>
              <w:t>随机抽签法</w:t>
            </w:r>
          </w:p>
          <w:p>
            <w:pPr>
              <w:spacing w:line="360" w:lineRule="auto"/>
              <w:rPr>
                <w:rFonts w:ascii="宋体" w:hAnsi="宋体" w:eastAsia="宋体" w:cs="Times New Roman"/>
                <w:color w:val="000000"/>
                <w:szCs w:val="21"/>
              </w:rPr>
            </w:pPr>
            <w:sdt>
              <w:sdtPr>
                <w:rPr>
                  <w:rFonts w:hint="eastAsia" w:ascii="宋体" w:hAnsi="宋体" w:eastAsia="宋体"/>
                  <w:kern w:val="0"/>
                </w:rPr>
                <w:id w:val="1985963846"/>
                <w14:checkbox>
                  <w14:checked w14:val="1"/>
                  <w14:checkedState w14:val="0052" w14:font="Wingdings 2"/>
                  <w14:uncheckedState w14:val="25A1" w14:font="宋体"/>
                </w14:checkbox>
              </w:sdtPr>
              <w:sdtEndPr>
                <w:rPr>
                  <w:rFonts w:hint="eastAsia" w:ascii="宋体" w:hAnsi="宋体" w:eastAsia="宋体"/>
                  <w:kern w:val="0"/>
                </w:rPr>
              </w:sdtEndPr>
              <w:sdtContent>
                <w:r>
                  <w:rPr>
                    <w:rFonts w:hint="eastAsia" w:ascii="宋体" w:hAnsi="宋体" w:eastAsia="宋体"/>
                    <w:kern w:val="0"/>
                  </w:rPr>
                  <w:sym w:font="Wingdings 2" w:char="F052"/>
                </w:r>
              </w:sdtContent>
            </w:sdt>
            <w:r>
              <w:rPr>
                <w:rFonts w:hint="eastAsia" w:ascii="宋体" w:hAnsi="宋体" w:eastAsia="宋体" w:cs="Times New Roman"/>
                <w:color w:val="000000"/>
                <w:szCs w:val="21"/>
              </w:rPr>
              <w:t>其他</w:t>
            </w:r>
            <w:r>
              <w:rPr>
                <w:rFonts w:ascii="宋体" w:hAnsi="宋体" w:eastAsia="宋体" w:cs="Times New Roman"/>
                <w:color w:val="000000"/>
                <w:szCs w:val="21"/>
              </w:rPr>
              <w:t>评标</w:t>
            </w:r>
            <w:r>
              <w:rPr>
                <w:rFonts w:hint="eastAsia" w:ascii="宋体" w:hAnsi="宋体" w:eastAsia="宋体" w:cs="Times New Roman"/>
                <w:color w:val="000000"/>
                <w:szCs w:val="21"/>
              </w:rPr>
              <w:t>办法</w:t>
            </w:r>
            <w:r>
              <w:rPr>
                <w:rFonts w:ascii="宋体" w:hAnsi="宋体" w:eastAsia="宋体" w:cs="Times New Roman"/>
                <w:color w:val="000000"/>
                <w:szCs w:val="21"/>
              </w:rPr>
              <w:t>：</w:t>
            </w:r>
            <w:sdt>
              <w:sdtPr>
                <w:rPr>
                  <w:rStyle w:val="20"/>
                  <w:rFonts w:ascii="Times New Roman" w:hAnsi="Times New Roman" w:cs="Times New Roman"/>
                </w:rPr>
                <w:id w:val="-562166415"/>
                <w:lock w:val="sdtLocked"/>
                <w:placeholder>
                  <w:docPart w:val="C71B6AC5D67B4FCA96BCA20F8DCB0236"/>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0"/>
                    <w:rFonts w:hint="eastAsia" w:ascii="Times New Roman" w:hAnsi="Times New Roman" w:cs="Times New Roman"/>
                  </w:rPr>
                  <w:t>定性评审法</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restar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Merge w:val="restart"/>
            <w:vAlign w:val="center"/>
          </w:tcPr>
          <w:p>
            <w:pPr>
              <w:spacing w:line="360" w:lineRule="auto"/>
              <w:jc w:val="center"/>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定标办法</w:t>
            </w:r>
          </w:p>
          <w:p>
            <w:pPr>
              <w:spacing w:line="360" w:lineRule="auto"/>
              <w:jc w:val="center"/>
              <w:rPr>
                <w:rFonts w:ascii="宋体" w:hAnsi="宋体" w:eastAsia="宋体" w:cs="Times New Roman"/>
                <w:kern w:val="0"/>
                <w:szCs w:val="21"/>
              </w:rPr>
            </w:pPr>
            <w:r>
              <w:rPr>
                <w:rFonts w:ascii="Times New Roman" w:hAnsi="Times New Roman" w:eastAsia="宋体" w:cs="Times New Roman"/>
                <w:color w:val="000000" w:themeColor="text1"/>
                <w:kern w:val="0"/>
                <w:szCs w:val="21"/>
                <w14:textFill>
                  <w14:solidFill>
                    <w14:schemeClr w14:val="tx1"/>
                  </w14:solidFill>
                </w14:textFill>
              </w:rPr>
              <w:t>（仅适用于使用定性评审法评定分离的项目，其他项目不适用）</w:t>
            </w:r>
          </w:p>
        </w:tc>
        <w:tc>
          <w:tcPr>
            <w:tcW w:w="3465" w:type="pct"/>
            <w:vAlign w:val="center"/>
          </w:tcPr>
          <w:p>
            <w:pPr>
              <w:adjustRightInd w:val="0"/>
              <w:snapToGrid w:val="0"/>
              <w:spacing w:line="360" w:lineRule="auto"/>
              <w:rPr>
                <w:rFonts w:ascii="Times New Roman" w:hAnsi="Times New Roman" w:eastAsia="宋体" w:cs="Times New Roman"/>
                <w:kern w:val="0"/>
                <w:szCs w:val="21"/>
              </w:rPr>
            </w:pPr>
            <w:sdt>
              <w:sdtPr>
                <w:rPr>
                  <w:rFonts w:ascii="Times New Roman" w:hAnsi="Times New Roman" w:eastAsia="宋体" w:cs="Times New Roman"/>
                </w:rPr>
                <w:id w:val="176394390"/>
                <w14:checkbox>
                  <w14:checked w14:val="1"/>
                  <w14:checkedState w14:val="0052" w14:font="Wingdings 2"/>
                  <w14:uncheckedState w14:val="25A1" w14:font="宋体"/>
                </w14:checkbox>
              </w:sdtPr>
              <w:sdtEndPr>
                <w:rPr>
                  <w:rFonts w:ascii="Times New Roman" w:hAnsi="Times New Roman" w:eastAsia="宋体" w:cs="Times New Roman"/>
                </w:rPr>
              </w:sdtEndPr>
              <w:sdtContent>
                <w:r>
                  <w:rPr>
                    <w:rFonts w:ascii="Times New Roman" w:hAnsi="Times New Roman" w:eastAsia="宋体" w:cs="Times New Roman"/>
                  </w:rPr>
                  <w:sym w:font="Wingdings 2" w:char="F052"/>
                </w:r>
              </w:sdtContent>
            </w:sdt>
            <w:r>
              <w:rPr>
                <w:rFonts w:ascii="Times New Roman" w:hAnsi="Times New Roman" w:eastAsia="宋体" w:cs="Times New Roman"/>
                <w:kern w:val="0"/>
                <w:szCs w:val="21"/>
              </w:rPr>
              <w:t>票决定标法</w:t>
            </w:r>
          </w:p>
          <w:p>
            <w:pPr>
              <w:adjustRightInd w:val="0"/>
              <w:snapToGrid w:val="0"/>
              <w:spacing w:line="360" w:lineRule="auto"/>
              <w:rPr>
                <w:rFonts w:ascii="Times New Roman" w:hAnsi="Times New Roman" w:eastAsia="宋体" w:cs="Times New Roman"/>
                <w:kern w:val="0"/>
                <w:szCs w:val="21"/>
              </w:rPr>
            </w:pPr>
            <w:sdt>
              <w:sdtPr>
                <w:rPr>
                  <w:rFonts w:ascii="Times New Roman" w:hAnsi="Times New Roman" w:eastAsia="宋体" w:cs="Times New Roman"/>
                </w:rPr>
                <w:id w:val="1591659585"/>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t>□</w:t>
                </w:r>
              </w:sdtContent>
            </w:sdt>
            <w:r>
              <w:rPr>
                <w:rFonts w:ascii="Times New Roman" w:hAnsi="Times New Roman" w:eastAsia="宋体" w:cs="Times New Roman"/>
                <w:kern w:val="0"/>
                <w:szCs w:val="21"/>
              </w:rPr>
              <w:t>票决抽签法（进入抽签环节的</w:t>
            </w: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数量：</w:t>
            </w:r>
            <w:sdt>
              <w:sdtPr>
                <w:rPr>
                  <w:rStyle w:val="20"/>
                  <w:rFonts w:ascii="Times New Roman" w:hAnsi="Times New Roman" w:cs="Times New Roman"/>
                </w:rPr>
                <w:id w:val="607241292"/>
                <w:placeholder>
                  <w:docPart w:val="0C96F845F265425C8D8517CECB9E195A"/>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r>
                  <w:rPr>
                    <w:rStyle w:val="25"/>
                  </w:rPr>
                  <w:t>单击或点击此处输入文字。</w:t>
                </w:r>
              </w:sdtContent>
            </w:sdt>
            <w:r>
              <w:rPr>
                <w:rFonts w:ascii="Times New Roman" w:hAnsi="Times New Roman" w:eastAsia="宋体" w:cs="Times New Roman"/>
                <w:kern w:val="0"/>
                <w:szCs w:val="21"/>
              </w:rPr>
              <w:t>）</w:t>
            </w:r>
          </w:p>
          <w:p>
            <w:pPr>
              <w:adjustRightInd w:val="0"/>
              <w:snapToGrid w:val="0"/>
              <w:spacing w:line="360" w:lineRule="auto"/>
              <w:rPr>
                <w:rFonts w:ascii="Times New Roman" w:hAnsi="Times New Roman" w:eastAsia="宋体" w:cs="Times New Roman"/>
                <w:kern w:val="0"/>
                <w:szCs w:val="21"/>
              </w:rPr>
            </w:pPr>
            <w:sdt>
              <w:sdtPr>
                <w:rPr>
                  <w:rFonts w:ascii="Times New Roman" w:hAnsi="Times New Roman" w:eastAsia="宋体" w:cs="Times New Roman"/>
                </w:rPr>
                <w:id w:val="-1534178087"/>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t>□</w:t>
                </w:r>
              </w:sdtContent>
            </w:sdt>
            <w:r>
              <w:rPr>
                <w:rFonts w:ascii="Times New Roman" w:hAnsi="Times New Roman" w:eastAsia="宋体" w:cs="Times New Roman"/>
                <w:kern w:val="0"/>
                <w:szCs w:val="21"/>
              </w:rPr>
              <w:t>集体议事法</w:t>
            </w:r>
          </w:p>
          <w:p>
            <w:pPr>
              <w:adjustRightInd w:val="0"/>
              <w:snapToGrid w:val="0"/>
              <w:spacing w:line="360" w:lineRule="auto"/>
              <w:rPr>
                <w:rFonts w:ascii="Times New Roman" w:hAnsi="Times New Roman" w:eastAsia="宋体" w:cs="Times New Roman"/>
                <w:kern w:val="0"/>
                <w:szCs w:val="21"/>
              </w:rPr>
            </w:pPr>
            <w:sdt>
              <w:sdtPr>
                <w:rPr>
                  <w:rFonts w:ascii="Times New Roman" w:hAnsi="Times New Roman" w:eastAsia="宋体" w:cs="Times New Roman"/>
                </w:rPr>
                <w:id w:val="-2104178606"/>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宋体" w:hAnsi="宋体" w:eastAsia="宋体" w:cs="Times New Roman"/>
                  </w:rPr>
                  <w:t>□</w:t>
                </w:r>
              </w:sdtContent>
            </w:sdt>
            <w:r>
              <w:rPr>
                <w:rFonts w:ascii="Times New Roman" w:hAnsi="Times New Roman" w:eastAsia="宋体" w:cs="Times New Roman"/>
                <w:kern w:val="0"/>
                <w:szCs w:val="21"/>
              </w:rPr>
              <w:t>价格竞争定标法，具体规则：</w:t>
            </w:r>
          </w:p>
          <w:p>
            <w:pPr>
              <w:spacing w:line="360" w:lineRule="auto"/>
              <w:rPr>
                <w:rFonts w:ascii="宋体" w:hAnsi="宋体" w:eastAsia="宋体" w:cs="Times New Roman"/>
                <w:kern w:val="0"/>
                <w:szCs w:val="21"/>
              </w:rPr>
            </w:pPr>
            <w:r>
              <w:rPr>
                <w:rFonts w:ascii="Times New Roman" w:hAnsi="Times New Roman" w:eastAsia="宋体" w:cs="Times New Roman"/>
                <w:kern w:val="0"/>
                <w:szCs w:val="21"/>
              </w:rPr>
              <w:t>注：采用票决抽签定标的，定标委员会可票决确定3家或以上</w:t>
            </w:r>
            <w:r>
              <w:rPr>
                <w:rFonts w:hint="eastAsia" w:ascii="Times New Roman" w:hAnsi="Times New Roman" w:eastAsia="宋体" w:cs="Times New Roman"/>
                <w:kern w:val="0"/>
                <w:szCs w:val="21"/>
              </w:rPr>
              <w:t>成交</w:t>
            </w:r>
            <w:r>
              <w:rPr>
                <w:rFonts w:ascii="Times New Roman" w:hAnsi="Times New Roman" w:eastAsia="宋体" w:cs="Times New Roman"/>
                <w:kern w:val="0"/>
                <w:szCs w:val="21"/>
              </w:rPr>
              <w:t>候选人进入抽签环节（如需确定多名</w:t>
            </w:r>
            <w:r>
              <w:rPr>
                <w:rFonts w:hint="eastAsia" w:ascii="Times New Roman" w:hAnsi="Times New Roman" w:eastAsia="宋体" w:cs="Times New Roman"/>
                <w:kern w:val="0"/>
                <w:szCs w:val="21"/>
              </w:rPr>
              <w:t>成交</w:t>
            </w:r>
            <w:r>
              <w:rPr>
                <w:rFonts w:ascii="Times New Roman" w:hAnsi="Times New Roman" w:eastAsia="宋体" w:cs="Times New Roman"/>
                <w:kern w:val="0"/>
                <w:szCs w:val="21"/>
              </w:rPr>
              <w:t>候选人的，进入抽签环节的</w:t>
            </w:r>
            <w:r>
              <w:rPr>
                <w:rFonts w:hint="eastAsia" w:ascii="Times New Roman" w:hAnsi="Times New Roman" w:eastAsia="宋体" w:cs="Times New Roman"/>
                <w:kern w:val="0"/>
                <w:szCs w:val="21"/>
              </w:rPr>
              <w:t>供应商</w:t>
            </w:r>
            <w:r>
              <w:rPr>
                <w:rFonts w:ascii="Times New Roman" w:hAnsi="Times New Roman" w:eastAsia="宋体" w:cs="Times New Roman"/>
                <w:kern w:val="0"/>
                <w:szCs w:val="21"/>
              </w:rPr>
              <w:t>数量应当≥</w:t>
            </w:r>
            <w:r>
              <w:rPr>
                <w:rFonts w:hint="eastAsia" w:ascii="Times New Roman" w:hAnsi="Times New Roman" w:eastAsia="宋体" w:cs="Times New Roman"/>
                <w:kern w:val="0"/>
                <w:szCs w:val="21"/>
              </w:rPr>
              <w:t>成交</w:t>
            </w:r>
            <w:r>
              <w:rPr>
                <w:rFonts w:ascii="Times New Roman" w:hAnsi="Times New Roman" w:eastAsia="宋体" w:cs="Times New Roman"/>
                <w:kern w:val="0"/>
                <w:szCs w:val="21"/>
              </w:rPr>
              <w:t>候选人数量+2）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Merge w:val="continue"/>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Merge w:val="continue"/>
            <w:vAlign w:val="center"/>
          </w:tcPr>
          <w:p>
            <w:pPr>
              <w:spacing w:line="360" w:lineRule="auto"/>
              <w:jc w:val="center"/>
              <w:rPr>
                <w:rFonts w:ascii="宋体" w:hAnsi="宋体" w:eastAsia="宋体" w:cs="Times New Roman"/>
                <w:kern w:val="0"/>
                <w:szCs w:val="21"/>
              </w:rPr>
            </w:pPr>
          </w:p>
        </w:tc>
        <w:tc>
          <w:tcPr>
            <w:tcW w:w="3465" w:type="pct"/>
            <w:vAlign w:val="center"/>
          </w:tcPr>
          <w:p>
            <w:pPr>
              <w:adjustRightInd w:val="0"/>
              <w:snapToGrid w:val="0"/>
              <w:spacing w:line="360" w:lineRule="auto"/>
              <w:rPr>
                <w:rFonts w:ascii="宋体" w:hAnsi="宋体" w:eastAsia="宋体" w:cs="Times New Roman"/>
              </w:rPr>
            </w:pPr>
            <w:r>
              <w:rPr>
                <w:rFonts w:ascii="宋体" w:hAnsi="宋体" w:eastAsia="宋体" w:cs="Times New Roman"/>
              </w:rPr>
              <w:t>定标票决方式：</w:t>
            </w:r>
          </w:p>
          <w:p>
            <w:pPr>
              <w:adjustRightInd w:val="0"/>
              <w:snapToGrid w:val="0"/>
              <w:spacing w:line="360" w:lineRule="auto"/>
              <w:ind w:firstLine="210" w:firstLineChars="100"/>
              <w:rPr>
                <w:rFonts w:ascii="宋体" w:hAnsi="宋体" w:eastAsia="宋体" w:cs="Times New Roman"/>
              </w:rPr>
            </w:pPr>
            <w:sdt>
              <w:sdtPr>
                <w:rPr>
                  <w:rFonts w:ascii="宋体" w:hAnsi="宋体" w:eastAsia="宋体" w:cs="Times New Roman"/>
                </w:rPr>
                <w:id w:val="1150939264"/>
                <w14:checkbox>
                  <w14:checked w14:val="1"/>
                  <w14:checkedState w14:val="0052" w14:font="Wingdings 2"/>
                  <w14:uncheckedState w14:val="25A1" w14:font="宋体"/>
                </w14:checkbox>
              </w:sdtPr>
              <w:sdtEndPr>
                <w:rPr>
                  <w:rFonts w:ascii="宋体" w:hAnsi="宋体" w:eastAsia="宋体" w:cs="Times New Roman"/>
                </w:rPr>
              </w:sdtEndPr>
              <w:sdtContent>
                <w:r>
                  <w:rPr>
                    <w:rFonts w:ascii="宋体" w:hAnsi="宋体" w:eastAsia="宋体" w:cs="Times New Roman"/>
                  </w:rPr>
                  <w:sym w:font="Wingdings 2" w:char="F052"/>
                </w:r>
              </w:sdtContent>
            </w:sdt>
            <w:r>
              <w:rPr>
                <w:rFonts w:ascii="宋体" w:hAnsi="宋体" w:eastAsia="宋体" w:cs="Times New Roman"/>
              </w:rPr>
              <w:t>直接票决</w:t>
            </w:r>
          </w:p>
          <w:p>
            <w:pPr>
              <w:adjustRightInd w:val="0"/>
              <w:snapToGrid w:val="0"/>
              <w:spacing w:line="360" w:lineRule="auto"/>
              <w:ind w:firstLine="210" w:firstLineChars="100"/>
              <w:rPr>
                <w:rFonts w:ascii="宋体" w:hAnsi="宋体" w:eastAsia="宋体" w:cs="Times New Roman"/>
              </w:rPr>
            </w:pPr>
            <w:sdt>
              <w:sdtPr>
                <w:rPr>
                  <w:rFonts w:ascii="宋体" w:hAnsi="宋体" w:eastAsia="宋体" w:cs="Times New Roman"/>
                </w:rPr>
                <w:id w:val="-760676105"/>
                <w14:checkbox>
                  <w14:checked w14:val="0"/>
                  <w14:checkedState w14:val="0052" w14:font="Wingdings 2"/>
                  <w14:uncheckedState w14:val="25A1" w14:font="宋体"/>
                </w14:checkbox>
              </w:sdtPr>
              <w:sdtEndPr>
                <w:rPr>
                  <w:rFonts w:ascii="宋体" w:hAnsi="宋体" w:eastAsia="宋体" w:cs="Times New Roman"/>
                </w:rPr>
              </w:sdtEndPr>
              <w:sdtContent>
                <w:r>
                  <w:rPr>
                    <w:rFonts w:hint="eastAsia" w:ascii="宋体" w:hAnsi="宋体" w:eastAsia="宋体" w:cs="Times New Roman"/>
                  </w:rPr>
                  <w:t>□</w:t>
                </w:r>
              </w:sdtContent>
            </w:sdt>
            <w:r>
              <w:rPr>
                <w:rFonts w:ascii="宋体" w:hAnsi="宋体" w:eastAsia="宋体" w:cs="Times New Roman"/>
              </w:rPr>
              <w:t>逐轮票决</w:t>
            </w:r>
          </w:p>
          <w:p>
            <w:pPr>
              <w:adjustRightInd w:val="0"/>
              <w:snapToGrid w:val="0"/>
              <w:spacing w:line="360" w:lineRule="auto"/>
              <w:rPr>
                <w:rFonts w:ascii="宋体" w:hAnsi="宋体" w:eastAsia="宋体" w:cs="Times New Roman"/>
              </w:rPr>
            </w:pPr>
            <w:r>
              <w:rPr>
                <w:rFonts w:ascii="宋体" w:hAnsi="宋体" w:eastAsia="宋体" w:cs="Times New Roman"/>
              </w:rPr>
              <w:t>定标票决计算规则：</w:t>
            </w:r>
          </w:p>
          <w:p>
            <w:pPr>
              <w:adjustRightInd w:val="0"/>
              <w:snapToGrid w:val="0"/>
              <w:spacing w:line="360" w:lineRule="auto"/>
              <w:ind w:firstLine="210" w:firstLineChars="100"/>
              <w:rPr>
                <w:rFonts w:ascii="宋体" w:hAnsi="宋体" w:eastAsia="宋体" w:cs="Times New Roman"/>
              </w:rPr>
            </w:pPr>
            <w:sdt>
              <w:sdtPr>
                <w:rPr>
                  <w:rFonts w:ascii="宋体" w:hAnsi="宋体" w:eastAsia="宋体" w:cs="Times New Roman"/>
                </w:rPr>
                <w:id w:val="1320149147"/>
                <w14:checkbox>
                  <w14:checked w14:val="0"/>
                  <w14:checkedState w14:val="0052" w14:font="Wingdings 2"/>
                  <w14:uncheckedState w14:val="25A1" w14:font="宋体"/>
                </w14:checkbox>
              </w:sdtPr>
              <w:sdtEndPr>
                <w:rPr>
                  <w:rFonts w:ascii="宋体" w:hAnsi="宋体" w:eastAsia="宋体" w:cs="Times New Roman"/>
                </w:rPr>
              </w:sdtEndPr>
              <w:sdtContent>
                <w:r>
                  <w:rPr>
                    <w:rFonts w:hint="eastAsia" w:ascii="宋体" w:hAnsi="宋体" w:eastAsia="宋体" w:cs="Times New Roman"/>
                  </w:rPr>
                  <w:t>□</w:t>
                </w:r>
              </w:sdtContent>
            </w:sdt>
            <w:r>
              <w:rPr>
                <w:rFonts w:ascii="宋体" w:hAnsi="宋体" w:eastAsia="宋体" w:cs="Times New Roman"/>
              </w:rPr>
              <w:t>简单多数</w:t>
            </w:r>
            <w:r>
              <w:rPr>
                <w:rFonts w:hint="eastAsia" w:ascii="宋体" w:hAnsi="宋体" w:eastAsia="宋体" w:cs="Times New Roman"/>
              </w:rPr>
              <w:t>法</w:t>
            </w:r>
          </w:p>
          <w:p>
            <w:pPr>
              <w:adjustRightInd w:val="0"/>
              <w:snapToGrid w:val="0"/>
              <w:spacing w:line="360" w:lineRule="auto"/>
              <w:ind w:firstLine="210" w:firstLineChars="100"/>
              <w:rPr>
                <w:rFonts w:ascii="宋体" w:hAnsi="宋体" w:eastAsia="宋体" w:cs="Times New Roman"/>
                <w:kern w:val="0"/>
                <w:szCs w:val="21"/>
              </w:rPr>
            </w:pPr>
            <w:sdt>
              <w:sdtPr>
                <w:rPr>
                  <w:rFonts w:ascii="宋体" w:hAnsi="宋体" w:eastAsia="宋体" w:cs="Times New Roman"/>
                </w:rPr>
                <w:id w:val="-218521482"/>
                <w14:checkbox>
                  <w14:checked w14:val="1"/>
                  <w14:checkedState w14:val="0052" w14:font="Wingdings 2"/>
                  <w14:uncheckedState w14:val="25A1" w14:font="宋体"/>
                </w14:checkbox>
              </w:sdtPr>
              <w:sdtEndPr>
                <w:rPr>
                  <w:rFonts w:ascii="宋体" w:hAnsi="宋体" w:eastAsia="宋体" w:cs="Times New Roman"/>
                </w:rPr>
              </w:sdtEndPr>
              <w:sdtContent>
                <w:r>
                  <w:rPr>
                    <w:rFonts w:ascii="宋体" w:hAnsi="宋体" w:eastAsia="宋体" w:cs="Times New Roman"/>
                  </w:rPr>
                  <w:sym w:font="Wingdings 2" w:char="F052"/>
                </w:r>
              </w:sdtContent>
            </w:sdt>
            <w:r>
              <w:rPr>
                <w:rFonts w:hint="eastAsia" w:ascii="宋体" w:hAnsi="宋体" w:eastAsia="宋体" w:cs="Times New Roman"/>
              </w:rPr>
              <w:t>简单多数法（且过半数）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Times New Roman"/>
                <w:kern w:val="0"/>
                <w:szCs w:val="21"/>
              </w:rPr>
              <w:t>评审小组组成</w:t>
            </w:r>
          </w:p>
        </w:tc>
        <w:tc>
          <w:tcPr>
            <w:tcW w:w="3465" w:type="pct"/>
            <w:vAlign w:val="center"/>
          </w:tcPr>
          <w:p>
            <w:pPr>
              <w:spacing w:line="360" w:lineRule="auto"/>
              <w:rPr>
                <w:rFonts w:ascii="宋体" w:hAnsi="宋体" w:eastAsia="宋体" w:cs="Times New Roman"/>
                <w:color w:val="000000"/>
                <w:szCs w:val="21"/>
              </w:rPr>
            </w:pPr>
            <w:r>
              <w:rPr>
                <w:rFonts w:hint="eastAsia" w:ascii="宋体" w:hAnsi="宋体" w:eastAsia="宋体" w:cs="Times New Roman"/>
                <w:kern w:val="0"/>
                <w:szCs w:val="21"/>
              </w:rPr>
              <w:t>由采购</w:t>
            </w:r>
            <w:r>
              <w:rPr>
                <w:rFonts w:ascii="宋体" w:hAnsi="宋体" w:eastAsia="宋体" w:cs="Times New Roman"/>
                <w:kern w:val="0"/>
                <w:szCs w:val="21"/>
              </w:rPr>
              <w:t>单位</w:t>
            </w:r>
            <w:r>
              <w:rPr>
                <w:rFonts w:hint="eastAsia" w:ascii="宋体" w:hAnsi="宋体" w:eastAsia="宋体" w:cs="Times New Roman"/>
                <w:kern w:val="0"/>
                <w:szCs w:val="21"/>
              </w:rPr>
              <w:t>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themeColor="text1"/>
                <w:kern w:val="0"/>
                <w:szCs w:val="21"/>
                <w14:textFill>
                  <w14:solidFill>
                    <w14:schemeClr w14:val="tx1"/>
                  </w14:solidFill>
                </w14:textFill>
              </w:rPr>
              <w:t>采购监督部门</w:t>
            </w:r>
          </w:p>
        </w:tc>
        <w:tc>
          <w:tcPr>
            <w:tcW w:w="3465" w:type="pct"/>
            <w:vAlign w:val="center"/>
          </w:tcPr>
          <w:p>
            <w:pPr>
              <w:spacing w:line="360"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采购</w:t>
            </w:r>
            <w:r>
              <w:rPr>
                <w:rFonts w:ascii="Times New Roman" w:hAnsi="Times New Roman" w:eastAsia="宋体" w:cs="Times New Roman"/>
                <w:color w:val="000000" w:themeColor="text1"/>
                <w:szCs w:val="21"/>
                <w14:textFill>
                  <w14:solidFill>
                    <w14:schemeClr w14:val="tx1"/>
                  </w14:solidFill>
                </w14:textFill>
              </w:rPr>
              <w:t>监督部门：党群工作部</w:t>
            </w:r>
          </w:p>
          <w:p>
            <w:pPr>
              <w:spacing w:line="360"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投诉电话：0755-26829005</w:t>
            </w:r>
          </w:p>
          <w:p>
            <w:pPr>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themeColor="text1"/>
                <w:szCs w:val="20"/>
                <w14:textFill>
                  <w14:solidFill>
                    <w14:schemeClr w14:val="tx1"/>
                  </w14:solidFill>
                </w14:textFill>
              </w:rPr>
              <w:t>供应商或者其他利害关系人对采购文件、开标和评审结果提出投诉的，应当按照供应商须知的规定先向采购单位提出异议。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7" w:type="pct"/>
            <w:vAlign w:val="center"/>
          </w:tcPr>
          <w:p>
            <w:pPr>
              <w:numPr>
                <w:ilvl w:val="0"/>
                <w:numId w:val="1"/>
              </w:numPr>
              <w:spacing w:line="360" w:lineRule="auto"/>
              <w:ind w:left="105" w:leftChars="50"/>
              <w:jc w:val="center"/>
              <w:rPr>
                <w:rFonts w:ascii="宋体" w:hAnsi="宋体" w:eastAsia="宋体" w:cs="Times New Roman"/>
                <w:color w:val="000000"/>
                <w:szCs w:val="21"/>
              </w:rPr>
            </w:pPr>
          </w:p>
        </w:tc>
        <w:tc>
          <w:tcPr>
            <w:tcW w:w="1278" w:type="pct"/>
            <w:vAlign w:val="center"/>
          </w:tcPr>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kern w:val="0"/>
                <w:szCs w:val="21"/>
              </w:rPr>
              <w:t>其他补充</w:t>
            </w:r>
            <w:r>
              <w:rPr>
                <w:rFonts w:ascii="宋体" w:hAnsi="宋体" w:eastAsia="宋体" w:cs="仿宋_GB2312"/>
                <w:color w:val="000000"/>
                <w:kern w:val="0"/>
                <w:szCs w:val="21"/>
              </w:rPr>
              <w:t>或修改的内容</w:t>
            </w:r>
          </w:p>
          <w:p>
            <w:pPr>
              <w:spacing w:line="360" w:lineRule="auto"/>
              <w:jc w:val="center"/>
              <w:rPr>
                <w:rFonts w:ascii="宋体" w:hAnsi="宋体" w:eastAsia="宋体" w:cs="仿宋_GB2312"/>
                <w:color w:val="000000"/>
                <w:kern w:val="0"/>
                <w:szCs w:val="21"/>
              </w:rPr>
            </w:pPr>
            <w:r>
              <w:rPr>
                <w:rFonts w:hint="eastAsia" w:ascii="宋体" w:hAnsi="宋体" w:eastAsia="宋体" w:cs="仿宋_GB2312"/>
                <w:color w:val="000000"/>
                <w:kern w:val="0"/>
                <w:szCs w:val="21"/>
              </w:rPr>
              <w:t>（前后</w:t>
            </w:r>
            <w:r>
              <w:rPr>
                <w:rFonts w:ascii="宋体" w:hAnsi="宋体" w:eastAsia="宋体" w:cs="仿宋_GB2312"/>
                <w:color w:val="000000"/>
                <w:kern w:val="0"/>
                <w:szCs w:val="21"/>
              </w:rPr>
              <w:t>不一致的以此为准</w:t>
            </w:r>
            <w:r>
              <w:rPr>
                <w:rFonts w:hint="eastAsia" w:ascii="宋体" w:hAnsi="宋体" w:eastAsia="宋体" w:cs="仿宋_GB2312"/>
                <w:color w:val="000000"/>
                <w:kern w:val="0"/>
                <w:szCs w:val="21"/>
              </w:rPr>
              <w:t>）</w:t>
            </w:r>
          </w:p>
        </w:tc>
        <w:tc>
          <w:tcPr>
            <w:tcW w:w="3465" w:type="pct"/>
            <w:vAlign w:val="center"/>
          </w:tcPr>
          <w:sdt>
            <w:sdtPr>
              <w:rPr>
                <w:rStyle w:val="20"/>
                <w:rFonts w:ascii="Times New Roman" w:hAnsi="Times New Roman" w:cs="Times New Roman"/>
              </w:rPr>
              <w:id w:val="2039002348"/>
              <w:lock w:val="sdtLocked"/>
              <w:placeholder>
                <w:docPart w:val="CB53DC06D43B4B46946BCA7D5566FCBE"/>
              </w:placeholder>
              <w:showingPlcHd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p>
                <w:pPr>
                  <w:spacing w:line="360" w:lineRule="auto"/>
                  <w:rPr>
                    <w:rFonts w:ascii="Times New Roman" w:hAnsi="Times New Roman" w:eastAsia="宋体" w:cs="Times New Roman"/>
                    <w:u w:val="single"/>
                  </w:rPr>
                </w:pPr>
                <w:r>
                  <w:rPr>
                    <w:rStyle w:val="25"/>
                    <w:rFonts w:ascii="Times New Roman" w:hAnsi="Times New Roman" w:cs="Times New Roman"/>
                  </w:rPr>
                  <w:t>单击或点击此处输入文字。</w:t>
                </w:r>
              </w:p>
            </w:sdtContent>
          </w:sdt>
        </w:tc>
      </w:tr>
    </w:tbl>
    <w:p>
      <w:pPr>
        <w:jc w:val="center"/>
        <w:outlineLvl w:val="1"/>
        <w:rPr>
          <w:rFonts w:ascii="Times New Roman" w:hAnsi="Times New Roman" w:eastAsia="黑体" w:cs="Times New Roman"/>
          <w:b/>
          <w:bCs/>
          <w:sz w:val="30"/>
          <w:szCs w:val="30"/>
        </w:rPr>
        <w:sectPr>
          <w:pgSz w:w="11906" w:h="16838"/>
          <w:pgMar w:top="1440" w:right="1558" w:bottom="1440" w:left="1800" w:header="851" w:footer="992" w:gutter="0"/>
          <w:cols w:space="720" w:num="1"/>
          <w:docGrid w:type="lines" w:linePitch="312" w:charSpace="0"/>
        </w:sectPr>
      </w:pPr>
      <w:bookmarkStart w:id="4" w:name="_Toc216716587"/>
    </w:p>
    <w:p>
      <w:pPr>
        <w:jc w:val="center"/>
        <w:outlineLvl w:val="1"/>
        <w:rPr>
          <w:rFonts w:ascii="Times New Roman" w:hAnsi="Times New Roman" w:eastAsia="黑体" w:cs="Times New Roman"/>
          <w:b/>
          <w:bCs/>
          <w:sz w:val="30"/>
          <w:szCs w:val="30"/>
        </w:rPr>
      </w:pPr>
      <w:bookmarkStart w:id="5" w:name="_Toc25566"/>
      <w:r>
        <w:rPr>
          <w:rFonts w:ascii="Times New Roman" w:hAnsi="Times New Roman" w:eastAsia="黑体" w:cs="Times New Roman"/>
          <w:b/>
          <w:bCs/>
          <w:sz w:val="30"/>
          <w:szCs w:val="30"/>
        </w:rPr>
        <w:t>第二节 否决性条款摘要</w:t>
      </w:r>
      <w:bookmarkEnd w:id="4"/>
      <w:bookmarkEnd w:id="5"/>
    </w:p>
    <w:p>
      <w:pPr>
        <w:ind w:firstLine="422" w:firstLineChars="200"/>
        <w:jc w:val="left"/>
        <w:rPr>
          <w:rFonts w:ascii="Times New Roman" w:hAnsi="Times New Roman" w:eastAsia="宋体" w:cs="Times New Roman"/>
          <w:b/>
          <w:kern w:val="0"/>
          <w:szCs w:val="21"/>
        </w:rPr>
      </w:pPr>
      <w:r>
        <w:rPr>
          <w:rFonts w:ascii="Times New Roman" w:hAnsi="Times New Roman" w:eastAsia="宋体" w:cs="Times New Roman"/>
          <w:b/>
          <w:kern w:val="0"/>
          <w:szCs w:val="21"/>
        </w:rPr>
        <w:t>一、报价文件开启阶段，供应商具有下列情形之一的，其报价文件成为无效标，不予受理（由采购单位负责判定）：</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未按供应商须知前附表规定时间和地点提交报价文件的；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报价超出报价上限的；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未按采购文件规定提交《响应函》的；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供应商名称（或组织结构）与资格预审时不一致，且不能提供有效证明的；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报价文件未按供应商须知前附表要求密封、标记的；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报价文件未按供应商须知前附表要求签字盖章的；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已参加联合体的成员，再以自己名义单独报价的，或同时参加两个（或多个）联合体报价的；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组成联合体报价时，未由联合体牵头人提交报价文件的，或者未提交联合体共同报价协议书的；</w:t>
      </w:r>
    </w:p>
    <w:p>
      <w:pPr>
        <w:numPr>
          <w:ilvl w:val="0"/>
          <w:numId w:val="2"/>
        </w:numPr>
        <w:adjustRightInd w:val="0"/>
        <w:snapToGrid w:val="0"/>
        <w:spacing w:line="36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未向采购人进行报名登记的，其递交的报价文件不予受理（适用于采用报名方式获取采购文件的项目）。</w:t>
      </w:r>
    </w:p>
    <w:p>
      <w:pPr>
        <w:adjustRightInd w:val="0"/>
        <w:snapToGrid w:val="0"/>
        <w:spacing w:line="360" w:lineRule="auto"/>
        <w:ind w:firstLine="422" w:firstLineChars="200"/>
        <w:jc w:val="left"/>
        <w:rPr>
          <w:rFonts w:ascii="Times New Roman" w:hAnsi="Times New Roman" w:eastAsia="宋体" w:cs="Times New Roman"/>
          <w:b/>
          <w:kern w:val="0"/>
          <w:szCs w:val="21"/>
        </w:rPr>
      </w:pPr>
      <w:r>
        <w:rPr>
          <w:rFonts w:ascii="Times New Roman" w:hAnsi="Times New Roman" w:eastAsia="宋体" w:cs="Times New Roman"/>
          <w:b/>
          <w:kern w:val="0"/>
          <w:szCs w:val="21"/>
        </w:rPr>
        <w:t>二、评审阶段，供应商具有下列情形之一的，其报价文件作废标处理（由评审小组负责判定，且须经半数以上成员同意），不再纳入后续评审：</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《响应函》未按采购文件规定填写、漏填或内容填写错误且拒绝澄清的；</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供应商的报价是可变动价格的，或包含了价格调整要求的，或报价中提供两个（含两个）以上的报价且未声明哪个有效的（采购文件规定提交备选方案的除外）；</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单位负责人为同一人或者存在控股、管理关系的不同单位，参加同一标段报价或者未划分标段的同一采购项目报价；</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未按照供应商须知前附表规定提交响应担保的；</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采用暗标方式的，供应商在暗标部分报价文件内标注名称、印章、商标等标记符号，使得能够辨认出供应商或其专业技术人员身份的；</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报价文件存在重大偏离的；</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供应商以他人名义投标或出现串通投标、弄虚作假情形的；</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供应商拒不按照评审小组要求对报价文件进行澄清、说明、补正的；</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评审小组根据采购文件的规定对报价文件的报价进行调整，供应商不接受调整方式、调整后价格，或调整后价格超出报价上限的；</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报价</w:t>
      </w:r>
      <w:r>
        <w:rPr>
          <w:rFonts w:ascii="Times New Roman" w:hAnsi="Times New Roman" w:eastAsia="宋体" w:cs="Times New Roman"/>
          <w:kern w:val="0"/>
          <w:szCs w:val="21"/>
        </w:rPr>
        <w:t>文件中擅自修改</w:t>
      </w:r>
      <w:r>
        <w:rPr>
          <w:rFonts w:hint="eastAsia" w:ascii="Times New Roman" w:hAnsi="Times New Roman" w:eastAsia="宋体" w:cs="Times New Roman"/>
          <w:kern w:val="0"/>
          <w:szCs w:val="21"/>
        </w:rPr>
        <w:t>采购</w:t>
      </w:r>
      <w:r>
        <w:rPr>
          <w:rFonts w:ascii="Times New Roman" w:hAnsi="Times New Roman" w:eastAsia="宋体" w:cs="Times New Roman"/>
          <w:kern w:val="0"/>
          <w:szCs w:val="21"/>
        </w:rPr>
        <w:t>文件（包括答疑补遗文件）中规定不可竞争的固定单价或合价的，如安全文明措施费、专业工程暂估价、材料设备暂估价、优质优价奖励费等（适用于施工类项目）；</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技术标书内容明显违反项目规划设计要点，技术经济指标严重失实的（适用于设计类项目）；</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技术标书中存在违反国家工程建设标准强制性条文的（适用于设计类项目；</w:t>
      </w:r>
    </w:p>
    <w:p>
      <w:pPr>
        <w:numPr>
          <w:ilvl w:val="0"/>
          <w:numId w:val="3"/>
        </w:numPr>
        <w:adjustRightInd w:val="0"/>
        <w:snapToGrid w:val="0"/>
        <w:spacing w:line="360" w:lineRule="auto"/>
        <w:ind w:left="840"/>
        <w:jc w:val="left"/>
        <w:rPr>
          <w:rFonts w:ascii="Times New Roman" w:hAnsi="Times New Roman" w:eastAsia="宋体" w:cs="Times New Roman"/>
          <w:kern w:val="0"/>
          <w:szCs w:val="21"/>
        </w:rPr>
      </w:pPr>
      <w:r>
        <w:rPr>
          <w:rFonts w:ascii="Times New Roman" w:hAnsi="Times New Roman" w:eastAsia="宋体" w:cs="Times New Roman"/>
          <w:kern w:val="0"/>
          <w:szCs w:val="21"/>
        </w:rPr>
        <w:t>评审小组半数以上成员认为应当废标的其他情形。</w:t>
      </w:r>
    </w:p>
    <w:p>
      <w:pPr>
        <w:adjustRightInd w:val="0"/>
        <w:snapToGrid w:val="0"/>
        <w:spacing w:line="360" w:lineRule="auto"/>
        <w:ind w:firstLine="422" w:firstLineChars="200"/>
        <w:jc w:val="left"/>
        <w:rPr>
          <w:rFonts w:ascii="Times New Roman" w:hAnsi="Times New Roman" w:eastAsia="宋体" w:cs="Times New Roman"/>
          <w:b/>
          <w:kern w:val="0"/>
          <w:szCs w:val="21"/>
        </w:rPr>
      </w:pPr>
      <w:r>
        <w:rPr>
          <w:rFonts w:ascii="Times New Roman" w:hAnsi="Times New Roman" w:eastAsia="宋体" w:cs="Times New Roman"/>
          <w:b/>
          <w:kern w:val="0"/>
          <w:szCs w:val="21"/>
        </w:rPr>
        <w:t>三、本项目拒绝有下列情形之一的企业或者从业人员参与：</w:t>
      </w:r>
    </w:p>
    <w:p>
      <w:pPr>
        <w:numPr>
          <w:ilvl w:val="0"/>
          <w:numId w:val="4"/>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近3年内（从采购文件发布之日起倒算）供应商或者其法定代表人/负责人有行贿犯罪记录的；</w:t>
      </w:r>
    </w:p>
    <w:p>
      <w:pPr>
        <w:numPr>
          <w:ilvl w:val="0"/>
          <w:numId w:val="4"/>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近1年起（从截标之日倒算起）因串通投标、转包、以他人名义投标或者违法分包等违法行为受到建设、交通或者财政部门行政处罚的；</w:t>
      </w:r>
    </w:p>
    <w:p>
      <w:pPr>
        <w:numPr>
          <w:ilvl w:val="0"/>
          <w:numId w:val="4"/>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因违反工程质量、安全生产管理规定等原因被建设部门给予红色警示且在警示期内的；</w:t>
      </w:r>
    </w:p>
    <w:p>
      <w:pPr>
        <w:numPr>
          <w:ilvl w:val="0"/>
          <w:numId w:val="4"/>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拖欠工人工资被有关部门责令改正而未改正的；</w:t>
      </w:r>
    </w:p>
    <w:p>
      <w:pPr>
        <w:numPr>
          <w:ilvl w:val="0"/>
          <w:numId w:val="4"/>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被责令停业的，或被取消投标资格的，或被暂停投标资格的；</w:t>
      </w:r>
    </w:p>
    <w:p>
      <w:pPr>
        <w:pStyle w:val="32"/>
        <w:numPr>
          <w:ilvl w:val="0"/>
          <w:numId w:val="4"/>
        </w:numPr>
        <w:adjustRightInd w:val="0"/>
        <w:snapToGrid w:val="0"/>
        <w:spacing w:line="360" w:lineRule="auto"/>
        <w:ind w:firstLineChars="0"/>
        <w:jc w:val="left"/>
        <w:rPr>
          <w:rFonts w:ascii="Times New Roman" w:hAnsi="Times New Roman" w:eastAsia="宋体" w:cs="Times New Roman"/>
          <w:kern w:val="0"/>
          <w:szCs w:val="21"/>
        </w:rPr>
      </w:pPr>
      <w:r>
        <w:rPr>
          <w:rFonts w:ascii="Times New Roman" w:hAnsi="Times New Roman" w:eastAsia="宋体" w:cs="Times New Roman"/>
          <w:kern w:val="0"/>
          <w:szCs w:val="21"/>
        </w:rPr>
        <w:t>项目经理（建造师）被建设行政主管部门给予红色警示且在警示期内的（适用于施工类项目）；</w:t>
      </w:r>
    </w:p>
    <w:p>
      <w:pPr>
        <w:numPr>
          <w:ilvl w:val="0"/>
          <w:numId w:val="4"/>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供应商资格条件不符合国家有关规定和采购文件要求的（适用于资格后审的项目）；</w:t>
      </w:r>
    </w:p>
    <w:p>
      <w:pPr>
        <w:numPr>
          <w:ilvl w:val="0"/>
          <w:numId w:val="4"/>
        </w:numPr>
        <w:adjustRightInd w:val="0"/>
        <w:snapToGrid w:val="0"/>
        <w:spacing w:line="36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依法应当拒绝投标的其他情形。</w:t>
      </w:r>
    </w:p>
    <w:p>
      <w:pPr>
        <w:adjustRightInd w:val="0"/>
        <w:snapToGrid w:val="0"/>
        <w:spacing w:line="360" w:lineRule="auto"/>
        <w:jc w:val="left"/>
        <w:rPr>
          <w:rFonts w:ascii="Times New Roman" w:hAnsi="Times New Roman" w:eastAsia="宋体" w:cs="Times New Roman"/>
          <w:kern w:val="0"/>
          <w:szCs w:val="21"/>
        </w:rPr>
      </w:pPr>
    </w:p>
    <w:p>
      <w:pPr>
        <w:adjustRightInd w:val="0"/>
        <w:snapToGrid w:val="0"/>
        <w:spacing w:line="360" w:lineRule="auto"/>
        <w:ind w:firstLine="422" w:firstLineChars="200"/>
        <w:jc w:val="left"/>
        <w:rPr>
          <w:rFonts w:ascii="Times New Roman" w:hAnsi="Times New Roman" w:eastAsia="宋体" w:cs="Times New Roman"/>
          <w:b/>
          <w:kern w:val="0"/>
        </w:rPr>
      </w:pPr>
      <w:r>
        <w:rPr>
          <w:rFonts w:ascii="Times New Roman" w:hAnsi="Times New Roman" w:eastAsia="宋体" w:cs="Times New Roman"/>
          <w:b/>
          <w:kern w:val="0"/>
        </w:rPr>
        <w:t>（采购单位对上述内容有修改或补充的，以下述条款为准）</w:t>
      </w:r>
    </w:p>
    <w:p>
      <w:pPr>
        <w:adjustRightInd w:val="0"/>
        <w:snapToGrid w:val="0"/>
        <w:spacing w:line="360" w:lineRule="auto"/>
        <w:ind w:firstLine="422" w:firstLineChars="200"/>
        <w:jc w:val="left"/>
        <w:rPr>
          <w:rFonts w:ascii="Times New Roman" w:hAnsi="Times New Roman" w:eastAsia="宋体" w:cs="Times New Roman"/>
          <w:b/>
          <w:kern w:val="0"/>
          <w:szCs w:val="21"/>
        </w:rPr>
      </w:pPr>
      <w:r>
        <w:rPr>
          <w:rFonts w:ascii="Times New Roman" w:hAnsi="Times New Roman" w:eastAsia="宋体" w:cs="Times New Roman"/>
          <w:b/>
          <w:kern w:val="0"/>
          <w:szCs w:val="21"/>
        </w:rPr>
        <w:t>四、采购单位修改或补充的报价文件不予受理的情形：</w:t>
      </w:r>
    </w:p>
    <w:sdt>
      <w:sdtPr>
        <w:rPr>
          <w:rStyle w:val="20"/>
          <w:rFonts w:ascii="Times New Roman" w:hAnsi="Times New Roman" w:cs="Times New Roman"/>
        </w:rPr>
        <w:id w:val="-705555433"/>
        <w:lock w:val="sdtLocked"/>
        <w:placeholder>
          <w:docPart w:val="66D46BF5645644F5853BE806CDBAB614"/>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p>
          <w:pPr>
            <w:adjustRightInd w:val="0"/>
            <w:snapToGrid w:val="0"/>
            <w:spacing w:line="360" w:lineRule="auto"/>
            <w:ind w:firstLine="420" w:firstLineChars="200"/>
            <w:jc w:val="left"/>
            <w:rPr>
              <w:rFonts w:ascii="Times New Roman" w:hAnsi="Times New Roman" w:eastAsia="宋体" w:cs="Times New Roman"/>
              <w:b/>
              <w:kern w:val="0"/>
            </w:rPr>
          </w:pPr>
          <w:r>
            <w:rPr>
              <w:rStyle w:val="20"/>
              <w:rFonts w:ascii="Times New Roman" w:hAnsi="Times New Roman" w:cs="Times New Roman"/>
            </w:rPr>
            <w:t>1. 在深圳</w:t>
          </w:r>
          <w:r>
            <w:rPr>
              <w:rStyle w:val="20"/>
              <w:rFonts w:hint="eastAsia" w:ascii="Times New Roman" w:hAnsi="Times New Roman" w:cs="Times New Roman"/>
            </w:rPr>
            <w:t>招商</w:t>
          </w:r>
          <w:r>
            <w:rPr>
              <w:rStyle w:val="20"/>
              <w:rFonts w:ascii="Times New Roman" w:hAnsi="Times New Roman" w:cs="Times New Roman"/>
            </w:rPr>
            <w:t>供电有限公司被纳入禁入供应商名单，且未解除的（以</w:t>
          </w:r>
          <w:r>
            <w:rPr>
              <w:rStyle w:val="20"/>
              <w:rFonts w:hint="eastAsia" w:ascii="Times New Roman" w:hAnsi="Times New Roman" w:cs="Times New Roman"/>
            </w:rPr>
            <w:t>采购单位</w:t>
          </w:r>
          <w:r>
            <w:rPr>
              <w:rStyle w:val="20"/>
              <w:rFonts w:ascii="Times New Roman" w:hAnsi="Times New Roman" w:cs="Times New Roman"/>
            </w:rPr>
            <w:t>内部名单为准）。</w:t>
          </w:r>
        </w:p>
      </w:sdtContent>
    </w:sdt>
    <w:p>
      <w:pPr>
        <w:adjustRightInd w:val="0"/>
        <w:snapToGrid w:val="0"/>
        <w:spacing w:line="360" w:lineRule="auto"/>
        <w:ind w:firstLine="422" w:firstLineChars="200"/>
        <w:jc w:val="left"/>
        <w:rPr>
          <w:rFonts w:ascii="Times New Roman" w:hAnsi="Times New Roman" w:eastAsia="宋体" w:cs="Times New Roman"/>
          <w:b/>
          <w:kern w:val="0"/>
          <w:szCs w:val="21"/>
        </w:rPr>
      </w:pPr>
      <w:r>
        <w:rPr>
          <w:rFonts w:ascii="Times New Roman" w:hAnsi="Times New Roman" w:eastAsia="宋体" w:cs="Times New Roman"/>
          <w:b/>
          <w:kern w:val="0"/>
          <w:szCs w:val="21"/>
        </w:rPr>
        <w:t>五、采购单位修改或补充的报价文件废标的情形：</w:t>
      </w:r>
    </w:p>
    <w:sdt>
      <w:sdtPr>
        <w:rPr>
          <w:rStyle w:val="20"/>
          <w:rFonts w:ascii="Times New Roman" w:hAnsi="Times New Roman" w:cs="Times New Roman"/>
        </w:rPr>
        <w:id w:val="-442461971"/>
        <w:lock w:val="sdtLocked"/>
        <w:placeholder>
          <w:docPart w:val="075BBEA5FFB645AC86AE439FDB6C5C73"/>
        </w:placeholder>
      </w:sdtPr>
      <w:sdtEndPr>
        <w:rPr>
          <w:rStyle w:val="16"/>
          <w:rFonts w:ascii="Times New Roman" w:hAnsi="Times New Roman" w:cs="Times New Roman" w:eastAsiaTheme="minorEastAsia"/>
          <w:bCs/>
          <w:color w:val="000000" w:themeColor="text1"/>
          <w:szCs w:val="20"/>
          <w:u w:val="none"/>
          <w14:textFill>
            <w14:solidFill>
              <w14:schemeClr w14:val="tx1"/>
            </w14:solidFill>
          </w14:textFill>
        </w:rPr>
      </w:sdtEndPr>
      <w:sdtContent>
        <w:p>
          <w:pPr>
            <w:adjustRightInd w:val="0"/>
            <w:snapToGrid w:val="0"/>
            <w:spacing w:line="360" w:lineRule="auto"/>
            <w:ind w:firstLine="420" w:firstLineChars="200"/>
            <w:jc w:val="left"/>
            <w:rPr>
              <w:rStyle w:val="20"/>
              <w:rFonts w:ascii="Times New Roman" w:hAnsi="Times New Roman" w:cs="Times New Roman"/>
            </w:rPr>
          </w:pPr>
          <w:r>
            <w:rPr>
              <w:rStyle w:val="20"/>
              <w:rFonts w:ascii="Times New Roman" w:hAnsi="Times New Roman" w:cs="Times New Roman"/>
            </w:rPr>
            <w:t>1.被国家市场监督管理机关在国家企业信用信息公示系统（www.gsxt.gov.cn）中列入严重违法失信企业名单；</w:t>
          </w:r>
        </w:p>
        <w:p>
          <w:pPr>
            <w:adjustRightInd w:val="0"/>
            <w:snapToGrid w:val="0"/>
            <w:spacing w:line="360" w:lineRule="auto"/>
            <w:ind w:firstLine="420" w:firstLineChars="200"/>
            <w:jc w:val="left"/>
            <w:rPr>
              <w:rFonts w:ascii="Times New Roman" w:hAnsi="Times New Roman" w:eastAsia="宋体" w:cs="Times New Roman"/>
              <w:b/>
              <w:kern w:val="0"/>
            </w:rPr>
          </w:pPr>
          <w:r>
            <w:rPr>
              <w:rStyle w:val="20"/>
              <w:rFonts w:ascii="Times New Roman" w:hAnsi="Times New Roman" w:cs="Times New Roman"/>
            </w:rPr>
            <w:t>2. 被“信用中国”网站（www.creditchina.gov.cn）或“中国执行信息公开网”（http://zxgk.court.gov.cn/shixin）列入失信被执行人名单；</w:t>
          </w:r>
        </w:p>
      </w:sdtContent>
    </w:sdt>
    <w:p>
      <w:pPr>
        <w:widowControl/>
        <w:jc w:val="left"/>
        <w:rPr>
          <w:rFonts w:ascii="Times New Roman" w:hAnsi="Times New Roman" w:eastAsia="黑体" w:cs="Times New Roman"/>
          <w:b/>
          <w:bCs/>
          <w:sz w:val="30"/>
          <w:szCs w:val="30"/>
        </w:rPr>
      </w:pPr>
      <w:r>
        <w:rPr>
          <w:rFonts w:ascii="Times New Roman" w:hAnsi="Times New Roman" w:eastAsia="黑体" w:cs="Times New Roman"/>
          <w:b/>
          <w:bCs/>
          <w:sz w:val="30"/>
          <w:szCs w:val="30"/>
        </w:rPr>
        <w:br w:type="page"/>
      </w:r>
    </w:p>
    <w:p>
      <w:pPr>
        <w:jc w:val="center"/>
        <w:outlineLvl w:val="1"/>
        <w:rPr>
          <w:rFonts w:ascii="Times New Roman" w:hAnsi="Times New Roman" w:eastAsia="黑体" w:cs="Times New Roman"/>
          <w:b/>
          <w:bCs/>
          <w:sz w:val="30"/>
          <w:szCs w:val="30"/>
        </w:rPr>
      </w:pPr>
      <w:bookmarkStart w:id="6" w:name="_Toc7902"/>
      <w:bookmarkStart w:id="7" w:name="_Toc43477368"/>
      <w:bookmarkStart w:id="8" w:name="_Toc216716588"/>
      <w:bookmarkStart w:id="9" w:name="_Toc30080893"/>
      <w:bookmarkStart w:id="10" w:name="_Toc25223089"/>
      <w:r>
        <w:rPr>
          <w:rFonts w:ascii="Times New Roman" w:hAnsi="Times New Roman" w:eastAsia="黑体" w:cs="Times New Roman"/>
          <w:b/>
          <w:bCs/>
          <w:sz w:val="30"/>
          <w:szCs w:val="30"/>
        </w:rPr>
        <w:t>第三节 供应商须知</w:t>
      </w:r>
      <w:bookmarkEnd w:id="6"/>
      <w:bookmarkEnd w:id="7"/>
      <w:bookmarkEnd w:id="8"/>
    </w:p>
    <w:p>
      <w:pPr>
        <w:jc w:val="center"/>
        <w:outlineLvl w:val="2"/>
        <w:rPr>
          <w:rFonts w:ascii="Times New Roman" w:hAnsi="Times New Roman" w:eastAsia="黑体" w:cs="Times New Roman"/>
          <w:sz w:val="30"/>
          <w:szCs w:val="30"/>
        </w:rPr>
      </w:pPr>
      <w:bookmarkStart w:id="11" w:name="_Toc75247473"/>
      <w:bookmarkStart w:id="12" w:name="_Toc43477369"/>
      <w:bookmarkStart w:id="13" w:name="_Toc133138752"/>
      <w:bookmarkStart w:id="14" w:name="_Toc78810846"/>
      <w:r>
        <w:rPr>
          <w:rFonts w:ascii="Times New Roman" w:hAnsi="Times New Roman" w:eastAsia="黑体" w:cs="Times New Roman"/>
          <w:sz w:val="30"/>
          <w:szCs w:val="30"/>
        </w:rPr>
        <w:t>一、总则</w:t>
      </w:r>
      <w:bookmarkEnd w:id="9"/>
      <w:bookmarkEnd w:id="10"/>
      <w:bookmarkEnd w:id="11"/>
      <w:bookmarkEnd w:id="12"/>
      <w:bookmarkEnd w:id="13"/>
      <w:bookmarkEnd w:id="14"/>
    </w:p>
    <w:p>
      <w:pPr>
        <w:pStyle w:val="32"/>
        <w:numPr>
          <w:ilvl w:val="0"/>
          <w:numId w:val="5"/>
        </w:numPr>
        <w:spacing w:line="360" w:lineRule="auto"/>
        <w:ind w:firstLineChars="0"/>
        <w:outlineLvl w:val="3"/>
        <w:rPr>
          <w:rFonts w:ascii="Times New Roman" w:hAnsi="Times New Roman" w:eastAsia="宋体" w:cs="Times New Roman"/>
          <w:b/>
          <w:color w:val="000000"/>
          <w:szCs w:val="20"/>
        </w:rPr>
      </w:pPr>
      <w:bookmarkStart w:id="15" w:name="_Toc25223090"/>
      <w:bookmarkStart w:id="16" w:name="_Toc43477370"/>
      <w:bookmarkStart w:id="17" w:name="_Toc30080894"/>
      <w:bookmarkStart w:id="18" w:name="_Toc446683484"/>
      <w:bookmarkStart w:id="19" w:name="_Toc8284255"/>
      <w:bookmarkStart w:id="20" w:name="_Toc495481470"/>
      <w:r>
        <w:rPr>
          <w:rFonts w:ascii="Times New Roman" w:hAnsi="Times New Roman" w:eastAsia="宋体" w:cs="Times New Roman"/>
          <w:b/>
          <w:color w:val="000000"/>
          <w:szCs w:val="20"/>
        </w:rPr>
        <w:t>项目概况</w:t>
      </w:r>
      <w:bookmarkEnd w:id="15"/>
      <w:bookmarkEnd w:id="16"/>
      <w:bookmarkEnd w:id="17"/>
      <w:bookmarkEnd w:id="18"/>
      <w:bookmarkEnd w:id="19"/>
      <w:bookmarkEnd w:id="20"/>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根据等有关法律、法规和规章的规定，本采购项目已具备采购条件，现对本采购项目进行询价采购。</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项目名称：见供应商须知前附表。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实施地点：见供应商须知前附表。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项目概况：见供应商须知前附表。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采购内容：见供应商须知前附表。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采购方式：见供应商须知前附表。</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bookmarkStart w:id="21" w:name="_Toc446683485"/>
      <w:bookmarkStart w:id="22" w:name="_Toc30080895"/>
      <w:bookmarkStart w:id="23" w:name="_Toc43477371"/>
      <w:bookmarkStart w:id="24" w:name="_Toc8284256"/>
      <w:bookmarkStart w:id="25" w:name="_Toc495481471"/>
      <w:bookmarkStart w:id="26" w:name="_Toc25223091"/>
      <w:r>
        <w:rPr>
          <w:rFonts w:ascii="Times New Roman" w:hAnsi="Times New Roman" w:eastAsia="宋体" w:cs="Times New Roman"/>
          <w:b/>
          <w:color w:val="000000"/>
          <w:szCs w:val="20"/>
        </w:rPr>
        <w:t>资金来源和落实情况</w:t>
      </w:r>
      <w:bookmarkEnd w:id="21"/>
      <w:bookmarkEnd w:id="22"/>
      <w:bookmarkEnd w:id="23"/>
      <w:bookmarkEnd w:id="24"/>
      <w:bookmarkEnd w:id="25"/>
      <w:bookmarkEnd w:id="26"/>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资金来源：见供应商须知前附表。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资金落实情况：见供应商须知前附表。</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bookmarkStart w:id="27" w:name="_Toc25223092"/>
      <w:bookmarkStart w:id="28" w:name="_Toc30080896"/>
      <w:bookmarkStart w:id="29" w:name="_Toc8284257"/>
      <w:bookmarkStart w:id="30" w:name="_Toc446683486"/>
      <w:bookmarkStart w:id="31" w:name="_Toc43477372"/>
      <w:bookmarkStart w:id="32" w:name="_Toc495481472"/>
      <w:r>
        <w:rPr>
          <w:rFonts w:ascii="Times New Roman" w:hAnsi="Times New Roman" w:eastAsia="宋体" w:cs="Times New Roman"/>
          <w:b/>
          <w:color w:val="000000"/>
          <w:szCs w:val="20"/>
        </w:rPr>
        <w:t>服务期限/工期/交货期、质量要求、分包要求和标段划分情况</w:t>
      </w:r>
      <w:bookmarkEnd w:id="27"/>
      <w:bookmarkEnd w:id="28"/>
      <w:bookmarkEnd w:id="29"/>
      <w:bookmarkEnd w:id="30"/>
      <w:bookmarkEnd w:id="31"/>
      <w:bookmarkEnd w:id="32"/>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服务期限/工期/交货期：见供应商须知前附表。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质量要求：见供应商须知前附表。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分包要求：见供应商须知前附表。</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供应商拟在成交后将成交项目的部分工作进行分包的，应符合供应商须知前附表的规定，并在响应文件中作出说明。</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分包供应商不得将分包项目再次分包。成交供应商应当就分包项目向采购单位负责，分包供应商就分包项目承担连带责任。</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标段划分情况：见供应商须知前附表。</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bookmarkStart w:id="33" w:name="_Toc8284258"/>
      <w:bookmarkStart w:id="34" w:name="_Toc446683487"/>
      <w:bookmarkStart w:id="35" w:name="_Toc495481473"/>
      <w:bookmarkStart w:id="36" w:name="_Toc30080897"/>
      <w:bookmarkStart w:id="37" w:name="_Toc25223093"/>
      <w:bookmarkStart w:id="38" w:name="_Toc43477373"/>
      <w:r>
        <w:rPr>
          <w:rFonts w:ascii="Times New Roman" w:hAnsi="Times New Roman" w:eastAsia="宋体" w:cs="Times New Roman"/>
          <w:b/>
          <w:color w:val="000000"/>
          <w:szCs w:val="20"/>
        </w:rPr>
        <w:t>供应商资格要求</w:t>
      </w:r>
      <w:bookmarkEnd w:id="33"/>
      <w:bookmarkEnd w:id="34"/>
      <w:bookmarkEnd w:id="35"/>
      <w:bookmarkEnd w:id="36"/>
      <w:bookmarkEnd w:id="37"/>
      <w:bookmarkEnd w:id="38"/>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供应商应具备承担本采购项目的能力；具备国家有关规定或者采购文件规定的资格条件；且通过合法途径取得采购文件。</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供应商资格要求：见供应商须知前附表。</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资格审查方式：见供应商须知前附表。</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是否接受联合体报价：见供应商须知前附表。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由两个或两个以上法人组成一个联合体以一个供应商的身份共同报价时，还应符合以下要求：</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联合体各方均应具备承担本采购项目的相应资格条件。</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联合体各方应签订联合体报价协议，明确联合体的牵头人，明确约定各方拟承担的工作和责任，并将该联合体报价协议随报价文件一并提交给采购单位。</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除非另有规定或说明，本章中“供应商”一词亦指联合体各成员。</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供应商不得存在下列情形之一：详见否决性条款摘要。</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报价费用</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供应商准备和参加采购活动发生的费用自理。不论结果如何，采购单位均无承担的义务和责任。</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保密</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参与采购活动的各方应对采购文件和报价文件中的商业和技术等秘密保密，违者应对由此造成的后果承担法律责任。</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踏勘现场</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采购单位将按照“供应商须知前附表”规定的时间和地点，组织供应商对本采购项目的现场及周围环境进行踏勘。以便供应商获取编制报价文件和签署合同所需的所有资料。</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供应商踏勘现场所发生的费用自理。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及其代表必须承担那些进入现场后，由于他们的行为所造成的人身伤害（不管是否致命）、财产损失或损坏，以及其它任何原因造成的损失、损坏或费用。采购单位在供应商及其代表考察过程中不承担任何费用及责任。</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在现场考察中由采购单位提供的资料和数据，只是为了使供应商能够利用采购单位现有的资料。采购单位对供应商由此而做出的推论、解释和结论概不负责。</w:t>
      </w:r>
    </w:p>
    <w:p>
      <w:pPr>
        <w:pStyle w:val="32"/>
        <w:numPr>
          <w:ilvl w:val="1"/>
          <w:numId w:val="5"/>
        </w:numPr>
        <w:spacing w:line="360" w:lineRule="auto"/>
        <w:ind w:firstLine="422"/>
        <w:rPr>
          <w:rFonts w:ascii="Times New Roman" w:hAnsi="Times New Roman" w:eastAsia="宋体" w:cs="Times New Roman"/>
          <w:b/>
          <w:color w:val="000000"/>
          <w:szCs w:val="20"/>
        </w:rPr>
      </w:pPr>
      <w:r>
        <w:rPr>
          <w:rFonts w:ascii="Times New Roman" w:hAnsi="Times New Roman" w:eastAsia="宋体" w:cs="Times New Roman"/>
          <w:b/>
          <w:color w:val="000000"/>
          <w:szCs w:val="20"/>
        </w:rPr>
        <w:t>参与现场踏勘的供应商须提交营业执照（副本加盖公章）、授权委托书（加盖公章）和身份证复印件（加盖公章，验原件）。未提供上述资料的供应商将被拒绝踏勘现场。</w:t>
      </w:r>
    </w:p>
    <w:p>
      <w:pPr>
        <w:jc w:val="center"/>
        <w:outlineLvl w:val="2"/>
        <w:rPr>
          <w:rFonts w:ascii="Times New Roman" w:hAnsi="Times New Roman" w:eastAsia="黑体" w:cs="Times New Roman"/>
          <w:sz w:val="30"/>
          <w:szCs w:val="30"/>
        </w:rPr>
      </w:pPr>
      <w:bookmarkStart w:id="39" w:name="_Toc133138753"/>
      <w:bookmarkStart w:id="40" w:name="_Toc75247474"/>
      <w:bookmarkStart w:id="41" w:name="_Toc78810847"/>
      <w:r>
        <w:rPr>
          <w:rFonts w:ascii="Times New Roman" w:hAnsi="Times New Roman" w:eastAsia="黑体" w:cs="Times New Roman"/>
          <w:sz w:val="30"/>
          <w:szCs w:val="30"/>
        </w:rPr>
        <w:t>二、采购文件</w:t>
      </w:r>
      <w:bookmarkEnd w:id="39"/>
      <w:bookmarkEnd w:id="40"/>
      <w:bookmarkEnd w:id="41"/>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采购文件</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本采购文件除以下内容外，采购单位在期间发出的采购文件补充、修改或澄清文件，均是采购文件的组成部分，对采购单位、供应商起约束作用。</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采购文件共五章，内容如下：</w:t>
      </w:r>
    </w:p>
    <w:p>
      <w:pPr>
        <w:spacing w:line="360" w:lineRule="auto"/>
        <w:ind w:left="420" w:leftChars="200"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第一章 供应商须知</w:t>
      </w:r>
    </w:p>
    <w:p>
      <w:pPr>
        <w:spacing w:line="360" w:lineRule="auto"/>
        <w:ind w:left="420" w:leftChars="200"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第二章 报价文件格式</w:t>
      </w:r>
    </w:p>
    <w:p>
      <w:pPr>
        <w:spacing w:line="360" w:lineRule="auto"/>
        <w:ind w:left="420" w:leftChars="200"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第三章 合同条款及格式</w:t>
      </w:r>
    </w:p>
    <w:p>
      <w:pPr>
        <w:spacing w:line="360" w:lineRule="auto"/>
        <w:ind w:left="420" w:leftChars="200"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第四章 评审办法</w:t>
      </w:r>
    </w:p>
    <w:p>
      <w:pPr>
        <w:spacing w:line="360" w:lineRule="auto"/>
        <w:ind w:left="420" w:leftChars="200"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第五章 项目需求书</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供应商获取采购文件后，应仔细检查采购文件内容是否完整，如有残缺，应在获取采购文件后3日内向采购单位提出，以便补齐。否则，由此导致的不利后果由供应商自负。</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供应商应认真阅读采购文件的内容，并按照采购文件的要求编制报价文件。报价文件应当对采购文件提出的实质性要求做出响应。</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采购文件的质疑、答疑、补充、澄清、修改</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供应商对采购文件提出疑问，应在“供应商须知前附表”规定的时间前按规定形式通知采购单位。逾期不予受理。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采购文件的答疑、补充、澄清、修改，将在“供应商须知前附表”规定的时间前以书面形式发给所有被邀请的供应商，但不指明澄清问题的来源。</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采购文件的答疑、补充、澄清、修改文件，都是采购文件的组成部分，与采购文件具有同等效力。当采购文件与采购文件的答疑、补充、澄清、修改文件内容不一致的，以发出时间最近开标日期的文件为准。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为使供应商有充分时间对采购文件的答疑、补充、澄清、修改文件进行研究，可酌情延长报价截止时间，具体时间将在采购文件的答疑、补充、澄清、修改文件中予以明确。若采购文件的答疑、补充、澄清、修改文件没有明确延长报价截止时间，即表示报价截止时间不延长。</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供应商在收到采购文件的答疑、补充、澄清、修改文件后24小时内，应按要求以书面形式通知采购单位，确认已收到该文件。否则，因供应商未及时查收文件导致的不良后果由供应商承担。</w:t>
      </w:r>
    </w:p>
    <w:p>
      <w:pPr>
        <w:jc w:val="center"/>
        <w:outlineLvl w:val="2"/>
        <w:rPr>
          <w:rFonts w:ascii="Times New Roman" w:hAnsi="Times New Roman" w:eastAsia="黑体" w:cs="Times New Roman"/>
          <w:sz w:val="30"/>
          <w:szCs w:val="30"/>
        </w:rPr>
      </w:pPr>
      <w:bookmarkStart w:id="42" w:name="_Toc78810848"/>
      <w:bookmarkStart w:id="43" w:name="_Toc75247475"/>
      <w:bookmarkStart w:id="44" w:name="_Toc133138754"/>
      <w:r>
        <w:rPr>
          <w:rFonts w:ascii="Times New Roman" w:hAnsi="Times New Roman" w:eastAsia="黑体" w:cs="Times New Roman"/>
          <w:sz w:val="30"/>
          <w:szCs w:val="30"/>
        </w:rPr>
        <w:t>三、报价文件</w:t>
      </w:r>
      <w:bookmarkEnd w:id="42"/>
      <w:bookmarkEnd w:id="43"/>
      <w:bookmarkEnd w:id="44"/>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报价文件的语言及计量单位</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供应商提交的报价文件以及供应商与采购单位之间就有关报价的所有往来通知、函件必须用中文书写。</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供应商随报价文件提供的支持文件、印刷文献等若带有另一种语言，必须附中文译文，以便于理解报价文件，以中文译文为准。如报价文件未附中文译文，该资料不予认可，由此导致的不利后果由供应商自负。</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报价文件中的专业术语，须附中文注释。否则，按照本节第10.1.1条规定执行。</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除在采购文件中另有规定外，计量单位应使用中华人民共和国法定计量单位。</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报价文件的构成及份数</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报价文件的构成及份数见“供应商须知前附表”。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联合体报价的还应提交联合体报价协议。</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报价货币</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本项目报价采用的币种见“供应商须知前附表”。</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为供应商的报价文件中提出的各项支付费用的金额总和，包括国家规定的增值税税金。除“供应商须知前附表”另有规定外，增值税税金按一般计税方法计算。供应商的报价应保证在报价有效期内有效，在合同执行期内固定不变。</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报价应包括货物的价格，以及为提供货物而产生的运费、保险费、安装调试费、培训费、后续服务等的费用（适用于货物类项目）。</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应包括软件费用（含用户费用）、软件实施过程有关需求调研、设计开发、测试、安装、培训、人员驻场费用、资料费等一切费用，免费维护期内的修改升级服务等在招标范围之内的全部费用（适用于软件系统类项目）。</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应充分了解项目的总体情况以及影响投标报价的其他因素。</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的投标报价应包括第五章“项目需求书”和合同条款所列的各项内容的全部。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供应商应根据第五章“项目需求书”填报总价和分项报价，每个分项报价只允许有一个报价，任何有选择的报价将不予接受。</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报价中未填单价或合价的部分，将被视为该费用已包括在其他有价款的单价或合价内，采购单位将不另行支付。</w:t>
      </w:r>
    </w:p>
    <w:p>
      <w:pPr>
        <w:pStyle w:val="32"/>
        <w:numPr>
          <w:ilvl w:val="3"/>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应按工程量清单中列出的工程项目填报综合单价和合价。任何有选择的报价将不予接受，每一项目只允许有一个报价。</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未填综合单价或合价的工程项目，将被视为该项费用已包括在其它有价款的综合单价或合价内，任何与此有关的工程价款，</w:t>
      </w:r>
      <w:r>
        <w:rPr>
          <w:rFonts w:hint="eastAsia" w:ascii="Times New Roman" w:hAnsi="Times New Roman" w:eastAsia="宋体" w:cs="Times New Roman"/>
          <w:color w:val="000000"/>
          <w:szCs w:val="20"/>
        </w:rPr>
        <w:t>采购单位</w:t>
      </w:r>
      <w:r>
        <w:rPr>
          <w:rFonts w:ascii="Times New Roman" w:hAnsi="Times New Roman" w:eastAsia="宋体" w:cs="Times New Roman"/>
          <w:color w:val="000000"/>
          <w:szCs w:val="20"/>
        </w:rPr>
        <w:t>将不另行支付（适用于施工类项目）。</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供应商若是提供了可变动报价或包含价格调整要求，其报价将会被拒绝。</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供应商若是提供了两个以上（含两个）报价，且未明确哪个是有效报价，其报价将会被拒绝（除允许提供备选方案的）。</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工程建设标准和技术规范要求的费用应包括在报价中（适用于施工类项目）。</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供应商应先到实施地点踏勘以充分了解项目位置、道路、储存空间、装卸限制及任何其它足以影响报价的情况，任何因忽视或误解实施地点情况而导致的索赔或服务期限延长申请将不获批准。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除非采购单位通过修改采购文件予以更正，否则，采购单位应按工程量清单中的项目和数量进行报价（适用于施工类项目）。</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“安全文明施工措施费”应当作为非竞争性费用，在报价中单列（但应计入总价）。“安全文明措施费”包括临时设施费、安全施工费、文明施工费、环境保护费（适用于施工类项目）。</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采购单位不接受任何免费赠送的服务。如有，将按缺漏项处理。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报价上限：见“供应商须知前附表”。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有效的报价：见“供应商须知前附表”。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最低报价不得低于成本。</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响应担保</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响应担保是为了避免采购单位因供应商的行为而蒙受损失。采购单位可根据本节规定的条件没收其响应担保。</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供应商应按“供应商须知前附表”的规定提交响应担保。响应担保是报价文件的组成部分。</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联合体报价的，其响应担保由联合体牵头人提交。</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响应担保的提供人必须与提交报价文件的供应商一致。</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对于未按采购文件要求提交响应担保的，其报价将会被拒绝。</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响应担保的退还。出现下列情形之一时，采购单位将在20个工作日内予以退还：</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采购单位与成交人签署了合同协议书；</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采购过程中因正当理由被采购单位宣布终止；</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需重新组织采购；</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报价有效期满而供应商不同意作出延长的。</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响应担保的没收。出现下列情形之一时，响应担保将被没收：</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宋体" w:hAnsi="宋体" w:eastAsia="宋体" w:cs="宋体"/>
          <w:color w:val="0000FF"/>
          <w:kern w:val="0"/>
          <w:szCs w:val="21"/>
        </w:rPr>
        <w:t>供应商</w:t>
      </w:r>
      <w:r>
        <w:rPr>
          <w:rFonts w:ascii="宋体" w:hAnsi="宋体" w:eastAsia="宋体" w:cs="宋体"/>
          <w:color w:val="0000FF"/>
          <w:kern w:val="0"/>
          <w:szCs w:val="21"/>
        </w:rPr>
        <w:t>在本项目招投标过程中有违法、违规行为并被查实，如围标、串标、陪标、资质或业绩造假等的</w:t>
      </w:r>
      <w:r>
        <w:rPr>
          <w:rFonts w:hint="eastAsia" w:ascii="宋体" w:hAnsi="宋体" w:eastAsia="宋体" w:cs="宋体"/>
          <w:color w:val="0000FF"/>
          <w:kern w:val="0"/>
          <w:szCs w:val="21"/>
        </w:rPr>
        <w:t>；</w:t>
      </w:r>
    </w:p>
    <w:p>
      <w:pPr>
        <w:pStyle w:val="32"/>
        <w:numPr>
          <w:ilvl w:val="2"/>
          <w:numId w:val="5"/>
        </w:numPr>
        <w:spacing w:line="360" w:lineRule="auto"/>
        <w:ind w:firstLine="420"/>
        <w:rPr>
          <w:rFonts w:ascii="Times New Roman" w:hAnsi="Times New Roman" w:eastAsia="宋体" w:cs="Times New Roman"/>
          <w:color w:val="000000"/>
          <w:szCs w:val="20"/>
        </w:rPr>
      </w:pPr>
      <w:r>
        <w:rPr>
          <w:rFonts w:ascii="宋体" w:hAnsi="宋体" w:eastAsia="宋体" w:cs="宋体"/>
          <w:color w:val="0000FF"/>
          <w:kern w:val="0"/>
          <w:szCs w:val="21"/>
        </w:rPr>
        <w:t>故意捏造事实、伪造证明材料进行虚假恶意投诉</w:t>
      </w:r>
      <w:r>
        <w:rPr>
          <w:rFonts w:hint="eastAsia" w:ascii="宋体" w:hAnsi="宋体" w:eastAsia="宋体" w:cs="宋体"/>
          <w:color w:val="0000FF"/>
          <w:kern w:val="0"/>
          <w:szCs w:val="21"/>
        </w:rPr>
        <w:t>；</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宋体" w:hAnsi="宋体" w:eastAsia="宋体" w:cs="宋体"/>
          <w:color w:val="0000FF"/>
          <w:kern w:val="0"/>
          <w:szCs w:val="21"/>
        </w:rPr>
        <w:t>供应商</w:t>
      </w:r>
      <w:r>
        <w:rPr>
          <w:rFonts w:ascii="宋体" w:hAnsi="宋体" w:eastAsia="宋体" w:cs="宋体"/>
          <w:color w:val="0000FF"/>
          <w:kern w:val="0"/>
          <w:szCs w:val="21"/>
        </w:rPr>
        <w:t>对招标工作人员或其利益关系人行贿并被查实的</w:t>
      </w:r>
      <w:r>
        <w:rPr>
          <w:rFonts w:hint="eastAsia" w:ascii="宋体" w:hAnsi="宋体" w:eastAsia="宋体" w:cs="宋体"/>
          <w:color w:val="0000FF"/>
          <w:kern w:val="0"/>
          <w:szCs w:val="21"/>
        </w:rPr>
        <w:t>；</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宋体" w:hAnsi="宋体" w:eastAsia="宋体" w:cs="宋体"/>
          <w:color w:val="0000FF"/>
          <w:kern w:val="0"/>
          <w:szCs w:val="21"/>
        </w:rPr>
        <w:t>供应商</w:t>
      </w:r>
      <w:r>
        <w:rPr>
          <w:rFonts w:ascii="宋体" w:hAnsi="宋体" w:eastAsia="宋体" w:cs="宋体"/>
          <w:color w:val="0000FF"/>
          <w:kern w:val="0"/>
          <w:szCs w:val="21"/>
        </w:rPr>
        <w:t>对招标工作人员或其利益关系人进行威胁或恐吓且被查实的</w:t>
      </w:r>
      <w:r>
        <w:rPr>
          <w:rFonts w:hint="eastAsia" w:ascii="宋体" w:hAnsi="宋体" w:eastAsia="宋体" w:cs="宋体"/>
          <w:color w:val="0000FF"/>
          <w:kern w:val="0"/>
          <w:szCs w:val="21"/>
        </w:rPr>
        <w:t>；</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宋体" w:hAnsi="宋体" w:eastAsia="宋体" w:cs="宋体"/>
          <w:color w:val="0000FF"/>
          <w:kern w:val="0"/>
          <w:szCs w:val="21"/>
        </w:rPr>
        <w:t>供应商</w:t>
      </w:r>
      <w:r>
        <w:rPr>
          <w:rFonts w:ascii="宋体" w:hAnsi="宋体" w:eastAsia="宋体" w:cs="宋体"/>
          <w:color w:val="0000FF"/>
          <w:kern w:val="0"/>
          <w:szCs w:val="21"/>
        </w:rPr>
        <w:t>在投标有效期内撤回其投标或放弃其投标的</w:t>
      </w:r>
      <w:r>
        <w:rPr>
          <w:rFonts w:hint="eastAsia" w:ascii="宋体" w:hAnsi="宋体" w:eastAsia="宋体" w:cs="宋体"/>
          <w:color w:val="0000FF"/>
          <w:kern w:val="0"/>
          <w:szCs w:val="21"/>
        </w:rPr>
        <w:t>；</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宋体" w:hAnsi="宋体" w:eastAsia="宋体" w:cs="宋体"/>
          <w:color w:val="0000FF"/>
          <w:kern w:val="0"/>
          <w:szCs w:val="21"/>
        </w:rPr>
        <w:t>成交</w:t>
      </w:r>
      <w:r>
        <w:rPr>
          <w:rFonts w:ascii="宋体" w:hAnsi="宋体" w:eastAsia="宋体" w:cs="宋体"/>
          <w:color w:val="0000FF"/>
          <w:kern w:val="0"/>
          <w:szCs w:val="21"/>
        </w:rPr>
        <w:t>人无正当理由不与</w:t>
      </w:r>
      <w:r>
        <w:rPr>
          <w:rFonts w:hint="eastAsia" w:ascii="宋体" w:hAnsi="宋体" w:eastAsia="宋体" w:cs="宋体"/>
          <w:color w:val="0000FF"/>
          <w:kern w:val="0"/>
          <w:szCs w:val="21"/>
        </w:rPr>
        <w:t>采购</w:t>
      </w:r>
      <w:r>
        <w:rPr>
          <w:rFonts w:ascii="宋体" w:hAnsi="宋体" w:eastAsia="宋体" w:cs="宋体"/>
          <w:color w:val="0000FF"/>
          <w:kern w:val="0"/>
          <w:szCs w:val="21"/>
        </w:rPr>
        <w:t>人订立合同，在签订合同时向</w:t>
      </w:r>
      <w:r>
        <w:rPr>
          <w:rFonts w:hint="eastAsia" w:ascii="宋体" w:hAnsi="宋体" w:eastAsia="宋体" w:cs="宋体"/>
          <w:color w:val="0000FF"/>
          <w:kern w:val="0"/>
          <w:szCs w:val="21"/>
        </w:rPr>
        <w:t>采购</w:t>
      </w:r>
      <w:r>
        <w:rPr>
          <w:rFonts w:ascii="宋体" w:hAnsi="宋体" w:eastAsia="宋体" w:cs="宋体"/>
          <w:color w:val="0000FF"/>
          <w:kern w:val="0"/>
          <w:szCs w:val="21"/>
        </w:rPr>
        <w:t>人提出附加条件</w:t>
      </w:r>
      <w:r>
        <w:rPr>
          <w:rFonts w:hint="eastAsia" w:ascii="宋体" w:hAnsi="宋体" w:eastAsia="宋体" w:cs="宋体"/>
          <w:color w:val="0000FF"/>
          <w:kern w:val="0"/>
          <w:szCs w:val="21"/>
        </w:rPr>
        <w:t>；</w:t>
      </w:r>
    </w:p>
    <w:p>
      <w:pPr>
        <w:pStyle w:val="32"/>
        <w:numPr>
          <w:ilvl w:val="2"/>
          <w:numId w:val="5"/>
        </w:numPr>
        <w:spacing w:line="360" w:lineRule="auto"/>
        <w:ind w:firstLine="420"/>
        <w:rPr>
          <w:rFonts w:ascii="Times New Roman" w:hAnsi="Times New Roman" w:eastAsia="宋体" w:cs="Times New Roman"/>
          <w:color w:val="000000"/>
          <w:szCs w:val="20"/>
        </w:rPr>
      </w:pPr>
      <w:r>
        <w:rPr>
          <w:rFonts w:hint="eastAsia" w:ascii="宋体" w:hAnsi="宋体" w:eastAsia="宋体" w:cs="宋体"/>
          <w:color w:val="0000FF"/>
          <w:kern w:val="0"/>
          <w:szCs w:val="21"/>
        </w:rPr>
        <w:t>供应商</w:t>
      </w:r>
      <w:r>
        <w:rPr>
          <w:rFonts w:ascii="宋体" w:hAnsi="宋体" w:eastAsia="宋体" w:cs="宋体"/>
          <w:color w:val="0000FF"/>
          <w:kern w:val="0"/>
          <w:szCs w:val="21"/>
        </w:rPr>
        <w:t>未按招标文件要求缴纳相关费用</w:t>
      </w:r>
      <w:r>
        <w:rPr>
          <w:rFonts w:hint="eastAsia" w:ascii="宋体" w:hAnsi="宋体" w:eastAsia="宋体" w:cs="宋体"/>
          <w:color w:val="0000FF"/>
          <w:kern w:val="0"/>
          <w:szCs w:val="21"/>
        </w:rPr>
        <w:t>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供应商有不真实报价或有违法违规行为的；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成交人未能在规定时间内提交履约担保或拒绝与采购单位签订合同的；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供应商资质证书或安全生产许可证被暂扣或吊销，但仍参与报价的。</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报价有效期</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报价有效期应符合“供应商须知前附表”的规定。在此期间，所有报价均保持有效。</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在原报价有效期结束前，出现特殊情况，采购单位可要求供应商延长其报价有效期。相应的要求即回复均应以书面形式作出。供应商同意延长的，不得要求或被允许修改其报价文件的实质性内容，同时相应地延长其响应担保的有效期；供应商拒绝延长的，其报价失效，但供应商有权收回其响应担保。</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报价文件的编制</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认真阅读采购文件的全部内容（包括采购文件的补充、修改及澄清文件），并严格履行采购文件规定的各项规定、要求。如果供应商不能履行采购文件的规定和要求，或者随报价文件提供的证明材料不能对采购文件的要求作出实质性响应，可能导致其报价被拒绝。</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报价文件应按采购文件规定的格式进行编写，如有必要，可增加附页，作为报价文件的组成部分。其中响应函在满足采购文件实质性要求的基础上，可以提出比采购文件要求更有利于采购单位的承诺。</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应对采购文件有关服务期限、报价有效期、质量要求、技术标准等实质性内容作出响应。报价文件在满足采购文件实质性要求的基础上，可以提出比采购文件要求更有利于采购单位的承诺。报价文件对采购文件未提出异议的条款，均被视为接受和同意。</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应用不褪色的材料书写或打印，由供应商的法定代表人/负责人或授权代理人签字并盖供应商公章。由供应商的法定代表人/负责人签字的，应附法定代表人/负责人身份证明，由代理人签字的，应附法定代表人/负责人签署的授权委托书。签字及盖章的具体要求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正本和副本应分别装订成册，并编制目录，具体装订要求见“供应商须知前附表”。报价文件封面应清楚地标记“正本”或“副本”的字样。若报价文件均未标记“正本”或“副本”，均视为正本。当正本与副本不一致时，以正本为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报价文件的电子版本（光盘或U盘）内容应与纸质报价文件完全一致，应建立目录并分级保存，应保证目录清晰、内容完整。文件应为PDF和Word格式。当电子版本与纸质版存在不一致时，以纸质版为准。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除商务标以外，在其他标书内不得包含任何有关价格信息，否则，其报价将会被拒绝。（适用于二阶段开标的项目）</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报价文件的密封和标记</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报价文件的密封和标记要求见“供应商须知前附表”。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封套上应写明的内容见“供应商须知前附表”。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未按本节要求密封和标记的报价文件，采购单位不予受理。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采购单位不承担报价文件错放或提前开封的责任。错放、混放的报价文件，采购单位不予受理。</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报价文件的递交</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供应商应在“供应商须知前附表”规定的报价截止时间前递交报价文件。</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供应商递交报价文件的地址：见“供应商须知前附表”。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除“供应商须知前附表”另有规定，供应商所递交的报价文件不予退还。</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逾期送达的或者未送达指定地点的报价文件，采购单位不予受理。</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报价文件的修改和撤回</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供应商已提交报价文件，在“供应商须知前附表”规定的报价截止时间前，供应商可修改或撤回已递交的报价文件，但应以书面形式通知采购单位。</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供应商修改或撤回已递交的报价文件的书面通知应按照本章规定的签字或盖章要求签字或盖章。</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修改的内容为报价文件的组成部分。修改的报价文件应按照本章的规定进行编制、密封、标记和递交，并标明“修改”字样。</w:t>
      </w:r>
    </w:p>
    <w:p>
      <w:pPr>
        <w:jc w:val="center"/>
        <w:outlineLvl w:val="2"/>
        <w:rPr>
          <w:rFonts w:ascii="Times New Roman" w:hAnsi="Times New Roman" w:eastAsia="黑体" w:cs="Times New Roman"/>
          <w:sz w:val="30"/>
          <w:szCs w:val="30"/>
        </w:rPr>
      </w:pPr>
      <w:bookmarkStart w:id="45" w:name="_Toc78810849"/>
      <w:bookmarkStart w:id="46" w:name="_Toc133138755"/>
      <w:bookmarkStart w:id="47" w:name="_Toc75247476"/>
      <w:r>
        <w:rPr>
          <w:rFonts w:ascii="Times New Roman" w:hAnsi="Times New Roman" w:eastAsia="黑体" w:cs="Times New Roman"/>
          <w:sz w:val="30"/>
          <w:szCs w:val="30"/>
        </w:rPr>
        <w:t>四、报价文件开启</w:t>
      </w:r>
      <w:bookmarkEnd w:id="45"/>
      <w:bookmarkEnd w:id="46"/>
      <w:bookmarkEnd w:id="47"/>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报价文件开启时间和地点</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报价文件开启时间和地点见“供应商须知前附表”。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开标会由采购单位主持，供应商自愿参加开标会，未参加开标会的，视为其认可开标程序和结果。参加开标会的供应商只可委托一名代表参加。参加开标会的供应商代表，须提供法定代表人/负责人证明书、授权委托书（法定代表人/负责人须签字）、委托代理人的身份证原件，以便采购单位现场查验。“供应商须知前附表”另有规定的，从其规定。</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报价文件开启程序</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主持人按下列程序开启报价文件：</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（1）宣布开标纪律；</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（2）公布在报价截止时间前递交报价文件的供应商名称，并点名确认供应商是否派人到场；</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（3）宣布唱标人、采购单位代表、监标人等有关人员姓名；</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（4）由供应商或其推选的代表检查报价文件的密封情况；</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（5）按照递交报价文件的先后顺序确定并宣布报价文件开启顺序；</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（6）按照宣布的开启顺序当众开启报价文件，公布供应商名称、项目名称、报价，以及响应函中的其他主要内容，并由供应商代表进行述标和答辩；</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（7）供应商代表、采购单位代表、监察代表、记录人等有关人员在开标记录表上签字确认；</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（8）开标结束。</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供应商对开标程序和结果有异议的，须在开标结束前当场提出。</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不予受理的报价文件</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报价文件不予受理的情形：详见否决性条款摘要。</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按本章相关规定判定为不予受理的报价文件，不予送交评审小组。</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供应商不足的情形</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递交报价文件或评审小组作出无效标或者废标处理后的供应商数量少于N+2的（N为采购项目确定的成交人数量），采购人可按照下述情形分别处理：</w:t>
      </w:r>
    </w:p>
    <w:p>
      <w:pPr>
        <w:spacing w:line="360" w:lineRule="auto"/>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2</w:t>
      </w:r>
      <w:r>
        <w:rPr>
          <w:rFonts w:ascii="Times New Roman" w:hAnsi="Times New Roman" w:eastAsia="宋体" w:cs="Times New Roman"/>
          <w:color w:val="000000"/>
          <w:szCs w:val="20"/>
        </w:rPr>
        <w:t>3.1终止本次采购并重新组织采购</w:t>
      </w:r>
    </w:p>
    <w:p>
      <w:pPr>
        <w:spacing w:line="360" w:lineRule="auto"/>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2</w:t>
      </w:r>
      <w:r>
        <w:rPr>
          <w:rFonts w:ascii="Times New Roman" w:hAnsi="Times New Roman" w:eastAsia="宋体" w:cs="Times New Roman"/>
          <w:color w:val="000000"/>
          <w:szCs w:val="20"/>
        </w:rPr>
        <w:t>3.1.1采购项目存在影响公平竞争情形的，采购单位应终止本次采购，并根据不同情形和原因，采取相应纠正措施，重新组织采购。</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23.1.2采购项目不存在影响公平竞争情形的，采购人也可以选择终止本次采购，采取相应完善措施，重新组织采购。</w:t>
      </w:r>
    </w:p>
    <w:p>
      <w:pPr>
        <w:spacing w:line="360" w:lineRule="auto"/>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2</w:t>
      </w:r>
      <w:r>
        <w:rPr>
          <w:rFonts w:ascii="Times New Roman" w:hAnsi="Times New Roman" w:eastAsia="宋体" w:cs="Times New Roman"/>
          <w:color w:val="000000"/>
          <w:szCs w:val="20"/>
        </w:rPr>
        <w:t>3.1.3</w:t>
      </w:r>
      <w:r>
        <w:rPr>
          <w:rFonts w:hint="eastAsia" w:ascii="Times New Roman" w:hAnsi="Times New Roman" w:eastAsia="宋体" w:cs="Times New Roman"/>
          <w:color w:val="000000"/>
          <w:szCs w:val="20"/>
        </w:rPr>
        <w:t>重新采购的项目，投标条件未发生变化的，经评审小组作出无效标或者废标处理后合格供应商数量仍不足</w:t>
      </w:r>
      <w:r>
        <w:rPr>
          <w:rFonts w:ascii="Times New Roman" w:hAnsi="Times New Roman" w:eastAsia="宋体" w:cs="Times New Roman"/>
          <w:color w:val="000000"/>
          <w:szCs w:val="20"/>
        </w:rPr>
        <w:t>N+2名</w:t>
      </w:r>
      <w:r>
        <w:rPr>
          <w:rFonts w:hint="eastAsia" w:ascii="Times New Roman" w:hAnsi="Times New Roman" w:eastAsia="宋体" w:cs="Times New Roman"/>
          <w:color w:val="000000"/>
          <w:szCs w:val="20"/>
        </w:rPr>
        <w:t>（</w:t>
      </w:r>
      <w:r>
        <w:rPr>
          <w:rFonts w:ascii="Times New Roman" w:hAnsi="Times New Roman" w:eastAsia="宋体" w:cs="Times New Roman"/>
          <w:color w:val="000000"/>
          <w:szCs w:val="20"/>
        </w:rPr>
        <w:t>N为采购项目确定的成交人数量）的，</w:t>
      </w:r>
      <w:r>
        <w:rPr>
          <w:rFonts w:hint="eastAsia" w:ascii="Times New Roman" w:hAnsi="Times New Roman" w:eastAsia="宋体" w:cs="Times New Roman"/>
          <w:color w:val="000000"/>
          <w:szCs w:val="20"/>
        </w:rPr>
        <w:t>评审小组</w:t>
      </w:r>
      <w:r>
        <w:rPr>
          <w:rFonts w:ascii="Times New Roman" w:hAnsi="Times New Roman" w:eastAsia="宋体" w:cs="Times New Roman"/>
          <w:color w:val="000000"/>
          <w:szCs w:val="20"/>
        </w:rPr>
        <w:t>应当将对合格</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的评审意见提交</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人，</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人可以按照原</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文件的</w:t>
      </w:r>
      <w:r>
        <w:rPr>
          <w:rFonts w:hint="eastAsia" w:ascii="Times New Roman" w:hAnsi="Times New Roman" w:eastAsia="宋体" w:cs="Times New Roman"/>
          <w:color w:val="000000"/>
          <w:szCs w:val="20"/>
        </w:rPr>
        <w:t>评</w:t>
      </w:r>
      <w:r>
        <w:rPr>
          <w:rFonts w:ascii="Times New Roman" w:hAnsi="Times New Roman" w:eastAsia="宋体" w:cs="Times New Roman"/>
          <w:color w:val="000000"/>
          <w:szCs w:val="20"/>
        </w:rPr>
        <w:t>定标程序和方法从合格</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中确定</w:t>
      </w:r>
      <w:r>
        <w:rPr>
          <w:rFonts w:hint="eastAsia" w:ascii="Times New Roman" w:hAnsi="Times New Roman" w:eastAsia="宋体" w:cs="Times New Roman"/>
          <w:color w:val="000000"/>
          <w:szCs w:val="20"/>
        </w:rPr>
        <w:t>成交</w:t>
      </w:r>
      <w:r>
        <w:rPr>
          <w:rFonts w:ascii="Times New Roman" w:hAnsi="Times New Roman" w:eastAsia="宋体" w:cs="Times New Roman"/>
          <w:color w:val="000000"/>
          <w:szCs w:val="20"/>
        </w:rPr>
        <w:t>人</w:t>
      </w:r>
      <w:r>
        <w:rPr>
          <w:rFonts w:hint="eastAsia" w:ascii="Times New Roman" w:hAnsi="Times New Roman" w:eastAsia="宋体" w:cs="Times New Roman"/>
          <w:color w:val="000000"/>
          <w:szCs w:val="20"/>
        </w:rPr>
        <w:t>或直接发包</w:t>
      </w:r>
      <w:r>
        <w:rPr>
          <w:rFonts w:ascii="Times New Roman" w:hAnsi="Times New Roman" w:eastAsia="宋体" w:cs="Times New Roman"/>
          <w:color w:val="000000"/>
          <w:szCs w:val="20"/>
        </w:rPr>
        <w:t>。</w:t>
      </w:r>
    </w:p>
    <w:p>
      <w:pPr>
        <w:spacing w:line="360" w:lineRule="auto"/>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2</w:t>
      </w:r>
      <w:r>
        <w:rPr>
          <w:rFonts w:ascii="Times New Roman" w:hAnsi="Times New Roman" w:eastAsia="宋体" w:cs="Times New Roman"/>
          <w:color w:val="000000"/>
          <w:szCs w:val="20"/>
        </w:rPr>
        <w:t>3.2继续本次采购</w:t>
      </w:r>
    </w:p>
    <w:p>
      <w:pPr>
        <w:spacing w:line="360" w:lineRule="auto"/>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2</w:t>
      </w:r>
      <w:r>
        <w:rPr>
          <w:rFonts w:ascii="Times New Roman" w:hAnsi="Times New Roman" w:eastAsia="宋体" w:cs="Times New Roman"/>
          <w:color w:val="000000"/>
          <w:szCs w:val="20"/>
        </w:rPr>
        <w:t>3.2.1采购项目不存在应终止采购的情形，且采购单位也没有自行选择终止本次采购的，采购单位应按照本节规定的程序继续开启报价文件，并按照本章规定的程序组织评审，完成采购项目的后续程序。</w:t>
      </w:r>
    </w:p>
    <w:p>
      <w:pPr>
        <w:spacing w:line="360" w:lineRule="auto"/>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2</w:t>
      </w:r>
      <w:r>
        <w:rPr>
          <w:rFonts w:ascii="Times New Roman" w:hAnsi="Times New Roman" w:eastAsia="宋体" w:cs="Times New Roman"/>
          <w:color w:val="000000"/>
          <w:szCs w:val="20"/>
        </w:rPr>
        <w:t xml:space="preserve">3.3 </w:t>
      </w:r>
      <w:r>
        <w:rPr>
          <w:rFonts w:hint="eastAsia" w:ascii="Times New Roman" w:hAnsi="Times New Roman" w:eastAsia="宋体" w:cs="Times New Roman"/>
          <w:color w:val="000000"/>
          <w:szCs w:val="20"/>
        </w:rPr>
        <w:t>采用</w:t>
      </w:r>
      <w:r>
        <w:rPr>
          <w:rFonts w:ascii="Times New Roman" w:hAnsi="Times New Roman" w:eastAsia="宋体" w:cs="Times New Roman"/>
          <w:color w:val="000000" w:themeColor="text1"/>
          <w:kern w:val="0"/>
          <w:szCs w:val="21"/>
          <w14:textFill>
            <w14:solidFill>
              <w14:schemeClr w14:val="tx1"/>
            </w14:solidFill>
          </w14:textFill>
        </w:rPr>
        <w:t>定性评审法评定分离的项目</w:t>
      </w:r>
      <w:r>
        <w:rPr>
          <w:rFonts w:hint="eastAsia" w:ascii="Times New Roman" w:hAnsi="Times New Roman" w:eastAsia="宋体"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szCs w:val="20"/>
        </w:rPr>
        <w:t>递交报价文件或评审小组作出无效标或者废标处理后的供应商数量少于N+2</w:t>
      </w:r>
      <w:r>
        <w:rPr>
          <w:rFonts w:hint="eastAsia" w:ascii="Times New Roman" w:hAnsi="Times New Roman" w:eastAsia="宋体" w:cs="Times New Roman"/>
          <w:color w:val="000000"/>
          <w:szCs w:val="20"/>
        </w:rPr>
        <w:t>（</w:t>
      </w:r>
      <w:r>
        <w:rPr>
          <w:rFonts w:ascii="Times New Roman" w:hAnsi="Times New Roman" w:eastAsia="宋体" w:cs="Times New Roman"/>
          <w:color w:val="000000"/>
          <w:szCs w:val="20"/>
        </w:rPr>
        <w:t>N为采购项目确定的成交人数量）的</w:t>
      </w:r>
      <w:r>
        <w:rPr>
          <w:rFonts w:hint="eastAsia" w:ascii="Times New Roman" w:hAnsi="Times New Roman" w:eastAsia="宋体" w:cs="Times New Roman"/>
          <w:color w:val="000000"/>
          <w:szCs w:val="20"/>
        </w:rPr>
        <w:t>，采购单位应当宣布本次采购失败，重新采购。重新采购的项目，投标条件未发生变化的，经评审小组作出无效标或者废标处理后合格供应商数量仍不足</w:t>
      </w:r>
      <w:r>
        <w:rPr>
          <w:rFonts w:ascii="Times New Roman" w:hAnsi="Times New Roman" w:eastAsia="宋体" w:cs="Times New Roman"/>
          <w:color w:val="000000"/>
          <w:szCs w:val="20"/>
        </w:rPr>
        <w:t>N+2名</w:t>
      </w:r>
      <w:r>
        <w:rPr>
          <w:rFonts w:hint="eastAsia" w:ascii="Times New Roman" w:hAnsi="Times New Roman" w:eastAsia="宋体" w:cs="Times New Roman"/>
          <w:color w:val="000000"/>
          <w:szCs w:val="20"/>
        </w:rPr>
        <w:t>（</w:t>
      </w:r>
      <w:r>
        <w:rPr>
          <w:rFonts w:ascii="Times New Roman" w:hAnsi="Times New Roman" w:eastAsia="宋体" w:cs="Times New Roman"/>
          <w:color w:val="000000"/>
          <w:szCs w:val="20"/>
        </w:rPr>
        <w:t>N为采购项目确定的成交人数量）的，</w:t>
      </w:r>
      <w:r>
        <w:rPr>
          <w:rFonts w:hint="eastAsia" w:ascii="Times New Roman" w:hAnsi="Times New Roman" w:eastAsia="宋体" w:cs="Times New Roman"/>
          <w:color w:val="000000"/>
          <w:szCs w:val="20"/>
        </w:rPr>
        <w:t>评审小组</w:t>
      </w:r>
      <w:r>
        <w:rPr>
          <w:rFonts w:ascii="Times New Roman" w:hAnsi="Times New Roman" w:eastAsia="宋体" w:cs="Times New Roman"/>
          <w:color w:val="000000"/>
          <w:szCs w:val="20"/>
        </w:rPr>
        <w:t>应当将对合格</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的评审意见提交</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人，</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人可以按照原</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文件的</w:t>
      </w:r>
      <w:r>
        <w:rPr>
          <w:rFonts w:hint="eastAsia" w:ascii="Times New Roman" w:hAnsi="Times New Roman" w:eastAsia="宋体" w:cs="Times New Roman"/>
          <w:color w:val="000000"/>
          <w:szCs w:val="20"/>
        </w:rPr>
        <w:t>评</w:t>
      </w:r>
      <w:r>
        <w:rPr>
          <w:rFonts w:ascii="Times New Roman" w:hAnsi="Times New Roman" w:eastAsia="宋体" w:cs="Times New Roman"/>
          <w:color w:val="000000"/>
          <w:szCs w:val="20"/>
        </w:rPr>
        <w:t>定标程序和方法从合格</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中确定</w:t>
      </w:r>
      <w:r>
        <w:rPr>
          <w:rFonts w:hint="eastAsia" w:ascii="Times New Roman" w:hAnsi="Times New Roman" w:eastAsia="宋体" w:cs="Times New Roman"/>
          <w:color w:val="000000"/>
          <w:szCs w:val="20"/>
        </w:rPr>
        <w:t>成交</w:t>
      </w:r>
      <w:r>
        <w:rPr>
          <w:rFonts w:ascii="Times New Roman" w:hAnsi="Times New Roman" w:eastAsia="宋体" w:cs="Times New Roman"/>
          <w:color w:val="000000"/>
          <w:szCs w:val="20"/>
        </w:rPr>
        <w:t>人</w:t>
      </w:r>
      <w:r>
        <w:rPr>
          <w:rFonts w:hint="eastAsia" w:ascii="Times New Roman" w:hAnsi="Times New Roman" w:eastAsia="宋体" w:cs="Times New Roman"/>
          <w:color w:val="000000"/>
          <w:szCs w:val="20"/>
        </w:rPr>
        <w:t>或直接发包</w:t>
      </w:r>
      <w:r>
        <w:rPr>
          <w:rFonts w:ascii="Times New Roman" w:hAnsi="Times New Roman" w:eastAsia="宋体" w:cs="Times New Roman"/>
          <w:color w:val="000000"/>
          <w:szCs w:val="20"/>
        </w:rPr>
        <w:t>。</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hint="eastAsia" w:ascii="Times New Roman" w:hAnsi="Times New Roman" w:eastAsia="宋体" w:cs="Times New Roman"/>
          <w:b/>
          <w:color w:val="000000"/>
          <w:szCs w:val="20"/>
        </w:rPr>
        <w:t>开标异常情况处理</w:t>
      </w:r>
    </w:p>
    <w:p>
      <w:pPr>
        <w:spacing w:line="360" w:lineRule="auto"/>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开标结果如有疑似串通投标等异常情况，采购单位可以宣布报价程序无效或拒绝所有报价，不进入评审程序，重新组织采购。对受影响的供应商不承担任何责任。</w:t>
      </w:r>
    </w:p>
    <w:p>
      <w:pPr>
        <w:jc w:val="center"/>
        <w:outlineLvl w:val="2"/>
        <w:rPr>
          <w:rFonts w:ascii="Times New Roman" w:hAnsi="Times New Roman" w:eastAsia="黑体" w:cs="Times New Roman"/>
          <w:sz w:val="30"/>
          <w:szCs w:val="30"/>
        </w:rPr>
      </w:pPr>
      <w:bookmarkStart w:id="48" w:name="_Toc133138756"/>
      <w:bookmarkStart w:id="49" w:name="_Toc78810850"/>
      <w:bookmarkStart w:id="50" w:name="_Toc75247477"/>
      <w:r>
        <w:rPr>
          <w:rFonts w:hint="eastAsia" w:ascii="Times New Roman" w:hAnsi="Times New Roman" w:eastAsia="黑体" w:cs="Times New Roman"/>
          <w:sz w:val="30"/>
          <w:szCs w:val="30"/>
        </w:rPr>
        <w:t>五、资格要求及审查</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hint="eastAsia" w:ascii="Times New Roman" w:hAnsi="Times New Roman" w:eastAsia="宋体" w:cs="Times New Roman"/>
          <w:b/>
          <w:color w:val="000000"/>
          <w:szCs w:val="20"/>
        </w:rPr>
        <w:t>供应商</w:t>
      </w:r>
      <w:r>
        <w:rPr>
          <w:rFonts w:ascii="Times New Roman" w:hAnsi="Times New Roman" w:eastAsia="宋体" w:cs="Times New Roman"/>
          <w:b/>
          <w:color w:val="000000"/>
          <w:szCs w:val="20"/>
        </w:rPr>
        <w:t>资格要求</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供应商应具备承担本次采购项目的资质条件、能力和信誉。</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拟派项目经理要求：见</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其他要求：见</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须知前附表规定接受联合体投标的，除应符合本章第25.1项和</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须知前附表的要求外，还应遵守以下规定：</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联合体各方应按</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文件提供的格式签订联合体协议书，明确联合体牵头人和各方权利义务，并承诺就</w:t>
      </w:r>
      <w:r>
        <w:rPr>
          <w:rFonts w:hint="eastAsia" w:ascii="Times New Roman" w:hAnsi="Times New Roman" w:eastAsia="宋体" w:cs="Times New Roman"/>
          <w:color w:val="000000"/>
          <w:szCs w:val="20"/>
        </w:rPr>
        <w:t>成交</w:t>
      </w:r>
      <w:r>
        <w:rPr>
          <w:rFonts w:ascii="Times New Roman" w:hAnsi="Times New Roman" w:eastAsia="宋体" w:cs="Times New Roman"/>
          <w:color w:val="000000"/>
          <w:szCs w:val="20"/>
        </w:rPr>
        <w:t>项目向</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人承担连带责任；</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由同一专业的单位组成的联合体，按照资质等级较低的单位确定资质等级；</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联合体各方不得再以自己名义单独或参加其他联合体在本次</w:t>
      </w:r>
      <w:r>
        <w:rPr>
          <w:rFonts w:hint="eastAsia" w:ascii="Times New Roman" w:hAnsi="Times New Roman" w:eastAsia="宋体" w:cs="Times New Roman"/>
          <w:color w:val="000000"/>
          <w:szCs w:val="20"/>
        </w:rPr>
        <w:t>采购</w:t>
      </w:r>
      <w:r>
        <w:rPr>
          <w:rFonts w:ascii="Times New Roman" w:hAnsi="Times New Roman" w:eastAsia="宋体" w:cs="Times New Roman"/>
          <w:color w:val="000000"/>
          <w:szCs w:val="20"/>
        </w:rPr>
        <w:t>项目中</w:t>
      </w:r>
      <w:r>
        <w:rPr>
          <w:rFonts w:hint="eastAsia" w:ascii="Times New Roman" w:hAnsi="Times New Roman" w:eastAsia="宋体" w:cs="Times New Roman"/>
          <w:color w:val="000000"/>
          <w:szCs w:val="20"/>
        </w:rPr>
        <w:t>报价</w:t>
      </w:r>
      <w:r>
        <w:rPr>
          <w:rFonts w:ascii="Times New Roman" w:hAnsi="Times New Roman" w:eastAsia="宋体" w:cs="Times New Roman"/>
          <w:color w:val="000000"/>
          <w:szCs w:val="20"/>
        </w:rPr>
        <w:t>，否则各相关</w:t>
      </w:r>
      <w:r>
        <w:rPr>
          <w:rFonts w:hint="eastAsia" w:ascii="Times New Roman" w:hAnsi="Times New Roman" w:eastAsia="宋体" w:cs="Times New Roman"/>
          <w:color w:val="000000"/>
          <w:szCs w:val="20"/>
        </w:rPr>
        <w:t>报价文件</w:t>
      </w:r>
      <w:r>
        <w:rPr>
          <w:rFonts w:ascii="Times New Roman" w:hAnsi="Times New Roman" w:eastAsia="宋体" w:cs="Times New Roman"/>
          <w:color w:val="000000"/>
          <w:szCs w:val="20"/>
        </w:rPr>
        <w:t>均无效。</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hint="eastAsia" w:ascii="Times New Roman" w:hAnsi="Times New Roman" w:eastAsia="宋体" w:cs="Times New Roman"/>
          <w:b/>
          <w:color w:val="000000"/>
          <w:szCs w:val="20"/>
        </w:rPr>
        <w:t>资格审查</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资格审查由资格审查委员会负责，资格审查委员会可由评审小组担任或采购人自行组建，在开标后对各供应商资格进行审查。</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资格审查委员会由</w:t>
      </w:r>
      <w:r>
        <w:rPr>
          <w:rFonts w:ascii="Times New Roman" w:hAnsi="Times New Roman" w:eastAsia="宋体" w:cs="Times New Roman"/>
          <w:color w:val="000000"/>
          <w:szCs w:val="20"/>
        </w:rPr>
        <w:t>3名以上单数组成，招标代理人员参与资格审查的，其人员不得超过总人数的1/3。</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资格审查委员严格对照采购文件中要求的供应商资格条件，逐个审查供应商递交的资格审查文件，审核判断供应商是否满足该资格条件。</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审查过程中如出现疑问，资格审查委员可要求供应商进行澄清说明，并根据采购文件设置的条件要求进行判断；如出现供应商资格不符合采购文件设置条件的，应当向供应商说明情况，并允许供应商答辩，记录有关情况。</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拟进行资格审查澄清、答辩的代表由资格审查委员会核对身份。</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资格审查委员会要求供应商进行澄清、答辩，但供应商在</w:t>
      </w:r>
      <w:r>
        <w:rPr>
          <w:rFonts w:ascii="Times New Roman" w:hAnsi="Times New Roman" w:eastAsia="宋体" w:cs="Times New Roman"/>
          <w:color w:val="000000"/>
          <w:szCs w:val="20"/>
        </w:rPr>
        <w:t>资格审查委员会</w:t>
      </w:r>
      <w:r>
        <w:rPr>
          <w:rFonts w:hint="eastAsia" w:ascii="Times New Roman" w:hAnsi="Times New Roman" w:eastAsia="宋体" w:cs="Times New Roman"/>
          <w:color w:val="000000"/>
          <w:szCs w:val="20"/>
        </w:rPr>
        <w:t>规定时间内未派出人员及时作出澄清、答辩的，资格审查委员会将可能作出不利于供应商的判定。</w:t>
      </w:r>
    </w:p>
    <w:p>
      <w:pPr>
        <w:pStyle w:val="32"/>
        <w:numPr>
          <w:ilvl w:val="1"/>
          <w:numId w:val="5"/>
        </w:numPr>
        <w:spacing w:line="360" w:lineRule="auto"/>
        <w:ind w:firstLine="42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全部供应商的资格审查材料审查完毕后，资格审查委员会出具资格审查报告。资格审查合格供应商少于</w:t>
      </w:r>
      <w:r>
        <w:rPr>
          <w:rFonts w:ascii="Times New Roman" w:hAnsi="Times New Roman" w:eastAsia="宋体" w:cs="Times New Roman"/>
          <w:color w:val="000000"/>
          <w:szCs w:val="20"/>
        </w:rPr>
        <w:t>3家的，</w:t>
      </w:r>
      <w:r>
        <w:rPr>
          <w:rFonts w:hint="eastAsia" w:ascii="Times New Roman" w:hAnsi="Times New Roman" w:eastAsia="宋体" w:cs="Times New Roman"/>
          <w:color w:val="000000"/>
          <w:szCs w:val="20"/>
        </w:rPr>
        <w:t>由采购人根据供应商不足有关规定执行</w:t>
      </w:r>
      <w:r>
        <w:rPr>
          <w:rFonts w:ascii="Times New Roman" w:hAnsi="Times New Roman" w:eastAsia="宋体" w:cs="Times New Roman"/>
          <w:color w:val="000000"/>
          <w:szCs w:val="20"/>
        </w:rPr>
        <w:t>。</w:t>
      </w:r>
    </w:p>
    <w:p>
      <w:pPr>
        <w:jc w:val="center"/>
        <w:outlineLvl w:val="2"/>
        <w:rPr>
          <w:rFonts w:ascii="Times New Roman" w:hAnsi="Times New Roman" w:eastAsia="黑体" w:cs="Times New Roman"/>
          <w:sz w:val="30"/>
          <w:szCs w:val="30"/>
        </w:rPr>
      </w:pPr>
      <w:r>
        <w:rPr>
          <w:rFonts w:hint="eastAsia" w:ascii="Times New Roman" w:hAnsi="Times New Roman" w:eastAsia="黑体" w:cs="Times New Roman"/>
          <w:sz w:val="30"/>
          <w:szCs w:val="30"/>
        </w:rPr>
        <w:t>六</w:t>
      </w:r>
      <w:r>
        <w:rPr>
          <w:rFonts w:ascii="Times New Roman" w:hAnsi="Times New Roman" w:eastAsia="黑体" w:cs="Times New Roman"/>
          <w:sz w:val="30"/>
          <w:szCs w:val="30"/>
        </w:rPr>
        <w:t>、评审</w:t>
      </w:r>
      <w:bookmarkEnd w:id="48"/>
      <w:bookmarkEnd w:id="49"/>
      <w:bookmarkEnd w:id="50"/>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评审小组</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评标由采购单位依法组建的评审小组负责。评审小组由采购单位或其委托的招标代理机构熟悉相关业务的代表，以及有关技术、经济等方面的专家3人或以上单数组成。</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评审小组成员有下列情形之一的，应当回避：</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（1）供应商或供应商的主要负责人的近亲属；</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（2）项目主管部门或者行政监督部门的人员；</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（3）与供应商有经济利益关系，可能影响对报价公正评审的；</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（4）曾因在投标、评标以及其他于招标投标有关活动中从事违法行为而受过行政处罚或刑事处罚的；</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（5）与供应商有其他利害关系的。</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评审过程中，评审小组成员有回避事由、擅离职守或者因健康等原因不能继续评审的，采购单位有权更换。被更换的评审小组成员作出的评审结论无效，由更换后的评审小组成员重新进行评审。</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评审小组的职责：评审小组应根据采购文件规定的评审办法和评审标准，对报价文件进行系统地评审。评审小组根据采购文件的规定向采购单位推荐合格供应商，或根据采购单位的授权直接确定成交人。</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评审原则</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评审活动遵循公平、公正、科学和择优的原则。评审小组的评审实行少数服从多数的原则，经评审小组成员表决半数以上通过的评审结果有效。</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报价文件的初步评审</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由评审小组进行报价文件的初步评审。</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报价文件有下列情形之一的，初步评审不通过，应作废标处理：</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《响应函》未按采购文件规定填写、漏填或内容填写错误且拒绝澄清的；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供应商的报价是可变动价格的，或包含了价格调整要求的，或报价中提供两个（含两个）以上的报价且未声明哪个有效的（采购文件规定提交备选方案的除外）；</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两个（或多个）供应商相互间存在直接控股和被控股关系，或者同隶属于同一法定代表人/负责人的；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采用暗标形式的，供应商在暗标部分报价文件内标注名称、印章、商标等标记符号，使得能够辨认出供应商或其专业技术人员身份的；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评审小组根据采购文件的规定对报价文件的报价进行调整，供应商不接受调整方式、调整后价格，或调整后价格超出报价上限的；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供应商资格条件不符合国家有关规定和采购文件要求的（适用于资格后审的项目）。</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报价文件的详细评审</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评审小组根据采购文件规定的评审办法和评审标准，对各供应商的报价文件分别进行详细评审。</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报价文件的重大偏离</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报价文件存在重大偏离的，应作废标处理。下列情况属于重大偏离：</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供应商以他人名义投标或者出现下列串通投标、弄虚作假投标情形</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不同供应商的报价文件内容存在非正常一致的；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不同供应商的报价文件错漏之处一致的；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不同供应商的报价或者报价组成异常一致或呈规律性变化的；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不同供应商的报价文件由同一单位或者同一个人编制的；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不同供应商的报价文件载明的项目负责人与主要技术人员出现同一人的；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不同供应商的报价文件相互混装的；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不同供应商委托同一人报价的；</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不同供应商聘请同一人为其报价提供技术或经济咨询服务的，但采购项目本身要求采用专有技术的除外；</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不同</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的投标保证金从同一单位或者个人的账户转出；</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评审小组认定的其他串通投标情形。</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报价文件不满足采购文件规定的任何一项实质性要求的；</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报价文件对采购文件规定的非实质性要求的偏离超出允许偏离的最大范围或最高项数的；</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供应商拒不按评审小组要求对报价文件进行澄清、说明、补正的。</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报价文件的细微偏离</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细微偏离是指报价文件在实质上响应采购文件要求，但在个别地方存在漏项或者提供了不完整的技术信息和数据等情况，并且补正这些漏项或者不完整不会对其他供应商造成不公平的结果。细微偏离不影响报价文件的有效性。</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评审小组可以要求供应商对存在细微偏离进行补正并提供相关材料，供应商拒不改正的，在详细评审时可以对细微偏离按照不利于该供应商的原则进行调整，且供应商不得因此提出任何异议。</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报价的调整方法</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供应商的报价如出现算术错误</w:t>
      </w:r>
      <w:r>
        <w:rPr>
          <w:rFonts w:hint="eastAsia" w:ascii="Times New Roman" w:hAnsi="Times New Roman" w:eastAsia="宋体" w:cs="Times New Roman"/>
          <w:color w:val="000000"/>
          <w:szCs w:val="20"/>
        </w:rPr>
        <w:t>，评审小组认为需要供应商作出必要澄清、说明的，应当通知该供应商。供应商的澄清、说明应当采用书面形式，并不得超出报价文件的范围或者改变报价文件的实质性内容。评审小组不得暗示或者诱导供应商作出澄清、说明，不得接受供应商主动提出的澄清、说明。评审小组</w:t>
      </w:r>
      <w:r>
        <w:rPr>
          <w:rFonts w:ascii="Times New Roman" w:hAnsi="Times New Roman" w:eastAsia="宋体" w:cs="Times New Roman"/>
          <w:color w:val="000000"/>
          <w:szCs w:val="20"/>
        </w:rPr>
        <w:t>按以下</w:t>
      </w:r>
      <w:r>
        <w:rPr>
          <w:rFonts w:hint="eastAsia" w:ascii="Times New Roman" w:hAnsi="Times New Roman" w:eastAsia="宋体" w:cs="Times New Roman"/>
          <w:color w:val="000000"/>
          <w:szCs w:val="20"/>
        </w:rPr>
        <w:t>原则</w:t>
      </w:r>
      <w:r>
        <w:rPr>
          <w:rFonts w:ascii="Times New Roman" w:hAnsi="Times New Roman" w:eastAsia="宋体" w:cs="Times New Roman"/>
          <w:color w:val="000000"/>
          <w:szCs w:val="20"/>
        </w:rPr>
        <w:t>进行调整：</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报价文件中大写金额与小写金额不一致的，以大写金额为准；</w:t>
      </w:r>
    </w:p>
    <w:p>
      <w:pPr>
        <w:pStyle w:val="32"/>
        <w:numPr>
          <w:ilvl w:val="2"/>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总金额与按单价金额计算的总金额不一致的，以单价计算的总金额为准，但单价金额小数点有明显错误的除外</w:t>
      </w:r>
      <w:r>
        <w:rPr>
          <w:rFonts w:hint="eastAsia" w:ascii="Times New Roman" w:hAnsi="Times New Roman" w:eastAsia="宋体" w:cs="Times New Roman"/>
          <w:color w:val="000000"/>
          <w:szCs w:val="20"/>
        </w:rPr>
        <w:t>。</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的报价如果出现缺项、漏项或是修改了本采购项目第五章“项目需求书”中列明项目的数量情况的，评审小组应根据具体评标办法和评审标准，按照不利于该供应商的原则进行调整，且供应商不得因此提出任何异议。</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如果出现多报或超出本采购项目第五章“项目需求书”中列明项目的数量情况的，评审小组应根据具体评审办法和评审标准，按照不利于该供应商的原则进行调整，且供应商不得因此提出任何异议。</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按照</w:t>
      </w:r>
      <w:r>
        <w:rPr>
          <w:rFonts w:hint="eastAsia" w:ascii="Times New Roman" w:hAnsi="Times New Roman" w:eastAsia="宋体" w:cs="Times New Roman"/>
          <w:color w:val="000000"/>
          <w:szCs w:val="20"/>
        </w:rPr>
        <w:t>上述</w:t>
      </w:r>
      <w:r>
        <w:rPr>
          <w:rFonts w:ascii="Times New Roman" w:hAnsi="Times New Roman" w:eastAsia="宋体" w:cs="Times New Roman"/>
          <w:color w:val="000000"/>
          <w:szCs w:val="20"/>
        </w:rPr>
        <w:t>规定的调整方法确定的调整后报价，须取得供应商同意并确认。如果供应商拒不接受调整方法以及调整后的报价，其报价将被拒绝。</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报价文件的澄清和答辩人的要求</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评审小组可以要求供应商对报价文件含义不明确的内容作必要的澄清、说明，供应商应当进行澄清、说明，但不得超出报价文件的范围或改变报价文件的实质性内容。澄清答辩可采用电话或现场两种方式进行。</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评审小组要求供应商进行答辩，但供应商在评审小组规定的时间内未派出代表及时作出答辩的，评审小组将根据采购文件规定作出不利于供应商的判定，供应商不得因此提出任何异议。</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无效标和废标的处理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除法律、法规、规章、规范性文件规定以及本采购文件否决性条款单列的无效标或者废标情形外，评审小组不得对报价文件作无效标或者废标处理。评审小组对报价文件应坚持谨慎确定无效标和废标的原则。</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评审小组在作出任何一项无效标和废标决定前，都应当严格遵循以下程序：</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评审小组应当要求当事供应商作相应的答辩；</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评审小组应将答辩记录表送当事供应商委派答辩人签字确认。供应商拒绝在答辩记录表上签字确认的，视为同意答辩记录；</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评审小组应在充分讨论的基础上，通过记名的集体表决方式作出决定；</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若表决通过无效标或废标决定，应在评审报告中详细载明无效标或废标的理由、依据、答辩的情况和集体表决的情况。</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评审小组在否决所有报价文件前，应当向采购单位核实有关情况，听取采购单位意见。</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成交候选人的推荐</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完成评审后，应向采购单位提出书面评审报告。评审报告由评审小组全体成员签字。对评审结论持有异议的评委，可采用书面方式阐述其不同意见和理由。评审小组成员拒绝签字的，视为同意评审结论。评审小组应对此作出书面记录。</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评审过程中，若评审小组认为本次采购缺乏竞争性，可以不推荐成交候选人，由采购单位重新组织采购。</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采购过程的保密性</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采购单位和有关工作人员不得向他人透露已获取采购文件的潜在供应商的名称、数量。</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在报价文件的评审和比较、成交候选人推荐以及授予合同的过程中，供应商不得有向采购单位和评审小组施加影响的任何行为。</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评审小组成员和参与评审的有关工作人员不得透露对报价文件的评审、成交候选人的推荐情况以及与评审有关的其他任何情况。</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成交人确定后，采购单位无需向未成交的供应商就评审过程以及未能成交作出任何解释。评审小组成员或其他有关人员不得向未成交的供应商透露评标过程的情况和材料。</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评审小组在向采购单位提交评审报告后即解散。评审过程中使用的文件、资料等，都不得带离评标室。</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评审办法</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按照第四章“评审办法”规定的评审办法、评审内容对报价文件进行评审。第四章“评审办法”没有规定的评审方法、评审内容不作为评审依据。在评审过程中，各评委均以专家身份进行评标，不代表其所在单位。</w:t>
      </w:r>
    </w:p>
    <w:p>
      <w:pPr>
        <w:jc w:val="center"/>
        <w:outlineLvl w:val="2"/>
        <w:rPr>
          <w:rFonts w:ascii="Times New Roman" w:hAnsi="Times New Roman" w:eastAsia="黑体" w:cs="Times New Roman"/>
          <w:sz w:val="30"/>
          <w:szCs w:val="30"/>
        </w:rPr>
      </w:pPr>
      <w:bookmarkStart w:id="51" w:name="_Toc133138757"/>
      <w:bookmarkStart w:id="52" w:name="_Toc75247478"/>
      <w:bookmarkStart w:id="53" w:name="_Toc78810851"/>
      <w:r>
        <w:rPr>
          <w:rFonts w:hint="eastAsia" w:ascii="Times New Roman" w:hAnsi="Times New Roman" w:eastAsia="黑体" w:cs="Times New Roman"/>
          <w:sz w:val="30"/>
          <w:szCs w:val="30"/>
        </w:rPr>
        <w:t>七</w:t>
      </w:r>
      <w:r>
        <w:rPr>
          <w:rFonts w:ascii="Times New Roman" w:hAnsi="Times New Roman" w:eastAsia="黑体" w:cs="Times New Roman"/>
          <w:sz w:val="30"/>
          <w:szCs w:val="30"/>
        </w:rPr>
        <w:t>、成交通知书</w:t>
      </w:r>
      <w:bookmarkEnd w:id="51"/>
      <w:bookmarkEnd w:id="52"/>
      <w:bookmarkEnd w:id="53"/>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确定成交人</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采购单位将按照第四章“评审办法”之规定确定本采购项目成交人。</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成交通知书</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采购单位在确定成交后，将发出成交通知书。成交通知书是本采购项目合同的组成部分。如接到有关投诉的，采购单位将可能暂停发出成交通知书。</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采购单位发出成交通知书，同时将成交结果通知所有未成交的供应商。</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采购单位的权利</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采购单位在发出成交通知书之前因正当理由，有权接受或拒绝报价、宣布报价程序无效或拒绝所有报价。对受影响的供应商不承担任何责任。</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采购单位在授予合同或实际供货时，有权对第五章“项目需求书”规定的货物数量或服务在合理范围内予以增加或减少，但成交人不得对单价或其他条件做任何改变。</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采购单位追加货物或服务的，在不改变合同其他条件的前提下，应与成交人协商签订补充合同，但所有补充合同的累计金额不得超过原合同总价的百分之二十。</w:t>
      </w:r>
    </w:p>
    <w:p>
      <w:pPr>
        <w:jc w:val="center"/>
        <w:outlineLvl w:val="2"/>
        <w:rPr>
          <w:rFonts w:ascii="Times New Roman" w:hAnsi="Times New Roman" w:eastAsia="黑体" w:cs="Times New Roman"/>
          <w:sz w:val="30"/>
          <w:szCs w:val="30"/>
        </w:rPr>
      </w:pPr>
      <w:bookmarkStart w:id="54" w:name="_Toc78810852"/>
      <w:bookmarkStart w:id="55" w:name="_Toc133138758"/>
      <w:bookmarkStart w:id="56" w:name="_Toc75247479"/>
      <w:r>
        <w:rPr>
          <w:rFonts w:hint="eastAsia" w:ascii="Times New Roman" w:hAnsi="Times New Roman" w:eastAsia="黑体" w:cs="Times New Roman"/>
          <w:sz w:val="30"/>
          <w:szCs w:val="30"/>
        </w:rPr>
        <w:t>八</w:t>
      </w:r>
      <w:r>
        <w:rPr>
          <w:rFonts w:ascii="Times New Roman" w:hAnsi="Times New Roman" w:eastAsia="黑体" w:cs="Times New Roman"/>
          <w:sz w:val="30"/>
          <w:szCs w:val="30"/>
        </w:rPr>
        <w:t>、合同授予</w:t>
      </w:r>
      <w:bookmarkEnd w:id="54"/>
      <w:bookmarkEnd w:id="55"/>
      <w:bookmarkEnd w:id="56"/>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履约能力的审查</w:t>
      </w:r>
    </w:p>
    <w:p>
      <w:pPr>
        <w:spacing w:line="360" w:lineRule="auto"/>
        <w:ind w:firstLine="420" w:firstLineChars="20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在发出成交通知书之前的任何时候，均有对成交候选人履约能力进行审查的权利，包括审查成交候选人资信情况的有关原件、经营状况等采购单位认为可能影响供应商履约的相关材料，供应商须积极配合采购单位的相关审查工作。审查不合格的或不配合审查的，采购单位有权重新组织采购或由排名第二的成交候选人获得合同授予资格，以此类推，直至排名第三的成交候选人获得合同授予资格。如果排名前三的成交候选人均放弃或被采购单位取消合同授予资格，采购单位则应重新组织采购。</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履约担保</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本采购项目履约担保的金额和形式：见“供应商须知前附表”。</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 xml:space="preserve"> “供应商须知前附表”规定收取履约担保的，成交人应在成交通知书发出后30天内，并在签订合同前提交。</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如果成交人拒不按本节规定提交履约担保的，采购单位可取消其成交资格，并没收其响应担保。</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签订合同</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采购单位和成交人应按“供应商须知前附表”的规定，依据采购文件和成交人的报价文件订立书面合同。</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成交人无正当理由拒签合同的，或者在签订合同时向采购单位提出附加条件或者更改合同实质性内容的，采购单位可取消其成交资格，并没收其响应担保；给采购单位的损失超过其响应担保数额的，采购单位可就超过部分向成交人对索赔，成交人应当予以赔偿；没有提交履约担保的，成交人应当对采购单位的损失承担赔偿责任。</w:t>
      </w:r>
    </w:p>
    <w:p>
      <w:pPr>
        <w:jc w:val="center"/>
        <w:outlineLvl w:val="2"/>
        <w:rPr>
          <w:rFonts w:ascii="Times New Roman" w:hAnsi="Times New Roman" w:eastAsia="黑体" w:cs="Times New Roman"/>
          <w:sz w:val="30"/>
          <w:szCs w:val="30"/>
        </w:rPr>
      </w:pPr>
      <w:bookmarkStart w:id="57" w:name="_Toc133138759"/>
      <w:bookmarkStart w:id="58" w:name="_Toc75247480"/>
      <w:bookmarkStart w:id="59" w:name="_Toc78810853"/>
      <w:r>
        <w:rPr>
          <w:rFonts w:hint="eastAsia" w:ascii="Times New Roman" w:hAnsi="Times New Roman" w:eastAsia="黑体" w:cs="Times New Roman"/>
          <w:sz w:val="30"/>
          <w:szCs w:val="30"/>
        </w:rPr>
        <w:t>九</w:t>
      </w:r>
      <w:r>
        <w:rPr>
          <w:rFonts w:ascii="Times New Roman" w:hAnsi="Times New Roman" w:eastAsia="黑体" w:cs="Times New Roman"/>
          <w:sz w:val="30"/>
          <w:szCs w:val="30"/>
        </w:rPr>
        <w:t>、其他</w:t>
      </w:r>
      <w:bookmarkEnd w:id="57"/>
      <w:bookmarkEnd w:id="58"/>
      <w:bookmarkEnd w:id="59"/>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纪律和监督</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对采购单位的纪律要求</w:t>
      </w:r>
    </w:p>
    <w:p>
      <w:pPr>
        <w:spacing w:line="360" w:lineRule="auto"/>
        <w:ind w:firstLine="420" w:firstLineChars="200"/>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采购为不得泄漏采购活动中应当保密的情况和资料，不得与供应商串通损害国家利益、社会公共利益或者他人合法权益。</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对供应商的纪律要求</w:t>
      </w:r>
    </w:p>
    <w:p>
      <w:pPr>
        <w:spacing w:line="360" w:lineRule="auto"/>
        <w:ind w:firstLine="420" w:firstLineChars="200"/>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供应商不得相互串通投标或者与采购单位串通投标，不得向采购单位或者评审小组成员行贿谋取中标，不得以他人名义投标或者以其他方式弄虚作假骗取中标；供应商不得以任何方式干扰、影响评审工作。</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对评审小组成员的纪律要求</w:t>
      </w:r>
    </w:p>
    <w:p>
      <w:pPr>
        <w:spacing w:line="360" w:lineRule="auto"/>
        <w:ind w:firstLine="420" w:firstLineChars="200"/>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评审小组成员不得收受他人的财物或者其他好处，不得向他人透露对报价文件的评审和比较、成交候选人的推荐情况以及与评审有关的其他情况。在评审过程中，评审小组成员不得擅离职守，影响评审程序正常进行，不得使用第四章“评审办法”没有规定的评审因素和标准进行评审。</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对与评审过程有关人员的工作人员的纪律要求</w:t>
      </w:r>
    </w:p>
    <w:p>
      <w:pPr>
        <w:spacing w:line="360" w:lineRule="auto"/>
        <w:ind w:firstLine="420" w:firstLineChars="200"/>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与评审过程有关的工作人员不得收受他人的财物或者其他好处，不得向他人透露对报价文件的评审和比较、成交候选人的推荐情况以及与评审有关的其他情况。在评审过程中，与评审过程有关的工作人员不得擅离职守，影响评审程序正常进行。</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投诉</w:t>
      </w:r>
    </w:p>
    <w:p>
      <w:pPr>
        <w:spacing w:line="360" w:lineRule="auto"/>
        <w:ind w:firstLine="420" w:firstLineChars="200"/>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供应商或者其他利害关系人认为采购工作不符合法律、行政法规规定的，可以自知道或者应当知道之日起10日内向招标监督部门提出。投诉应当有明确的请求和必要的证明材料。</w:t>
      </w:r>
    </w:p>
    <w:p>
      <w:pPr>
        <w:spacing w:line="360" w:lineRule="auto"/>
        <w:ind w:firstLine="420" w:firstLineChars="200"/>
        <w:rPr>
          <w:rFonts w:ascii="Times New Roman" w:hAnsi="Times New Roman" w:eastAsia="宋体" w:cs="Times New Roman"/>
          <w:color w:val="000000" w:themeColor="text1"/>
          <w:szCs w:val="20"/>
          <w14:textFill>
            <w14:solidFill>
              <w14:schemeClr w14:val="tx1"/>
            </w14:solidFill>
          </w14:textFill>
        </w:rPr>
      </w:pPr>
      <w:r>
        <w:rPr>
          <w:rFonts w:ascii="Times New Roman" w:hAnsi="Times New Roman" w:eastAsia="宋体" w:cs="Times New Roman"/>
          <w:color w:val="000000" w:themeColor="text1"/>
          <w:szCs w:val="20"/>
          <w14:textFill>
            <w14:solidFill>
              <w14:schemeClr w14:val="tx1"/>
            </w14:solidFill>
          </w14:textFill>
        </w:rPr>
        <w:t>供应商或者其他利害关系人对采购文件、开标和评审结果提出投诉的，应当按照供应商须知的规定先向采购单位提出异议，异议答复期间不计算在前述规定的期限内。</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廉洁、诚信与保密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采购单位、采购服务单位、评审小组成员、供应商等参加采购工作的各方，均应在采购、评审、合同执行过程中保持廉洁、诚信的道德水准。</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供应商应仔细阅读《供应商廉洁及保密承诺书》条款内容，清楚悉知该承诺书的条款并承诺遵守。</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若供应商（包括供应商的委托人、代理人或与供应商有销售、劳务或服务等关系的其他主体）在参加深圳前海蛇口自贸区供电有限公司及深圳招商供电有限公司的采购活动或经济往来等过程中曾经存在违法事件的，自发文公布违法事件之日起，在规定时间内不接受该</w:t>
      </w:r>
      <w:r>
        <w:rPr>
          <w:rFonts w:hint="eastAsia" w:ascii="Times New Roman" w:hAnsi="Times New Roman" w:eastAsia="宋体" w:cs="Times New Roman"/>
          <w:color w:val="000000"/>
          <w:szCs w:val="20"/>
        </w:rPr>
        <w:t>供应商</w:t>
      </w:r>
      <w:r>
        <w:rPr>
          <w:rFonts w:ascii="Times New Roman" w:hAnsi="Times New Roman" w:eastAsia="宋体" w:cs="Times New Roman"/>
          <w:color w:val="000000"/>
          <w:szCs w:val="20"/>
        </w:rPr>
        <w:t>参与公司的采购活动。</w:t>
      </w:r>
    </w:p>
    <w:p>
      <w:pPr>
        <w:pStyle w:val="32"/>
        <w:numPr>
          <w:ilvl w:val="0"/>
          <w:numId w:val="5"/>
        </w:numPr>
        <w:spacing w:line="360" w:lineRule="auto"/>
        <w:ind w:firstLineChars="0"/>
        <w:outlineLvl w:val="3"/>
        <w:rPr>
          <w:rFonts w:ascii="Times New Roman" w:hAnsi="Times New Roman" w:eastAsia="宋体" w:cs="Times New Roman"/>
          <w:b/>
          <w:color w:val="000000"/>
          <w:szCs w:val="20"/>
        </w:rPr>
      </w:pPr>
      <w:r>
        <w:rPr>
          <w:rFonts w:ascii="Times New Roman" w:hAnsi="Times New Roman" w:eastAsia="宋体" w:cs="Times New Roman"/>
          <w:b/>
          <w:color w:val="000000"/>
          <w:szCs w:val="20"/>
        </w:rPr>
        <w:t>其他</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本采购文件的解释权归采购单位所有，采购单位有权在法律允许范围内调整本次采购活动的细节既保留最终解释权。</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若供应商的投标行为出现《深圳市建筑市场主体不良行为记录公示及处理办法（试行）》（深建字[2005]159号）列明的各种情形的，采购单位或评审小组可提请主管部门对相应供应商作不良记录。</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评审小组经评审，认为所有报价都不符合采购文件要求的，可以否决所有报价。所有报价被否决的，采购单位应重新组织采购。采购单位不负担因采购失败给供应商造成的损失。</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采购单位向供应商提供的资料和数据，是采购单位现有的能使供应商利用的资料，采购单位对供应商由此作出的推论、理解和结论概不负责。</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如果供应商实质上不符合报价资格，即使参加报价并交纳各种费用，采购单位可以随时取消其报价或成交资格，采购单位对该供应商的一切损失概不负责。</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成交无效的，发出的成交通知书和签订的合同自始没有法律约束力，但不影响合同中存在的有关解决争议方法的条款的效力。</w:t>
      </w:r>
    </w:p>
    <w:p>
      <w:pPr>
        <w:pStyle w:val="32"/>
        <w:numPr>
          <w:ilvl w:val="1"/>
          <w:numId w:val="5"/>
        </w:numPr>
        <w:spacing w:line="360" w:lineRule="auto"/>
        <w:ind w:firstLine="420"/>
        <w:rPr>
          <w:rFonts w:ascii="Times New Roman" w:hAnsi="Times New Roman" w:eastAsia="宋体" w:cs="Times New Roman"/>
          <w:color w:val="000000"/>
          <w:szCs w:val="20"/>
        </w:rPr>
      </w:pPr>
      <w:r>
        <w:rPr>
          <w:rFonts w:ascii="Times New Roman" w:hAnsi="Times New Roman" w:eastAsia="宋体" w:cs="Times New Roman"/>
          <w:color w:val="000000"/>
          <w:szCs w:val="20"/>
        </w:rPr>
        <w:t>本采购文件所有的附件与本采购文件具有同等效力。</w:t>
      </w:r>
    </w:p>
    <w:p>
      <w:pPr>
        <w:widowControl/>
        <w:jc w:val="left"/>
        <w:rPr>
          <w:rFonts w:ascii="Times New Roman" w:hAnsi="Times New Roman" w:eastAsia="宋体" w:cs="Times New Roman"/>
        </w:rPr>
      </w:pPr>
      <w:r>
        <w:rPr>
          <w:rFonts w:ascii="Times New Roman" w:hAnsi="Times New Roman" w:eastAsia="宋体" w:cs="Times New Roman"/>
        </w:rPr>
        <w:br w:type="page"/>
      </w:r>
    </w:p>
    <w:p>
      <w:pPr>
        <w:jc w:val="center"/>
        <w:outlineLvl w:val="0"/>
        <w:rPr>
          <w:rFonts w:ascii="黑体" w:hAnsi="黑体" w:eastAsia="黑体"/>
          <w:b/>
          <w:bCs/>
          <w:sz w:val="44"/>
          <w:szCs w:val="44"/>
        </w:rPr>
      </w:pPr>
      <w:bookmarkStart w:id="60" w:name="_Toc16405"/>
      <w:bookmarkStart w:id="61" w:name="_Toc216716589"/>
      <w:r>
        <w:rPr>
          <w:rFonts w:hint="eastAsia" w:ascii="黑体" w:hAnsi="黑体" w:eastAsia="黑体"/>
          <w:b/>
          <w:bCs/>
          <w:sz w:val="44"/>
          <w:szCs w:val="44"/>
        </w:rPr>
        <w:t>第二章 报价</w:t>
      </w:r>
      <w:r>
        <w:rPr>
          <w:rFonts w:ascii="黑体" w:hAnsi="黑体" w:eastAsia="黑体"/>
          <w:b/>
          <w:bCs/>
          <w:sz w:val="44"/>
          <w:szCs w:val="44"/>
        </w:rPr>
        <w:t>文件格式</w:t>
      </w:r>
      <w:bookmarkEnd w:id="60"/>
      <w:bookmarkEnd w:id="61"/>
    </w:p>
    <w:p>
      <w:pPr>
        <w:widowControl/>
        <w:jc w:val="left"/>
        <w:rPr>
          <w:rFonts w:ascii="宋体" w:hAnsi="宋体" w:eastAsia="宋体"/>
        </w:rPr>
      </w:pPr>
      <w:r>
        <w:rPr>
          <w:rFonts w:ascii="宋体" w:hAnsi="宋体" w:eastAsia="宋体"/>
        </w:rPr>
        <w:br w:type="page"/>
      </w:r>
    </w:p>
    <w:p>
      <w:pPr>
        <w:spacing w:line="360" w:lineRule="auto"/>
        <w:rPr>
          <w:rFonts w:ascii="宋体" w:hAnsi="宋体" w:eastAsia="宋体"/>
          <w:sz w:val="24"/>
          <w:szCs w:val="24"/>
        </w:rPr>
      </w:pPr>
      <w:r>
        <w:rPr>
          <w:rFonts w:hint="eastAsia" w:ascii="宋体" w:hAnsi="宋体" w:eastAsia="宋体"/>
          <w:sz w:val="24"/>
          <w:szCs w:val="24"/>
        </w:rPr>
        <w:t>项目编号：</w:t>
      </w:r>
      <w:r>
        <w:rPr>
          <w:rFonts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rPr>
        <w:t>正（或副）本</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center"/>
        <w:rPr>
          <w:rFonts w:ascii="宋体" w:hAnsi="宋体" w:eastAsia="宋体"/>
          <w:sz w:val="28"/>
          <w:szCs w:val="28"/>
          <w:u w:val="single"/>
        </w:rPr>
      </w:pP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（项目名称）</w:t>
      </w:r>
      <w:r>
        <w:rPr>
          <w:rFonts w:ascii="宋体" w:hAnsi="宋体" w:eastAsia="宋体"/>
          <w:sz w:val="28"/>
          <w:szCs w:val="28"/>
          <w:u w:val="single"/>
        </w:rPr>
        <w:t xml:space="preserve">  </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center"/>
        <w:rPr>
          <w:rFonts w:ascii="宋体" w:hAnsi="宋体" w:eastAsia="宋体"/>
          <w:sz w:val="44"/>
          <w:szCs w:val="44"/>
        </w:rPr>
      </w:pPr>
      <w:r>
        <w:rPr>
          <w:rFonts w:hint="eastAsia" w:ascii="宋体" w:hAnsi="宋体" w:eastAsia="宋体"/>
          <w:sz w:val="44"/>
          <w:szCs w:val="44"/>
        </w:rPr>
        <w:t>报 价 文 件</w:t>
      </w:r>
    </w:p>
    <w:p>
      <w:pPr>
        <w:spacing w:line="360" w:lineRule="auto"/>
        <w:jc w:val="center"/>
        <w:outlineLvl w:val="1"/>
        <w:rPr>
          <w:rFonts w:ascii="宋体" w:hAnsi="宋体" w:eastAsia="宋体"/>
          <w:b/>
          <w:sz w:val="32"/>
          <w:szCs w:val="32"/>
        </w:rPr>
      </w:pPr>
      <w:bookmarkStart w:id="62" w:name="_Toc7105"/>
      <w:bookmarkStart w:id="63" w:name="_Toc216716590"/>
      <w:r>
        <w:rPr>
          <w:rFonts w:hint="eastAsia" w:ascii="宋体" w:hAnsi="宋体" w:eastAsia="宋体"/>
          <w:b/>
          <w:sz w:val="32"/>
          <w:szCs w:val="32"/>
        </w:rPr>
        <w:t>价格文件</w:t>
      </w:r>
      <w:bookmarkEnd w:id="62"/>
      <w:bookmarkEnd w:id="63"/>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center"/>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（盖单位章）</w:t>
      </w:r>
    </w:p>
    <w:p>
      <w:pPr>
        <w:spacing w:line="360" w:lineRule="auto"/>
        <w:jc w:val="center"/>
        <w:rPr>
          <w:rFonts w:ascii="宋体" w:hAnsi="宋体" w:eastAsia="宋体"/>
          <w:sz w:val="24"/>
          <w:szCs w:val="24"/>
        </w:rPr>
      </w:pPr>
      <w:r>
        <w:rPr>
          <w:rFonts w:hint="eastAsia" w:ascii="宋体" w:hAnsi="宋体" w:eastAsia="宋体"/>
          <w:sz w:val="24"/>
          <w:szCs w:val="24"/>
        </w:rPr>
        <w:t>法定代表人/负责人或其委托代理人：</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（签字）</w:t>
      </w:r>
    </w:p>
    <w:p>
      <w:pPr>
        <w:spacing w:line="360" w:lineRule="auto"/>
        <w:jc w:val="center"/>
        <w:rPr>
          <w:rFonts w:ascii="宋体" w:hAnsi="宋体" w:eastAsia="宋体"/>
          <w:sz w:val="24"/>
          <w:szCs w:val="24"/>
        </w:rPr>
      </w:pP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p>
    <w:p>
      <w:pPr>
        <w:widowControl/>
        <w:spacing w:line="360" w:lineRule="auto"/>
        <w:jc w:val="left"/>
        <w:rPr>
          <w:rFonts w:ascii="宋体" w:hAnsi="宋体" w:eastAsia="宋体"/>
          <w:sz w:val="24"/>
          <w:szCs w:val="24"/>
        </w:rPr>
      </w:pPr>
      <w:r>
        <w:rPr>
          <w:rFonts w:ascii="宋体" w:hAnsi="宋体" w:eastAsia="宋体"/>
          <w:sz w:val="24"/>
          <w:szCs w:val="24"/>
        </w:rPr>
        <w:br w:type="page"/>
      </w:r>
    </w:p>
    <w:p>
      <w:pPr>
        <w:spacing w:line="360" w:lineRule="auto"/>
        <w:jc w:val="center"/>
        <w:outlineLvl w:val="2"/>
        <w:rPr>
          <w:rFonts w:ascii="宋体" w:hAnsi="宋体" w:eastAsia="宋体"/>
          <w:b/>
          <w:sz w:val="32"/>
          <w:szCs w:val="32"/>
        </w:rPr>
      </w:pPr>
      <w:bookmarkStart w:id="64" w:name="_Toc74751942"/>
      <w:bookmarkStart w:id="65" w:name="_Toc78810855"/>
      <w:bookmarkStart w:id="66" w:name="_Toc75247482"/>
      <w:bookmarkStart w:id="67" w:name="_Toc133138761"/>
      <w:r>
        <w:rPr>
          <w:rFonts w:hint="eastAsia" w:ascii="宋体" w:hAnsi="宋体" w:eastAsia="宋体"/>
          <w:b/>
          <w:sz w:val="32"/>
          <w:szCs w:val="32"/>
        </w:rPr>
        <w:t>目录</w:t>
      </w:r>
      <w:bookmarkEnd w:id="64"/>
      <w:bookmarkEnd w:id="65"/>
      <w:bookmarkEnd w:id="66"/>
      <w:bookmarkEnd w:id="67"/>
    </w:p>
    <w:p>
      <w:pPr>
        <w:spacing w:line="360" w:lineRule="auto"/>
        <w:ind w:firstLine="420" w:firstLineChars="200"/>
        <w:rPr>
          <w:rFonts w:ascii="宋体" w:hAnsi="宋体" w:eastAsia="宋体"/>
        </w:rPr>
      </w:pPr>
      <w:r>
        <w:rPr>
          <w:rFonts w:hint="eastAsia" w:ascii="宋体" w:hAnsi="宋体" w:eastAsia="宋体"/>
        </w:rPr>
        <w:t>为便于评审小组查阅文件，请供应商自行编制目录。</w:t>
      </w:r>
    </w:p>
    <w:p>
      <w:pPr>
        <w:spacing w:line="360" w:lineRule="auto"/>
        <w:rPr>
          <w:rFonts w:ascii="宋体" w:hAnsi="宋体" w:eastAsia="宋体" w:cs="Times New Roman"/>
          <w:color w:val="000000"/>
          <w:szCs w:val="20"/>
        </w:rPr>
      </w:pPr>
      <w:r>
        <w:rPr>
          <w:rFonts w:ascii="宋体" w:hAnsi="宋体" w:eastAsia="宋体" w:cs="Times New Roman"/>
          <w:color w:val="000000"/>
          <w:szCs w:val="20"/>
        </w:rPr>
        <w:br w:type="page"/>
      </w:r>
    </w:p>
    <w:p>
      <w:pPr>
        <w:spacing w:line="360" w:lineRule="auto"/>
        <w:jc w:val="left"/>
        <w:outlineLvl w:val="1"/>
        <w:rPr>
          <w:rFonts w:ascii="宋体" w:hAnsi="宋体" w:eastAsia="宋体"/>
          <w:b/>
          <w:sz w:val="32"/>
          <w:szCs w:val="32"/>
        </w:rPr>
      </w:pPr>
      <w:bookmarkStart w:id="68" w:name="_Toc26871"/>
      <w:bookmarkStart w:id="69" w:name="_Toc216716591"/>
      <w:bookmarkStart w:id="70" w:name="_Toc75247483"/>
      <w:bookmarkStart w:id="71" w:name="_Toc78810856"/>
      <w:r>
        <w:rPr>
          <w:rFonts w:hint="eastAsia" w:ascii="宋体" w:hAnsi="宋体" w:eastAsia="宋体"/>
          <w:b/>
          <w:sz w:val="32"/>
          <w:szCs w:val="32"/>
        </w:rPr>
        <w:t>价格部分</w:t>
      </w:r>
      <w:bookmarkEnd w:id="68"/>
      <w:bookmarkEnd w:id="69"/>
      <w:bookmarkEnd w:id="70"/>
      <w:bookmarkEnd w:id="71"/>
    </w:p>
    <w:p>
      <w:pPr>
        <w:spacing w:line="360" w:lineRule="auto"/>
        <w:jc w:val="center"/>
        <w:outlineLvl w:val="2"/>
        <w:rPr>
          <w:rFonts w:ascii="宋体" w:hAnsi="宋体" w:eastAsia="宋体"/>
          <w:b/>
          <w:sz w:val="32"/>
          <w:szCs w:val="32"/>
        </w:rPr>
      </w:pPr>
      <w:bookmarkStart w:id="72" w:name="_Toc133138763"/>
      <w:bookmarkStart w:id="73" w:name="_Toc78810857"/>
      <w:bookmarkStart w:id="74" w:name="_Toc75247484"/>
      <w:r>
        <w:rPr>
          <w:rFonts w:hint="eastAsia" w:ascii="宋体" w:hAnsi="宋体" w:eastAsia="宋体"/>
          <w:b/>
          <w:sz w:val="32"/>
          <w:szCs w:val="32"/>
        </w:rPr>
        <w:t>响应函</w:t>
      </w:r>
      <w:bookmarkEnd w:id="72"/>
      <w:bookmarkEnd w:id="73"/>
      <w:bookmarkEnd w:id="74"/>
    </w:p>
    <w:p>
      <w:pPr>
        <w:spacing w:line="360" w:lineRule="auto"/>
        <w:rPr>
          <w:rFonts w:ascii="Times New Roman" w:hAnsi="Times New Roman" w:eastAsia="宋体" w:cs="Times New Roman"/>
          <w:u w:val="single"/>
        </w:rPr>
      </w:pPr>
      <w:r>
        <w:rPr>
          <w:rFonts w:ascii="Times New Roman" w:hAnsi="Times New Roman" w:eastAsia="宋体" w:cs="Times New Roman"/>
        </w:rPr>
        <w:t>致：</w:t>
      </w:r>
      <w:r>
        <w:rPr>
          <w:rFonts w:ascii="Times New Roman" w:hAnsi="Times New Roman" w:eastAsia="宋体" w:cs="Times New Roman"/>
          <w:u w:val="single"/>
        </w:rPr>
        <w:t xml:space="preserve">               </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根据贵方编号为</w:t>
      </w:r>
      <w:r>
        <w:rPr>
          <w:rFonts w:ascii="Times New Roman" w:hAnsi="Times New Roman" w:eastAsia="宋体" w:cs="Times New Roman"/>
          <w:u w:val="single"/>
        </w:rPr>
        <w:t xml:space="preserve">               </w:t>
      </w:r>
      <w:r>
        <w:rPr>
          <w:rFonts w:ascii="Times New Roman" w:hAnsi="Times New Roman" w:eastAsia="宋体" w:cs="Times New Roman"/>
        </w:rPr>
        <w:t>的</w:t>
      </w:r>
      <w:r>
        <w:rPr>
          <w:rFonts w:ascii="Times New Roman" w:hAnsi="Times New Roman" w:eastAsia="宋体" w:cs="Times New Roman"/>
          <w:u w:val="single"/>
        </w:rPr>
        <w:t xml:space="preserve">                  </w:t>
      </w:r>
      <w:r>
        <w:rPr>
          <w:rFonts w:ascii="Times New Roman" w:hAnsi="Times New Roman" w:eastAsia="宋体" w:cs="Times New Roman"/>
        </w:rPr>
        <w:t>项目的采购文件及本次采购的补遗文件，我方已详细审核了全部采购文件及有关附件。我方完全理解并同意放弃对这方面有不明及误解的权利。</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1.我方保证遵守有关法律法规和采购文件的有关规定；保证服从采购有关议程事项安排，服从采购有关会议现场纪律。若有违反，同意被废除报价资料并接受处罚。</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2.我方已按采购文件规定的形式和金额提交响应担保，并且保证所提交的保证金是从我方基本账户汇出，银行保函是由我方基本账户开户银行所在网点或其上级银行机构出具，如不按上述原则提交响应担保，贵方有权取消我方的中选资格或单方面终止合同，由此造成的责任由我方承担。</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3.我方同意所递交的报价文件在采购文件规定的有效期内有效，在此期间，若我方中选，我方将受此约束。如果我方在报价有效期内撤回报价或放弃中选资格，或在中选后未能在规定时间内提交履约担保或拒绝与采购单位签订合同，我方的响应担保将全额没收，贵方可取消我方中选资格，另选中选单位，给贵方造成的损失超过我方响应担保金额的，贵方还有权要求我方对超过部分进行赔偿。</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4.若我方中选，我方将按采购文件规定提交采购单位认可的履约担保。</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5.我方同意按照贵方要求提供与本采购项目有关的一切数据或资料，完全理解贵方不一定接受最低的报价或收到的任何报价。</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6.我方保证报价文件内容无任何虚假。若评审过程中查有虚假，同意作无效标或废标处理，并被没收响应担保；若中选后查有虚假，同意被废除授标并被没收响应担保。</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供应商名称：</w:t>
      </w:r>
      <w:r>
        <w:rPr>
          <w:rFonts w:ascii="Times New Roman" w:hAnsi="Times New Roman" w:eastAsia="宋体" w:cs="Times New Roman"/>
          <w:u w:val="single"/>
        </w:rPr>
        <w:t xml:space="preserve">                             </w:t>
      </w:r>
      <w:r>
        <w:rPr>
          <w:rFonts w:ascii="Times New Roman" w:hAnsi="Times New Roman" w:eastAsia="宋体" w:cs="Times New Roman"/>
        </w:rPr>
        <w:t>（盖章）</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供应商代表：</w:t>
      </w:r>
      <w:r>
        <w:rPr>
          <w:rFonts w:ascii="Times New Roman" w:hAnsi="Times New Roman" w:eastAsia="宋体" w:cs="Times New Roman"/>
          <w:u w:val="single"/>
        </w:rPr>
        <w:t xml:space="preserve">                             </w:t>
      </w:r>
      <w:r>
        <w:rPr>
          <w:rFonts w:ascii="Times New Roman" w:hAnsi="Times New Roman" w:eastAsia="宋体" w:cs="Times New Roman"/>
        </w:rPr>
        <w:t>（签字或盖章）</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联系地址：</w:t>
      </w:r>
      <w:r>
        <w:rPr>
          <w:rFonts w:ascii="Times New Roman" w:hAnsi="Times New Roman" w:eastAsia="宋体" w:cs="Times New Roman"/>
          <w:u w:val="single"/>
        </w:rPr>
        <w:t xml:space="preserve">                               </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联系电话：</w:t>
      </w:r>
      <w:r>
        <w:rPr>
          <w:rFonts w:ascii="Times New Roman" w:hAnsi="Times New Roman" w:eastAsia="宋体" w:cs="Times New Roman"/>
          <w:u w:val="single"/>
        </w:rPr>
        <w:t xml:space="preserve">                               </w:t>
      </w:r>
    </w:p>
    <w:p>
      <w:pPr>
        <w:spacing w:line="360" w:lineRule="auto"/>
        <w:ind w:firstLine="420" w:firstLineChars="200"/>
        <w:rPr>
          <w:rFonts w:ascii="Times New Roman" w:hAnsi="Times New Roman" w:eastAsia="宋体" w:cs="Times New Roman"/>
          <w:u w:val="single"/>
        </w:rPr>
      </w:pPr>
      <w:r>
        <w:rPr>
          <w:rFonts w:ascii="Times New Roman" w:hAnsi="Times New Roman" w:eastAsia="宋体" w:cs="Times New Roman"/>
        </w:rPr>
        <w:t>日期：</w:t>
      </w:r>
      <w:r>
        <w:rPr>
          <w:rFonts w:ascii="Times New Roman" w:hAnsi="Times New Roman" w:eastAsia="宋体" w:cs="Times New Roman"/>
          <w:u w:val="single"/>
        </w:rPr>
        <w:t xml:space="preserve">                                   </w:t>
      </w:r>
      <w:r>
        <w:rPr>
          <w:rFonts w:ascii="Times New Roman" w:hAnsi="Times New Roman" w:eastAsia="宋体" w:cs="Times New Roman"/>
        </w:rPr>
        <w:br w:type="page"/>
      </w:r>
    </w:p>
    <w:p>
      <w:pPr>
        <w:tabs>
          <w:tab w:val="left" w:pos="7560"/>
        </w:tabs>
        <w:spacing w:line="360" w:lineRule="auto"/>
        <w:jc w:val="center"/>
        <w:outlineLvl w:val="2"/>
        <w:rPr>
          <w:rFonts w:ascii="宋体" w:hAnsi="宋体" w:eastAsia="宋体"/>
          <w:b/>
          <w:sz w:val="30"/>
          <w:szCs w:val="30"/>
        </w:rPr>
      </w:pPr>
      <w:bookmarkStart w:id="75" w:name="_Toc133138764"/>
      <w:bookmarkStart w:id="76" w:name="_Toc8284333"/>
      <w:bookmarkStart w:id="77" w:name="_Toc43470704"/>
      <w:bookmarkStart w:id="78" w:name="_Toc74751945"/>
      <w:bookmarkStart w:id="79" w:name="_Toc20405977"/>
      <w:bookmarkStart w:id="80" w:name="_Toc78810858"/>
      <w:bookmarkStart w:id="81" w:name="_Toc75247485"/>
      <w:r>
        <w:rPr>
          <w:rFonts w:hint="eastAsia" w:ascii="宋体" w:hAnsi="宋体" w:eastAsia="宋体"/>
          <w:b/>
          <w:sz w:val="32"/>
          <w:szCs w:val="32"/>
        </w:rPr>
        <w:t>报价一览表</w:t>
      </w:r>
      <w:bookmarkEnd w:id="75"/>
      <w:bookmarkEnd w:id="76"/>
      <w:bookmarkEnd w:id="77"/>
      <w:bookmarkEnd w:id="78"/>
      <w:bookmarkEnd w:id="79"/>
      <w:bookmarkEnd w:id="80"/>
      <w:bookmarkEnd w:id="81"/>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采购单位：</w:t>
      </w:r>
    </w:p>
    <w:p>
      <w:pPr>
        <w:tabs>
          <w:tab w:val="left" w:pos="7560"/>
        </w:tabs>
        <w:spacing w:line="360" w:lineRule="auto"/>
        <w:ind w:firstLine="560" w:firstLineChars="200"/>
        <w:rPr>
          <w:rFonts w:ascii="宋体" w:hAnsi="宋体" w:eastAsia="宋体"/>
          <w:sz w:val="28"/>
        </w:rPr>
      </w:pPr>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项目名称：</w:t>
      </w:r>
    </w:p>
    <w:p>
      <w:pPr>
        <w:tabs>
          <w:tab w:val="left" w:pos="7560"/>
        </w:tabs>
        <w:spacing w:line="360" w:lineRule="auto"/>
        <w:ind w:firstLine="560" w:firstLineChars="200"/>
        <w:rPr>
          <w:rFonts w:ascii="宋体" w:hAnsi="宋体" w:eastAsia="宋体"/>
          <w:sz w:val="28"/>
        </w:rPr>
      </w:pPr>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总价（小写）：</w:t>
      </w:r>
    </w:p>
    <w:p>
      <w:pPr>
        <w:tabs>
          <w:tab w:val="left" w:pos="7560"/>
        </w:tabs>
        <w:spacing w:line="360" w:lineRule="auto"/>
        <w:ind w:firstLine="560" w:firstLineChars="200"/>
        <w:rPr>
          <w:rFonts w:ascii="宋体" w:hAnsi="宋体" w:eastAsia="宋体"/>
          <w:sz w:val="28"/>
        </w:rPr>
      </w:pPr>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 xml:space="preserve">    （大写）：</w:t>
      </w:r>
    </w:p>
    <w:p>
      <w:pPr>
        <w:tabs>
          <w:tab w:val="left" w:pos="7560"/>
        </w:tabs>
        <w:spacing w:line="360" w:lineRule="auto"/>
        <w:ind w:firstLine="560" w:firstLineChars="200"/>
        <w:rPr>
          <w:rFonts w:ascii="宋体" w:hAnsi="宋体" w:eastAsia="宋体"/>
          <w:sz w:val="28"/>
        </w:rPr>
      </w:pPr>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发票税率：</w:t>
      </w:r>
    </w:p>
    <w:p>
      <w:pPr>
        <w:tabs>
          <w:tab w:val="left" w:pos="7560"/>
        </w:tabs>
        <w:spacing w:line="360" w:lineRule="auto"/>
        <w:ind w:firstLine="560" w:firstLineChars="200"/>
        <w:rPr>
          <w:rFonts w:ascii="宋体" w:hAnsi="宋体" w:eastAsia="宋体"/>
          <w:sz w:val="28"/>
        </w:rPr>
      </w:pPr>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工期：</w:t>
      </w:r>
    </w:p>
    <w:p>
      <w:pPr>
        <w:tabs>
          <w:tab w:val="left" w:pos="7560"/>
        </w:tabs>
        <w:spacing w:line="360" w:lineRule="auto"/>
        <w:ind w:firstLine="560" w:firstLineChars="200"/>
        <w:rPr>
          <w:rFonts w:ascii="宋体" w:hAnsi="宋体" w:eastAsia="宋体"/>
          <w:sz w:val="28"/>
        </w:rPr>
      </w:pPr>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供应商（盖章）：</w:t>
      </w:r>
    </w:p>
    <w:p>
      <w:pPr>
        <w:tabs>
          <w:tab w:val="left" w:pos="7560"/>
        </w:tabs>
        <w:spacing w:line="360" w:lineRule="auto"/>
        <w:ind w:firstLine="560" w:firstLineChars="200"/>
        <w:rPr>
          <w:rFonts w:ascii="宋体" w:hAnsi="宋体" w:eastAsia="宋体"/>
          <w:sz w:val="28"/>
        </w:rPr>
      </w:pPr>
    </w:p>
    <w:p>
      <w:pPr>
        <w:tabs>
          <w:tab w:val="left" w:pos="7560"/>
        </w:tabs>
        <w:spacing w:line="360" w:lineRule="auto"/>
        <w:ind w:firstLine="560" w:firstLineChars="200"/>
        <w:rPr>
          <w:rFonts w:ascii="宋体" w:hAnsi="宋体" w:eastAsia="宋体"/>
          <w:sz w:val="28"/>
          <w:u w:val="single"/>
        </w:rPr>
      </w:pPr>
      <w:r>
        <w:rPr>
          <w:rFonts w:hint="eastAsia" w:ascii="宋体" w:hAnsi="宋体" w:eastAsia="宋体"/>
          <w:sz w:val="28"/>
        </w:rPr>
        <w:t>法定代表人/负责人委托代理人（签字或盖章）：</w:t>
      </w:r>
    </w:p>
    <w:p>
      <w:pPr>
        <w:tabs>
          <w:tab w:val="left" w:pos="7560"/>
        </w:tabs>
        <w:spacing w:line="360" w:lineRule="auto"/>
        <w:ind w:firstLine="560" w:firstLineChars="200"/>
        <w:rPr>
          <w:rFonts w:ascii="宋体" w:hAnsi="宋体" w:eastAsia="宋体"/>
          <w:sz w:val="28"/>
          <w:u w:val="single"/>
        </w:rPr>
      </w:pPr>
    </w:p>
    <w:p>
      <w:pPr>
        <w:tabs>
          <w:tab w:val="left" w:pos="7560"/>
        </w:tabs>
        <w:spacing w:line="360" w:lineRule="auto"/>
        <w:ind w:firstLine="560" w:firstLineChars="200"/>
        <w:rPr>
          <w:rFonts w:ascii="宋体" w:hAnsi="宋体" w:eastAsia="宋体"/>
          <w:sz w:val="28"/>
        </w:rPr>
      </w:pPr>
      <w:r>
        <w:rPr>
          <w:rFonts w:hint="eastAsia" w:ascii="宋体" w:hAnsi="宋体" w:eastAsia="宋体"/>
          <w:sz w:val="28"/>
        </w:rPr>
        <w:t>编制时间：</w:t>
      </w:r>
    </w:p>
    <w:p>
      <w:pPr>
        <w:widowControl/>
        <w:jc w:val="left"/>
        <w:rPr>
          <w:rFonts w:ascii="仿宋_GB2312" w:hAnsi="宋体" w:eastAsia="仿宋_GB2312"/>
          <w:sz w:val="28"/>
        </w:rPr>
      </w:pPr>
      <w:r>
        <w:rPr>
          <w:rFonts w:ascii="仿宋_GB2312" w:hAnsi="宋体" w:eastAsia="仿宋_GB2312"/>
          <w:sz w:val="28"/>
        </w:rPr>
        <w:br w:type="page"/>
      </w:r>
    </w:p>
    <w:p>
      <w:pPr>
        <w:tabs>
          <w:tab w:val="left" w:pos="7560"/>
        </w:tabs>
        <w:spacing w:line="360" w:lineRule="auto"/>
        <w:jc w:val="center"/>
        <w:outlineLvl w:val="2"/>
        <w:rPr>
          <w:rFonts w:ascii="宋体" w:hAnsi="宋体" w:eastAsia="宋体"/>
          <w:b/>
          <w:sz w:val="32"/>
          <w:szCs w:val="32"/>
        </w:rPr>
      </w:pPr>
      <w:bookmarkStart w:id="82" w:name="_Toc133138765"/>
      <w:bookmarkStart w:id="83" w:name="_Toc75247486"/>
      <w:bookmarkStart w:id="84" w:name="_Toc78810859"/>
      <w:r>
        <w:rPr>
          <w:rFonts w:hint="eastAsia" w:ascii="宋体" w:hAnsi="宋体" w:eastAsia="宋体"/>
          <w:b/>
          <w:sz w:val="32"/>
          <w:szCs w:val="32"/>
        </w:rPr>
        <w:t>分项</w:t>
      </w:r>
      <w:r>
        <w:rPr>
          <w:rFonts w:ascii="宋体" w:hAnsi="宋体" w:eastAsia="宋体"/>
          <w:b/>
          <w:sz w:val="32"/>
          <w:szCs w:val="32"/>
        </w:rPr>
        <w:t>报价一览表</w:t>
      </w:r>
      <w:bookmarkEnd w:id="82"/>
      <w:bookmarkEnd w:id="83"/>
      <w:bookmarkEnd w:id="84"/>
    </w:p>
    <w:tbl>
      <w:tblPr>
        <w:tblStyle w:val="14"/>
        <w:tblW w:w="8359" w:type="dxa"/>
        <w:tblInd w:w="0" w:type="dxa"/>
        <w:tblLayout w:type="autofit"/>
        <w:tblCellMar>
          <w:top w:w="0" w:type="dxa"/>
          <w:left w:w="108" w:type="dxa"/>
          <w:bottom w:w="0" w:type="dxa"/>
          <w:right w:w="108" w:type="dxa"/>
        </w:tblCellMar>
      </w:tblPr>
      <w:tblGrid>
        <w:gridCol w:w="1080"/>
        <w:gridCol w:w="1183"/>
        <w:gridCol w:w="6096"/>
      </w:tblGrid>
      <w:tr>
        <w:tblPrEx>
          <w:tblCellMar>
            <w:top w:w="0" w:type="dxa"/>
            <w:left w:w="108" w:type="dxa"/>
            <w:bottom w:w="0" w:type="dxa"/>
            <w:right w:w="108"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4"/>
              </w:rPr>
            </w:pPr>
            <w:r>
              <w:rPr>
                <w:rFonts w:hint="eastAsia" w:ascii="宋体" w:hAnsi="宋体" w:eastAsia="宋体" w:cs="宋体"/>
                <w:color w:val="000000"/>
                <w:kern w:val="0"/>
                <w:szCs w:val="24"/>
              </w:rPr>
              <w:t>项目</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4"/>
              </w:rPr>
            </w:pPr>
            <w:r>
              <w:rPr>
                <w:rFonts w:hint="eastAsia" w:ascii="宋体" w:hAnsi="宋体" w:eastAsia="宋体" w:cs="宋体"/>
                <w:color w:val="000000"/>
                <w:kern w:val="0"/>
                <w:szCs w:val="24"/>
              </w:rPr>
              <w:t>含税金额（元）</w:t>
            </w:r>
          </w:p>
        </w:tc>
        <w:tc>
          <w:tcPr>
            <w:tcW w:w="609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4"/>
              </w:rPr>
            </w:pPr>
            <w:r>
              <w:rPr>
                <w:rFonts w:hint="eastAsia" w:ascii="宋体" w:hAnsi="宋体" w:eastAsia="宋体" w:cs="宋体"/>
                <w:color w:val="000000"/>
                <w:kern w:val="0"/>
                <w:szCs w:val="24"/>
              </w:rPr>
              <w:t>备注</w:t>
            </w:r>
          </w:p>
        </w:tc>
      </w:tr>
      <w:tr>
        <w:tblPrEx>
          <w:tblCellMar>
            <w:top w:w="0" w:type="dxa"/>
            <w:left w:w="108" w:type="dxa"/>
            <w:bottom w:w="0" w:type="dxa"/>
            <w:right w:w="108" w:type="dxa"/>
          </w:tblCellMar>
        </w:tblPrEx>
        <w:trPr>
          <w:trHeight w:val="3000"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4"/>
              </w:rPr>
            </w:pPr>
            <w:r>
              <w:rPr>
                <w:rFonts w:hint="eastAsia" w:ascii="宋体" w:hAnsi="宋体" w:eastAsia="宋体" w:cs="宋体"/>
                <w:color w:val="000000"/>
                <w:kern w:val="0"/>
                <w:szCs w:val="24"/>
              </w:rPr>
              <w:t>规划设计服务</w:t>
            </w:r>
          </w:p>
        </w:tc>
        <w:tc>
          <w:tcPr>
            <w:tcW w:w="1183"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Cs w:val="24"/>
              </w:rPr>
            </w:pPr>
          </w:p>
        </w:tc>
        <w:tc>
          <w:tcPr>
            <w:tcW w:w="60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开展现场调研，全面梳理现有电力通信光纤网络现状，完成现状评估与问题诊断；结合公司发展规划和新型电力系统统建设要求，预测未来五年各类通信业务带宽、时延、可靠性需求；制定五年规划总体目标、实施原则、网络架构优化方案、防护方案，输出《深圳前海蛇口自贸区供电有限公司电力通信规划设计》成果文件。</w:t>
            </w:r>
          </w:p>
        </w:tc>
      </w:tr>
      <w:tr>
        <w:tblPrEx>
          <w:tblCellMar>
            <w:top w:w="0" w:type="dxa"/>
            <w:left w:w="108" w:type="dxa"/>
            <w:bottom w:w="0" w:type="dxa"/>
            <w:right w:w="108" w:type="dxa"/>
          </w:tblCellMar>
        </w:tblPrEx>
        <w:trPr>
          <w:trHeight w:val="1602"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4"/>
              </w:rPr>
            </w:pPr>
            <w:r>
              <w:rPr>
                <w:rFonts w:hint="eastAsia" w:ascii="宋体" w:hAnsi="宋体" w:eastAsia="宋体" w:cs="宋体"/>
                <w:color w:val="000000"/>
                <w:kern w:val="0"/>
                <w:szCs w:val="24"/>
              </w:rPr>
              <w:t>专家评审配合及成果修改</w:t>
            </w:r>
          </w:p>
        </w:tc>
        <w:tc>
          <w:tcPr>
            <w:tcW w:w="1183"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Cs w:val="24"/>
              </w:rPr>
            </w:pPr>
          </w:p>
        </w:tc>
        <w:tc>
          <w:tcPr>
            <w:tcW w:w="60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配合内外部专家评审会，根据评审意见完成成果修改完善直至通过评审；按要求提供电子版及纸质版成果文件。</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4"/>
              </w:rPr>
            </w:pPr>
            <w:r>
              <w:rPr>
                <w:rFonts w:hint="eastAsia" w:ascii="宋体" w:hAnsi="宋体" w:eastAsia="宋体" w:cs="宋体"/>
                <w:color w:val="000000"/>
                <w:kern w:val="0"/>
                <w:szCs w:val="24"/>
              </w:rPr>
              <w:t>合计</w:t>
            </w:r>
          </w:p>
        </w:tc>
        <w:tc>
          <w:tcPr>
            <w:tcW w:w="1183" w:type="dxa"/>
            <w:tcBorders>
              <w:top w:val="nil"/>
              <w:left w:val="nil"/>
              <w:bottom w:val="single" w:color="auto" w:sz="4" w:space="0"/>
              <w:right w:val="single" w:color="auto" w:sz="4" w:space="0"/>
            </w:tcBorders>
            <w:vAlign w:val="center"/>
          </w:tcPr>
          <w:p>
            <w:pPr>
              <w:widowControl/>
              <w:jc w:val="right"/>
              <w:rPr>
                <w:rFonts w:ascii="宋体" w:hAnsi="宋体" w:eastAsia="宋体" w:cs="宋体"/>
                <w:color w:val="000000"/>
                <w:kern w:val="0"/>
                <w:szCs w:val="24"/>
              </w:rPr>
            </w:pPr>
          </w:p>
        </w:tc>
        <w:tc>
          <w:tcPr>
            <w:tcW w:w="6096"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　</w:t>
            </w:r>
          </w:p>
        </w:tc>
      </w:tr>
    </w:tbl>
    <w:p>
      <w:pPr>
        <w:widowControl/>
        <w:spacing w:line="360" w:lineRule="auto"/>
        <w:ind w:firstLine="420" w:firstLineChars="200"/>
        <w:jc w:val="left"/>
        <w:rPr>
          <w:rFonts w:ascii="宋体" w:hAnsi="宋体" w:eastAsia="宋体"/>
        </w:rPr>
      </w:pPr>
      <w:r>
        <w:rPr>
          <w:rFonts w:hint="eastAsia" w:ascii="宋体" w:hAnsi="宋体" w:eastAsia="宋体"/>
        </w:rPr>
        <w:t>Excel表格电子版分项报价表请随电子版报价文件一并提供。</w:t>
      </w:r>
    </w:p>
    <w:p>
      <w:pPr>
        <w:widowControl/>
        <w:spacing w:line="360" w:lineRule="auto"/>
        <w:ind w:firstLine="422" w:firstLineChars="200"/>
        <w:jc w:val="left"/>
        <w:rPr>
          <w:rFonts w:ascii="宋体" w:hAnsi="宋体" w:eastAsia="宋体"/>
          <w:b/>
        </w:rPr>
      </w:pPr>
      <w:r>
        <w:rPr>
          <w:rFonts w:hint="eastAsia" w:ascii="宋体" w:hAnsi="宋体" w:eastAsia="宋体"/>
          <w:b/>
        </w:rPr>
        <w:t>分项报价表填写说明：</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1.</w:t>
      </w:r>
      <w:r>
        <w:rPr>
          <w:rFonts w:ascii="Times New Roman" w:hAnsi="Times New Roman" w:cs="Times New Roman"/>
        </w:rPr>
        <w:t xml:space="preserve"> </w:t>
      </w:r>
      <w:r>
        <w:rPr>
          <w:rFonts w:ascii="Times New Roman" w:hAnsi="Times New Roman" w:eastAsia="宋体" w:cs="Times New Roman"/>
        </w:rPr>
        <w:t>投标报价是</w:t>
      </w:r>
      <w:r>
        <w:rPr>
          <w:rFonts w:hint="eastAsia" w:ascii="Times New Roman" w:hAnsi="Times New Roman" w:eastAsia="宋体" w:cs="Times New Roman"/>
        </w:rPr>
        <w:t>供应商</w:t>
      </w:r>
      <w:r>
        <w:rPr>
          <w:rFonts w:ascii="Times New Roman" w:hAnsi="Times New Roman" w:eastAsia="宋体" w:cs="Times New Roman"/>
        </w:rPr>
        <w:t>的</w:t>
      </w:r>
      <w:r>
        <w:rPr>
          <w:rFonts w:hint="eastAsia" w:ascii="Times New Roman" w:hAnsi="Times New Roman" w:eastAsia="宋体" w:cs="Times New Roman"/>
        </w:rPr>
        <w:t>报价</w:t>
      </w:r>
      <w:r>
        <w:rPr>
          <w:rFonts w:ascii="Times New Roman" w:hAnsi="Times New Roman" w:eastAsia="宋体" w:cs="Times New Roman"/>
        </w:rPr>
        <w:t>文件中提出的各项支付费用的金额总和，包括国家规定的增值税税金。</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2.</w:t>
      </w:r>
      <w:r>
        <w:rPr>
          <w:rFonts w:ascii="Times New Roman" w:hAnsi="Times New Roman" w:cs="Times New Roman"/>
        </w:rPr>
        <w:t xml:space="preserve"> </w:t>
      </w:r>
      <w:r>
        <w:rPr>
          <w:rFonts w:hint="eastAsia" w:ascii="Times New Roman" w:hAnsi="Times New Roman" w:eastAsia="宋体" w:cs="Times New Roman"/>
        </w:rPr>
        <w:t>供应商</w:t>
      </w:r>
      <w:r>
        <w:rPr>
          <w:rFonts w:ascii="Times New Roman" w:hAnsi="Times New Roman" w:eastAsia="宋体" w:cs="Times New Roman"/>
        </w:rPr>
        <w:t>应充分了解项目的总体情况以及影响投标报价的其他因素。</w:t>
      </w:r>
      <w:r>
        <w:rPr>
          <w:rFonts w:hint="eastAsia" w:ascii="Times New Roman" w:hAnsi="Times New Roman" w:eastAsia="宋体" w:cs="Times New Roman"/>
        </w:rPr>
        <w:t>供应商</w:t>
      </w:r>
      <w:r>
        <w:rPr>
          <w:rFonts w:ascii="Times New Roman" w:hAnsi="Times New Roman" w:eastAsia="宋体" w:cs="Times New Roman"/>
        </w:rPr>
        <w:t>的投标报价应包括第五章“项目需求书”和通用合同、专用合同上所列的各项内容的全部。</w:t>
      </w:r>
    </w:p>
    <w:p>
      <w:pPr>
        <w:spacing w:line="360" w:lineRule="auto"/>
        <w:ind w:firstLine="420" w:firstLineChars="200"/>
        <w:rPr>
          <w:rFonts w:ascii="宋体" w:hAnsi="宋体" w:eastAsia="宋体"/>
        </w:rPr>
      </w:pPr>
      <w:r>
        <w:rPr>
          <w:rFonts w:hint="eastAsia" w:ascii="Times New Roman" w:hAnsi="Times New Roman" w:eastAsia="宋体" w:cs="Times New Roman"/>
        </w:rPr>
        <w:t>3</w:t>
      </w:r>
      <w:r>
        <w:rPr>
          <w:rFonts w:ascii="Times New Roman" w:hAnsi="Times New Roman" w:eastAsia="宋体" w:cs="Times New Roman"/>
        </w:rPr>
        <w:t>.</w:t>
      </w:r>
      <w:r>
        <w:rPr>
          <w:rFonts w:hint="eastAsia" w:ascii="Times New Roman" w:hAnsi="Times New Roman" w:eastAsia="宋体" w:cs="Times New Roman"/>
          <w:color w:val="000000"/>
          <w:szCs w:val="20"/>
        </w:rPr>
        <w:t xml:space="preserve"> 本项目投标报价单位均为“元”，供应商所填报的投标报价均保留至小数点后两位。</w:t>
      </w:r>
    </w:p>
    <w:p>
      <w:pPr>
        <w:widowControl/>
        <w:jc w:val="left"/>
        <w:rPr>
          <w:rFonts w:ascii="宋体" w:hAnsi="宋体" w:eastAsia="宋体"/>
        </w:rPr>
      </w:pPr>
      <w:r>
        <w:rPr>
          <w:rFonts w:ascii="宋体" w:hAnsi="宋体" w:eastAsia="宋体"/>
        </w:rPr>
        <w:br w:type="page"/>
      </w:r>
    </w:p>
    <w:p>
      <w:pPr>
        <w:spacing w:line="360" w:lineRule="auto"/>
        <w:rPr>
          <w:rFonts w:ascii="宋体" w:hAnsi="宋体" w:eastAsia="宋体"/>
          <w:sz w:val="24"/>
          <w:szCs w:val="24"/>
        </w:rPr>
      </w:pPr>
      <w:bookmarkStart w:id="85" w:name="_Toc75247487"/>
      <w:bookmarkStart w:id="86" w:name="_Toc74751947"/>
      <w:bookmarkStart w:id="87" w:name="_Toc78810860"/>
      <w:r>
        <w:rPr>
          <w:rFonts w:hint="eastAsia" w:ascii="宋体" w:hAnsi="宋体" w:eastAsia="宋体"/>
          <w:sz w:val="24"/>
          <w:szCs w:val="24"/>
        </w:rPr>
        <w:t>项目编号：</w:t>
      </w:r>
      <w:r>
        <w:rPr>
          <w:rFonts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rPr>
        <w:t>正（或副）本</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center"/>
        <w:rPr>
          <w:rFonts w:ascii="宋体" w:hAnsi="宋体" w:eastAsia="宋体"/>
          <w:sz w:val="28"/>
          <w:szCs w:val="28"/>
          <w:u w:val="single"/>
        </w:rPr>
      </w:pP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（项目名称）</w:t>
      </w:r>
      <w:r>
        <w:rPr>
          <w:rFonts w:ascii="宋体" w:hAnsi="宋体" w:eastAsia="宋体"/>
          <w:sz w:val="28"/>
          <w:szCs w:val="28"/>
          <w:u w:val="single"/>
        </w:rPr>
        <w:t xml:space="preserve">  </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center"/>
        <w:rPr>
          <w:rFonts w:ascii="宋体" w:hAnsi="宋体" w:eastAsia="宋体"/>
          <w:sz w:val="44"/>
          <w:szCs w:val="44"/>
        </w:rPr>
      </w:pPr>
      <w:r>
        <w:rPr>
          <w:rFonts w:hint="eastAsia" w:ascii="宋体" w:hAnsi="宋体" w:eastAsia="宋体"/>
          <w:sz w:val="44"/>
          <w:szCs w:val="44"/>
        </w:rPr>
        <w:t>报 价 文 件</w:t>
      </w:r>
    </w:p>
    <w:p>
      <w:pPr>
        <w:spacing w:line="360" w:lineRule="auto"/>
        <w:jc w:val="center"/>
        <w:outlineLvl w:val="1"/>
        <w:rPr>
          <w:rFonts w:ascii="宋体" w:hAnsi="宋体" w:eastAsia="宋体"/>
          <w:b/>
          <w:sz w:val="32"/>
          <w:szCs w:val="32"/>
        </w:rPr>
      </w:pPr>
      <w:bookmarkStart w:id="88" w:name="_Toc216716592"/>
      <w:bookmarkStart w:id="89" w:name="_Toc17941"/>
      <w:r>
        <w:rPr>
          <w:rFonts w:hint="eastAsia" w:ascii="宋体" w:hAnsi="宋体" w:eastAsia="宋体"/>
          <w:b/>
          <w:sz w:val="32"/>
          <w:szCs w:val="32"/>
        </w:rPr>
        <w:t>其他文件</w:t>
      </w:r>
      <w:bookmarkEnd w:id="88"/>
      <w:bookmarkEnd w:id="89"/>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jc w:val="center"/>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（盖单位章）</w:t>
      </w:r>
    </w:p>
    <w:p>
      <w:pPr>
        <w:spacing w:line="360" w:lineRule="auto"/>
        <w:jc w:val="center"/>
        <w:rPr>
          <w:rFonts w:ascii="宋体" w:hAnsi="宋体" w:eastAsia="宋体"/>
          <w:sz w:val="24"/>
          <w:szCs w:val="24"/>
        </w:rPr>
      </w:pPr>
      <w:r>
        <w:rPr>
          <w:rFonts w:hint="eastAsia" w:ascii="宋体" w:hAnsi="宋体" w:eastAsia="宋体"/>
          <w:sz w:val="24"/>
          <w:szCs w:val="24"/>
        </w:rPr>
        <w:t>法定代表人/负责人或其委托代理人：</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（签字）</w:t>
      </w:r>
    </w:p>
    <w:p>
      <w:pPr>
        <w:spacing w:line="360" w:lineRule="auto"/>
        <w:jc w:val="center"/>
        <w:rPr>
          <w:rFonts w:ascii="宋体" w:hAnsi="宋体" w:eastAsia="宋体"/>
          <w:sz w:val="24"/>
          <w:szCs w:val="24"/>
        </w:rPr>
      </w:pP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p>
    <w:p>
      <w:pPr>
        <w:widowControl/>
        <w:spacing w:line="360" w:lineRule="auto"/>
        <w:jc w:val="left"/>
        <w:rPr>
          <w:rFonts w:ascii="宋体" w:hAnsi="宋体" w:eastAsia="宋体"/>
          <w:sz w:val="24"/>
          <w:szCs w:val="24"/>
        </w:rPr>
      </w:pPr>
      <w:r>
        <w:rPr>
          <w:rFonts w:ascii="宋体" w:hAnsi="宋体" w:eastAsia="宋体"/>
          <w:sz w:val="24"/>
          <w:szCs w:val="24"/>
        </w:rPr>
        <w:br w:type="page"/>
      </w:r>
    </w:p>
    <w:p>
      <w:pPr>
        <w:spacing w:line="360" w:lineRule="auto"/>
        <w:jc w:val="left"/>
        <w:outlineLvl w:val="1"/>
        <w:rPr>
          <w:rFonts w:ascii="宋体" w:hAnsi="宋体" w:eastAsia="宋体"/>
          <w:b/>
          <w:sz w:val="32"/>
          <w:szCs w:val="32"/>
        </w:rPr>
      </w:pPr>
      <w:bookmarkStart w:id="90" w:name="_Toc28714"/>
      <w:bookmarkStart w:id="91" w:name="_Toc216716593"/>
      <w:r>
        <w:rPr>
          <w:rFonts w:hint="eastAsia" w:ascii="宋体" w:hAnsi="宋体" w:eastAsia="宋体"/>
          <w:b/>
          <w:sz w:val="32"/>
          <w:szCs w:val="32"/>
        </w:rPr>
        <w:t>一、资格部分</w:t>
      </w:r>
      <w:bookmarkEnd w:id="85"/>
      <w:bookmarkEnd w:id="86"/>
      <w:bookmarkEnd w:id="87"/>
      <w:bookmarkEnd w:id="90"/>
      <w:bookmarkEnd w:id="91"/>
    </w:p>
    <w:p>
      <w:pPr>
        <w:spacing w:line="360" w:lineRule="auto"/>
        <w:jc w:val="center"/>
        <w:outlineLvl w:val="2"/>
        <w:rPr>
          <w:rFonts w:ascii="宋体" w:hAnsi="宋体" w:eastAsia="宋体"/>
          <w:b/>
          <w:sz w:val="32"/>
          <w:szCs w:val="32"/>
        </w:rPr>
      </w:pPr>
      <w:bookmarkStart w:id="92" w:name="_Toc133138768"/>
      <w:bookmarkStart w:id="93" w:name="_Toc75247490"/>
      <w:bookmarkStart w:id="94" w:name="_Toc78810863"/>
      <w:bookmarkStart w:id="95" w:name="_Toc74751950"/>
      <w:r>
        <w:rPr>
          <w:rFonts w:hint="eastAsia" w:ascii="宋体" w:hAnsi="宋体" w:eastAsia="宋体"/>
          <w:b/>
          <w:sz w:val="32"/>
          <w:szCs w:val="32"/>
        </w:rPr>
        <w:t>资格证明</w:t>
      </w:r>
      <w:r>
        <w:rPr>
          <w:rFonts w:ascii="宋体" w:hAnsi="宋体" w:eastAsia="宋体"/>
          <w:b/>
          <w:sz w:val="32"/>
          <w:szCs w:val="32"/>
        </w:rPr>
        <w:t>文件</w:t>
      </w:r>
      <w:bookmarkEnd w:id="92"/>
      <w:bookmarkEnd w:id="93"/>
      <w:bookmarkEnd w:id="94"/>
      <w:bookmarkEnd w:id="95"/>
    </w:p>
    <w:p>
      <w:pPr>
        <w:spacing w:line="360" w:lineRule="auto"/>
        <w:ind w:firstLine="420" w:firstLineChars="200"/>
        <w:rPr>
          <w:rFonts w:ascii="宋体" w:hAnsi="宋体" w:eastAsia="宋体"/>
        </w:rPr>
      </w:pPr>
      <w:r>
        <w:rPr>
          <w:rFonts w:hint="eastAsia" w:ascii="宋体" w:hAnsi="宋体" w:eastAsia="宋体"/>
        </w:rPr>
        <w:t>提供符合报价资格的证明文件</w:t>
      </w:r>
      <w:r>
        <w:rPr>
          <w:rFonts w:ascii="宋体" w:hAnsi="宋体" w:eastAsia="宋体"/>
        </w:rPr>
        <w:t>。</w:t>
      </w:r>
    </w:p>
    <w:p>
      <w:pPr>
        <w:widowControl/>
        <w:jc w:val="left"/>
        <w:rPr>
          <w:rFonts w:ascii="宋体" w:hAnsi="宋体" w:eastAsia="宋体"/>
        </w:rPr>
      </w:pPr>
      <w:r>
        <w:rPr>
          <w:rFonts w:ascii="宋体" w:hAnsi="宋体" w:eastAsia="宋体"/>
        </w:rPr>
        <w:br w:type="page"/>
      </w:r>
    </w:p>
    <w:p>
      <w:pPr>
        <w:spacing w:line="360" w:lineRule="auto"/>
        <w:jc w:val="center"/>
        <w:outlineLvl w:val="2"/>
        <w:rPr>
          <w:rFonts w:ascii="宋体" w:hAnsi="宋体" w:eastAsia="宋体"/>
          <w:b/>
          <w:sz w:val="32"/>
          <w:szCs w:val="32"/>
        </w:rPr>
      </w:pPr>
      <w:r>
        <w:rPr>
          <w:rFonts w:hint="eastAsia" w:ascii="宋体" w:hAnsi="宋体" w:eastAsia="宋体"/>
          <w:b/>
          <w:sz w:val="32"/>
          <w:szCs w:val="32"/>
        </w:rPr>
        <w:t>营业执照或事业单位法人证书或其他主体证明文件扫描件</w:t>
      </w:r>
    </w:p>
    <w:p>
      <w:pPr>
        <w:widowControl/>
        <w:jc w:val="left"/>
        <w:rPr>
          <w:rFonts w:ascii="宋体" w:hAnsi="宋体" w:eastAsia="宋体"/>
        </w:rPr>
      </w:pPr>
      <w:r>
        <w:rPr>
          <w:rFonts w:ascii="宋体" w:hAnsi="宋体" w:eastAsia="宋体"/>
        </w:rPr>
        <w:br w:type="page"/>
      </w:r>
    </w:p>
    <w:p>
      <w:pPr>
        <w:spacing w:line="360" w:lineRule="auto"/>
        <w:jc w:val="center"/>
        <w:outlineLvl w:val="2"/>
        <w:rPr>
          <w:rFonts w:ascii="宋体" w:hAnsi="宋体" w:eastAsia="宋体"/>
          <w:b/>
          <w:sz w:val="32"/>
          <w:szCs w:val="32"/>
        </w:rPr>
      </w:pPr>
      <w:r>
        <w:rPr>
          <w:rFonts w:hint="eastAsia" w:ascii="宋体" w:hAnsi="宋体" w:eastAsia="宋体"/>
          <w:b/>
          <w:sz w:val="32"/>
          <w:szCs w:val="32"/>
        </w:rPr>
        <w:t>有线通信设计专业乙级及以上资质（资质需在有效期内）</w:t>
      </w:r>
      <w:r>
        <w:rPr>
          <w:rFonts w:ascii="宋体" w:hAnsi="宋体" w:eastAsia="宋体"/>
          <w:b/>
          <w:sz w:val="32"/>
          <w:szCs w:val="32"/>
        </w:rPr>
        <w:br w:type="page"/>
      </w:r>
    </w:p>
    <w:p>
      <w:pPr>
        <w:spacing w:line="360" w:lineRule="auto"/>
        <w:jc w:val="center"/>
        <w:outlineLvl w:val="2"/>
        <w:rPr>
          <w:rFonts w:ascii="宋体" w:hAnsi="宋体" w:eastAsia="宋体"/>
          <w:b/>
          <w:sz w:val="32"/>
          <w:szCs w:val="32"/>
        </w:rPr>
      </w:pPr>
      <w:bookmarkStart w:id="96" w:name="_Toc78810876"/>
      <w:bookmarkStart w:id="97" w:name="_Toc133138777"/>
      <w:r>
        <w:rPr>
          <w:rFonts w:hint="eastAsia" w:ascii="宋体" w:hAnsi="宋体" w:eastAsia="宋体"/>
          <w:b/>
          <w:sz w:val="32"/>
          <w:szCs w:val="32"/>
        </w:rPr>
        <w:t>业绩</w:t>
      </w:r>
      <w:r>
        <w:rPr>
          <w:rFonts w:ascii="宋体" w:hAnsi="宋体" w:eastAsia="宋体"/>
          <w:b/>
          <w:sz w:val="32"/>
          <w:szCs w:val="32"/>
        </w:rPr>
        <w:t>清单一览表</w:t>
      </w:r>
      <w:bookmarkEnd w:id="96"/>
      <w:bookmarkEnd w:id="97"/>
    </w:p>
    <w:tbl>
      <w:tblPr>
        <w:tblStyle w:val="14"/>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815"/>
        <w:gridCol w:w="1815"/>
        <w:gridCol w:w="1834"/>
        <w:gridCol w:w="1606"/>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5" w:type="pct"/>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序号</w:t>
            </w:r>
          </w:p>
        </w:tc>
        <w:tc>
          <w:tcPr>
            <w:tcW w:w="1078" w:type="pct"/>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项目</w:t>
            </w:r>
            <w:r>
              <w:rPr>
                <w:rFonts w:ascii="宋体" w:hAnsi="宋体" w:eastAsia="宋体" w:cs="宋体"/>
                <w:b/>
                <w:color w:val="000000"/>
                <w:kern w:val="0"/>
                <w:szCs w:val="21"/>
              </w:rPr>
              <w:t>名称</w:t>
            </w:r>
          </w:p>
        </w:tc>
        <w:tc>
          <w:tcPr>
            <w:tcW w:w="1078" w:type="pct"/>
            <w:shd w:val="clear" w:color="auto" w:fill="auto"/>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委托方</w:t>
            </w:r>
          </w:p>
        </w:tc>
        <w:tc>
          <w:tcPr>
            <w:tcW w:w="1089" w:type="pct"/>
            <w:shd w:val="clear" w:color="auto" w:fill="FFFFFF"/>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合同金额（万元）</w:t>
            </w:r>
          </w:p>
        </w:tc>
        <w:tc>
          <w:tcPr>
            <w:tcW w:w="954" w:type="pct"/>
            <w:shd w:val="clear" w:color="auto" w:fill="FFFFFF"/>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合同签订时间</w:t>
            </w:r>
          </w:p>
        </w:tc>
        <w:tc>
          <w:tcPr>
            <w:tcW w:w="403" w:type="pct"/>
            <w:shd w:val="clear" w:color="auto" w:fill="FFFFFF"/>
            <w:vAlign w:val="center"/>
          </w:tcPr>
          <w:p>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5" w:type="pct"/>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w:t>
            </w:r>
          </w:p>
        </w:tc>
        <w:tc>
          <w:tcPr>
            <w:tcW w:w="1078" w:type="pct"/>
            <w:shd w:val="clear" w:color="auto" w:fill="auto"/>
            <w:vAlign w:val="center"/>
          </w:tcPr>
          <w:p>
            <w:pPr>
              <w:widowControl/>
              <w:jc w:val="center"/>
              <w:rPr>
                <w:rFonts w:ascii="宋体" w:hAnsi="宋体" w:eastAsia="宋体" w:cs="宋体"/>
                <w:color w:val="000000"/>
                <w:kern w:val="0"/>
                <w:szCs w:val="21"/>
              </w:rPr>
            </w:pPr>
          </w:p>
        </w:tc>
        <w:tc>
          <w:tcPr>
            <w:tcW w:w="1078" w:type="pct"/>
            <w:shd w:val="clear" w:color="auto" w:fill="auto"/>
            <w:vAlign w:val="center"/>
          </w:tcPr>
          <w:p>
            <w:pPr>
              <w:widowControl/>
              <w:jc w:val="center"/>
              <w:rPr>
                <w:rFonts w:ascii="宋体" w:hAnsi="宋体" w:eastAsia="宋体" w:cs="宋体"/>
                <w:color w:val="000000"/>
                <w:kern w:val="0"/>
                <w:szCs w:val="21"/>
              </w:rPr>
            </w:pPr>
          </w:p>
        </w:tc>
        <w:tc>
          <w:tcPr>
            <w:tcW w:w="1089" w:type="pct"/>
            <w:shd w:val="clear" w:color="auto" w:fill="FFFFFF"/>
            <w:vAlign w:val="center"/>
          </w:tcPr>
          <w:p>
            <w:pPr>
              <w:widowControl/>
              <w:jc w:val="center"/>
              <w:rPr>
                <w:rFonts w:ascii="宋体" w:hAnsi="宋体" w:eastAsia="宋体" w:cs="宋体"/>
                <w:color w:val="000000"/>
                <w:kern w:val="0"/>
                <w:szCs w:val="21"/>
              </w:rPr>
            </w:pPr>
          </w:p>
        </w:tc>
        <w:tc>
          <w:tcPr>
            <w:tcW w:w="954" w:type="pct"/>
            <w:shd w:val="clear" w:color="auto" w:fill="FFFFFF"/>
            <w:vAlign w:val="center"/>
          </w:tcPr>
          <w:p>
            <w:pPr>
              <w:widowControl/>
              <w:jc w:val="center"/>
              <w:rPr>
                <w:rFonts w:ascii="宋体" w:hAnsi="宋体" w:eastAsia="宋体" w:cs="宋体"/>
                <w:color w:val="000000"/>
                <w:kern w:val="0"/>
                <w:szCs w:val="21"/>
              </w:rPr>
            </w:pPr>
          </w:p>
        </w:tc>
        <w:tc>
          <w:tcPr>
            <w:tcW w:w="403" w:type="pct"/>
            <w:shd w:val="clear" w:color="auto"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5" w:type="pct"/>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w:t>
            </w:r>
          </w:p>
        </w:tc>
        <w:tc>
          <w:tcPr>
            <w:tcW w:w="1078" w:type="pct"/>
            <w:shd w:val="clear" w:color="auto" w:fill="auto"/>
            <w:vAlign w:val="center"/>
          </w:tcPr>
          <w:p>
            <w:pPr>
              <w:widowControl/>
              <w:jc w:val="center"/>
              <w:rPr>
                <w:rFonts w:ascii="宋体" w:hAnsi="宋体" w:eastAsia="宋体" w:cs="宋体"/>
                <w:color w:val="000000"/>
                <w:kern w:val="0"/>
                <w:szCs w:val="21"/>
              </w:rPr>
            </w:pPr>
          </w:p>
        </w:tc>
        <w:tc>
          <w:tcPr>
            <w:tcW w:w="1078" w:type="pct"/>
            <w:shd w:val="clear" w:color="auto" w:fill="auto"/>
            <w:vAlign w:val="center"/>
          </w:tcPr>
          <w:p>
            <w:pPr>
              <w:widowControl/>
              <w:jc w:val="center"/>
              <w:rPr>
                <w:rFonts w:ascii="宋体" w:hAnsi="宋体" w:eastAsia="宋体" w:cs="宋体"/>
                <w:color w:val="000000"/>
                <w:kern w:val="0"/>
                <w:szCs w:val="21"/>
              </w:rPr>
            </w:pPr>
          </w:p>
        </w:tc>
        <w:tc>
          <w:tcPr>
            <w:tcW w:w="1089" w:type="pct"/>
            <w:shd w:val="clear" w:color="auto" w:fill="FFFFFF"/>
            <w:vAlign w:val="center"/>
          </w:tcPr>
          <w:p>
            <w:pPr>
              <w:widowControl/>
              <w:jc w:val="center"/>
              <w:rPr>
                <w:rFonts w:ascii="宋体" w:hAnsi="宋体" w:eastAsia="宋体" w:cs="宋体"/>
                <w:color w:val="000000"/>
                <w:kern w:val="0"/>
                <w:szCs w:val="21"/>
              </w:rPr>
            </w:pPr>
          </w:p>
        </w:tc>
        <w:tc>
          <w:tcPr>
            <w:tcW w:w="954" w:type="pct"/>
            <w:shd w:val="clear" w:color="auto" w:fill="FFFFFF"/>
            <w:vAlign w:val="center"/>
          </w:tcPr>
          <w:p>
            <w:pPr>
              <w:widowControl/>
              <w:jc w:val="center"/>
              <w:rPr>
                <w:rFonts w:ascii="宋体" w:hAnsi="宋体" w:eastAsia="宋体" w:cs="宋体"/>
                <w:color w:val="000000"/>
                <w:kern w:val="0"/>
                <w:szCs w:val="21"/>
              </w:rPr>
            </w:pPr>
          </w:p>
        </w:tc>
        <w:tc>
          <w:tcPr>
            <w:tcW w:w="403" w:type="pct"/>
            <w:shd w:val="clear" w:color="auto"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5" w:type="pct"/>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3</w:t>
            </w:r>
          </w:p>
        </w:tc>
        <w:tc>
          <w:tcPr>
            <w:tcW w:w="1078" w:type="pct"/>
            <w:shd w:val="clear" w:color="auto" w:fill="auto"/>
            <w:vAlign w:val="center"/>
          </w:tcPr>
          <w:p>
            <w:pPr>
              <w:widowControl/>
              <w:jc w:val="center"/>
              <w:rPr>
                <w:rFonts w:ascii="宋体" w:hAnsi="宋体" w:eastAsia="宋体" w:cs="宋体"/>
                <w:color w:val="000000"/>
                <w:kern w:val="0"/>
                <w:szCs w:val="21"/>
              </w:rPr>
            </w:pPr>
          </w:p>
        </w:tc>
        <w:tc>
          <w:tcPr>
            <w:tcW w:w="1078" w:type="pct"/>
            <w:shd w:val="clear" w:color="auto" w:fill="auto"/>
            <w:vAlign w:val="center"/>
          </w:tcPr>
          <w:p>
            <w:pPr>
              <w:widowControl/>
              <w:jc w:val="center"/>
              <w:rPr>
                <w:rFonts w:ascii="宋体" w:hAnsi="宋体" w:eastAsia="宋体" w:cs="宋体"/>
                <w:color w:val="000000"/>
                <w:kern w:val="0"/>
                <w:szCs w:val="21"/>
              </w:rPr>
            </w:pPr>
          </w:p>
        </w:tc>
        <w:tc>
          <w:tcPr>
            <w:tcW w:w="1089" w:type="pct"/>
            <w:shd w:val="clear" w:color="auto" w:fill="FFFFFF"/>
            <w:vAlign w:val="center"/>
          </w:tcPr>
          <w:p>
            <w:pPr>
              <w:widowControl/>
              <w:jc w:val="center"/>
              <w:rPr>
                <w:rFonts w:ascii="宋体" w:hAnsi="宋体" w:eastAsia="宋体" w:cs="宋体"/>
                <w:color w:val="000000"/>
                <w:kern w:val="0"/>
                <w:szCs w:val="21"/>
              </w:rPr>
            </w:pPr>
          </w:p>
        </w:tc>
        <w:tc>
          <w:tcPr>
            <w:tcW w:w="954" w:type="pct"/>
            <w:shd w:val="clear" w:color="auto" w:fill="FFFFFF"/>
            <w:vAlign w:val="center"/>
          </w:tcPr>
          <w:p>
            <w:pPr>
              <w:widowControl/>
              <w:jc w:val="center"/>
              <w:rPr>
                <w:rFonts w:ascii="宋体" w:hAnsi="宋体" w:eastAsia="宋体" w:cs="宋体"/>
                <w:color w:val="000000"/>
                <w:kern w:val="0"/>
                <w:szCs w:val="21"/>
              </w:rPr>
            </w:pPr>
          </w:p>
        </w:tc>
        <w:tc>
          <w:tcPr>
            <w:tcW w:w="403" w:type="pct"/>
            <w:shd w:val="clear" w:color="auto"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5" w:type="pct"/>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4</w:t>
            </w:r>
          </w:p>
        </w:tc>
        <w:tc>
          <w:tcPr>
            <w:tcW w:w="1078" w:type="pct"/>
            <w:shd w:val="clear" w:color="auto" w:fill="auto"/>
            <w:vAlign w:val="center"/>
          </w:tcPr>
          <w:p>
            <w:pPr>
              <w:widowControl/>
              <w:jc w:val="center"/>
              <w:rPr>
                <w:rFonts w:ascii="宋体" w:hAnsi="宋体" w:eastAsia="宋体" w:cs="宋体"/>
                <w:color w:val="000000"/>
                <w:kern w:val="0"/>
                <w:szCs w:val="21"/>
              </w:rPr>
            </w:pPr>
          </w:p>
        </w:tc>
        <w:tc>
          <w:tcPr>
            <w:tcW w:w="1078" w:type="pct"/>
            <w:shd w:val="clear" w:color="auto" w:fill="auto"/>
            <w:vAlign w:val="center"/>
          </w:tcPr>
          <w:p>
            <w:pPr>
              <w:widowControl/>
              <w:jc w:val="center"/>
              <w:rPr>
                <w:rFonts w:ascii="宋体" w:hAnsi="宋体" w:eastAsia="宋体" w:cs="宋体"/>
                <w:color w:val="000000"/>
                <w:kern w:val="0"/>
                <w:szCs w:val="21"/>
              </w:rPr>
            </w:pPr>
          </w:p>
        </w:tc>
        <w:tc>
          <w:tcPr>
            <w:tcW w:w="1089" w:type="pct"/>
            <w:shd w:val="clear" w:color="auto" w:fill="FFFFFF"/>
            <w:vAlign w:val="center"/>
          </w:tcPr>
          <w:p>
            <w:pPr>
              <w:widowControl/>
              <w:jc w:val="center"/>
              <w:rPr>
                <w:rFonts w:ascii="宋体" w:hAnsi="宋体" w:eastAsia="宋体" w:cs="宋体"/>
                <w:color w:val="000000"/>
                <w:kern w:val="0"/>
                <w:szCs w:val="21"/>
              </w:rPr>
            </w:pPr>
          </w:p>
        </w:tc>
        <w:tc>
          <w:tcPr>
            <w:tcW w:w="954" w:type="pct"/>
            <w:shd w:val="clear" w:color="auto" w:fill="FFFFFF"/>
            <w:vAlign w:val="center"/>
          </w:tcPr>
          <w:p>
            <w:pPr>
              <w:widowControl/>
              <w:jc w:val="center"/>
              <w:rPr>
                <w:rFonts w:ascii="宋体" w:hAnsi="宋体" w:eastAsia="宋体" w:cs="宋体"/>
                <w:color w:val="000000"/>
                <w:kern w:val="0"/>
                <w:szCs w:val="21"/>
              </w:rPr>
            </w:pPr>
          </w:p>
        </w:tc>
        <w:tc>
          <w:tcPr>
            <w:tcW w:w="403" w:type="pct"/>
            <w:shd w:val="clear" w:color="auto" w:fill="FFFFFF"/>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5" w:type="pct"/>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5</w:t>
            </w:r>
          </w:p>
        </w:tc>
        <w:tc>
          <w:tcPr>
            <w:tcW w:w="1078" w:type="pct"/>
            <w:shd w:val="clear" w:color="auto" w:fill="auto"/>
            <w:vAlign w:val="center"/>
          </w:tcPr>
          <w:p>
            <w:pPr>
              <w:widowControl/>
              <w:jc w:val="center"/>
              <w:rPr>
                <w:rFonts w:ascii="宋体" w:hAnsi="宋体" w:eastAsia="宋体" w:cs="宋体"/>
                <w:color w:val="000000"/>
                <w:kern w:val="0"/>
                <w:szCs w:val="21"/>
              </w:rPr>
            </w:pPr>
          </w:p>
        </w:tc>
        <w:tc>
          <w:tcPr>
            <w:tcW w:w="1078" w:type="pct"/>
            <w:shd w:val="clear" w:color="auto" w:fill="auto"/>
            <w:vAlign w:val="center"/>
          </w:tcPr>
          <w:p>
            <w:pPr>
              <w:widowControl/>
              <w:jc w:val="center"/>
              <w:rPr>
                <w:rFonts w:ascii="宋体" w:hAnsi="宋体" w:eastAsia="宋体" w:cs="宋体"/>
                <w:color w:val="000000"/>
                <w:kern w:val="0"/>
                <w:szCs w:val="21"/>
              </w:rPr>
            </w:pPr>
          </w:p>
        </w:tc>
        <w:tc>
          <w:tcPr>
            <w:tcW w:w="1089" w:type="pct"/>
            <w:shd w:val="clear" w:color="auto" w:fill="FFFFFF"/>
            <w:vAlign w:val="center"/>
          </w:tcPr>
          <w:p>
            <w:pPr>
              <w:widowControl/>
              <w:jc w:val="center"/>
              <w:rPr>
                <w:rFonts w:ascii="宋体" w:hAnsi="宋体" w:eastAsia="宋体" w:cs="宋体"/>
                <w:color w:val="000000"/>
                <w:kern w:val="0"/>
                <w:szCs w:val="21"/>
              </w:rPr>
            </w:pPr>
          </w:p>
        </w:tc>
        <w:tc>
          <w:tcPr>
            <w:tcW w:w="954" w:type="pct"/>
            <w:shd w:val="clear" w:color="auto" w:fill="FFFFFF"/>
            <w:vAlign w:val="center"/>
          </w:tcPr>
          <w:p>
            <w:pPr>
              <w:widowControl/>
              <w:jc w:val="center"/>
              <w:rPr>
                <w:rFonts w:ascii="宋体" w:hAnsi="宋体" w:eastAsia="宋体" w:cs="宋体"/>
                <w:color w:val="000000"/>
                <w:kern w:val="0"/>
                <w:szCs w:val="21"/>
              </w:rPr>
            </w:pPr>
          </w:p>
        </w:tc>
        <w:tc>
          <w:tcPr>
            <w:tcW w:w="403" w:type="pct"/>
            <w:shd w:val="clear" w:color="auto" w:fill="FFFFFF"/>
            <w:vAlign w:val="center"/>
          </w:tcPr>
          <w:p>
            <w:pPr>
              <w:widowControl/>
              <w:jc w:val="center"/>
              <w:rPr>
                <w:rFonts w:ascii="宋体" w:hAnsi="宋体" w:eastAsia="宋体" w:cs="宋体"/>
                <w:color w:val="000000"/>
                <w:kern w:val="0"/>
                <w:szCs w:val="21"/>
              </w:rPr>
            </w:pPr>
          </w:p>
        </w:tc>
      </w:tr>
    </w:tbl>
    <w:p>
      <w:pPr>
        <w:spacing w:line="360" w:lineRule="auto"/>
        <w:ind w:firstLine="420" w:firstLineChars="200"/>
        <w:rPr>
          <w:rFonts w:ascii="宋体" w:hAnsi="宋体" w:eastAsia="宋体"/>
        </w:rPr>
      </w:pPr>
      <w:r>
        <w:rPr>
          <w:rFonts w:hint="eastAsia" w:ascii="宋体" w:hAnsi="宋体" w:eastAsia="宋体"/>
        </w:rPr>
        <w:t>注</w:t>
      </w:r>
      <w:r>
        <w:rPr>
          <w:rFonts w:ascii="宋体" w:hAnsi="宋体" w:eastAsia="宋体"/>
        </w:rPr>
        <w:t>：</w:t>
      </w:r>
      <w:r>
        <w:rPr>
          <w:rFonts w:hint="eastAsia" w:ascii="宋体" w:hAnsi="宋体" w:eastAsia="宋体"/>
        </w:rPr>
        <w:t>供应商</w:t>
      </w:r>
      <w:r>
        <w:rPr>
          <w:rFonts w:ascii="宋体" w:hAnsi="宋体" w:eastAsia="宋体"/>
          <w:highlight w:val="yellow"/>
        </w:rPr>
        <w:t>近</w:t>
      </w:r>
      <w:r>
        <w:rPr>
          <w:rFonts w:hint="eastAsia" w:ascii="宋体" w:hAnsi="宋体" w:eastAsia="宋体"/>
          <w:highlight w:val="yellow"/>
          <w:u w:val="single"/>
        </w:rPr>
        <w:t>5</w:t>
      </w:r>
      <w:r>
        <w:rPr>
          <w:rFonts w:hint="eastAsia" w:ascii="宋体" w:hAnsi="宋体" w:eastAsia="宋体"/>
          <w:highlight w:val="yellow"/>
        </w:rPr>
        <w:t>年</w:t>
      </w:r>
      <w:r>
        <w:rPr>
          <w:rFonts w:hint="eastAsia" w:ascii="宋体" w:hAnsi="宋体" w:eastAsia="宋体"/>
        </w:rPr>
        <w:t>（以</w:t>
      </w:r>
      <w:r>
        <w:rPr>
          <w:rFonts w:ascii="宋体" w:hAnsi="宋体" w:eastAsia="宋体"/>
        </w:rPr>
        <w:t>合同签订时间为准</w:t>
      </w:r>
      <w:r>
        <w:rPr>
          <w:rFonts w:hint="eastAsia" w:ascii="宋体" w:hAnsi="宋体" w:eastAsia="宋体"/>
        </w:rPr>
        <w:t>）自认为</w:t>
      </w:r>
      <w:r>
        <w:rPr>
          <w:rFonts w:ascii="宋体" w:hAnsi="宋体" w:eastAsia="宋体"/>
        </w:rPr>
        <w:t>最具代表性的</w:t>
      </w:r>
      <w:r>
        <w:rPr>
          <w:rFonts w:hint="eastAsia" w:ascii="宋体" w:hAnsi="宋体" w:eastAsia="宋体"/>
          <w:highlight w:val="yellow"/>
        </w:rPr>
        <w:t>电力系统通信规划设计相关</w:t>
      </w:r>
      <w:r>
        <w:rPr>
          <w:rFonts w:ascii="宋体" w:hAnsi="宋体" w:eastAsia="宋体"/>
          <w:highlight w:val="yellow"/>
        </w:rPr>
        <w:t>项目业绩</w:t>
      </w:r>
      <w:r>
        <w:rPr>
          <w:rFonts w:ascii="宋体" w:hAnsi="宋体" w:eastAsia="宋体"/>
        </w:rPr>
        <w:t>，不超过</w:t>
      </w:r>
      <w:r>
        <w:rPr>
          <w:rFonts w:hint="eastAsia" w:ascii="宋体" w:hAnsi="宋体" w:eastAsia="宋体"/>
        </w:rPr>
        <w:t>5个</w:t>
      </w:r>
      <w:r>
        <w:rPr>
          <w:rFonts w:ascii="宋体" w:hAnsi="宋体" w:eastAsia="宋体"/>
        </w:rPr>
        <w:t>。</w:t>
      </w:r>
      <w:r>
        <w:rPr>
          <w:rFonts w:hint="eastAsia" w:ascii="宋体" w:hAnsi="宋体" w:eastAsia="宋体"/>
        </w:rPr>
        <w:t>供应商须</w:t>
      </w:r>
      <w:r>
        <w:rPr>
          <w:rFonts w:ascii="宋体" w:hAnsi="宋体" w:eastAsia="宋体"/>
        </w:rPr>
        <w:t>提供合同关键页或中标通知书扫描件等证明材料。</w:t>
      </w:r>
    </w:p>
    <w:p>
      <w:pPr>
        <w:spacing w:line="360" w:lineRule="auto"/>
        <w:jc w:val="left"/>
        <w:outlineLvl w:val="9"/>
        <w:rPr>
          <w:rFonts w:ascii="宋体" w:hAnsi="宋体" w:eastAsia="宋体"/>
          <w:b/>
          <w:sz w:val="32"/>
          <w:szCs w:val="32"/>
        </w:rPr>
      </w:pPr>
      <w:r>
        <w:rPr>
          <w:rFonts w:ascii="宋体" w:hAnsi="宋体" w:eastAsia="宋体"/>
          <w:b/>
          <w:sz w:val="32"/>
          <w:szCs w:val="32"/>
        </w:rPr>
        <w:br w:type="page"/>
      </w:r>
    </w:p>
    <w:p>
      <w:pPr>
        <w:widowControl/>
        <w:spacing w:line="360" w:lineRule="auto"/>
        <w:jc w:val="center"/>
        <w:outlineLvl w:val="2"/>
        <w:rPr>
          <w:rFonts w:ascii="宋体" w:hAnsi="宋体" w:eastAsia="宋体" w:cs="宋体"/>
          <w:b/>
          <w:bCs/>
          <w:color w:val="000000"/>
          <w:kern w:val="0"/>
          <w:sz w:val="32"/>
          <w:szCs w:val="32"/>
        </w:rPr>
      </w:pPr>
      <w:bookmarkStart w:id="98" w:name="_Toc78810867"/>
      <w:bookmarkStart w:id="99" w:name="_Toc74751954"/>
      <w:bookmarkStart w:id="100" w:name="_Toc133138769"/>
      <w:bookmarkStart w:id="101" w:name="_Toc75247494"/>
      <w:r>
        <w:rPr>
          <w:rFonts w:hint="eastAsia" w:ascii="宋体" w:hAnsi="宋体" w:eastAsia="宋体" w:cs="宋体"/>
          <w:b/>
          <w:bCs/>
          <w:color w:val="000000"/>
          <w:kern w:val="0"/>
          <w:sz w:val="32"/>
          <w:szCs w:val="32"/>
        </w:rPr>
        <w:t>国家企业信用信息公示系统截图</w:t>
      </w:r>
    </w:p>
    <w:p>
      <w:pPr>
        <w:widowControl/>
        <w:spacing w:line="360" w:lineRule="auto"/>
        <w:ind w:firstLine="420"/>
        <w:rPr>
          <w:rFonts w:ascii="宋体" w:hAnsi="宋体" w:eastAsia="宋体" w:cs="Times New Roman"/>
          <w:color w:val="000000"/>
          <w:kern w:val="0"/>
          <w:szCs w:val="21"/>
        </w:rPr>
      </w:pPr>
      <w:r>
        <w:rPr>
          <w:rFonts w:hint="eastAsia" w:ascii="宋体" w:hAnsi="宋体" w:eastAsia="宋体" w:cs="Times New Roman"/>
          <w:color w:val="000000"/>
          <w:kern w:val="0"/>
          <w:szCs w:val="21"/>
        </w:rPr>
        <w:t>提供未被国家市场监督管理机关在国家企业信用信息公示系统（</w:t>
      </w:r>
      <w:r>
        <w:rPr>
          <w:rFonts w:ascii="宋体" w:hAnsi="宋体" w:eastAsia="宋体" w:cs="Times New Roman"/>
          <w:color w:val="000000"/>
          <w:kern w:val="0"/>
          <w:szCs w:val="21"/>
        </w:rPr>
        <w:t>www.gsxt.gov.cn）中列入严重违法失信企业名单</w:t>
      </w:r>
      <w:r>
        <w:rPr>
          <w:rFonts w:hint="eastAsia" w:ascii="宋体" w:hAnsi="宋体" w:eastAsia="宋体" w:cs="Times New Roman"/>
          <w:color w:val="000000"/>
          <w:kern w:val="0"/>
          <w:szCs w:val="21"/>
        </w:rPr>
        <w:t>的截图。</w:t>
      </w:r>
    </w:p>
    <w:p>
      <w:pPr>
        <w:widowControl/>
        <w:jc w:val="left"/>
        <w:rPr>
          <w:rFonts w:ascii="Times New Roman" w:hAnsi="Times New Roman" w:eastAsia="宋体" w:cs="Times New Roman"/>
        </w:rPr>
      </w:pPr>
      <w:r>
        <w:rPr>
          <w:rFonts w:ascii="Times New Roman" w:hAnsi="Times New Roman" w:eastAsia="宋体" w:cs="Times New Roman"/>
        </w:rPr>
        <w:br w:type="page"/>
      </w:r>
    </w:p>
    <w:p>
      <w:pPr>
        <w:widowControl/>
        <w:spacing w:line="360" w:lineRule="auto"/>
        <w:jc w:val="center"/>
        <w:outlineLvl w:val="2"/>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失信被执行人截图</w:t>
      </w:r>
    </w:p>
    <w:p>
      <w:pPr>
        <w:widowControl/>
        <w:spacing w:line="360" w:lineRule="auto"/>
        <w:ind w:firstLine="420"/>
        <w:rPr>
          <w:rFonts w:ascii="宋体" w:hAnsi="宋体" w:eastAsia="宋体" w:cs="Times New Roman"/>
          <w:color w:val="000000"/>
          <w:kern w:val="0"/>
          <w:szCs w:val="21"/>
        </w:rPr>
      </w:pPr>
      <w:r>
        <w:rPr>
          <w:rFonts w:hint="eastAsia" w:ascii="宋体" w:hAnsi="宋体" w:eastAsia="宋体" w:cs="Times New Roman"/>
          <w:color w:val="000000"/>
          <w:kern w:val="0"/>
          <w:szCs w:val="21"/>
        </w:rPr>
        <w:t>提供未被“信用中国”网站（</w:t>
      </w:r>
      <w:r>
        <w:rPr>
          <w:rFonts w:ascii="宋体" w:hAnsi="宋体" w:eastAsia="宋体" w:cs="Times New Roman"/>
          <w:color w:val="000000"/>
          <w:kern w:val="0"/>
          <w:szCs w:val="21"/>
        </w:rPr>
        <w:t>www.creditchina.gov.cn）或“中国执行信息公开网”（http://zxgk.court.gov.cn/shixin）列入失信被执行人名单</w:t>
      </w:r>
      <w:r>
        <w:rPr>
          <w:rFonts w:hint="eastAsia" w:ascii="宋体" w:hAnsi="宋体" w:eastAsia="宋体" w:cs="Times New Roman"/>
          <w:color w:val="000000"/>
          <w:kern w:val="0"/>
          <w:szCs w:val="21"/>
        </w:rPr>
        <w:t>的截图。</w:t>
      </w:r>
    </w:p>
    <w:p>
      <w:pPr>
        <w:widowControl/>
        <w:jc w:val="left"/>
        <w:rPr>
          <w:rFonts w:ascii="Times New Roman" w:hAnsi="Times New Roman" w:eastAsia="宋体" w:cs="Times New Roman"/>
        </w:rPr>
      </w:pPr>
      <w:r>
        <w:rPr>
          <w:rFonts w:ascii="Times New Roman" w:hAnsi="Times New Roman" w:eastAsia="宋体" w:cs="Times New Roman"/>
        </w:rPr>
        <w:br w:type="page"/>
      </w:r>
    </w:p>
    <w:bookmarkEnd w:id="98"/>
    <w:bookmarkEnd w:id="99"/>
    <w:bookmarkEnd w:id="100"/>
    <w:bookmarkEnd w:id="101"/>
    <w:p>
      <w:pPr>
        <w:spacing w:line="360" w:lineRule="auto"/>
        <w:jc w:val="left"/>
        <w:outlineLvl w:val="1"/>
        <w:rPr>
          <w:rFonts w:ascii="宋体" w:hAnsi="宋体" w:eastAsia="宋体"/>
          <w:b/>
          <w:sz w:val="32"/>
          <w:szCs w:val="32"/>
        </w:rPr>
      </w:pPr>
      <w:bookmarkStart w:id="102" w:name="_Toc78810869"/>
      <w:bookmarkStart w:id="103" w:name="_Toc16013"/>
      <w:bookmarkStart w:id="104" w:name="_Toc216716594"/>
      <w:bookmarkStart w:id="105" w:name="_Toc75247496"/>
      <w:r>
        <w:rPr>
          <w:rFonts w:hint="eastAsia" w:ascii="宋体" w:hAnsi="宋体" w:eastAsia="宋体"/>
          <w:b/>
          <w:sz w:val="32"/>
          <w:szCs w:val="32"/>
        </w:rPr>
        <w:t>二、商务部分</w:t>
      </w:r>
      <w:bookmarkEnd w:id="102"/>
      <w:bookmarkEnd w:id="103"/>
      <w:bookmarkEnd w:id="104"/>
      <w:bookmarkEnd w:id="105"/>
    </w:p>
    <w:p>
      <w:pPr>
        <w:spacing w:line="360" w:lineRule="auto"/>
        <w:jc w:val="center"/>
        <w:outlineLvl w:val="2"/>
        <w:rPr>
          <w:rFonts w:ascii="宋体" w:hAnsi="宋体" w:eastAsia="宋体"/>
          <w:b/>
          <w:sz w:val="32"/>
          <w:szCs w:val="32"/>
        </w:rPr>
      </w:pPr>
      <w:bookmarkStart w:id="106" w:name="_Toc75247497"/>
      <w:bookmarkStart w:id="107" w:name="_Toc78810870"/>
      <w:bookmarkStart w:id="108" w:name="_Toc133138771"/>
      <w:r>
        <w:rPr>
          <w:rFonts w:hint="eastAsia" w:ascii="宋体" w:hAnsi="宋体" w:eastAsia="宋体"/>
          <w:b/>
          <w:sz w:val="32"/>
          <w:szCs w:val="32"/>
        </w:rPr>
        <w:t>法定代表人/负责人</w:t>
      </w:r>
      <w:r>
        <w:rPr>
          <w:rFonts w:ascii="宋体" w:hAnsi="宋体" w:eastAsia="宋体"/>
          <w:b/>
          <w:sz w:val="32"/>
          <w:szCs w:val="32"/>
        </w:rPr>
        <w:t>证明</w:t>
      </w:r>
      <w:bookmarkEnd w:id="106"/>
      <w:bookmarkEnd w:id="107"/>
      <w:bookmarkEnd w:id="108"/>
    </w:p>
    <w:p>
      <w:pPr>
        <w:spacing w:line="360" w:lineRule="auto"/>
        <w:rPr>
          <w:rFonts w:ascii="宋体" w:hAnsi="宋体" w:eastAsia="宋体"/>
        </w:rPr>
      </w:pPr>
      <w:r>
        <w:rPr>
          <w:rFonts w:hint="eastAsia" w:ascii="宋体" w:hAnsi="宋体" w:eastAsia="宋体"/>
        </w:rPr>
        <w:t>致</w:t>
      </w:r>
      <w:r>
        <w:rPr>
          <w:rFonts w:ascii="宋体" w:hAnsi="宋体" w:eastAsia="宋体"/>
        </w:rPr>
        <w:t>：</w:t>
      </w:r>
      <w:r>
        <w:rPr>
          <w:rFonts w:hint="eastAsia" w:ascii="宋体" w:hAnsi="宋体" w:eastAsia="宋体"/>
          <w:u w:val="single"/>
        </w:rPr>
        <w:t xml:space="preserve">  （采购单位</w:t>
      </w:r>
      <w:r>
        <w:rPr>
          <w:rFonts w:ascii="宋体" w:hAnsi="宋体" w:eastAsia="宋体"/>
          <w:u w:val="single"/>
        </w:rPr>
        <w:t>名称</w:t>
      </w:r>
      <w:r>
        <w:rPr>
          <w:rFonts w:hint="eastAsia" w:ascii="宋体" w:hAnsi="宋体" w:eastAsia="宋体"/>
          <w:u w:val="single"/>
        </w:rPr>
        <w:t xml:space="preserve">）  </w:t>
      </w:r>
    </w:p>
    <w:p>
      <w:pPr>
        <w:spacing w:line="360" w:lineRule="auto"/>
        <w:ind w:firstLine="420" w:firstLineChars="200"/>
        <w:rPr>
          <w:rFonts w:ascii="宋体" w:hAnsi="宋体" w:eastAsia="宋体"/>
          <w:u w:val="single"/>
        </w:rPr>
      </w:pPr>
    </w:p>
    <w:p>
      <w:pPr>
        <w:spacing w:line="360" w:lineRule="auto"/>
        <w:ind w:firstLine="420" w:firstLineChars="200"/>
        <w:rPr>
          <w:rFonts w:ascii="宋体" w:hAnsi="宋体" w:eastAsia="宋体"/>
        </w:rPr>
      </w:pPr>
      <w:r>
        <w:rPr>
          <w:rFonts w:hint="eastAsia" w:ascii="宋体" w:hAnsi="宋体" w:eastAsia="宋体"/>
          <w:u w:val="single"/>
        </w:rPr>
        <w:t xml:space="preserve"> （姓名）（职务） </w:t>
      </w:r>
      <w:r>
        <w:rPr>
          <w:rFonts w:hint="eastAsia" w:ascii="宋体" w:hAnsi="宋体" w:eastAsia="宋体"/>
        </w:rPr>
        <w:t>，性别</w:t>
      </w:r>
      <w:r>
        <w:rPr>
          <w:rFonts w:ascii="宋体" w:hAnsi="宋体" w:eastAsia="宋体"/>
        </w:rPr>
        <w:t>：</w:t>
      </w:r>
      <w:r>
        <w:rPr>
          <w:rFonts w:hint="eastAsia" w:ascii="宋体" w:hAnsi="宋体" w:eastAsia="宋体"/>
          <w:u w:val="single"/>
        </w:rPr>
        <w:t xml:space="preserve">    </w:t>
      </w:r>
      <w:r>
        <w:rPr>
          <w:rFonts w:hint="eastAsia" w:ascii="宋体" w:hAnsi="宋体" w:eastAsia="宋体"/>
        </w:rPr>
        <w:t>；</w:t>
      </w:r>
      <w:r>
        <w:rPr>
          <w:rFonts w:ascii="宋体" w:hAnsi="宋体" w:eastAsia="宋体"/>
        </w:rPr>
        <w:t>身份证号</w:t>
      </w:r>
      <w:r>
        <w:rPr>
          <w:rFonts w:hint="eastAsia" w:ascii="宋体" w:hAnsi="宋体" w:eastAsia="宋体"/>
          <w:u w:val="single"/>
        </w:rPr>
        <w:t xml:space="preserve">                      </w:t>
      </w:r>
      <w:r>
        <w:rPr>
          <w:rFonts w:hint="eastAsia" w:ascii="宋体" w:hAnsi="宋体" w:eastAsia="宋体"/>
        </w:rPr>
        <w:t>，</w:t>
      </w:r>
      <w:r>
        <w:rPr>
          <w:rFonts w:ascii="宋体" w:hAnsi="宋体" w:eastAsia="宋体"/>
        </w:rPr>
        <w:t>系</w:t>
      </w:r>
      <w:r>
        <w:rPr>
          <w:rFonts w:hint="eastAsia" w:ascii="宋体" w:hAnsi="宋体" w:eastAsia="宋体"/>
          <w:u w:val="single"/>
        </w:rPr>
        <w:t xml:space="preserve">  （供应商</w:t>
      </w:r>
      <w:r>
        <w:rPr>
          <w:rFonts w:ascii="宋体" w:hAnsi="宋体" w:eastAsia="宋体"/>
          <w:u w:val="single"/>
        </w:rPr>
        <w:t>名称</w:t>
      </w:r>
      <w:r>
        <w:rPr>
          <w:rFonts w:hint="eastAsia" w:ascii="宋体" w:hAnsi="宋体" w:eastAsia="宋体"/>
          <w:u w:val="single"/>
        </w:rPr>
        <w:t xml:space="preserve">）  </w:t>
      </w:r>
      <w:r>
        <w:rPr>
          <w:rFonts w:hint="eastAsia" w:ascii="宋体" w:hAnsi="宋体" w:eastAsia="宋体"/>
        </w:rPr>
        <w:t>，</w:t>
      </w:r>
      <w:r>
        <w:rPr>
          <w:rFonts w:ascii="宋体" w:hAnsi="宋体" w:eastAsia="宋体"/>
        </w:rPr>
        <w:t>的法定代表人/负责人，有权在</w:t>
      </w:r>
      <w:r>
        <w:rPr>
          <w:rFonts w:ascii="宋体" w:hAnsi="宋体" w:eastAsia="宋体"/>
          <w:u w:val="single"/>
        </w:rPr>
        <w:t xml:space="preserve"> </w:t>
      </w:r>
      <w:r>
        <w:rPr>
          <w:rFonts w:hint="eastAsia" w:ascii="宋体" w:hAnsi="宋体" w:eastAsia="宋体"/>
          <w:u w:val="single"/>
        </w:rPr>
        <w:t>（项目</w:t>
      </w:r>
      <w:r>
        <w:rPr>
          <w:rFonts w:ascii="宋体" w:hAnsi="宋体" w:eastAsia="宋体"/>
          <w:u w:val="single"/>
        </w:rPr>
        <w:t>名称</w:t>
      </w:r>
      <w:r>
        <w:rPr>
          <w:rFonts w:hint="eastAsia" w:ascii="宋体" w:hAnsi="宋体" w:eastAsia="宋体"/>
          <w:u w:val="single"/>
        </w:rPr>
        <w:t xml:space="preserve">） </w:t>
      </w:r>
      <w:r>
        <w:rPr>
          <w:rFonts w:hint="eastAsia" w:ascii="宋体" w:hAnsi="宋体" w:eastAsia="宋体"/>
        </w:rPr>
        <w:t>的采购活动</w:t>
      </w:r>
      <w:r>
        <w:rPr>
          <w:rFonts w:ascii="宋体" w:hAnsi="宋体" w:eastAsia="宋体"/>
        </w:rPr>
        <w:t>中，以我单位</w:t>
      </w:r>
      <w:r>
        <w:rPr>
          <w:rFonts w:hint="eastAsia" w:ascii="宋体" w:hAnsi="宋体" w:eastAsia="宋体"/>
        </w:rPr>
        <w:t>的</w:t>
      </w:r>
      <w:r>
        <w:rPr>
          <w:rFonts w:ascii="宋体" w:hAnsi="宋体" w:eastAsia="宋体"/>
        </w:rPr>
        <w:t>名义</w:t>
      </w:r>
      <w:r>
        <w:rPr>
          <w:rFonts w:hint="eastAsia" w:ascii="宋体" w:hAnsi="宋体" w:eastAsia="宋体"/>
        </w:rPr>
        <w:t>签署响应</w:t>
      </w:r>
      <w:r>
        <w:rPr>
          <w:rFonts w:ascii="宋体" w:hAnsi="宋体" w:eastAsia="宋体"/>
        </w:rPr>
        <w:t>函和</w:t>
      </w:r>
      <w:r>
        <w:rPr>
          <w:rFonts w:hint="eastAsia" w:ascii="宋体" w:hAnsi="宋体" w:eastAsia="宋体"/>
        </w:rPr>
        <w:t>报价</w:t>
      </w:r>
      <w:r>
        <w:rPr>
          <w:rFonts w:ascii="宋体" w:hAnsi="宋体" w:eastAsia="宋体"/>
        </w:rPr>
        <w:t>文件、与</w:t>
      </w:r>
      <w:r>
        <w:rPr>
          <w:rFonts w:hint="eastAsia" w:ascii="宋体" w:hAnsi="宋体" w:eastAsia="宋体"/>
        </w:rPr>
        <w:t>采购单位</w:t>
      </w:r>
      <w:r>
        <w:rPr>
          <w:rFonts w:ascii="宋体" w:hAnsi="宋体" w:eastAsia="宋体"/>
        </w:rPr>
        <w:t>协商、谈判、签订合同协议书以及执行一切与此有关的事项。</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特此</w:t>
      </w:r>
      <w:r>
        <w:rPr>
          <w:rFonts w:ascii="宋体" w:hAnsi="宋体" w:eastAsia="宋体"/>
        </w:rPr>
        <w:t>证明。</w:t>
      </w:r>
    </w:p>
    <w:p>
      <w:pPr>
        <w:spacing w:line="360" w:lineRule="auto"/>
        <w:jc w:val="center"/>
        <w:rPr>
          <w:rFonts w:ascii="宋体" w:hAnsi="宋体" w:eastAsia="宋体"/>
          <w:b/>
          <w:sz w:val="24"/>
          <w:u w:val="single"/>
        </w:rPr>
      </w:pPr>
      <w:r>
        <w:rPr>
          <w:rFonts w:hint="eastAsia" w:ascii="宋体" w:hAnsi="宋体" w:eastAsia="宋体"/>
          <w:b/>
          <w:sz w:val="24"/>
          <w:u w:val="single"/>
        </w:rPr>
        <w:t>（附法定代表人/负责人</w:t>
      </w:r>
      <w:r>
        <w:rPr>
          <w:rFonts w:ascii="宋体" w:hAnsi="宋体" w:eastAsia="宋体"/>
          <w:b/>
          <w:sz w:val="24"/>
          <w:u w:val="single"/>
        </w:rPr>
        <w:t>身份证复印件正面和反面</w:t>
      </w:r>
      <w:r>
        <w:rPr>
          <w:rFonts w:hint="eastAsia" w:ascii="宋体" w:hAnsi="宋体" w:eastAsia="宋体"/>
          <w:b/>
          <w:sz w:val="24"/>
          <w:u w:val="single"/>
        </w:rPr>
        <w:t>）</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wordWrap w:val="0"/>
        <w:spacing w:line="360" w:lineRule="auto"/>
        <w:jc w:val="right"/>
        <w:rPr>
          <w:rFonts w:ascii="宋体" w:hAnsi="宋体" w:eastAsia="宋体"/>
        </w:rPr>
      </w:pPr>
      <w:r>
        <w:rPr>
          <w:rFonts w:hint="eastAsia" w:ascii="宋体" w:hAnsi="宋体" w:eastAsia="宋体"/>
        </w:rPr>
        <w:t xml:space="preserve">供 </w:t>
      </w:r>
      <w:r>
        <w:rPr>
          <w:rFonts w:ascii="宋体" w:hAnsi="宋体" w:eastAsia="宋体"/>
        </w:rPr>
        <w:t xml:space="preserve"> </w:t>
      </w:r>
      <w:r>
        <w:rPr>
          <w:rFonts w:hint="eastAsia" w:ascii="宋体" w:hAnsi="宋体" w:eastAsia="宋体"/>
        </w:rPr>
        <w:t xml:space="preserve">应 </w:t>
      </w:r>
      <w:r>
        <w:rPr>
          <w:rFonts w:ascii="宋体" w:hAnsi="宋体" w:eastAsia="宋体"/>
        </w:rPr>
        <w:t xml:space="preserve"> </w:t>
      </w:r>
      <w:r>
        <w:rPr>
          <w:rFonts w:hint="eastAsia" w:ascii="宋体" w:hAnsi="宋体" w:eastAsia="宋体"/>
        </w:rPr>
        <w:t>商</w:t>
      </w:r>
      <w:r>
        <w:rPr>
          <w:rFonts w:ascii="宋体" w:hAnsi="宋体" w:eastAsia="宋体"/>
        </w:rPr>
        <w:t>：</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（盖章）</w:t>
      </w:r>
      <w:r>
        <w:rPr>
          <w:rFonts w:ascii="宋体" w:hAnsi="宋体" w:eastAsia="宋体"/>
          <w:u w:val="single"/>
        </w:rPr>
        <w:t xml:space="preserve">       </w:t>
      </w:r>
    </w:p>
    <w:p>
      <w:pPr>
        <w:wordWrap w:val="0"/>
        <w:spacing w:line="360" w:lineRule="auto"/>
        <w:jc w:val="right"/>
        <w:rPr>
          <w:rFonts w:ascii="宋体" w:hAnsi="宋体" w:eastAsia="宋体"/>
        </w:rPr>
      </w:pPr>
      <w:r>
        <w:rPr>
          <w:rFonts w:hint="eastAsia" w:ascii="宋体" w:hAnsi="宋体" w:eastAsia="宋体"/>
        </w:rPr>
        <w:t>法定代表人/负责人</w:t>
      </w:r>
      <w:r>
        <w:rPr>
          <w:rFonts w:ascii="宋体" w:hAnsi="宋体" w:eastAsia="宋体"/>
        </w:rPr>
        <w:t>：</w:t>
      </w:r>
      <w:r>
        <w:rPr>
          <w:rFonts w:hint="eastAsia" w:ascii="宋体" w:hAnsi="宋体" w:eastAsia="宋体"/>
          <w:u w:val="single"/>
        </w:rPr>
        <w:t xml:space="preserve"> </w:t>
      </w:r>
      <w:r>
        <w:rPr>
          <w:rFonts w:ascii="宋体" w:hAnsi="宋体" w:eastAsia="宋体"/>
          <w:u w:val="single"/>
        </w:rPr>
        <w:t xml:space="preserve">                   </w:t>
      </w:r>
    </w:p>
    <w:p>
      <w:pPr>
        <w:wordWrap w:val="0"/>
        <w:spacing w:line="360" w:lineRule="auto"/>
        <w:jc w:val="right"/>
        <w:rPr>
          <w:rFonts w:ascii="宋体" w:hAnsi="宋体" w:eastAsia="宋体"/>
        </w:rPr>
      </w:pPr>
      <w:r>
        <w:rPr>
          <w:rFonts w:hint="eastAsia" w:ascii="宋体" w:hAnsi="宋体" w:eastAsia="宋体"/>
        </w:rPr>
        <w:t xml:space="preserve">日  </w:t>
      </w:r>
      <w:r>
        <w:rPr>
          <w:rFonts w:ascii="宋体" w:hAnsi="宋体" w:eastAsia="宋体"/>
        </w:rPr>
        <w:t xml:space="preserve">   </w:t>
      </w:r>
      <w:r>
        <w:rPr>
          <w:rFonts w:hint="eastAsia" w:ascii="宋体" w:hAnsi="宋体" w:eastAsia="宋体"/>
        </w:rPr>
        <w:t xml:space="preserve"> 期</w:t>
      </w:r>
      <w:r>
        <w:rPr>
          <w:rFonts w:ascii="宋体" w:hAnsi="宋体" w:eastAsia="宋体"/>
        </w:rPr>
        <w:t>：</w:t>
      </w:r>
      <w:r>
        <w:rPr>
          <w:rFonts w:ascii="宋体" w:hAnsi="宋体" w:eastAsia="宋体"/>
          <w:u w:val="single"/>
        </w:rPr>
        <w:t xml:space="preserve">                    </w:t>
      </w:r>
    </w:p>
    <w:p>
      <w:pPr>
        <w:spacing w:line="360" w:lineRule="auto"/>
        <w:ind w:firstLine="420" w:firstLineChars="200"/>
        <w:rPr>
          <w:rFonts w:ascii="宋体" w:hAnsi="宋体" w:eastAsia="宋体"/>
        </w:rPr>
      </w:pPr>
      <w:r>
        <w:rPr>
          <w:rFonts w:hint="eastAsia" w:ascii="宋体" w:hAnsi="宋体" w:eastAsia="宋体"/>
        </w:rPr>
        <w:t>注</w:t>
      </w:r>
      <w:r>
        <w:rPr>
          <w:rFonts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1.如</w:t>
      </w:r>
      <w:r>
        <w:rPr>
          <w:rFonts w:ascii="宋体" w:hAnsi="宋体" w:eastAsia="宋体"/>
        </w:rPr>
        <w:t>为法定代表人/负责人参加本次</w:t>
      </w:r>
      <w:r>
        <w:rPr>
          <w:rFonts w:hint="eastAsia" w:ascii="宋体" w:hAnsi="宋体" w:eastAsia="宋体"/>
        </w:rPr>
        <w:t>采购</w:t>
      </w:r>
      <w:r>
        <w:rPr>
          <w:rFonts w:ascii="宋体" w:hAnsi="宋体" w:eastAsia="宋体"/>
        </w:rPr>
        <w:t>活动，填写此表，则不需要填写“</w:t>
      </w:r>
      <w:r>
        <w:rPr>
          <w:rFonts w:hint="eastAsia" w:ascii="宋体" w:hAnsi="宋体" w:eastAsia="宋体"/>
        </w:rPr>
        <w:t>法定代表人/负责人</w:t>
      </w:r>
      <w:r>
        <w:rPr>
          <w:rFonts w:ascii="宋体" w:hAnsi="宋体" w:eastAsia="宋体"/>
        </w:rPr>
        <w:t>授权委托书”</w:t>
      </w:r>
      <w:r>
        <w:rPr>
          <w:rFonts w:hint="eastAsia" w:ascii="宋体" w:hAnsi="宋体" w:eastAsia="宋体"/>
        </w:rPr>
        <w:t>。</w:t>
      </w:r>
    </w:p>
    <w:p>
      <w:pPr>
        <w:spacing w:line="360" w:lineRule="auto"/>
        <w:ind w:firstLine="420" w:firstLineChars="200"/>
        <w:rPr>
          <w:rFonts w:ascii="宋体" w:hAnsi="宋体" w:eastAsia="宋体"/>
        </w:rPr>
      </w:pPr>
      <w:r>
        <w:rPr>
          <w:rFonts w:ascii="宋体" w:hAnsi="宋体" w:eastAsia="宋体"/>
        </w:rPr>
        <w:t>2.</w:t>
      </w:r>
      <w:r>
        <w:rPr>
          <w:rFonts w:hint="eastAsia" w:ascii="宋体" w:hAnsi="宋体" w:eastAsia="宋体"/>
        </w:rPr>
        <w:t>后</w:t>
      </w:r>
      <w:r>
        <w:rPr>
          <w:rFonts w:ascii="宋体" w:hAnsi="宋体" w:eastAsia="宋体"/>
        </w:rPr>
        <w:t>附法定代表人/负责人身份证</w:t>
      </w:r>
      <w:r>
        <w:rPr>
          <w:rFonts w:hint="eastAsia" w:ascii="宋体" w:hAnsi="宋体" w:eastAsia="宋体"/>
        </w:rPr>
        <w:t>复印件</w:t>
      </w:r>
      <w:r>
        <w:rPr>
          <w:rFonts w:ascii="宋体" w:hAnsi="宋体" w:eastAsia="宋体"/>
        </w:rPr>
        <w:t>并</w:t>
      </w:r>
      <w:r>
        <w:rPr>
          <w:rFonts w:hint="eastAsia" w:ascii="宋体" w:hAnsi="宋体" w:eastAsia="宋体"/>
        </w:rPr>
        <w:t>加盖供应商</w:t>
      </w:r>
      <w:r>
        <w:rPr>
          <w:rFonts w:ascii="宋体" w:hAnsi="宋体" w:eastAsia="宋体"/>
        </w:rPr>
        <w:t>单位公章。</w:t>
      </w:r>
    </w:p>
    <w:p>
      <w:pPr>
        <w:widowControl/>
        <w:jc w:val="left"/>
        <w:rPr>
          <w:rFonts w:ascii="宋体" w:hAnsi="宋体" w:eastAsia="宋体"/>
        </w:rPr>
      </w:pPr>
      <w:r>
        <w:rPr>
          <w:rFonts w:ascii="宋体" w:hAnsi="宋体" w:eastAsia="宋体"/>
        </w:rPr>
        <w:br w:type="page"/>
      </w:r>
    </w:p>
    <w:p>
      <w:pPr>
        <w:spacing w:line="360" w:lineRule="auto"/>
        <w:jc w:val="center"/>
        <w:outlineLvl w:val="2"/>
        <w:rPr>
          <w:rFonts w:ascii="宋体" w:hAnsi="宋体" w:eastAsia="宋体"/>
          <w:b/>
          <w:sz w:val="32"/>
          <w:szCs w:val="32"/>
        </w:rPr>
      </w:pPr>
      <w:bookmarkStart w:id="109" w:name="_Toc133138772"/>
      <w:bookmarkStart w:id="110" w:name="_Toc78810871"/>
      <w:r>
        <w:rPr>
          <w:rFonts w:hint="eastAsia" w:ascii="宋体" w:hAnsi="宋体" w:eastAsia="宋体"/>
          <w:b/>
          <w:sz w:val="32"/>
          <w:szCs w:val="32"/>
        </w:rPr>
        <w:t>授权</w:t>
      </w:r>
      <w:r>
        <w:rPr>
          <w:rFonts w:ascii="宋体" w:hAnsi="宋体" w:eastAsia="宋体"/>
          <w:b/>
          <w:sz w:val="32"/>
          <w:szCs w:val="32"/>
        </w:rPr>
        <w:t>委托书</w:t>
      </w:r>
      <w:bookmarkEnd w:id="109"/>
      <w:bookmarkEnd w:id="110"/>
    </w:p>
    <w:p>
      <w:pPr>
        <w:spacing w:line="360" w:lineRule="auto"/>
        <w:rPr>
          <w:rFonts w:ascii="宋体" w:hAnsi="宋体" w:eastAsia="宋体"/>
        </w:rPr>
      </w:pPr>
      <w:r>
        <w:rPr>
          <w:rFonts w:hint="eastAsia" w:ascii="宋体" w:hAnsi="宋体" w:eastAsia="宋体"/>
        </w:rPr>
        <w:t>致</w:t>
      </w:r>
      <w:r>
        <w:rPr>
          <w:rFonts w:ascii="宋体" w:hAnsi="宋体" w:eastAsia="宋体"/>
        </w:rPr>
        <w:t>：</w:t>
      </w:r>
      <w:r>
        <w:rPr>
          <w:rFonts w:hint="eastAsia" w:ascii="宋体" w:hAnsi="宋体" w:eastAsia="宋体"/>
          <w:u w:val="single"/>
        </w:rPr>
        <w:t xml:space="preserve">  （采购单位</w:t>
      </w:r>
      <w:r>
        <w:rPr>
          <w:rFonts w:ascii="宋体" w:hAnsi="宋体" w:eastAsia="宋体"/>
          <w:u w:val="single"/>
        </w:rPr>
        <w:t>名称</w:t>
      </w:r>
      <w:r>
        <w:rPr>
          <w:rFonts w:hint="eastAsia" w:ascii="宋体" w:hAnsi="宋体" w:eastAsia="宋体"/>
          <w:u w:val="single"/>
        </w:rPr>
        <w:t xml:space="preserve">）  </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本</w:t>
      </w:r>
      <w:r>
        <w:rPr>
          <w:rFonts w:ascii="宋体" w:hAnsi="宋体" w:eastAsia="宋体"/>
        </w:rPr>
        <w:t>授权委托书宣告：</w:t>
      </w:r>
      <w:r>
        <w:rPr>
          <w:rFonts w:hint="eastAsia" w:ascii="宋体" w:hAnsi="宋体" w:eastAsia="宋体"/>
          <w:u w:val="single"/>
        </w:rPr>
        <w:t xml:space="preserve"> （供应商</w:t>
      </w:r>
      <w:r>
        <w:rPr>
          <w:rFonts w:ascii="宋体" w:hAnsi="宋体" w:eastAsia="宋体"/>
          <w:u w:val="single"/>
        </w:rPr>
        <w:t>全称</w:t>
      </w:r>
      <w:r>
        <w:rPr>
          <w:rFonts w:hint="eastAsia" w:ascii="宋体" w:hAnsi="宋体" w:eastAsia="宋体"/>
          <w:u w:val="single"/>
        </w:rPr>
        <w:t xml:space="preserve">） </w:t>
      </w:r>
      <w:r>
        <w:rPr>
          <w:rFonts w:hint="eastAsia" w:ascii="宋体" w:hAnsi="宋体" w:eastAsia="宋体"/>
        </w:rPr>
        <w:t>的</w:t>
      </w:r>
      <w:r>
        <w:rPr>
          <w:rFonts w:hint="eastAsia" w:ascii="宋体" w:hAnsi="宋体" w:eastAsia="宋体"/>
          <w:u w:val="single"/>
        </w:rPr>
        <w:t xml:space="preserve"> </w:t>
      </w:r>
      <w:r>
        <w:rPr>
          <w:rFonts w:ascii="宋体" w:hAnsi="宋体" w:eastAsia="宋体"/>
          <w:u w:val="single"/>
        </w:rPr>
        <w:t>（</w:t>
      </w:r>
      <w:r>
        <w:rPr>
          <w:rFonts w:hint="eastAsia" w:ascii="宋体" w:hAnsi="宋体" w:eastAsia="宋体"/>
          <w:u w:val="single"/>
        </w:rPr>
        <w:t>职务</w:t>
      </w:r>
      <w:r>
        <w:rPr>
          <w:rFonts w:ascii="宋体" w:hAnsi="宋体" w:eastAsia="宋体"/>
          <w:u w:val="single"/>
        </w:rPr>
        <w:t>）</w:t>
      </w:r>
      <w:r>
        <w:rPr>
          <w:rFonts w:hint="eastAsia" w:ascii="宋体" w:hAnsi="宋体" w:eastAsia="宋体"/>
          <w:u w:val="single"/>
        </w:rPr>
        <w:t xml:space="preserve">（姓名） </w:t>
      </w:r>
      <w:r>
        <w:rPr>
          <w:rFonts w:hint="eastAsia" w:ascii="宋体" w:hAnsi="宋体" w:eastAsia="宋体"/>
        </w:rPr>
        <w:t>以</w:t>
      </w:r>
      <w:r>
        <w:rPr>
          <w:rFonts w:ascii="宋体" w:hAnsi="宋体" w:eastAsia="宋体"/>
        </w:rPr>
        <w:t>其法定代表人/负责人的身份，合法地代表本单位授权</w:t>
      </w:r>
      <w:r>
        <w:rPr>
          <w:rFonts w:hint="eastAsia" w:ascii="宋体" w:hAnsi="宋体" w:eastAsia="宋体"/>
          <w:u w:val="single"/>
        </w:rPr>
        <w:t xml:space="preserve"> （供应商</w:t>
      </w:r>
      <w:r>
        <w:rPr>
          <w:rFonts w:ascii="宋体" w:hAnsi="宋体" w:eastAsia="宋体"/>
          <w:u w:val="single"/>
        </w:rPr>
        <w:t>全称</w:t>
      </w:r>
      <w:r>
        <w:rPr>
          <w:rFonts w:hint="eastAsia" w:ascii="宋体" w:hAnsi="宋体" w:eastAsia="宋体"/>
          <w:u w:val="single"/>
        </w:rPr>
        <w:t xml:space="preserve">） </w:t>
      </w:r>
      <w:r>
        <w:rPr>
          <w:rFonts w:hint="eastAsia" w:ascii="宋体" w:hAnsi="宋体" w:eastAsia="宋体"/>
        </w:rPr>
        <w:t>的</w:t>
      </w:r>
      <w:r>
        <w:rPr>
          <w:rFonts w:hint="eastAsia" w:ascii="宋体" w:hAnsi="宋体" w:eastAsia="宋体"/>
          <w:u w:val="single"/>
        </w:rPr>
        <w:t xml:space="preserve"> （职务）（姓名） </w:t>
      </w:r>
      <w:r>
        <w:rPr>
          <w:rFonts w:hint="eastAsia" w:ascii="宋体" w:hAnsi="宋体" w:eastAsia="宋体"/>
        </w:rPr>
        <w:t>为</w:t>
      </w:r>
      <w:r>
        <w:rPr>
          <w:rFonts w:ascii="宋体" w:hAnsi="宋体" w:eastAsia="宋体"/>
        </w:rPr>
        <w:t>我单位</w:t>
      </w:r>
      <w:r>
        <w:rPr>
          <w:rFonts w:hint="eastAsia" w:ascii="宋体" w:hAnsi="宋体" w:eastAsia="宋体"/>
        </w:rPr>
        <w:t>授权</w:t>
      </w:r>
      <w:r>
        <w:rPr>
          <w:rFonts w:ascii="宋体" w:hAnsi="宋体" w:eastAsia="宋体"/>
        </w:rPr>
        <w:t>代理人，该授权代理人有权在</w:t>
      </w:r>
      <w:r>
        <w:rPr>
          <w:rFonts w:hint="eastAsia" w:ascii="宋体" w:hAnsi="宋体" w:eastAsia="宋体"/>
          <w:u w:val="single"/>
        </w:rPr>
        <w:t>（项目</w:t>
      </w:r>
      <w:r>
        <w:rPr>
          <w:rFonts w:ascii="宋体" w:hAnsi="宋体" w:eastAsia="宋体"/>
          <w:u w:val="single"/>
        </w:rPr>
        <w:t>名称</w:t>
      </w:r>
      <w:r>
        <w:rPr>
          <w:rFonts w:hint="eastAsia" w:ascii="宋体" w:hAnsi="宋体" w:eastAsia="宋体"/>
          <w:u w:val="single"/>
        </w:rPr>
        <w:t xml:space="preserve">） </w:t>
      </w:r>
      <w:r>
        <w:rPr>
          <w:rFonts w:hint="eastAsia" w:ascii="宋体" w:hAnsi="宋体" w:eastAsia="宋体"/>
        </w:rPr>
        <w:t>的采购</w:t>
      </w:r>
      <w:r>
        <w:rPr>
          <w:rFonts w:ascii="宋体" w:hAnsi="宋体" w:eastAsia="宋体"/>
        </w:rPr>
        <w:t>活动中，以我单位</w:t>
      </w:r>
      <w:r>
        <w:rPr>
          <w:rFonts w:hint="eastAsia" w:ascii="宋体" w:hAnsi="宋体" w:eastAsia="宋体"/>
        </w:rPr>
        <w:t>的</w:t>
      </w:r>
      <w:r>
        <w:rPr>
          <w:rFonts w:ascii="宋体" w:hAnsi="宋体" w:eastAsia="宋体"/>
        </w:rPr>
        <w:t>名义</w:t>
      </w:r>
      <w:r>
        <w:rPr>
          <w:rFonts w:hint="eastAsia" w:ascii="宋体" w:hAnsi="宋体" w:eastAsia="宋体"/>
        </w:rPr>
        <w:t>签署响应</w:t>
      </w:r>
      <w:r>
        <w:rPr>
          <w:rFonts w:ascii="宋体" w:hAnsi="宋体" w:eastAsia="宋体"/>
        </w:rPr>
        <w:t>函和</w:t>
      </w:r>
      <w:r>
        <w:rPr>
          <w:rFonts w:hint="eastAsia" w:ascii="宋体" w:hAnsi="宋体" w:eastAsia="宋体"/>
        </w:rPr>
        <w:t>报价</w:t>
      </w:r>
      <w:r>
        <w:rPr>
          <w:rFonts w:ascii="宋体" w:hAnsi="宋体" w:eastAsia="宋体"/>
        </w:rPr>
        <w:t>文件、与</w:t>
      </w:r>
      <w:r>
        <w:rPr>
          <w:rFonts w:hint="eastAsia" w:ascii="宋体" w:hAnsi="宋体" w:eastAsia="宋体"/>
        </w:rPr>
        <w:t>采购单位</w:t>
      </w:r>
      <w:r>
        <w:rPr>
          <w:rFonts w:ascii="宋体" w:hAnsi="宋体" w:eastAsia="宋体"/>
        </w:rPr>
        <w:t>协商、谈判、签订合同协议书以及执行一切与此有关的事项</w:t>
      </w:r>
      <w:r>
        <w:rPr>
          <w:rFonts w:hint="eastAsia" w:ascii="宋体" w:hAnsi="宋体" w:eastAsia="宋体"/>
        </w:rPr>
        <w:t>，</w:t>
      </w:r>
      <w:r>
        <w:rPr>
          <w:rFonts w:ascii="宋体" w:hAnsi="宋体" w:eastAsia="宋体"/>
        </w:rPr>
        <w:t>其法律</w:t>
      </w:r>
      <w:r>
        <w:rPr>
          <w:rFonts w:hint="eastAsia" w:ascii="宋体" w:hAnsi="宋体" w:eastAsia="宋体"/>
        </w:rPr>
        <w:t>责任</w:t>
      </w:r>
      <w:r>
        <w:rPr>
          <w:rFonts w:ascii="宋体" w:hAnsi="宋体" w:eastAsia="宋体"/>
        </w:rPr>
        <w:t>由我单位承担。</w:t>
      </w:r>
    </w:p>
    <w:p>
      <w:pPr>
        <w:spacing w:line="360" w:lineRule="auto"/>
        <w:ind w:firstLine="420" w:firstLineChars="200"/>
        <w:rPr>
          <w:rFonts w:ascii="宋体" w:hAnsi="宋体" w:eastAsia="宋体"/>
        </w:rPr>
      </w:pPr>
      <w:r>
        <w:rPr>
          <w:rFonts w:hint="eastAsia" w:ascii="宋体" w:hAnsi="宋体" w:eastAsia="宋体"/>
        </w:rPr>
        <w:t>委托</w:t>
      </w:r>
      <w:r>
        <w:rPr>
          <w:rFonts w:ascii="宋体" w:hAnsi="宋体" w:eastAsia="宋体"/>
        </w:rPr>
        <w:t>期限：</w:t>
      </w:r>
      <w:r>
        <w:rPr>
          <w:rFonts w:hint="eastAsia" w:ascii="宋体" w:hAnsi="宋体" w:eastAsia="宋体"/>
          <w:u w:val="single"/>
        </w:rPr>
        <w:t xml:space="preserve">                   </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授权</w:t>
      </w:r>
      <w:r>
        <w:rPr>
          <w:rFonts w:ascii="宋体" w:hAnsi="宋体" w:eastAsia="宋体"/>
        </w:rPr>
        <w:t>代理人无转委托</w:t>
      </w:r>
      <w:r>
        <w:rPr>
          <w:rFonts w:hint="eastAsia" w:ascii="宋体" w:hAnsi="宋体" w:eastAsia="宋体"/>
        </w:rPr>
        <w:t>权</w:t>
      </w:r>
      <w:r>
        <w:rPr>
          <w:rFonts w:ascii="宋体" w:hAnsi="宋体" w:eastAsia="宋体"/>
        </w:rPr>
        <w:t>，</w:t>
      </w:r>
      <w:r>
        <w:rPr>
          <w:rFonts w:hint="eastAsia" w:ascii="宋体" w:hAnsi="宋体" w:eastAsia="宋体"/>
        </w:rPr>
        <w:t>特此</w:t>
      </w:r>
      <w:r>
        <w:rPr>
          <w:rFonts w:ascii="宋体" w:hAnsi="宋体" w:eastAsia="宋体"/>
        </w:rPr>
        <w:t>委托。</w:t>
      </w:r>
    </w:p>
    <w:p>
      <w:pPr>
        <w:spacing w:line="360" w:lineRule="auto"/>
        <w:ind w:firstLine="420" w:firstLineChars="200"/>
        <w:rPr>
          <w:rFonts w:ascii="宋体" w:hAnsi="宋体" w:eastAsia="宋体"/>
        </w:rPr>
      </w:pPr>
    </w:p>
    <w:p>
      <w:pPr>
        <w:spacing w:line="360" w:lineRule="auto"/>
        <w:jc w:val="center"/>
        <w:rPr>
          <w:rFonts w:ascii="宋体" w:hAnsi="宋体" w:eastAsia="宋体"/>
          <w:b/>
          <w:sz w:val="24"/>
          <w:u w:val="single"/>
        </w:rPr>
      </w:pPr>
      <w:r>
        <w:rPr>
          <w:rFonts w:hint="eastAsia" w:ascii="宋体" w:hAnsi="宋体" w:eastAsia="宋体"/>
          <w:b/>
          <w:sz w:val="24"/>
          <w:u w:val="single"/>
        </w:rPr>
        <w:t>（附授权</w:t>
      </w:r>
      <w:r>
        <w:rPr>
          <w:rFonts w:ascii="宋体" w:hAnsi="宋体" w:eastAsia="宋体"/>
          <w:b/>
          <w:sz w:val="24"/>
          <w:u w:val="single"/>
        </w:rPr>
        <w:t>代理人身份证复印件正面和反面</w:t>
      </w:r>
      <w:r>
        <w:rPr>
          <w:rFonts w:hint="eastAsia" w:ascii="宋体" w:hAnsi="宋体" w:eastAsia="宋体"/>
          <w:b/>
          <w:sz w:val="24"/>
          <w:u w:val="single"/>
        </w:rPr>
        <w:t>）</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wordWrap w:val="0"/>
        <w:spacing w:line="360" w:lineRule="auto"/>
        <w:jc w:val="right"/>
        <w:rPr>
          <w:rFonts w:ascii="宋体" w:hAnsi="宋体" w:eastAsia="宋体"/>
        </w:rPr>
      </w:pPr>
      <w:r>
        <w:rPr>
          <w:rFonts w:hint="eastAsia" w:ascii="宋体" w:hAnsi="宋体" w:eastAsia="宋体"/>
        </w:rPr>
        <w:t xml:space="preserve">供 </w:t>
      </w:r>
      <w:r>
        <w:rPr>
          <w:rFonts w:ascii="宋体" w:hAnsi="宋体" w:eastAsia="宋体"/>
        </w:rPr>
        <w:t xml:space="preserve"> </w:t>
      </w:r>
      <w:r>
        <w:rPr>
          <w:rFonts w:hint="eastAsia" w:ascii="宋体" w:hAnsi="宋体" w:eastAsia="宋体"/>
        </w:rPr>
        <w:t xml:space="preserve">应 </w:t>
      </w:r>
      <w:r>
        <w:rPr>
          <w:rFonts w:ascii="宋体" w:hAnsi="宋体" w:eastAsia="宋体"/>
        </w:rPr>
        <w:t xml:space="preserve"> </w:t>
      </w:r>
      <w:r>
        <w:rPr>
          <w:rFonts w:hint="eastAsia" w:ascii="宋体" w:hAnsi="宋体" w:eastAsia="宋体"/>
        </w:rPr>
        <w:t>商</w:t>
      </w:r>
      <w:r>
        <w:rPr>
          <w:rFonts w:ascii="宋体" w:hAnsi="宋体" w:eastAsia="宋体"/>
        </w:rPr>
        <w:t>：</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（盖章）</w:t>
      </w:r>
      <w:r>
        <w:rPr>
          <w:rFonts w:ascii="宋体" w:hAnsi="宋体" w:eastAsia="宋体"/>
          <w:u w:val="single"/>
        </w:rPr>
        <w:t xml:space="preserve">       </w:t>
      </w:r>
    </w:p>
    <w:p>
      <w:pPr>
        <w:wordWrap w:val="0"/>
        <w:spacing w:line="360" w:lineRule="auto"/>
        <w:jc w:val="right"/>
        <w:rPr>
          <w:rFonts w:ascii="宋体" w:hAnsi="宋体" w:eastAsia="宋体"/>
        </w:rPr>
      </w:pPr>
      <w:r>
        <w:rPr>
          <w:rFonts w:hint="eastAsia" w:ascii="宋体" w:hAnsi="宋体" w:eastAsia="宋体"/>
        </w:rPr>
        <w:t>法定代表人/负责人</w:t>
      </w:r>
      <w:r>
        <w:rPr>
          <w:rFonts w:ascii="宋体" w:hAnsi="宋体" w:eastAsia="宋体"/>
        </w:rPr>
        <w:t>：</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（盖章</w:t>
      </w:r>
      <w:r>
        <w:rPr>
          <w:rFonts w:ascii="宋体" w:hAnsi="宋体" w:eastAsia="宋体"/>
          <w:u w:val="single"/>
        </w:rPr>
        <w:t>或签字</w:t>
      </w:r>
      <w:r>
        <w:rPr>
          <w:rFonts w:hint="eastAsia" w:ascii="宋体" w:hAnsi="宋体" w:eastAsia="宋体"/>
          <w:u w:val="single"/>
        </w:rPr>
        <w:t>）</w:t>
      </w:r>
      <w:r>
        <w:rPr>
          <w:rFonts w:ascii="宋体" w:hAnsi="宋体" w:eastAsia="宋体"/>
          <w:u w:val="single"/>
        </w:rPr>
        <w:t xml:space="preserve">    </w:t>
      </w:r>
    </w:p>
    <w:p>
      <w:pPr>
        <w:wordWrap w:val="0"/>
        <w:spacing w:line="360" w:lineRule="auto"/>
        <w:jc w:val="right"/>
        <w:rPr>
          <w:rFonts w:ascii="宋体" w:hAnsi="宋体" w:eastAsia="宋体"/>
        </w:rPr>
      </w:pPr>
      <w:r>
        <w:rPr>
          <w:rFonts w:hint="eastAsia" w:ascii="宋体" w:hAnsi="宋体" w:eastAsia="宋体"/>
        </w:rPr>
        <w:t>授权代理人</w:t>
      </w:r>
      <w:r>
        <w:rPr>
          <w:rFonts w:ascii="宋体" w:hAnsi="宋体" w:eastAsia="宋体"/>
        </w:rPr>
        <w:t>：</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u w:val="single"/>
        </w:rPr>
        <w:t>（盖章</w:t>
      </w:r>
      <w:r>
        <w:rPr>
          <w:rFonts w:ascii="宋体" w:hAnsi="宋体" w:eastAsia="宋体"/>
          <w:u w:val="single"/>
        </w:rPr>
        <w:t>或签字</w:t>
      </w:r>
      <w:r>
        <w:rPr>
          <w:rFonts w:hint="eastAsia" w:ascii="宋体" w:hAnsi="宋体" w:eastAsia="宋体"/>
          <w:u w:val="single"/>
        </w:rPr>
        <w:t>）</w:t>
      </w:r>
      <w:r>
        <w:rPr>
          <w:rFonts w:ascii="宋体" w:hAnsi="宋体" w:eastAsia="宋体"/>
          <w:u w:val="single"/>
        </w:rPr>
        <w:t xml:space="preserve">    </w:t>
      </w:r>
    </w:p>
    <w:p>
      <w:pPr>
        <w:wordWrap w:val="0"/>
        <w:spacing w:line="360" w:lineRule="auto"/>
        <w:jc w:val="right"/>
        <w:rPr>
          <w:rFonts w:ascii="宋体" w:hAnsi="宋体" w:eastAsia="宋体"/>
        </w:rPr>
      </w:pPr>
      <w:r>
        <w:rPr>
          <w:rFonts w:hint="eastAsia" w:ascii="宋体" w:hAnsi="宋体" w:eastAsia="宋体"/>
        </w:rPr>
        <w:t xml:space="preserve">日 </w:t>
      </w:r>
      <w:r>
        <w:rPr>
          <w:rFonts w:ascii="宋体" w:hAnsi="宋体" w:eastAsia="宋体"/>
        </w:rPr>
        <w:t xml:space="preserve"> </w:t>
      </w:r>
      <w:r>
        <w:rPr>
          <w:rFonts w:hint="eastAsia" w:ascii="宋体" w:hAnsi="宋体" w:eastAsia="宋体"/>
        </w:rPr>
        <w:t xml:space="preserve"> </w:t>
      </w:r>
      <w:r>
        <w:rPr>
          <w:rFonts w:ascii="宋体" w:hAnsi="宋体" w:eastAsia="宋体"/>
        </w:rPr>
        <w:t xml:space="preserve">  </w:t>
      </w:r>
      <w:r>
        <w:rPr>
          <w:rFonts w:hint="eastAsia" w:ascii="宋体" w:hAnsi="宋体" w:eastAsia="宋体"/>
        </w:rPr>
        <w:t xml:space="preserve"> 期</w:t>
      </w:r>
      <w:r>
        <w:rPr>
          <w:rFonts w:ascii="宋体" w:hAnsi="宋体" w:eastAsia="宋体"/>
        </w:rPr>
        <w:t>：</w:t>
      </w:r>
      <w:r>
        <w:rPr>
          <w:rFonts w:ascii="宋体" w:hAnsi="宋体" w:eastAsia="宋体"/>
          <w:u w:val="single"/>
        </w:rPr>
        <w:t xml:space="preserve">                     </w:t>
      </w:r>
    </w:p>
    <w:p>
      <w:pPr>
        <w:spacing w:line="360" w:lineRule="auto"/>
        <w:ind w:firstLine="420" w:firstLineChars="200"/>
        <w:rPr>
          <w:rFonts w:ascii="宋体" w:hAnsi="宋体" w:eastAsia="宋体"/>
        </w:rPr>
      </w:pPr>
    </w:p>
    <w:p>
      <w:pPr>
        <w:widowControl/>
        <w:jc w:val="left"/>
        <w:rPr>
          <w:rFonts w:ascii="宋体" w:hAnsi="宋体" w:eastAsia="宋体"/>
        </w:rPr>
      </w:pPr>
      <w:r>
        <w:rPr>
          <w:rFonts w:ascii="宋体" w:hAnsi="宋体" w:eastAsia="宋体"/>
        </w:rPr>
        <w:br w:type="page"/>
      </w:r>
    </w:p>
    <w:p>
      <w:pPr>
        <w:spacing w:line="360" w:lineRule="auto"/>
        <w:jc w:val="center"/>
        <w:outlineLvl w:val="2"/>
        <w:rPr>
          <w:rFonts w:ascii="宋体" w:hAnsi="宋体" w:eastAsia="宋体" w:cs="Times New Roman"/>
          <w:b/>
          <w:color w:val="000000" w:themeColor="text1"/>
          <w:sz w:val="32"/>
          <w:szCs w:val="32"/>
          <w14:textFill>
            <w14:solidFill>
              <w14:schemeClr w14:val="tx1"/>
            </w14:solidFill>
          </w14:textFill>
        </w:rPr>
      </w:pPr>
      <w:bookmarkStart w:id="111" w:name="_Toc133138773"/>
      <w:bookmarkStart w:id="112" w:name="_Toc78810872"/>
      <w:r>
        <w:rPr>
          <w:rFonts w:hint="eastAsia" w:ascii="宋体" w:hAnsi="宋体" w:eastAsia="宋体" w:cs="Times New Roman"/>
          <w:b/>
          <w:color w:val="000000" w:themeColor="text1"/>
          <w:sz w:val="32"/>
          <w:szCs w:val="32"/>
          <w14:textFill>
            <w14:solidFill>
              <w14:schemeClr w14:val="tx1"/>
            </w14:solidFill>
          </w14:textFill>
        </w:rPr>
        <w:t>供应商廉洁及保密承诺书</w:t>
      </w:r>
      <w:bookmarkEnd w:id="111"/>
      <w:bookmarkEnd w:id="112"/>
    </w:p>
    <w:p>
      <w:pPr>
        <w:snapToGrid w:val="0"/>
        <w:spacing w:line="360" w:lineRule="auto"/>
        <w:rPr>
          <w:rFonts w:ascii="宋体" w:hAnsi="宋体" w:eastAsia="宋体" w:cs="Times New Roman"/>
          <w:szCs w:val="20"/>
        </w:rPr>
      </w:pPr>
      <w:r>
        <w:rPr>
          <w:rFonts w:hint="eastAsia" w:ascii="宋体" w:hAnsi="宋体" w:eastAsia="宋体" w:cs="Times New Roman"/>
          <w:szCs w:val="20"/>
        </w:rPr>
        <w:t>致</w:t>
      </w:r>
      <w:r>
        <w:rPr>
          <w:rFonts w:ascii="宋体" w:hAnsi="宋体" w:eastAsia="宋体" w:cs="Times New Roman"/>
          <w:szCs w:val="20"/>
        </w:rPr>
        <w:t>：</w:t>
      </w:r>
      <w:r>
        <w:rPr>
          <w:rFonts w:hint="eastAsia" w:ascii="宋体" w:hAnsi="宋体" w:eastAsia="宋体" w:cs="Times New Roman"/>
          <w:szCs w:val="20"/>
          <w:u w:val="single"/>
        </w:rPr>
        <w:t xml:space="preserve">  （采购单位</w:t>
      </w:r>
      <w:r>
        <w:rPr>
          <w:rFonts w:ascii="宋体" w:hAnsi="宋体" w:eastAsia="宋体" w:cs="Times New Roman"/>
          <w:szCs w:val="20"/>
          <w:u w:val="single"/>
        </w:rPr>
        <w:t>名称</w:t>
      </w:r>
      <w:r>
        <w:rPr>
          <w:rFonts w:hint="eastAsia" w:ascii="宋体" w:hAnsi="宋体" w:eastAsia="宋体" w:cs="Times New Roman"/>
          <w:szCs w:val="20"/>
          <w:u w:val="single"/>
        </w:rPr>
        <w:t xml:space="preserve">）  </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为了积极配合贵单位进行的</w:t>
      </w:r>
      <w:r>
        <w:rPr>
          <w:rFonts w:ascii="宋体" w:hAnsi="宋体" w:eastAsia="宋体" w:cs="Times New Roman"/>
          <w:color w:val="000000" w:themeColor="text1"/>
          <w:szCs w:val="21"/>
          <w14:textFill>
            <w14:solidFill>
              <w14:schemeClr w14:val="tx1"/>
            </w14:solidFill>
          </w14:textFill>
        </w:rPr>
        <w:t>__</w:t>
      </w:r>
      <w:r>
        <w:rPr>
          <w:rFonts w:hint="eastAsia" w:ascii="宋体" w:hAnsi="宋体" w:eastAsia="宋体" w:cs="Times New Roman"/>
          <w:color w:val="000000" w:themeColor="text1"/>
          <w:szCs w:val="21"/>
          <w:u w:val="single"/>
          <w14:textFill>
            <w14:solidFill>
              <w14:schemeClr w14:val="tx1"/>
            </w14:solidFill>
          </w14:textFill>
        </w:rPr>
        <w:t>（项目</w:t>
      </w:r>
      <w:r>
        <w:rPr>
          <w:rFonts w:ascii="宋体" w:hAnsi="宋体" w:eastAsia="宋体" w:cs="Times New Roman"/>
          <w:color w:val="000000" w:themeColor="text1"/>
          <w:szCs w:val="21"/>
          <w:u w:val="single"/>
          <w14:textFill>
            <w14:solidFill>
              <w14:schemeClr w14:val="tx1"/>
            </w14:solidFill>
          </w14:textFill>
        </w:rPr>
        <w:t>名称</w:t>
      </w:r>
      <w:r>
        <w:rPr>
          <w:rFonts w:hint="eastAsia" w:ascii="宋体" w:hAnsi="宋体" w:eastAsia="宋体" w:cs="Times New Roman"/>
          <w:color w:val="000000" w:themeColor="text1"/>
          <w:szCs w:val="21"/>
          <w:u w:val="single"/>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_</w:t>
      </w:r>
      <w:r>
        <w:rPr>
          <w:rFonts w:hint="eastAsia" w:ascii="宋体" w:hAnsi="宋体" w:eastAsia="宋体" w:cs="Times New Roman"/>
          <w:color w:val="000000" w:themeColor="text1"/>
          <w:szCs w:val="21"/>
          <w14:textFill>
            <w14:solidFill>
              <w14:schemeClr w14:val="tx1"/>
            </w14:solidFill>
          </w14:textFill>
        </w:rPr>
        <w:t>采购工作，有效遏制不公平竞争和违规违纪行为的发生，确保采购工作的公平、公正、公开、有序进行，我们保证认真贯彻执行有关法律法规以及与廉洁有关的规章制度，特向贵单位承诺如下事项：</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一、自觉遵守国家有关法律法规及廉洁规定。</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二、不与采购单位工作人员串通投标，损害国家利益、企业利益以及他人的合法利益；不与其他供应商相互串通投标报价，不排挤其他供应商，不损害采购单位或其他供应商的合法权益。</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三、不以任何名义为参与采购、评审工作的有关人员报销应由参与采购、评审工作的有关人员支付的任何费用；</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四、不以任何名义向参与采购、评审工作的有关人员赠送回扣、红包、礼金、购物卡、有价证券、贵重物品和好处费、感谢费等；</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五、不以任何名义向参与采购、评审工作的有关人员提供高消费宴请及娱乐活动；</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六、不以谋取非正当利益为目的，擅自与参与采购、评审工作的有关人员就业务问题进行私下商谈或者达成利益默契；</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七、不以任何名义接受或暗示为参与采购、评审工作的有关人员装修住房、婚丧嫁取、配偶子女的工作安排以及境内外旅游等提供方便；</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八、在招标及服务的任何环节，严格履行保密义务，未经贵单位书面授权或同意，我单位及相关工作人员不会向任何第三方披露从贵单位及贵单位关联公司、合作方获知的，归贵单位所有的秘密性、专有性或内部性的技术、商业和其他信息。</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贵单位依据有关规定对我单位进行严肃处理（包括但不限于实施市场禁入、取消投、中标资格以及终止合同等），给贵单位造成损失的，予以赔偿。</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本廉洁承诺书为我单位应答此次项目正式文件的附件，与其他报价文件具有同等法律效力，经我单位法定代表人/负责人或其授权代理人签字盖章后立即生效。</w:t>
      </w:r>
    </w:p>
    <w:p>
      <w:pPr>
        <w:wordWrap w:val="0"/>
        <w:snapToGrid w:val="0"/>
        <w:spacing w:line="360" w:lineRule="auto"/>
        <w:jc w:val="right"/>
        <w:rPr>
          <w:rFonts w:ascii="宋体" w:hAnsi="宋体" w:eastAsia="宋体" w:cs="Times New Roman"/>
          <w:szCs w:val="20"/>
        </w:rPr>
      </w:pPr>
      <w:r>
        <w:rPr>
          <w:rFonts w:hint="eastAsia" w:ascii="宋体" w:hAnsi="宋体" w:eastAsia="宋体" w:cs="Times New Roman"/>
          <w:szCs w:val="20"/>
        </w:rPr>
        <w:t>供应商</w:t>
      </w:r>
      <w:r>
        <w:rPr>
          <w:rFonts w:ascii="宋体" w:hAnsi="宋体" w:eastAsia="宋体" w:cs="Times New Roman"/>
          <w:szCs w:val="20"/>
        </w:rPr>
        <w:t>：</w:t>
      </w:r>
      <w:r>
        <w:rPr>
          <w:rFonts w:hint="eastAsia" w:ascii="宋体" w:hAnsi="宋体" w:eastAsia="宋体" w:cs="Times New Roman"/>
          <w:szCs w:val="20"/>
          <w:u w:val="single"/>
        </w:rPr>
        <w:t xml:space="preserve"> </w:t>
      </w:r>
      <w:r>
        <w:rPr>
          <w:rFonts w:ascii="宋体" w:hAnsi="宋体" w:eastAsia="宋体" w:cs="Times New Roman"/>
          <w:szCs w:val="20"/>
          <w:u w:val="single"/>
        </w:rPr>
        <w:t xml:space="preserve">    </w:t>
      </w:r>
      <w:r>
        <w:rPr>
          <w:rFonts w:hint="eastAsia" w:ascii="宋体" w:hAnsi="宋体" w:eastAsia="宋体" w:cs="Times New Roman"/>
          <w:szCs w:val="20"/>
          <w:u w:val="single"/>
        </w:rPr>
        <w:t>（盖章）</w:t>
      </w:r>
      <w:r>
        <w:rPr>
          <w:rFonts w:ascii="宋体" w:hAnsi="宋体" w:eastAsia="宋体" w:cs="Times New Roman"/>
          <w:szCs w:val="20"/>
          <w:u w:val="single"/>
        </w:rPr>
        <w:t xml:space="preserve">       </w:t>
      </w:r>
    </w:p>
    <w:p>
      <w:pPr>
        <w:wordWrap w:val="0"/>
        <w:snapToGrid w:val="0"/>
        <w:spacing w:line="360" w:lineRule="auto"/>
        <w:jc w:val="right"/>
        <w:rPr>
          <w:rFonts w:ascii="宋体" w:hAnsi="宋体" w:eastAsia="宋体" w:cs="Times New Roman"/>
          <w:szCs w:val="20"/>
        </w:rPr>
      </w:pPr>
      <w:r>
        <w:rPr>
          <w:rFonts w:hint="eastAsia" w:ascii="宋体" w:hAnsi="宋体" w:eastAsia="宋体" w:cs="Times New Roman"/>
          <w:szCs w:val="20"/>
        </w:rPr>
        <w:t>法定代表人/负责人或</w:t>
      </w:r>
      <w:r>
        <w:rPr>
          <w:rFonts w:ascii="宋体" w:hAnsi="宋体" w:eastAsia="宋体" w:cs="Times New Roman"/>
          <w:szCs w:val="20"/>
        </w:rPr>
        <w:t>授权代理人：</w:t>
      </w:r>
      <w:r>
        <w:rPr>
          <w:rFonts w:hint="eastAsia" w:ascii="宋体" w:hAnsi="宋体" w:eastAsia="宋体" w:cs="Times New Roman"/>
          <w:szCs w:val="20"/>
          <w:u w:val="single"/>
        </w:rPr>
        <w:t xml:space="preserve"> </w:t>
      </w:r>
      <w:r>
        <w:rPr>
          <w:rFonts w:ascii="宋体" w:hAnsi="宋体" w:eastAsia="宋体" w:cs="Times New Roman"/>
          <w:szCs w:val="20"/>
          <w:u w:val="single"/>
        </w:rPr>
        <w:t xml:space="preserve">  </w:t>
      </w:r>
      <w:r>
        <w:rPr>
          <w:rFonts w:hint="eastAsia" w:ascii="宋体" w:hAnsi="宋体" w:eastAsia="宋体" w:cs="Times New Roman"/>
          <w:szCs w:val="20"/>
          <w:u w:val="single"/>
        </w:rPr>
        <w:t>（签字</w:t>
      </w:r>
      <w:r>
        <w:rPr>
          <w:rFonts w:ascii="宋体" w:hAnsi="宋体" w:eastAsia="宋体" w:cs="Times New Roman"/>
          <w:szCs w:val="20"/>
          <w:u w:val="single"/>
        </w:rPr>
        <w:t>或</w:t>
      </w:r>
      <w:r>
        <w:rPr>
          <w:rFonts w:hint="eastAsia" w:ascii="宋体" w:hAnsi="宋体" w:eastAsia="宋体" w:cs="Times New Roman"/>
          <w:szCs w:val="20"/>
          <w:u w:val="single"/>
        </w:rPr>
        <w:t>盖章</w:t>
      </w:r>
      <w:r>
        <w:rPr>
          <w:rFonts w:ascii="宋体" w:hAnsi="宋体" w:eastAsia="宋体" w:cs="Times New Roman"/>
          <w:szCs w:val="20"/>
          <w:u w:val="single"/>
        </w:rPr>
        <w:t xml:space="preserve">）   </w:t>
      </w:r>
    </w:p>
    <w:p>
      <w:pPr>
        <w:wordWrap w:val="0"/>
        <w:snapToGrid w:val="0"/>
        <w:spacing w:line="360" w:lineRule="auto"/>
        <w:jc w:val="right"/>
        <w:rPr>
          <w:rFonts w:ascii="宋体" w:hAnsi="宋体" w:eastAsia="宋体" w:cs="Times New Roman"/>
          <w:szCs w:val="20"/>
          <w:u w:val="single"/>
        </w:rPr>
      </w:pPr>
      <w:r>
        <w:rPr>
          <w:rFonts w:hint="eastAsia" w:ascii="宋体" w:hAnsi="宋体" w:eastAsia="宋体" w:cs="Times New Roman"/>
          <w:szCs w:val="20"/>
        </w:rPr>
        <w:t>日  期</w:t>
      </w:r>
      <w:r>
        <w:rPr>
          <w:rFonts w:ascii="宋体" w:hAnsi="宋体" w:eastAsia="宋体" w:cs="Times New Roman"/>
          <w:szCs w:val="20"/>
        </w:rPr>
        <w:t>：</w:t>
      </w:r>
      <w:r>
        <w:rPr>
          <w:rFonts w:ascii="宋体" w:hAnsi="宋体" w:eastAsia="宋体" w:cs="Times New Roman"/>
          <w:szCs w:val="20"/>
          <w:u w:val="single"/>
        </w:rPr>
        <w:t xml:space="preserve">                    </w:t>
      </w:r>
    </w:p>
    <w:p>
      <w:pPr>
        <w:snapToGrid w:val="0"/>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br w:type="page"/>
      </w:r>
    </w:p>
    <w:p>
      <w:pPr>
        <w:spacing w:line="360" w:lineRule="auto"/>
        <w:jc w:val="right"/>
        <w:rPr>
          <w:rFonts w:ascii="宋体" w:hAnsi="宋体" w:eastAsia="宋体" w:cs="Times New Roman"/>
          <w:szCs w:val="20"/>
        </w:rPr>
      </w:pPr>
    </w:p>
    <w:p>
      <w:pPr>
        <w:spacing w:line="360" w:lineRule="auto"/>
        <w:jc w:val="center"/>
        <w:outlineLvl w:val="2"/>
        <w:rPr>
          <w:rFonts w:ascii="宋体" w:hAnsi="宋体" w:eastAsia="宋体"/>
          <w:b/>
          <w:sz w:val="32"/>
          <w:szCs w:val="32"/>
        </w:rPr>
      </w:pPr>
      <w:bookmarkStart w:id="113" w:name="_Toc133138774"/>
      <w:bookmarkStart w:id="114" w:name="_Toc78810873"/>
      <w:r>
        <w:rPr>
          <w:rFonts w:hint="eastAsia" w:ascii="宋体" w:hAnsi="宋体" w:eastAsia="宋体"/>
          <w:b/>
          <w:sz w:val="32"/>
          <w:szCs w:val="32"/>
        </w:rPr>
        <w:t>供应商</w:t>
      </w:r>
      <w:r>
        <w:rPr>
          <w:rFonts w:ascii="宋体" w:hAnsi="宋体" w:eastAsia="宋体"/>
          <w:b/>
          <w:sz w:val="32"/>
          <w:szCs w:val="32"/>
        </w:rPr>
        <w:t>基本情况表</w:t>
      </w:r>
      <w:bookmarkEnd w:id="113"/>
      <w:bookmarkEnd w:id="114"/>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876"/>
        <w:gridCol w:w="915"/>
        <w:gridCol w:w="1128"/>
        <w:gridCol w:w="1128"/>
        <w:gridCol w:w="1129"/>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供应商名称</w:t>
            </w:r>
          </w:p>
        </w:tc>
        <w:tc>
          <w:tcPr>
            <w:tcW w:w="4062" w:type="pct"/>
            <w:gridSpan w:val="6"/>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注册地址</w:t>
            </w:r>
          </w:p>
        </w:tc>
        <w:tc>
          <w:tcPr>
            <w:tcW w:w="1713" w:type="pct"/>
            <w:gridSpan w:val="3"/>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邮政编码</w:t>
            </w:r>
          </w:p>
        </w:tc>
        <w:tc>
          <w:tcPr>
            <w:tcW w:w="1688"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Merge w:val="restar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联系方式</w:t>
            </w:r>
          </w:p>
        </w:tc>
        <w:tc>
          <w:tcPr>
            <w:tcW w:w="514"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联系人</w:t>
            </w:r>
          </w:p>
        </w:tc>
        <w:tc>
          <w:tcPr>
            <w:tcW w:w="1199"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电话</w:t>
            </w:r>
          </w:p>
        </w:tc>
        <w:tc>
          <w:tcPr>
            <w:tcW w:w="1688"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Merge w:val="continue"/>
            <w:vAlign w:val="center"/>
          </w:tcPr>
          <w:p>
            <w:pPr>
              <w:pStyle w:val="40"/>
              <w:jc w:val="center"/>
              <w:rPr>
                <w:rFonts w:hAnsi="宋体" w:cs="Times New Roman"/>
                <w:color w:val="000000" w:themeColor="text1"/>
                <w:sz w:val="21"/>
                <w:szCs w:val="21"/>
                <w14:textFill>
                  <w14:solidFill>
                    <w14:schemeClr w14:val="tx1"/>
                  </w14:solidFill>
                </w14:textFill>
              </w:rPr>
            </w:pPr>
          </w:p>
        </w:tc>
        <w:tc>
          <w:tcPr>
            <w:tcW w:w="514"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传真</w:t>
            </w:r>
          </w:p>
        </w:tc>
        <w:tc>
          <w:tcPr>
            <w:tcW w:w="1199"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网址</w:t>
            </w:r>
          </w:p>
        </w:tc>
        <w:tc>
          <w:tcPr>
            <w:tcW w:w="1688"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组织结构</w:t>
            </w:r>
          </w:p>
        </w:tc>
        <w:tc>
          <w:tcPr>
            <w:tcW w:w="4062" w:type="pct"/>
            <w:gridSpan w:val="6"/>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法定代表人/负责人</w:t>
            </w:r>
          </w:p>
        </w:tc>
        <w:tc>
          <w:tcPr>
            <w:tcW w:w="514"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姓名</w:t>
            </w:r>
          </w:p>
        </w:tc>
        <w:tc>
          <w:tcPr>
            <w:tcW w:w="537" w:type="pct"/>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职称</w:t>
            </w: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电话</w:t>
            </w:r>
          </w:p>
        </w:tc>
        <w:tc>
          <w:tcPr>
            <w:tcW w:w="1026" w:type="pct"/>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项目负责人</w:t>
            </w:r>
          </w:p>
        </w:tc>
        <w:tc>
          <w:tcPr>
            <w:tcW w:w="514"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姓名</w:t>
            </w:r>
          </w:p>
        </w:tc>
        <w:tc>
          <w:tcPr>
            <w:tcW w:w="537" w:type="pct"/>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职称</w:t>
            </w: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电话</w:t>
            </w:r>
          </w:p>
        </w:tc>
        <w:tc>
          <w:tcPr>
            <w:tcW w:w="1026" w:type="pct"/>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成立时间</w:t>
            </w:r>
          </w:p>
        </w:tc>
        <w:tc>
          <w:tcPr>
            <w:tcW w:w="1051"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3011" w:type="pct"/>
            <w:gridSpan w:val="4"/>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企业资质等级</w:t>
            </w:r>
          </w:p>
        </w:tc>
        <w:tc>
          <w:tcPr>
            <w:tcW w:w="1051"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Merge w:val="restar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其中</w:t>
            </w:r>
          </w:p>
        </w:tc>
        <w:tc>
          <w:tcPr>
            <w:tcW w:w="1324" w:type="pct"/>
            <w:gridSpan w:val="2"/>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高级职称人员</w:t>
            </w:r>
          </w:p>
        </w:tc>
        <w:tc>
          <w:tcPr>
            <w:tcW w:w="1026" w:type="pct"/>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营业执照号</w:t>
            </w:r>
          </w:p>
        </w:tc>
        <w:tc>
          <w:tcPr>
            <w:tcW w:w="1051"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Merge w:val="continue"/>
            <w:vAlign w:val="center"/>
          </w:tcPr>
          <w:p>
            <w:pPr>
              <w:pStyle w:val="40"/>
              <w:jc w:val="center"/>
              <w:rPr>
                <w:rFonts w:hAnsi="宋体" w:cs="Times New Roman"/>
                <w:color w:val="000000" w:themeColor="text1"/>
                <w:sz w:val="21"/>
                <w:szCs w:val="21"/>
                <w14:textFill>
                  <w14:solidFill>
                    <w14:schemeClr w14:val="tx1"/>
                  </w14:solidFill>
                </w14:textFill>
              </w:rPr>
            </w:pPr>
          </w:p>
        </w:tc>
        <w:tc>
          <w:tcPr>
            <w:tcW w:w="1324" w:type="pct"/>
            <w:gridSpan w:val="2"/>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中级职称人员</w:t>
            </w:r>
          </w:p>
        </w:tc>
        <w:tc>
          <w:tcPr>
            <w:tcW w:w="1026" w:type="pct"/>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注册资金</w:t>
            </w:r>
          </w:p>
        </w:tc>
        <w:tc>
          <w:tcPr>
            <w:tcW w:w="1051"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Merge w:val="continue"/>
            <w:vAlign w:val="center"/>
          </w:tcPr>
          <w:p>
            <w:pPr>
              <w:pStyle w:val="40"/>
              <w:jc w:val="center"/>
              <w:rPr>
                <w:rFonts w:hAnsi="宋体" w:cs="Times New Roman"/>
                <w:color w:val="000000" w:themeColor="text1"/>
                <w:sz w:val="21"/>
                <w:szCs w:val="21"/>
                <w14:textFill>
                  <w14:solidFill>
                    <w14:schemeClr w14:val="tx1"/>
                  </w14:solidFill>
                </w14:textFill>
              </w:rPr>
            </w:pPr>
          </w:p>
        </w:tc>
        <w:tc>
          <w:tcPr>
            <w:tcW w:w="1324" w:type="pct"/>
            <w:gridSpan w:val="2"/>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初级职称人员</w:t>
            </w:r>
          </w:p>
        </w:tc>
        <w:tc>
          <w:tcPr>
            <w:tcW w:w="1026" w:type="pct"/>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开户银行</w:t>
            </w:r>
          </w:p>
        </w:tc>
        <w:tc>
          <w:tcPr>
            <w:tcW w:w="1051"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Merge w:val="continue"/>
            <w:vAlign w:val="center"/>
          </w:tcPr>
          <w:p>
            <w:pPr>
              <w:pStyle w:val="40"/>
              <w:jc w:val="center"/>
              <w:rPr>
                <w:rFonts w:hAnsi="宋体" w:cs="Times New Roman"/>
                <w:color w:val="000000" w:themeColor="text1"/>
                <w:sz w:val="21"/>
                <w:szCs w:val="21"/>
                <w14:textFill>
                  <w14:solidFill>
                    <w14:schemeClr w14:val="tx1"/>
                  </w14:solidFill>
                </w14:textFill>
              </w:rPr>
            </w:pPr>
          </w:p>
        </w:tc>
        <w:tc>
          <w:tcPr>
            <w:tcW w:w="1324" w:type="pct"/>
            <w:gridSpan w:val="2"/>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技工</w:t>
            </w:r>
          </w:p>
        </w:tc>
        <w:tc>
          <w:tcPr>
            <w:tcW w:w="1026" w:type="pct"/>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账号</w:t>
            </w:r>
          </w:p>
        </w:tc>
        <w:tc>
          <w:tcPr>
            <w:tcW w:w="1051" w:type="pct"/>
            <w:gridSpan w:val="2"/>
            <w:vAlign w:val="center"/>
          </w:tcPr>
          <w:p>
            <w:pPr>
              <w:pStyle w:val="40"/>
              <w:jc w:val="center"/>
              <w:rPr>
                <w:rFonts w:hAnsi="宋体" w:cs="Times New Roman"/>
                <w:color w:val="000000" w:themeColor="text1"/>
                <w:sz w:val="21"/>
                <w:szCs w:val="21"/>
                <w14:textFill>
                  <w14:solidFill>
                    <w14:schemeClr w14:val="tx1"/>
                  </w14:solidFill>
                </w14:textFill>
              </w:rPr>
            </w:pPr>
          </w:p>
        </w:tc>
        <w:tc>
          <w:tcPr>
            <w:tcW w:w="662" w:type="pct"/>
            <w:vMerge w:val="continue"/>
            <w:vAlign w:val="center"/>
          </w:tcPr>
          <w:p>
            <w:pPr>
              <w:pStyle w:val="40"/>
              <w:jc w:val="center"/>
              <w:rPr>
                <w:rFonts w:hAnsi="宋体" w:cs="Times New Roman"/>
                <w:color w:val="000000" w:themeColor="text1"/>
                <w:sz w:val="21"/>
                <w:szCs w:val="21"/>
                <w14:textFill>
                  <w14:solidFill>
                    <w14:schemeClr w14:val="tx1"/>
                  </w14:solidFill>
                </w14:textFill>
              </w:rPr>
            </w:pPr>
          </w:p>
        </w:tc>
        <w:tc>
          <w:tcPr>
            <w:tcW w:w="1324" w:type="pct"/>
            <w:gridSpan w:val="2"/>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其他</w:t>
            </w:r>
          </w:p>
        </w:tc>
        <w:tc>
          <w:tcPr>
            <w:tcW w:w="1026" w:type="pct"/>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经营范围</w:t>
            </w:r>
          </w:p>
        </w:tc>
        <w:tc>
          <w:tcPr>
            <w:tcW w:w="4062" w:type="pct"/>
            <w:gridSpan w:val="6"/>
            <w:vAlign w:val="center"/>
          </w:tcPr>
          <w:p>
            <w:pPr>
              <w:pStyle w:val="40"/>
              <w:jc w:val="center"/>
              <w:rPr>
                <w:rFonts w:hAnsi="宋体"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pPr>
              <w:pStyle w:val="40"/>
              <w:jc w:val="center"/>
              <w:rPr>
                <w:rFonts w:hAnsi="宋体" w:cs="Times New Roman"/>
                <w:color w:val="000000" w:themeColor="text1"/>
                <w:sz w:val="21"/>
                <w:szCs w:val="21"/>
                <w14:textFill>
                  <w14:solidFill>
                    <w14:schemeClr w14:val="tx1"/>
                  </w14:solidFill>
                </w14:textFill>
              </w:rPr>
            </w:pPr>
            <w:r>
              <w:rPr>
                <w:rFonts w:hint="eastAsia" w:hAnsi="宋体" w:cs="Times New Roman"/>
                <w:color w:val="000000" w:themeColor="text1"/>
                <w:sz w:val="21"/>
                <w:szCs w:val="21"/>
                <w14:textFill>
                  <w14:solidFill>
                    <w14:schemeClr w14:val="tx1"/>
                  </w14:solidFill>
                </w14:textFill>
              </w:rPr>
              <w:t>备注</w:t>
            </w:r>
          </w:p>
        </w:tc>
        <w:tc>
          <w:tcPr>
            <w:tcW w:w="4062" w:type="pct"/>
            <w:gridSpan w:val="6"/>
            <w:vAlign w:val="center"/>
          </w:tcPr>
          <w:p>
            <w:pPr>
              <w:pStyle w:val="40"/>
              <w:jc w:val="center"/>
              <w:rPr>
                <w:rFonts w:hAnsi="宋体" w:cs="Times New Roman"/>
                <w:color w:val="000000" w:themeColor="text1"/>
                <w:sz w:val="21"/>
                <w:szCs w:val="21"/>
                <w14:textFill>
                  <w14:solidFill>
                    <w14:schemeClr w14:val="tx1"/>
                  </w14:solidFill>
                </w14:textFill>
              </w:rPr>
            </w:pPr>
          </w:p>
        </w:tc>
      </w:tr>
    </w:tbl>
    <w:p>
      <w:pPr>
        <w:spacing w:line="360" w:lineRule="auto"/>
        <w:ind w:firstLine="420" w:firstLineChars="200"/>
        <w:rPr>
          <w:rFonts w:ascii="宋体" w:hAnsi="宋体" w:eastAsia="宋体"/>
        </w:rPr>
      </w:pPr>
      <w:r>
        <w:rPr>
          <w:rFonts w:hint="eastAsia" w:ascii="宋体" w:hAnsi="宋体" w:eastAsia="宋体"/>
        </w:rPr>
        <w:t>注：应附供应商合法有效的营业执照或事业单位法人证书证明材料，有效的组织机构代码证和税务登记证的复印件。</w:t>
      </w:r>
    </w:p>
    <w:p>
      <w:pPr>
        <w:widowControl/>
        <w:jc w:val="left"/>
        <w:rPr>
          <w:rFonts w:ascii="宋体" w:hAnsi="宋体" w:eastAsia="宋体"/>
        </w:rPr>
      </w:pPr>
      <w:r>
        <w:rPr>
          <w:rFonts w:ascii="宋体" w:hAnsi="宋体" w:eastAsia="宋体"/>
        </w:rPr>
        <w:br w:type="page"/>
      </w:r>
    </w:p>
    <w:p>
      <w:pPr>
        <w:spacing w:line="360" w:lineRule="auto"/>
        <w:jc w:val="center"/>
        <w:outlineLvl w:val="2"/>
        <w:rPr>
          <w:rFonts w:ascii="宋体" w:hAnsi="宋体" w:eastAsia="宋体" w:cs="Times New Roman"/>
          <w:b/>
          <w:color w:val="000000" w:themeColor="text1"/>
          <w:sz w:val="32"/>
          <w:szCs w:val="32"/>
          <w14:textFill>
            <w14:solidFill>
              <w14:schemeClr w14:val="tx1"/>
            </w14:solidFill>
          </w14:textFill>
        </w:rPr>
      </w:pPr>
      <w:bookmarkStart w:id="115" w:name="_Toc78810874"/>
      <w:bookmarkStart w:id="116" w:name="_Toc133138775"/>
      <w:r>
        <w:rPr>
          <w:rFonts w:hint="eastAsia" w:ascii="宋体" w:hAnsi="宋体" w:eastAsia="宋体" w:cs="Times New Roman"/>
          <w:b/>
          <w:color w:val="000000" w:themeColor="text1"/>
          <w:sz w:val="32"/>
          <w:szCs w:val="32"/>
          <w14:textFill>
            <w14:solidFill>
              <w14:schemeClr w14:val="tx1"/>
            </w14:solidFill>
          </w14:textFill>
        </w:rPr>
        <w:t>供应商股东关系表</w:t>
      </w:r>
      <w:bookmarkEnd w:id="115"/>
      <w:bookmarkEnd w:id="116"/>
    </w:p>
    <w:tbl>
      <w:tblPr>
        <w:tblStyle w:val="14"/>
        <w:tblW w:w="85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trPr>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rPr>
                <w:rFonts w:ascii="宋体" w:hAnsi="宋体" w:eastAsia="宋体"/>
                <w:bCs/>
                <w:szCs w:val="21"/>
              </w:rPr>
            </w:pPr>
            <w:bookmarkStart w:id="117" w:name="_Toc78810875"/>
            <w:r>
              <w:rPr>
                <w:rFonts w:hint="eastAsia" w:ascii="宋体" w:hAnsi="宋体" w:eastAsia="宋体"/>
                <w:bCs/>
                <w:szCs w:val="21"/>
              </w:rPr>
              <w:t>供应商名称</w:t>
            </w:r>
          </w:p>
        </w:tc>
        <w:tc>
          <w:tcPr>
            <w:tcW w:w="631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cs="Segoe UI Symbol"/>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bCs/>
                <w:szCs w:val="21"/>
              </w:rPr>
            </w:pPr>
            <w:r>
              <w:rPr>
                <w:rFonts w:hint="eastAsia" w:ascii="宋体" w:hAnsi="宋体" w:eastAsia="宋体"/>
                <w:bCs/>
                <w:szCs w:val="21"/>
              </w:rPr>
              <w:t>本单位法定代表人/负责人姓名</w:t>
            </w:r>
          </w:p>
        </w:tc>
        <w:tc>
          <w:tcPr>
            <w:tcW w:w="631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cs="Segoe UI Symbol"/>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bCs/>
                <w:szCs w:val="21"/>
              </w:rPr>
            </w:pPr>
            <w:r>
              <w:rPr>
                <w:rFonts w:hint="eastAsia" w:ascii="宋体" w:hAnsi="宋体" w:eastAsia="宋体"/>
                <w:bCs/>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cs="Segoe UI Symbol"/>
                <w:kern w:val="0"/>
                <w:szCs w:val="21"/>
                <w:u w:val="single"/>
              </w:rPr>
            </w:pPr>
            <w:sdt>
              <w:sdtPr>
                <w:rPr>
                  <w:rFonts w:ascii="宋体" w:hAnsi="宋体" w:eastAsia="宋体"/>
                </w:rPr>
                <w:id w:val="-458263019"/>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是，控股股东为：</w:t>
            </w:r>
            <w:r>
              <w:rPr>
                <w:rFonts w:hint="eastAsia" w:ascii="宋体" w:hAnsi="宋体" w:eastAsia="宋体" w:cs="Segoe UI Symbol"/>
                <w:kern w:val="0"/>
                <w:szCs w:val="21"/>
                <w:u w:val="single"/>
              </w:rPr>
              <w:t xml:space="preserve">              </w:t>
            </w:r>
            <w:r>
              <w:rPr>
                <w:rFonts w:hint="eastAsia" w:ascii="宋体" w:hAnsi="宋体" w:eastAsia="宋体" w:cs="Segoe UI Symbol"/>
                <w:kern w:val="0"/>
                <w:szCs w:val="21"/>
              </w:rPr>
              <w:t>，股份占比：</w:t>
            </w:r>
            <w:r>
              <w:rPr>
                <w:rFonts w:hint="eastAsia" w:ascii="宋体" w:hAnsi="宋体" w:eastAsia="宋体" w:cs="Segoe UI Symbol"/>
                <w:kern w:val="0"/>
                <w:szCs w:val="21"/>
                <w:u w:val="single"/>
              </w:rPr>
              <w:t xml:space="preserve">       </w:t>
            </w:r>
            <w:r>
              <w:rPr>
                <w:rFonts w:ascii="宋体" w:hAnsi="宋体" w:eastAsia="宋体" w:cs="Segoe UI Symbol"/>
                <w:kern w:val="0"/>
                <w:szCs w:val="21"/>
                <w:u w:val="single"/>
              </w:rPr>
              <w:t xml:space="preserve"> </w:t>
            </w:r>
            <w:r>
              <w:rPr>
                <w:rFonts w:hint="eastAsia" w:ascii="宋体" w:hAnsi="宋体" w:eastAsia="宋体" w:cs="Segoe UI Symbol"/>
                <w:kern w:val="0"/>
                <w:szCs w:val="21"/>
                <w:u w:val="single"/>
              </w:rPr>
              <w:t xml:space="preserve">    </w:t>
            </w:r>
            <w:r>
              <w:rPr>
                <w:rFonts w:hint="eastAsia" w:ascii="宋体" w:hAnsi="宋体" w:eastAsia="宋体" w:cs="Segoe UI Symbol"/>
                <w:kern w:val="0"/>
                <w:szCs w:val="21"/>
              </w:rPr>
              <w:t>；</w:t>
            </w:r>
          </w:p>
          <w:p>
            <w:pPr>
              <w:autoSpaceDE w:val="0"/>
              <w:autoSpaceDN w:val="0"/>
              <w:adjustRightInd w:val="0"/>
              <w:snapToGrid w:val="0"/>
              <w:jc w:val="left"/>
              <w:rPr>
                <w:rFonts w:ascii="宋体" w:hAnsi="宋体" w:eastAsia="宋体" w:cs="Segoe UI Symbol"/>
                <w:kern w:val="0"/>
                <w:szCs w:val="21"/>
              </w:rPr>
            </w:pPr>
            <w:r>
              <w:rPr>
                <w:rFonts w:hint="eastAsia" w:ascii="宋体" w:hAnsi="宋体" w:eastAsia="宋体" w:cs="Segoe UI Symbol"/>
                <w:kern w:val="0"/>
                <w:szCs w:val="21"/>
              </w:rPr>
              <w:t>其他主要股东及其股份占比：</w:t>
            </w:r>
            <w:r>
              <w:rPr>
                <w:rFonts w:hint="eastAsia" w:ascii="宋体" w:hAnsi="宋体" w:eastAsia="宋体" w:cs="Segoe UI Symbol"/>
                <w:kern w:val="0"/>
                <w:szCs w:val="21"/>
                <w:u w:val="single"/>
              </w:rPr>
              <w:t xml:space="preserve">                         </w:t>
            </w:r>
            <w:r>
              <w:rPr>
                <w:rFonts w:ascii="宋体" w:hAnsi="宋体" w:eastAsia="宋体" w:cs="Segoe UI Symbol"/>
                <w:kern w:val="0"/>
                <w:szCs w:val="21"/>
                <w:u w:val="single"/>
              </w:rPr>
              <w:t xml:space="preserve"> </w:t>
            </w:r>
            <w:r>
              <w:rPr>
                <w:rFonts w:hint="eastAsia" w:ascii="宋体" w:hAnsi="宋体" w:eastAsia="宋体" w:cs="Segoe UI Symbol"/>
                <w:kern w:val="0"/>
                <w:szCs w:val="21"/>
                <w:u w:val="single"/>
              </w:rPr>
              <w:t xml:space="preserve">    </w:t>
            </w:r>
            <w:r>
              <w:rPr>
                <w:rFonts w:hint="eastAsia" w:ascii="宋体" w:hAnsi="宋体" w:eastAsia="宋体" w:cs="Segoe UI Symbol"/>
                <w:kern w:val="0"/>
                <w:szCs w:val="21"/>
              </w:rPr>
              <w:t>。</w:t>
            </w:r>
          </w:p>
          <w:p>
            <w:pPr>
              <w:autoSpaceDE w:val="0"/>
              <w:autoSpaceDN w:val="0"/>
              <w:adjustRightInd w:val="0"/>
              <w:snapToGrid w:val="0"/>
              <w:jc w:val="left"/>
              <w:rPr>
                <w:rFonts w:ascii="宋体" w:hAnsi="宋体" w:eastAsia="宋体"/>
                <w:bCs/>
                <w:szCs w:val="21"/>
              </w:rPr>
            </w:pPr>
            <w:sdt>
              <w:sdtPr>
                <w:rPr>
                  <w:rFonts w:ascii="宋体" w:hAnsi="宋体" w:eastAsia="宋体"/>
                </w:rPr>
                <w:id w:val="1849670593"/>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bCs/>
                <w:szCs w:val="21"/>
              </w:rPr>
            </w:pPr>
            <w:r>
              <w:rPr>
                <w:rFonts w:hint="eastAsia" w:ascii="宋体" w:hAnsi="宋体" w:eastAsia="宋体"/>
                <w:bCs/>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cs="Segoe UI Symbol"/>
                <w:kern w:val="0"/>
                <w:szCs w:val="21"/>
                <w:u w:val="single"/>
              </w:rPr>
            </w:pPr>
            <w:sdt>
              <w:sdtPr>
                <w:rPr>
                  <w:rFonts w:ascii="宋体" w:hAnsi="宋体" w:eastAsia="宋体"/>
                </w:rPr>
                <w:id w:val="546875387"/>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是，该单位为：</w:t>
            </w:r>
            <w:r>
              <w:rPr>
                <w:rFonts w:hint="eastAsia" w:ascii="宋体" w:hAnsi="宋体" w:eastAsia="宋体" w:cs="Segoe UI Symbol"/>
                <w:kern w:val="0"/>
                <w:szCs w:val="21"/>
                <w:u w:val="single"/>
              </w:rPr>
              <w:t xml:space="preserve">                                          </w:t>
            </w:r>
          </w:p>
          <w:p>
            <w:pPr>
              <w:autoSpaceDE w:val="0"/>
              <w:autoSpaceDN w:val="0"/>
              <w:adjustRightInd w:val="0"/>
              <w:snapToGrid w:val="0"/>
              <w:jc w:val="left"/>
              <w:rPr>
                <w:rFonts w:ascii="宋体" w:hAnsi="宋体" w:eastAsia="宋体"/>
                <w:bCs/>
                <w:szCs w:val="21"/>
              </w:rPr>
            </w:pPr>
            <w:sdt>
              <w:sdtPr>
                <w:rPr>
                  <w:rFonts w:ascii="宋体" w:hAnsi="宋体" w:eastAsia="宋体"/>
                </w:rPr>
                <w:id w:val="36238079"/>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bCs/>
                <w:szCs w:val="21"/>
              </w:rPr>
            </w:pPr>
            <w:r>
              <w:rPr>
                <w:rFonts w:hint="eastAsia" w:ascii="宋体" w:hAnsi="宋体" w:eastAsia="宋体"/>
                <w:bCs/>
                <w:szCs w:val="21"/>
              </w:rPr>
              <w:t>是否存在“与采购单位有利害关系”的情况</w:t>
            </w:r>
          </w:p>
        </w:tc>
        <w:tc>
          <w:tcPr>
            <w:tcW w:w="631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cs="Segoe UI Symbol"/>
                <w:kern w:val="0"/>
                <w:szCs w:val="21"/>
                <w:u w:val="single"/>
              </w:rPr>
            </w:pPr>
            <w:sdt>
              <w:sdtPr>
                <w:rPr>
                  <w:rFonts w:ascii="宋体" w:hAnsi="宋体" w:eastAsia="宋体"/>
                </w:rPr>
                <w:id w:val="-289824968"/>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是，与采购单位的关系为：</w:t>
            </w:r>
            <w:r>
              <w:rPr>
                <w:rFonts w:hint="eastAsia" w:ascii="宋体" w:hAnsi="宋体" w:eastAsia="宋体" w:cs="Segoe UI Symbol"/>
                <w:kern w:val="0"/>
                <w:szCs w:val="21"/>
                <w:u w:val="single"/>
              </w:rPr>
              <w:t xml:space="preserve">                        </w:t>
            </w:r>
            <w:r>
              <w:rPr>
                <w:rFonts w:ascii="宋体" w:hAnsi="宋体" w:eastAsia="宋体" w:cs="Segoe UI Symbol"/>
                <w:kern w:val="0"/>
                <w:szCs w:val="21"/>
                <w:u w:val="single"/>
              </w:rPr>
              <w:t xml:space="preserve"> </w:t>
            </w:r>
            <w:r>
              <w:rPr>
                <w:rFonts w:hint="eastAsia" w:ascii="宋体" w:hAnsi="宋体" w:eastAsia="宋体" w:cs="Segoe UI Symbol"/>
                <w:kern w:val="0"/>
                <w:szCs w:val="21"/>
                <w:u w:val="single"/>
              </w:rPr>
              <w:t xml:space="preserve">         </w:t>
            </w:r>
          </w:p>
          <w:p>
            <w:pPr>
              <w:autoSpaceDE w:val="0"/>
              <w:autoSpaceDN w:val="0"/>
              <w:adjustRightInd w:val="0"/>
              <w:snapToGrid w:val="0"/>
              <w:jc w:val="left"/>
              <w:rPr>
                <w:rFonts w:ascii="宋体" w:hAnsi="宋体" w:eastAsia="宋体" w:cs="Segoe UI Symbol"/>
                <w:kern w:val="0"/>
                <w:szCs w:val="21"/>
              </w:rPr>
            </w:pPr>
            <w:sdt>
              <w:sdtPr>
                <w:rPr>
                  <w:rFonts w:ascii="宋体" w:hAnsi="宋体" w:eastAsia="宋体"/>
                </w:rPr>
                <w:id w:val="1060828954"/>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bCs/>
                <w:szCs w:val="21"/>
              </w:rPr>
            </w:pPr>
            <w:r>
              <w:rPr>
                <w:rFonts w:hint="eastAsia" w:ascii="宋体" w:hAnsi="宋体" w:eastAsia="宋体"/>
                <w:bCs/>
                <w:szCs w:val="21"/>
              </w:rPr>
              <w:t>是否是采购单位关联方</w:t>
            </w:r>
          </w:p>
        </w:tc>
        <w:tc>
          <w:tcPr>
            <w:tcW w:w="631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napToGrid w:val="0"/>
              <w:jc w:val="left"/>
              <w:rPr>
                <w:rFonts w:ascii="宋体" w:hAnsi="宋体" w:eastAsia="宋体" w:cs="Segoe UI Symbol"/>
                <w:kern w:val="0"/>
                <w:szCs w:val="21"/>
                <w:u w:val="single"/>
              </w:rPr>
            </w:pPr>
            <w:sdt>
              <w:sdtPr>
                <w:rPr>
                  <w:rFonts w:ascii="宋体" w:hAnsi="宋体" w:eastAsia="宋体"/>
                </w:rPr>
                <w:id w:val="1323854306"/>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是，</w:t>
            </w:r>
            <w:r>
              <w:rPr>
                <w:rFonts w:hint="eastAsia" w:ascii="宋体" w:hAnsi="宋体" w:eastAsia="宋体"/>
                <w:bCs/>
                <w:szCs w:val="21"/>
              </w:rPr>
              <w:t>与采购单位的关联关系为（按注3内容填写）</w:t>
            </w:r>
            <w:r>
              <w:rPr>
                <w:rFonts w:hint="eastAsia" w:ascii="宋体" w:hAnsi="宋体" w:eastAsia="宋体" w:cs="Segoe UI Symbol"/>
                <w:kern w:val="0"/>
                <w:szCs w:val="21"/>
              </w:rPr>
              <w:t>：</w:t>
            </w:r>
            <w:r>
              <w:rPr>
                <w:rFonts w:hint="eastAsia" w:ascii="宋体" w:hAnsi="宋体" w:eastAsia="宋体" w:cs="Segoe UI Symbol"/>
                <w:kern w:val="0"/>
                <w:szCs w:val="21"/>
                <w:u w:val="single"/>
              </w:rPr>
              <w:t xml:space="preserve">        </w:t>
            </w:r>
            <w:r>
              <w:rPr>
                <w:rFonts w:ascii="宋体" w:hAnsi="宋体" w:eastAsia="宋体" w:cs="Segoe UI Symbol"/>
                <w:kern w:val="0"/>
                <w:szCs w:val="21"/>
                <w:u w:val="single"/>
              </w:rPr>
              <w:t xml:space="preserve"> </w:t>
            </w:r>
            <w:r>
              <w:rPr>
                <w:rFonts w:hint="eastAsia" w:ascii="宋体" w:hAnsi="宋体" w:eastAsia="宋体" w:cs="Segoe UI Symbol"/>
                <w:kern w:val="0"/>
                <w:szCs w:val="21"/>
                <w:u w:val="single"/>
              </w:rPr>
              <w:t xml:space="preserve">    </w:t>
            </w:r>
          </w:p>
          <w:p>
            <w:pPr>
              <w:autoSpaceDE w:val="0"/>
              <w:autoSpaceDN w:val="0"/>
              <w:adjustRightInd w:val="0"/>
              <w:snapToGrid w:val="0"/>
              <w:jc w:val="left"/>
              <w:rPr>
                <w:rFonts w:ascii="宋体" w:hAnsi="宋体" w:eastAsia="宋体"/>
                <w:bCs/>
                <w:szCs w:val="21"/>
              </w:rPr>
            </w:pPr>
            <w:sdt>
              <w:sdtPr>
                <w:rPr>
                  <w:rFonts w:ascii="宋体" w:hAnsi="宋体" w:eastAsia="宋体"/>
                </w:rPr>
                <w:id w:val="1436713073"/>
                <w14:checkbox>
                  <w14:checked w14:val="0"/>
                  <w14:checkedState w14:val="0052" w14:font="Wingdings 2"/>
                  <w14:uncheckedState w14:val="25A1" w14:font="宋体"/>
                </w14:checkbox>
              </w:sdtPr>
              <w:sdtEndPr>
                <w:rPr>
                  <w:rFonts w:ascii="宋体" w:hAnsi="宋体" w:eastAsia="宋体"/>
                </w:rPr>
              </w:sdtEndPr>
              <w:sdtContent>
                <w:r>
                  <w:rPr>
                    <w:rFonts w:hint="eastAsia" w:ascii="宋体" w:hAnsi="宋体" w:eastAsia="宋体"/>
                  </w:rPr>
                  <w:t>□</w:t>
                </w:r>
              </w:sdtContent>
            </w:sdt>
            <w:r>
              <w:rPr>
                <w:rFonts w:hint="eastAsia" w:ascii="宋体" w:hAnsi="宋体" w:eastAsia="宋体" w:cs="Segoe UI Symbol"/>
                <w:kern w:val="0"/>
                <w:szCs w:val="21"/>
              </w:rPr>
              <w:t>否</w:t>
            </w:r>
          </w:p>
        </w:tc>
      </w:tr>
    </w:tbl>
    <w:p>
      <w:pPr>
        <w:spacing w:line="360" w:lineRule="auto"/>
        <w:ind w:firstLine="420" w:firstLineChars="200"/>
        <w:rPr>
          <w:rFonts w:ascii="宋体" w:hAnsi="宋体" w:eastAsia="宋体"/>
        </w:rPr>
      </w:pPr>
      <w:r>
        <w:rPr>
          <w:rFonts w:hint="eastAsia" w:ascii="宋体" w:hAnsi="宋体" w:eastAsia="宋体"/>
        </w:rPr>
        <w:t>注：</w:t>
      </w:r>
    </w:p>
    <w:p>
      <w:pPr>
        <w:spacing w:line="360" w:lineRule="auto"/>
        <w:ind w:firstLine="420" w:firstLineChars="200"/>
        <w:rPr>
          <w:rFonts w:ascii="宋体" w:hAnsi="宋体" w:eastAsia="宋体"/>
        </w:rPr>
      </w:pPr>
      <w:r>
        <w:rPr>
          <w:rFonts w:ascii="宋体" w:hAnsi="宋体" w:eastAsia="宋体"/>
        </w:rPr>
        <w:t xml:space="preserve">1. </w:t>
      </w:r>
      <w:r>
        <w:rPr>
          <w:rFonts w:hint="eastAsia" w:ascii="宋体" w:hAnsi="宋体" w:eastAsia="宋体"/>
        </w:rPr>
        <w:t>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spacing w:line="360" w:lineRule="auto"/>
        <w:ind w:firstLine="420" w:firstLineChars="200"/>
        <w:rPr>
          <w:rFonts w:ascii="宋体" w:hAnsi="宋体" w:eastAsia="宋体"/>
        </w:rPr>
      </w:pPr>
      <w:r>
        <w:rPr>
          <w:rFonts w:ascii="宋体" w:hAnsi="宋体" w:eastAsia="宋体"/>
        </w:rPr>
        <w:t xml:space="preserve">2. </w:t>
      </w:r>
      <w:r>
        <w:rPr>
          <w:rFonts w:hint="eastAsia" w:ascii="宋体" w:hAnsi="宋体" w:eastAsia="宋体"/>
        </w:rPr>
        <w:t>供应商需如实填写上述信息，如查实上述信息与实际不符，视为提供虚假证明材料骗取中标，供应商应承担相应法律后果。</w:t>
      </w:r>
    </w:p>
    <w:p>
      <w:pPr>
        <w:spacing w:line="360" w:lineRule="auto"/>
        <w:ind w:firstLine="420" w:firstLineChars="200"/>
        <w:rPr>
          <w:rFonts w:ascii="宋体" w:hAnsi="宋体" w:eastAsia="宋体"/>
        </w:rPr>
      </w:pPr>
      <w:r>
        <w:rPr>
          <w:rFonts w:hint="eastAsia" w:ascii="宋体" w:hAnsi="宋体" w:eastAsia="宋体"/>
        </w:rPr>
        <w:t>3</w:t>
      </w:r>
      <w:r>
        <w:rPr>
          <w:rFonts w:ascii="宋体" w:hAnsi="宋体" w:eastAsia="宋体"/>
        </w:rPr>
        <w:t xml:space="preserve">. </w:t>
      </w:r>
      <w:r>
        <w:rPr>
          <w:rFonts w:hint="eastAsia" w:ascii="宋体" w:hAnsi="宋体" w:eastAsia="宋体"/>
        </w:rPr>
        <w:t>采购单位关联方是指</w:t>
      </w:r>
    </w:p>
    <w:p>
      <w:pPr>
        <w:spacing w:line="360" w:lineRule="auto"/>
        <w:ind w:firstLine="420" w:firstLineChars="200"/>
        <w:rPr>
          <w:rFonts w:ascii="宋体" w:hAnsi="宋体" w:eastAsia="宋体"/>
        </w:rPr>
      </w:pPr>
      <w:r>
        <w:rPr>
          <w:rFonts w:ascii="宋体" w:hAnsi="宋体" w:eastAsia="宋体"/>
        </w:rPr>
        <w:t>（</w:t>
      </w:r>
      <w:r>
        <w:rPr>
          <w:rFonts w:hint="eastAsia" w:ascii="宋体" w:hAnsi="宋体" w:eastAsia="宋体"/>
        </w:rPr>
        <w:t>1</w:t>
      </w:r>
      <w:r>
        <w:rPr>
          <w:rFonts w:ascii="宋体" w:hAnsi="宋体" w:eastAsia="宋体"/>
        </w:rPr>
        <w:t>）控股股东，指直接或者间接控制本单位的法人或其他组织；</w:t>
      </w:r>
    </w:p>
    <w:p>
      <w:pPr>
        <w:spacing w:line="360" w:lineRule="auto"/>
        <w:ind w:firstLine="420" w:firstLineChars="200"/>
        <w:rPr>
          <w:rFonts w:ascii="宋体" w:hAnsi="宋体" w:eastAsia="宋体"/>
        </w:rPr>
      </w:pPr>
      <w:r>
        <w:rPr>
          <w:rFonts w:ascii="宋体" w:hAnsi="宋体" w:eastAsia="宋体"/>
        </w:rPr>
        <w:t>（</w:t>
      </w:r>
      <w:r>
        <w:rPr>
          <w:rFonts w:hint="eastAsia" w:ascii="宋体" w:hAnsi="宋体" w:eastAsia="宋体"/>
        </w:rPr>
        <w:t>2</w:t>
      </w:r>
      <w:r>
        <w:rPr>
          <w:rFonts w:ascii="宋体" w:hAnsi="宋体" w:eastAsia="宋体"/>
        </w:rPr>
        <w:t>）控股股东的子公司，指由上述第（</w:t>
      </w:r>
      <w:r>
        <w:rPr>
          <w:rFonts w:hint="eastAsia" w:ascii="宋体" w:hAnsi="宋体" w:eastAsia="宋体"/>
        </w:rPr>
        <w:t>1</w:t>
      </w:r>
      <w:r>
        <w:rPr>
          <w:rFonts w:ascii="宋体" w:hAnsi="宋体" w:eastAsia="宋体"/>
        </w:rPr>
        <w:t>）项所列主体直接或者间接控制的除本单位（含本单位子公司）以外的法人或其他组织。</w:t>
      </w:r>
    </w:p>
    <w:p>
      <w:pPr>
        <w:spacing w:line="360" w:lineRule="auto"/>
        <w:ind w:firstLine="420" w:firstLineChars="200"/>
        <w:rPr>
          <w:rFonts w:ascii="宋体" w:hAnsi="宋体" w:eastAsia="宋体"/>
        </w:rPr>
      </w:pPr>
      <w:r>
        <w:rPr>
          <w:rFonts w:ascii="宋体" w:hAnsi="宋体" w:eastAsia="宋体"/>
        </w:rPr>
        <w:t>（</w:t>
      </w:r>
      <w:r>
        <w:rPr>
          <w:rFonts w:hint="eastAsia" w:ascii="宋体" w:hAnsi="宋体" w:eastAsia="宋体"/>
        </w:rPr>
        <w:t>3</w:t>
      </w:r>
      <w:r>
        <w:rPr>
          <w:rFonts w:ascii="宋体" w:hAnsi="宋体" w:eastAsia="宋体"/>
        </w:rPr>
        <w:t>）子公司，指由本单位直接或间接控股的公司。</w:t>
      </w:r>
    </w:p>
    <w:p>
      <w:pPr>
        <w:spacing w:line="360" w:lineRule="auto"/>
        <w:ind w:firstLine="420" w:firstLineChars="200"/>
        <w:rPr>
          <w:rFonts w:ascii="宋体" w:hAnsi="宋体" w:eastAsia="宋体"/>
        </w:rPr>
      </w:pPr>
      <w:r>
        <w:rPr>
          <w:rFonts w:ascii="宋体" w:hAnsi="宋体" w:eastAsia="宋体"/>
        </w:rPr>
        <w:t>（</w:t>
      </w:r>
      <w:r>
        <w:rPr>
          <w:rFonts w:hint="eastAsia" w:ascii="宋体" w:hAnsi="宋体" w:eastAsia="宋体"/>
        </w:rPr>
        <w:t>4</w:t>
      </w:r>
      <w:r>
        <w:rPr>
          <w:rFonts w:ascii="宋体" w:hAnsi="宋体" w:eastAsia="宋体"/>
        </w:rPr>
        <w:t>）关联自然人（见第</w:t>
      </w:r>
      <w:r>
        <w:rPr>
          <w:rFonts w:hint="eastAsia" w:ascii="宋体" w:hAnsi="宋体" w:eastAsia="宋体"/>
        </w:rPr>
        <w:t>6</w:t>
      </w:r>
      <w:r>
        <w:rPr>
          <w:rFonts w:ascii="宋体" w:hAnsi="宋体" w:eastAsia="宋体"/>
        </w:rPr>
        <w:t>条）控制的公司，指由本单位的关联自然人直接或者间接控制的，或由关联自然人担任董事、高级管理人员的除本单位及子公司以外的法人或其他组织；</w:t>
      </w:r>
    </w:p>
    <w:p>
      <w:pPr>
        <w:spacing w:line="360" w:lineRule="auto"/>
        <w:ind w:firstLine="420" w:firstLineChars="200"/>
        <w:rPr>
          <w:rFonts w:ascii="宋体" w:hAnsi="宋体" w:eastAsia="宋体"/>
        </w:rPr>
      </w:pPr>
      <w:r>
        <w:rPr>
          <w:rFonts w:ascii="宋体" w:hAnsi="宋体" w:eastAsia="宋体"/>
        </w:rPr>
        <w:t>（</w:t>
      </w:r>
      <w:r>
        <w:rPr>
          <w:rFonts w:hint="eastAsia" w:ascii="宋体" w:hAnsi="宋体" w:eastAsia="宋体"/>
        </w:rPr>
        <w:t>5</w:t>
      </w:r>
      <w:r>
        <w:rPr>
          <w:rFonts w:ascii="宋体" w:hAnsi="宋体" w:eastAsia="宋体"/>
        </w:rPr>
        <w:t>）非控股股东公司及其子公司，指直接或间接持有本单位5%以上股权（股份）但不构成控股的法人或其他组织，以及其子公司；</w:t>
      </w:r>
    </w:p>
    <w:p>
      <w:pPr>
        <w:spacing w:line="360" w:lineRule="auto"/>
        <w:ind w:firstLine="420" w:firstLineChars="200"/>
        <w:rPr>
          <w:rFonts w:ascii="宋体" w:hAnsi="宋体" w:eastAsia="宋体"/>
        </w:rPr>
      </w:pPr>
      <w:r>
        <w:rPr>
          <w:rFonts w:ascii="宋体" w:hAnsi="宋体" w:eastAsia="宋体"/>
        </w:rPr>
        <w:t>（</w:t>
      </w:r>
      <w:r>
        <w:rPr>
          <w:rFonts w:hint="eastAsia" w:ascii="宋体" w:hAnsi="宋体" w:eastAsia="宋体"/>
        </w:rPr>
        <w:t>6</w:t>
      </w:r>
      <w:r>
        <w:rPr>
          <w:rFonts w:ascii="宋体" w:hAnsi="宋体" w:eastAsia="宋体"/>
        </w:rPr>
        <w:t>）合营企业和联营企业，指本单位以及上述第（</w:t>
      </w:r>
      <w:r>
        <w:rPr>
          <w:rFonts w:hint="eastAsia" w:ascii="宋体" w:hAnsi="宋体" w:eastAsia="宋体"/>
        </w:rPr>
        <w:t>1</w:t>
      </w:r>
      <w:r>
        <w:rPr>
          <w:rFonts w:ascii="宋体" w:hAnsi="宋体" w:eastAsia="宋体"/>
        </w:rPr>
        <w:t>）至（</w:t>
      </w:r>
      <w:r>
        <w:rPr>
          <w:rFonts w:hint="eastAsia" w:ascii="宋体" w:hAnsi="宋体" w:eastAsia="宋体"/>
        </w:rPr>
        <w:t>3</w:t>
      </w:r>
      <w:r>
        <w:rPr>
          <w:rFonts w:ascii="宋体" w:hAnsi="宋体" w:eastAsia="宋体"/>
        </w:rPr>
        <w:t>）项所列关联方的合营企业或联营企业；</w:t>
      </w:r>
    </w:p>
    <w:p>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ascii="宋体" w:hAnsi="宋体" w:eastAsia="宋体"/>
        </w:rPr>
        <w:t>（</w:t>
      </w:r>
      <w:r>
        <w:rPr>
          <w:rFonts w:hint="eastAsia" w:ascii="宋体" w:hAnsi="宋体" w:eastAsia="宋体"/>
        </w:rPr>
        <w:t>7</w:t>
      </w:r>
      <w:r>
        <w:rPr>
          <w:rFonts w:ascii="宋体" w:hAnsi="宋体" w:eastAsia="宋体"/>
        </w:rPr>
        <w:t>）其他关联方公司，指根据实质重于形式原则认定的其他与本单位有特殊关系，可能导致本单位利益对其倾斜的法人或其他组织。</w:t>
      </w:r>
      <w:r>
        <w:rPr>
          <w:rFonts w:ascii="宋体" w:hAnsi="宋体" w:eastAsia="宋体" w:cs="Times New Roman"/>
          <w:color w:val="000000" w:themeColor="text1"/>
          <w:szCs w:val="21"/>
          <w14:textFill>
            <w14:solidFill>
              <w14:schemeClr w14:val="tx1"/>
            </w14:solidFill>
          </w14:textFill>
        </w:rPr>
        <w:br w:type="page"/>
      </w:r>
    </w:p>
    <w:p>
      <w:pPr>
        <w:spacing w:line="360" w:lineRule="auto"/>
        <w:jc w:val="center"/>
        <w:outlineLvl w:val="2"/>
        <w:rPr>
          <w:rFonts w:ascii="宋体" w:hAnsi="宋体" w:eastAsia="宋体"/>
          <w:b/>
          <w:sz w:val="32"/>
          <w:szCs w:val="32"/>
        </w:rPr>
      </w:pPr>
      <w:bookmarkStart w:id="118" w:name="_Toc133138776"/>
      <w:r>
        <w:rPr>
          <w:rFonts w:hint="eastAsia" w:ascii="宋体" w:hAnsi="宋体" w:eastAsia="宋体"/>
          <w:b/>
          <w:sz w:val="32"/>
          <w:szCs w:val="32"/>
        </w:rPr>
        <w:t>合同</w:t>
      </w:r>
      <w:r>
        <w:rPr>
          <w:rFonts w:ascii="宋体" w:hAnsi="宋体" w:eastAsia="宋体"/>
          <w:b/>
          <w:sz w:val="32"/>
          <w:szCs w:val="32"/>
        </w:rPr>
        <w:t>条款响应表</w:t>
      </w:r>
      <w:bookmarkEnd w:id="117"/>
      <w:bookmarkEnd w:id="118"/>
    </w:p>
    <w:p>
      <w:pPr>
        <w:spacing w:line="360" w:lineRule="auto"/>
        <w:ind w:firstLine="420" w:firstLineChars="200"/>
        <w:rPr>
          <w:rFonts w:ascii="宋体" w:hAnsi="宋体" w:eastAsia="宋体"/>
          <w:u w:val="single"/>
        </w:rPr>
      </w:pPr>
      <w:r>
        <w:rPr>
          <w:rFonts w:hint="eastAsia" w:ascii="宋体" w:hAnsi="宋体" w:eastAsia="宋体"/>
        </w:rPr>
        <w:t>供应商</w:t>
      </w:r>
      <w:r>
        <w:rPr>
          <w:rFonts w:ascii="宋体" w:hAnsi="宋体" w:eastAsia="宋体"/>
        </w:rPr>
        <w:t>名称：</w:t>
      </w:r>
      <w:r>
        <w:rPr>
          <w:rFonts w:hint="eastAsia" w:ascii="宋体" w:hAnsi="宋体" w:eastAsia="宋体"/>
          <w:u w:val="singl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14"/>
        <w:gridCol w:w="1922"/>
        <w:gridCol w:w="2126"/>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spacing w:line="360" w:lineRule="auto"/>
              <w:jc w:val="center"/>
              <w:rPr>
                <w:rFonts w:ascii="宋体" w:hAnsi="宋体" w:eastAsia="宋体"/>
                <w:b/>
              </w:rPr>
            </w:pPr>
            <w:r>
              <w:rPr>
                <w:rFonts w:hint="eastAsia" w:ascii="宋体" w:hAnsi="宋体" w:eastAsia="宋体"/>
                <w:b/>
              </w:rPr>
              <w:t>序号</w:t>
            </w:r>
          </w:p>
        </w:tc>
        <w:tc>
          <w:tcPr>
            <w:tcW w:w="2614" w:type="dxa"/>
            <w:vAlign w:val="center"/>
          </w:tcPr>
          <w:p>
            <w:pPr>
              <w:spacing w:line="360" w:lineRule="auto"/>
              <w:jc w:val="center"/>
              <w:rPr>
                <w:rFonts w:ascii="宋体" w:hAnsi="宋体" w:eastAsia="宋体"/>
                <w:b/>
              </w:rPr>
            </w:pPr>
            <w:r>
              <w:rPr>
                <w:rFonts w:hint="eastAsia" w:ascii="宋体" w:hAnsi="宋体" w:eastAsia="宋体"/>
                <w:b/>
              </w:rPr>
              <w:t>采购</w:t>
            </w:r>
            <w:r>
              <w:rPr>
                <w:rFonts w:ascii="宋体" w:hAnsi="宋体" w:eastAsia="宋体"/>
                <w:b/>
              </w:rPr>
              <w:t>文件合同条目号</w:t>
            </w:r>
          </w:p>
        </w:tc>
        <w:tc>
          <w:tcPr>
            <w:tcW w:w="1922" w:type="dxa"/>
            <w:vAlign w:val="center"/>
          </w:tcPr>
          <w:p>
            <w:pPr>
              <w:spacing w:line="360" w:lineRule="auto"/>
              <w:jc w:val="center"/>
              <w:rPr>
                <w:rFonts w:ascii="宋体" w:hAnsi="宋体" w:eastAsia="宋体"/>
                <w:b/>
              </w:rPr>
            </w:pPr>
            <w:r>
              <w:rPr>
                <w:rFonts w:hint="eastAsia" w:ascii="宋体" w:hAnsi="宋体" w:eastAsia="宋体"/>
                <w:b/>
              </w:rPr>
              <w:t>采购</w:t>
            </w:r>
            <w:r>
              <w:rPr>
                <w:rFonts w:ascii="宋体" w:hAnsi="宋体" w:eastAsia="宋体"/>
                <w:b/>
              </w:rPr>
              <w:t>文件合同条款</w:t>
            </w:r>
          </w:p>
        </w:tc>
        <w:tc>
          <w:tcPr>
            <w:tcW w:w="2126" w:type="dxa"/>
            <w:vAlign w:val="center"/>
          </w:tcPr>
          <w:p>
            <w:pPr>
              <w:spacing w:line="360" w:lineRule="auto"/>
              <w:jc w:val="center"/>
              <w:rPr>
                <w:rFonts w:ascii="宋体" w:hAnsi="宋体" w:eastAsia="宋体"/>
                <w:b/>
              </w:rPr>
            </w:pPr>
            <w:r>
              <w:rPr>
                <w:rFonts w:hint="eastAsia" w:ascii="宋体" w:hAnsi="宋体" w:eastAsia="宋体"/>
                <w:b/>
              </w:rPr>
              <w:t>报价</w:t>
            </w:r>
            <w:r>
              <w:rPr>
                <w:rFonts w:ascii="宋体" w:hAnsi="宋体" w:eastAsia="宋体"/>
                <w:b/>
              </w:rPr>
              <w:t>文件合同条款</w:t>
            </w:r>
          </w:p>
        </w:tc>
        <w:tc>
          <w:tcPr>
            <w:tcW w:w="930" w:type="dxa"/>
            <w:vAlign w:val="center"/>
          </w:tcPr>
          <w:p>
            <w:pPr>
              <w:spacing w:line="360" w:lineRule="auto"/>
              <w:jc w:val="center"/>
              <w:rPr>
                <w:rFonts w:ascii="宋体" w:hAnsi="宋体" w:eastAsia="宋体"/>
                <w:b/>
              </w:rPr>
            </w:pPr>
            <w:r>
              <w:rPr>
                <w:rFonts w:hint="eastAsia" w:ascii="宋体" w:hAnsi="宋体" w:eastAsia="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rPr>
            </w:pPr>
          </w:p>
        </w:tc>
        <w:tc>
          <w:tcPr>
            <w:tcW w:w="2614" w:type="dxa"/>
            <w:vAlign w:val="center"/>
          </w:tcPr>
          <w:p>
            <w:pPr>
              <w:spacing w:line="360" w:lineRule="auto"/>
              <w:jc w:val="center"/>
              <w:rPr>
                <w:rFonts w:ascii="宋体" w:hAnsi="宋体" w:eastAsia="宋体"/>
              </w:rPr>
            </w:pPr>
          </w:p>
        </w:tc>
        <w:tc>
          <w:tcPr>
            <w:tcW w:w="1922" w:type="dxa"/>
            <w:vAlign w:val="center"/>
          </w:tcPr>
          <w:p>
            <w:pPr>
              <w:spacing w:line="360" w:lineRule="auto"/>
              <w:jc w:val="center"/>
              <w:rPr>
                <w:rFonts w:ascii="宋体" w:hAnsi="宋体" w:eastAsia="宋体"/>
              </w:rPr>
            </w:pPr>
          </w:p>
        </w:tc>
        <w:tc>
          <w:tcPr>
            <w:tcW w:w="2126" w:type="dxa"/>
            <w:vAlign w:val="center"/>
          </w:tcPr>
          <w:p>
            <w:pPr>
              <w:spacing w:line="360" w:lineRule="auto"/>
              <w:jc w:val="center"/>
              <w:rPr>
                <w:rFonts w:ascii="宋体" w:hAnsi="宋体" w:eastAsia="宋体"/>
              </w:rPr>
            </w:pPr>
          </w:p>
        </w:tc>
        <w:tc>
          <w:tcPr>
            <w:tcW w:w="930" w:type="dxa"/>
            <w:vAlign w:val="center"/>
          </w:tcPr>
          <w:p>
            <w:pPr>
              <w:spacing w:line="360" w:lineRule="auto"/>
              <w:jc w:val="center"/>
              <w:rPr>
                <w:rFonts w:ascii="宋体" w:hAnsi="宋体" w:eastAsia="宋体"/>
              </w:rPr>
            </w:pPr>
          </w:p>
        </w:tc>
      </w:tr>
    </w:tbl>
    <w:p>
      <w:pPr>
        <w:spacing w:line="360" w:lineRule="auto"/>
        <w:ind w:firstLine="422" w:firstLineChars="200"/>
        <w:rPr>
          <w:rFonts w:ascii="宋体" w:hAnsi="宋体" w:eastAsia="宋体"/>
          <w:b/>
        </w:rPr>
      </w:pPr>
      <w:r>
        <w:rPr>
          <w:rFonts w:hint="eastAsia" w:ascii="宋体" w:hAnsi="宋体" w:eastAsia="宋体"/>
          <w:b/>
        </w:rPr>
        <w:t>重要</w:t>
      </w:r>
      <w:r>
        <w:rPr>
          <w:rFonts w:ascii="宋体" w:hAnsi="宋体" w:eastAsia="宋体"/>
          <w:b/>
        </w:rPr>
        <w:t>提示：只列出发生偏离的项目，没有列出的将被视为完全响应。</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供应商</w:t>
      </w:r>
      <w:r>
        <w:rPr>
          <w:rFonts w:ascii="宋体" w:hAnsi="宋体" w:eastAsia="宋体" w:cs="Times New Roman"/>
          <w:szCs w:val="20"/>
        </w:rPr>
        <w:t>：</w:t>
      </w:r>
      <w:r>
        <w:rPr>
          <w:rFonts w:hint="eastAsia" w:ascii="宋体" w:hAnsi="宋体" w:eastAsia="宋体" w:cs="Times New Roman"/>
          <w:szCs w:val="20"/>
          <w:u w:val="single"/>
        </w:rPr>
        <w:t xml:space="preserve"> </w:t>
      </w:r>
      <w:r>
        <w:rPr>
          <w:rFonts w:ascii="宋体" w:hAnsi="宋体" w:eastAsia="宋体" w:cs="Times New Roman"/>
          <w:szCs w:val="20"/>
          <w:u w:val="single"/>
        </w:rPr>
        <w:t xml:space="preserve">    </w:t>
      </w:r>
      <w:r>
        <w:rPr>
          <w:rFonts w:hint="eastAsia" w:ascii="宋体" w:hAnsi="宋体" w:eastAsia="宋体" w:cs="Times New Roman"/>
          <w:szCs w:val="20"/>
          <w:u w:val="single"/>
        </w:rPr>
        <w:t>（盖章）</w:t>
      </w:r>
      <w:r>
        <w:rPr>
          <w:rFonts w:ascii="宋体" w:hAnsi="宋体" w:eastAsia="宋体" w:cs="Times New Roman"/>
          <w:szCs w:val="20"/>
          <w:u w:val="single"/>
        </w:rPr>
        <w:t xml:space="preserve">       </w:t>
      </w: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法定代表人/负责人或</w:t>
      </w:r>
      <w:r>
        <w:rPr>
          <w:rFonts w:ascii="宋体" w:hAnsi="宋体" w:eastAsia="宋体" w:cs="Times New Roman"/>
          <w:szCs w:val="20"/>
        </w:rPr>
        <w:t>授权代理人：</w:t>
      </w:r>
      <w:r>
        <w:rPr>
          <w:rFonts w:hint="eastAsia" w:ascii="宋体" w:hAnsi="宋体" w:eastAsia="宋体" w:cs="Times New Roman"/>
          <w:szCs w:val="20"/>
          <w:u w:val="single"/>
        </w:rPr>
        <w:t xml:space="preserve"> </w:t>
      </w:r>
      <w:r>
        <w:rPr>
          <w:rFonts w:ascii="宋体" w:hAnsi="宋体" w:eastAsia="宋体" w:cs="Times New Roman"/>
          <w:szCs w:val="20"/>
          <w:u w:val="single"/>
        </w:rPr>
        <w:t xml:space="preserve">  </w:t>
      </w:r>
      <w:r>
        <w:rPr>
          <w:rFonts w:hint="eastAsia" w:ascii="宋体" w:hAnsi="宋体" w:eastAsia="宋体" w:cs="Times New Roman"/>
          <w:szCs w:val="20"/>
          <w:u w:val="single"/>
        </w:rPr>
        <w:t>（签字</w:t>
      </w:r>
      <w:r>
        <w:rPr>
          <w:rFonts w:ascii="宋体" w:hAnsi="宋体" w:eastAsia="宋体" w:cs="Times New Roman"/>
          <w:szCs w:val="20"/>
          <w:u w:val="single"/>
        </w:rPr>
        <w:t>或</w:t>
      </w:r>
      <w:r>
        <w:rPr>
          <w:rFonts w:hint="eastAsia" w:ascii="宋体" w:hAnsi="宋体" w:eastAsia="宋体" w:cs="Times New Roman"/>
          <w:szCs w:val="20"/>
          <w:u w:val="single"/>
        </w:rPr>
        <w:t>盖章</w:t>
      </w:r>
      <w:r>
        <w:rPr>
          <w:rFonts w:ascii="宋体" w:hAnsi="宋体" w:eastAsia="宋体" w:cs="Times New Roman"/>
          <w:szCs w:val="20"/>
          <w:u w:val="single"/>
        </w:rPr>
        <w:t xml:space="preserve">）   </w:t>
      </w: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日  期</w:t>
      </w:r>
      <w:r>
        <w:rPr>
          <w:rFonts w:ascii="宋体" w:hAnsi="宋体" w:eastAsia="宋体" w:cs="Times New Roman"/>
          <w:szCs w:val="20"/>
        </w:rPr>
        <w:t>：</w:t>
      </w:r>
      <w:r>
        <w:rPr>
          <w:rFonts w:ascii="宋体" w:hAnsi="宋体" w:eastAsia="宋体" w:cs="Times New Roman"/>
          <w:szCs w:val="20"/>
          <w:u w:val="single"/>
        </w:rPr>
        <w:t xml:space="preserve">                    </w:t>
      </w:r>
    </w:p>
    <w:p>
      <w:pPr>
        <w:widowControl/>
        <w:jc w:val="left"/>
        <w:rPr>
          <w:rFonts w:ascii="宋体" w:hAnsi="宋体" w:eastAsia="宋体"/>
        </w:rPr>
      </w:pPr>
      <w:r>
        <w:rPr>
          <w:rFonts w:ascii="宋体" w:hAnsi="宋体" w:eastAsia="宋体"/>
        </w:rPr>
        <w:br w:type="page"/>
      </w:r>
    </w:p>
    <w:p>
      <w:pPr>
        <w:spacing w:line="360" w:lineRule="auto"/>
        <w:jc w:val="center"/>
        <w:outlineLvl w:val="2"/>
        <w:rPr>
          <w:rFonts w:ascii="宋体" w:hAnsi="宋体" w:eastAsia="宋体"/>
          <w:b/>
          <w:sz w:val="32"/>
          <w:szCs w:val="32"/>
        </w:rPr>
      </w:pPr>
      <w:r>
        <w:rPr>
          <w:rFonts w:hint="eastAsia" w:ascii="宋体" w:hAnsi="宋体" w:eastAsia="宋体"/>
          <w:b/>
          <w:sz w:val="32"/>
          <w:szCs w:val="32"/>
        </w:rPr>
        <w:t>商务</w:t>
      </w:r>
      <w:r>
        <w:rPr>
          <w:rFonts w:ascii="宋体" w:hAnsi="宋体" w:eastAsia="宋体"/>
          <w:b/>
          <w:sz w:val="32"/>
          <w:szCs w:val="32"/>
        </w:rPr>
        <w:t>条款响应表</w:t>
      </w:r>
    </w:p>
    <w:p>
      <w:pPr>
        <w:spacing w:line="360" w:lineRule="auto"/>
        <w:ind w:firstLine="420" w:firstLineChars="200"/>
        <w:rPr>
          <w:rFonts w:ascii="宋体" w:hAnsi="宋体" w:eastAsia="宋体"/>
          <w:u w:val="single"/>
        </w:rPr>
      </w:pPr>
      <w:r>
        <w:rPr>
          <w:rFonts w:hint="eastAsia" w:ascii="宋体" w:hAnsi="宋体" w:eastAsia="宋体"/>
        </w:rPr>
        <w:t>供应商</w:t>
      </w:r>
      <w:r>
        <w:rPr>
          <w:rFonts w:ascii="宋体" w:hAnsi="宋体" w:eastAsia="宋体"/>
        </w:rPr>
        <w:t>名称：</w:t>
      </w:r>
      <w:r>
        <w:rPr>
          <w:rFonts w:hint="eastAsia" w:ascii="宋体" w:hAnsi="宋体" w:eastAsia="宋体"/>
          <w:u w:val="single"/>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14"/>
        <w:gridCol w:w="1922"/>
        <w:gridCol w:w="2126"/>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b/>
              </w:rPr>
            </w:pPr>
            <w:r>
              <w:rPr>
                <w:rFonts w:hint="eastAsia" w:ascii="宋体" w:hAnsi="宋体" w:eastAsia="宋体"/>
                <w:b/>
              </w:rPr>
              <w:t>序号</w:t>
            </w:r>
          </w:p>
        </w:tc>
        <w:tc>
          <w:tcPr>
            <w:tcW w:w="2614" w:type="dxa"/>
            <w:vAlign w:val="center"/>
          </w:tcPr>
          <w:p>
            <w:pPr>
              <w:spacing w:line="360" w:lineRule="auto"/>
              <w:jc w:val="center"/>
              <w:rPr>
                <w:rFonts w:ascii="宋体" w:hAnsi="宋体" w:eastAsia="宋体"/>
                <w:b/>
              </w:rPr>
            </w:pPr>
            <w:r>
              <w:rPr>
                <w:rFonts w:hint="eastAsia" w:ascii="宋体" w:hAnsi="宋体" w:eastAsia="宋体"/>
                <w:b/>
              </w:rPr>
              <w:t>采购</w:t>
            </w:r>
            <w:r>
              <w:rPr>
                <w:rFonts w:ascii="宋体" w:hAnsi="宋体" w:eastAsia="宋体"/>
                <w:b/>
              </w:rPr>
              <w:t>文件</w:t>
            </w:r>
            <w:r>
              <w:rPr>
                <w:rFonts w:hint="eastAsia" w:ascii="宋体" w:hAnsi="宋体" w:eastAsia="宋体"/>
                <w:b/>
              </w:rPr>
              <w:t>商务</w:t>
            </w:r>
            <w:r>
              <w:rPr>
                <w:rFonts w:ascii="宋体" w:hAnsi="宋体" w:eastAsia="宋体"/>
                <w:b/>
              </w:rPr>
              <w:t>条目号</w:t>
            </w:r>
          </w:p>
        </w:tc>
        <w:tc>
          <w:tcPr>
            <w:tcW w:w="1922" w:type="dxa"/>
            <w:vAlign w:val="center"/>
          </w:tcPr>
          <w:p>
            <w:pPr>
              <w:spacing w:line="360" w:lineRule="auto"/>
              <w:jc w:val="center"/>
              <w:rPr>
                <w:rFonts w:ascii="宋体" w:hAnsi="宋体" w:eastAsia="宋体"/>
                <w:b/>
              </w:rPr>
            </w:pPr>
            <w:r>
              <w:rPr>
                <w:rFonts w:hint="eastAsia" w:ascii="宋体" w:hAnsi="宋体" w:eastAsia="宋体"/>
                <w:b/>
              </w:rPr>
              <w:t>采购</w:t>
            </w:r>
            <w:r>
              <w:rPr>
                <w:rFonts w:ascii="宋体" w:hAnsi="宋体" w:eastAsia="宋体"/>
                <w:b/>
              </w:rPr>
              <w:t>文件</w:t>
            </w:r>
            <w:r>
              <w:rPr>
                <w:rFonts w:hint="eastAsia" w:ascii="宋体" w:hAnsi="宋体" w:eastAsia="宋体"/>
                <w:b/>
              </w:rPr>
              <w:t>商务</w:t>
            </w:r>
            <w:r>
              <w:rPr>
                <w:rFonts w:ascii="宋体" w:hAnsi="宋体" w:eastAsia="宋体"/>
                <w:b/>
              </w:rPr>
              <w:t>条款</w:t>
            </w:r>
          </w:p>
        </w:tc>
        <w:tc>
          <w:tcPr>
            <w:tcW w:w="2126" w:type="dxa"/>
            <w:vAlign w:val="center"/>
          </w:tcPr>
          <w:p>
            <w:pPr>
              <w:spacing w:line="360" w:lineRule="auto"/>
              <w:jc w:val="center"/>
              <w:rPr>
                <w:rFonts w:ascii="宋体" w:hAnsi="宋体" w:eastAsia="宋体"/>
                <w:b/>
              </w:rPr>
            </w:pPr>
            <w:r>
              <w:rPr>
                <w:rFonts w:hint="eastAsia" w:ascii="宋体" w:hAnsi="宋体" w:eastAsia="宋体"/>
                <w:b/>
              </w:rPr>
              <w:t>报价</w:t>
            </w:r>
            <w:r>
              <w:rPr>
                <w:rFonts w:ascii="宋体" w:hAnsi="宋体" w:eastAsia="宋体"/>
                <w:b/>
              </w:rPr>
              <w:t>文件</w:t>
            </w:r>
            <w:r>
              <w:rPr>
                <w:rFonts w:hint="eastAsia" w:ascii="宋体" w:hAnsi="宋体" w:eastAsia="宋体"/>
                <w:b/>
              </w:rPr>
              <w:t>商务</w:t>
            </w:r>
            <w:r>
              <w:rPr>
                <w:rFonts w:ascii="宋体" w:hAnsi="宋体" w:eastAsia="宋体"/>
                <w:b/>
              </w:rPr>
              <w:t>条款</w:t>
            </w:r>
          </w:p>
        </w:tc>
        <w:tc>
          <w:tcPr>
            <w:tcW w:w="930" w:type="dxa"/>
            <w:vAlign w:val="center"/>
          </w:tcPr>
          <w:p>
            <w:pPr>
              <w:spacing w:line="360" w:lineRule="auto"/>
              <w:jc w:val="center"/>
              <w:rPr>
                <w:rFonts w:ascii="宋体" w:hAnsi="宋体" w:eastAsia="宋体"/>
                <w:b/>
              </w:rPr>
            </w:pPr>
            <w:r>
              <w:rPr>
                <w:rFonts w:hint="eastAsia" w:ascii="宋体" w:hAnsi="宋体" w:eastAsia="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360" w:lineRule="auto"/>
              <w:jc w:val="center"/>
              <w:rPr>
                <w:rFonts w:ascii="宋体" w:hAnsi="宋体" w:eastAsia="宋体"/>
              </w:rPr>
            </w:pPr>
          </w:p>
        </w:tc>
        <w:tc>
          <w:tcPr>
            <w:tcW w:w="2614" w:type="dxa"/>
            <w:vAlign w:val="center"/>
          </w:tcPr>
          <w:p>
            <w:pPr>
              <w:spacing w:line="360" w:lineRule="auto"/>
              <w:jc w:val="center"/>
              <w:rPr>
                <w:rFonts w:ascii="宋体" w:hAnsi="宋体" w:eastAsia="宋体"/>
              </w:rPr>
            </w:pPr>
          </w:p>
        </w:tc>
        <w:tc>
          <w:tcPr>
            <w:tcW w:w="1922" w:type="dxa"/>
            <w:vAlign w:val="center"/>
          </w:tcPr>
          <w:p>
            <w:pPr>
              <w:spacing w:line="360" w:lineRule="auto"/>
              <w:jc w:val="center"/>
              <w:rPr>
                <w:rFonts w:ascii="宋体" w:hAnsi="宋体" w:eastAsia="宋体"/>
              </w:rPr>
            </w:pPr>
          </w:p>
        </w:tc>
        <w:tc>
          <w:tcPr>
            <w:tcW w:w="2126" w:type="dxa"/>
            <w:vAlign w:val="center"/>
          </w:tcPr>
          <w:p>
            <w:pPr>
              <w:spacing w:line="360" w:lineRule="auto"/>
              <w:jc w:val="center"/>
              <w:rPr>
                <w:rFonts w:ascii="宋体" w:hAnsi="宋体" w:eastAsia="宋体"/>
              </w:rPr>
            </w:pPr>
          </w:p>
        </w:tc>
        <w:tc>
          <w:tcPr>
            <w:tcW w:w="930" w:type="dxa"/>
            <w:vAlign w:val="center"/>
          </w:tcPr>
          <w:p>
            <w:pPr>
              <w:spacing w:line="360" w:lineRule="auto"/>
              <w:jc w:val="center"/>
              <w:rPr>
                <w:rFonts w:ascii="宋体" w:hAnsi="宋体" w:eastAsia="宋体"/>
              </w:rPr>
            </w:pPr>
          </w:p>
        </w:tc>
      </w:tr>
    </w:tbl>
    <w:p>
      <w:pPr>
        <w:spacing w:line="360" w:lineRule="auto"/>
        <w:ind w:firstLine="422" w:firstLineChars="200"/>
        <w:rPr>
          <w:rFonts w:ascii="宋体" w:hAnsi="宋体" w:eastAsia="宋体"/>
          <w:b/>
        </w:rPr>
      </w:pPr>
      <w:r>
        <w:rPr>
          <w:rFonts w:hint="eastAsia" w:ascii="宋体" w:hAnsi="宋体" w:eastAsia="宋体"/>
          <w:b/>
        </w:rPr>
        <w:t>重要</w:t>
      </w:r>
      <w:r>
        <w:rPr>
          <w:rFonts w:ascii="宋体" w:hAnsi="宋体" w:eastAsia="宋体"/>
          <w:b/>
        </w:rPr>
        <w:t>提示：只列出发生偏离的项目，没有列出的将被视为完全响应。</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供应商</w:t>
      </w:r>
      <w:r>
        <w:rPr>
          <w:rFonts w:ascii="宋体" w:hAnsi="宋体" w:eastAsia="宋体" w:cs="Times New Roman"/>
          <w:szCs w:val="20"/>
        </w:rPr>
        <w:t>：</w:t>
      </w:r>
      <w:r>
        <w:rPr>
          <w:rFonts w:hint="eastAsia" w:ascii="宋体" w:hAnsi="宋体" w:eastAsia="宋体" w:cs="Times New Roman"/>
          <w:szCs w:val="20"/>
          <w:u w:val="single"/>
        </w:rPr>
        <w:t xml:space="preserve"> </w:t>
      </w:r>
      <w:r>
        <w:rPr>
          <w:rFonts w:ascii="宋体" w:hAnsi="宋体" w:eastAsia="宋体" w:cs="Times New Roman"/>
          <w:szCs w:val="20"/>
          <w:u w:val="single"/>
        </w:rPr>
        <w:t xml:space="preserve">    </w:t>
      </w:r>
      <w:r>
        <w:rPr>
          <w:rFonts w:hint="eastAsia" w:ascii="宋体" w:hAnsi="宋体" w:eastAsia="宋体" w:cs="Times New Roman"/>
          <w:szCs w:val="20"/>
          <w:u w:val="single"/>
        </w:rPr>
        <w:t>（盖章）</w:t>
      </w:r>
      <w:r>
        <w:rPr>
          <w:rFonts w:ascii="宋体" w:hAnsi="宋体" w:eastAsia="宋体" w:cs="Times New Roman"/>
          <w:szCs w:val="20"/>
          <w:u w:val="single"/>
        </w:rPr>
        <w:t xml:space="preserve">       </w:t>
      </w: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法定代表人/负责人或</w:t>
      </w:r>
      <w:r>
        <w:rPr>
          <w:rFonts w:ascii="宋体" w:hAnsi="宋体" w:eastAsia="宋体" w:cs="Times New Roman"/>
          <w:szCs w:val="20"/>
        </w:rPr>
        <w:t>授权代理人：</w:t>
      </w:r>
      <w:r>
        <w:rPr>
          <w:rFonts w:hint="eastAsia" w:ascii="宋体" w:hAnsi="宋体" w:eastAsia="宋体" w:cs="Times New Roman"/>
          <w:szCs w:val="20"/>
          <w:u w:val="single"/>
        </w:rPr>
        <w:t xml:space="preserve"> </w:t>
      </w:r>
      <w:r>
        <w:rPr>
          <w:rFonts w:ascii="宋体" w:hAnsi="宋体" w:eastAsia="宋体" w:cs="Times New Roman"/>
          <w:szCs w:val="20"/>
          <w:u w:val="single"/>
        </w:rPr>
        <w:t xml:space="preserve">  </w:t>
      </w:r>
      <w:r>
        <w:rPr>
          <w:rFonts w:hint="eastAsia" w:ascii="宋体" w:hAnsi="宋体" w:eastAsia="宋体" w:cs="Times New Roman"/>
          <w:szCs w:val="20"/>
          <w:u w:val="single"/>
        </w:rPr>
        <w:t>（签字</w:t>
      </w:r>
      <w:r>
        <w:rPr>
          <w:rFonts w:ascii="宋体" w:hAnsi="宋体" w:eastAsia="宋体" w:cs="Times New Roman"/>
          <w:szCs w:val="20"/>
          <w:u w:val="single"/>
        </w:rPr>
        <w:t>或</w:t>
      </w:r>
      <w:r>
        <w:rPr>
          <w:rFonts w:hint="eastAsia" w:ascii="宋体" w:hAnsi="宋体" w:eastAsia="宋体" w:cs="Times New Roman"/>
          <w:szCs w:val="20"/>
          <w:u w:val="single"/>
        </w:rPr>
        <w:t>盖章</w:t>
      </w:r>
      <w:r>
        <w:rPr>
          <w:rFonts w:ascii="宋体" w:hAnsi="宋体" w:eastAsia="宋体" w:cs="Times New Roman"/>
          <w:szCs w:val="20"/>
          <w:u w:val="single"/>
        </w:rPr>
        <w:t xml:space="preserve">）   </w:t>
      </w:r>
    </w:p>
    <w:p>
      <w:pPr>
        <w:wordWrap w:val="0"/>
        <w:spacing w:line="360" w:lineRule="auto"/>
        <w:jc w:val="right"/>
        <w:rPr>
          <w:rFonts w:ascii="宋体" w:hAnsi="宋体" w:eastAsia="宋体" w:cs="Times New Roman"/>
          <w:szCs w:val="20"/>
        </w:rPr>
      </w:pPr>
      <w:r>
        <w:rPr>
          <w:rFonts w:hint="eastAsia" w:ascii="宋体" w:hAnsi="宋体" w:eastAsia="宋体" w:cs="Times New Roman"/>
          <w:szCs w:val="20"/>
        </w:rPr>
        <w:t>日  期</w:t>
      </w:r>
      <w:r>
        <w:rPr>
          <w:rFonts w:ascii="宋体" w:hAnsi="宋体" w:eastAsia="宋体" w:cs="Times New Roman"/>
          <w:szCs w:val="20"/>
        </w:rPr>
        <w:t>：</w:t>
      </w:r>
      <w:r>
        <w:rPr>
          <w:rFonts w:ascii="宋体" w:hAnsi="宋体" w:eastAsia="宋体" w:cs="Times New Roman"/>
          <w:szCs w:val="20"/>
          <w:u w:val="single"/>
        </w:rPr>
        <w:t xml:space="preserve">                    </w:t>
      </w:r>
    </w:p>
    <w:p>
      <w:pPr>
        <w:widowControl/>
        <w:jc w:val="left"/>
        <w:rPr>
          <w:rFonts w:ascii="宋体" w:hAnsi="宋体" w:eastAsia="宋体"/>
        </w:rPr>
      </w:pPr>
      <w:r>
        <w:rPr>
          <w:rFonts w:ascii="宋体" w:hAnsi="宋体" w:eastAsia="宋体"/>
        </w:rPr>
        <w:br w:type="page"/>
      </w:r>
    </w:p>
    <w:p>
      <w:pPr>
        <w:spacing w:line="360" w:lineRule="auto"/>
        <w:jc w:val="left"/>
        <w:outlineLvl w:val="1"/>
        <w:rPr>
          <w:rFonts w:ascii="宋体" w:hAnsi="宋体" w:eastAsia="宋体"/>
          <w:b/>
          <w:sz w:val="32"/>
          <w:szCs w:val="32"/>
        </w:rPr>
      </w:pPr>
      <w:bookmarkStart w:id="119" w:name="_Toc78810880"/>
      <w:bookmarkStart w:id="120" w:name="_Toc216716595"/>
      <w:bookmarkStart w:id="121" w:name="_Toc31407"/>
      <w:r>
        <w:rPr>
          <w:rFonts w:hint="eastAsia" w:ascii="宋体" w:hAnsi="宋体" w:eastAsia="宋体"/>
          <w:b/>
          <w:sz w:val="32"/>
          <w:szCs w:val="32"/>
        </w:rPr>
        <w:t>三、技术部分</w:t>
      </w:r>
      <w:bookmarkEnd w:id="119"/>
      <w:bookmarkEnd w:id="120"/>
      <w:bookmarkEnd w:id="121"/>
    </w:p>
    <w:p>
      <w:pPr>
        <w:spacing w:line="360" w:lineRule="auto"/>
        <w:jc w:val="center"/>
        <w:outlineLvl w:val="2"/>
        <w:rPr>
          <w:rFonts w:ascii="宋体" w:hAnsi="宋体" w:eastAsia="宋体"/>
          <w:b/>
          <w:sz w:val="32"/>
          <w:szCs w:val="32"/>
        </w:rPr>
      </w:pPr>
      <w:bookmarkStart w:id="122" w:name="_Toc132882918"/>
      <w:r>
        <w:rPr>
          <w:rFonts w:hint="eastAsia" w:ascii="宋体" w:hAnsi="宋体" w:eastAsia="宋体"/>
          <w:b/>
          <w:sz w:val="32"/>
          <w:szCs w:val="32"/>
        </w:rPr>
        <w:t>设计服务方案</w:t>
      </w:r>
      <w:bookmarkEnd w:id="122"/>
    </w:p>
    <w:p>
      <w:pPr>
        <w:spacing w:line="360" w:lineRule="auto"/>
        <w:ind w:firstLine="420" w:firstLineChars="200"/>
        <w:rPr>
          <w:rFonts w:ascii="宋体" w:hAnsi="宋体" w:eastAsia="宋体"/>
        </w:rPr>
      </w:pPr>
      <w:r>
        <w:rPr>
          <w:rFonts w:hint="eastAsia" w:ascii="宋体" w:hAnsi="宋体" w:eastAsia="宋体"/>
        </w:rPr>
        <w:t>请结合第五章项目需求书中的采购内容（设计任务）、前期资料，阐述本项目服务方案。格式自拟，包括但不限于以下内容：</w:t>
      </w:r>
    </w:p>
    <w:p>
      <w:pPr>
        <w:spacing w:line="360" w:lineRule="auto"/>
        <w:ind w:firstLine="420" w:firstLineChars="200"/>
        <w:rPr>
          <w:rFonts w:ascii="宋体" w:hAnsi="宋体" w:eastAsia="宋体"/>
        </w:rPr>
      </w:pPr>
      <w:r>
        <w:rPr>
          <w:rFonts w:hint="eastAsia" w:ascii="宋体" w:hAnsi="宋体" w:eastAsia="宋体"/>
        </w:rPr>
        <w:t>1.对项目的理解；</w:t>
      </w:r>
    </w:p>
    <w:p>
      <w:pPr>
        <w:spacing w:line="360" w:lineRule="auto"/>
        <w:ind w:firstLine="420" w:firstLineChars="200"/>
        <w:rPr>
          <w:rFonts w:ascii="宋体" w:hAnsi="宋体" w:eastAsia="宋体"/>
        </w:rPr>
      </w:pPr>
      <w:r>
        <w:rPr>
          <w:rFonts w:hint="eastAsia" w:ascii="宋体" w:hAnsi="宋体" w:eastAsia="宋体"/>
        </w:rPr>
        <w:t>2.设计要点解读与复核；</w:t>
      </w:r>
    </w:p>
    <w:p>
      <w:pPr>
        <w:spacing w:line="360" w:lineRule="auto"/>
        <w:ind w:firstLine="420" w:firstLineChars="200"/>
        <w:rPr>
          <w:rFonts w:ascii="宋体" w:hAnsi="宋体" w:eastAsia="宋体"/>
        </w:rPr>
      </w:pPr>
      <w:r>
        <w:rPr>
          <w:rFonts w:hint="eastAsia" w:ascii="宋体" w:hAnsi="宋体" w:eastAsia="宋体"/>
        </w:rPr>
        <w:t>3.项目重点、难点分析；</w:t>
      </w:r>
    </w:p>
    <w:p>
      <w:pPr>
        <w:spacing w:line="360" w:lineRule="auto"/>
        <w:ind w:firstLine="420" w:firstLineChars="200"/>
        <w:rPr>
          <w:rFonts w:ascii="宋体" w:hAnsi="宋体" w:eastAsia="宋体"/>
        </w:rPr>
      </w:pPr>
      <w:r>
        <w:rPr>
          <w:rFonts w:hint="eastAsia" w:ascii="宋体" w:hAnsi="宋体" w:eastAsia="宋体"/>
        </w:rPr>
        <w:t>4.项目团队配置（人员组织架构、专业、项目经历等）；</w:t>
      </w:r>
    </w:p>
    <w:p>
      <w:pPr>
        <w:spacing w:line="360" w:lineRule="auto"/>
        <w:ind w:firstLine="420" w:firstLineChars="200"/>
        <w:rPr>
          <w:rFonts w:ascii="宋体" w:hAnsi="宋体" w:eastAsia="宋体"/>
        </w:rPr>
      </w:pPr>
      <w:r>
        <w:rPr>
          <w:rFonts w:hint="eastAsia" w:ascii="宋体" w:hAnsi="宋体" w:eastAsia="宋体"/>
        </w:rPr>
        <w:t>5.进度计划（设计周期、进度保障机制等）；</w:t>
      </w:r>
    </w:p>
    <w:p>
      <w:pPr>
        <w:spacing w:line="360" w:lineRule="auto"/>
        <w:ind w:firstLine="420" w:firstLineChars="200"/>
        <w:rPr>
          <w:rFonts w:ascii="宋体" w:hAnsi="宋体" w:eastAsia="宋体"/>
        </w:rPr>
      </w:pPr>
      <w:r>
        <w:rPr>
          <w:rFonts w:hint="eastAsia" w:ascii="宋体" w:hAnsi="宋体" w:eastAsia="宋体"/>
        </w:rPr>
        <w:t>6.设计质量保障措施；</w:t>
      </w:r>
    </w:p>
    <w:p>
      <w:pPr>
        <w:spacing w:line="360" w:lineRule="auto"/>
        <w:ind w:firstLine="420" w:firstLineChars="200"/>
        <w:rPr>
          <w:rFonts w:ascii="宋体" w:hAnsi="宋体" w:eastAsia="宋体"/>
        </w:rPr>
      </w:pPr>
      <w:r>
        <w:rPr>
          <w:rFonts w:hint="eastAsia" w:ascii="宋体" w:hAnsi="宋体" w:eastAsia="宋体"/>
        </w:rPr>
        <w:t>7.服务承诺（施工配合、设计变更响应、竣工验收支持等）；</w:t>
      </w:r>
    </w:p>
    <w:p>
      <w:pPr>
        <w:spacing w:line="360" w:lineRule="auto"/>
        <w:ind w:firstLine="420" w:firstLineChars="200"/>
        <w:rPr>
          <w:rFonts w:ascii="宋体" w:hAnsi="宋体" w:eastAsia="宋体"/>
        </w:rPr>
      </w:pPr>
      <w:r>
        <w:rPr>
          <w:rFonts w:hint="eastAsia" w:ascii="宋体" w:hAnsi="宋体" w:eastAsia="宋体"/>
        </w:rPr>
        <w:t>8.其他（可提供自认为体现综合实力的证明材料）。</w:t>
      </w:r>
    </w:p>
    <w:p>
      <w:pPr>
        <w:widowControl/>
        <w:jc w:val="left"/>
        <w:rPr>
          <w:rFonts w:ascii="宋体" w:hAnsi="宋体" w:eastAsia="宋体"/>
        </w:rPr>
      </w:pPr>
      <w:r>
        <w:rPr>
          <w:rFonts w:ascii="宋体" w:hAnsi="宋体" w:eastAsia="宋体"/>
        </w:rPr>
        <w:br w:type="page"/>
      </w:r>
    </w:p>
    <w:p>
      <w:pPr>
        <w:jc w:val="center"/>
        <w:outlineLvl w:val="0"/>
        <w:rPr>
          <w:rFonts w:ascii="黑体" w:hAnsi="黑体" w:eastAsia="黑体"/>
          <w:b/>
          <w:bCs/>
          <w:sz w:val="44"/>
          <w:szCs w:val="44"/>
        </w:rPr>
      </w:pPr>
      <w:bookmarkStart w:id="123" w:name="_Toc26840"/>
      <w:bookmarkStart w:id="124" w:name="_Toc216716602"/>
      <w:r>
        <w:rPr>
          <w:rFonts w:hint="eastAsia" w:ascii="黑体" w:hAnsi="黑体" w:eastAsia="黑体"/>
          <w:b/>
          <w:bCs/>
          <w:sz w:val="44"/>
          <w:szCs w:val="44"/>
        </w:rPr>
        <w:t>第三章 合同</w:t>
      </w:r>
      <w:r>
        <w:rPr>
          <w:rFonts w:ascii="黑体" w:hAnsi="黑体" w:eastAsia="黑体"/>
          <w:b/>
          <w:bCs/>
          <w:sz w:val="44"/>
          <w:szCs w:val="44"/>
        </w:rPr>
        <w:t>条款及格式</w:t>
      </w:r>
      <w:bookmarkEnd w:id="123"/>
      <w:bookmarkEnd w:id="124"/>
    </w:p>
    <w:p>
      <w:pPr>
        <w:tabs>
          <w:tab w:val="left" w:pos="180"/>
        </w:tabs>
        <w:adjustRightInd w:val="0"/>
        <w:snapToGrid w:val="0"/>
        <w:spacing w:line="360" w:lineRule="auto"/>
        <w:jc w:val="both"/>
        <w:rPr>
          <w:rFonts w:ascii="仿宋" w:hAnsi="仿宋" w:eastAsia="仿宋"/>
          <w:color w:val="000000"/>
          <w:sz w:val="28"/>
          <w:szCs w:val="28"/>
          <w:u w:val="single"/>
        </w:rPr>
      </w:pPr>
      <w:r>
        <w:rPr>
          <w:rFonts w:ascii="宋体" w:hAnsi="宋体" w:eastAsia="宋体"/>
        </w:rPr>
        <w:br w:type="page"/>
      </w:r>
      <w:r>
        <w:rPr>
          <w:rFonts w:ascii="仿宋" w:hAnsi="仿宋" w:eastAsia="仿宋"/>
          <w:color w:val="000000"/>
          <w:sz w:val="28"/>
          <w:szCs w:val="28"/>
          <w:u w:val="single"/>
        </w:rPr>
        <w:t>合同编号</w:t>
      </w:r>
      <w:r>
        <w:rPr>
          <w:rFonts w:hint="eastAsia" w:ascii="仿宋" w:hAnsi="仿宋" w:eastAsia="仿宋"/>
          <w:color w:val="000000"/>
          <w:sz w:val="28"/>
          <w:szCs w:val="28"/>
          <w:u w:val="single"/>
        </w:rPr>
        <w:t>（甲方）</w:t>
      </w:r>
      <w:r>
        <w:rPr>
          <w:rFonts w:ascii="仿宋" w:hAnsi="仿宋" w:eastAsia="仿宋"/>
          <w:color w:val="000000"/>
          <w:sz w:val="28"/>
          <w:szCs w:val="28"/>
          <w:u w:val="single"/>
        </w:rPr>
        <w:t>： ___________________________</w:t>
      </w:r>
    </w:p>
    <w:p>
      <w:pPr>
        <w:tabs>
          <w:tab w:val="left" w:pos="180"/>
        </w:tabs>
        <w:spacing w:line="360" w:lineRule="auto"/>
        <w:rPr>
          <w:rFonts w:ascii="仿宋" w:hAnsi="仿宋" w:eastAsia="仿宋"/>
          <w:color w:val="000000"/>
          <w:sz w:val="28"/>
          <w:szCs w:val="28"/>
          <w:u w:val="single"/>
        </w:rPr>
      </w:pPr>
      <w:r>
        <w:rPr>
          <w:rFonts w:ascii="仿宋" w:hAnsi="仿宋" w:eastAsia="仿宋"/>
          <w:color w:val="000000"/>
          <w:sz w:val="28"/>
          <w:szCs w:val="28"/>
          <w:u w:val="single"/>
        </w:rPr>
        <w:t>合同编号</w:t>
      </w:r>
      <w:r>
        <w:rPr>
          <w:rFonts w:hint="eastAsia" w:ascii="仿宋" w:hAnsi="仿宋" w:eastAsia="仿宋"/>
          <w:color w:val="000000"/>
          <w:sz w:val="28"/>
          <w:szCs w:val="28"/>
          <w:u w:val="single"/>
        </w:rPr>
        <w:t>（乙方）</w:t>
      </w:r>
      <w:r>
        <w:rPr>
          <w:rFonts w:ascii="仿宋" w:hAnsi="仿宋" w:eastAsia="仿宋"/>
          <w:color w:val="000000"/>
          <w:sz w:val="28"/>
          <w:szCs w:val="28"/>
          <w:u w:val="single"/>
        </w:rPr>
        <w:t>： ___________________________</w:t>
      </w:r>
    </w:p>
    <w:p>
      <w:pPr>
        <w:spacing w:line="360" w:lineRule="auto"/>
        <w:jc w:val="center"/>
        <w:rPr>
          <w:rFonts w:ascii="仿宋" w:hAnsi="仿宋" w:eastAsia="仿宋"/>
          <w:b/>
          <w:bCs/>
          <w:color w:val="000000"/>
          <w:sz w:val="52"/>
        </w:rPr>
      </w:pPr>
    </w:p>
    <w:p>
      <w:pPr>
        <w:spacing w:line="360" w:lineRule="auto"/>
        <w:jc w:val="center"/>
        <w:rPr>
          <w:rFonts w:ascii="仿宋" w:hAnsi="仿宋" w:eastAsia="仿宋"/>
          <w:b/>
          <w:bCs/>
          <w:color w:val="000000"/>
          <w:sz w:val="52"/>
        </w:rPr>
      </w:pPr>
    </w:p>
    <w:p>
      <w:pPr>
        <w:spacing w:line="360" w:lineRule="auto"/>
        <w:jc w:val="center"/>
        <w:rPr>
          <w:rFonts w:ascii="仿宋" w:hAnsi="仿宋" w:eastAsia="仿宋"/>
          <w:b/>
          <w:bCs/>
          <w:color w:val="000000"/>
          <w:sz w:val="56"/>
        </w:rPr>
      </w:pPr>
    </w:p>
    <w:p>
      <w:pPr>
        <w:spacing w:line="360" w:lineRule="auto"/>
        <w:jc w:val="center"/>
        <w:rPr>
          <w:rFonts w:ascii="黑体" w:hAnsi="黑体" w:eastAsia="黑体"/>
          <w:b/>
          <w:bCs/>
          <w:color w:val="000000"/>
          <w:sz w:val="48"/>
        </w:rPr>
      </w:pPr>
      <w:r>
        <w:rPr>
          <w:rFonts w:hint="eastAsia" w:ascii="黑体" w:hAnsi="黑体" w:eastAsia="黑体"/>
          <w:b/>
          <w:bCs/>
          <w:color w:val="000000"/>
          <w:sz w:val="48"/>
        </w:rPr>
        <w:t>公司新型电力系统光纤网络规划设计</w:t>
      </w:r>
    </w:p>
    <w:p>
      <w:pPr>
        <w:spacing w:line="360" w:lineRule="auto"/>
        <w:jc w:val="center"/>
        <w:rPr>
          <w:rFonts w:ascii="黑体" w:hAnsi="黑体" w:eastAsia="黑体"/>
          <w:b/>
          <w:bCs/>
          <w:color w:val="000000"/>
          <w:sz w:val="48"/>
        </w:rPr>
      </w:pPr>
      <w:r>
        <w:rPr>
          <w:rFonts w:hint="eastAsia" w:ascii="黑体" w:hAnsi="黑体" w:eastAsia="黑体"/>
          <w:b/>
          <w:bCs/>
          <w:color w:val="000000"/>
          <w:sz w:val="48"/>
        </w:rPr>
        <w:t>技术咨询服务合同</w:t>
      </w:r>
    </w:p>
    <w:p>
      <w:pPr>
        <w:tabs>
          <w:tab w:val="left" w:pos="180"/>
        </w:tabs>
        <w:spacing w:line="360" w:lineRule="auto"/>
        <w:rPr>
          <w:rFonts w:ascii="仿宋" w:hAnsi="仿宋" w:eastAsia="仿宋"/>
          <w:color w:val="000000"/>
          <w:sz w:val="28"/>
        </w:rPr>
      </w:pPr>
    </w:p>
    <w:p>
      <w:pPr>
        <w:tabs>
          <w:tab w:val="left" w:pos="180"/>
        </w:tabs>
        <w:spacing w:line="360" w:lineRule="auto"/>
        <w:rPr>
          <w:rFonts w:ascii="仿宋" w:hAnsi="仿宋" w:eastAsia="仿宋"/>
          <w:color w:val="000000"/>
          <w:sz w:val="28"/>
        </w:rPr>
      </w:pPr>
    </w:p>
    <w:p>
      <w:pPr>
        <w:tabs>
          <w:tab w:val="left" w:pos="180"/>
        </w:tabs>
        <w:spacing w:line="360" w:lineRule="auto"/>
        <w:rPr>
          <w:rFonts w:ascii="仿宋" w:hAnsi="仿宋" w:eastAsia="仿宋"/>
          <w:color w:val="000000"/>
          <w:sz w:val="28"/>
          <w:szCs w:val="28"/>
          <w:u w:val="single"/>
        </w:rPr>
      </w:pPr>
      <w:r>
        <w:rPr>
          <w:rFonts w:hint="eastAsia" w:ascii="仿宋" w:hAnsi="仿宋" w:eastAsia="仿宋"/>
          <w:color w:val="000000"/>
          <w:sz w:val="28"/>
          <w:szCs w:val="28"/>
        </w:rPr>
        <w:t>项目</w:t>
      </w:r>
      <w:r>
        <w:rPr>
          <w:rFonts w:ascii="仿宋" w:hAnsi="仿宋" w:eastAsia="仿宋"/>
          <w:color w:val="000000"/>
          <w:sz w:val="28"/>
          <w:szCs w:val="28"/>
        </w:rPr>
        <w:t>名称</w:t>
      </w:r>
      <w:r>
        <w:rPr>
          <w:rFonts w:hint="eastAsia" w:ascii="仿宋" w:hAnsi="仿宋" w:eastAsia="仿宋"/>
          <w:color w:val="000000"/>
          <w:sz w:val="28"/>
          <w:szCs w:val="28"/>
        </w:rPr>
        <w:t>：</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公司新型电力系统光纤网络规划</w:t>
      </w:r>
      <w:r>
        <w:rPr>
          <w:rFonts w:ascii="仿宋" w:hAnsi="仿宋" w:eastAsia="仿宋"/>
          <w:color w:val="000000"/>
          <w:sz w:val="28"/>
          <w:szCs w:val="28"/>
          <w:u w:val="single"/>
        </w:rPr>
        <w:t>设计</w:t>
      </w:r>
      <w:r>
        <w:rPr>
          <w:rFonts w:hint="eastAsia" w:ascii="仿宋" w:hAnsi="仿宋" w:eastAsia="仿宋"/>
          <w:color w:val="000000"/>
          <w:sz w:val="28"/>
          <w:szCs w:val="28"/>
          <w:u w:val="single"/>
        </w:rPr>
        <w:t xml:space="preserve">项目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p>
    <w:p>
      <w:pPr>
        <w:tabs>
          <w:tab w:val="left" w:pos="180"/>
        </w:tabs>
        <w:spacing w:line="360" w:lineRule="auto"/>
        <w:rPr>
          <w:rFonts w:ascii="仿宋" w:hAnsi="仿宋" w:eastAsia="仿宋"/>
          <w:color w:val="000000"/>
          <w:sz w:val="28"/>
          <w:szCs w:val="28"/>
          <w:u w:val="single"/>
        </w:rPr>
      </w:pPr>
      <w:r>
        <w:rPr>
          <w:rFonts w:hint="eastAsia" w:ascii="仿宋" w:hAnsi="仿宋" w:eastAsia="仿宋"/>
          <w:color w:val="000000"/>
          <w:sz w:val="28"/>
          <w:szCs w:val="28"/>
        </w:rPr>
        <w:t>项目类型：</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设计咨询类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p>
    <w:p>
      <w:pPr>
        <w:tabs>
          <w:tab w:val="left" w:pos="180"/>
        </w:tabs>
        <w:spacing w:line="360" w:lineRule="auto"/>
        <w:rPr>
          <w:rFonts w:ascii="仿宋" w:hAnsi="仿宋" w:eastAsia="仿宋"/>
          <w:color w:val="000000"/>
          <w:sz w:val="28"/>
          <w:szCs w:val="28"/>
          <w:u w:val="single"/>
        </w:rPr>
      </w:pPr>
      <w:r>
        <w:rPr>
          <w:rFonts w:ascii="仿宋" w:hAnsi="仿宋" w:eastAsia="仿宋"/>
          <w:color w:val="000000"/>
          <w:sz w:val="28"/>
          <w:szCs w:val="28"/>
        </w:rPr>
        <w:t>委</w:t>
      </w:r>
      <w:r>
        <w:rPr>
          <w:rFonts w:ascii="Calibri" w:hAnsi="Calibri" w:eastAsia="仿宋" w:cs="Calibri"/>
          <w:color w:val="000000"/>
          <w:sz w:val="28"/>
          <w:szCs w:val="28"/>
        </w:rPr>
        <w:t> </w:t>
      </w:r>
      <w:r>
        <w:rPr>
          <w:rFonts w:ascii="仿宋" w:hAnsi="仿宋" w:eastAsia="仿宋"/>
          <w:color w:val="000000"/>
          <w:sz w:val="28"/>
          <w:szCs w:val="28"/>
        </w:rPr>
        <w:t>托</w:t>
      </w:r>
      <w:r>
        <w:rPr>
          <w:rFonts w:ascii="Calibri" w:hAnsi="Calibri" w:eastAsia="仿宋" w:cs="Calibri"/>
          <w:color w:val="000000"/>
          <w:sz w:val="28"/>
          <w:szCs w:val="28"/>
        </w:rPr>
        <w:t> </w:t>
      </w:r>
      <w:r>
        <w:rPr>
          <w:rFonts w:ascii="仿宋" w:hAnsi="仿宋" w:eastAsia="仿宋"/>
          <w:color w:val="000000"/>
          <w:sz w:val="28"/>
          <w:szCs w:val="28"/>
        </w:rPr>
        <w:t>方</w:t>
      </w: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深圳招商供电有限公司</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p>
    <w:p>
      <w:pPr>
        <w:tabs>
          <w:tab w:val="left" w:pos="180"/>
        </w:tabs>
        <w:spacing w:line="360" w:lineRule="auto"/>
        <w:rPr>
          <w:rFonts w:ascii="仿宋" w:hAnsi="仿宋" w:eastAsia="仿宋"/>
          <w:color w:val="000000"/>
          <w:sz w:val="28"/>
          <w:szCs w:val="28"/>
          <w:u w:val="single"/>
        </w:rPr>
      </w:pPr>
      <w:r>
        <w:rPr>
          <w:rFonts w:hint="eastAsia" w:ascii="仿宋" w:hAnsi="仿宋" w:eastAsia="仿宋"/>
          <w:color w:val="000000"/>
          <w:sz w:val="28"/>
          <w:szCs w:val="28"/>
        </w:rPr>
        <w:t>承</w:t>
      </w:r>
      <w:r>
        <w:rPr>
          <w:rFonts w:ascii="Calibri" w:hAnsi="Calibri" w:eastAsia="仿宋" w:cs="Calibri"/>
          <w:color w:val="000000"/>
          <w:sz w:val="28"/>
          <w:szCs w:val="28"/>
        </w:rPr>
        <w:t> </w:t>
      </w:r>
      <w:r>
        <w:rPr>
          <w:rFonts w:hint="eastAsia" w:ascii="仿宋" w:hAnsi="仿宋" w:eastAsia="仿宋"/>
          <w:color w:val="000000"/>
          <w:sz w:val="28"/>
          <w:szCs w:val="28"/>
        </w:rPr>
        <w:t>接</w:t>
      </w:r>
      <w:r>
        <w:rPr>
          <w:rFonts w:ascii="Calibri" w:hAnsi="Calibri" w:eastAsia="仿宋" w:cs="Calibri"/>
          <w:color w:val="000000"/>
          <w:sz w:val="28"/>
          <w:szCs w:val="28"/>
        </w:rPr>
        <w:t> </w:t>
      </w:r>
      <w:r>
        <w:rPr>
          <w:rFonts w:ascii="仿宋" w:hAnsi="仿宋" w:eastAsia="仿宋"/>
          <w:color w:val="000000"/>
          <w:sz w:val="28"/>
          <w:szCs w:val="28"/>
        </w:rPr>
        <w:t>方</w:t>
      </w:r>
      <w:r>
        <w:rPr>
          <w:rFonts w:hint="eastAsia" w:ascii="仿宋" w:hAnsi="仿宋" w:eastAsia="仿宋"/>
          <w:color w:val="000000"/>
          <w:sz w:val="28"/>
          <w:szCs w:val="28"/>
        </w:rPr>
        <w:t>（乙方）：</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p>
    <w:p>
      <w:pPr>
        <w:tabs>
          <w:tab w:val="left" w:pos="180"/>
        </w:tabs>
        <w:spacing w:line="360" w:lineRule="auto"/>
        <w:rPr>
          <w:rFonts w:ascii="仿宋" w:hAnsi="仿宋" w:eastAsia="仿宋"/>
          <w:color w:val="000000"/>
          <w:sz w:val="28"/>
          <w:szCs w:val="28"/>
          <w:u w:val="single"/>
        </w:rPr>
      </w:pPr>
      <w:r>
        <w:rPr>
          <w:rFonts w:hint="eastAsia" w:ascii="仿宋" w:hAnsi="仿宋" w:eastAsia="仿宋"/>
          <w:color w:val="000000"/>
          <w:sz w:val="28"/>
          <w:szCs w:val="28"/>
        </w:rPr>
        <w:t xml:space="preserve">签订时间：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2026</w:t>
      </w:r>
      <w:r>
        <w:rPr>
          <w:rFonts w:hint="eastAsia" w:ascii="仿宋" w:hAnsi="仿宋" w:eastAsia="仿宋"/>
          <w:color w:val="000000"/>
          <w:sz w:val="28"/>
          <w:szCs w:val="28"/>
          <w:u w:val="single"/>
        </w:rPr>
        <w:t>年</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月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日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p>
    <w:p>
      <w:pPr>
        <w:tabs>
          <w:tab w:val="left" w:pos="180"/>
        </w:tabs>
        <w:spacing w:line="360" w:lineRule="auto"/>
        <w:rPr>
          <w:rFonts w:ascii="仿宋" w:hAnsi="仿宋" w:eastAsia="仿宋"/>
          <w:color w:val="000000"/>
          <w:sz w:val="28"/>
          <w:szCs w:val="28"/>
          <w:u w:val="single"/>
        </w:rPr>
      </w:pPr>
      <w:r>
        <w:rPr>
          <w:rFonts w:hint="eastAsia" w:ascii="仿宋" w:hAnsi="仿宋" w:eastAsia="仿宋"/>
          <w:color w:val="000000"/>
          <w:sz w:val="28"/>
          <w:szCs w:val="28"/>
        </w:rPr>
        <w:t xml:space="preserve">签订地点：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深圳市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p>
    <w:p>
      <w:pPr>
        <w:tabs>
          <w:tab w:val="left" w:pos="180"/>
        </w:tabs>
        <w:spacing w:line="360" w:lineRule="auto"/>
        <w:rPr>
          <w:rFonts w:ascii="仿宋" w:hAnsi="仿宋" w:eastAsia="仿宋"/>
          <w:color w:val="000000"/>
          <w:sz w:val="28"/>
          <w:szCs w:val="28"/>
          <w:u w:val="single"/>
        </w:rPr>
      </w:pPr>
    </w:p>
    <w:p>
      <w:pPr>
        <w:tabs>
          <w:tab w:val="left" w:pos="180"/>
        </w:tabs>
        <w:spacing w:line="360" w:lineRule="auto"/>
        <w:rPr>
          <w:rFonts w:ascii="仿宋" w:hAnsi="仿宋" w:eastAsia="仿宋"/>
          <w:color w:val="000000"/>
          <w:sz w:val="28"/>
          <w:szCs w:val="28"/>
          <w:u w:val="single"/>
        </w:rPr>
      </w:pPr>
    </w:p>
    <w:p>
      <w:pPr>
        <w:tabs>
          <w:tab w:val="left" w:pos="180"/>
        </w:tabs>
        <w:spacing w:line="360" w:lineRule="auto"/>
        <w:rPr>
          <w:rFonts w:ascii="仿宋" w:hAnsi="仿宋" w:eastAsia="仿宋"/>
          <w:color w:val="000000"/>
          <w:sz w:val="28"/>
          <w:szCs w:val="28"/>
          <w:u w:val="single"/>
        </w:rPr>
      </w:pPr>
    </w:p>
    <w:p>
      <w:pPr>
        <w:tabs>
          <w:tab w:val="left" w:pos="180"/>
        </w:tabs>
        <w:spacing w:line="360" w:lineRule="auto"/>
        <w:rPr>
          <w:rFonts w:ascii="仿宋" w:hAnsi="仿宋" w:eastAsia="仿宋"/>
          <w:color w:val="000000"/>
          <w:sz w:val="28"/>
          <w:szCs w:val="28"/>
          <w:u w:val="single"/>
        </w:rPr>
      </w:pPr>
    </w:p>
    <w:p>
      <w:pPr>
        <w:tabs>
          <w:tab w:val="left" w:pos="180"/>
        </w:tabs>
        <w:spacing w:line="360" w:lineRule="auto"/>
        <w:rPr>
          <w:rFonts w:ascii="仿宋" w:hAnsi="仿宋" w:eastAsia="仿宋"/>
          <w:color w:val="000000"/>
          <w:sz w:val="28"/>
          <w:szCs w:val="28"/>
          <w:u w:val="single"/>
        </w:rPr>
      </w:pPr>
    </w:p>
    <w:p>
      <w:pPr>
        <w:tabs>
          <w:tab w:val="left" w:pos="180"/>
        </w:tabs>
        <w:spacing w:line="360" w:lineRule="auto"/>
        <w:rPr>
          <w:rFonts w:ascii="仿宋" w:hAnsi="仿宋" w:eastAsia="仿宋"/>
          <w:color w:val="000000"/>
          <w:sz w:val="28"/>
          <w:szCs w:val="28"/>
          <w:u w:val="single"/>
        </w:rPr>
      </w:pPr>
    </w:p>
    <w:p>
      <w:pPr>
        <w:spacing w:line="360" w:lineRule="auto"/>
        <w:ind w:firstLine="560" w:firstLineChars="200"/>
        <w:rPr>
          <w:rFonts w:ascii="仿宋" w:hAnsi="仿宋" w:eastAsia="仿宋"/>
          <w:sz w:val="28"/>
          <w:szCs w:val="28"/>
        </w:rPr>
      </w:pPr>
      <w:r>
        <w:rPr>
          <w:rFonts w:hint="eastAsia" w:ascii="仿宋" w:hAnsi="仿宋" w:eastAsia="仿宋"/>
          <w:sz w:val="28"/>
          <w:szCs w:val="28"/>
        </w:rPr>
        <w:t>甲方委托乙方就【公司新型电力系统光纤网络规划设计】项目提供技术咨询，并支付技术咨询报酬，乙方接受委托提供此项技术咨询工作。根据《中华人民共和国合同法》及相关法律法规的规定，双方经过平等协商，达成如下合同条款，共同遵守。</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第一条 项目名称：【公司新型电力系统光纤网络规划设计】。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第二条 咨询的内容、形式和要求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一、乙方就本项目向甲方提供咨询成果，其工作内容包括：</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1、根据项目范围进行调研勘察；</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2、根据项目需求完成规划设计方案编制；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3、协助甲方组织专家对设计成果进行评审；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4、附件一：采购需求中约定的其他交付成果。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二、乙方向甲方提供的咨询成果应达到如下要求：【成果通过甲方组织的专家评审】。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三、技术咨询工作完成时间：合同签订后</w:t>
      </w:r>
      <w:r>
        <w:rPr>
          <w:rFonts w:ascii="仿宋" w:hAnsi="仿宋" w:eastAsia="仿宋"/>
          <w:sz w:val="28"/>
          <w:szCs w:val="28"/>
        </w:rPr>
        <w:t>120</w:t>
      </w:r>
      <w:r>
        <w:rPr>
          <w:rFonts w:hint="eastAsia" w:ascii="仿宋" w:hAnsi="仿宋" w:eastAsia="仿宋"/>
          <w:sz w:val="28"/>
          <w:szCs w:val="28"/>
        </w:rPr>
        <w:t>天内。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第三条 技术咨询人员组成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乙方指派技术人员【</w:t>
      </w:r>
      <w:r>
        <w:rPr>
          <w:rFonts w:ascii="仿宋" w:hAnsi="仿宋" w:eastAsia="仿宋"/>
          <w:sz w:val="28"/>
          <w:szCs w:val="28"/>
        </w:rPr>
        <w:t xml:space="preserve">  </w:t>
      </w:r>
      <w:r>
        <w:rPr>
          <w:rFonts w:hint="eastAsia" w:ascii="仿宋" w:hAnsi="仿宋" w:eastAsia="仿宋"/>
          <w:sz w:val="28"/>
          <w:szCs w:val="28"/>
        </w:rPr>
        <w:t>】组成技术咨询团队，同时指派【</w:t>
      </w:r>
      <w:r>
        <w:rPr>
          <w:rFonts w:ascii="仿宋" w:hAnsi="仿宋" w:eastAsia="仿宋"/>
          <w:sz w:val="28"/>
          <w:szCs w:val="28"/>
        </w:rPr>
        <w:t xml:space="preserve">  </w:t>
      </w:r>
      <w:r>
        <w:rPr>
          <w:rFonts w:hint="eastAsia" w:ascii="仿宋" w:hAnsi="仿宋" w:eastAsia="仿宋"/>
          <w:sz w:val="28"/>
          <w:szCs w:val="28"/>
        </w:rPr>
        <w:t>】作为本项目的负责人。未经甲方同意，乙方不得随意更换技术咨询人员，如需更换项目负责人，乙方应提前</w:t>
      </w:r>
      <w:r>
        <w:rPr>
          <w:rFonts w:ascii="仿宋" w:hAnsi="仿宋" w:eastAsia="仿宋"/>
          <w:sz w:val="28"/>
          <w:szCs w:val="28"/>
          <w:u w:val="single"/>
        </w:rPr>
        <w:t>15</w:t>
      </w:r>
      <w:r>
        <w:rPr>
          <w:rFonts w:hint="eastAsia" w:ascii="仿宋" w:hAnsi="仿宋" w:eastAsia="仿宋"/>
          <w:sz w:val="28"/>
          <w:szCs w:val="28"/>
        </w:rPr>
        <w:t>天书面告知甲方。如果甲方认为乙方指派的技术咨询人员不能胜任的，乙方应当及时更换。乙方指派的项目负责人和技术咨询人员应实际参与本合同的技术咨询工作。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第四条 技术咨询计划书</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乙方应在本合同生效后【10】日内向甲方提交技术咨询计划书。技术咨询计划书应包括以下主要内容：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1、咨询内容。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2、技术咨询人员安排。</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3、时间进度安排。</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4、其他：【/】。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技术咨询计划书经甲方同意后，作为本合同附件。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第五条 履行期限和方式</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一、本合同履行期限为【20</w:t>
      </w:r>
      <w:r>
        <w:rPr>
          <w:rFonts w:ascii="仿宋" w:hAnsi="仿宋" w:eastAsia="仿宋"/>
          <w:sz w:val="28"/>
          <w:szCs w:val="28"/>
        </w:rPr>
        <w:t>26</w:t>
      </w:r>
      <w:r>
        <w:rPr>
          <w:rFonts w:hint="eastAsia" w:ascii="仿宋" w:hAnsi="仿宋" w:eastAsia="仿宋"/>
          <w:sz w:val="28"/>
          <w:szCs w:val="28"/>
        </w:rPr>
        <w:t>】年【</w:t>
      </w:r>
      <w:r>
        <w:rPr>
          <w:rFonts w:ascii="仿宋" w:hAnsi="仿宋" w:eastAsia="仿宋"/>
          <w:sz w:val="28"/>
          <w:szCs w:val="28"/>
        </w:rPr>
        <w:t>8</w:t>
      </w:r>
      <w:r>
        <w:rPr>
          <w:rFonts w:hint="eastAsia" w:ascii="仿宋" w:hAnsi="仿宋" w:eastAsia="仿宋"/>
          <w:sz w:val="28"/>
          <w:szCs w:val="28"/>
        </w:rPr>
        <w:t>】月【</w:t>
      </w:r>
      <w:r>
        <w:rPr>
          <w:rFonts w:ascii="仿宋" w:hAnsi="仿宋" w:eastAsia="仿宋"/>
          <w:sz w:val="28"/>
          <w:szCs w:val="28"/>
        </w:rPr>
        <w:t>1</w:t>
      </w:r>
      <w:r>
        <w:rPr>
          <w:rFonts w:hint="eastAsia" w:ascii="仿宋" w:hAnsi="仿宋" w:eastAsia="仿宋"/>
          <w:sz w:val="28"/>
          <w:szCs w:val="28"/>
        </w:rPr>
        <w:t>】日起至【20</w:t>
      </w:r>
      <w:r>
        <w:rPr>
          <w:rFonts w:ascii="仿宋" w:hAnsi="仿宋" w:eastAsia="仿宋"/>
          <w:sz w:val="28"/>
          <w:szCs w:val="28"/>
        </w:rPr>
        <w:t>26</w:t>
      </w:r>
      <w:r>
        <w:rPr>
          <w:rFonts w:hint="eastAsia" w:ascii="仿宋" w:hAnsi="仿宋" w:eastAsia="仿宋"/>
          <w:sz w:val="28"/>
          <w:szCs w:val="28"/>
        </w:rPr>
        <w:t>】年【</w:t>
      </w:r>
      <w:r>
        <w:rPr>
          <w:rFonts w:ascii="仿宋" w:hAnsi="仿宋" w:eastAsia="仿宋"/>
          <w:sz w:val="28"/>
          <w:szCs w:val="28"/>
        </w:rPr>
        <w:t>11</w:t>
      </w:r>
      <w:r>
        <w:rPr>
          <w:rFonts w:hint="eastAsia" w:ascii="仿宋" w:hAnsi="仿宋" w:eastAsia="仿宋"/>
          <w:sz w:val="28"/>
          <w:szCs w:val="28"/>
        </w:rPr>
        <w:t>】月【</w:t>
      </w:r>
      <w:r>
        <w:rPr>
          <w:rFonts w:ascii="仿宋" w:hAnsi="仿宋" w:eastAsia="仿宋"/>
          <w:sz w:val="28"/>
          <w:szCs w:val="28"/>
        </w:rPr>
        <w:t>30</w:t>
      </w:r>
      <w:r>
        <w:rPr>
          <w:rFonts w:hint="eastAsia" w:ascii="仿宋" w:hAnsi="仿宋" w:eastAsia="仿宋"/>
          <w:sz w:val="28"/>
          <w:szCs w:val="28"/>
        </w:rPr>
        <w:t>】日止。</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二、合同签订后，乙方开展咨询工作之前，应就咨询事项与甲方进行沟通，提供咨询工作的建议。</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三、在技术咨询过程中如出现任何可能影响咨询服务的事项，乙方应向甲方书面报告。</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四、乙方在撰写咨询成果之前，应与甲方就拟起草咨询成果的内容进行沟通。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第六条 咨询成果的交付</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一、咨询成果应达到如下要求：【包括但不限于以下内容：</w:t>
      </w:r>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规划设计范围应满足《深圳前海蛇口“十五五”智能配电网规划》对通信网络建设的要求，包括目前营业区域已投产10kV/20kV配电房通信节点230个，110kV/220kV变电站通信节点6个，以及十五五期间预计新增10kV/20kV配电房通信节点130个，110kV/220kV变电站通信节点5个，共涵盖接入层交换机1800台，骨干层交换机60台；</w:t>
      </w:r>
    </w:p>
    <w:p>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规划设计界面为公司负责管理运维的所有光纤通信节点，对象设备涵盖接入层交换机、骨干层交换机、接入层光纤、骨干层光纤、配套光纤配线架及光纤收发器等光传输设备，不包括交换机电口以下网关及传感器等接入设备；</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3、附件一：采购需求中规定的其他技术要求。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二、交付的形式及数量：包括但不限于以下内容：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（一）项目相关报告：</w:t>
      </w:r>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、《深圳前海蛇口自贸区供电有限公司电力通信光纤网络五年规划》文本（纸质盖章版4份，电子版PDF+可编辑Word版各1套）；</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2、项目投资估算书、技术规范书等配套文件；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3、成果汇报PPT、评审修改说明等相关资料。</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三、交付的时间及地点：【20</w:t>
      </w:r>
      <w:r>
        <w:rPr>
          <w:rFonts w:ascii="仿宋" w:hAnsi="仿宋" w:eastAsia="仿宋"/>
          <w:sz w:val="28"/>
          <w:szCs w:val="28"/>
        </w:rPr>
        <w:t>26</w:t>
      </w:r>
      <w:r>
        <w:rPr>
          <w:rFonts w:hint="eastAsia" w:ascii="仿宋" w:hAnsi="仿宋" w:eastAsia="仿宋"/>
          <w:sz w:val="28"/>
          <w:szCs w:val="28"/>
        </w:rPr>
        <w:t>年</w:t>
      </w:r>
      <w:r>
        <w:rPr>
          <w:rFonts w:ascii="仿宋" w:hAnsi="仿宋" w:eastAsia="仿宋"/>
          <w:sz w:val="28"/>
          <w:szCs w:val="28"/>
        </w:rPr>
        <w:t>11</w:t>
      </w:r>
      <w:r>
        <w:rPr>
          <w:rFonts w:hint="eastAsia" w:ascii="仿宋" w:hAnsi="仿宋" w:eastAsia="仿宋"/>
          <w:sz w:val="28"/>
          <w:szCs w:val="28"/>
        </w:rPr>
        <w:t>月</w:t>
      </w:r>
      <w:r>
        <w:rPr>
          <w:rFonts w:ascii="仿宋" w:hAnsi="仿宋" w:eastAsia="仿宋"/>
          <w:sz w:val="28"/>
          <w:szCs w:val="28"/>
        </w:rPr>
        <w:t>30</w:t>
      </w:r>
      <w:r>
        <w:rPr>
          <w:rFonts w:hint="eastAsia" w:ascii="仿宋" w:hAnsi="仿宋" w:eastAsia="仿宋"/>
          <w:sz w:val="28"/>
          <w:szCs w:val="28"/>
        </w:rPr>
        <w:t>日前完成上述资料交付，交付地点：深圳】。</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四、乙方应当按照本合同约定的时间提交咨询成果。乙方提交的咨询成果不符合本合同要求的，乙方应进行修改、完善，并在合同约定的履行期限内完成。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第七条 技术资料</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一、乙方提出所需技术背景材料、技术资料及数据清单，甲方审核确认后提供。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二、乙方根据需要，可要求甲方补充必要的技术背景材料、技术资料及数据，甲方审核确认后提供。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三、双方联系人应在确认的资料移交清单上签字，清单应注明移交时间和方式。</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四、乙方对于甲方提供的技术背景材料、技术资料、数据应当妥善保管，并只能用于本合同项下的技术研发工作。本合同履行完毕后，乙方应当将上述技术背景材料、技术资料、数据全部退还给甲方，并不得以复制、扫描等任何方式保存甲方的资料信息。</w:t>
      </w:r>
    </w:p>
    <w:p>
      <w:pPr>
        <w:spacing w:line="360" w:lineRule="auto"/>
        <w:rPr>
          <w:rFonts w:ascii="仿宋" w:hAnsi="仿宋" w:eastAsia="仿宋"/>
          <w:sz w:val="28"/>
          <w:szCs w:val="28"/>
        </w:rPr>
      </w:pPr>
      <w:r>
        <w:rPr>
          <w:rFonts w:hint="eastAsia" w:ascii="仿宋" w:hAnsi="仿宋" w:eastAsia="仿宋"/>
          <w:sz w:val="28"/>
          <w:szCs w:val="28"/>
        </w:rPr>
        <w:t>第八条 甲方协作事项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一、调研：【联系调研单位并负责发函】。</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二、办公条件：【/】。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三、其他：【/】。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第九条 验收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乙方提交咨询成果时应当同时提出书面的验收申请，甲方按照本条的约定进行验收。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一、甲方应当在接到乙方书面验收申请后【30】天内组织验收。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二、验收标准：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1、按照附件1：采购需求约定的技术咨询要求；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2、其他：【/】。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三、验收费用的承担：【由甲方承担】。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四、验收后的处理：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1、验收通过，甲方应出具验收合格的书面意见给乙方。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验收未通过，甲方应出具验收不合格的书面意见给乙方。乙方应当在【15】天内根据甲方的验收意见对咨询成果进行修改和完善，并再次向甲方申请组织验收，若第二次验收仍未通过的，甲方有权解除本合同，乙方应当按照本合同的约定承担违约责任。</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五、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第十条 售后服务及质保</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一、本项目质保期为咨询项目通过甲方组织的专家验收合格之日起【</w:t>
      </w:r>
      <w:r>
        <w:rPr>
          <w:rFonts w:ascii="仿宋" w:hAnsi="仿宋" w:eastAsia="仿宋"/>
          <w:sz w:val="28"/>
          <w:szCs w:val="28"/>
        </w:rPr>
        <w:t>1</w:t>
      </w:r>
      <w:r>
        <w:rPr>
          <w:rFonts w:hint="eastAsia" w:ascii="仿宋" w:hAnsi="仿宋" w:eastAsia="仿宋"/>
          <w:sz w:val="28"/>
          <w:szCs w:val="28"/>
        </w:rPr>
        <w:t>】年。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二、质保期内服务要求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1、7×24小时热线电话技术支持；7×24小时电子邮件技术支持；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2、5×8小时日常远程技术支持；7×24小时应急远程技术支持服务；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3、根据甲方项目需要提供现场技术支持服务，并在48小时内到位。</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相关系统因参考规划内容而出现的故障缺陷2小时内响应，紧急故障当天解决。相关系统出现不稳定情况24小时内协助提交分析报告并积极与甲方沟通，3个工作日内完成整改。其他暂不影响用户使用的故障，乙方应在与甲方商定的时间内修复。</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三、乙方提供的规划需具有广泛的适用性，应保证现有系统软硬件能普遍适用。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第十一条 技术咨询报酬及支付方式</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一、甲方向乙方支付的技术咨询报酬总额为：人民币【</w:t>
      </w:r>
      <w:r>
        <w:rPr>
          <w:rFonts w:ascii="仿宋" w:hAnsi="仿宋" w:eastAsia="仿宋"/>
          <w:sz w:val="28"/>
          <w:szCs w:val="28"/>
        </w:rPr>
        <w:t xml:space="preserve">    </w:t>
      </w:r>
      <w:r>
        <w:rPr>
          <w:rFonts w:hint="eastAsia" w:ascii="仿宋" w:hAnsi="仿宋" w:eastAsia="仿宋"/>
          <w:sz w:val="28"/>
          <w:szCs w:val="28"/>
        </w:rPr>
        <w:t xml:space="preserve">】元，小写 </w:t>
      </w:r>
      <w:r>
        <w:rPr>
          <w:rFonts w:ascii="Calibri" w:hAnsi="Calibri" w:eastAsia="仿宋" w:cs="Calibri"/>
          <w:sz w:val="28"/>
          <w:szCs w:val="28"/>
        </w:rPr>
        <w:t>¥</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】元。增值税税率为【</w:t>
      </w:r>
      <w:r>
        <w:rPr>
          <w:rFonts w:ascii="仿宋" w:hAnsi="仿宋" w:eastAsia="仿宋"/>
          <w:sz w:val="28"/>
          <w:szCs w:val="28"/>
        </w:rPr>
        <w:t xml:space="preserve">    </w:t>
      </w:r>
      <w:r>
        <w:rPr>
          <w:rFonts w:hint="eastAsia" w:ascii="仿宋" w:hAnsi="仿宋" w:eastAsia="仿宋"/>
          <w:sz w:val="28"/>
          <w:szCs w:val="28"/>
        </w:rPr>
        <w:t>】%，不含税金额为</w:t>
      </w:r>
      <w:r>
        <w:rPr>
          <w:rFonts w:ascii="Calibri" w:hAnsi="Calibri" w:eastAsia="仿宋" w:cs="Calibri"/>
          <w:sz w:val="28"/>
          <w:szCs w:val="28"/>
        </w:rPr>
        <w:t>¥</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】元。。该金额已包括乙方完成咨询工作所需的全部费用和报酬。</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二、技术咨询报酬由甲方【分期】（一次/分期）支付乙方，具体支付条件和时间为：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1、乙方提交的规划成果通过甲方组织的专家评审验收后，甲方支付技术咨询报酬总额的9</w:t>
      </w:r>
      <w:r>
        <w:rPr>
          <w:rFonts w:ascii="仿宋" w:hAnsi="仿宋" w:eastAsia="仿宋"/>
          <w:sz w:val="28"/>
          <w:szCs w:val="28"/>
        </w:rPr>
        <w:t>5</w:t>
      </w:r>
      <w:r>
        <w:rPr>
          <w:rFonts w:hint="eastAsia" w:ascii="仿宋" w:hAnsi="仿宋" w:eastAsia="仿宋"/>
          <w:sz w:val="28"/>
          <w:szCs w:val="28"/>
        </w:rPr>
        <w:t>%，即人民币【</w:t>
      </w:r>
      <w:r>
        <w:rPr>
          <w:rFonts w:ascii="仿宋" w:hAnsi="仿宋" w:eastAsia="仿宋"/>
          <w:sz w:val="28"/>
          <w:szCs w:val="28"/>
        </w:rPr>
        <w:t xml:space="preserve">    </w:t>
      </w:r>
      <w:r>
        <w:rPr>
          <w:rFonts w:hint="eastAsia" w:ascii="仿宋" w:hAnsi="仿宋" w:eastAsia="仿宋"/>
          <w:sz w:val="28"/>
          <w:szCs w:val="28"/>
        </w:rPr>
        <w:t>】元（小写：【</w:t>
      </w:r>
      <w:r>
        <w:rPr>
          <w:rFonts w:ascii="仿宋" w:hAnsi="仿宋" w:eastAsia="仿宋"/>
          <w:sz w:val="28"/>
          <w:szCs w:val="28"/>
        </w:rPr>
        <w:t xml:space="preserve">    </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2、甲方预留合同总价款的</w:t>
      </w:r>
      <w:r>
        <w:rPr>
          <w:rFonts w:ascii="仿宋" w:hAnsi="仿宋" w:eastAsia="仿宋"/>
          <w:sz w:val="28"/>
          <w:szCs w:val="28"/>
        </w:rPr>
        <w:t>5</w:t>
      </w:r>
      <w:r>
        <w:rPr>
          <w:rFonts w:hint="eastAsia" w:ascii="仿宋" w:hAnsi="仿宋" w:eastAsia="仿宋"/>
          <w:sz w:val="28"/>
          <w:szCs w:val="28"/>
        </w:rPr>
        <w:t>%，即人民币【</w:t>
      </w:r>
      <w:r>
        <w:rPr>
          <w:rFonts w:ascii="仿宋" w:hAnsi="仿宋" w:eastAsia="仿宋"/>
          <w:sz w:val="28"/>
          <w:szCs w:val="28"/>
        </w:rPr>
        <w:t xml:space="preserve">    </w:t>
      </w:r>
      <w:r>
        <w:rPr>
          <w:rFonts w:hint="eastAsia" w:ascii="仿宋" w:hAnsi="仿宋" w:eastAsia="仿宋"/>
          <w:sz w:val="28"/>
          <w:szCs w:val="28"/>
        </w:rPr>
        <w:t>】元（小写：【</w:t>
      </w:r>
      <w:r>
        <w:rPr>
          <w:rFonts w:ascii="仿宋" w:hAnsi="仿宋" w:eastAsia="仿宋"/>
          <w:sz w:val="28"/>
          <w:szCs w:val="28"/>
        </w:rPr>
        <w:t xml:space="preserve">    </w:t>
      </w:r>
      <w:r>
        <w:rPr>
          <w:rFonts w:hint="eastAsia" w:ascii="仿宋" w:hAnsi="仿宋" w:eastAsia="仿宋"/>
          <w:sz w:val="28"/>
          <w:szCs w:val="28"/>
        </w:rPr>
        <w:t>】）作为质量保证金。如乙方在质保期间没有任何违约行为，甲方在质保期限届满后30 天内支付质保金。</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甲方付款之前，乙方应提供相同金额的正式增值税专用发票。甲方于达到合同付款条件并取得乙方付费申请及发票等有效付款凭证后一个月内向乙方支付相应的价款和报酬；因乙方未及时申请付费，或乙方未开具发票或开具的发票不符合规定导致甲方迟延支付的，损失由乙方承担，甲方不负违约责任和损害赔偿责任。</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第十二条 知识产权事项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双方约定，因履行本合同所形成的技术及其相关知识产权归属甲方享有，乙方未经甲方同意不得使用或处分。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乙方完成技术咨询的技术人员享有在咨询成果文件上写明自己是完成者和取得有关荣誉证书、奖励的权利。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甲方需就咨询成果进行著作权备案或申请专利的，乙方应予协助。</w:t>
      </w:r>
    </w:p>
    <w:p>
      <w:pPr>
        <w:spacing w:line="360" w:lineRule="auto"/>
        <w:rPr>
          <w:rFonts w:ascii="仿宋" w:hAnsi="仿宋" w:eastAsia="仿宋"/>
          <w:sz w:val="28"/>
          <w:szCs w:val="28"/>
        </w:rPr>
      </w:pPr>
      <w:r>
        <w:rPr>
          <w:rFonts w:hint="eastAsia" w:ascii="仿宋" w:hAnsi="仿宋" w:eastAsia="仿宋"/>
          <w:sz w:val="28"/>
          <w:szCs w:val="28"/>
        </w:rPr>
        <w:t>如果乙方有特殊要求的，甲乙双方另行协商确定。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第十三条 甲方的权利义务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一、甲方有权对乙方开展的咨询工作情况进行检查监督。</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二、甲方协助乙方开展技术咨询工作，及时向乙方提供有关资料数据，并及时解决乙方提出的需要甲方配合的相关事宜。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三、甲方应按合同约定及时、足额向乙方支付技术咨询报酬。</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四、甲方应按合同约定及时对乙方提交的咨询成果进行验收。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五、其他：【/】。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第十四条 乙方的权利义务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一、乙方有权要求甲方按约支付技术咨询报酬，甲方拒不支付时，乙方有权中止技术咨询工作。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二、乙方应在本合同规定的时间内完成委托事项，向甲方提交咨询成果。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三、乙方保证其所提供技术咨询不侵犯任何第三方的合法权益，如第三方因乙方的技术咨询工作向甲方主张权利，由此产生的一切法律后果由乙方承担。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四、乙方应指派一名以上经验丰富的技术人员针对性的对甲方人员进行培训，并确保其对规划设计内容使用熟练。</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五、其他：【/】。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第十五条 合同的变更和解除</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一、在本合同履行过程中，经甲乙双方协商一致，可以对本合同的条款进行变更，不能就变更达成一致意见的，应当按照原合同条款执行。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二、本合同乙方发生以下情形之一的，甲方有权解除本合同：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1、乙方丧失履约能力或明确表示不能为甲方提供技术咨询服务的。</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2、乙方未按本合同的约定提交技术咨询计划书超过【15】天。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3、若乙方指派的负责人或技术人员未实际参与本合同技术咨询工作或者乙方擅自更换上述人员，经甲方通知后【15】天内仍未纠正或已严重影响本合同履行的。</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4、乙方技术咨询工作进度或者工作内容不符合本合同约定，经甲方通知后【15】天内仍未纠正的。</w:t>
      </w:r>
    </w:p>
    <w:p>
      <w:pPr>
        <w:spacing w:line="360" w:lineRule="auto"/>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、乙方迟延提交咨询成果达【30】天的。</w:t>
      </w:r>
    </w:p>
    <w:p>
      <w:pPr>
        <w:spacing w:line="360" w:lineRule="auto"/>
        <w:ind w:firstLine="560" w:firstLineChars="200"/>
        <w:rPr>
          <w:rFonts w:ascii="仿宋" w:hAnsi="仿宋" w:eastAsia="仿宋"/>
          <w:sz w:val="28"/>
          <w:szCs w:val="28"/>
        </w:rPr>
      </w:pPr>
      <w:r>
        <w:rPr>
          <w:rFonts w:hint="eastAsia" w:ascii="仿宋" w:hAnsi="仿宋" w:eastAsia="仿宋"/>
          <w:sz w:val="28"/>
          <w:szCs w:val="28"/>
        </w:rPr>
        <w:t>6、乙方提交的咨询成果经两次验收后仍不合格的。</w:t>
      </w:r>
    </w:p>
    <w:p>
      <w:pPr>
        <w:spacing w:line="360" w:lineRule="auto"/>
        <w:ind w:firstLine="560" w:firstLineChars="200"/>
        <w:rPr>
          <w:rFonts w:ascii="仿宋" w:hAnsi="仿宋" w:eastAsia="仿宋"/>
          <w:sz w:val="28"/>
          <w:szCs w:val="28"/>
        </w:rPr>
      </w:pPr>
      <w:r>
        <w:rPr>
          <w:rFonts w:hint="eastAsia" w:ascii="仿宋" w:hAnsi="仿宋" w:eastAsia="仿宋"/>
          <w:sz w:val="28"/>
          <w:szCs w:val="28"/>
        </w:rPr>
        <w:t>7、乙方违反合同约定擅自将其合同义务转委托给第三人或者乙方擅自将技术咨询成果转让给第三人的。</w:t>
      </w:r>
    </w:p>
    <w:p>
      <w:pPr>
        <w:spacing w:line="360" w:lineRule="auto"/>
        <w:ind w:firstLine="560" w:firstLineChars="200"/>
        <w:rPr>
          <w:rFonts w:ascii="仿宋" w:hAnsi="仿宋" w:eastAsia="仿宋"/>
          <w:sz w:val="28"/>
          <w:szCs w:val="28"/>
        </w:rPr>
      </w:pPr>
      <w:r>
        <w:rPr>
          <w:rFonts w:hint="eastAsia" w:ascii="仿宋" w:hAnsi="仿宋" w:eastAsia="仿宋"/>
          <w:sz w:val="28"/>
          <w:szCs w:val="28"/>
        </w:rPr>
        <w:t>8、其他可以解除合同的情形：【/】。</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三、本合同甲方发生以下情形之一的，乙方有权解除本合同：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1、甲方迟延支付技术咨询报酬达【60】天的。</w:t>
      </w:r>
    </w:p>
    <w:p>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、甲方不审核确认或不提供乙方所需技术资料超过【60】天的。</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3、其他可以解除合同的情形：【/】。</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合同解除后，违约责任按照本合同的约定或法律法规的规定执行。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第十六条 违约责任</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一、甲方违约责任</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1、因甲方违约导致乙方解除合同的，甲方除按乙方已开展工作支付相应费用外，还应按照咨询报酬总额的【10】%向乙方支付违约金，违约金不足以弥补乙方损失的，甲方应赔偿乙方未能弥补的损失。</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2、甲方迟延支付咨询报酬或未按照本合同的约定提供技术资料或没有完成协作事项而造成乙方技术咨询工作停滞、延误的，乙方交付咨询成果的时间相应顺延。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3、甲方如未按照本合同的约定支付技术咨询报酬的，每迟延一日，按照迟延支付咨询报酬的【0.05】%向乙方支付违约金。</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二、乙方违约责任</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因乙方违约导致甲方解除合同的，乙方除应退还甲方已支付的费用、并按照银行同期贷款利率向甲方支付利息外，还应按照咨询报酬总额的【10】%向甲方支付违约金，违约金不足以弥补甲方损失的，乙方应赔偿甲方未能弥补的损失。</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2、乙方迟延提交咨询成果的，每迟延一日，应按照咨询报酬总额的【0.05】%向甲方支付违约金。</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3、乙方指派的负责人或技术人员未实际参与本合同技术咨询工作或者乙方擅自更换的，乙方应向甲方支付咨询报酬总额【10】%的违约金。</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4、乙方违反本合同约定的保密义务的，应向甲方支付咨询报酬总额【10】%的违约金，该违约金不足以弥补甲方损失的，乙方还须赔偿甲方未得到弥补的损失。</w:t>
      </w:r>
    </w:p>
    <w:p>
      <w:pPr>
        <w:spacing w:line="360" w:lineRule="auto"/>
        <w:ind w:firstLine="560" w:firstLineChars="200"/>
        <w:rPr>
          <w:rFonts w:ascii="仿宋" w:hAnsi="仿宋" w:eastAsia="仿宋"/>
          <w:sz w:val="28"/>
          <w:szCs w:val="28"/>
        </w:rPr>
      </w:pPr>
      <w:r>
        <w:rPr>
          <w:rFonts w:hint="eastAsia" w:ascii="仿宋" w:hAnsi="仿宋" w:eastAsia="仿宋"/>
          <w:sz w:val="28"/>
          <w:szCs w:val="28"/>
        </w:rPr>
        <w:t>5、质量保证期内，因规划设计未满足技术规范书要求或其他质量原因，造成相关系统崩溃、故障或者因安全漏洞遭受攻击造成经济损失的，每次乙方应向甲方支付违约金0.5万元并在甲方要求的时间内完成重新设计，同时承担由此引发的相关费用及造成的损失。超过质量保证期，且自咨询项目通过甲方组织的专家验收合格之日起不超过5年的，因规划设计未满足技术规范书要求或其他质量原因，造成相关系统崩溃、故障或者安全漏洞遭受攻击造成经济损失的，每次乙方应向甲方支付违约金0.2万元并进行专项免费重新设计，同时承担由此引发的相关费用及造成的损失。</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第十七条 保密条款</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甲乙双方保证对在履行本合同过程中所获悉的属于对方的商业秘密、技术秘密和其他经营管理信息、技术信息等予以保密。未经一方同意，另一方不得向任何第三方泄露。无论本合同是否生效、被撤销、变更、解除或终止，双方仍应执行本保密条款。</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甲方如有需要，双方另行签订保密协议。</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第十八条 通讯与联络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一、为方便开展工作，提高双方的工作效率，甲方安排【 </w:t>
      </w:r>
      <w:r>
        <w:rPr>
          <w:rFonts w:ascii="仿宋" w:hAnsi="仿宋" w:eastAsia="仿宋"/>
          <w:sz w:val="28"/>
          <w:szCs w:val="28"/>
        </w:rPr>
        <w:t xml:space="preserve"> </w:t>
      </w:r>
      <w:r>
        <w:rPr>
          <w:rFonts w:hint="eastAsia" w:ascii="仿宋" w:hAnsi="仿宋" w:eastAsia="仿宋"/>
          <w:sz w:val="28"/>
          <w:szCs w:val="28"/>
        </w:rPr>
        <w:t xml:space="preserve">】负责与乙方保持日常联系，乙方安排【 </w:t>
      </w:r>
      <w:r>
        <w:rPr>
          <w:rFonts w:ascii="仿宋" w:hAnsi="仿宋" w:eastAsia="仿宋"/>
          <w:sz w:val="28"/>
          <w:szCs w:val="28"/>
        </w:rPr>
        <w:t xml:space="preserve"> </w:t>
      </w:r>
      <w:r>
        <w:rPr>
          <w:rFonts w:hint="eastAsia" w:ascii="仿宋" w:hAnsi="仿宋" w:eastAsia="仿宋"/>
          <w:sz w:val="28"/>
          <w:szCs w:val="28"/>
        </w:rPr>
        <w:t>】负责与甲方保持日常联系。如双方确有必要更换联系人员时，应以书面形式提前通知另一方。甲方工作人员的联系方式是【</w:t>
      </w:r>
      <w:r>
        <w:rPr>
          <w:rFonts w:ascii="仿宋" w:hAnsi="仿宋" w:eastAsia="仿宋"/>
          <w:sz w:val="28"/>
          <w:szCs w:val="28"/>
        </w:rPr>
        <w:t xml:space="preserve">        </w:t>
      </w:r>
      <w:r>
        <w:rPr>
          <w:rFonts w:hint="eastAsia" w:ascii="仿宋" w:hAnsi="仿宋" w:eastAsia="仿宋"/>
          <w:sz w:val="28"/>
          <w:szCs w:val="28"/>
        </w:rPr>
        <w:t>】；乙方工作人员的联系方式是【</w:t>
      </w:r>
      <w:r>
        <w:rPr>
          <w:rFonts w:ascii="仿宋" w:hAnsi="仿宋" w:eastAsia="仿宋"/>
          <w:sz w:val="28"/>
          <w:szCs w:val="28"/>
        </w:rPr>
        <w:t xml:space="preserve">        </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二、双方履行合同的有关事项，按照上述约定通知到对方联系人的，视为完成通知送达。</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三、双方的通讯地址或者联系方式如发生变动，应书面通知对方，因未及时通知而造成的损失由其自行承担。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第十九条 不可抗力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一、不可抗力事件是指合同双方在签署本合同时不能预见、不能避免并不能克服的客观情况。包括：地震、台风、水灾、火灾，以及政府行为、战争、瘟疫等。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二、若任何一方因不可抗力事件不能履行本合同，应及时通知对方，并在不可抗力发生后10天内向对方提供有关不可抗力发生的有效证明。</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三、受不可抗力事件影响的一方应迅速采取合理的措施，尽量减少因不可抗力事件给各方带来的损失。如果未能尽其努力采取积极的措施减少不可抗力事件的影响，则该方应承担由此而扩大的损失。</w:t>
      </w:r>
    </w:p>
    <w:p>
      <w:pPr>
        <w:spacing w:line="360" w:lineRule="auto"/>
        <w:rPr>
          <w:rFonts w:ascii="仿宋" w:hAnsi="仿宋" w:eastAsia="仿宋"/>
          <w:sz w:val="28"/>
          <w:szCs w:val="28"/>
        </w:rPr>
      </w:pPr>
      <w:r>
        <w:rPr>
          <w:rFonts w:hint="eastAsia" w:ascii="仿宋" w:hAnsi="仿宋" w:eastAsia="仿宋"/>
          <w:sz w:val="28"/>
          <w:szCs w:val="28"/>
        </w:rPr>
        <w:t>四、如果发生影响履行本合同的不可抗力事件，则双方应及时协商制定并实施补救计划和合理的替代措施，减少或消除不可抗力事件的影响。</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五、不可抗力影响合同履行超过【60】天的，双方均有权解除合同，由此产生的损失由双方平均分担。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第二十条 争议解决方式</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本合同在履行过程中发生争议，应首先通过协商的方式解决，协商不成，按以下第【一】种方式解决：</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一、向甲方所在地人民法院起诉。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二、提交【/】仲裁委员会【/】分会（地点为【/】）仲裁，按照申请仲裁时该会现行有效的仲裁规则进行仲裁。仲裁裁决是终局，对双方均有约束力。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在诉讼或仲裁期间，本合同不涉及争议部分的条款仍须履行。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第二十一条 其他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一、本合同经双方签字盖章后生效。</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二、双方如有未尽事宜或需变更、调整的事项，可另行签订补充协议。</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三、本合同的附件是合同不可分割的组成部分，与本合同具有同等法律效力。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四、本合同一式【肆】份，甲方【贰】份，乙方【贰】份，每份均具有同等法律效力。</w:t>
      </w:r>
    </w:p>
    <w:p>
      <w:pPr>
        <w:snapToGrid w:val="0"/>
        <w:spacing w:line="360" w:lineRule="auto"/>
        <w:rPr>
          <w:rFonts w:ascii="仿宋" w:hAnsi="仿宋" w:eastAsia="仿宋"/>
          <w:b/>
          <w:bCs/>
          <w:sz w:val="28"/>
          <w:szCs w:val="28"/>
          <w:lang w:val="en-AU"/>
        </w:rPr>
      </w:pPr>
      <w:r>
        <w:rPr>
          <w:rFonts w:ascii="仿宋" w:hAnsi="仿宋" w:eastAsia="仿宋" w:cs="宋体"/>
          <w:b/>
          <w:kern w:val="0"/>
          <w:sz w:val="28"/>
          <w:szCs w:val="28"/>
          <w:lang w:val="zh-CN"/>
        </w:rPr>
        <w:t>附件</w:t>
      </w:r>
      <w:r>
        <w:rPr>
          <w:rFonts w:hint="eastAsia" w:ascii="仿宋" w:hAnsi="仿宋" w:eastAsia="仿宋" w:cs="宋体"/>
          <w:b/>
          <w:kern w:val="0"/>
          <w:sz w:val="28"/>
          <w:szCs w:val="28"/>
          <w:lang w:val="zh-CN"/>
        </w:rPr>
        <w:t>1：</w:t>
      </w:r>
      <w:r>
        <w:rPr>
          <w:rFonts w:hint="eastAsia" w:ascii="仿宋" w:hAnsi="仿宋" w:eastAsia="仿宋"/>
          <w:b/>
          <w:bCs/>
          <w:sz w:val="28"/>
          <w:szCs w:val="28"/>
          <w:lang w:val="en-AU"/>
        </w:rPr>
        <w:t>采购需求</w:t>
      </w:r>
    </w:p>
    <w:p>
      <w:pPr>
        <w:snapToGrid w:val="0"/>
        <w:spacing w:line="360" w:lineRule="auto"/>
        <w:rPr>
          <w:rFonts w:ascii="仿宋" w:hAnsi="仿宋" w:eastAsia="仿宋"/>
          <w:b/>
          <w:bCs/>
          <w:sz w:val="28"/>
          <w:szCs w:val="28"/>
          <w:lang w:val="en-AU"/>
        </w:rPr>
      </w:pPr>
      <w:r>
        <w:rPr>
          <w:rFonts w:hint="eastAsia" w:ascii="仿宋" w:hAnsi="仿宋" w:eastAsia="仿宋"/>
          <w:b/>
          <w:bCs/>
          <w:sz w:val="28"/>
          <w:szCs w:val="28"/>
          <w:lang w:val="en-AU"/>
        </w:rPr>
        <w:t>附件2：保密协议</w:t>
      </w:r>
    </w:p>
    <w:p>
      <w:pPr>
        <w:adjustRightInd w:val="0"/>
        <w:snapToGrid w:val="0"/>
        <w:spacing w:line="360" w:lineRule="auto"/>
        <w:rPr>
          <w:rFonts w:ascii="仿宋" w:hAnsi="仿宋" w:eastAsia="仿宋" w:cs="宋体"/>
          <w:b/>
          <w:kern w:val="0"/>
          <w:sz w:val="28"/>
          <w:szCs w:val="28"/>
          <w:lang w:val="zh-CN"/>
        </w:rPr>
      </w:pPr>
      <w:r>
        <w:rPr>
          <w:rFonts w:hint="eastAsia" w:ascii="仿宋" w:hAnsi="仿宋" w:eastAsia="仿宋" w:cs="宋体"/>
          <w:kern w:val="0"/>
          <w:sz w:val="28"/>
          <w:szCs w:val="28"/>
        </w:rPr>
        <w:t>（以下无正文）</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sz w:val="28"/>
          <w:szCs w:val="28"/>
        </w:rPr>
      </w:pPr>
    </w:p>
    <w:p/>
    <w:p/>
    <w:p/>
    <w:p/>
    <w:p/>
    <w:p/>
    <w:p/>
    <w:p/>
    <w:p/>
    <w:p/>
    <w:p/>
    <w:p/>
    <w:p/>
    <w:p/>
    <w:p/>
    <w:p/>
    <w:p/>
    <w:p/>
    <w:p/>
    <w:p/>
    <w:p/>
    <w:p/>
    <w:p/>
    <w:p/>
    <w:p/>
    <w:p/>
    <w:p/>
    <w:p/>
    <w:p/>
    <w:p/>
    <w:p/>
    <w:p/>
    <w:p/>
    <w:p/>
    <w:p>
      <w:pPr>
        <w:spacing w:line="360" w:lineRule="auto"/>
      </w:pPr>
    </w:p>
    <w:p>
      <w:pPr>
        <w:spacing w:line="360" w:lineRule="auto"/>
        <w:rPr>
          <w:rFonts w:ascii="仿宋" w:hAnsi="仿宋" w:eastAsia="仿宋"/>
          <w:sz w:val="28"/>
          <w:szCs w:val="28"/>
        </w:rPr>
      </w:pPr>
      <w:r>
        <w:rPr>
          <w:rFonts w:hint="eastAsia" w:ascii="仿宋" w:hAnsi="仿宋" w:eastAsia="仿宋"/>
          <w:sz w:val="28"/>
          <w:szCs w:val="28"/>
        </w:rPr>
        <w:t>（签署页）</w:t>
      </w:r>
    </w:p>
    <w:p>
      <w:pPr>
        <w:spacing w:line="360" w:lineRule="auto"/>
        <w:rPr>
          <w:rFonts w:ascii="仿宋" w:hAnsi="仿宋" w:eastAsia="仿宋"/>
          <w:sz w:val="28"/>
          <w:szCs w:val="28"/>
        </w:rPr>
      </w:pPr>
      <w:r>
        <w:rPr>
          <w:rFonts w:hint="eastAsia" w:ascii="仿宋" w:hAnsi="仿宋" w:eastAsia="仿宋"/>
          <w:sz w:val="28"/>
          <w:szCs w:val="28"/>
        </w:rPr>
        <w:t>本页为公司新型电力系统光纤网络规划设计技术咨询服务合同合同签署页。</w:t>
      </w:r>
    </w:p>
    <w:p>
      <w:pPr>
        <w:spacing w:line="360" w:lineRule="auto"/>
        <w:rPr>
          <w:rFonts w:ascii="仿宋" w:hAnsi="仿宋" w:eastAsia="仿宋"/>
          <w:sz w:val="28"/>
          <w:szCs w:val="28"/>
        </w:rPr>
      </w:pPr>
    </w:p>
    <w:p>
      <w:pPr>
        <w:spacing w:line="360" w:lineRule="auto"/>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u w:val="single"/>
        </w:rPr>
        <w:t xml:space="preserve">                                      </w:t>
      </w:r>
      <w:r>
        <w:rPr>
          <w:rFonts w:hint="eastAsia" w:ascii="仿宋" w:hAnsi="仿宋" w:eastAsia="仿宋"/>
          <w:sz w:val="28"/>
          <w:szCs w:val="28"/>
        </w:rPr>
        <w:t xml:space="preserve">（盖章） </w:t>
      </w:r>
    </w:p>
    <w:p>
      <w:pPr>
        <w:spacing w:line="360" w:lineRule="auto"/>
        <w:rPr>
          <w:rFonts w:ascii="仿宋" w:hAnsi="仿宋" w:eastAsia="仿宋"/>
          <w:sz w:val="28"/>
          <w:szCs w:val="28"/>
        </w:rPr>
      </w:pPr>
      <w:r>
        <w:rPr>
          <w:rFonts w:hint="eastAsia" w:ascii="仿宋" w:hAnsi="仿宋" w:eastAsia="仿宋"/>
          <w:sz w:val="28"/>
          <w:szCs w:val="28"/>
        </w:rPr>
        <w:t>法定代表人/委托代理人：</w:t>
      </w:r>
      <w:r>
        <w:rPr>
          <w:rFonts w:hint="eastAsia" w:ascii="仿宋" w:hAnsi="仿宋" w:eastAsia="仿宋"/>
          <w:sz w:val="28"/>
          <w:szCs w:val="28"/>
          <w:u w:val="single"/>
        </w:rPr>
        <w:t xml:space="preserve">                            </w:t>
      </w:r>
      <w:r>
        <w:rPr>
          <w:rFonts w:hint="eastAsia" w:ascii="仿宋" w:hAnsi="仿宋" w:eastAsia="仿宋"/>
          <w:sz w:val="28"/>
          <w:szCs w:val="28"/>
        </w:rPr>
        <w:t>（签名）</w:t>
      </w:r>
    </w:p>
    <w:p>
      <w:pPr>
        <w:spacing w:line="360" w:lineRule="auto"/>
        <w:rPr>
          <w:rFonts w:ascii="仿宋" w:hAnsi="仿宋" w:eastAsia="仿宋"/>
          <w:sz w:val="28"/>
          <w:szCs w:val="28"/>
        </w:rPr>
      </w:pPr>
      <w:r>
        <w:rPr>
          <w:rFonts w:hint="eastAsia" w:ascii="仿宋" w:hAnsi="仿宋" w:eastAsia="仿宋"/>
          <w:sz w:val="28"/>
          <w:szCs w:val="28"/>
        </w:rPr>
        <w:t xml:space="preserve">                                          年  月  日</w:t>
      </w:r>
    </w:p>
    <w:p>
      <w:pPr>
        <w:spacing w:line="360" w:lineRule="auto"/>
        <w:rPr>
          <w:rFonts w:ascii="仿宋" w:hAnsi="仿宋" w:eastAsia="仿宋"/>
          <w:sz w:val="28"/>
          <w:szCs w:val="28"/>
        </w:rPr>
      </w:pPr>
    </w:p>
    <w:p>
      <w:pPr>
        <w:spacing w:line="360" w:lineRule="auto"/>
        <w:jc w:val="left"/>
        <w:rPr>
          <w:rFonts w:ascii="仿宋" w:hAnsi="仿宋" w:eastAsia="仿宋"/>
          <w:sz w:val="28"/>
          <w:szCs w:val="28"/>
        </w:rPr>
      </w:pPr>
      <w:r>
        <w:rPr>
          <w:rFonts w:hint="eastAsia" w:ascii="仿宋" w:hAnsi="仿宋" w:eastAsia="仿宋"/>
          <w:sz w:val="28"/>
          <w:szCs w:val="28"/>
        </w:rPr>
        <w:t>乙方：</w:t>
      </w:r>
      <w:r>
        <w:rPr>
          <w:rFonts w:hint="eastAsia" w:ascii="仿宋" w:hAnsi="仿宋" w:eastAsia="仿宋"/>
          <w:sz w:val="28"/>
          <w:szCs w:val="28"/>
          <w:u w:val="single"/>
        </w:rPr>
        <w:t xml:space="preserve">                                      </w:t>
      </w:r>
      <w:r>
        <w:rPr>
          <w:rFonts w:hint="eastAsia" w:ascii="仿宋" w:hAnsi="仿宋" w:eastAsia="仿宋"/>
          <w:sz w:val="28"/>
          <w:szCs w:val="28"/>
        </w:rPr>
        <w:t xml:space="preserve">（盖章） </w:t>
      </w:r>
    </w:p>
    <w:p>
      <w:pPr>
        <w:spacing w:line="360" w:lineRule="auto"/>
        <w:rPr>
          <w:rFonts w:ascii="仿宋" w:hAnsi="仿宋" w:eastAsia="仿宋"/>
          <w:sz w:val="28"/>
          <w:szCs w:val="28"/>
        </w:rPr>
      </w:pPr>
      <w:r>
        <w:rPr>
          <w:rFonts w:hint="eastAsia" w:ascii="仿宋" w:hAnsi="仿宋" w:eastAsia="仿宋"/>
          <w:sz w:val="28"/>
          <w:szCs w:val="28"/>
        </w:rPr>
        <w:t>法定代表人/委托代理人：</w:t>
      </w:r>
      <w:r>
        <w:rPr>
          <w:rFonts w:hint="eastAsia" w:ascii="仿宋" w:hAnsi="仿宋" w:eastAsia="仿宋"/>
          <w:sz w:val="28"/>
          <w:szCs w:val="28"/>
          <w:u w:val="single"/>
        </w:rPr>
        <w:t xml:space="preserve">                            </w:t>
      </w:r>
      <w:r>
        <w:rPr>
          <w:rFonts w:hint="eastAsia" w:ascii="仿宋" w:hAnsi="仿宋" w:eastAsia="仿宋"/>
          <w:sz w:val="28"/>
          <w:szCs w:val="28"/>
        </w:rPr>
        <w:t>（签名）</w:t>
      </w:r>
    </w:p>
    <w:p>
      <w:pPr>
        <w:spacing w:line="360" w:lineRule="auto"/>
        <w:rPr>
          <w:rFonts w:ascii="仿宋" w:hAnsi="仿宋" w:eastAsia="仿宋"/>
          <w:sz w:val="28"/>
          <w:szCs w:val="28"/>
        </w:rPr>
        <w:sectPr>
          <w:headerReference r:id="rId6" w:type="first"/>
          <w:footerReference r:id="rId9" w:type="first"/>
          <w:headerReference r:id="rId4" w:type="default"/>
          <w:footerReference r:id="rId7" w:type="default"/>
          <w:headerReference r:id="rId5" w:type="even"/>
          <w:footerReference r:id="rId8" w:type="even"/>
          <w:pgSz w:w="11907" w:h="16840"/>
          <w:pgMar w:top="1440" w:right="1800" w:bottom="1440" w:left="1800" w:header="567" w:footer="567" w:gutter="0"/>
          <w:cols w:space="720" w:num="1"/>
          <w:docGrid w:linePitch="312" w:charSpace="0"/>
        </w:sectPr>
      </w:pPr>
      <w:r>
        <w:rPr>
          <w:rFonts w:hint="eastAsia" w:ascii="仿宋" w:hAnsi="仿宋" w:eastAsia="仿宋"/>
          <w:sz w:val="28"/>
          <w:szCs w:val="28"/>
        </w:rPr>
        <w:t xml:space="preserve">                                          年  月  </w:t>
      </w:r>
    </w:p>
    <w:p>
      <w:pPr>
        <w:snapToGrid w:val="0"/>
        <w:spacing w:line="360" w:lineRule="auto"/>
        <w:rPr>
          <w:rFonts w:ascii="仿宋" w:hAnsi="仿宋" w:eastAsia="仿宋"/>
          <w:b/>
          <w:bCs/>
          <w:sz w:val="40"/>
          <w:szCs w:val="36"/>
        </w:rPr>
      </w:pPr>
      <w:r>
        <w:rPr>
          <w:rFonts w:hint="eastAsia" w:ascii="仿宋" w:hAnsi="仿宋" w:eastAsia="仿宋"/>
          <w:sz w:val="32"/>
          <w:szCs w:val="28"/>
        </w:rPr>
        <w:t>附件一：</w:t>
      </w:r>
    </w:p>
    <w:p>
      <w:pPr>
        <w:snapToGrid w:val="0"/>
        <w:spacing w:line="360" w:lineRule="auto"/>
        <w:jc w:val="center"/>
        <w:rPr>
          <w:rFonts w:ascii="仿宋" w:hAnsi="仿宋" w:eastAsia="仿宋"/>
          <w:b/>
          <w:bCs/>
          <w:sz w:val="40"/>
          <w:szCs w:val="36"/>
          <w:lang w:val="en-AU"/>
        </w:rPr>
      </w:pPr>
      <w:r>
        <w:rPr>
          <w:rFonts w:hint="eastAsia" w:ascii="仿宋" w:hAnsi="仿宋" w:eastAsia="仿宋"/>
          <w:b/>
          <w:bCs/>
          <w:sz w:val="40"/>
          <w:szCs w:val="36"/>
          <w:lang w:val="en-AU"/>
        </w:rPr>
        <w:t>采购需求</w:t>
      </w:r>
    </w:p>
    <w:p>
      <w:pPr>
        <w:shd w:val="clear" w:color="auto" w:fill="FFFFFF"/>
        <w:spacing w:before="100" w:beforeAutospacing="1" w:after="100" w:afterAutospacing="1" w:line="360" w:lineRule="auto"/>
        <w:outlineLvl w:val="2"/>
        <w:rPr>
          <w:rFonts w:ascii="仿宋" w:hAnsi="仿宋" w:eastAsia="仿宋" w:cs="宋体"/>
          <w:b/>
          <w:bCs/>
          <w:color w:val="000000"/>
          <w:sz w:val="28"/>
          <w:szCs w:val="28"/>
        </w:rPr>
      </w:pPr>
      <w:r>
        <w:rPr>
          <w:rFonts w:hint="eastAsia" w:ascii="仿宋" w:hAnsi="仿宋" w:eastAsia="仿宋" w:cs="宋体"/>
          <w:b/>
          <w:bCs/>
          <w:color w:val="000000"/>
          <w:sz w:val="28"/>
          <w:szCs w:val="28"/>
        </w:rPr>
        <w:t>一、</w:t>
      </w:r>
      <w:r>
        <w:rPr>
          <w:rFonts w:ascii="仿宋" w:hAnsi="仿宋" w:eastAsia="仿宋" w:cs="宋体"/>
          <w:b/>
          <w:bCs/>
          <w:color w:val="000000"/>
          <w:sz w:val="28"/>
          <w:szCs w:val="28"/>
        </w:rPr>
        <w:t>项目背景</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为适配新型电力系统建设发展需求，完善公司电力通信光纤网络架构，提升网络可靠性、带宽容量、智能化运维水平及安全防护能力，满足电网调度、继电保护、配电自动化、新能源接入、用电信息采集</w:t>
      </w:r>
      <w:r>
        <w:rPr>
          <w:rFonts w:hint="eastAsia" w:ascii="仿宋" w:hAnsi="仿宋" w:eastAsia="仿宋" w:cs="宋体"/>
          <w:color w:val="000000"/>
          <w:sz w:val="28"/>
          <w:szCs w:val="28"/>
        </w:rPr>
        <w:t>、视频通讯、用户侧设备接入、电力鸿蒙物联网设备接入</w:t>
      </w:r>
      <w:r>
        <w:rPr>
          <w:rFonts w:ascii="仿宋" w:hAnsi="仿宋" w:eastAsia="仿宋" w:cs="宋体"/>
          <w:color w:val="000000"/>
          <w:sz w:val="28"/>
          <w:szCs w:val="28"/>
        </w:rPr>
        <w:t>等全业务通信承载需求，现需委托专业设计单位，编制公司管辖范围内电力通信光纤网络</w:t>
      </w:r>
      <w:r>
        <w:rPr>
          <w:rFonts w:hint="eastAsia" w:ascii="仿宋" w:hAnsi="仿宋" w:eastAsia="仿宋" w:cs="宋体"/>
          <w:color w:val="000000"/>
          <w:sz w:val="28"/>
          <w:szCs w:val="28"/>
        </w:rPr>
        <w:t>规划设计</w:t>
      </w:r>
      <w:r>
        <w:rPr>
          <w:rFonts w:ascii="仿宋" w:hAnsi="仿宋" w:eastAsia="仿宋" w:cs="宋体"/>
          <w:color w:val="000000"/>
          <w:sz w:val="28"/>
          <w:szCs w:val="28"/>
        </w:rPr>
        <w:t>，并完成各类通信节点建设典型设计，为后续网络建设、改造及运维管理提供科学依据与技术标准。</w:t>
      </w:r>
    </w:p>
    <w:p>
      <w:pPr>
        <w:shd w:val="clear" w:color="auto" w:fill="FFFFFF"/>
        <w:spacing w:before="100" w:beforeAutospacing="1" w:after="100" w:afterAutospacing="1" w:line="360" w:lineRule="auto"/>
        <w:outlineLvl w:val="2"/>
        <w:rPr>
          <w:rFonts w:ascii="仿宋" w:hAnsi="仿宋" w:eastAsia="仿宋" w:cs="宋体"/>
          <w:b/>
          <w:bCs/>
          <w:color w:val="000000"/>
          <w:sz w:val="28"/>
          <w:szCs w:val="28"/>
        </w:rPr>
      </w:pPr>
      <w:r>
        <w:rPr>
          <w:rFonts w:hint="eastAsia" w:ascii="仿宋" w:hAnsi="仿宋" w:eastAsia="仿宋" w:cs="宋体"/>
          <w:b/>
          <w:bCs/>
          <w:color w:val="000000"/>
          <w:sz w:val="28"/>
          <w:szCs w:val="28"/>
        </w:rPr>
        <w:t>二、</w:t>
      </w:r>
      <w:r>
        <w:rPr>
          <w:rFonts w:ascii="仿宋" w:hAnsi="仿宋" w:eastAsia="仿宋" w:cs="宋体"/>
          <w:b/>
          <w:bCs/>
          <w:color w:val="000000"/>
          <w:sz w:val="28"/>
          <w:szCs w:val="28"/>
        </w:rPr>
        <w:t>采购内容及成果要求</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w:t>
      </w:r>
      <w:r>
        <w:rPr>
          <w:rFonts w:hint="eastAsia" w:ascii="仿宋" w:hAnsi="仿宋" w:eastAsia="仿宋" w:cs="宋体"/>
          <w:color w:val="000000"/>
          <w:sz w:val="28"/>
          <w:szCs w:val="28"/>
        </w:rPr>
        <w:t>一</w:t>
      </w:r>
      <w:r>
        <w:rPr>
          <w:rFonts w:ascii="仿宋" w:hAnsi="仿宋" w:eastAsia="仿宋" w:cs="宋体"/>
          <w:color w:val="000000"/>
          <w:sz w:val="28"/>
          <w:szCs w:val="28"/>
        </w:rPr>
        <w:t>）</w:t>
      </w:r>
      <w:r>
        <w:rPr>
          <w:rFonts w:hint="eastAsia" w:ascii="仿宋" w:hAnsi="仿宋" w:eastAsia="仿宋" w:cs="宋体"/>
          <w:color w:val="000000"/>
          <w:sz w:val="28"/>
          <w:szCs w:val="28"/>
        </w:rPr>
        <w:t>采购内容</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1、《深圳前海蛇口自贸区供电有限公司电力通信光纤网络五年规划》</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开展现场调研，全面梳理公司现有电力通信光纤网络（骨干网、接入网、光缆资源、通信设备、机房配套、业务承载等）现状，完成现状评估与问题诊断；</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结合公司电网发展规划、新型电力系统建设要求，预测未来五年</w:t>
      </w:r>
      <w:r>
        <w:rPr>
          <w:rFonts w:hint="eastAsia" w:ascii="仿宋" w:hAnsi="仿宋" w:eastAsia="仿宋" w:cs="宋体"/>
          <w:color w:val="000000"/>
          <w:sz w:val="28"/>
          <w:szCs w:val="28"/>
        </w:rPr>
        <w:t>电网调度、继电保护、配电自动化、新能源接入、用电信息采集、视频通讯、用户侧接入、电力鸿蒙物联网设备接入</w:t>
      </w:r>
      <w:r>
        <w:rPr>
          <w:rFonts w:ascii="仿宋" w:hAnsi="仿宋" w:eastAsia="仿宋" w:cs="宋体"/>
          <w:color w:val="000000"/>
          <w:sz w:val="28"/>
          <w:szCs w:val="28"/>
        </w:rPr>
        <w:t>等各类通信业务带宽、时延、可靠性需求；</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制定五年规划总体目标、实施原则、网络架构优化方案、光缆建设/改造方案、设备升级方案、智能化建设方案、安全防护方案</w:t>
      </w:r>
      <w:r>
        <w:rPr>
          <w:rFonts w:hint="eastAsia" w:ascii="仿宋" w:hAnsi="仿宋" w:eastAsia="仿宋" w:cs="宋体"/>
          <w:color w:val="000000"/>
          <w:sz w:val="28"/>
          <w:szCs w:val="28"/>
        </w:rPr>
        <w:t>，具体方案应包括且不限于以下</w:t>
      </w:r>
      <w:r>
        <w:rPr>
          <w:rFonts w:ascii="仿宋" w:hAnsi="仿宋" w:eastAsia="仿宋" w:cs="宋体"/>
          <w:color w:val="000000"/>
          <w:sz w:val="28"/>
          <w:szCs w:val="28"/>
        </w:rPr>
        <w:t>10</w:t>
      </w:r>
      <w:r>
        <w:rPr>
          <w:rFonts w:hint="eastAsia" w:ascii="仿宋" w:hAnsi="仿宋" w:eastAsia="仿宋" w:cs="宋体"/>
          <w:color w:val="000000"/>
          <w:sz w:val="28"/>
          <w:szCs w:val="28"/>
        </w:rPr>
        <w:t>点：</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1）交换机高可用方案：提供变电站三层交换机（调度网、计量网、综合网、物联网）的高可用方案，包括架构设计方案、需新增的设备及布线调整方案；</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2</w:t>
      </w:r>
      <w:r>
        <w:rPr>
          <w:rFonts w:hint="eastAsia" w:ascii="仿宋" w:hAnsi="仿宋" w:eastAsia="仿宋" w:cs="宋体"/>
          <w:color w:val="000000"/>
          <w:sz w:val="28"/>
          <w:szCs w:val="28"/>
        </w:rPr>
        <w:t>）网络安全提升方案：对当前通信网络的网络安全的现状进行评估，并提出能更充分加强网络安全的举措，尤其是针对交换机的安全加固，提供可行的安全加固措施；</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3</w:t>
      </w:r>
      <w:r>
        <w:rPr>
          <w:rFonts w:hint="eastAsia" w:ascii="仿宋" w:hAnsi="仿宋" w:eastAsia="仿宋" w:cs="宋体"/>
          <w:color w:val="000000"/>
          <w:sz w:val="28"/>
          <w:szCs w:val="28"/>
        </w:rPr>
        <w:t>）网络隔离的设计方案：当前网络中，三层交换机各v</w:t>
      </w:r>
      <w:r>
        <w:rPr>
          <w:rFonts w:ascii="仿宋" w:hAnsi="仿宋" w:eastAsia="仿宋" w:cs="宋体"/>
          <w:color w:val="000000"/>
          <w:sz w:val="28"/>
          <w:szCs w:val="28"/>
        </w:rPr>
        <w:t>lan</w:t>
      </w:r>
      <w:r>
        <w:rPr>
          <w:rFonts w:hint="eastAsia" w:ascii="仿宋" w:hAnsi="仿宋" w:eastAsia="仿宋" w:cs="宋体"/>
          <w:color w:val="000000"/>
          <w:sz w:val="28"/>
          <w:szCs w:val="28"/>
        </w:rPr>
        <w:t>之间可以互相通信</w:t>
      </w:r>
      <w:r>
        <w:rPr>
          <w:rFonts w:ascii="仿宋" w:hAnsi="仿宋" w:eastAsia="仿宋" w:cs="宋体"/>
          <w:color w:val="000000"/>
          <w:sz w:val="28"/>
          <w:szCs w:val="28"/>
        </w:rPr>
        <w:t>，存在网络互通的风险，需提供</w:t>
      </w:r>
      <w:r>
        <w:rPr>
          <w:rFonts w:hint="eastAsia" w:ascii="仿宋" w:hAnsi="仿宋" w:eastAsia="仿宋" w:cs="宋体"/>
          <w:color w:val="000000"/>
          <w:sz w:val="28"/>
          <w:szCs w:val="28"/>
        </w:rPr>
        <w:t>切合实际情况的方案解决该问题；</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4</w:t>
      </w:r>
      <w:r>
        <w:rPr>
          <w:rFonts w:hint="eastAsia" w:ascii="仿宋" w:hAnsi="仿宋" w:eastAsia="仿宋" w:cs="宋体"/>
          <w:color w:val="000000"/>
          <w:sz w:val="28"/>
          <w:szCs w:val="28"/>
        </w:rPr>
        <w:t>）配电房节点环网设计方案：目前部分配电房具备了环网的物理条件（光缆成环），需提供成环运行的设计方案和实施方案，提升通信的健壮性；</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5</w:t>
      </w:r>
      <w:r>
        <w:rPr>
          <w:rFonts w:hint="eastAsia" w:ascii="仿宋" w:hAnsi="仿宋" w:eastAsia="仿宋" w:cs="宋体"/>
          <w:color w:val="000000"/>
          <w:sz w:val="28"/>
          <w:szCs w:val="28"/>
        </w:rPr>
        <w:t>）继电保护网络规划：当前业务上对具备光差保护的电房，需点对点规划并敷设光纤</w:t>
      </w:r>
      <w:r>
        <w:rPr>
          <w:rFonts w:ascii="仿宋" w:hAnsi="仿宋" w:eastAsia="仿宋" w:cs="宋体"/>
          <w:color w:val="000000"/>
          <w:sz w:val="28"/>
          <w:szCs w:val="28"/>
        </w:rPr>
        <w:t>，需</w:t>
      </w:r>
      <w:r>
        <w:rPr>
          <w:rFonts w:hint="eastAsia" w:ascii="仿宋" w:hAnsi="仿宋" w:eastAsia="仿宋" w:cs="宋体"/>
          <w:color w:val="000000"/>
          <w:sz w:val="28"/>
          <w:szCs w:val="28"/>
        </w:rPr>
        <w:t>重新</w:t>
      </w:r>
      <w:r>
        <w:rPr>
          <w:rFonts w:ascii="仿宋" w:hAnsi="仿宋" w:eastAsia="仿宋" w:cs="宋体"/>
          <w:color w:val="000000"/>
          <w:sz w:val="28"/>
          <w:szCs w:val="28"/>
        </w:rPr>
        <w:t>规划并设计一个新的</w:t>
      </w:r>
      <w:r>
        <w:rPr>
          <w:rFonts w:hint="eastAsia" w:ascii="仿宋" w:hAnsi="仿宋" w:eastAsia="仿宋" w:cs="宋体"/>
          <w:color w:val="000000"/>
          <w:sz w:val="28"/>
          <w:szCs w:val="28"/>
        </w:rPr>
        <w:t>服务于智能分布式保护装置的</w:t>
      </w:r>
      <w:r>
        <w:rPr>
          <w:rFonts w:ascii="仿宋" w:hAnsi="仿宋" w:eastAsia="仿宋" w:cs="宋体"/>
          <w:color w:val="000000"/>
          <w:sz w:val="28"/>
          <w:szCs w:val="28"/>
        </w:rPr>
        <w:t>goose网</w:t>
      </w:r>
      <w:r>
        <w:rPr>
          <w:rFonts w:hint="eastAsia" w:ascii="仿宋" w:hAnsi="仿宋" w:eastAsia="仿宋" w:cs="宋体"/>
          <w:color w:val="000000"/>
          <w:sz w:val="28"/>
          <w:szCs w:val="28"/>
        </w:rPr>
        <w:t>络；</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6</w:t>
      </w:r>
      <w:r>
        <w:rPr>
          <w:rFonts w:hint="eastAsia" w:ascii="仿宋" w:hAnsi="仿宋" w:eastAsia="仿宋" w:cs="宋体"/>
          <w:color w:val="000000"/>
          <w:sz w:val="28"/>
          <w:szCs w:val="28"/>
        </w:rPr>
        <w:t>）保信网络：本年度前海和蛇口片区计划开展保信专网建设，方案中应结合业务需求预留</w:t>
      </w:r>
      <w:r>
        <w:rPr>
          <w:rFonts w:ascii="仿宋" w:hAnsi="仿宋" w:eastAsia="仿宋" w:cs="宋体"/>
          <w:color w:val="000000"/>
          <w:sz w:val="28"/>
          <w:szCs w:val="28"/>
        </w:rPr>
        <w:t>通道芯数冗余</w:t>
      </w:r>
      <w:r>
        <w:rPr>
          <w:rFonts w:hint="eastAsia" w:ascii="仿宋" w:hAnsi="仿宋" w:eastAsia="仿宋" w:cs="宋体"/>
          <w:color w:val="000000"/>
          <w:sz w:val="28"/>
          <w:szCs w:val="28"/>
        </w:rPr>
        <w:t>；</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7</w:t>
      </w:r>
      <w:r>
        <w:rPr>
          <w:rFonts w:hint="eastAsia" w:ascii="仿宋" w:hAnsi="仿宋" w:eastAsia="仿宋" w:cs="宋体"/>
          <w:color w:val="000000"/>
          <w:sz w:val="28"/>
          <w:szCs w:val="28"/>
        </w:rPr>
        <w:t>）物联网网络安全架构设计：设计方案需支撑后续物联网区网络安全防护建设需求；</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8</w:t>
      </w:r>
      <w:r>
        <w:rPr>
          <w:rFonts w:hint="eastAsia" w:ascii="仿宋" w:hAnsi="仿宋" w:eastAsia="仿宋" w:cs="宋体"/>
          <w:color w:val="000000"/>
          <w:sz w:val="28"/>
          <w:szCs w:val="28"/>
        </w:rPr>
        <w:t>）变电站交换机资源需求：目前部分变电站的核心交换机资源紧张，交付内容应满足当前及后续五年内业务新增需求，新增的骨干层交换机型号应尽量保持一致，避免不同厂家之间的兼容性问题，同时也要考虑新的骨干层交换机要兼容当前正在运行的交换机；</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9</w:t>
      </w:r>
      <w:r>
        <w:rPr>
          <w:rFonts w:hint="eastAsia" w:ascii="仿宋" w:hAnsi="仿宋" w:eastAsia="仿宋" w:cs="宋体"/>
          <w:color w:val="000000"/>
          <w:sz w:val="28"/>
          <w:szCs w:val="28"/>
        </w:rPr>
        <w:t>）方案内应考虑将生产视频监控业务单独组网，确保视频业务连续性和可靠性；</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w:t>
      </w:r>
      <w:r>
        <w:rPr>
          <w:rFonts w:ascii="仿宋" w:hAnsi="仿宋" w:eastAsia="仿宋" w:cs="宋体"/>
          <w:color w:val="000000"/>
          <w:sz w:val="28"/>
          <w:szCs w:val="28"/>
        </w:rPr>
        <w:t>0</w:t>
      </w:r>
      <w:r>
        <w:rPr>
          <w:rFonts w:hint="eastAsia" w:ascii="仿宋" w:hAnsi="仿宋" w:eastAsia="仿宋" w:cs="宋体"/>
          <w:color w:val="000000"/>
          <w:sz w:val="28"/>
          <w:szCs w:val="28"/>
        </w:rPr>
        <w:t>）</w:t>
      </w:r>
      <w:r>
        <w:rPr>
          <w:rFonts w:ascii="仿宋" w:hAnsi="仿宋" w:eastAsia="仿宋" w:cs="宋体"/>
          <w:color w:val="000000"/>
          <w:sz w:val="28"/>
          <w:szCs w:val="28"/>
        </w:rPr>
        <w:t>编制分年度实施计划、投资估算、经济技术效益分析及保障措施</w:t>
      </w:r>
      <w:r>
        <w:rPr>
          <w:rFonts w:hint="eastAsia" w:ascii="仿宋" w:hAnsi="仿宋" w:eastAsia="仿宋" w:cs="宋体"/>
          <w:color w:val="000000"/>
          <w:sz w:val="28"/>
          <w:szCs w:val="28"/>
        </w:rPr>
        <w:t>。</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2</w:t>
      </w:r>
      <w:r>
        <w:rPr>
          <w:rFonts w:hint="eastAsia" w:ascii="仿宋" w:hAnsi="仿宋" w:eastAsia="仿宋" w:cs="宋体"/>
          <w:color w:val="000000"/>
          <w:sz w:val="28"/>
          <w:szCs w:val="28"/>
        </w:rPr>
        <w:t>、其他</w:t>
      </w:r>
      <w:r>
        <w:rPr>
          <w:rFonts w:ascii="仿宋" w:hAnsi="仿宋" w:eastAsia="仿宋" w:cs="宋体"/>
          <w:color w:val="000000"/>
          <w:sz w:val="28"/>
          <w:szCs w:val="28"/>
        </w:rPr>
        <w:t>服务</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w:t>
      </w:r>
      <w:r>
        <w:rPr>
          <w:rFonts w:ascii="仿宋" w:hAnsi="仿宋" w:eastAsia="仿宋" w:cs="宋体"/>
          <w:color w:val="000000"/>
          <w:sz w:val="28"/>
          <w:szCs w:val="28"/>
        </w:rPr>
        <w:t>配合</w:t>
      </w:r>
      <w:r>
        <w:rPr>
          <w:rFonts w:hint="eastAsia" w:ascii="仿宋" w:hAnsi="仿宋" w:eastAsia="仿宋" w:cs="宋体"/>
          <w:color w:val="000000"/>
          <w:sz w:val="28"/>
          <w:szCs w:val="28"/>
        </w:rPr>
        <w:t>招标</w:t>
      </w:r>
      <w:r>
        <w:rPr>
          <w:rFonts w:ascii="仿宋" w:hAnsi="仿宋" w:eastAsia="仿宋" w:cs="宋体"/>
          <w:color w:val="000000"/>
          <w:sz w:val="28"/>
          <w:szCs w:val="28"/>
        </w:rPr>
        <w:t>方组织</w:t>
      </w:r>
      <w:r>
        <w:rPr>
          <w:rFonts w:hint="eastAsia" w:ascii="仿宋" w:hAnsi="仿宋" w:eastAsia="仿宋" w:cs="宋体"/>
          <w:color w:val="000000"/>
          <w:sz w:val="28"/>
          <w:szCs w:val="28"/>
        </w:rPr>
        <w:t>的内外部</w:t>
      </w:r>
      <w:r>
        <w:rPr>
          <w:rFonts w:ascii="仿宋" w:hAnsi="仿宋" w:eastAsia="仿宋" w:cs="宋体"/>
          <w:color w:val="000000"/>
          <w:sz w:val="28"/>
          <w:szCs w:val="28"/>
        </w:rPr>
        <w:t>专家评审会，根据评审意见完成成果修改完善，直至通过评审；</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2</w:t>
      </w:r>
      <w:r>
        <w:rPr>
          <w:rFonts w:hint="eastAsia" w:ascii="仿宋" w:hAnsi="仿宋" w:eastAsia="仿宋" w:cs="宋体"/>
          <w:color w:val="000000"/>
          <w:sz w:val="28"/>
          <w:szCs w:val="28"/>
        </w:rPr>
        <w:t>）</w:t>
      </w:r>
      <w:r>
        <w:rPr>
          <w:rFonts w:ascii="仿宋" w:hAnsi="仿宋" w:eastAsia="仿宋" w:cs="宋体"/>
          <w:color w:val="000000"/>
          <w:sz w:val="28"/>
          <w:szCs w:val="28"/>
        </w:rPr>
        <w:t>提供成果交底、技术咨询服务，解答后续项目实施过程中的设计相关问题；</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3</w:t>
      </w:r>
      <w:r>
        <w:rPr>
          <w:rFonts w:hint="eastAsia" w:ascii="仿宋" w:hAnsi="仿宋" w:eastAsia="仿宋" w:cs="宋体"/>
          <w:color w:val="000000"/>
          <w:sz w:val="28"/>
          <w:szCs w:val="28"/>
        </w:rPr>
        <w:t>）</w:t>
      </w:r>
      <w:r>
        <w:rPr>
          <w:rFonts w:ascii="仿宋" w:hAnsi="仿宋" w:eastAsia="仿宋" w:cs="宋体"/>
          <w:color w:val="000000"/>
          <w:sz w:val="28"/>
          <w:szCs w:val="28"/>
        </w:rPr>
        <w:t>按采购方要求提供电子版及纸质版成果文件。</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（二）成果交付要求</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w:t>
      </w:r>
      <w:r>
        <w:rPr>
          <w:rFonts w:ascii="仿宋" w:hAnsi="仿宋" w:eastAsia="仿宋" w:cs="宋体"/>
          <w:color w:val="000000"/>
          <w:sz w:val="28"/>
          <w:szCs w:val="28"/>
        </w:rPr>
        <w:t>《</w:t>
      </w:r>
      <w:r>
        <w:rPr>
          <w:rFonts w:hint="eastAsia" w:ascii="仿宋" w:hAnsi="仿宋" w:eastAsia="仿宋" w:cs="宋体"/>
          <w:color w:val="000000"/>
          <w:sz w:val="28"/>
          <w:szCs w:val="28"/>
        </w:rPr>
        <w:t>深圳前海蛇口自贸区供电有限公司电力通信光纤网络五年规划</w:t>
      </w:r>
      <w:r>
        <w:rPr>
          <w:rFonts w:ascii="仿宋" w:hAnsi="仿宋" w:eastAsia="仿宋" w:cs="宋体"/>
          <w:color w:val="000000"/>
          <w:sz w:val="28"/>
          <w:szCs w:val="28"/>
        </w:rPr>
        <w:t>》文本（纸质</w:t>
      </w:r>
      <w:r>
        <w:rPr>
          <w:rFonts w:hint="eastAsia" w:ascii="仿宋" w:hAnsi="仿宋" w:eastAsia="仿宋" w:cs="宋体"/>
          <w:color w:val="000000"/>
          <w:sz w:val="28"/>
          <w:szCs w:val="28"/>
        </w:rPr>
        <w:t>盖章</w:t>
      </w:r>
      <w:r>
        <w:rPr>
          <w:rFonts w:ascii="仿宋" w:hAnsi="仿宋" w:eastAsia="仿宋" w:cs="宋体"/>
          <w:color w:val="000000"/>
          <w:sz w:val="28"/>
          <w:szCs w:val="28"/>
        </w:rPr>
        <w:t>版4份，电子版PDF+可编辑Word版各1套）；</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2、</w:t>
      </w:r>
      <w:r>
        <w:rPr>
          <w:rFonts w:ascii="仿宋" w:hAnsi="仿宋" w:eastAsia="仿宋" w:cs="宋体"/>
          <w:color w:val="000000"/>
          <w:sz w:val="28"/>
          <w:szCs w:val="28"/>
        </w:rPr>
        <w:t>项目投资估算书、技术规范书等配套文件；</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3、</w:t>
      </w:r>
      <w:r>
        <w:rPr>
          <w:rFonts w:ascii="仿宋" w:hAnsi="仿宋" w:eastAsia="仿宋" w:cs="宋体"/>
          <w:color w:val="000000"/>
          <w:sz w:val="28"/>
          <w:szCs w:val="28"/>
        </w:rPr>
        <w:t>成果汇报PPT、评审修改说明等相关资料。</w:t>
      </w:r>
    </w:p>
    <w:p>
      <w:pPr>
        <w:shd w:val="clear" w:color="auto" w:fill="FFFFFF"/>
        <w:spacing w:before="100" w:beforeAutospacing="1" w:after="100" w:afterAutospacing="1" w:line="360" w:lineRule="auto"/>
        <w:outlineLvl w:val="2"/>
        <w:rPr>
          <w:rFonts w:ascii="仿宋" w:hAnsi="仿宋" w:eastAsia="仿宋" w:cs="宋体"/>
          <w:b/>
          <w:bCs/>
          <w:color w:val="000000"/>
          <w:sz w:val="28"/>
          <w:szCs w:val="28"/>
        </w:rPr>
      </w:pPr>
      <w:r>
        <w:rPr>
          <w:rFonts w:ascii="仿宋" w:hAnsi="仿宋" w:eastAsia="仿宋" w:cs="宋体"/>
          <w:b/>
          <w:bCs/>
          <w:color w:val="000000"/>
          <w:sz w:val="28"/>
          <w:szCs w:val="28"/>
        </w:rPr>
        <w:t>三、</w:t>
      </w:r>
      <w:r>
        <w:rPr>
          <w:rFonts w:hint="eastAsia" w:ascii="仿宋" w:hAnsi="仿宋" w:eastAsia="仿宋" w:cs="宋体"/>
          <w:b/>
          <w:bCs/>
          <w:color w:val="000000"/>
          <w:sz w:val="28"/>
          <w:szCs w:val="28"/>
        </w:rPr>
        <w:t>设计原则</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w:t>
      </w:r>
      <w:r>
        <w:rPr>
          <w:rFonts w:hint="eastAsia" w:ascii="仿宋" w:hAnsi="仿宋" w:eastAsia="仿宋" w:cs="宋体"/>
          <w:color w:val="000000"/>
          <w:sz w:val="28"/>
          <w:szCs w:val="28"/>
        </w:rPr>
        <w:t>一</w:t>
      </w:r>
      <w:r>
        <w:rPr>
          <w:rFonts w:ascii="仿宋" w:hAnsi="仿宋" w:eastAsia="仿宋" w:cs="宋体"/>
          <w:color w:val="000000"/>
          <w:sz w:val="28"/>
          <w:szCs w:val="28"/>
        </w:rPr>
        <w:t>）</w:t>
      </w:r>
      <w:r>
        <w:rPr>
          <w:rFonts w:hint="eastAsia" w:ascii="仿宋" w:hAnsi="仿宋" w:eastAsia="仿宋" w:cs="宋体"/>
          <w:color w:val="000000"/>
          <w:sz w:val="28"/>
          <w:szCs w:val="28"/>
        </w:rPr>
        <w:t>技术原则</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规划设计应满足《深圳前海蛇口“十五五”智能配电网规划》通信系统技术要求：</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w:t>
      </w:r>
      <w:r>
        <w:rPr>
          <w:rFonts w:ascii="仿宋" w:hAnsi="仿宋" w:eastAsia="仿宋" w:cs="宋体"/>
          <w:color w:val="000000"/>
          <w:sz w:val="28"/>
          <w:szCs w:val="28"/>
        </w:rPr>
        <w:t>1</w:t>
      </w:r>
      <w:r>
        <w:rPr>
          <w:rFonts w:hint="eastAsia" w:ascii="仿宋" w:hAnsi="仿宋" w:eastAsia="仿宋" w:cs="宋体"/>
          <w:color w:val="000000"/>
          <w:sz w:val="28"/>
          <w:szCs w:val="28"/>
        </w:rPr>
        <w:t>）总体原则</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1</w:t>
      </w:r>
      <w:r>
        <w:rPr>
          <w:rFonts w:hint="eastAsia" w:ascii="仿宋" w:hAnsi="仿宋" w:eastAsia="仿宋" w:cs="宋体"/>
          <w:color w:val="000000"/>
          <w:sz w:val="28"/>
          <w:szCs w:val="28"/>
        </w:rPr>
        <w:t>、配网通信网独立于主网通信网络，配电终端接入网络应遵循“以光纤为主，无线公网及其他通信方式为辅”的原则，有线专网采用工业以太网交换机为主要通信技术进行组网。</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2</w:t>
      </w:r>
      <w:r>
        <w:rPr>
          <w:rFonts w:hint="eastAsia" w:ascii="仿宋" w:hAnsi="仿宋" w:eastAsia="仿宋" w:cs="宋体"/>
          <w:color w:val="000000"/>
          <w:sz w:val="28"/>
          <w:szCs w:val="28"/>
        </w:rPr>
        <w:t>、光纤通信网原则上应覆盖全部公变配电节点及三遥终端，其</w:t>
      </w:r>
    </w:p>
    <w:p>
      <w:pPr>
        <w:shd w:val="clear" w:color="auto" w:fill="FFFFFF"/>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他业务节点可优先考虑光纤接入，不具备条件的情况下可采用无线公网。</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3</w:t>
      </w:r>
      <w:r>
        <w:rPr>
          <w:rFonts w:hint="eastAsia" w:ascii="仿宋" w:hAnsi="仿宋" w:eastAsia="仿宋" w:cs="宋体"/>
          <w:color w:val="000000"/>
          <w:sz w:val="28"/>
          <w:szCs w:val="28"/>
        </w:rPr>
        <w:t>、光纤通信网应优先完成三遥配电节点的接入，与配基、业扩工程等同步敷设光缆并逐步形成环网。</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w:t>
      </w:r>
      <w:r>
        <w:rPr>
          <w:rFonts w:ascii="仿宋" w:hAnsi="仿宋" w:eastAsia="仿宋" w:cs="宋体"/>
          <w:color w:val="000000"/>
          <w:sz w:val="28"/>
          <w:szCs w:val="28"/>
        </w:rPr>
        <w:t>2</w:t>
      </w:r>
      <w:r>
        <w:rPr>
          <w:rFonts w:hint="eastAsia" w:ascii="仿宋" w:hAnsi="仿宋" w:eastAsia="仿宋" w:cs="宋体"/>
          <w:color w:val="000000"/>
          <w:sz w:val="28"/>
          <w:szCs w:val="28"/>
        </w:rPr>
        <w:t>）系统构架</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配网通信网络应分层、分区域建设，光纤通信网络根据一次电网的网格化划分的层次，设置通信骨干层、通信接入层、本地通信层等三个层级；其他通信方式应根据各自技术特点和安全要求分层构建网络，并与光纤网络有效融合。</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w:t>
      </w:r>
      <w:r>
        <w:rPr>
          <w:rFonts w:ascii="仿宋" w:hAnsi="仿宋" w:eastAsia="仿宋" w:cs="宋体"/>
          <w:color w:val="000000"/>
          <w:sz w:val="28"/>
          <w:szCs w:val="28"/>
        </w:rPr>
        <w:t>3</w:t>
      </w:r>
      <w:r>
        <w:rPr>
          <w:rFonts w:hint="eastAsia" w:ascii="仿宋" w:hAnsi="仿宋" w:eastAsia="仿宋" w:cs="宋体"/>
          <w:color w:val="000000"/>
          <w:sz w:val="28"/>
          <w:szCs w:val="28"/>
        </w:rPr>
        <w:t>）技术要求</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配网光纤通信网络骨干层、接入层的主要技术要求见下表。</w:t>
      </w:r>
    </w:p>
    <w:tbl>
      <w:tblPr>
        <w:tblStyle w:val="15"/>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27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autoSpaceDE w:val="0"/>
              <w:autoSpaceDN w:val="0"/>
              <w:adjustRightInd w:val="0"/>
              <w:spacing w:line="360" w:lineRule="auto"/>
              <w:jc w:val="center"/>
              <w:rPr>
                <w:rFonts w:ascii="仿宋" w:hAnsi="仿宋" w:eastAsia="仿宋" w:cs="仿宋_GB2312"/>
                <w:szCs w:val="28"/>
              </w:rPr>
            </w:pPr>
            <w:r>
              <w:rPr>
                <w:rFonts w:hint="eastAsia" w:ascii="仿宋" w:hAnsi="仿宋" w:eastAsia="仿宋" w:cs="仿宋_GB2312"/>
                <w:szCs w:val="28"/>
              </w:rPr>
              <w:t>层级划分</w:t>
            </w:r>
          </w:p>
        </w:tc>
        <w:tc>
          <w:tcPr>
            <w:tcW w:w="1276" w:type="dxa"/>
            <w:vAlign w:val="center"/>
          </w:tcPr>
          <w:p>
            <w:pPr>
              <w:autoSpaceDE w:val="0"/>
              <w:autoSpaceDN w:val="0"/>
              <w:adjustRightInd w:val="0"/>
              <w:spacing w:line="360" w:lineRule="auto"/>
              <w:jc w:val="center"/>
              <w:rPr>
                <w:rFonts w:ascii="仿宋" w:hAnsi="仿宋" w:eastAsia="仿宋" w:cs="宋体"/>
                <w:szCs w:val="28"/>
              </w:rPr>
            </w:pPr>
            <w:r>
              <w:rPr>
                <w:rFonts w:hint="eastAsia" w:ascii="仿宋" w:hAnsi="仿宋" w:eastAsia="仿宋" w:cs="仿宋_GB2312"/>
                <w:szCs w:val="28"/>
              </w:rPr>
              <w:t>层级位置</w:t>
            </w:r>
          </w:p>
        </w:tc>
        <w:tc>
          <w:tcPr>
            <w:tcW w:w="1276" w:type="dxa"/>
            <w:vAlign w:val="center"/>
          </w:tcPr>
          <w:p>
            <w:pPr>
              <w:autoSpaceDE w:val="0"/>
              <w:autoSpaceDN w:val="0"/>
              <w:adjustRightInd w:val="0"/>
              <w:spacing w:line="360" w:lineRule="auto"/>
              <w:jc w:val="center"/>
              <w:rPr>
                <w:rFonts w:ascii="仿宋" w:hAnsi="仿宋" w:eastAsia="仿宋" w:cs="仿宋_GB2312"/>
                <w:szCs w:val="28"/>
              </w:rPr>
            </w:pPr>
            <w:r>
              <w:rPr>
                <w:rFonts w:hint="eastAsia" w:ascii="仿宋" w:hAnsi="仿宋" w:eastAsia="仿宋" w:cs="仿宋_GB2312"/>
                <w:szCs w:val="28"/>
              </w:rPr>
              <w:t>通信方式</w:t>
            </w:r>
          </w:p>
        </w:tc>
        <w:tc>
          <w:tcPr>
            <w:tcW w:w="4473" w:type="dxa"/>
            <w:vAlign w:val="center"/>
          </w:tcPr>
          <w:p>
            <w:pPr>
              <w:autoSpaceDE w:val="0"/>
              <w:autoSpaceDN w:val="0"/>
              <w:adjustRightInd w:val="0"/>
              <w:spacing w:line="360" w:lineRule="auto"/>
              <w:jc w:val="center"/>
              <w:rPr>
                <w:rFonts w:ascii="仿宋" w:hAnsi="仿宋" w:eastAsia="仿宋" w:cs="宋体"/>
                <w:szCs w:val="28"/>
              </w:rPr>
            </w:pPr>
            <w:r>
              <w:rPr>
                <w:rFonts w:hint="eastAsia" w:ascii="仿宋" w:hAnsi="仿宋" w:eastAsia="仿宋" w:cs="仿宋_GB2312"/>
                <w:szCs w:val="28"/>
              </w:rPr>
              <w:t>主要技术原则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pPr>
              <w:autoSpaceDE w:val="0"/>
              <w:autoSpaceDN w:val="0"/>
              <w:adjustRightInd w:val="0"/>
              <w:spacing w:line="360" w:lineRule="auto"/>
              <w:jc w:val="center"/>
              <w:rPr>
                <w:rFonts w:ascii="仿宋" w:hAnsi="仿宋" w:eastAsia="仿宋" w:cs="仿宋_GB2312"/>
                <w:szCs w:val="28"/>
              </w:rPr>
            </w:pPr>
            <w:r>
              <w:rPr>
                <w:rFonts w:hint="eastAsia" w:ascii="仿宋" w:hAnsi="仿宋" w:eastAsia="仿宋" w:cs="仿宋_GB2312"/>
                <w:szCs w:val="28"/>
              </w:rPr>
              <w:t>通信骨干层</w:t>
            </w:r>
          </w:p>
        </w:tc>
        <w:tc>
          <w:tcPr>
            <w:tcW w:w="1276" w:type="dxa"/>
          </w:tcPr>
          <w:p>
            <w:pPr>
              <w:autoSpaceDE w:val="0"/>
              <w:autoSpaceDN w:val="0"/>
              <w:adjustRightInd w:val="0"/>
              <w:spacing w:line="360" w:lineRule="auto"/>
              <w:rPr>
                <w:rFonts w:ascii="仿宋" w:hAnsi="仿宋" w:eastAsia="仿宋" w:cs="TimesNewRomanPSMT"/>
                <w:szCs w:val="28"/>
              </w:rPr>
            </w:pPr>
            <w:r>
              <w:rPr>
                <w:rFonts w:hint="eastAsia" w:ascii="仿宋" w:hAnsi="仿宋" w:eastAsia="仿宋" w:cs="仿宋_GB2312"/>
                <w:szCs w:val="28"/>
              </w:rPr>
              <w:t>部署在</w:t>
            </w:r>
            <w:r>
              <w:rPr>
                <w:rFonts w:ascii="仿宋" w:hAnsi="仿宋" w:eastAsia="仿宋" w:cs="TimesNewRomanPSMT"/>
                <w:szCs w:val="28"/>
              </w:rPr>
              <w:t>110</w:t>
            </w:r>
            <w:r>
              <w:rPr>
                <w:rFonts w:hint="eastAsia" w:ascii="仿宋" w:hAnsi="仿宋" w:eastAsia="仿宋" w:cs="仿宋_GB2312"/>
                <w:szCs w:val="28"/>
              </w:rPr>
              <w:t>千伏及以上变电站</w:t>
            </w:r>
          </w:p>
        </w:tc>
        <w:tc>
          <w:tcPr>
            <w:tcW w:w="1276" w:type="dxa"/>
          </w:tcPr>
          <w:p>
            <w:pPr>
              <w:autoSpaceDE w:val="0"/>
              <w:autoSpaceDN w:val="0"/>
              <w:adjustRightInd w:val="0"/>
              <w:spacing w:line="360" w:lineRule="auto"/>
              <w:jc w:val="center"/>
              <w:rPr>
                <w:rFonts w:ascii="仿宋" w:hAnsi="仿宋" w:eastAsia="仿宋" w:cs="仿宋_GB2312"/>
                <w:szCs w:val="28"/>
              </w:rPr>
            </w:pPr>
            <w:r>
              <w:rPr>
                <w:rFonts w:hint="eastAsia" w:ascii="仿宋" w:hAnsi="仿宋" w:eastAsia="仿宋" w:cs="仿宋_GB2312"/>
                <w:szCs w:val="28"/>
              </w:rPr>
              <w:t>光纤专网</w:t>
            </w:r>
          </w:p>
        </w:tc>
        <w:tc>
          <w:tcPr>
            <w:tcW w:w="4473" w:type="dxa"/>
          </w:tcPr>
          <w:p>
            <w:pPr>
              <w:autoSpaceDE w:val="0"/>
              <w:autoSpaceDN w:val="0"/>
              <w:adjustRightInd w:val="0"/>
              <w:spacing w:line="360" w:lineRule="auto"/>
              <w:rPr>
                <w:rFonts w:ascii="仿宋" w:hAnsi="仿宋" w:eastAsia="仿宋" w:cs="仿宋_GB2312"/>
                <w:szCs w:val="28"/>
              </w:rPr>
            </w:pPr>
            <w:r>
              <w:rPr>
                <w:rFonts w:ascii="仿宋" w:hAnsi="仿宋" w:eastAsia="仿宋" w:cs="TimesNewRomanPSMT"/>
                <w:szCs w:val="28"/>
              </w:rPr>
              <w:t>1</w:t>
            </w:r>
            <w:r>
              <w:rPr>
                <w:rFonts w:hint="eastAsia" w:ascii="仿宋" w:hAnsi="仿宋" w:eastAsia="仿宋" w:cs="仿宋_GB2312"/>
                <w:szCs w:val="28"/>
              </w:rPr>
              <w:t>）组网结构：</w:t>
            </w:r>
            <w:r>
              <w:rPr>
                <w:rFonts w:ascii="仿宋" w:hAnsi="仿宋" w:eastAsia="仿宋" w:cs="TimesNewRomanPSMT"/>
                <w:szCs w:val="28"/>
              </w:rPr>
              <w:t>110</w:t>
            </w:r>
            <w:r>
              <w:rPr>
                <w:rFonts w:hint="eastAsia" w:ascii="仿宋" w:hAnsi="仿宋" w:eastAsia="仿宋" w:cs="仿宋_GB2312"/>
                <w:szCs w:val="28"/>
              </w:rPr>
              <w:t>千伏及以上变电站间采用网状或环形结构。</w:t>
            </w:r>
          </w:p>
          <w:p>
            <w:pPr>
              <w:autoSpaceDE w:val="0"/>
              <w:autoSpaceDN w:val="0"/>
              <w:adjustRightInd w:val="0"/>
              <w:spacing w:line="360" w:lineRule="auto"/>
              <w:rPr>
                <w:rFonts w:ascii="仿宋" w:hAnsi="仿宋" w:eastAsia="仿宋" w:cs="仿宋_GB2312"/>
                <w:szCs w:val="28"/>
              </w:rPr>
            </w:pPr>
            <w:r>
              <w:rPr>
                <w:rFonts w:ascii="仿宋" w:hAnsi="仿宋" w:eastAsia="仿宋" w:cs="TimesNewRomanPSMT"/>
                <w:szCs w:val="28"/>
              </w:rPr>
              <w:t>2</w:t>
            </w:r>
            <w:r>
              <w:rPr>
                <w:rFonts w:hint="eastAsia" w:ascii="仿宋" w:hAnsi="仿宋" w:eastAsia="仿宋" w:cs="仿宋_GB2312"/>
                <w:szCs w:val="28"/>
              </w:rPr>
              <w:t>）通信光缆：利用主网光缆冗余纤芯，不再单独敷设光缆。</w:t>
            </w:r>
          </w:p>
          <w:p>
            <w:pPr>
              <w:autoSpaceDE w:val="0"/>
              <w:autoSpaceDN w:val="0"/>
              <w:adjustRightInd w:val="0"/>
              <w:spacing w:line="360" w:lineRule="auto"/>
              <w:rPr>
                <w:rFonts w:ascii="仿宋" w:hAnsi="仿宋" w:eastAsia="仿宋" w:cs="仿宋_GB2312"/>
                <w:szCs w:val="28"/>
              </w:rPr>
            </w:pPr>
            <w:r>
              <w:rPr>
                <w:rFonts w:ascii="仿宋" w:hAnsi="仿宋" w:eastAsia="仿宋" w:cs="TimesNewRomanPSMT"/>
                <w:szCs w:val="28"/>
              </w:rPr>
              <w:t>3</w:t>
            </w:r>
            <w:r>
              <w:rPr>
                <w:rFonts w:hint="eastAsia" w:ascii="仿宋" w:hAnsi="仿宋" w:eastAsia="仿宋" w:cs="仿宋_GB2312"/>
                <w:szCs w:val="28"/>
              </w:rPr>
              <w:t>）通信设备：</w:t>
            </w:r>
          </w:p>
          <w:p>
            <w:pPr>
              <w:autoSpaceDE w:val="0"/>
              <w:autoSpaceDN w:val="0"/>
              <w:adjustRightInd w:val="0"/>
              <w:spacing w:line="360" w:lineRule="auto"/>
              <w:rPr>
                <w:rFonts w:ascii="仿宋" w:hAnsi="仿宋" w:eastAsia="仿宋" w:cs="仿宋_GB2312"/>
                <w:szCs w:val="28"/>
              </w:rPr>
            </w:pPr>
            <w:r>
              <w:rPr>
                <w:rFonts w:ascii="仿宋" w:hAnsi="仿宋" w:eastAsia="仿宋" w:cs="TimesNewRomanPSMT"/>
                <w:szCs w:val="28"/>
              </w:rPr>
              <w:t>a.</w:t>
            </w:r>
            <w:r>
              <w:rPr>
                <w:rFonts w:hint="eastAsia" w:ascii="仿宋" w:hAnsi="仿宋" w:eastAsia="仿宋" w:cs="仿宋_GB2312"/>
                <w:szCs w:val="28"/>
              </w:rPr>
              <w:t>骨干层节点部署</w:t>
            </w:r>
            <w:r>
              <w:rPr>
                <w:rFonts w:ascii="仿宋" w:hAnsi="仿宋" w:eastAsia="仿宋" w:cs="TimesNewRomanPSMT"/>
                <w:szCs w:val="28"/>
              </w:rPr>
              <w:t>PE</w:t>
            </w:r>
            <w:r>
              <w:rPr>
                <w:rFonts w:hint="eastAsia" w:ascii="仿宋" w:hAnsi="仿宋" w:eastAsia="仿宋" w:cs="仿宋_GB2312"/>
                <w:szCs w:val="28"/>
              </w:rPr>
              <w:t>级路由器或三层千兆级以太网交换机，采用开放式三层路由协议，支持不同设备厂家的互联互通；</w:t>
            </w:r>
          </w:p>
          <w:p>
            <w:pPr>
              <w:autoSpaceDE w:val="0"/>
              <w:autoSpaceDN w:val="0"/>
              <w:adjustRightInd w:val="0"/>
              <w:spacing w:line="360" w:lineRule="auto"/>
              <w:rPr>
                <w:rFonts w:ascii="仿宋" w:hAnsi="仿宋" w:eastAsia="仿宋" w:cs="仿宋_GB2312"/>
                <w:szCs w:val="28"/>
              </w:rPr>
            </w:pPr>
            <w:r>
              <w:rPr>
                <w:rFonts w:ascii="仿宋" w:hAnsi="仿宋" w:eastAsia="仿宋" w:cs="TimesNewRomanPSMT"/>
                <w:szCs w:val="28"/>
              </w:rPr>
              <w:t>b.</w:t>
            </w:r>
            <w:r>
              <w:rPr>
                <w:rFonts w:hint="eastAsia" w:ascii="仿宋" w:hAnsi="仿宋" w:eastAsia="仿宋" w:cs="仿宋_GB2312"/>
                <w:szCs w:val="28"/>
              </w:rPr>
              <w:t>工业以太网交换机接入系统应根据配网终端接口类型，具备承载以太网</w:t>
            </w:r>
            <w:r>
              <w:rPr>
                <w:rFonts w:ascii="仿宋" w:hAnsi="仿宋" w:eastAsia="仿宋" w:cs="TimesNewRomanPSMT"/>
                <w:szCs w:val="28"/>
              </w:rPr>
              <w:t>/IP</w:t>
            </w:r>
            <w:r>
              <w:rPr>
                <w:rFonts w:hint="eastAsia" w:ascii="仿宋" w:hAnsi="仿宋" w:eastAsia="仿宋" w:cs="仿宋_GB2312"/>
                <w:szCs w:val="28"/>
              </w:rPr>
              <w:t>业务和</w:t>
            </w:r>
            <w:r>
              <w:rPr>
                <w:rFonts w:ascii="仿宋" w:hAnsi="仿宋" w:eastAsia="仿宋" w:cs="TimesNewRomanPSMT"/>
                <w:szCs w:val="28"/>
              </w:rPr>
              <w:t>RS232/485</w:t>
            </w:r>
            <w:r>
              <w:rPr>
                <w:rFonts w:hint="eastAsia" w:ascii="仿宋" w:hAnsi="仿宋" w:eastAsia="仿宋" w:cs="仿宋_GB2312"/>
                <w:szCs w:val="28"/>
              </w:rPr>
              <w:t>串口业务的能力，支持</w:t>
            </w:r>
            <w:r>
              <w:rPr>
                <w:rFonts w:ascii="仿宋" w:hAnsi="仿宋" w:eastAsia="仿宋" w:cs="TimesNewRomanPSMT"/>
                <w:szCs w:val="28"/>
              </w:rPr>
              <w:t>IEC60870-5-101</w:t>
            </w:r>
            <w:r>
              <w:rPr>
                <w:rFonts w:hint="eastAsia" w:ascii="仿宋" w:hAnsi="仿宋" w:eastAsia="仿宋" w:cs="仿宋_GB2312"/>
                <w:szCs w:val="28"/>
              </w:rPr>
              <w:t>、</w:t>
            </w:r>
            <w:r>
              <w:rPr>
                <w:rFonts w:ascii="仿宋" w:hAnsi="仿宋" w:eastAsia="仿宋" w:cs="TimesNewRomanPSMT"/>
                <w:szCs w:val="28"/>
              </w:rPr>
              <w:t>IEC60870-5-104</w:t>
            </w:r>
            <w:r>
              <w:rPr>
                <w:rFonts w:hint="eastAsia" w:ascii="仿宋" w:hAnsi="仿宋" w:eastAsia="仿宋" w:cs="仿宋_GB2312"/>
                <w:szCs w:val="28"/>
              </w:rPr>
              <w:t>、</w:t>
            </w:r>
            <w:r>
              <w:rPr>
                <w:rFonts w:ascii="仿宋" w:hAnsi="仿宋" w:eastAsia="仿宋" w:cs="TimesNewRomanPSMT"/>
                <w:szCs w:val="28"/>
              </w:rPr>
              <w:t>CDT</w:t>
            </w:r>
            <w:r>
              <w:rPr>
                <w:rFonts w:hint="eastAsia" w:ascii="仿宋" w:hAnsi="仿宋" w:eastAsia="仿宋" w:cs="仿宋_GB2312"/>
                <w:szCs w:val="28"/>
              </w:rPr>
              <w:t>、</w:t>
            </w:r>
            <w:r>
              <w:rPr>
                <w:rFonts w:ascii="仿宋" w:hAnsi="仿宋" w:eastAsia="仿宋" w:cs="TimesNewRomanPSMT"/>
                <w:szCs w:val="28"/>
              </w:rPr>
              <w:t>DNP</w:t>
            </w:r>
            <w:r>
              <w:rPr>
                <w:rFonts w:hint="eastAsia" w:ascii="仿宋" w:hAnsi="仿宋" w:eastAsia="仿宋" w:cs="仿宋_GB2312"/>
                <w:szCs w:val="28"/>
              </w:rPr>
              <w:t>等多种电力通信规约业务的透传，可选支持语音业务、视频、</w:t>
            </w:r>
            <w:r>
              <w:rPr>
                <w:rFonts w:ascii="仿宋" w:hAnsi="仿宋" w:eastAsia="仿宋" w:cs="TimesNewRomanPSMT"/>
                <w:szCs w:val="28"/>
              </w:rPr>
              <w:t>TDM</w:t>
            </w:r>
            <w:r>
              <w:rPr>
                <w:rFonts w:hint="eastAsia" w:ascii="仿宋" w:hAnsi="仿宋" w:eastAsia="仿宋" w:cs="仿宋_GB2312"/>
                <w:szCs w:val="28"/>
              </w:rPr>
              <w:t>业务等；</w:t>
            </w:r>
          </w:p>
          <w:p>
            <w:pPr>
              <w:autoSpaceDE w:val="0"/>
              <w:autoSpaceDN w:val="0"/>
              <w:adjustRightInd w:val="0"/>
              <w:spacing w:line="360" w:lineRule="auto"/>
              <w:rPr>
                <w:rFonts w:ascii="仿宋" w:hAnsi="仿宋" w:eastAsia="仿宋" w:cs="仿宋_GB2312"/>
                <w:szCs w:val="28"/>
              </w:rPr>
            </w:pPr>
            <w:r>
              <w:rPr>
                <w:rFonts w:ascii="仿宋" w:hAnsi="仿宋" w:eastAsia="仿宋" w:cs="TimesNewRomanPSMT"/>
                <w:szCs w:val="28"/>
              </w:rPr>
              <w:t>c.</w:t>
            </w:r>
            <w:r>
              <w:rPr>
                <w:rFonts w:hint="eastAsia" w:ascii="仿宋" w:hAnsi="仿宋" w:eastAsia="仿宋" w:cs="仿宋_GB2312"/>
                <w:szCs w:val="28"/>
              </w:rPr>
              <w:t>单台通信骨干层交换机原则上至多接入</w:t>
            </w:r>
            <w:r>
              <w:rPr>
                <w:rFonts w:ascii="仿宋" w:hAnsi="仿宋" w:eastAsia="仿宋" w:cs="TimesNewRomanPSMT"/>
                <w:szCs w:val="28"/>
              </w:rPr>
              <w:t>4</w:t>
            </w:r>
            <w:r>
              <w:rPr>
                <w:rFonts w:hint="eastAsia" w:ascii="仿宋" w:hAnsi="仿宋" w:eastAsia="仿宋" w:cs="仿宋_GB2312"/>
                <w:szCs w:val="28"/>
              </w:rPr>
              <w:t>个接入层子环。原则上，若超过</w:t>
            </w:r>
            <w:r>
              <w:rPr>
                <w:rFonts w:ascii="仿宋" w:hAnsi="仿宋" w:eastAsia="仿宋" w:cs="TimesNewRomanPSMT"/>
                <w:szCs w:val="28"/>
              </w:rPr>
              <w:t>4</w:t>
            </w:r>
            <w:r>
              <w:rPr>
                <w:rFonts w:hint="eastAsia" w:ascii="仿宋" w:hAnsi="仿宋" w:eastAsia="仿宋" w:cs="仿宋_GB2312"/>
                <w:szCs w:val="28"/>
              </w:rPr>
              <w:t>个接入层子环，则应新增通信骨干层交换机。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pPr>
              <w:autoSpaceDE w:val="0"/>
              <w:autoSpaceDN w:val="0"/>
              <w:adjustRightInd w:val="0"/>
              <w:spacing w:line="360" w:lineRule="auto"/>
              <w:jc w:val="center"/>
              <w:rPr>
                <w:rFonts w:ascii="仿宋" w:hAnsi="仿宋" w:eastAsia="仿宋" w:cs="仿宋_GB2312"/>
                <w:szCs w:val="28"/>
              </w:rPr>
            </w:pPr>
            <w:r>
              <w:rPr>
                <w:rFonts w:hint="eastAsia" w:ascii="仿宋" w:hAnsi="仿宋" w:eastAsia="仿宋" w:cs="仿宋_GB2312"/>
                <w:szCs w:val="28"/>
              </w:rPr>
              <w:t>通信接入层</w:t>
            </w:r>
          </w:p>
        </w:tc>
        <w:tc>
          <w:tcPr>
            <w:tcW w:w="1276" w:type="dxa"/>
          </w:tcPr>
          <w:p>
            <w:pPr>
              <w:autoSpaceDE w:val="0"/>
              <w:autoSpaceDN w:val="0"/>
              <w:adjustRightInd w:val="0"/>
              <w:spacing w:line="360" w:lineRule="auto"/>
              <w:rPr>
                <w:rFonts w:ascii="仿宋" w:hAnsi="仿宋" w:eastAsia="仿宋" w:cs="仿宋_GB2312"/>
                <w:szCs w:val="28"/>
              </w:rPr>
            </w:pPr>
            <w:r>
              <w:rPr>
                <w:rFonts w:ascii="仿宋" w:hAnsi="仿宋" w:eastAsia="仿宋" w:cs="TimesNewRomanPSMT"/>
                <w:szCs w:val="28"/>
              </w:rPr>
              <w:t>1</w:t>
            </w:r>
            <w:r>
              <w:rPr>
                <w:rFonts w:hint="eastAsia" w:ascii="仿宋" w:hAnsi="仿宋" w:eastAsia="仿宋" w:cs="仿宋_GB2312"/>
                <w:szCs w:val="28"/>
              </w:rPr>
              <w:t>）部署在中</w:t>
            </w:r>
          </w:p>
          <w:p>
            <w:pPr>
              <w:autoSpaceDE w:val="0"/>
              <w:autoSpaceDN w:val="0"/>
              <w:adjustRightInd w:val="0"/>
              <w:spacing w:line="360" w:lineRule="auto"/>
              <w:rPr>
                <w:rFonts w:ascii="仿宋" w:hAnsi="仿宋" w:eastAsia="仿宋" w:cs="仿宋_GB2312"/>
                <w:szCs w:val="28"/>
              </w:rPr>
            </w:pPr>
            <w:r>
              <w:rPr>
                <w:rFonts w:hint="eastAsia" w:ascii="仿宋" w:hAnsi="仿宋" w:eastAsia="仿宋" w:cs="仿宋_GB2312"/>
                <w:szCs w:val="28"/>
              </w:rPr>
              <w:t>压配电站；</w:t>
            </w:r>
          </w:p>
          <w:p>
            <w:pPr>
              <w:autoSpaceDE w:val="0"/>
              <w:autoSpaceDN w:val="0"/>
              <w:adjustRightInd w:val="0"/>
              <w:spacing w:line="360" w:lineRule="auto"/>
              <w:rPr>
                <w:rFonts w:ascii="仿宋" w:hAnsi="仿宋" w:eastAsia="仿宋" w:cs="仿宋_GB2312"/>
                <w:szCs w:val="28"/>
              </w:rPr>
            </w:pPr>
            <w:r>
              <w:rPr>
                <w:rFonts w:ascii="仿宋" w:hAnsi="仿宋" w:eastAsia="仿宋" w:cs="TimesNewRomanPSMT"/>
                <w:szCs w:val="28"/>
              </w:rPr>
              <w:t>2</w:t>
            </w:r>
            <w:r>
              <w:rPr>
                <w:rFonts w:hint="eastAsia" w:ascii="仿宋" w:hAnsi="仿宋" w:eastAsia="仿宋" w:cs="仿宋_GB2312"/>
                <w:szCs w:val="28"/>
              </w:rPr>
              <w:t>）远程遥控配电站点应采用光纤通信，其他业务节点可就近接入。</w:t>
            </w:r>
          </w:p>
        </w:tc>
        <w:tc>
          <w:tcPr>
            <w:tcW w:w="1276" w:type="dxa"/>
          </w:tcPr>
          <w:p>
            <w:pPr>
              <w:autoSpaceDE w:val="0"/>
              <w:autoSpaceDN w:val="0"/>
              <w:adjustRightInd w:val="0"/>
              <w:spacing w:line="360" w:lineRule="auto"/>
              <w:jc w:val="center"/>
              <w:rPr>
                <w:rFonts w:ascii="仿宋" w:hAnsi="仿宋" w:eastAsia="仿宋" w:cs="仿宋_GB2312"/>
                <w:szCs w:val="28"/>
              </w:rPr>
            </w:pPr>
            <w:r>
              <w:rPr>
                <w:rFonts w:hint="eastAsia" w:ascii="仿宋" w:hAnsi="仿宋" w:eastAsia="仿宋" w:cs="仿宋_GB2312"/>
                <w:szCs w:val="28"/>
              </w:rPr>
              <w:t>光纤专网</w:t>
            </w:r>
          </w:p>
        </w:tc>
        <w:tc>
          <w:tcPr>
            <w:tcW w:w="4473" w:type="dxa"/>
          </w:tcPr>
          <w:p>
            <w:pPr>
              <w:autoSpaceDE w:val="0"/>
              <w:autoSpaceDN w:val="0"/>
              <w:adjustRightInd w:val="0"/>
              <w:spacing w:line="360" w:lineRule="auto"/>
              <w:rPr>
                <w:rFonts w:ascii="仿宋" w:hAnsi="仿宋" w:eastAsia="仿宋" w:cs="仿宋_GB2312"/>
                <w:szCs w:val="28"/>
              </w:rPr>
            </w:pPr>
            <w:r>
              <w:rPr>
                <w:rFonts w:ascii="仿宋" w:hAnsi="仿宋" w:eastAsia="仿宋" w:cs="TimesNewRomanPSMT"/>
                <w:szCs w:val="28"/>
              </w:rPr>
              <w:t>1</w:t>
            </w:r>
            <w:r>
              <w:rPr>
                <w:rFonts w:hint="eastAsia" w:ascii="仿宋" w:hAnsi="仿宋" w:eastAsia="仿宋" w:cs="仿宋_GB2312"/>
                <w:szCs w:val="28"/>
              </w:rPr>
              <w:t>）组网结构：各配电站点间采用环形结构，接入骨干层节点。</w:t>
            </w:r>
          </w:p>
          <w:p>
            <w:pPr>
              <w:autoSpaceDE w:val="0"/>
              <w:autoSpaceDN w:val="0"/>
              <w:adjustRightInd w:val="0"/>
              <w:spacing w:line="360" w:lineRule="auto"/>
              <w:rPr>
                <w:rFonts w:ascii="仿宋" w:hAnsi="仿宋" w:eastAsia="仿宋" w:cs="仿宋_GB2312"/>
                <w:szCs w:val="28"/>
              </w:rPr>
            </w:pPr>
            <w:r>
              <w:rPr>
                <w:rFonts w:ascii="仿宋" w:hAnsi="仿宋" w:eastAsia="仿宋" w:cs="TimesNewRomanPSMT"/>
                <w:szCs w:val="28"/>
              </w:rPr>
              <w:t>2</w:t>
            </w:r>
            <w:r>
              <w:rPr>
                <w:rFonts w:hint="eastAsia" w:ascii="仿宋" w:hAnsi="仿宋" w:eastAsia="仿宋" w:cs="仿宋_GB2312"/>
                <w:szCs w:val="28"/>
              </w:rPr>
              <w:t>）通信光缆：光缆纤芯不得少于</w:t>
            </w:r>
            <w:r>
              <w:rPr>
                <w:rFonts w:ascii="仿宋" w:hAnsi="仿宋" w:eastAsia="仿宋" w:cs="TimesNewRomanPSMT"/>
                <w:szCs w:val="28"/>
              </w:rPr>
              <w:t>48</w:t>
            </w:r>
            <w:r>
              <w:rPr>
                <w:rFonts w:hint="eastAsia" w:ascii="仿宋" w:hAnsi="仿宋" w:eastAsia="仿宋" w:cs="仿宋_GB2312"/>
                <w:szCs w:val="28"/>
              </w:rPr>
              <w:t>芯，单环节点总数不得超过</w:t>
            </w:r>
            <w:r>
              <w:rPr>
                <w:rFonts w:ascii="仿宋" w:hAnsi="仿宋" w:eastAsia="仿宋" w:cs="TimesNewRomanPSMT"/>
                <w:szCs w:val="28"/>
              </w:rPr>
              <w:t>35</w:t>
            </w:r>
            <w:r>
              <w:rPr>
                <w:rFonts w:hint="eastAsia" w:ascii="仿宋" w:hAnsi="仿宋" w:eastAsia="仿宋" w:cs="仿宋_GB2312"/>
                <w:szCs w:val="28"/>
              </w:rPr>
              <w:t>个，光缆成端</w:t>
            </w:r>
          </w:p>
          <w:p>
            <w:pPr>
              <w:autoSpaceDE w:val="0"/>
              <w:autoSpaceDN w:val="0"/>
              <w:adjustRightInd w:val="0"/>
              <w:spacing w:line="360" w:lineRule="auto"/>
              <w:rPr>
                <w:rFonts w:ascii="仿宋" w:hAnsi="仿宋" w:eastAsia="仿宋" w:cs="仿宋_GB2312"/>
                <w:szCs w:val="28"/>
              </w:rPr>
            </w:pPr>
            <w:r>
              <w:rPr>
                <w:rFonts w:hint="eastAsia" w:ascii="仿宋" w:hAnsi="仿宋" w:eastAsia="仿宋" w:cs="仿宋_GB2312"/>
                <w:szCs w:val="28"/>
              </w:rPr>
              <w:t>位置尽量靠近一体化保护测控终端或低压配电柜。</w:t>
            </w:r>
          </w:p>
          <w:p>
            <w:pPr>
              <w:autoSpaceDE w:val="0"/>
              <w:autoSpaceDN w:val="0"/>
              <w:adjustRightInd w:val="0"/>
              <w:spacing w:line="360" w:lineRule="auto"/>
              <w:rPr>
                <w:rFonts w:ascii="仿宋" w:hAnsi="仿宋" w:eastAsia="仿宋" w:cs="仿宋_GB2312"/>
                <w:szCs w:val="28"/>
              </w:rPr>
            </w:pPr>
            <w:r>
              <w:rPr>
                <w:rFonts w:ascii="仿宋" w:hAnsi="仿宋" w:eastAsia="仿宋" w:cs="TimesNewRomanPSMT"/>
                <w:szCs w:val="28"/>
              </w:rPr>
              <w:t>3</w:t>
            </w:r>
            <w:r>
              <w:rPr>
                <w:rFonts w:hint="eastAsia" w:ascii="仿宋" w:hAnsi="仿宋" w:eastAsia="仿宋" w:cs="仿宋_GB2312"/>
                <w:szCs w:val="28"/>
              </w:rPr>
              <w:t>）通信设备：</w:t>
            </w:r>
          </w:p>
          <w:p>
            <w:pPr>
              <w:autoSpaceDE w:val="0"/>
              <w:autoSpaceDN w:val="0"/>
              <w:adjustRightInd w:val="0"/>
              <w:spacing w:line="360" w:lineRule="auto"/>
              <w:rPr>
                <w:rFonts w:ascii="仿宋" w:hAnsi="仿宋" w:eastAsia="仿宋" w:cs="仿宋_GB2312"/>
                <w:szCs w:val="28"/>
              </w:rPr>
            </w:pPr>
            <w:r>
              <w:rPr>
                <w:rFonts w:ascii="仿宋" w:hAnsi="仿宋" w:eastAsia="仿宋" w:cs="TimesNewRomanPSMT"/>
                <w:szCs w:val="28"/>
              </w:rPr>
              <w:t>a.</w:t>
            </w:r>
            <w:r>
              <w:rPr>
                <w:rFonts w:hint="eastAsia" w:ascii="仿宋" w:hAnsi="仿宋" w:eastAsia="仿宋" w:cs="仿宋_GB2312"/>
                <w:szCs w:val="28"/>
              </w:rPr>
              <w:t>通信节点部署千兆级光纤以太网交换机，路由收敛性无法满足要求时可以采用厂家私有协议进行组网。</w:t>
            </w:r>
          </w:p>
          <w:p>
            <w:pPr>
              <w:autoSpaceDE w:val="0"/>
              <w:autoSpaceDN w:val="0"/>
              <w:adjustRightInd w:val="0"/>
              <w:spacing w:line="360" w:lineRule="auto"/>
              <w:rPr>
                <w:rFonts w:ascii="仿宋" w:hAnsi="仿宋" w:eastAsia="仿宋" w:cs="仿宋_GB2312"/>
                <w:szCs w:val="28"/>
              </w:rPr>
            </w:pPr>
            <w:r>
              <w:rPr>
                <w:rFonts w:ascii="仿宋" w:hAnsi="仿宋" w:eastAsia="仿宋" w:cs="TimesNewRomanPSMT"/>
                <w:szCs w:val="28"/>
              </w:rPr>
              <w:t>b.</w:t>
            </w:r>
            <w:r>
              <w:rPr>
                <w:rFonts w:hint="eastAsia" w:ascii="仿宋" w:hAnsi="仿宋" w:eastAsia="仿宋" w:cs="仿宋_GB2312"/>
                <w:szCs w:val="28"/>
              </w:rPr>
              <w:t>工业以太网交换机接入系统应根据配网终端接口类型，具备承载以太网</w:t>
            </w:r>
            <w:r>
              <w:rPr>
                <w:rFonts w:ascii="仿宋" w:hAnsi="仿宋" w:eastAsia="仿宋" w:cs="TimesNewRomanPSMT"/>
                <w:szCs w:val="28"/>
              </w:rPr>
              <w:t>/IP</w:t>
            </w:r>
            <w:r>
              <w:rPr>
                <w:rFonts w:hint="eastAsia" w:ascii="仿宋" w:hAnsi="仿宋" w:eastAsia="仿宋" w:cs="仿宋_GB2312"/>
                <w:szCs w:val="28"/>
              </w:rPr>
              <w:t>业务和</w:t>
            </w:r>
            <w:r>
              <w:rPr>
                <w:rFonts w:ascii="仿宋" w:hAnsi="仿宋" w:eastAsia="仿宋" w:cs="TimesNewRomanPSMT"/>
                <w:szCs w:val="28"/>
              </w:rPr>
              <w:t>RS232/485</w:t>
            </w:r>
            <w:r>
              <w:rPr>
                <w:rFonts w:hint="eastAsia" w:ascii="仿宋" w:hAnsi="仿宋" w:eastAsia="仿宋" w:cs="仿宋_GB2312"/>
                <w:szCs w:val="28"/>
              </w:rPr>
              <w:t>串口业务的能力，支持</w:t>
            </w:r>
            <w:r>
              <w:rPr>
                <w:rFonts w:ascii="仿宋" w:hAnsi="仿宋" w:eastAsia="仿宋" w:cs="TimesNewRomanPSMT"/>
                <w:szCs w:val="28"/>
              </w:rPr>
              <w:t>IEC60870-5-101</w:t>
            </w:r>
            <w:r>
              <w:rPr>
                <w:rFonts w:hint="eastAsia" w:ascii="仿宋" w:hAnsi="仿宋" w:eastAsia="仿宋" w:cs="仿宋_GB2312"/>
                <w:szCs w:val="28"/>
              </w:rPr>
              <w:t>、</w:t>
            </w:r>
            <w:r>
              <w:rPr>
                <w:rFonts w:ascii="仿宋" w:hAnsi="仿宋" w:eastAsia="仿宋" w:cs="TimesNewRomanPSMT"/>
                <w:szCs w:val="28"/>
              </w:rPr>
              <w:t>IEC60870-5-104</w:t>
            </w:r>
            <w:r>
              <w:rPr>
                <w:rFonts w:hint="eastAsia" w:ascii="仿宋" w:hAnsi="仿宋" w:eastAsia="仿宋" w:cs="仿宋_GB2312"/>
                <w:szCs w:val="28"/>
              </w:rPr>
              <w:t>、</w:t>
            </w:r>
            <w:r>
              <w:rPr>
                <w:rFonts w:ascii="仿宋" w:hAnsi="仿宋" w:eastAsia="仿宋" w:cs="TimesNewRomanPSMT"/>
                <w:szCs w:val="28"/>
              </w:rPr>
              <w:t>CDT</w:t>
            </w:r>
            <w:r>
              <w:rPr>
                <w:rFonts w:hint="eastAsia" w:ascii="仿宋" w:hAnsi="仿宋" w:eastAsia="仿宋" w:cs="仿宋_GB2312"/>
                <w:szCs w:val="28"/>
              </w:rPr>
              <w:t>、</w:t>
            </w:r>
            <w:r>
              <w:rPr>
                <w:rFonts w:ascii="仿宋" w:hAnsi="仿宋" w:eastAsia="仿宋" w:cs="TimesNewRomanPSMT"/>
                <w:szCs w:val="28"/>
              </w:rPr>
              <w:t>DNP</w:t>
            </w:r>
            <w:r>
              <w:rPr>
                <w:rFonts w:hint="eastAsia" w:ascii="仿宋" w:hAnsi="仿宋" w:eastAsia="仿宋" w:cs="仿宋_GB2312"/>
                <w:szCs w:val="28"/>
              </w:rPr>
              <w:t>等多种电力通信规约业务的透传，可选支持语音业务、视频、</w:t>
            </w:r>
            <w:r>
              <w:rPr>
                <w:rFonts w:ascii="仿宋" w:hAnsi="仿宋" w:eastAsia="仿宋" w:cs="TimesNewRomanPSMT"/>
                <w:szCs w:val="28"/>
              </w:rPr>
              <w:t>TDM</w:t>
            </w:r>
            <w:r>
              <w:rPr>
                <w:rFonts w:hint="eastAsia" w:ascii="仿宋" w:hAnsi="仿宋" w:eastAsia="仿宋" w:cs="仿宋_GB2312"/>
                <w:szCs w:val="28"/>
              </w:rPr>
              <w:t>业务等。</w:t>
            </w:r>
          </w:p>
        </w:tc>
      </w:tr>
    </w:tbl>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（二）</w:t>
      </w:r>
      <w:r>
        <w:rPr>
          <w:rFonts w:hint="eastAsia" w:ascii="仿宋" w:hAnsi="仿宋" w:eastAsia="仿宋" w:cs="宋体"/>
          <w:color w:val="000000"/>
          <w:sz w:val="28"/>
          <w:szCs w:val="28"/>
        </w:rPr>
        <w:t>基本原则</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1.需结合深圳前海蛇口自贸区供电有限公司光缆建设实际需求，采用符合国家及行业相关标准的技术路线，确保设计方案科学、合理、可行。</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2.设计思路需兼顾项目实用性、扩展性和前瞻性，结合现有电网架构，提出简洁高效的设计方法，满足项目长期运行及未来5年的扩建需求。</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3</w:t>
      </w:r>
      <w:r>
        <w:rPr>
          <w:rFonts w:hint="eastAsia" w:ascii="仿宋" w:hAnsi="仿宋" w:eastAsia="仿宋" w:cs="宋体"/>
          <w:color w:val="000000"/>
          <w:sz w:val="28"/>
          <w:szCs w:val="28"/>
        </w:rPr>
        <w:t>.需充分调研深圳前海蛇口自贸区供电有限公司光缆建设的目的、建设环境、核心需求及应用场景，明确项目建设范围、服务对象及整体目标。</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4</w:t>
      </w:r>
      <w:r>
        <w:rPr>
          <w:rFonts w:hint="eastAsia" w:ascii="仿宋" w:hAnsi="仿宋" w:eastAsia="仿宋" w:cs="宋体"/>
          <w:color w:val="000000"/>
          <w:sz w:val="28"/>
          <w:szCs w:val="28"/>
        </w:rPr>
        <w:t>.需结合深圳前海蛇口自贸区供电有限公司电网业务运行特点，准确把握项目与现有电网系统的衔接要求，确保设计方案贴合电网实际运营需求。</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5</w:t>
      </w:r>
      <w:r>
        <w:rPr>
          <w:rFonts w:hint="eastAsia" w:ascii="仿宋" w:hAnsi="仿宋" w:eastAsia="仿宋" w:cs="宋体"/>
          <w:color w:val="000000"/>
          <w:sz w:val="28"/>
          <w:szCs w:val="28"/>
        </w:rPr>
        <w:t>.需树立造价控制意识，在设计过程中优化方案，合理选用材料、技术及工艺，避免不必要的成本浪费。</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6</w:t>
      </w:r>
      <w:r>
        <w:rPr>
          <w:rFonts w:hint="eastAsia" w:ascii="仿宋" w:hAnsi="仿宋" w:eastAsia="仿宋" w:cs="宋体"/>
          <w:color w:val="000000"/>
          <w:sz w:val="28"/>
          <w:szCs w:val="28"/>
        </w:rPr>
        <w:t>.提出明确的造价控制措施，确保设计方案的造价合理合规，符合项目预算要求，同时保障设计质量不降低。</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8</w:t>
      </w:r>
      <w:r>
        <w:rPr>
          <w:rFonts w:hint="eastAsia" w:ascii="仿宋" w:hAnsi="仿宋" w:eastAsia="仿宋" w:cs="宋体"/>
          <w:color w:val="000000"/>
          <w:sz w:val="28"/>
          <w:szCs w:val="28"/>
        </w:rPr>
        <w:t>.建立完善的设计质量管控体系，明确质量检查节点，确保设计成果准确、规范，符合相关标准及项目要求。</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9</w:t>
      </w:r>
      <w:r>
        <w:rPr>
          <w:rFonts w:hint="eastAsia" w:ascii="仿宋" w:hAnsi="仿宋" w:eastAsia="仿宋" w:cs="宋体"/>
          <w:color w:val="000000"/>
          <w:sz w:val="28"/>
          <w:szCs w:val="28"/>
        </w:rPr>
        <w:t>.制定合理的设计进度计划，明确各阶段设计任务及完成时限，提出有效的进度保障措施，确保按时提交设计成果。</w:t>
      </w:r>
    </w:p>
    <w:p>
      <w:pPr>
        <w:shd w:val="clear" w:color="auto" w:fill="FFFFFF"/>
        <w:spacing w:line="360" w:lineRule="auto"/>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1</w:t>
      </w:r>
      <w:r>
        <w:rPr>
          <w:rFonts w:ascii="仿宋" w:hAnsi="仿宋" w:eastAsia="仿宋" w:cs="宋体"/>
          <w:color w:val="000000"/>
          <w:sz w:val="28"/>
          <w:szCs w:val="28"/>
        </w:rPr>
        <w:t>0</w:t>
      </w:r>
      <w:r>
        <w:rPr>
          <w:rFonts w:hint="eastAsia" w:ascii="仿宋" w:hAnsi="仿宋" w:eastAsia="仿宋" w:cs="宋体"/>
          <w:color w:val="000000"/>
          <w:sz w:val="28"/>
          <w:szCs w:val="28"/>
        </w:rPr>
        <w:t>.能识别项目设计阶段可能存在的各类风险，提出针对性的风险防范及应对措施，降低风险对项目设计的影响。</w:t>
      </w:r>
    </w:p>
    <w:p>
      <w:pPr>
        <w:shd w:val="clear" w:color="auto" w:fill="FFFFFF"/>
        <w:spacing w:line="360" w:lineRule="auto"/>
        <w:ind w:firstLine="560" w:firstLineChars="200"/>
        <w:rPr>
          <w:rFonts w:ascii="仿宋" w:hAnsi="仿宋" w:eastAsia="仿宋" w:cs="宋体"/>
          <w:color w:val="000000"/>
          <w:sz w:val="28"/>
          <w:szCs w:val="28"/>
        </w:rPr>
      </w:pPr>
      <w:r>
        <w:rPr>
          <w:rFonts w:ascii="仿宋" w:hAnsi="仿宋" w:eastAsia="仿宋" w:cs="宋体"/>
          <w:color w:val="000000"/>
          <w:sz w:val="28"/>
          <w:szCs w:val="28"/>
        </w:rPr>
        <w:t>11</w:t>
      </w:r>
      <w:r>
        <w:rPr>
          <w:rFonts w:hint="eastAsia" w:ascii="仿宋" w:hAnsi="仿宋" w:eastAsia="仿宋" w:cs="宋体"/>
          <w:color w:val="000000"/>
          <w:sz w:val="28"/>
          <w:szCs w:val="28"/>
        </w:rPr>
        <w:t>.配备专业的设计团队，建立清晰的组织架构，明确各岗位职责，提供充足的人力、技术支持，保障设计工作有序推进，在网络规划、设计及实施阶段，至少提供一名高级网络工程师（至少应具备副高级以上职称、8年以上工作经验、有相似项目设计工作经验2项以上），提供</w:t>
      </w:r>
      <w:r>
        <w:rPr>
          <w:rFonts w:ascii="仿宋" w:hAnsi="仿宋" w:eastAsia="仿宋" w:cs="宋体"/>
          <w:color w:val="000000"/>
          <w:sz w:val="28"/>
          <w:szCs w:val="28"/>
        </w:rPr>
        <w:t>5*8电话和远程的技术支持</w:t>
      </w:r>
      <w:r>
        <w:rPr>
          <w:rFonts w:hint="eastAsia" w:ascii="仿宋" w:hAnsi="仿宋" w:eastAsia="仿宋" w:cs="宋体"/>
          <w:color w:val="000000"/>
          <w:sz w:val="28"/>
          <w:szCs w:val="28"/>
        </w:rPr>
        <w:t>。</w:t>
      </w:r>
    </w:p>
    <w:p>
      <w:pPr>
        <w:adjustRightInd w:val="0"/>
        <w:snapToGrid w:val="0"/>
        <w:spacing w:line="360" w:lineRule="auto"/>
        <w:outlineLvl w:val="2"/>
        <w:rPr>
          <w:rFonts w:ascii="仿宋" w:hAnsi="仿宋" w:eastAsia="仿宋" w:cs="宋体"/>
          <w:szCs w:val="28"/>
        </w:rPr>
      </w:pPr>
      <w:r>
        <w:rPr>
          <w:rFonts w:hint="eastAsia" w:ascii="宋体" w:hAnsi="宋体" w:eastAsia="仿宋" w:cs="宋体"/>
          <w:b/>
          <w:bCs/>
          <w:sz w:val="30"/>
          <w:szCs w:val="30"/>
        </w:rPr>
        <w:t xml:space="preserve">附件二：保密协议 </w:t>
      </w:r>
      <w:r>
        <w:rPr>
          <w:rFonts w:hint="eastAsia" w:ascii="仿宋" w:hAnsi="仿宋" w:eastAsia="仿宋" w:cs="宋体"/>
          <w:b/>
          <w:sz w:val="72"/>
          <w:szCs w:val="28"/>
        </w:rPr>
        <w:t xml:space="preserve"> </w:t>
      </w:r>
      <w:r>
        <w:rPr>
          <w:rFonts w:hint="eastAsia" w:ascii="仿宋" w:hAnsi="仿宋" w:eastAsia="仿宋" w:cs="宋体"/>
          <w:sz w:val="36"/>
          <w:szCs w:val="28"/>
        </w:rPr>
        <w:t xml:space="preserve">  </w:t>
      </w:r>
    </w:p>
    <w:p>
      <w:pPr>
        <w:adjustRightInd w:val="0"/>
        <w:snapToGrid w:val="0"/>
        <w:spacing w:line="360" w:lineRule="auto"/>
        <w:jc w:val="center"/>
        <w:rPr>
          <w:rFonts w:ascii="仿宋" w:hAnsi="仿宋" w:eastAsia="仿宋" w:cs="宋体"/>
          <w:szCs w:val="28"/>
        </w:rPr>
      </w:pPr>
    </w:p>
    <w:p>
      <w:pPr>
        <w:adjustRightInd w:val="0"/>
        <w:snapToGrid w:val="0"/>
        <w:spacing w:line="360" w:lineRule="auto"/>
        <w:rPr>
          <w:rFonts w:ascii="仿宋" w:hAnsi="仿宋" w:eastAsia="仿宋" w:cs="宋体"/>
          <w:bCs/>
          <w:sz w:val="28"/>
          <w:szCs w:val="28"/>
        </w:rPr>
      </w:pPr>
      <w:r>
        <w:rPr>
          <w:rFonts w:hint="eastAsia" w:ascii="仿宋" w:hAnsi="仿宋" w:eastAsia="仿宋" w:cs="宋体"/>
          <w:b/>
          <w:sz w:val="28"/>
          <w:szCs w:val="28"/>
        </w:rPr>
        <w:t>甲方（</w:t>
      </w:r>
      <w:r>
        <w:rPr>
          <w:rFonts w:hint="eastAsia" w:ascii="仿宋" w:hAnsi="仿宋" w:eastAsia="仿宋" w:cs="宋体"/>
          <w:sz w:val="28"/>
          <w:szCs w:val="28"/>
        </w:rPr>
        <w:t>信息所有方</w:t>
      </w:r>
      <w:r>
        <w:rPr>
          <w:rFonts w:hint="eastAsia" w:ascii="仿宋" w:hAnsi="仿宋" w:eastAsia="仿宋" w:cs="宋体"/>
          <w:b/>
          <w:sz w:val="28"/>
          <w:szCs w:val="28"/>
        </w:rPr>
        <w:t>）：</w:t>
      </w:r>
      <w:r>
        <w:rPr>
          <w:rFonts w:ascii="仿宋" w:hAnsi="仿宋" w:eastAsia="仿宋" w:cs="宋体"/>
          <w:bCs/>
          <w:sz w:val="28"/>
          <w:szCs w:val="28"/>
        </w:rPr>
        <w:t xml:space="preserve"> </w:t>
      </w:r>
    </w:p>
    <w:p>
      <w:pPr>
        <w:adjustRightInd w:val="0"/>
        <w:snapToGrid w:val="0"/>
        <w:spacing w:line="360" w:lineRule="auto"/>
        <w:rPr>
          <w:rFonts w:ascii="仿宋" w:hAnsi="仿宋" w:eastAsia="仿宋" w:cs="宋体"/>
          <w:b/>
          <w:sz w:val="28"/>
          <w:szCs w:val="28"/>
        </w:rPr>
      </w:pPr>
      <w:r>
        <w:rPr>
          <w:rFonts w:hint="eastAsia" w:ascii="仿宋" w:hAnsi="仿宋" w:eastAsia="仿宋" w:cs="宋体"/>
          <w:b/>
          <w:sz w:val="28"/>
          <w:szCs w:val="28"/>
        </w:rPr>
        <w:t>乙方（</w:t>
      </w:r>
      <w:r>
        <w:rPr>
          <w:rFonts w:hint="eastAsia" w:ascii="仿宋" w:hAnsi="仿宋" w:eastAsia="仿宋" w:cs="宋体"/>
          <w:sz w:val="28"/>
          <w:szCs w:val="28"/>
        </w:rPr>
        <w:t>信息接收方</w:t>
      </w:r>
      <w:r>
        <w:rPr>
          <w:rFonts w:hint="eastAsia" w:ascii="仿宋" w:hAnsi="仿宋" w:eastAsia="仿宋" w:cs="宋体"/>
          <w:b/>
          <w:sz w:val="28"/>
          <w:szCs w:val="28"/>
        </w:rPr>
        <w:t>）：</w:t>
      </w:r>
      <w:r>
        <w:rPr>
          <w:rFonts w:ascii="仿宋" w:hAnsi="仿宋" w:eastAsia="仿宋" w:cs="宋体"/>
          <w:b/>
          <w:sz w:val="28"/>
          <w:szCs w:val="28"/>
        </w:rPr>
        <w:t xml:space="preserve"> </w:t>
      </w:r>
    </w:p>
    <w:p>
      <w:pPr>
        <w:adjustRightInd w:val="0"/>
        <w:snapToGrid w:val="0"/>
        <w:spacing w:line="360" w:lineRule="auto"/>
        <w:rPr>
          <w:rFonts w:ascii="仿宋" w:hAnsi="仿宋" w:eastAsia="仿宋" w:cs="宋体"/>
          <w:sz w:val="28"/>
          <w:szCs w:val="28"/>
        </w:rPr>
      </w:pPr>
    </w:p>
    <w:p>
      <w:pPr>
        <w:adjustRightInd w:val="0"/>
        <w:snapToGrid w:val="0"/>
        <w:spacing w:line="360" w:lineRule="auto"/>
        <w:rPr>
          <w:rFonts w:ascii="仿宋" w:hAnsi="仿宋" w:eastAsia="仿宋" w:cs="宋体"/>
          <w:sz w:val="28"/>
          <w:szCs w:val="28"/>
        </w:rPr>
      </w:pPr>
      <w:r>
        <w:rPr>
          <w:rFonts w:hint="eastAsia" w:ascii="仿宋" w:hAnsi="仿宋" w:eastAsia="仿宋" w:cs="宋体"/>
          <w:sz w:val="28"/>
          <w:szCs w:val="28"/>
        </w:rPr>
        <w:t>鉴于：</w:t>
      </w:r>
    </w:p>
    <w:p>
      <w:pPr>
        <w:adjustRightInd w:val="0"/>
        <w:snapToGrid w:val="0"/>
        <w:spacing w:line="360" w:lineRule="auto"/>
        <w:rPr>
          <w:rFonts w:ascii="仿宋" w:hAnsi="仿宋" w:eastAsia="仿宋" w:cs="宋体"/>
          <w:sz w:val="28"/>
          <w:szCs w:val="28"/>
        </w:rPr>
      </w:pPr>
      <w:r>
        <w:rPr>
          <w:rFonts w:hint="eastAsia" w:ascii="仿宋" w:hAnsi="仿宋" w:eastAsia="仿宋" w:cs="宋体"/>
          <w:sz w:val="28"/>
          <w:szCs w:val="28"/>
        </w:rPr>
        <w:t>就</w:t>
      </w:r>
      <w:r>
        <w:rPr>
          <w:rFonts w:hint="eastAsia" w:ascii="仿宋" w:hAnsi="仿宋" w:eastAsia="仿宋" w:cs="宋体"/>
          <w:color w:val="FF0000"/>
          <w:sz w:val="28"/>
          <w:szCs w:val="28"/>
        </w:rPr>
        <w:t>公司新型电力系统光纤网络规划设计项目</w:t>
      </w:r>
      <w:r>
        <w:rPr>
          <w:rFonts w:hint="eastAsia" w:ascii="仿宋" w:hAnsi="仿宋" w:eastAsia="仿宋" w:cs="宋体"/>
          <w:sz w:val="28"/>
          <w:szCs w:val="28"/>
        </w:rPr>
        <w:t>，甲方</w:t>
      </w:r>
      <w:r>
        <w:rPr>
          <w:rFonts w:ascii="仿宋" w:hAnsi="仿宋" w:eastAsia="仿宋" w:cs="宋体"/>
          <w:sz w:val="28"/>
          <w:szCs w:val="28"/>
        </w:rPr>
        <w:t>拟</w:t>
      </w:r>
      <w:r>
        <w:rPr>
          <w:rFonts w:hint="eastAsia" w:ascii="仿宋" w:hAnsi="仿宋" w:eastAsia="仿宋" w:cs="宋体"/>
          <w:sz w:val="28"/>
          <w:szCs w:val="28"/>
        </w:rPr>
        <w:t>与乙方合作，在项目合作过程中，甲方将向乙方披露或提供与该项目有关的保密信息。</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为避免甲方提供的保密信息被乙方透露给公众或任何第三方，给甲方和本项目的相关方造成经济损失及其他损失，经友好协商，双方就甲方和本项目的相关方提供的保密信息的取得和保守等有关事宜达成如下协议，以资共同遵守。</w:t>
      </w:r>
    </w:p>
    <w:p>
      <w:pPr>
        <w:adjustRightInd w:val="0"/>
        <w:snapToGrid w:val="0"/>
        <w:spacing w:line="360" w:lineRule="auto"/>
        <w:textAlignment w:val="baseline"/>
        <w:outlineLvl w:val="3"/>
        <w:rPr>
          <w:rFonts w:ascii="仿宋" w:hAnsi="仿宋" w:eastAsia="仿宋" w:cs="宋体"/>
          <w:b/>
          <w:sz w:val="28"/>
          <w:szCs w:val="28"/>
        </w:rPr>
      </w:pPr>
      <w:r>
        <w:rPr>
          <w:rFonts w:hint="eastAsia" w:ascii="仿宋" w:hAnsi="仿宋" w:eastAsia="仿宋" w:cs="宋体"/>
          <w:b/>
          <w:sz w:val="28"/>
          <w:szCs w:val="28"/>
        </w:rPr>
        <w:t>第一条 保密信息定义</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本协议所称保密信息是指：甲方向乙方披露或提供的，或乙方从甲方及其关联公司、合作方获知的，归甲方所有的秘密性、专有性或内部性的技术、商业和其他信息。</w:t>
      </w:r>
    </w:p>
    <w:p>
      <w:pPr>
        <w:adjustRightInd w:val="0"/>
        <w:snapToGrid w:val="0"/>
        <w:spacing w:line="360" w:lineRule="auto"/>
        <w:textAlignment w:val="baseline"/>
        <w:outlineLvl w:val="3"/>
        <w:rPr>
          <w:rFonts w:ascii="仿宋" w:hAnsi="仿宋" w:eastAsia="仿宋" w:cs="宋体"/>
          <w:b/>
          <w:sz w:val="28"/>
          <w:szCs w:val="28"/>
        </w:rPr>
      </w:pPr>
      <w:r>
        <w:rPr>
          <w:rFonts w:hint="eastAsia" w:ascii="仿宋" w:hAnsi="仿宋" w:eastAsia="仿宋" w:cs="宋体"/>
          <w:b/>
          <w:sz w:val="28"/>
          <w:szCs w:val="28"/>
        </w:rPr>
        <w:t>第二条 保密信息范围</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第一条所述保密信息包括但不限于：</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2.1 信息所有方的企业发展战略及实施计划；</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2.2 信息所有方的经营、投资计划；</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2.3 信息所有方的内部管理信息，包括其业务、人事、行政、市场等领域的相关制度、策略、方法、实施体系及管理软件；</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2.4 信息所有方的财务数据、状况等财务信息，包括其</w:t>
      </w:r>
      <w:r>
        <w:rPr>
          <w:rFonts w:hint="eastAsia" w:ascii="仿宋_GB2312" w:hAnsi="仿宋" w:eastAsia="仿宋" w:cs="宋体"/>
          <w:sz w:val="28"/>
          <w:szCs w:val="28"/>
        </w:rPr>
        <w:t>资金及融资状况、</w:t>
      </w:r>
      <w:r>
        <w:rPr>
          <w:rFonts w:hint="eastAsia" w:ascii="仿宋" w:hAnsi="仿宋" w:eastAsia="仿宋" w:cs="宋体"/>
          <w:sz w:val="28"/>
          <w:szCs w:val="28"/>
        </w:rPr>
        <w:t>纳税情况及其员工收入；</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2.5 信息所有方的社会关系网络、情报、人力资源及客户信息；</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2.6 信息所有方的技术信息，包括</w:t>
      </w:r>
      <w:r>
        <w:rPr>
          <w:rFonts w:hint="eastAsia" w:ascii="仿宋_GB2312" w:hAnsi="仿宋" w:eastAsia="仿宋" w:cs="宋体"/>
          <w:sz w:val="28"/>
          <w:szCs w:val="28"/>
        </w:rPr>
        <w:t>技术笔记及文档、保密数据、设计程式、技术设计方案、工程设计、制造方法、工艺流程、技术指标、计算机软件、数据库、研究开发记录、技术报告、检测报告、实验数据、实验结果、图纸、样品、操作手册、技术文档、相关的函电和</w:t>
      </w:r>
      <w:r>
        <w:rPr>
          <w:rFonts w:hint="eastAsia" w:ascii="仿宋" w:hAnsi="仿宋" w:eastAsia="仿宋" w:cs="宋体"/>
          <w:sz w:val="28"/>
          <w:szCs w:val="28"/>
        </w:rPr>
        <w:t>信息所有方</w:t>
      </w:r>
      <w:r>
        <w:rPr>
          <w:rFonts w:hint="eastAsia" w:ascii="仿宋_GB2312" w:hAnsi="仿宋" w:eastAsia="仿宋" w:cs="宋体"/>
          <w:sz w:val="28"/>
          <w:szCs w:val="28"/>
        </w:rPr>
        <w:t>的公司内部系统有关之所有资料、图表、文件、电脑软件等及其他与甲方业务活动和方式有关之资料等；</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2.6 按照法律和协议，信息所有方对第三方负有保密责任的第三方的商业秘密；</w:t>
      </w:r>
    </w:p>
    <w:p>
      <w:pPr>
        <w:adjustRightInd w:val="0"/>
        <w:snapToGrid w:val="0"/>
        <w:spacing w:line="360" w:lineRule="auto"/>
        <w:textAlignment w:val="baseline"/>
        <w:rPr>
          <w:rFonts w:ascii="仿宋_GB2312" w:hAnsi="仿宋" w:eastAsia="仿宋" w:cs="宋体"/>
          <w:spacing w:val="-4"/>
          <w:sz w:val="28"/>
          <w:szCs w:val="28"/>
        </w:rPr>
      </w:pPr>
      <w:r>
        <w:rPr>
          <w:rFonts w:hint="eastAsia" w:ascii="仿宋" w:hAnsi="仿宋" w:eastAsia="仿宋" w:cs="宋体"/>
          <w:sz w:val="28"/>
          <w:szCs w:val="28"/>
        </w:rPr>
        <w:t>2.7</w:t>
      </w:r>
      <w:r>
        <w:rPr>
          <w:rFonts w:hint="eastAsia" w:ascii="仿宋_GB2312" w:hAnsi="仿宋" w:eastAsia="仿宋" w:cs="宋体"/>
          <w:spacing w:val="-4"/>
          <w:sz w:val="28"/>
          <w:szCs w:val="28"/>
        </w:rPr>
        <w:t>本协议所指的保密内容的存在载体，包括但不限于：以文字、数据、符号、图形、图像、声音等方式记载公司保密信息的纸介质、磁介质、光盘等各类物品，磁介质载体包括计算机硬盘、软盘和录音带、录像带等。</w:t>
      </w:r>
    </w:p>
    <w:p>
      <w:pPr>
        <w:adjustRightInd w:val="0"/>
        <w:snapToGrid w:val="0"/>
        <w:spacing w:line="360" w:lineRule="auto"/>
        <w:textAlignment w:val="baseline"/>
        <w:outlineLvl w:val="3"/>
        <w:rPr>
          <w:rFonts w:ascii="仿宋" w:hAnsi="仿宋" w:eastAsia="仿宋" w:cs="宋体"/>
          <w:b/>
          <w:sz w:val="28"/>
          <w:szCs w:val="28"/>
        </w:rPr>
      </w:pPr>
      <w:r>
        <w:rPr>
          <w:rFonts w:hint="eastAsia" w:ascii="仿宋" w:hAnsi="仿宋" w:eastAsia="仿宋" w:cs="宋体"/>
          <w:b/>
          <w:sz w:val="28"/>
          <w:szCs w:val="28"/>
        </w:rPr>
        <w:t>第三条 信息所有方范围</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本协议中的信息所有方指拥有本协议约定的保密信息的甲方，如无相反说明，包括信息所有方掌握保密信息的股东、董事会成员、监事会成员、高级管理人员、业务人员及其他关联机构或人员。该等人员应信息接收方要求为鉴于实施本项目目的在任何场合提供给信息接收方的符合本协议第一条、第二条所约定内容和特征的任何信息均视为本协议约定的保密信息。</w:t>
      </w:r>
    </w:p>
    <w:p>
      <w:pPr>
        <w:adjustRightInd w:val="0"/>
        <w:snapToGrid w:val="0"/>
        <w:spacing w:line="360" w:lineRule="auto"/>
        <w:textAlignment w:val="baseline"/>
        <w:outlineLvl w:val="3"/>
        <w:rPr>
          <w:rFonts w:ascii="仿宋" w:hAnsi="仿宋" w:eastAsia="仿宋" w:cs="宋体"/>
          <w:b/>
          <w:sz w:val="28"/>
          <w:szCs w:val="28"/>
        </w:rPr>
      </w:pPr>
      <w:r>
        <w:rPr>
          <w:rFonts w:hint="eastAsia" w:ascii="仿宋" w:hAnsi="仿宋" w:eastAsia="仿宋" w:cs="宋体"/>
          <w:b/>
          <w:sz w:val="28"/>
          <w:szCs w:val="28"/>
        </w:rPr>
        <w:t>第四条 信息接收方范围</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本协议中的信息接收方指接受本协议约定的保密信息的乙方，如无相反说明，包括信息接收方接受和掌握保密信息的股东、董事会成员、监事会成员、高级管理人员、业务人员及其他关联机构或人员。该等人员为鉴于本案所述目的在任何场合所接受的由信息所有方提供的符合本协议第一条、第二条所约定内容和特征的任何信息均视为本协议约定的保密信息。</w:t>
      </w:r>
    </w:p>
    <w:p>
      <w:pPr>
        <w:adjustRightInd w:val="0"/>
        <w:snapToGrid w:val="0"/>
        <w:spacing w:line="360" w:lineRule="auto"/>
        <w:textAlignment w:val="baseline"/>
        <w:outlineLvl w:val="3"/>
        <w:rPr>
          <w:rFonts w:ascii="仿宋" w:hAnsi="仿宋" w:eastAsia="仿宋" w:cs="宋体"/>
          <w:b/>
          <w:sz w:val="28"/>
          <w:szCs w:val="28"/>
        </w:rPr>
      </w:pPr>
      <w:r>
        <w:rPr>
          <w:rFonts w:hint="eastAsia" w:ascii="仿宋" w:hAnsi="仿宋" w:eastAsia="仿宋" w:cs="宋体"/>
          <w:b/>
          <w:sz w:val="28"/>
          <w:szCs w:val="28"/>
        </w:rPr>
        <w:t>第五条 保密义务</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对信息所有方拥有的保密信息，信息接收方同意：</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5.1 信息接收方以最严格的态度和措施采取一切保密措施对信息所有方的保密信息进行保护，避免该等保密信息被不当披露或使用；</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5.2 未经信息所有方书面授权许可，信息接收方不得将保密信息及由信息所有方披露、提供的磁盘等其它载体所记录的各种信息进行复写、复制、摘录或转移给任何第三方，除为本合同项目之目的外，不得以任何目的使用于其他任何项目；</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5.3 信息接收方应当与能够接触该保密信息或执行本合同目的的员工、代表人、代理人等参与本项目之必要人员签订一份与本协议内容一致并具有充分救济措施的保密协议，担保该等人员将同样遵守信息接收方依本协议书所应负保密义务，并对信息接收方参与此项目人员的泄密行为承担全部责任；</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5.4 信息接收方一旦发现信息所有方移交的信息被他人窃取、复制</w:t>
      </w:r>
      <w:r>
        <w:rPr>
          <w:rFonts w:hint="eastAsia" w:ascii="仿宋" w:hAnsi="仿宋" w:eastAsia="仿宋" w:cs="宋体"/>
          <w:sz w:val="28"/>
          <w:szCs w:val="28"/>
          <w:lang w:eastAsia="zh-Hans"/>
        </w:rPr>
        <w:t>或信息可能遭受泄露</w:t>
      </w:r>
      <w:r>
        <w:rPr>
          <w:rFonts w:hint="eastAsia" w:ascii="仿宋" w:hAnsi="仿宋" w:eastAsia="仿宋" w:cs="宋体"/>
          <w:sz w:val="28"/>
          <w:szCs w:val="28"/>
        </w:rPr>
        <w:t>时，立即向信息所有方报告，并采取果断的有效措施防止失泄密的进一步扩大；</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5.5 不复制或通过反向工程使用该秘密；</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5.6 信息接收方应将保密信息的使用严格控制在履行本项目所需的必要最小限度内，不得将保密信息用于其它任何与本项目无关的目的或超出履行本项目所需的必要最小限度使用保密信息；</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5.7 有关本合同项下的保密信息均归属信息所有方所有，信息接收方不因签署本协议而取得保密信息之任何授权或其他法律上之权利。未经信息所有方书面同意，信息接收方不得擅自利用甲方的上述信息及资料进行新的研究与开发或用于其他项目；</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5.8 信息接收方在没有收到信息所有方事先书面同意的情况下，不得将工作照片发表，不得做有关合同的声明及发布，也不得将本合同及其成果用于商业产品广告中；</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5.9 如果谈判或合作项目不再继续进行或其中一方因故退出此项目或合同解除、终止、履约结束，信息接收方应在合同解除、终止、履约结束之日起【7】个工作日内按信息所有方要求销毁或向信息所有方返还其占有的或控制的全部保密资料以及包含或体现了保密资料的全部文件和其他材料并连同全部副本。</w:t>
      </w:r>
      <w:r>
        <w:rPr>
          <w:rFonts w:hint="eastAsia" w:ascii="仿宋" w:hAnsi="仿宋" w:eastAsia="仿宋" w:cs="宋体"/>
          <w:sz w:val="28"/>
          <w:szCs w:val="28"/>
          <w:lang w:eastAsia="zh-Hans"/>
        </w:rPr>
        <w:t>经信息所有方书面确认后，方可认定信息接收方完成本条款义务。</w:t>
      </w:r>
    </w:p>
    <w:p>
      <w:pPr>
        <w:adjustRightInd w:val="0"/>
        <w:snapToGrid w:val="0"/>
        <w:spacing w:line="360" w:lineRule="auto"/>
        <w:textAlignment w:val="baseline"/>
        <w:outlineLvl w:val="3"/>
        <w:rPr>
          <w:rFonts w:ascii="仿宋" w:hAnsi="仿宋" w:eastAsia="仿宋" w:cs="宋体"/>
          <w:b/>
          <w:sz w:val="28"/>
          <w:szCs w:val="28"/>
        </w:rPr>
      </w:pPr>
      <w:r>
        <w:rPr>
          <w:rFonts w:hint="eastAsia" w:ascii="仿宋" w:hAnsi="仿宋" w:eastAsia="仿宋" w:cs="宋体"/>
          <w:b/>
          <w:sz w:val="28"/>
          <w:szCs w:val="28"/>
        </w:rPr>
        <w:t>第六条 保密义务的例外</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 xml:space="preserve">双方同意下列信息不属于本协议所定义的保密信息，因而不受本协议的约束：    </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 xml:space="preserve">6.1 信息接收方向第三人所透露的其从信息所有方获得的信息，是已被信息所有方或其他机构或个人以任何方式予以公开的信息； </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6.2 在信息接收方收到信息所有方提供的信息之前即已通过合法渠道获悉的信息或虽通过不合法渠道获悉但信息接收方对此无过错的信息；</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6.3 若信息接收方在法定情况下被要求向政府部门、司法机关提供本协议项下的保密信息，信息接收方在此等情况下所为的披露信息行为不视为对本协议的违反，但信息接收方应在不违法的情况下立即向信息所有方通报情况，以便其采取合法和适当的保密信息保护措施。</w:t>
      </w:r>
    </w:p>
    <w:p>
      <w:pPr>
        <w:adjustRightInd w:val="0"/>
        <w:snapToGrid w:val="0"/>
        <w:spacing w:line="360" w:lineRule="auto"/>
        <w:textAlignment w:val="baseline"/>
        <w:outlineLvl w:val="3"/>
        <w:rPr>
          <w:rFonts w:ascii="仿宋" w:hAnsi="仿宋" w:eastAsia="仿宋" w:cs="宋体"/>
          <w:b/>
          <w:sz w:val="28"/>
          <w:szCs w:val="28"/>
        </w:rPr>
      </w:pPr>
      <w:r>
        <w:rPr>
          <w:rFonts w:hint="eastAsia" w:ascii="仿宋" w:hAnsi="仿宋" w:eastAsia="仿宋" w:cs="宋体"/>
          <w:b/>
          <w:sz w:val="28"/>
          <w:szCs w:val="28"/>
        </w:rPr>
        <w:t>第七条 保密期限</w:t>
      </w:r>
    </w:p>
    <w:p>
      <w:pPr>
        <w:adjustRightInd w:val="0"/>
        <w:snapToGrid w:val="0"/>
        <w:spacing w:line="360" w:lineRule="auto"/>
        <w:textAlignment w:val="baseline"/>
        <w:rPr>
          <w:rFonts w:ascii="仿宋" w:hAnsi="仿宋" w:eastAsia="仿宋" w:cs="宋体"/>
          <w:b/>
          <w:sz w:val="28"/>
          <w:szCs w:val="28"/>
        </w:rPr>
      </w:pPr>
      <w:r>
        <w:rPr>
          <w:rFonts w:hint="eastAsia" w:ascii="仿宋" w:hAnsi="仿宋" w:eastAsia="仿宋" w:cs="宋体"/>
          <w:sz w:val="28"/>
          <w:szCs w:val="28"/>
        </w:rPr>
        <w:t>本协议自签订之日起至本协议涉及的保密信息公开之日止长期有效，不论双方是否继续洽商本项目计划、事后是否签署任何正式合同或协议，均不影响本协议书之效力。即使双方为本项目所签署的合同或协议事后因故变更、终止、解除或消灭，亦不影响本协议之效力。</w:t>
      </w:r>
    </w:p>
    <w:p>
      <w:pPr>
        <w:adjustRightInd w:val="0"/>
        <w:snapToGrid w:val="0"/>
        <w:spacing w:line="360" w:lineRule="auto"/>
        <w:textAlignment w:val="baseline"/>
        <w:outlineLvl w:val="3"/>
        <w:rPr>
          <w:rFonts w:ascii="仿宋" w:hAnsi="仿宋" w:eastAsia="仿宋" w:cs="宋体"/>
          <w:b/>
          <w:sz w:val="28"/>
          <w:szCs w:val="28"/>
        </w:rPr>
      </w:pPr>
      <w:r>
        <w:rPr>
          <w:rFonts w:hint="eastAsia" w:ascii="仿宋" w:hAnsi="仿宋" w:eastAsia="仿宋" w:cs="宋体"/>
          <w:b/>
          <w:sz w:val="28"/>
          <w:szCs w:val="28"/>
        </w:rPr>
        <w:t>第八条 违约责任</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若信息接收方违反保密义务的，信息所有方</w:t>
      </w:r>
      <w:r>
        <w:rPr>
          <w:rFonts w:hint="eastAsia" w:ascii="仿宋" w:hAnsi="仿宋" w:eastAsia="仿宋" w:cs="宋体"/>
          <w:sz w:val="28"/>
          <w:szCs w:val="28"/>
          <w:lang w:val="en-AU"/>
        </w:rPr>
        <w:t>将依法和根据本协议追究信息接收方的责任</w:t>
      </w:r>
      <w:r>
        <w:rPr>
          <w:rFonts w:hint="eastAsia" w:ascii="仿宋" w:hAnsi="仿宋" w:eastAsia="仿宋" w:cs="宋体"/>
          <w:sz w:val="28"/>
          <w:szCs w:val="28"/>
        </w:rPr>
        <w:t>，包括但不限于要求接收方承担赔偿责任、解除涉案项目及双方之间其他项目合作协议。赔偿金额以实际损失为准，包括直接损失及间接损失（如预期利益、对三方赔偿、为追索债权而支付的诉讼费、律师费、保全费、保全担保费等），损失难以确定的，信息接收方最低承担人民币</w:t>
      </w:r>
      <w:r>
        <w:rPr>
          <w:rFonts w:ascii="仿宋" w:hAnsi="仿宋" w:eastAsia="仿宋" w:cs="宋体"/>
          <w:sz w:val="28"/>
          <w:szCs w:val="28"/>
        </w:rPr>
        <w:t>50</w:t>
      </w:r>
      <w:r>
        <w:rPr>
          <w:rFonts w:hint="eastAsia" w:ascii="仿宋" w:hAnsi="仿宋" w:eastAsia="仿宋" w:cs="宋体"/>
          <w:sz w:val="28"/>
          <w:szCs w:val="28"/>
        </w:rPr>
        <w:t>万元的违约责任。</w:t>
      </w:r>
    </w:p>
    <w:p>
      <w:pPr>
        <w:adjustRightInd w:val="0"/>
        <w:snapToGrid w:val="0"/>
        <w:spacing w:line="360" w:lineRule="auto"/>
        <w:textAlignment w:val="baseline"/>
        <w:outlineLvl w:val="3"/>
        <w:rPr>
          <w:rFonts w:ascii="仿宋" w:hAnsi="仿宋" w:eastAsia="仿宋" w:cs="宋体"/>
          <w:b/>
          <w:sz w:val="28"/>
          <w:szCs w:val="28"/>
        </w:rPr>
      </w:pPr>
      <w:r>
        <w:rPr>
          <w:rFonts w:hint="eastAsia" w:ascii="仿宋" w:hAnsi="仿宋" w:eastAsia="仿宋" w:cs="宋体"/>
          <w:b/>
          <w:sz w:val="28"/>
          <w:szCs w:val="28"/>
        </w:rPr>
        <w:t>第九条 争议解决</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本协议适用中华人民共和国法律、法规的规定，并在所有方面依其进行解释。</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由本协议产生的一切争议由双方友好协商解决。协商不成，双方可向信息所有方所在地有管辖权的人民法院起诉。</w:t>
      </w:r>
    </w:p>
    <w:p>
      <w:pPr>
        <w:adjustRightInd w:val="0"/>
        <w:snapToGrid w:val="0"/>
        <w:spacing w:line="360" w:lineRule="auto"/>
        <w:textAlignment w:val="baseline"/>
        <w:outlineLvl w:val="3"/>
        <w:rPr>
          <w:rFonts w:ascii="仿宋" w:hAnsi="仿宋" w:eastAsia="仿宋" w:cs="宋体"/>
          <w:b/>
          <w:sz w:val="28"/>
          <w:szCs w:val="28"/>
        </w:rPr>
      </w:pPr>
      <w:r>
        <w:rPr>
          <w:rFonts w:hint="eastAsia" w:ascii="仿宋" w:hAnsi="仿宋" w:eastAsia="仿宋" w:cs="宋体"/>
          <w:b/>
          <w:sz w:val="28"/>
          <w:szCs w:val="28"/>
        </w:rPr>
        <w:t>第十条 其他约定</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10.1如果本协议的任何条款规定不合法或者不可执行，协议其他部分的有效性和可执行性仍不受影响；</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10.2 本协议正本一式【肆】份，各方各执【贰】份。</w:t>
      </w:r>
    </w:p>
    <w:p>
      <w:pPr>
        <w:adjustRightInd w:val="0"/>
        <w:snapToGrid w:val="0"/>
        <w:spacing w:line="360" w:lineRule="auto"/>
        <w:textAlignment w:val="baseline"/>
        <w:rPr>
          <w:rFonts w:ascii="仿宋" w:hAnsi="仿宋" w:eastAsia="仿宋" w:cs="宋体"/>
          <w:sz w:val="28"/>
          <w:szCs w:val="28"/>
        </w:rPr>
      </w:pPr>
      <w:r>
        <w:rPr>
          <w:rFonts w:hint="eastAsia" w:ascii="仿宋" w:hAnsi="仿宋" w:eastAsia="仿宋" w:cs="宋体"/>
          <w:sz w:val="28"/>
          <w:szCs w:val="28"/>
        </w:rPr>
        <w:t>10.3 本协议自双方授权代表签字盖章之日起生效。</w:t>
      </w:r>
    </w:p>
    <w:p>
      <w:pPr>
        <w:adjustRightInd w:val="0"/>
        <w:snapToGrid w:val="0"/>
        <w:spacing w:line="360" w:lineRule="auto"/>
        <w:textAlignment w:val="baseline"/>
        <w:rPr>
          <w:rFonts w:ascii="仿宋" w:hAnsi="仿宋" w:eastAsia="仿宋" w:cs="宋体"/>
          <w:sz w:val="28"/>
          <w:szCs w:val="28"/>
        </w:rPr>
      </w:pPr>
    </w:p>
    <w:p>
      <w:pPr>
        <w:adjustRightInd w:val="0"/>
        <w:snapToGrid w:val="0"/>
        <w:spacing w:line="360" w:lineRule="auto"/>
        <w:textAlignment w:val="baseline"/>
        <w:rPr>
          <w:rFonts w:ascii="仿宋" w:hAnsi="仿宋" w:eastAsia="仿宋" w:cs="宋体"/>
          <w:sz w:val="28"/>
          <w:szCs w:val="28"/>
        </w:rPr>
      </w:pPr>
    </w:p>
    <w:p>
      <w:pPr>
        <w:adjustRightInd w:val="0"/>
        <w:snapToGrid w:val="0"/>
        <w:spacing w:line="360" w:lineRule="auto"/>
        <w:rPr>
          <w:rFonts w:ascii="仿宋" w:hAnsi="仿宋" w:eastAsia="仿宋" w:cs="宋体"/>
          <w:sz w:val="28"/>
          <w:szCs w:val="28"/>
        </w:rPr>
      </w:pPr>
      <w:r>
        <w:rPr>
          <w:rFonts w:hint="eastAsia" w:ascii="仿宋" w:hAnsi="仿宋" w:eastAsia="仿宋" w:cs="宋体"/>
          <w:b/>
          <w:bCs/>
          <w:sz w:val="28"/>
          <w:szCs w:val="28"/>
        </w:rPr>
        <w:t>甲方：</w:t>
      </w:r>
      <w:r>
        <w:rPr>
          <w:rFonts w:hint="eastAsia" w:ascii="仿宋" w:hAnsi="仿宋" w:eastAsia="仿宋" w:cs="宋体"/>
          <w:sz w:val="28"/>
          <w:szCs w:val="28"/>
        </w:rPr>
        <w:t xml:space="preserve"> </w:t>
      </w:r>
    </w:p>
    <w:p>
      <w:pPr>
        <w:adjustRightInd w:val="0"/>
        <w:snapToGrid w:val="0"/>
        <w:spacing w:line="360" w:lineRule="auto"/>
        <w:rPr>
          <w:rFonts w:ascii="仿宋" w:hAnsi="仿宋" w:eastAsia="仿宋" w:cs="宋体"/>
          <w:sz w:val="28"/>
          <w:szCs w:val="28"/>
        </w:rPr>
      </w:pPr>
      <w:r>
        <w:rPr>
          <w:rFonts w:hint="eastAsia" w:ascii="仿宋" w:hAnsi="仿宋" w:eastAsia="仿宋" w:cs="宋体"/>
          <w:sz w:val="28"/>
          <w:szCs w:val="28"/>
        </w:rPr>
        <w:t xml:space="preserve">         </w:t>
      </w:r>
    </w:p>
    <w:p>
      <w:pPr>
        <w:adjustRightInd w:val="0"/>
        <w:snapToGrid w:val="0"/>
        <w:spacing w:line="360" w:lineRule="auto"/>
        <w:rPr>
          <w:rFonts w:ascii="仿宋" w:hAnsi="仿宋" w:eastAsia="仿宋" w:cs="宋体"/>
          <w:sz w:val="28"/>
          <w:szCs w:val="28"/>
        </w:rPr>
      </w:pPr>
      <w:r>
        <w:rPr>
          <w:rFonts w:hint="eastAsia" w:ascii="仿宋" w:hAnsi="仿宋" w:eastAsia="仿宋" w:cs="宋体"/>
          <w:sz w:val="28"/>
          <w:szCs w:val="28"/>
        </w:rPr>
        <w:t xml:space="preserve"> </w:t>
      </w:r>
    </w:p>
    <w:p>
      <w:pPr>
        <w:adjustRightInd w:val="0"/>
        <w:snapToGrid w:val="0"/>
        <w:spacing w:line="360" w:lineRule="auto"/>
        <w:rPr>
          <w:rFonts w:ascii="仿宋" w:hAnsi="仿宋" w:eastAsia="仿宋" w:cs="宋体"/>
          <w:sz w:val="28"/>
          <w:szCs w:val="28"/>
        </w:rPr>
      </w:pPr>
      <w:r>
        <w:rPr>
          <w:rFonts w:hint="eastAsia" w:ascii="仿宋" w:hAnsi="仿宋" w:eastAsia="仿宋" w:cs="宋体"/>
          <w:b/>
          <w:bCs/>
          <w:sz w:val="28"/>
          <w:szCs w:val="28"/>
        </w:rPr>
        <w:t>乙方：</w:t>
      </w:r>
      <w:r>
        <w:rPr>
          <w:rFonts w:ascii="仿宋" w:hAnsi="仿宋" w:eastAsia="仿宋" w:cs="宋体"/>
          <w:sz w:val="28"/>
          <w:szCs w:val="28"/>
        </w:rPr>
        <w:t xml:space="preserve"> </w:t>
      </w:r>
    </w:p>
    <w:p>
      <w:pPr>
        <w:adjustRightInd w:val="0"/>
        <w:snapToGrid w:val="0"/>
        <w:spacing w:line="360" w:lineRule="auto"/>
        <w:jc w:val="right"/>
        <w:rPr>
          <w:rFonts w:ascii="仿宋" w:hAnsi="仿宋" w:eastAsia="仿宋" w:cs="宋体"/>
          <w:sz w:val="28"/>
          <w:szCs w:val="28"/>
        </w:rPr>
      </w:pPr>
      <w:r>
        <w:rPr>
          <w:rFonts w:hint="eastAsia" w:ascii="仿宋" w:hAnsi="仿宋" w:eastAsia="仿宋" w:cs="宋体"/>
          <w:sz w:val="28"/>
          <w:szCs w:val="28"/>
        </w:rPr>
        <w:t xml:space="preserve">                            年  月  日  </w:t>
      </w:r>
    </w:p>
    <w:p>
      <w:pPr>
        <w:shd w:val="clear" w:color="auto" w:fill="FFFFFF"/>
        <w:spacing w:line="360" w:lineRule="auto"/>
        <w:ind w:firstLine="560" w:firstLineChars="200"/>
        <w:rPr>
          <w:rFonts w:ascii="仿宋" w:hAnsi="仿宋" w:eastAsia="仿宋" w:cs="宋体"/>
          <w:color w:val="000000"/>
          <w:sz w:val="28"/>
          <w:szCs w:val="28"/>
        </w:rPr>
      </w:pPr>
    </w:p>
    <w:p/>
    <w:p>
      <w:pPr>
        <w:widowControl/>
        <w:jc w:val="left"/>
        <w:rPr>
          <w:rFonts w:ascii="宋体" w:hAnsi="宋体" w:eastAsia="宋体"/>
        </w:rPr>
      </w:pPr>
      <w:r>
        <w:rPr>
          <w:rFonts w:ascii="宋体" w:hAnsi="宋体" w:eastAsia="宋体"/>
        </w:rPr>
        <w:br w:type="page"/>
      </w:r>
    </w:p>
    <w:p>
      <w:pPr>
        <w:widowControl/>
        <w:jc w:val="left"/>
        <w:rPr>
          <w:rFonts w:ascii="宋体" w:hAnsi="宋体" w:eastAsia="宋体"/>
        </w:rPr>
      </w:pPr>
    </w:p>
    <w:p>
      <w:pPr>
        <w:jc w:val="center"/>
        <w:outlineLvl w:val="0"/>
        <w:rPr>
          <w:rFonts w:ascii="黑体" w:hAnsi="黑体" w:eastAsia="黑体"/>
          <w:b/>
          <w:bCs/>
          <w:sz w:val="44"/>
          <w:szCs w:val="44"/>
        </w:rPr>
      </w:pPr>
      <w:bookmarkStart w:id="125" w:name="_Toc216716603"/>
      <w:bookmarkStart w:id="126" w:name="_Toc11619"/>
      <w:r>
        <w:rPr>
          <w:rFonts w:hint="eastAsia" w:ascii="黑体" w:hAnsi="黑体" w:eastAsia="黑体"/>
          <w:b/>
          <w:bCs/>
          <w:sz w:val="44"/>
          <w:szCs w:val="44"/>
        </w:rPr>
        <w:t>第四章 评审办法</w:t>
      </w:r>
      <w:bookmarkEnd w:id="125"/>
      <w:bookmarkEnd w:id="126"/>
    </w:p>
    <w:p>
      <w:pPr>
        <w:jc w:val="center"/>
        <w:outlineLvl w:val="1"/>
        <w:rPr>
          <w:rFonts w:ascii="黑体" w:hAnsi="黑体" w:eastAsia="黑体"/>
          <w:b/>
          <w:bCs/>
          <w:sz w:val="30"/>
          <w:szCs w:val="30"/>
        </w:rPr>
      </w:pPr>
      <w:bookmarkStart w:id="127" w:name="_Toc216716402"/>
      <w:bookmarkStart w:id="128" w:name="_Toc3744"/>
      <w:bookmarkStart w:id="129" w:name="_Toc132882925"/>
      <w:bookmarkStart w:id="130" w:name="_Toc216716608"/>
      <w:r>
        <w:rPr>
          <w:rFonts w:hint="eastAsia" w:ascii="黑体" w:hAnsi="黑体" w:eastAsia="黑体"/>
          <w:b/>
          <w:bCs/>
          <w:sz w:val="30"/>
          <w:szCs w:val="30"/>
        </w:rPr>
        <w:t>定性</w:t>
      </w:r>
      <w:r>
        <w:rPr>
          <w:rFonts w:ascii="黑体" w:hAnsi="黑体" w:eastAsia="黑体"/>
          <w:b/>
          <w:bCs/>
          <w:sz w:val="30"/>
          <w:szCs w:val="30"/>
        </w:rPr>
        <w:t>评审法（</w:t>
      </w:r>
      <w:r>
        <w:rPr>
          <w:rFonts w:hint="eastAsia" w:ascii="黑体" w:hAnsi="黑体" w:eastAsia="黑体"/>
          <w:b/>
          <w:bCs/>
          <w:sz w:val="30"/>
          <w:szCs w:val="30"/>
        </w:rPr>
        <w:t>评定</w:t>
      </w:r>
      <w:r>
        <w:rPr>
          <w:rFonts w:ascii="黑体" w:hAnsi="黑体" w:eastAsia="黑体"/>
          <w:b/>
          <w:bCs/>
          <w:sz w:val="30"/>
          <w:szCs w:val="30"/>
        </w:rPr>
        <w:t>分离）</w:t>
      </w:r>
      <w:bookmarkEnd w:id="127"/>
      <w:bookmarkEnd w:id="128"/>
    </w:p>
    <w:p>
      <w:pPr>
        <w:spacing w:line="360" w:lineRule="auto"/>
        <w:jc w:val="center"/>
        <w:outlineLvl w:val="2"/>
        <w:rPr>
          <w:rFonts w:ascii="黑体" w:hAnsi="黑体" w:eastAsia="黑体" w:cs="Times New Roman"/>
          <w:b/>
          <w:bCs/>
          <w:color w:val="000000" w:themeColor="text1"/>
          <w:sz w:val="30"/>
          <w:szCs w:val="30"/>
          <w14:textFill>
            <w14:solidFill>
              <w14:schemeClr w14:val="tx1"/>
            </w14:solidFill>
          </w14:textFill>
        </w:rPr>
      </w:pPr>
      <w:r>
        <w:rPr>
          <w:rFonts w:hint="eastAsia" w:ascii="黑体" w:hAnsi="黑体" w:eastAsia="黑体" w:cs="Times New Roman"/>
          <w:b/>
          <w:bCs/>
          <w:color w:val="000000" w:themeColor="text1"/>
          <w:sz w:val="30"/>
          <w:szCs w:val="30"/>
          <w14:textFill>
            <w14:solidFill>
              <w14:schemeClr w14:val="tx1"/>
            </w14:solidFill>
          </w14:textFill>
        </w:rPr>
        <w:t>第一节 评标办法</w:t>
      </w:r>
    </w:p>
    <w:p>
      <w:pPr>
        <w:spacing w:line="360" w:lineRule="auto"/>
        <w:outlineLvl w:val="3"/>
        <w:rPr>
          <w:rFonts w:ascii="宋体" w:hAnsi="宋体" w:eastAsia="宋体" w:cs="Times New Roman"/>
          <w:b/>
          <w:color w:val="000000" w:themeColor="text1"/>
          <w:szCs w:val="20"/>
          <w14:textFill>
            <w14:solidFill>
              <w14:schemeClr w14:val="tx1"/>
            </w14:solidFill>
          </w14:textFill>
        </w:rPr>
      </w:pPr>
      <w:r>
        <w:rPr>
          <w:rFonts w:hint="eastAsia" w:ascii="宋体" w:hAnsi="宋体" w:eastAsia="宋体" w:cs="Times New Roman"/>
          <w:b/>
          <w:color w:val="000000" w:themeColor="text1"/>
          <w:szCs w:val="20"/>
          <w14:textFill>
            <w14:solidFill>
              <w14:schemeClr w14:val="tx1"/>
            </w14:solidFill>
          </w14:textFill>
        </w:rPr>
        <w:t>1</w:t>
      </w:r>
      <w:r>
        <w:rPr>
          <w:rFonts w:ascii="宋体" w:hAnsi="宋体" w:eastAsia="宋体" w:cs="Times New Roman"/>
          <w:b/>
          <w:color w:val="000000" w:themeColor="text1"/>
          <w:szCs w:val="20"/>
          <w14:textFill>
            <w14:solidFill>
              <w14:schemeClr w14:val="tx1"/>
            </w14:solidFill>
          </w14:textFill>
        </w:rPr>
        <w:t xml:space="preserve"> </w:t>
      </w:r>
      <w:r>
        <w:rPr>
          <w:rFonts w:hint="eastAsia" w:ascii="宋体" w:hAnsi="宋体" w:eastAsia="宋体" w:cs="Times New Roman"/>
          <w:b/>
          <w:color w:val="000000" w:themeColor="text1"/>
          <w:szCs w:val="20"/>
          <w14:textFill>
            <w14:solidFill>
              <w14:schemeClr w14:val="tx1"/>
            </w14:solidFill>
          </w14:textFill>
        </w:rPr>
        <w:t>初步评审</w:t>
      </w:r>
    </w:p>
    <w:p>
      <w:pPr>
        <w:spacing w:line="360" w:lineRule="auto"/>
        <w:ind w:firstLine="420" w:firstLineChars="200"/>
        <w:rPr>
          <w:rFonts w:ascii="宋体" w:hAnsi="宋体" w:eastAsia="宋体"/>
        </w:rPr>
      </w:pPr>
      <w:r>
        <w:rPr>
          <w:rFonts w:hint="eastAsia" w:ascii="宋体" w:hAnsi="宋体" w:eastAsia="宋体"/>
        </w:rPr>
        <w:t>1.1 评审小组</w:t>
      </w:r>
      <w:r>
        <w:rPr>
          <w:rFonts w:ascii="宋体" w:hAnsi="宋体" w:eastAsia="宋体"/>
        </w:rPr>
        <w:t>根据</w:t>
      </w:r>
      <w:r>
        <w:rPr>
          <w:rFonts w:hint="eastAsia" w:ascii="宋体" w:hAnsi="宋体" w:eastAsia="宋体"/>
        </w:rPr>
        <w:t>采购</w:t>
      </w:r>
      <w:r>
        <w:rPr>
          <w:rFonts w:ascii="宋体" w:hAnsi="宋体" w:eastAsia="宋体"/>
        </w:rPr>
        <w:t>文件有关</w:t>
      </w:r>
      <w:r>
        <w:rPr>
          <w:rFonts w:hint="eastAsia" w:ascii="宋体" w:hAnsi="宋体" w:eastAsia="宋体"/>
        </w:rPr>
        <w:t>废标</w:t>
      </w:r>
      <w:r>
        <w:rPr>
          <w:rFonts w:ascii="宋体" w:hAnsi="宋体" w:eastAsia="宋体"/>
        </w:rPr>
        <w:t>情形的规定，</w:t>
      </w:r>
      <w:r>
        <w:rPr>
          <w:rFonts w:hint="eastAsia" w:ascii="宋体" w:hAnsi="宋体" w:eastAsia="宋体"/>
        </w:rPr>
        <w:t>对</w:t>
      </w:r>
      <w:r>
        <w:rPr>
          <w:rFonts w:ascii="宋体" w:hAnsi="宋体" w:eastAsia="宋体"/>
        </w:rPr>
        <w:t>所有应当受理的</w:t>
      </w:r>
      <w:r>
        <w:rPr>
          <w:rFonts w:hint="eastAsia" w:ascii="宋体" w:hAnsi="宋体" w:eastAsia="宋体"/>
        </w:rPr>
        <w:t>报价</w:t>
      </w:r>
      <w:r>
        <w:rPr>
          <w:rFonts w:ascii="宋体" w:hAnsi="宋体" w:eastAsia="宋体"/>
        </w:rPr>
        <w:t>文件是否</w:t>
      </w:r>
      <w:r>
        <w:rPr>
          <w:rFonts w:hint="eastAsia" w:ascii="宋体" w:hAnsi="宋体" w:eastAsia="宋体"/>
        </w:rPr>
        <w:t>作废标处理</w:t>
      </w:r>
      <w:r>
        <w:rPr>
          <w:rFonts w:ascii="宋体" w:hAnsi="宋体" w:eastAsia="宋体"/>
        </w:rPr>
        <w:t>进行评审判定。</w:t>
      </w:r>
    </w:p>
    <w:p>
      <w:pPr>
        <w:spacing w:line="360" w:lineRule="auto"/>
        <w:ind w:firstLine="420" w:firstLineChars="200"/>
        <w:rPr>
          <w:rFonts w:ascii="宋体" w:hAnsi="宋体" w:eastAsia="宋体"/>
        </w:rPr>
      </w:pPr>
      <w:r>
        <w:rPr>
          <w:rFonts w:hint="eastAsia" w:ascii="宋体" w:hAnsi="宋体" w:eastAsia="宋体"/>
        </w:rPr>
        <w:t>1.2 评审小组作出</w:t>
      </w:r>
      <w:r>
        <w:rPr>
          <w:rFonts w:ascii="宋体" w:hAnsi="宋体" w:eastAsia="宋体"/>
        </w:rPr>
        <w:t>废标处理后，剩余</w:t>
      </w:r>
      <w:r>
        <w:rPr>
          <w:rFonts w:hint="eastAsia" w:ascii="宋体" w:hAnsi="宋体" w:eastAsia="宋体"/>
        </w:rPr>
        <w:t>供应商</w:t>
      </w:r>
      <w:r>
        <w:rPr>
          <w:rFonts w:ascii="宋体" w:hAnsi="宋体" w:eastAsia="宋体"/>
        </w:rPr>
        <w:t>的投标报价</w:t>
      </w:r>
      <w:r>
        <w:rPr>
          <w:rFonts w:hint="eastAsia" w:ascii="宋体" w:hAnsi="宋体" w:eastAsia="宋体"/>
        </w:rPr>
        <w:t>如</w:t>
      </w:r>
      <w:r>
        <w:rPr>
          <w:rFonts w:ascii="宋体" w:hAnsi="宋体" w:eastAsia="宋体"/>
        </w:rPr>
        <w:t>出现</w:t>
      </w:r>
      <w:r>
        <w:rPr>
          <w:rFonts w:hint="eastAsia" w:ascii="宋体" w:hAnsi="宋体" w:eastAsia="宋体"/>
        </w:rPr>
        <w:t>算术</w:t>
      </w:r>
      <w:r>
        <w:rPr>
          <w:rFonts w:ascii="宋体" w:hAnsi="宋体" w:eastAsia="宋体"/>
        </w:rPr>
        <w:t>错误</w:t>
      </w:r>
      <w:r>
        <w:rPr>
          <w:rFonts w:hint="eastAsia" w:ascii="宋体" w:hAnsi="宋体" w:eastAsia="宋体"/>
        </w:rPr>
        <w:t>，</w:t>
      </w:r>
      <w:r>
        <w:rPr>
          <w:rFonts w:ascii="宋体" w:hAnsi="宋体" w:eastAsia="宋体"/>
        </w:rPr>
        <w:t>按投标报价</w:t>
      </w:r>
      <w:r>
        <w:rPr>
          <w:rFonts w:hint="eastAsia" w:ascii="宋体" w:hAnsi="宋体" w:eastAsia="宋体"/>
        </w:rPr>
        <w:t>的</w:t>
      </w:r>
      <w:r>
        <w:rPr>
          <w:rFonts w:ascii="宋体" w:hAnsi="宋体" w:eastAsia="宋体"/>
        </w:rPr>
        <w:t>调整方法进行调整</w:t>
      </w:r>
      <w:r>
        <w:rPr>
          <w:rFonts w:hint="eastAsia" w:ascii="宋体" w:hAnsi="宋体" w:eastAsia="宋体"/>
        </w:rPr>
        <w:t>。如果供应商</w:t>
      </w:r>
      <w:r>
        <w:rPr>
          <w:rFonts w:ascii="宋体" w:hAnsi="宋体" w:eastAsia="宋体"/>
        </w:rPr>
        <w:t>拒不接受调整方法以及调整后的报价</w:t>
      </w:r>
      <w:r>
        <w:rPr>
          <w:rFonts w:hint="eastAsia" w:ascii="宋体" w:hAnsi="宋体" w:eastAsia="宋体"/>
        </w:rPr>
        <w:t>，</w:t>
      </w:r>
      <w:r>
        <w:rPr>
          <w:rFonts w:ascii="宋体" w:hAnsi="宋体" w:eastAsia="宋体"/>
        </w:rPr>
        <w:t>其</w:t>
      </w:r>
      <w:r>
        <w:rPr>
          <w:rFonts w:hint="eastAsia" w:ascii="宋体" w:hAnsi="宋体" w:eastAsia="宋体"/>
        </w:rPr>
        <w:t>投标</w:t>
      </w:r>
      <w:r>
        <w:rPr>
          <w:rFonts w:ascii="宋体" w:hAnsi="宋体" w:eastAsia="宋体"/>
        </w:rPr>
        <w:t>将被拒绝。</w:t>
      </w:r>
    </w:p>
    <w:p>
      <w:pPr>
        <w:spacing w:line="360" w:lineRule="auto"/>
        <w:ind w:firstLine="420" w:firstLineChars="200"/>
        <w:rPr>
          <w:rFonts w:ascii="宋体" w:hAnsi="宋体" w:eastAsia="宋体"/>
        </w:rPr>
      </w:pPr>
      <w:r>
        <w:rPr>
          <w:rFonts w:hint="eastAsia" w:ascii="宋体" w:hAnsi="宋体" w:eastAsia="宋体"/>
        </w:rPr>
        <w:t>1.3 通过</w:t>
      </w:r>
      <w:r>
        <w:rPr>
          <w:rFonts w:ascii="宋体" w:hAnsi="宋体" w:eastAsia="宋体"/>
        </w:rPr>
        <w:t>以上评审的</w:t>
      </w:r>
      <w:r>
        <w:rPr>
          <w:rFonts w:hint="eastAsia" w:ascii="宋体" w:hAnsi="宋体" w:eastAsia="宋体"/>
        </w:rPr>
        <w:t>报价</w:t>
      </w:r>
      <w:r>
        <w:rPr>
          <w:rFonts w:ascii="宋体" w:hAnsi="宋体" w:eastAsia="宋体"/>
        </w:rPr>
        <w:t>文件，进入</w:t>
      </w:r>
      <w:r>
        <w:rPr>
          <w:rFonts w:hint="eastAsia" w:ascii="宋体" w:hAnsi="宋体" w:eastAsia="宋体"/>
        </w:rPr>
        <w:t>下一阶段</w:t>
      </w:r>
      <w:r>
        <w:rPr>
          <w:rFonts w:ascii="宋体" w:hAnsi="宋体" w:eastAsia="宋体"/>
        </w:rPr>
        <w:t>评审。</w:t>
      </w:r>
    </w:p>
    <w:p>
      <w:pPr>
        <w:spacing w:line="360" w:lineRule="auto"/>
        <w:outlineLvl w:val="3"/>
        <w:rPr>
          <w:rFonts w:ascii="宋体" w:hAnsi="宋体" w:eastAsia="宋体" w:cs="Times New Roman"/>
          <w:b/>
          <w:color w:val="000000" w:themeColor="text1"/>
          <w:szCs w:val="20"/>
          <w14:textFill>
            <w14:solidFill>
              <w14:schemeClr w14:val="tx1"/>
            </w14:solidFill>
          </w14:textFill>
        </w:rPr>
      </w:pPr>
      <w:r>
        <w:rPr>
          <w:rFonts w:ascii="宋体" w:hAnsi="宋体" w:eastAsia="宋体" w:cs="Times New Roman"/>
          <w:b/>
          <w:color w:val="000000" w:themeColor="text1"/>
          <w:szCs w:val="20"/>
          <w14:textFill>
            <w14:solidFill>
              <w14:schemeClr w14:val="tx1"/>
            </w14:solidFill>
          </w14:textFill>
        </w:rPr>
        <w:t xml:space="preserve">2 </w:t>
      </w:r>
      <w:r>
        <w:rPr>
          <w:rFonts w:hint="eastAsia" w:ascii="宋体" w:hAnsi="宋体" w:eastAsia="宋体" w:cs="Times New Roman"/>
          <w:b/>
          <w:color w:val="000000" w:themeColor="text1"/>
          <w:szCs w:val="20"/>
          <w14:textFill>
            <w14:solidFill>
              <w14:schemeClr w14:val="tx1"/>
            </w14:solidFill>
          </w14:textFill>
        </w:rPr>
        <w:t>详细</w:t>
      </w:r>
      <w:r>
        <w:rPr>
          <w:rFonts w:ascii="宋体" w:hAnsi="宋体" w:eastAsia="宋体" w:cs="Times New Roman"/>
          <w:b/>
          <w:color w:val="000000" w:themeColor="text1"/>
          <w:szCs w:val="20"/>
          <w14:textFill>
            <w14:solidFill>
              <w14:schemeClr w14:val="tx1"/>
            </w14:solidFill>
          </w14:textFill>
        </w:rPr>
        <w:t>评审</w:t>
      </w:r>
    </w:p>
    <w:p>
      <w:pPr>
        <w:spacing w:line="360" w:lineRule="auto"/>
        <w:ind w:firstLine="420" w:firstLineChars="200"/>
        <w:rPr>
          <w:rFonts w:ascii="宋体" w:hAnsi="宋体" w:eastAsia="宋体"/>
        </w:rPr>
      </w:pPr>
      <w:r>
        <w:rPr>
          <w:rFonts w:hint="eastAsia" w:ascii="宋体" w:hAnsi="宋体" w:eastAsia="宋体"/>
        </w:rPr>
        <w:t>2.1 评审小组按照采购</w:t>
      </w:r>
      <w:r>
        <w:rPr>
          <w:rFonts w:ascii="宋体" w:hAnsi="宋体" w:eastAsia="宋体"/>
        </w:rPr>
        <w:t>文件的评审要素，对通过初步评审的</w:t>
      </w:r>
      <w:r>
        <w:rPr>
          <w:rFonts w:hint="eastAsia" w:ascii="宋体" w:hAnsi="宋体" w:eastAsia="宋体"/>
        </w:rPr>
        <w:t>供应商提交</w:t>
      </w:r>
      <w:r>
        <w:rPr>
          <w:rFonts w:ascii="宋体" w:hAnsi="宋体" w:eastAsia="宋体"/>
        </w:rPr>
        <w:t>的</w:t>
      </w:r>
      <w:r>
        <w:rPr>
          <w:rFonts w:hint="eastAsia" w:ascii="宋体" w:hAnsi="宋体" w:eastAsia="宋体"/>
        </w:rPr>
        <w:t>报价</w:t>
      </w:r>
      <w:r>
        <w:rPr>
          <w:rFonts w:ascii="宋体" w:hAnsi="宋体" w:eastAsia="宋体"/>
        </w:rPr>
        <w:t>文件进行详细评审</w:t>
      </w:r>
      <w:r>
        <w:rPr>
          <w:rFonts w:hint="eastAsia" w:ascii="宋体" w:hAnsi="宋体" w:eastAsia="宋体"/>
        </w:rPr>
        <w:t>，</w:t>
      </w:r>
      <w:r>
        <w:rPr>
          <w:rFonts w:ascii="宋体" w:hAnsi="宋体" w:eastAsia="宋体"/>
        </w:rPr>
        <w:t>具体评审要要素</w:t>
      </w:r>
      <w:r>
        <w:rPr>
          <w:rFonts w:hint="eastAsia" w:ascii="宋体" w:hAnsi="宋体" w:eastAsia="宋体"/>
        </w:rPr>
        <w:t>见评定标</w:t>
      </w:r>
      <w:r>
        <w:rPr>
          <w:rFonts w:ascii="宋体" w:hAnsi="宋体" w:eastAsia="宋体"/>
        </w:rPr>
        <w:t>附件。</w:t>
      </w:r>
    </w:p>
    <w:p>
      <w:pPr>
        <w:spacing w:line="360" w:lineRule="auto"/>
        <w:ind w:firstLine="420" w:firstLineChars="200"/>
        <w:rPr>
          <w:rFonts w:ascii="宋体" w:hAnsi="宋体" w:eastAsia="宋体"/>
        </w:rPr>
      </w:pPr>
      <w:r>
        <w:rPr>
          <w:rFonts w:ascii="宋体" w:hAnsi="宋体" w:eastAsia="宋体"/>
        </w:rPr>
        <w:t xml:space="preserve">2.2 </w:t>
      </w:r>
      <w:r>
        <w:rPr>
          <w:rFonts w:hint="eastAsia" w:ascii="宋体" w:hAnsi="宋体" w:eastAsia="宋体"/>
        </w:rPr>
        <w:t>评审小组</w:t>
      </w:r>
      <w:r>
        <w:rPr>
          <w:rFonts w:ascii="宋体" w:hAnsi="宋体" w:eastAsia="宋体"/>
        </w:rPr>
        <w:t>各成员</w:t>
      </w:r>
      <w:r>
        <w:rPr>
          <w:rFonts w:hint="eastAsia" w:ascii="宋体" w:hAnsi="宋体" w:eastAsia="宋体"/>
        </w:rPr>
        <w:t>独立</w:t>
      </w:r>
      <w:r>
        <w:rPr>
          <w:rFonts w:ascii="宋体" w:hAnsi="宋体" w:eastAsia="宋体"/>
        </w:rPr>
        <w:t>评审，</w:t>
      </w:r>
      <w:r>
        <w:rPr>
          <w:rFonts w:hint="eastAsia" w:ascii="宋体" w:hAnsi="宋体" w:eastAsia="宋体"/>
        </w:rPr>
        <w:t>按照采购</w:t>
      </w:r>
      <w:r>
        <w:rPr>
          <w:rFonts w:ascii="宋体" w:hAnsi="宋体" w:eastAsia="宋体"/>
        </w:rPr>
        <w:t>文件规定对各</w:t>
      </w:r>
      <w:r>
        <w:rPr>
          <w:rFonts w:hint="eastAsia" w:ascii="宋体" w:hAnsi="宋体" w:eastAsia="宋体"/>
        </w:rPr>
        <w:t>报价</w:t>
      </w:r>
      <w:r>
        <w:rPr>
          <w:rFonts w:ascii="宋体" w:hAnsi="宋体" w:eastAsia="宋体"/>
        </w:rPr>
        <w:t>文件是否满足</w:t>
      </w:r>
      <w:r>
        <w:rPr>
          <w:rFonts w:hint="eastAsia" w:ascii="宋体" w:hAnsi="宋体" w:eastAsia="宋体"/>
        </w:rPr>
        <w:t>采购</w:t>
      </w:r>
      <w:r>
        <w:rPr>
          <w:rFonts w:ascii="宋体" w:hAnsi="宋体" w:eastAsia="宋体"/>
        </w:rPr>
        <w:t>文件实质性要求提出意见</w:t>
      </w:r>
      <w:r>
        <w:rPr>
          <w:rFonts w:hint="eastAsia" w:ascii="宋体" w:hAnsi="宋体" w:eastAsia="宋体"/>
        </w:rPr>
        <w:t>，</w:t>
      </w:r>
      <w:r>
        <w:rPr>
          <w:rFonts w:ascii="宋体" w:hAnsi="宋体" w:eastAsia="宋体"/>
        </w:rPr>
        <w:t>指出各</w:t>
      </w:r>
      <w:r>
        <w:rPr>
          <w:rFonts w:hint="eastAsia" w:ascii="宋体" w:hAnsi="宋体" w:eastAsia="宋体"/>
        </w:rPr>
        <w:t>报价</w:t>
      </w:r>
      <w:r>
        <w:rPr>
          <w:rFonts w:ascii="宋体" w:hAnsi="宋体" w:eastAsia="宋体"/>
        </w:rPr>
        <w:t>文件中的优点和存在的缺陷、签订合同前应当注意和澄清的事项等，</w:t>
      </w:r>
      <w:r>
        <w:rPr>
          <w:rFonts w:hint="eastAsia" w:ascii="宋体" w:hAnsi="宋体" w:eastAsia="宋体"/>
        </w:rPr>
        <w:t>不</w:t>
      </w:r>
      <w:r>
        <w:rPr>
          <w:rFonts w:ascii="宋体" w:hAnsi="宋体" w:eastAsia="宋体"/>
        </w:rPr>
        <w:t>对</w:t>
      </w:r>
      <w:r>
        <w:rPr>
          <w:rFonts w:hint="eastAsia" w:ascii="宋体" w:hAnsi="宋体" w:eastAsia="宋体"/>
        </w:rPr>
        <w:t>报价</w:t>
      </w:r>
      <w:r>
        <w:rPr>
          <w:rFonts w:ascii="宋体" w:hAnsi="宋体" w:eastAsia="宋体"/>
        </w:rPr>
        <w:t>文件进行打分。评审小组经过</w:t>
      </w:r>
      <w:r>
        <w:rPr>
          <w:rFonts w:hint="eastAsia" w:ascii="宋体" w:hAnsi="宋体" w:eastAsia="宋体"/>
        </w:rPr>
        <w:t>讨论</w:t>
      </w:r>
      <w:r>
        <w:rPr>
          <w:rFonts w:ascii="宋体" w:hAnsi="宋体" w:eastAsia="宋体"/>
        </w:rPr>
        <w:t>汇总后，出具对各</w:t>
      </w:r>
      <w:r>
        <w:rPr>
          <w:rFonts w:hint="eastAsia" w:ascii="宋体" w:hAnsi="宋体" w:eastAsia="宋体"/>
        </w:rPr>
        <w:t>供应商报价</w:t>
      </w:r>
      <w:r>
        <w:rPr>
          <w:rFonts w:ascii="宋体" w:hAnsi="宋体" w:eastAsia="宋体"/>
        </w:rPr>
        <w:t>文件的综合评审意见。</w:t>
      </w:r>
    </w:p>
    <w:p>
      <w:pPr>
        <w:spacing w:line="360" w:lineRule="auto"/>
        <w:outlineLvl w:val="3"/>
        <w:rPr>
          <w:rFonts w:ascii="宋体" w:hAnsi="宋体" w:eastAsia="宋体" w:cs="Times New Roman"/>
          <w:b/>
          <w:color w:val="000000" w:themeColor="text1"/>
          <w:szCs w:val="20"/>
          <w14:textFill>
            <w14:solidFill>
              <w14:schemeClr w14:val="tx1"/>
            </w14:solidFill>
          </w14:textFill>
        </w:rPr>
      </w:pPr>
      <w:r>
        <w:rPr>
          <w:rFonts w:hint="eastAsia" w:ascii="宋体" w:hAnsi="宋体" w:eastAsia="宋体" w:cs="Times New Roman"/>
          <w:b/>
          <w:color w:val="000000" w:themeColor="text1"/>
          <w:szCs w:val="20"/>
          <w14:textFill>
            <w14:solidFill>
              <w14:schemeClr w14:val="tx1"/>
            </w14:solidFill>
          </w14:textFill>
        </w:rPr>
        <w:t>3 评标</w:t>
      </w:r>
      <w:r>
        <w:rPr>
          <w:rFonts w:ascii="宋体" w:hAnsi="宋体" w:eastAsia="宋体" w:cs="Times New Roman"/>
          <w:b/>
          <w:color w:val="000000" w:themeColor="text1"/>
          <w:szCs w:val="20"/>
          <w14:textFill>
            <w14:solidFill>
              <w14:schemeClr w14:val="tx1"/>
            </w14:solidFill>
          </w14:textFill>
        </w:rPr>
        <w:t>结果</w:t>
      </w:r>
    </w:p>
    <w:p>
      <w:pPr>
        <w:spacing w:line="360" w:lineRule="auto"/>
        <w:ind w:firstLine="420" w:firstLineChars="200"/>
        <w:rPr>
          <w:rFonts w:ascii="宋体" w:hAnsi="宋体" w:eastAsia="宋体"/>
        </w:rPr>
      </w:pPr>
      <w:r>
        <w:rPr>
          <w:rFonts w:hint="eastAsia" w:ascii="宋体" w:hAnsi="宋体" w:eastAsia="宋体"/>
        </w:rPr>
        <w:t>3.1 评审小组完成</w:t>
      </w:r>
      <w:r>
        <w:rPr>
          <w:rFonts w:ascii="宋体" w:hAnsi="宋体" w:eastAsia="宋体"/>
        </w:rPr>
        <w:t>评标后，</w:t>
      </w:r>
      <w:r>
        <w:rPr>
          <w:rFonts w:hint="eastAsia" w:ascii="宋体" w:hAnsi="宋体" w:eastAsia="宋体"/>
        </w:rPr>
        <w:t>应当</w:t>
      </w:r>
      <w:r>
        <w:rPr>
          <w:rFonts w:ascii="宋体" w:hAnsi="宋体" w:eastAsia="宋体"/>
        </w:rPr>
        <w:t>向</w:t>
      </w:r>
      <w:r>
        <w:rPr>
          <w:rFonts w:hint="eastAsia" w:ascii="宋体" w:hAnsi="宋体" w:eastAsia="宋体"/>
        </w:rPr>
        <w:t>采购</w:t>
      </w:r>
      <w:r>
        <w:rPr>
          <w:rFonts w:ascii="宋体" w:hAnsi="宋体" w:eastAsia="宋体"/>
        </w:rPr>
        <w:t>人提出书面评标报告。评标报告主要内容包括：评审小组</w:t>
      </w:r>
      <w:r>
        <w:rPr>
          <w:rFonts w:hint="eastAsia" w:ascii="宋体" w:hAnsi="宋体" w:eastAsia="宋体"/>
        </w:rPr>
        <w:t>组建</w:t>
      </w:r>
      <w:r>
        <w:rPr>
          <w:rFonts w:ascii="宋体" w:hAnsi="宋体" w:eastAsia="宋体"/>
        </w:rPr>
        <w:t>情况、评标过程概述、各</w:t>
      </w:r>
      <w:r>
        <w:rPr>
          <w:rFonts w:hint="eastAsia" w:ascii="宋体" w:hAnsi="宋体" w:eastAsia="宋体"/>
        </w:rPr>
        <w:t>报价</w:t>
      </w:r>
      <w:r>
        <w:rPr>
          <w:rFonts w:ascii="宋体" w:hAnsi="宋体" w:eastAsia="宋体"/>
        </w:rPr>
        <w:t>文件详细评审表</w:t>
      </w:r>
      <w:r>
        <w:rPr>
          <w:rFonts w:hint="eastAsia" w:ascii="宋体" w:hAnsi="宋体" w:eastAsia="宋体"/>
        </w:rPr>
        <w:t>及</w:t>
      </w:r>
      <w:r>
        <w:rPr>
          <w:rFonts w:ascii="宋体" w:hAnsi="宋体" w:eastAsia="宋体"/>
        </w:rPr>
        <w:t>汇总表</w:t>
      </w:r>
      <w:r>
        <w:rPr>
          <w:rFonts w:hint="eastAsia" w:ascii="宋体" w:hAnsi="宋体" w:eastAsia="宋体"/>
        </w:rPr>
        <w:t>、</w:t>
      </w:r>
      <w:r>
        <w:rPr>
          <w:rFonts w:ascii="宋体" w:hAnsi="宋体" w:eastAsia="宋体"/>
        </w:rPr>
        <w:t>无效标和废标处理情况、</w:t>
      </w:r>
      <w:r>
        <w:rPr>
          <w:rFonts w:hint="eastAsia" w:ascii="宋体" w:hAnsi="宋体" w:eastAsia="宋体"/>
        </w:rPr>
        <w:t>推荐成交</w:t>
      </w:r>
      <w:r>
        <w:rPr>
          <w:rFonts w:ascii="宋体" w:hAnsi="宋体" w:eastAsia="宋体"/>
        </w:rPr>
        <w:t>候选人名单、签订合同签订</w:t>
      </w:r>
      <w:r>
        <w:rPr>
          <w:rFonts w:hint="eastAsia" w:ascii="宋体" w:hAnsi="宋体" w:eastAsia="宋体"/>
        </w:rPr>
        <w:t>应</w:t>
      </w:r>
      <w:r>
        <w:rPr>
          <w:rFonts w:ascii="宋体" w:hAnsi="宋体" w:eastAsia="宋体"/>
        </w:rPr>
        <w:t>注意和澄清事项、澄清、说明、补正事项纪要等。</w:t>
      </w:r>
    </w:p>
    <w:p>
      <w:pPr>
        <w:spacing w:line="360" w:lineRule="auto"/>
        <w:ind w:firstLine="420" w:firstLineChars="200"/>
        <w:rPr>
          <w:rFonts w:ascii="宋体" w:hAnsi="宋体" w:eastAsia="宋体"/>
        </w:rPr>
      </w:pPr>
      <w:r>
        <w:rPr>
          <w:rFonts w:hint="eastAsia" w:ascii="宋体" w:hAnsi="宋体" w:eastAsia="宋体"/>
        </w:rPr>
        <w:t>3.2 本采购项目</w:t>
      </w:r>
      <w:r>
        <w:rPr>
          <w:rFonts w:ascii="宋体" w:hAnsi="宋体" w:eastAsia="宋体"/>
        </w:rPr>
        <w:t>推荐无排序的</w:t>
      </w:r>
      <w:r>
        <w:rPr>
          <w:rFonts w:hint="eastAsia" w:ascii="宋体" w:hAnsi="宋体" w:eastAsia="宋体"/>
        </w:rPr>
        <w:t>成交</w:t>
      </w:r>
      <w:r>
        <w:rPr>
          <w:rFonts w:ascii="宋体" w:hAnsi="宋体" w:eastAsia="宋体"/>
        </w:rPr>
        <w:t>候选人，</w:t>
      </w:r>
      <w:r>
        <w:rPr>
          <w:rFonts w:hint="eastAsia" w:ascii="宋体" w:hAnsi="宋体" w:eastAsia="宋体"/>
        </w:rPr>
        <w:t>所有递交</w:t>
      </w:r>
      <w:r>
        <w:rPr>
          <w:rFonts w:ascii="宋体" w:hAnsi="宋体" w:eastAsia="宋体"/>
        </w:rPr>
        <w:t>的</w:t>
      </w:r>
      <w:r>
        <w:rPr>
          <w:rFonts w:hint="eastAsia" w:ascii="宋体" w:hAnsi="宋体" w:eastAsia="宋体"/>
        </w:rPr>
        <w:t>报价</w:t>
      </w:r>
      <w:r>
        <w:rPr>
          <w:rFonts w:ascii="宋体" w:hAnsi="宋体" w:eastAsia="宋体"/>
        </w:rPr>
        <w:t>文件不被判定为</w:t>
      </w:r>
      <w:r>
        <w:rPr>
          <w:rFonts w:hint="eastAsia" w:ascii="宋体" w:hAnsi="宋体" w:eastAsia="宋体"/>
        </w:rPr>
        <w:t>无效标</w:t>
      </w:r>
      <w:r>
        <w:rPr>
          <w:rFonts w:ascii="宋体" w:hAnsi="宋体" w:eastAsia="宋体"/>
        </w:rPr>
        <w:t>或废标的</w:t>
      </w:r>
      <w:r>
        <w:rPr>
          <w:rFonts w:hint="eastAsia" w:ascii="宋体" w:hAnsi="宋体" w:eastAsia="宋体"/>
        </w:rPr>
        <w:t>供应商</w:t>
      </w:r>
      <w:r>
        <w:rPr>
          <w:rFonts w:ascii="宋体" w:hAnsi="宋体" w:eastAsia="宋体"/>
        </w:rPr>
        <w:t>均推荐进入定标程序。</w:t>
      </w:r>
    </w:p>
    <w:p>
      <w:pPr>
        <w:spacing w:line="360" w:lineRule="auto"/>
        <w:outlineLvl w:val="3"/>
        <w:rPr>
          <w:rFonts w:ascii="宋体" w:hAnsi="宋体" w:eastAsia="宋体" w:cs="Times New Roman"/>
          <w:b/>
          <w:color w:val="000000" w:themeColor="text1"/>
          <w:szCs w:val="20"/>
          <w14:textFill>
            <w14:solidFill>
              <w14:schemeClr w14:val="tx1"/>
            </w14:solidFill>
          </w14:textFill>
        </w:rPr>
      </w:pPr>
      <w:r>
        <w:rPr>
          <w:rFonts w:hint="eastAsia" w:ascii="宋体" w:hAnsi="宋体" w:eastAsia="宋体" w:cs="Times New Roman"/>
          <w:b/>
          <w:color w:val="000000" w:themeColor="text1"/>
          <w:szCs w:val="20"/>
          <w14:textFill>
            <w14:solidFill>
              <w14:schemeClr w14:val="tx1"/>
            </w14:solidFill>
          </w14:textFill>
        </w:rPr>
        <w:t>4 其他规定</w:t>
      </w:r>
    </w:p>
    <w:p>
      <w:pPr>
        <w:spacing w:line="360" w:lineRule="auto"/>
        <w:ind w:firstLine="420" w:firstLineChars="200"/>
        <w:rPr>
          <w:rFonts w:ascii="宋体" w:hAnsi="宋体" w:eastAsia="宋体"/>
        </w:rPr>
      </w:pPr>
      <w:r>
        <w:rPr>
          <w:rFonts w:hint="eastAsia" w:ascii="宋体" w:hAnsi="宋体" w:eastAsia="宋体"/>
        </w:rPr>
        <w:t>4.1 评标</w:t>
      </w:r>
      <w:r>
        <w:rPr>
          <w:rFonts w:ascii="宋体" w:hAnsi="宋体" w:eastAsia="宋体"/>
        </w:rPr>
        <w:t>过程中</w:t>
      </w:r>
      <w:r>
        <w:rPr>
          <w:rFonts w:hint="eastAsia" w:ascii="宋体" w:hAnsi="宋体" w:eastAsia="宋体"/>
        </w:rPr>
        <w:t>，</w:t>
      </w:r>
      <w:r>
        <w:rPr>
          <w:rFonts w:ascii="宋体" w:hAnsi="宋体" w:eastAsia="宋体"/>
        </w:rPr>
        <w:t>评审小组成员意见</w:t>
      </w:r>
      <w:r>
        <w:rPr>
          <w:rFonts w:hint="eastAsia" w:ascii="宋体" w:hAnsi="宋体" w:eastAsia="宋体"/>
        </w:rPr>
        <w:t>不一致</w:t>
      </w:r>
      <w:r>
        <w:rPr>
          <w:rFonts w:ascii="宋体" w:hAnsi="宋体" w:eastAsia="宋体"/>
        </w:rPr>
        <w:t>时，应作进一步讨论。评审小组成员对任何一个</w:t>
      </w:r>
      <w:r>
        <w:rPr>
          <w:rFonts w:hint="eastAsia" w:ascii="宋体" w:hAnsi="宋体" w:eastAsia="宋体"/>
        </w:rPr>
        <w:t>报价</w:t>
      </w:r>
      <w:r>
        <w:rPr>
          <w:rFonts w:ascii="宋体" w:hAnsi="宋体" w:eastAsia="宋体"/>
        </w:rPr>
        <w:t>文件的质疑，应当在讨论或现场讲解时提出。表决</w:t>
      </w:r>
      <w:r>
        <w:rPr>
          <w:rFonts w:hint="eastAsia" w:ascii="宋体" w:hAnsi="宋体" w:eastAsia="宋体"/>
        </w:rPr>
        <w:t>结果</w:t>
      </w:r>
      <w:r>
        <w:rPr>
          <w:rFonts w:ascii="宋体" w:hAnsi="宋体" w:eastAsia="宋体"/>
        </w:rPr>
        <w:t>确定后才提出的质疑，不可作为改变表决结果的依据。</w:t>
      </w:r>
    </w:p>
    <w:p>
      <w:pPr>
        <w:spacing w:line="360" w:lineRule="auto"/>
        <w:ind w:firstLine="420" w:firstLineChars="200"/>
        <w:rPr>
          <w:rFonts w:ascii="宋体" w:hAnsi="宋体" w:eastAsia="宋体"/>
        </w:rPr>
      </w:pPr>
      <w:r>
        <w:rPr>
          <w:rFonts w:hint="eastAsia" w:ascii="宋体" w:hAnsi="宋体" w:eastAsia="宋体"/>
        </w:rPr>
        <w:t>4.2 如果供应商</w:t>
      </w:r>
      <w:r>
        <w:rPr>
          <w:rFonts w:ascii="宋体" w:hAnsi="宋体" w:eastAsia="宋体"/>
        </w:rPr>
        <w:t>所提交的</w:t>
      </w:r>
      <w:r>
        <w:rPr>
          <w:rFonts w:hint="eastAsia" w:ascii="宋体" w:hAnsi="宋体" w:eastAsia="宋体"/>
        </w:rPr>
        <w:t>报价</w:t>
      </w:r>
      <w:r>
        <w:rPr>
          <w:rFonts w:ascii="宋体" w:hAnsi="宋体" w:eastAsia="宋体"/>
        </w:rPr>
        <w:t>文件超出</w:t>
      </w:r>
      <w:r>
        <w:rPr>
          <w:rFonts w:hint="eastAsia" w:ascii="宋体" w:hAnsi="宋体" w:eastAsia="宋体"/>
        </w:rPr>
        <w:t>采购</w:t>
      </w:r>
      <w:r>
        <w:rPr>
          <w:rFonts w:ascii="宋体" w:hAnsi="宋体" w:eastAsia="宋体"/>
        </w:rPr>
        <w:t>文件要求范围，评审小组对于超出部分不予评审。</w:t>
      </w:r>
    </w:p>
    <w:p>
      <w:pPr>
        <w:spacing w:line="360" w:lineRule="auto"/>
        <w:outlineLvl w:val="2"/>
        <w:rPr>
          <w:rFonts w:ascii="黑体" w:hAnsi="黑体" w:eastAsia="黑体" w:cs="Times New Roman"/>
          <w:b/>
          <w:bCs/>
          <w:color w:val="000000" w:themeColor="text1"/>
          <w:sz w:val="30"/>
          <w:szCs w:val="30"/>
          <w14:textFill>
            <w14:solidFill>
              <w14:schemeClr w14:val="tx1"/>
            </w14:solidFill>
          </w14:textFill>
        </w:rPr>
      </w:pPr>
      <w:r>
        <w:rPr>
          <w:rFonts w:hint="eastAsia" w:ascii="黑体" w:hAnsi="黑体" w:eastAsia="黑体" w:cs="Times New Roman"/>
          <w:b/>
          <w:bCs/>
          <w:color w:val="000000" w:themeColor="text1"/>
          <w:sz w:val="30"/>
          <w:szCs w:val="30"/>
          <w14:textFill>
            <w14:solidFill>
              <w14:schemeClr w14:val="tx1"/>
            </w14:solidFill>
          </w14:textFill>
        </w:rPr>
        <w:t>第二节 定标</w:t>
      </w:r>
      <w:r>
        <w:rPr>
          <w:rFonts w:ascii="黑体" w:hAnsi="黑体" w:eastAsia="黑体" w:cs="Times New Roman"/>
          <w:b/>
          <w:bCs/>
          <w:color w:val="000000" w:themeColor="text1"/>
          <w:sz w:val="30"/>
          <w:szCs w:val="30"/>
          <w14:textFill>
            <w14:solidFill>
              <w14:schemeClr w14:val="tx1"/>
            </w14:solidFill>
          </w14:textFill>
        </w:rPr>
        <w:t>办法</w:t>
      </w:r>
    </w:p>
    <w:p>
      <w:pPr>
        <w:spacing w:line="360" w:lineRule="auto"/>
        <w:outlineLvl w:val="3"/>
        <w:rPr>
          <w:rFonts w:ascii="宋体" w:hAnsi="宋体" w:eastAsia="宋体" w:cs="Times New Roman"/>
          <w:b/>
          <w:color w:val="000000" w:themeColor="text1"/>
          <w:szCs w:val="20"/>
          <w14:textFill>
            <w14:solidFill>
              <w14:schemeClr w14:val="tx1"/>
            </w14:solidFill>
          </w14:textFill>
        </w:rPr>
      </w:pPr>
      <w:r>
        <w:rPr>
          <w:rFonts w:hint="eastAsia" w:ascii="宋体" w:hAnsi="宋体" w:eastAsia="宋体" w:cs="Times New Roman"/>
          <w:b/>
          <w:color w:val="000000" w:themeColor="text1"/>
          <w:szCs w:val="20"/>
          <w14:textFill>
            <w14:solidFill>
              <w14:schemeClr w14:val="tx1"/>
            </w14:solidFill>
          </w14:textFill>
        </w:rPr>
        <w:t>1</w:t>
      </w:r>
      <w:r>
        <w:rPr>
          <w:rFonts w:ascii="宋体" w:hAnsi="宋体" w:eastAsia="宋体" w:cs="Times New Roman"/>
          <w:b/>
          <w:color w:val="000000" w:themeColor="text1"/>
          <w:szCs w:val="20"/>
          <w14:textFill>
            <w14:solidFill>
              <w14:schemeClr w14:val="tx1"/>
            </w14:solidFill>
          </w14:textFill>
        </w:rPr>
        <w:t xml:space="preserve"> </w:t>
      </w:r>
      <w:r>
        <w:rPr>
          <w:rFonts w:hint="eastAsia" w:ascii="宋体" w:hAnsi="宋体" w:eastAsia="宋体" w:cs="Times New Roman"/>
          <w:b/>
          <w:color w:val="000000" w:themeColor="text1"/>
          <w:szCs w:val="20"/>
          <w14:textFill>
            <w14:solidFill>
              <w14:schemeClr w14:val="tx1"/>
            </w14:solidFill>
          </w14:textFill>
        </w:rPr>
        <w:t>定标办法</w:t>
      </w:r>
    </w:p>
    <w:p>
      <w:pPr>
        <w:spacing w:line="360" w:lineRule="auto"/>
        <w:ind w:firstLine="420" w:firstLineChars="200"/>
        <w:rPr>
          <w:rFonts w:ascii="宋体" w:hAnsi="宋体" w:eastAsia="宋体"/>
        </w:rPr>
      </w:pPr>
      <w:r>
        <w:rPr>
          <w:rFonts w:hint="eastAsia" w:ascii="宋体" w:hAnsi="宋体" w:eastAsia="宋体"/>
        </w:rPr>
        <w:t>本采购项目采用</w:t>
      </w:r>
      <w:r>
        <w:rPr>
          <w:rFonts w:ascii="宋体" w:hAnsi="宋体" w:eastAsia="宋体"/>
        </w:rPr>
        <w:t>的定标办法：见“</w:t>
      </w:r>
      <w:r>
        <w:rPr>
          <w:rFonts w:hint="eastAsia" w:ascii="宋体" w:hAnsi="宋体" w:eastAsia="宋体"/>
        </w:rPr>
        <w:t>供应商</w:t>
      </w:r>
      <w:r>
        <w:rPr>
          <w:rFonts w:ascii="宋体" w:hAnsi="宋体" w:eastAsia="宋体"/>
        </w:rPr>
        <w:t>须知前附表”</w:t>
      </w:r>
      <w:r>
        <w:rPr>
          <w:rFonts w:hint="eastAsia" w:ascii="宋体" w:hAnsi="宋体" w:eastAsia="宋体"/>
        </w:rPr>
        <w:t>。</w:t>
      </w:r>
    </w:p>
    <w:p>
      <w:pPr>
        <w:spacing w:line="360" w:lineRule="auto"/>
        <w:ind w:firstLine="422" w:firstLineChars="200"/>
        <w:rPr>
          <w:rFonts w:ascii="宋体" w:hAnsi="宋体" w:eastAsia="宋体"/>
          <w:b/>
        </w:rPr>
      </w:pPr>
      <w:r>
        <w:rPr>
          <w:rFonts w:ascii="宋体" w:hAnsi="宋体" w:eastAsia="宋体"/>
          <w:b/>
        </w:rPr>
        <w:t>1.1 票决</w:t>
      </w:r>
      <w:r>
        <w:rPr>
          <w:rFonts w:hint="eastAsia" w:ascii="宋体" w:hAnsi="宋体" w:eastAsia="宋体"/>
          <w:b/>
        </w:rPr>
        <w:t>定标法</w:t>
      </w:r>
    </w:p>
    <w:p>
      <w:pPr>
        <w:spacing w:line="360" w:lineRule="auto"/>
        <w:ind w:firstLine="420" w:firstLineChars="200"/>
        <w:rPr>
          <w:rFonts w:ascii="宋体" w:hAnsi="宋体" w:eastAsia="宋体"/>
        </w:rPr>
      </w:pPr>
      <w:r>
        <w:rPr>
          <w:rFonts w:hint="eastAsia" w:ascii="宋体" w:hAnsi="宋体" w:eastAsia="宋体"/>
        </w:rPr>
        <w:t>当</w:t>
      </w:r>
      <w:r>
        <w:rPr>
          <w:rFonts w:ascii="宋体" w:hAnsi="宋体" w:eastAsia="宋体"/>
        </w:rPr>
        <w:t>按“</w:t>
      </w:r>
      <w:r>
        <w:rPr>
          <w:rFonts w:hint="eastAsia" w:ascii="宋体" w:hAnsi="宋体" w:eastAsia="宋体"/>
        </w:rPr>
        <w:t>供应商</w:t>
      </w:r>
      <w:r>
        <w:rPr>
          <w:rFonts w:ascii="宋体" w:hAnsi="宋体" w:eastAsia="宋体"/>
        </w:rPr>
        <w:t>须知前附表”</w:t>
      </w:r>
      <w:r>
        <w:rPr>
          <w:rFonts w:hint="eastAsia" w:ascii="宋体" w:hAnsi="宋体" w:eastAsia="宋体"/>
        </w:rPr>
        <w:t>规定</w:t>
      </w:r>
      <w:r>
        <w:rPr>
          <w:rFonts w:ascii="宋体" w:hAnsi="宋体" w:eastAsia="宋体"/>
        </w:rPr>
        <w:t>采用票决</w:t>
      </w:r>
      <w:r>
        <w:rPr>
          <w:rFonts w:hint="eastAsia" w:ascii="宋体" w:hAnsi="宋体" w:eastAsia="宋体"/>
        </w:rPr>
        <w:t>定标</w:t>
      </w:r>
      <w:r>
        <w:rPr>
          <w:rFonts w:ascii="宋体" w:hAnsi="宋体" w:eastAsia="宋体"/>
        </w:rPr>
        <w:t>法时：</w:t>
      </w:r>
    </w:p>
    <w:p>
      <w:pPr>
        <w:spacing w:line="360" w:lineRule="auto"/>
        <w:ind w:firstLine="420" w:firstLineChars="200"/>
        <w:rPr>
          <w:rFonts w:ascii="宋体" w:hAnsi="宋体" w:eastAsia="宋体"/>
        </w:rPr>
      </w:pPr>
      <w:r>
        <w:rPr>
          <w:rFonts w:hint="eastAsia" w:ascii="宋体" w:hAnsi="宋体" w:eastAsia="宋体"/>
        </w:rPr>
        <w:t>（1）评审小组将所有递交</w:t>
      </w:r>
      <w:r>
        <w:rPr>
          <w:rFonts w:ascii="宋体" w:hAnsi="宋体" w:eastAsia="宋体"/>
        </w:rPr>
        <w:t>的</w:t>
      </w:r>
      <w:r>
        <w:rPr>
          <w:rFonts w:hint="eastAsia" w:ascii="宋体" w:hAnsi="宋体" w:eastAsia="宋体"/>
        </w:rPr>
        <w:t>报价</w:t>
      </w:r>
      <w:r>
        <w:rPr>
          <w:rFonts w:ascii="宋体" w:hAnsi="宋体" w:eastAsia="宋体"/>
        </w:rPr>
        <w:t>文件不被判定为</w:t>
      </w:r>
      <w:r>
        <w:rPr>
          <w:rFonts w:hint="eastAsia" w:ascii="宋体" w:hAnsi="宋体" w:eastAsia="宋体"/>
        </w:rPr>
        <w:t>无效标</w:t>
      </w:r>
      <w:r>
        <w:rPr>
          <w:rFonts w:ascii="宋体" w:hAnsi="宋体" w:eastAsia="宋体"/>
        </w:rPr>
        <w:t>或废标的</w:t>
      </w:r>
      <w:r>
        <w:rPr>
          <w:rFonts w:hint="eastAsia" w:ascii="宋体" w:hAnsi="宋体" w:eastAsia="宋体"/>
        </w:rPr>
        <w:t>供应商作为成交</w:t>
      </w:r>
      <w:r>
        <w:rPr>
          <w:rFonts w:ascii="宋体" w:hAnsi="宋体" w:eastAsia="宋体"/>
        </w:rPr>
        <w:t>候选人推荐给</w:t>
      </w:r>
      <w:r>
        <w:rPr>
          <w:rFonts w:hint="eastAsia" w:ascii="宋体" w:hAnsi="宋体" w:eastAsia="宋体"/>
        </w:rPr>
        <w:t>采购</w:t>
      </w:r>
      <w:r>
        <w:rPr>
          <w:rFonts w:ascii="宋体" w:hAnsi="宋体" w:eastAsia="宋体"/>
        </w:rPr>
        <w:t>人，进入定标程序；</w:t>
      </w:r>
    </w:p>
    <w:p>
      <w:pPr>
        <w:spacing w:line="360" w:lineRule="auto"/>
        <w:ind w:firstLine="420" w:firstLineChars="200"/>
        <w:rPr>
          <w:rFonts w:ascii="宋体" w:hAnsi="宋体" w:eastAsia="宋体"/>
        </w:rPr>
      </w:pPr>
      <w:r>
        <w:rPr>
          <w:rFonts w:hint="eastAsia" w:ascii="宋体" w:hAnsi="宋体" w:eastAsia="宋体"/>
        </w:rPr>
        <w:t>（2）采购人</w:t>
      </w:r>
      <w:r>
        <w:rPr>
          <w:rFonts w:ascii="宋体" w:hAnsi="宋体" w:eastAsia="宋体"/>
        </w:rPr>
        <w:t>组建定标委员会，召开定标会，由定标委员会</w:t>
      </w:r>
      <w:r>
        <w:rPr>
          <w:rFonts w:hint="eastAsia" w:ascii="宋体" w:hAnsi="宋体" w:eastAsia="宋体"/>
        </w:rPr>
        <w:t>以</w:t>
      </w:r>
      <w:r>
        <w:rPr>
          <w:rFonts w:ascii="宋体" w:hAnsi="宋体" w:eastAsia="宋体"/>
        </w:rPr>
        <w:t>直接票决或者</w:t>
      </w:r>
      <w:r>
        <w:rPr>
          <w:rFonts w:hint="eastAsia" w:ascii="宋体" w:hAnsi="宋体" w:eastAsia="宋体"/>
        </w:rPr>
        <w:t>逐轮</w:t>
      </w:r>
      <w:r>
        <w:rPr>
          <w:rFonts w:ascii="宋体" w:hAnsi="宋体" w:eastAsia="宋体"/>
        </w:rPr>
        <w:t>票决等方式确定</w:t>
      </w:r>
      <w:r>
        <w:rPr>
          <w:rFonts w:hint="eastAsia" w:ascii="宋体" w:hAnsi="宋体" w:eastAsia="宋体"/>
        </w:rPr>
        <w:t>成交</w:t>
      </w:r>
      <w:r>
        <w:rPr>
          <w:rFonts w:ascii="宋体" w:hAnsi="宋体" w:eastAsia="宋体"/>
        </w:rPr>
        <w:t>人。</w:t>
      </w:r>
    </w:p>
    <w:p>
      <w:pPr>
        <w:spacing w:line="360" w:lineRule="auto"/>
        <w:ind w:firstLine="422" w:firstLineChars="200"/>
        <w:rPr>
          <w:rFonts w:ascii="宋体" w:hAnsi="宋体" w:eastAsia="宋体"/>
          <w:b/>
        </w:rPr>
      </w:pPr>
      <w:r>
        <w:rPr>
          <w:rFonts w:hint="eastAsia" w:ascii="宋体" w:hAnsi="宋体" w:eastAsia="宋体"/>
          <w:b/>
        </w:rPr>
        <w:t>定标票决</w:t>
      </w:r>
      <w:r>
        <w:rPr>
          <w:rFonts w:ascii="宋体" w:hAnsi="宋体" w:eastAsia="宋体"/>
          <w:b/>
        </w:rPr>
        <w:t>方式</w:t>
      </w:r>
    </w:p>
    <w:p>
      <w:pPr>
        <w:spacing w:line="360" w:lineRule="auto"/>
        <w:ind w:firstLine="422" w:firstLineChars="200"/>
        <w:rPr>
          <w:rFonts w:ascii="宋体" w:hAnsi="宋体" w:eastAsia="宋体"/>
          <w:b/>
        </w:rPr>
      </w:pPr>
      <w:r>
        <w:rPr>
          <w:rFonts w:hint="eastAsia" w:ascii="宋体" w:hAnsi="宋体" w:eastAsia="宋体"/>
          <w:b/>
        </w:rPr>
        <w:t>1</w:t>
      </w:r>
      <w:r>
        <w:rPr>
          <w:rFonts w:ascii="宋体" w:hAnsi="宋体" w:eastAsia="宋体"/>
          <w:b/>
        </w:rPr>
        <w:t xml:space="preserve">.1.1 </w:t>
      </w:r>
      <w:r>
        <w:rPr>
          <w:rFonts w:hint="eastAsia" w:ascii="宋体" w:hAnsi="宋体" w:eastAsia="宋体"/>
          <w:b/>
        </w:rPr>
        <w:t>直接</w:t>
      </w:r>
      <w:r>
        <w:rPr>
          <w:rFonts w:ascii="宋体" w:hAnsi="宋体" w:eastAsia="宋体"/>
          <w:b/>
        </w:rPr>
        <w:t>票决法</w:t>
      </w:r>
      <w:r>
        <w:rPr>
          <w:rFonts w:hint="eastAsia" w:ascii="宋体" w:hAnsi="宋体" w:eastAsia="宋体"/>
          <w:b/>
        </w:rPr>
        <w:t>：</w:t>
      </w:r>
    </w:p>
    <w:p>
      <w:pPr>
        <w:spacing w:line="360" w:lineRule="auto"/>
        <w:ind w:firstLine="420" w:firstLineChars="200"/>
        <w:rPr>
          <w:rFonts w:ascii="宋体" w:hAnsi="宋体" w:eastAsia="宋体"/>
        </w:rPr>
      </w:pPr>
      <w:r>
        <w:rPr>
          <w:rFonts w:hint="eastAsia" w:ascii="宋体" w:hAnsi="宋体" w:eastAsia="宋体"/>
        </w:rPr>
        <w:t>1</w:t>
      </w:r>
      <w:r>
        <w:rPr>
          <w:rFonts w:ascii="宋体" w:hAnsi="宋体" w:eastAsia="宋体"/>
        </w:rPr>
        <w:t xml:space="preserve">.1.1.1 </w:t>
      </w:r>
      <w:r>
        <w:rPr>
          <w:rFonts w:hint="eastAsia" w:ascii="宋体" w:hAnsi="宋体" w:eastAsia="宋体"/>
        </w:rPr>
        <w:t>简单多数法</w:t>
      </w:r>
    </w:p>
    <w:p>
      <w:pPr>
        <w:spacing w:line="360" w:lineRule="auto"/>
        <w:ind w:firstLine="420" w:firstLineChars="200"/>
        <w:rPr>
          <w:rFonts w:ascii="宋体" w:hAnsi="宋体" w:eastAsia="宋体"/>
        </w:rPr>
      </w:pPr>
      <w:r>
        <w:rPr>
          <w:rFonts w:hint="eastAsia" w:ascii="宋体" w:hAnsi="宋体" w:eastAsia="宋体"/>
        </w:rPr>
        <w:t>（1）投票</w:t>
      </w:r>
      <w:r>
        <w:rPr>
          <w:rFonts w:ascii="宋体" w:hAnsi="宋体" w:eastAsia="宋体"/>
        </w:rPr>
        <w:t>规则：定标委员会成员按照</w:t>
      </w:r>
      <w:r>
        <w:rPr>
          <w:rFonts w:hint="eastAsia" w:ascii="宋体" w:hAnsi="宋体" w:eastAsia="宋体"/>
        </w:rPr>
        <w:t>采购</w:t>
      </w:r>
      <w:r>
        <w:rPr>
          <w:rFonts w:ascii="宋体" w:hAnsi="宋体" w:eastAsia="宋体"/>
        </w:rPr>
        <w:t>文件规定的推荐数量，在各自的选票上填写相同数量的</w:t>
      </w:r>
      <w:r>
        <w:rPr>
          <w:rFonts w:hint="eastAsia" w:ascii="宋体" w:hAnsi="宋体" w:eastAsia="宋体"/>
        </w:rPr>
        <w:t>供应商</w:t>
      </w:r>
      <w:r>
        <w:rPr>
          <w:rFonts w:ascii="宋体" w:hAnsi="宋体" w:eastAsia="宋体"/>
        </w:rPr>
        <w:t>名称或序号。</w:t>
      </w:r>
    </w:p>
    <w:p>
      <w:pPr>
        <w:spacing w:line="360" w:lineRule="auto"/>
        <w:ind w:firstLine="420" w:firstLineChars="200"/>
        <w:rPr>
          <w:rFonts w:ascii="宋体" w:hAnsi="宋体" w:eastAsia="宋体"/>
        </w:rPr>
      </w:pPr>
      <w:r>
        <w:rPr>
          <w:rFonts w:hint="eastAsia" w:ascii="宋体" w:hAnsi="宋体" w:eastAsia="宋体"/>
        </w:rPr>
        <w:t>（2）计算</w:t>
      </w:r>
      <w:r>
        <w:rPr>
          <w:rFonts w:ascii="宋体" w:hAnsi="宋体" w:eastAsia="宋体"/>
        </w:rPr>
        <w:t>规则：根据得票数的多少进行排名</w:t>
      </w:r>
      <w:r>
        <w:rPr>
          <w:rFonts w:hint="eastAsia" w:ascii="宋体" w:hAnsi="宋体" w:eastAsia="宋体"/>
        </w:rPr>
        <w:t>，</w:t>
      </w:r>
      <w:r>
        <w:rPr>
          <w:rFonts w:ascii="宋体" w:hAnsi="宋体" w:eastAsia="宋体"/>
        </w:rPr>
        <w:t>推荐得票数最多的</w:t>
      </w:r>
      <w:r>
        <w:rPr>
          <w:rFonts w:hint="eastAsia" w:ascii="宋体" w:hAnsi="宋体" w:eastAsia="宋体"/>
        </w:rPr>
        <w:t>候选人</w:t>
      </w:r>
      <w:r>
        <w:rPr>
          <w:rFonts w:ascii="宋体" w:hAnsi="宋体" w:eastAsia="宋体"/>
        </w:rPr>
        <w:t>为</w:t>
      </w:r>
      <w:r>
        <w:rPr>
          <w:rFonts w:hint="eastAsia" w:ascii="宋体" w:hAnsi="宋体" w:eastAsia="宋体"/>
        </w:rPr>
        <w:t>成交</w:t>
      </w:r>
      <w:r>
        <w:rPr>
          <w:rFonts w:ascii="宋体" w:hAnsi="宋体" w:eastAsia="宋体"/>
        </w:rPr>
        <w:t>人。投票</w:t>
      </w:r>
      <w:r>
        <w:rPr>
          <w:rFonts w:hint="eastAsia" w:ascii="宋体" w:hAnsi="宋体" w:eastAsia="宋体"/>
        </w:rPr>
        <w:t>结果中</w:t>
      </w:r>
      <w:r>
        <w:rPr>
          <w:rFonts w:ascii="宋体" w:hAnsi="宋体" w:eastAsia="宋体"/>
        </w:rPr>
        <w:t>排序出现并列情况的，在不影响票决总家数的情况下不需再次票决，投</w:t>
      </w:r>
      <w:r>
        <w:rPr>
          <w:rFonts w:hint="eastAsia" w:ascii="宋体" w:hAnsi="宋体" w:eastAsia="宋体"/>
        </w:rPr>
        <w:t>票</w:t>
      </w:r>
      <w:r>
        <w:rPr>
          <w:rFonts w:ascii="宋体" w:hAnsi="宋体" w:eastAsia="宋体"/>
        </w:rPr>
        <w:t>结果中并列排序影响结果</w:t>
      </w:r>
      <w:r>
        <w:rPr>
          <w:rFonts w:hint="eastAsia" w:ascii="宋体" w:hAnsi="宋体" w:eastAsia="宋体"/>
        </w:rPr>
        <w:t>时</w:t>
      </w:r>
      <w:r>
        <w:rPr>
          <w:rFonts w:ascii="宋体" w:hAnsi="宋体" w:eastAsia="宋体"/>
        </w:rPr>
        <w:t>，</w:t>
      </w:r>
      <w:r>
        <w:rPr>
          <w:rFonts w:hint="eastAsia" w:ascii="宋体" w:hAnsi="宋体" w:eastAsia="宋体"/>
        </w:rPr>
        <w:t>采购</w:t>
      </w:r>
      <w:r>
        <w:rPr>
          <w:rFonts w:ascii="宋体" w:hAnsi="宋体" w:eastAsia="宋体"/>
        </w:rPr>
        <w:t>人对上述并列的候选人进行下一轮投票，直至最终确定</w:t>
      </w:r>
      <w:r>
        <w:rPr>
          <w:rFonts w:hint="eastAsia" w:ascii="宋体" w:hAnsi="宋体" w:eastAsia="宋体"/>
        </w:rPr>
        <w:t>成交</w:t>
      </w:r>
      <w:r>
        <w:rPr>
          <w:rFonts w:ascii="宋体" w:hAnsi="宋体" w:eastAsia="宋体"/>
        </w:rPr>
        <w:t>人。</w:t>
      </w:r>
    </w:p>
    <w:p>
      <w:pPr>
        <w:spacing w:line="360" w:lineRule="auto"/>
        <w:ind w:firstLine="420" w:firstLineChars="200"/>
        <w:rPr>
          <w:rFonts w:ascii="宋体" w:hAnsi="宋体" w:eastAsia="宋体"/>
        </w:rPr>
      </w:pPr>
      <w:r>
        <w:rPr>
          <w:rFonts w:hint="eastAsia" w:ascii="宋体" w:hAnsi="宋体" w:eastAsia="宋体"/>
        </w:rPr>
        <w:t>1</w:t>
      </w:r>
      <w:r>
        <w:rPr>
          <w:rFonts w:ascii="宋体" w:hAnsi="宋体" w:eastAsia="宋体"/>
        </w:rPr>
        <w:t xml:space="preserve">.1.1.2 </w:t>
      </w:r>
      <w:r>
        <w:rPr>
          <w:rFonts w:hint="eastAsia" w:ascii="宋体" w:hAnsi="宋体" w:eastAsia="宋体"/>
        </w:rPr>
        <w:t>简单多数法（且过半数）</w:t>
      </w:r>
    </w:p>
    <w:p>
      <w:pPr>
        <w:spacing w:line="360" w:lineRule="auto"/>
        <w:ind w:firstLine="420" w:firstLineChars="200"/>
        <w:rPr>
          <w:rFonts w:ascii="宋体" w:hAnsi="宋体" w:eastAsia="宋体"/>
        </w:rPr>
      </w:pPr>
      <w:r>
        <w:rPr>
          <w:rFonts w:hint="eastAsia" w:ascii="宋体" w:hAnsi="宋体" w:eastAsia="宋体"/>
        </w:rPr>
        <w:t>（1）投票</w:t>
      </w:r>
      <w:r>
        <w:rPr>
          <w:rFonts w:ascii="宋体" w:hAnsi="宋体" w:eastAsia="宋体"/>
        </w:rPr>
        <w:t>规则：定标委员会成员按照</w:t>
      </w:r>
      <w:r>
        <w:rPr>
          <w:rFonts w:hint="eastAsia" w:ascii="宋体" w:hAnsi="宋体" w:eastAsia="宋体"/>
        </w:rPr>
        <w:t>采购</w:t>
      </w:r>
      <w:r>
        <w:rPr>
          <w:rFonts w:ascii="宋体" w:hAnsi="宋体" w:eastAsia="宋体"/>
        </w:rPr>
        <w:t>文件规定的推荐数量，在各自的选票上填写相同数量的</w:t>
      </w:r>
      <w:r>
        <w:rPr>
          <w:rFonts w:hint="eastAsia" w:ascii="宋体" w:hAnsi="宋体" w:eastAsia="宋体"/>
        </w:rPr>
        <w:t>供应商</w:t>
      </w:r>
      <w:r>
        <w:rPr>
          <w:rFonts w:ascii="宋体" w:hAnsi="宋体" w:eastAsia="宋体"/>
        </w:rPr>
        <w:t>名称或序号。</w:t>
      </w:r>
    </w:p>
    <w:p>
      <w:pPr>
        <w:spacing w:line="360" w:lineRule="auto"/>
        <w:ind w:firstLine="420" w:firstLineChars="200"/>
        <w:rPr>
          <w:rFonts w:ascii="宋体" w:hAnsi="宋体" w:eastAsia="宋体"/>
        </w:rPr>
      </w:pPr>
      <w:r>
        <w:rPr>
          <w:rFonts w:hint="eastAsia" w:ascii="宋体" w:hAnsi="宋体" w:eastAsia="宋体"/>
        </w:rPr>
        <w:t>（2）计算</w:t>
      </w:r>
      <w:r>
        <w:rPr>
          <w:rFonts w:ascii="宋体" w:hAnsi="宋体" w:eastAsia="宋体"/>
        </w:rPr>
        <w:t>规则：根据得票数的多少进行排名</w:t>
      </w:r>
      <w:r>
        <w:rPr>
          <w:rFonts w:hint="eastAsia" w:ascii="宋体" w:hAnsi="宋体" w:eastAsia="宋体"/>
        </w:rPr>
        <w:t>，</w:t>
      </w:r>
      <w:r>
        <w:rPr>
          <w:rFonts w:ascii="宋体" w:hAnsi="宋体" w:eastAsia="宋体"/>
        </w:rPr>
        <w:t>推荐得票数最多</w:t>
      </w:r>
      <w:r>
        <w:rPr>
          <w:rFonts w:hint="eastAsia" w:ascii="宋体" w:hAnsi="宋体" w:eastAsia="宋体"/>
        </w:rPr>
        <w:t>且过半数</w:t>
      </w:r>
      <w:r>
        <w:rPr>
          <w:rFonts w:ascii="宋体" w:hAnsi="宋体" w:eastAsia="宋体"/>
        </w:rPr>
        <w:t>的</w:t>
      </w:r>
      <w:r>
        <w:rPr>
          <w:rFonts w:hint="eastAsia" w:ascii="宋体" w:hAnsi="宋体" w:eastAsia="宋体"/>
        </w:rPr>
        <w:t>候选人</w:t>
      </w:r>
      <w:r>
        <w:rPr>
          <w:rFonts w:ascii="宋体" w:hAnsi="宋体" w:eastAsia="宋体"/>
        </w:rPr>
        <w:t>为</w:t>
      </w:r>
      <w:r>
        <w:rPr>
          <w:rFonts w:hint="eastAsia" w:ascii="宋体" w:hAnsi="宋体" w:eastAsia="宋体"/>
        </w:rPr>
        <w:t>成交</w:t>
      </w:r>
      <w:r>
        <w:rPr>
          <w:rFonts w:ascii="宋体" w:hAnsi="宋体" w:eastAsia="宋体"/>
        </w:rPr>
        <w:t>人。</w:t>
      </w:r>
      <w:r>
        <w:rPr>
          <w:rFonts w:hint="eastAsia" w:ascii="宋体" w:hAnsi="宋体" w:eastAsia="宋体" w:cs="宋体"/>
        </w:rPr>
        <w:t>当没有候选人得票超过半数时，按上一轮得票多少的顺序选择得票较多的2个候选人作为下一轮投票的范围，继续票决，直至出现得票过半数的供应商为止。在选择第2个候选人时，所有出现同票情况，所有同票的候选人一并纳入下一轮的投票范围。</w:t>
      </w:r>
    </w:p>
    <w:p>
      <w:pPr>
        <w:spacing w:line="360" w:lineRule="auto"/>
        <w:ind w:firstLine="422" w:firstLineChars="200"/>
        <w:rPr>
          <w:rFonts w:ascii="宋体" w:hAnsi="宋体" w:eastAsia="宋体"/>
          <w:b/>
        </w:rPr>
      </w:pPr>
      <w:r>
        <w:rPr>
          <w:rFonts w:hint="eastAsia" w:ascii="宋体" w:hAnsi="宋体" w:eastAsia="宋体"/>
          <w:b/>
        </w:rPr>
        <w:t>1</w:t>
      </w:r>
      <w:r>
        <w:rPr>
          <w:rFonts w:ascii="宋体" w:hAnsi="宋体" w:eastAsia="宋体"/>
          <w:b/>
        </w:rPr>
        <w:t xml:space="preserve">.1.2 </w:t>
      </w:r>
      <w:r>
        <w:rPr>
          <w:rFonts w:hint="eastAsia" w:ascii="宋体" w:hAnsi="宋体" w:eastAsia="宋体"/>
          <w:b/>
        </w:rPr>
        <w:t>逐轮</w:t>
      </w:r>
      <w:r>
        <w:rPr>
          <w:rFonts w:ascii="宋体" w:hAnsi="宋体" w:eastAsia="宋体"/>
          <w:b/>
        </w:rPr>
        <w:t>票决法：</w:t>
      </w:r>
    </w:p>
    <w:p>
      <w:pPr>
        <w:spacing w:line="360" w:lineRule="auto"/>
        <w:ind w:firstLine="420" w:firstLineChars="200"/>
        <w:rPr>
          <w:rFonts w:ascii="宋体" w:hAnsi="宋体" w:eastAsia="宋体"/>
        </w:rPr>
      </w:pPr>
      <w:r>
        <w:rPr>
          <w:rFonts w:hint="eastAsia" w:ascii="宋体" w:hAnsi="宋体" w:eastAsia="宋体"/>
        </w:rPr>
        <w:t>定标</w:t>
      </w:r>
      <w:r>
        <w:rPr>
          <w:rFonts w:ascii="宋体" w:hAnsi="宋体" w:eastAsia="宋体"/>
        </w:rPr>
        <w:t>委员会</w:t>
      </w:r>
      <w:r>
        <w:rPr>
          <w:rFonts w:hint="eastAsia" w:ascii="宋体" w:hAnsi="宋体" w:eastAsia="宋体"/>
        </w:rPr>
        <w:t>在进入投票范围的供应商中，以每人投票支持3个供应商的方式投票，得票数最多的3个供应商进入下一轮淘汰投票。在确定第三个供应商时如果出现同票，则得票数相同的供应商一并进入下一轮的淘汰投票。</w:t>
      </w:r>
    </w:p>
    <w:p>
      <w:pPr>
        <w:spacing w:line="360" w:lineRule="auto"/>
        <w:ind w:firstLine="420" w:firstLineChars="200"/>
        <w:rPr>
          <w:rFonts w:ascii="宋体" w:hAnsi="宋体" w:eastAsia="宋体"/>
        </w:rPr>
      </w:pPr>
      <w:r>
        <w:rPr>
          <w:rFonts w:hint="eastAsia" w:ascii="宋体" w:hAnsi="宋体" w:eastAsia="宋体"/>
        </w:rPr>
        <w:t>原则上每轮淘汰1名供应商。各轮投票时，每人投1个淘汰单位，该轮得票数最多的供应商被淘汰。得票数最多的供应商不止1个时，一并淘汰，但必须确保第一次淘汰后的供应商不少于2名，否则在得票数最多的几个供应商中按前述规则进行二次淘汰，剩余的供应商进入下一轮淘汰投票。</w:t>
      </w:r>
    </w:p>
    <w:p>
      <w:pPr>
        <w:spacing w:line="360" w:lineRule="auto"/>
        <w:ind w:firstLine="420" w:firstLineChars="200"/>
        <w:rPr>
          <w:rFonts w:ascii="宋体" w:hAnsi="宋体" w:eastAsia="宋体"/>
        </w:rPr>
      </w:pPr>
      <w:r>
        <w:rPr>
          <w:rFonts w:hint="eastAsia" w:ascii="宋体" w:hAnsi="宋体" w:eastAsia="宋体"/>
        </w:rPr>
        <w:t>根据前述淘汰，直至剩余的供应商数量与成交人数量一致，按照得票数由少到多排序推荐成交人。投票结果中排序出现并列情况的，</w:t>
      </w:r>
      <w:r>
        <w:rPr>
          <w:rFonts w:ascii="宋体" w:hAnsi="宋体" w:eastAsia="宋体"/>
        </w:rPr>
        <w:t>在不影响票决总家数的情况下不需再次票决，投</w:t>
      </w:r>
      <w:r>
        <w:rPr>
          <w:rFonts w:hint="eastAsia" w:ascii="宋体" w:hAnsi="宋体" w:eastAsia="宋体"/>
        </w:rPr>
        <w:t>票</w:t>
      </w:r>
      <w:r>
        <w:rPr>
          <w:rFonts w:ascii="宋体" w:hAnsi="宋体" w:eastAsia="宋体"/>
        </w:rPr>
        <w:t>结果中并列排序影响结果</w:t>
      </w:r>
      <w:r>
        <w:rPr>
          <w:rFonts w:hint="eastAsia" w:ascii="宋体" w:hAnsi="宋体" w:eastAsia="宋体"/>
        </w:rPr>
        <w:t>时</w:t>
      </w:r>
      <w:r>
        <w:rPr>
          <w:rFonts w:ascii="宋体" w:hAnsi="宋体" w:eastAsia="宋体"/>
        </w:rPr>
        <w:t>，</w:t>
      </w:r>
      <w:r>
        <w:rPr>
          <w:rFonts w:hint="eastAsia" w:ascii="宋体" w:hAnsi="宋体" w:eastAsia="宋体"/>
        </w:rPr>
        <w:t>采购</w:t>
      </w:r>
      <w:r>
        <w:rPr>
          <w:rFonts w:ascii="宋体" w:hAnsi="宋体" w:eastAsia="宋体"/>
        </w:rPr>
        <w:t>人对上述并列的候选人进行下一轮投票</w:t>
      </w:r>
      <w:r>
        <w:rPr>
          <w:rFonts w:hint="eastAsia" w:ascii="宋体" w:hAnsi="宋体" w:eastAsia="宋体"/>
        </w:rPr>
        <w:t>。</w:t>
      </w:r>
    </w:p>
    <w:p>
      <w:pPr>
        <w:spacing w:line="360" w:lineRule="auto"/>
        <w:ind w:firstLine="422" w:firstLineChars="200"/>
        <w:rPr>
          <w:rFonts w:ascii="宋体" w:hAnsi="宋体" w:eastAsia="宋体"/>
          <w:b/>
        </w:rPr>
      </w:pPr>
      <w:r>
        <w:rPr>
          <w:rFonts w:hint="eastAsia" w:ascii="宋体" w:hAnsi="宋体" w:eastAsia="宋体"/>
          <w:b/>
        </w:rPr>
        <w:t>1.2 票决</w:t>
      </w:r>
      <w:r>
        <w:rPr>
          <w:rFonts w:ascii="宋体" w:hAnsi="宋体" w:eastAsia="宋体"/>
          <w:b/>
        </w:rPr>
        <w:t>抽签法</w:t>
      </w:r>
    </w:p>
    <w:p>
      <w:pPr>
        <w:spacing w:line="360" w:lineRule="auto"/>
        <w:ind w:firstLine="420" w:firstLineChars="200"/>
        <w:rPr>
          <w:rFonts w:ascii="宋体" w:hAnsi="宋体" w:eastAsia="宋体"/>
        </w:rPr>
      </w:pPr>
      <w:r>
        <w:rPr>
          <w:rFonts w:hint="eastAsia" w:ascii="宋体" w:hAnsi="宋体" w:eastAsia="宋体"/>
        </w:rPr>
        <w:t>当</w:t>
      </w:r>
      <w:r>
        <w:rPr>
          <w:rFonts w:ascii="宋体" w:hAnsi="宋体" w:eastAsia="宋体"/>
        </w:rPr>
        <w:t>按“</w:t>
      </w:r>
      <w:r>
        <w:rPr>
          <w:rFonts w:hint="eastAsia" w:ascii="宋体" w:hAnsi="宋体" w:eastAsia="宋体"/>
        </w:rPr>
        <w:t>供应商</w:t>
      </w:r>
      <w:r>
        <w:rPr>
          <w:rFonts w:ascii="宋体" w:hAnsi="宋体" w:eastAsia="宋体"/>
        </w:rPr>
        <w:t>须知前附表”</w:t>
      </w:r>
      <w:r>
        <w:rPr>
          <w:rFonts w:hint="eastAsia" w:ascii="宋体" w:hAnsi="宋体" w:eastAsia="宋体"/>
        </w:rPr>
        <w:t>规定</w:t>
      </w:r>
      <w:r>
        <w:rPr>
          <w:rFonts w:ascii="宋体" w:hAnsi="宋体" w:eastAsia="宋体"/>
        </w:rPr>
        <w:t>采用票决抽签法时：</w:t>
      </w:r>
    </w:p>
    <w:p>
      <w:pPr>
        <w:spacing w:line="360" w:lineRule="auto"/>
        <w:ind w:firstLine="420" w:firstLineChars="200"/>
        <w:rPr>
          <w:rFonts w:ascii="宋体" w:hAnsi="宋体" w:eastAsia="宋体"/>
        </w:rPr>
      </w:pPr>
      <w:r>
        <w:rPr>
          <w:rFonts w:hint="eastAsia" w:ascii="宋体" w:hAnsi="宋体" w:eastAsia="宋体"/>
        </w:rPr>
        <w:t>（1）评审小组将所有递交</w:t>
      </w:r>
      <w:r>
        <w:rPr>
          <w:rFonts w:ascii="宋体" w:hAnsi="宋体" w:eastAsia="宋体"/>
        </w:rPr>
        <w:t>的</w:t>
      </w:r>
      <w:r>
        <w:rPr>
          <w:rFonts w:hint="eastAsia" w:ascii="宋体" w:hAnsi="宋体" w:eastAsia="宋体"/>
        </w:rPr>
        <w:t>报价</w:t>
      </w:r>
      <w:r>
        <w:rPr>
          <w:rFonts w:ascii="宋体" w:hAnsi="宋体" w:eastAsia="宋体"/>
        </w:rPr>
        <w:t>文件不被判定为</w:t>
      </w:r>
      <w:r>
        <w:rPr>
          <w:rFonts w:hint="eastAsia" w:ascii="宋体" w:hAnsi="宋体" w:eastAsia="宋体"/>
        </w:rPr>
        <w:t>无效标</w:t>
      </w:r>
      <w:r>
        <w:rPr>
          <w:rFonts w:ascii="宋体" w:hAnsi="宋体" w:eastAsia="宋体"/>
        </w:rPr>
        <w:t>或废标的</w:t>
      </w:r>
      <w:r>
        <w:rPr>
          <w:rFonts w:hint="eastAsia" w:ascii="宋体" w:hAnsi="宋体" w:eastAsia="宋体"/>
        </w:rPr>
        <w:t>供应商作为成交</w:t>
      </w:r>
      <w:r>
        <w:rPr>
          <w:rFonts w:ascii="宋体" w:hAnsi="宋体" w:eastAsia="宋体"/>
        </w:rPr>
        <w:t>候选人推荐给</w:t>
      </w:r>
      <w:r>
        <w:rPr>
          <w:rFonts w:hint="eastAsia" w:ascii="宋体" w:hAnsi="宋体" w:eastAsia="宋体"/>
        </w:rPr>
        <w:t>采购</w:t>
      </w:r>
      <w:r>
        <w:rPr>
          <w:rFonts w:ascii="宋体" w:hAnsi="宋体" w:eastAsia="宋体"/>
        </w:rPr>
        <w:t>人，进入定标程序</w:t>
      </w:r>
      <w:r>
        <w:rPr>
          <w:rFonts w:hint="eastAsia"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（2）采购人</w:t>
      </w:r>
      <w:r>
        <w:rPr>
          <w:rFonts w:ascii="宋体" w:hAnsi="宋体" w:eastAsia="宋体"/>
        </w:rPr>
        <w:t>组建定标委员会，召开定标会，</w:t>
      </w:r>
      <w:r>
        <w:rPr>
          <w:rFonts w:hint="eastAsia" w:ascii="宋体" w:hAnsi="宋体" w:eastAsia="宋体"/>
        </w:rPr>
        <w:t>由</w:t>
      </w:r>
      <w:r>
        <w:rPr>
          <w:rFonts w:ascii="宋体" w:hAnsi="宋体" w:eastAsia="宋体"/>
        </w:rPr>
        <w:t>定标委员会从进入票决程序的</w:t>
      </w:r>
      <w:r>
        <w:rPr>
          <w:rFonts w:hint="eastAsia" w:ascii="宋体" w:hAnsi="宋体" w:eastAsia="宋体"/>
        </w:rPr>
        <w:t>供应商中</w:t>
      </w:r>
      <w:r>
        <w:rPr>
          <w:rFonts w:ascii="宋体" w:hAnsi="宋体" w:eastAsia="宋体"/>
        </w:rPr>
        <w:t>，</w:t>
      </w:r>
      <w:r>
        <w:rPr>
          <w:rFonts w:hint="eastAsia" w:ascii="宋体" w:hAnsi="宋体" w:eastAsia="宋体"/>
        </w:rPr>
        <w:t>以每人投票支持N（N为进入抽签环节的供应商数量）个供应商的方式进行投票，得票数较多的N个供应商进入抽签环节。投票结果中排序出现并列情况的，</w:t>
      </w:r>
      <w:r>
        <w:rPr>
          <w:rFonts w:ascii="宋体" w:hAnsi="宋体" w:eastAsia="宋体"/>
        </w:rPr>
        <w:t>在不影响票决总家数的情况下不需再次票决，投</w:t>
      </w:r>
      <w:r>
        <w:rPr>
          <w:rFonts w:hint="eastAsia" w:ascii="宋体" w:hAnsi="宋体" w:eastAsia="宋体"/>
        </w:rPr>
        <w:t>票</w:t>
      </w:r>
      <w:r>
        <w:rPr>
          <w:rFonts w:ascii="宋体" w:hAnsi="宋体" w:eastAsia="宋体"/>
        </w:rPr>
        <w:t>结果中并列排序影响结果</w:t>
      </w:r>
      <w:r>
        <w:rPr>
          <w:rFonts w:hint="eastAsia" w:ascii="宋体" w:hAnsi="宋体" w:eastAsia="宋体"/>
        </w:rPr>
        <w:t>时</w:t>
      </w:r>
      <w:r>
        <w:rPr>
          <w:rFonts w:ascii="宋体" w:hAnsi="宋体" w:eastAsia="宋体"/>
        </w:rPr>
        <w:t>，</w:t>
      </w:r>
      <w:r>
        <w:rPr>
          <w:rFonts w:hint="eastAsia" w:ascii="宋体" w:hAnsi="宋体" w:eastAsia="宋体"/>
        </w:rPr>
        <w:t>采购</w:t>
      </w:r>
      <w:r>
        <w:rPr>
          <w:rFonts w:ascii="宋体" w:hAnsi="宋体" w:eastAsia="宋体"/>
        </w:rPr>
        <w:t>人对上述并列的候选人进行下一轮投票</w:t>
      </w:r>
      <w:r>
        <w:rPr>
          <w:rFonts w:hint="eastAsia" w:ascii="宋体" w:hAnsi="宋体" w:eastAsia="宋体"/>
        </w:rPr>
        <w:t>。</w:t>
      </w:r>
      <w:r>
        <w:rPr>
          <w:rFonts w:ascii="宋体" w:hAnsi="宋体" w:eastAsia="宋体"/>
        </w:rPr>
        <w:t>进入</w:t>
      </w:r>
      <w:r>
        <w:rPr>
          <w:rFonts w:hint="eastAsia" w:ascii="宋体" w:hAnsi="宋体" w:eastAsia="宋体"/>
        </w:rPr>
        <w:t>抽签环节</w:t>
      </w:r>
      <w:r>
        <w:rPr>
          <w:rFonts w:ascii="宋体" w:hAnsi="宋体" w:eastAsia="宋体"/>
        </w:rPr>
        <w:t>的投标人数量</w:t>
      </w:r>
      <w:r>
        <w:rPr>
          <w:rFonts w:hint="eastAsia" w:ascii="宋体" w:hAnsi="宋体" w:eastAsia="宋体"/>
        </w:rPr>
        <w:t>：</w:t>
      </w:r>
      <w:r>
        <w:rPr>
          <w:rFonts w:ascii="宋体" w:hAnsi="宋体" w:eastAsia="宋体"/>
        </w:rPr>
        <w:t>见“</w:t>
      </w:r>
      <w:r>
        <w:rPr>
          <w:rFonts w:hint="eastAsia" w:ascii="宋体" w:hAnsi="宋体" w:eastAsia="宋体"/>
        </w:rPr>
        <w:t>供应商</w:t>
      </w:r>
      <w:r>
        <w:rPr>
          <w:rFonts w:ascii="宋体" w:hAnsi="宋体" w:eastAsia="宋体"/>
        </w:rPr>
        <w:t>须知前附表”</w:t>
      </w:r>
      <w:r>
        <w:rPr>
          <w:rFonts w:hint="eastAsia"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（3）采购人在事先准备好的</w:t>
      </w:r>
      <w:r>
        <w:rPr>
          <w:rFonts w:ascii="宋体" w:hAnsi="宋体" w:eastAsia="宋体"/>
        </w:rPr>
        <w:t>X</w:t>
      </w:r>
      <w:r>
        <w:rPr>
          <w:rFonts w:hint="eastAsia" w:ascii="宋体" w:hAnsi="宋体" w:eastAsia="宋体"/>
        </w:rPr>
        <w:t>个号码中随机抽取成交人。把X个号码分成m组（每组N个号码），剩余不足1组的号码不生效（比如：X=8，N=3时，7号和8号为无效号码，如果抽取结果为无效号码，需要重新抽取）。抽签之前，将进入抽签环节的N个供应商按投标报价由低到高的顺序依次编号，分别对应“0，1，</w:t>
      </w:r>
      <w:r>
        <w:rPr>
          <w:rFonts w:ascii="宋体" w:hAnsi="宋体" w:eastAsia="宋体"/>
        </w:rPr>
        <w:t>2</w:t>
      </w:r>
      <w:r>
        <w:rPr>
          <w:rFonts w:hint="eastAsia" w:ascii="宋体" w:hAnsi="宋体" w:eastAsia="宋体"/>
        </w:rPr>
        <w:t>，……，N”。采购人随机抽取一个有效号码，将该号码除以N，取余数，余数对应编号的供应商即为成交人。</w:t>
      </w:r>
    </w:p>
    <w:p>
      <w:pPr>
        <w:spacing w:line="360" w:lineRule="auto"/>
        <w:ind w:firstLine="422" w:firstLineChars="200"/>
        <w:rPr>
          <w:rFonts w:ascii="宋体" w:hAnsi="宋体" w:eastAsia="宋体"/>
          <w:b/>
        </w:rPr>
      </w:pPr>
      <w:r>
        <w:rPr>
          <w:rFonts w:hint="eastAsia" w:ascii="宋体" w:hAnsi="宋体" w:eastAsia="宋体"/>
          <w:b/>
        </w:rPr>
        <w:t>1.3 集体</w:t>
      </w:r>
      <w:r>
        <w:rPr>
          <w:rFonts w:ascii="宋体" w:hAnsi="宋体" w:eastAsia="宋体"/>
          <w:b/>
        </w:rPr>
        <w:t>议事法</w:t>
      </w:r>
    </w:p>
    <w:p>
      <w:pPr>
        <w:spacing w:line="360" w:lineRule="auto"/>
        <w:ind w:firstLine="420" w:firstLineChars="200"/>
        <w:rPr>
          <w:rFonts w:ascii="宋体" w:hAnsi="宋体" w:eastAsia="宋体"/>
        </w:rPr>
      </w:pPr>
      <w:r>
        <w:rPr>
          <w:rFonts w:hint="eastAsia" w:ascii="宋体" w:hAnsi="宋体" w:eastAsia="宋体"/>
        </w:rPr>
        <w:t>当</w:t>
      </w:r>
      <w:r>
        <w:rPr>
          <w:rFonts w:ascii="宋体" w:hAnsi="宋体" w:eastAsia="宋体"/>
        </w:rPr>
        <w:t>按“</w:t>
      </w:r>
      <w:r>
        <w:rPr>
          <w:rFonts w:hint="eastAsia" w:ascii="宋体" w:hAnsi="宋体" w:eastAsia="宋体"/>
        </w:rPr>
        <w:t>供应商</w:t>
      </w:r>
      <w:r>
        <w:rPr>
          <w:rFonts w:ascii="宋体" w:hAnsi="宋体" w:eastAsia="宋体"/>
        </w:rPr>
        <w:t>须知前附表”</w:t>
      </w:r>
      <w:r>
        <w:rPr>
          <w:rFonts w:hint="eastAsia" w:ascii="宋体" w:hAnsi="宋体" w:eastAsia="宋体"/>
        </w:rPr>
        <w:t>规定</w:t>
      </w:r>
      <w:r>
        <w:rPr>
          <w:rFonts w:ascii="宋体" w:hAnsi="宋体" w:eastAsia="宋体"/>
        </w:rPr>
        <w:t>采用</w:t>
      </w:r>
      <w:r>
        <w:rPr>
          <w:rFonts w:hint="eastAsia" w:ascii="宋体" w:hAnsi="宋体" w:eastAsia="宋体"/>
        </w:rPr>
        <w:t>集体</w:t>
      </w:r>
      <w:r>
        <w:rPr>
          <w:rFonts w:ascii="宋体" w:hAnsi="宋体" w:eastAsia="宋体"/>
        </w:rPr>
        <w:t>议事法时：</w:t>
      </w:r>
    </w:p>
    <w:p>
      <w:pPr>
        <w:spacing w:line="360" w:lineRule="auto"/>
        <w:ind w:firstLine="420" w:firstLineChars="200"/>
        <w:rPr>
          <w:rFonts w:ascii="宋体" w:hAnsi="宋体" w:eastAsia="宋体"/>
        </w:rPr>
      </w:pPr>
      <w:r>
        <w:rPr>
          <w:rFonts w:hint="eastAsia" w:ascii="宋体" w:hAnsi="宋体" w:eastAsia="宋体"/>
        </w:rPr>
        <w:t>（1）评审小组将所有递交</w:t>
      </w:r>
      <w:r>
        <w:rPr>
          <w:rFonts w:ascii="宋体" w:hAnsi="宋体" w:eastAsia="宋体"/>
        </w:rPr>
        <w:t>的</w:t>
      </w:r>
      <w:r>
        <w:rPr>
          <w:rFonts w:hint="eastAsia" w:ascii="宋体" w:hAnsi="宋体" w:eastAsia="宋体"/>
        </w:rPr>
        <w:t>报价</w:t>
      </w:r>
      <w:r>
        <w:rPr>
          <w:rFonts w:ascii="宋体" w:hAnsi="宋体" w:eastAsia="宋体"/>
        </w:rPr>
        <w:t>文件不被判定为</w:t>
      </w:r>
      <w:r>
        <w:rPr>
          <w:rFonts w:hint="eastAsia" w:ascii="宋体" w:hAnsi="宋体" w:eastAsia="宋体"/>
        </w:rPr>
        <w:t>无效标</w:t>
      </w:r>
      <w:r>
        <w:rPr>
          <w:rFonts w:ascii="宋体" w:hAnsi="宋体" w:eastAsia="宋体"/>
        </w:rPr>
        <w:t>或废标的</w:t>
      </w:r>
      <w:r>
        <w:rPr>
          <w:rFonts w:hint="eastAsia" w:ascii="宋体" w:hAnsi="宋体" w:eastAsia="宋体"/>
        </w:rPr>
        <w:t>供应商作为成交</w:t>
      </w:r>
      <w:r>
        <w:rPr>
          <w:rFonts w:ascii="宋体" w:hAnsi="宋体" w:eastAsia="宋体"/>
        </w:rPr>
        <w:t>候选人推荐给</w:t>
      </w:r>
      <w:r>
        <w:rPr>
          <w:rFonts w:hint="eastAsia" w:ascii="宋体" w:hAnsi="宋体" w:eastAsia="宋体"/>
        </w:rPr>
        <w:t>采购</w:t>
      </w:r>
      <w:r>
        <w:rPr>
          <w:rFonts w:ascii="宋体" w:hAnsi="宋体" w:eastAsia="宋体"/>
        </w:rPr>
        <w:t>人，进入定标程序</w:t>
      </w:r>
      <w:r>
        <w:rPr>
          <w:rFonts w:hint="eastAsia"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（2）采购人</w:t>
      </w:r>
      <w:r>
        <w:rPr>
          <w:rFonts w:ascii="宋体" w:hAnsi="宋体" w:eastAsia="宋体"/>
        </w:rPr>
        <w:t>组建定标委员会，召开定标会，</w:t>
      </w:r>
      <w:r>
        <w:rPr>
          <w:rFonts w:hint="eastAsia" w:ascii="宋体" w:hAnsi="宋体" w:eastAsia="宋体"/>
        </w:rPr>
        <w:t>由</w:t>
      </w:r>
      <w:r>
        <w:rPr>
          <w:rFonts w:ascii="宋体" w:hAnsi="宋体" w:eastAsia="宋体"/>
        </w:rPr>
        <w:t>定标委员会进行集体商议，定标委员会成员各自发标意见，由定标委员会组长最终确定</w:t>
      </w:r>
      <w:r>
        <w:rPr>
          <w:rFonts w:hint="eastAsia" w:ascii="宋体" w:hAnsi="宋体" w:eastAsia="宋体"/>
        </w:rPr>
        <w:t>成交</w:t>
      </w:r>
      <w:r>
        <w:rPr>
          <w:rFonts w:ascii="宋体" w:hAnsi="宋体" w:eastAsia="宋体"/>
        </w:rPr>
        <w:t>人。所有</w:t>
      </w:r>
      <w:r>
        <w:rPr>
          <w:rFonts w:hint="eastAsia" w:ascii="宋体" w:hAnsi="宋体" w:eastAsia="宋体"/>
        </w:rPr>
        <w:t>参加</w:t>
      </w:r>
      <w:r>
        <w:rPr>
          <w:rFonts w:ascii="宋体" w:hAnsi="宋体" w:eastAsia="宋体"/>
        </w:rPr>
        <w:t>会议的定标委员会成员意见应当</w:t>
      </w:r>
      <w:r>
        <w:rPr>
          <w:rFonts w:hint="eastAsia" w:ascii="宋体" w:hAnsi="宋体" w:eastAsia="宋体"/>
        </w:rPr>
        <w:t>作</w:t>
      </w:r>
      <w:r>
        <w:rPr>
          <w:rFonts w:ascii="宋体" w:hAnsi="宋体" w:eastAsia="宋体"/>
        </w:rPr>
        <w:t>书面记录，并由定标委员会成员签字确认</w:t>
      </w:r>
      <w:r>
        <w:rPr>
          <w:rFonts w:hint="eastAsia"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（3）定标</w:t>
      </w:r>
      <w:r>
        <w:rPr>
          <w:rFonts w:ascii="宋体" w:hAnsi="宋体" w:eastAsia="宋体"/>
        </w:rPr>
        <w:t>委员会组长由</w:t>
      </w:r>
      <w:r>
        <w:rPr>
          <w:rFonts w:hint="eastAsia" w:ascii="宋体" w:hAnsi="宋体" w:eastAsia="宋体"/>
        </w:rPr>
        <w:t>采购</w:t>
      </w:r>
      <w:r>
        <w:rPr>
          <w:rFonts w:ascii="宋体" w:hAnsi="宋体" w:eastAsia="宋体"/>
        </w:rPr>
        <w:t>人的法定代表人或主要负责人担任。</w:t>
      </w:r>
    </w:p>
    <w:p>
      <w:pPr>
        <w:spacing w:line="360" w:lineRule="auto"/>
        <w:outlineLvl w:val="3"/>
        <w:rPr>
          <w:rFonts w:ascii="宋体" w:hAnsi="宋体" w:eastAsia="宋体" w:cs="Times New Roman"/>
          <w:b/>
          <w:color w:val="000000" w:themeColor="text1"/>
          <w:szCs w:val="20"/>
          <w14:textFill>
            <w14:solidFill>
              <w14:schemeClr w14:val="tx1"/>
            </w14:solidFill>
          </w14:textFill>
        </w:rPr>
      </w:pPr>
      <w:r>
        <w:rPr>
          <w:rFonts w:hint="eastAsia" w:ascii="宋体" w:hAnsi="宋体" w:eastAsia="宋体" w:cs="Times New Roman"/>
          <w:b/>
          <w:color w:val="000000" w:themeColor="text1"/>
          <w:szCs w:val="20"/>
          <w14:textFill>
            <w14:solidFill>
              <w14:schemeClr w14:val="tx1"/>
            </w14:solidFill>
          </w14:textFill>
        </w:rPr>
        <w:t>2</w:t>
      </w:r>
      <w:r>
        <w:rPr>
          <w:rFonts w:ascii="宋体" w:hAnsi="宋体" w:eastAsia="宋体" w:cs="Times New Roman"/>
          <w:b/>
          <w:color w:val="000000" w:themeColor="text1"/>
          <w:szCs w:val="20"/>
          <w14:textFill>
            <w14:solidFill>
              <w14:schemeClr w14:val="tx1"/>
            </w14:solidFill>
          </w14:textFill>
        </w:rPr>
        <w:t xml:space="preserve"> </w:t>
      </w:r>
      <w:r>
        <w:rPr>
          <w:rFonts w:hint="eastAsia" w:ascii="宋体" w:hAnsi="宋体" w:eastAsia="宋体" w:cs="Times New Roman"/>
          <w:b/>
          <w:color w:val="000000" w:themeColor="text1"/>
          <w:szCs w:val="20"/>
          <w14:textFill>
            <w14:solidFill>
              <w14:schemeClr w14:val="tx1"/>
            </w14:solidFill>
          </w14:textFill>
        </w:rPr>
        <w:t>定标结果</w:t>
      </w:r>
    </w:p>
    <w:p>
      <w:pPr>
        <w:spacing w:line="360" w:lineRule="auto"/>
        <w:ind w:firstLine="420" w:firstLineChars="200"/>
        <w:rPr>
          <w:rFonts w:ascii="宋体" w:hAnsi="宋体" w:eastAsia="宋体"/>
        </w:rPr>
      </w:pPr>
      <w:r>
        <w:rPr>
          <w:rFonts w:hint="eastAsia" w:ascii="宋体" w:hAnsi="宋体" w:eastAsia="宋体"/>
        </w:rPr>
        <w:t>2</w:t>
      </w:r>
      <w:r>
        <w:rPr>
          <w:rFonts w:ascii="宋体" w:hAnsi="宋体" w:eastAsia="宋体"/>
        </w:rPr>
        <w:t xml:space="preserve">.1 </w:t>
      </w:r>
      <w:r>
        <w:rPr>
          <w:rFonts w:hint="eastAsia" w:ascii="宋体" w:hAnsi="宋体" w:eastAsia="宋体"/>
        </w:rPr>
        <w:t>定标委员会按照采购文件规定定标办法完成定标后，应当向采购人提交书面定标报告，并按顺序推荐成交人。</w:t>
      </w:r>
    </w:p>
    <w:p>
      <w:pPr>
        <w:spacing w:line="360" w:lineRule="auto"/>
        <w:ind w:firstLine="420" w:firstLineChars="200"/>
        <w:rPr>
          <w:rFonts w:ascii="宋体" w:hAnsi="宋体" w:eastAsia="宋体"/>
        </w:rPr>
      </w:pPr>
      <w:r>
        <w:rPr>
          <w:rFonts w:hint="eastAsia" w:ascii="宋体" w:hAnsi="宋体" w:eastAsia="宋体"/>
        </w:rPr>
        <w:t>2</w:t>
      </w:r>
      <w:r>
        <w:rPr>
          <w:rFonts w:ascii="宋体" w:hAnsi="宋体" w:eastAsia="宋体"/>
        </w:rPr>
        <w:t xml:space="preserve">.2 </w:t>
      </w:r>
      <w:r>
        <w:rPr>
          <w:rFonts w:hint="eastAsia" w:ascii="宋体" w:hAnsi="宋体" w:eastAsia="宋体"/>
        </w:rPr>
        <w:t>当出现成交人放弃成交、拒签合同或者未按采购文件规定提交履约担保等情况，采购人可以从评审合格的其他供应商中采用原采购文件规定的定标办法，由原定标委员会重新确定成交人，也可以重新采购。原采用票决抽签定标法的项目，票决进入抽签环节的其他供应商数量不满足“供应商须知前附表”规定的最低要求的</w:t>
      </w:r>
      <w:r>
        <w:rPr>
          <w:rFonts w:ascii="宋体" w:hAnsi="宋体" w:eastAsia="宋体"/>
        </w:rPr>
        <w:t>，应当票决补足</w:t>
      </w:r>
      <w:r>
        <w:rPr>
          <w:rFonts w:hint="eastAsia" w:ascii="宋体" w:hAnsi="宋体" w:eastAsia="宋体"/>
        </w:rPr>
        <w:t>。</w:t>
      </w:r>
    </w:p>
    <w:p>
      <w:pPr>
        <w:widowControl/>
        <w:jc w:val="left"/>
        <w:rPr>
          <w:rFonts w:ascii="宋体" w:hAnsi="宋体" w:eastAsia="宋体"/>
        </w:rPr>
      </w:pPr>
      <w:r>
        <w:rPr>
          <w:rFonts w:ascii="宋体" w:hAnsi="宋体" w:eastAsia="宋体"/>
        </w:rPr>
        <w:br w:type="page"/>
      </w:r>
    </w:p>
    <w:p>
      <w:pPr>
        <w:spacing w:line="360" w:lineRule="auto"/>
        <w:outlineLvl w:val="2"/>
        <w:rPr>
          <w:rFonts w:ascii="宋体" w:hAnsi="宋体" w:eastAsia="宋体" w:cs="Times New Roman"/>
          <w:b/>
          <w:color w:val="000000" w:themeColor="text1"/>
          <w:szCs w:val="20"/>
          <w14:textFill>
            <w14:solidFill>
              <w14:schemeClr w14:val="tx1"/>
            </w14:solidFill>
          </w14:textFill>
        </w:rPr>
      </w:pPr>
      <w:r>
        <w:rPr>
          <w:rFonts w:hint="eastAsia" w:ascii="宋体" w:hAnsi="宋体" w:eastAsia="宋体" w:cs="Times New Roman"/>
          <w:b/>
          <w:color w:val="000000" w:themeColor="text1"/>
          <w:szCs w:val="20"/>
          <w14:textFill>
            <w14:solidFill>
              <w14:schemeClr w14:val="tx1"/>
            </w14:solidFill>
          </w14:textFill>
        </w:rPr>
        <w:t>评定标</w:t>
      </w:r>
      <w:r>
        <w:rPr>
          <w:rFonts w:ascii="宋体" w:hAnsi="宋体" w:eastAsia="宋体" w:cs="Times New Roman"/>
          <w:b/>
          <w:color w:val="000000" w:themeColor="text1"/>
          <w:szCs w:val="20"/>
          <w14:textFill>
            <w14:solidFill>
              <w14:schemeClr w14:val="tx1"/>
            </w14:solidFill>
          </w14:textFill>
        </w:rPr>
        <w:t>附件：</w:t>
      </w:r>
    </w:p>
    <w:p>
      <w:pPr>
        <w:spacing w:line="360" w:lineRule="auto"/>
        <w:jc w:val="center"/>
        <w:outlineLvl w:val="3"/>
        <w:rPr>
          <w:rFonts w:ascii="宋体" w:hAnsi="宋体" w:eastAsia="宋体"/>
          <w:b/>
          <w:sz w:val="28"/>
        </w:rPr>
      </w:pPr>
      <w:r>
        <w:rPr>
          <w:rFonts w:hint="eastAsia" w:ascii="宋体" w:hAnsi="宋体" w:eastAsia="宋体"/>
          <w:b/>
          <w:sz w:val="28"/>
        </w:rPr>
        <w:t>资信标</w:t>
      </w:r>
      <w:r>
        <w:rPr>
          <w:rFonts w:ascii="宋体" w:hAnsi="宋体" w:eastAsia="宋体"/>
          <w:b/>
          <w:sz w:val="28"/>
        </w:rPr>
        <w:t>要求一览表（</w:t>
      </w:r>
      <w:r>
        <w:rPr>
          <w:rFonts w:hint="eastAsia" w:ascii="宋体" w:hAnsi="宋体" w:eastAsia="宋体"/>
          <w:b/>
          <w:sz w:val="28"/>
        </w:rPr>
        <w:t>不评审</w:t>
      </w:r>
      <w:r>
        <w:rPr>
          <w:rFonts w:ascii="宋体" w:hAnsi="宋体" w:eastAsia="宋体"/>
          <w:b/>
          <w:sz w:val="28"/>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b/>
              </w:rPr>
            </w:pPr>
            <w:r>
              <w:rPr>
                <w:rFonts w:hint="eastAsia" w:ascii="宋体" w:hAnsi="宋体" w:eastAsia="宋体"/>
                <w:b/>
              </w:rPr>
              <w:t>序号</w:t>
            </w:r>
          </w:p>
        </w:tc>
        <w:tc>
          <w:tcPr>
            <w:tcW w:w="1984" w:type="dxa"/>
            <w:vAlign w:val="center"/>
          </w:tcPr>
          <w:p>
            <w:pPr>
              <w:jc w:val="center"/>
              <w:rPr>
                <w:rFonts w:ascii="宋体" w:hAnsi="宋体" w:eastAsia="宋体"/>
                <w:b/>
              </w:rPr>
            </w:pPr>
            <w:r>
              <w:rPr>
                <w:rFonts w:hint="eastAsia" w:ascii="宋体" w:hAnsi="宋体" w:eastAsia="宋体"/>
                <w:b/>
              </w:rPr>
              <w:t>评审</w:t>
            </w:r>
            <w:r>
              <w:rPr>
                <w:rFonts w:ascii="宋体" w:hAnsi="宋体" w:eastAsia="宋体"/>
                <w:b/>
              </w:rPr>
              <w:t>项目</w:t>
            </w:r>
          </w:p>
        </w:tc>
        <w:tc>
          <w:tcPr>
            <w:tcW w:w="5466" w:type="dxa"/>
            <w:vAlign w:val="center"/>
          </w:tcPr>
          <w:p>
            <w:pPr>
              <w:jc w:val="center"/>
              <w:rPr>
                <w:rFonts w:ascii="宋体" w:hAnsi="宋体" w:eastAsia="宋体"/>
                <w:b/>
              </w:rPr>
            </w:pPr>
            <w:r>
              <w:rPr>
                <w:rFonts w:hint="eastAsia" w:ascii="宋体" w:hAnsi="宋体" w:eastAsia="宋体"/>
                <w:b/>
              </w:rPr>
              <w:t>评审</w:t>
            </w:r>
            <w:r>
              <w:rPr>
                <w:rFonts w:ascii="宋体" w:hAnsi="宋体" w:eastAsia="宋体"/>
                <w:b/>
              </w:rPr>
              <w:t>子项与评审标准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rPr>
            </w:pPr>
            <w:r>
              <w:rPr>
                <w:rFonts w:hint="eastAsia" w:ascii="宋体" w:hAnsi="宋体" w:eastAsia="宋体"/>
              </w:rPr>
              <w:t>1</w:t>
            </w:r>
          </w:p>
        </w:tc>
        <w:tc>
          <w:tcPr>
            <w:tcW w:w="1984" w:type="dxa"/>
            <w:vAlign w:val="center"/>
          </w:tcPr>
          <w:p>
            <w:pPr>
              <w:jc w:val="center"/>
              <w:rPr>
                <w:rFonts w:ascii="宋体" w:hAnsi="宋体" w:eastAsia="宋体"/>
              </w:rPr>
            </w:pPr>
            <w:r>
              <w:rPr>
                <w:rFonts w:eastAsia="宋体"/>
                <w:szCs w:val="21"/>
              </w:rPr>
              <w:t>投标人基本情况</w:t>
            </w:r>
          </w:p>
        </w:tc>
        <w:tc>
          <w:tcPr>
            <w:tcW w:w="5466" w:type="dxa"/>
            <w:vAlign w:val="center"/>
          </w:tcPr>
          <w:p>
            <w:pPr>
              <w:jc w:val="left"/>
              <w:rPr>
                <w:rFonts w:ascii="宋体" w:hAnsi="宋体" w:eastAsia="宋体"/>
              </w:rPr>
            </w:pPr>
            <w:r>
              <w:rPr>
                <w:rFonts w:eastAsia="宋体"/>
                <w:szCs w:val="21"/>
              </w:rPr>
              <w:t>提供</w:t>
            </w:r>
            <w:r>
              <w:rPr>
                <w:rFonts w:hint="eastAsia" w:eastAsia="宋体"/>
                <w:szCs w:val="21"/>
              </w:rPr>
              <w:t>投标人</w:t>
            </w:r>
            <w:r>
              <w:rPr>
                <w:rFonts w:eastAsia="宋体"/>
                <w:szCs w:val="21"/>
              </w:rPr>
              <w:t>营业执照</w:t>
            </w:r>
            <w:r>
              <w:rPr>
                <w:rFonts w:hint="eastAsia" w:ascii="Times New Roman" w:hAnsi="Times New Roman" w:eastAsia="宋体" w:cs="Times New Roman"/>
                <w:bCs/>
                <w:color w:val="000000" w:themeColor="text1"/>
                <w:szCs w:val="20"/>
                <w14:textFill>
                  <w14:solidFill>
                    <w14:schemeClr w14:val="tx1"/>
                  </w14:solidFill>
                </w14:textFill>
              </w:rPr>
              <w:t>或事业单位法人证书或其他主体证明文件</w:t>
            </w:r>
            <w:r>
              <w:rPr>
                <w:rFonts w:eastAsia="宋体"/>
                <w:szCs w:val="21"/>
              </w:rPr>
              <w:t>扫描件。对于部分地区采用新版营业执照未标注注册资金的，需提供投标人提供的工商主管部门官方网站截图。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rPr>
            </w:pPr>
            <w:r>
              <w:rPr>
                <w:rFonts w:hint="eastAsia" w:ascii="宋体" w:hAnsi="宋体" w:eastAsia="宋体"/>
              </w:rPr>
              <w:t>2</w:t>
            </w:r>
          </w:p>
        </w:tc>
        <w:tc>
          <w:tcPr>
            <w:tcW w:w="1984" w:type="dxa"/>
            <w:vAlign w:val="center"/>
          </w:tcPr>
          <w:p>
            <w:pPr>
              <w:jc w:val="center"/>
              <w:rPr>
                <w:rFonts w:ascii="宋体" w:hAnsi="宋体" w:eastAsia="宋体"/>
              </w:rPr>
            </w:pPr>
            <w:r>
              <w:rPr>
                <w:rFonts w:hint="eastAsia" w:ascii="宋体" w:hAnsi="宋体" w:eastAsia="宋体"/>
              </w:rPr>
              <w:t>资质情况</w:t>
            </w:r>
          </w:p>
        </w:tc>
        <w:tc>
          <w:tcPr>
            <w:tcW w:w="5466" w:type="dxa"/>
            <w:vAlign w:val="center"/>
          </w:tcPr>
          <w:p>
            <w:pPr>
              <w:jc w:val="left"/>
              <w:rPr>
                <w:rFonts w:ascii="宋体" w:hAnsi="宋体" w:eastAsia="宋体"/>
              </w:rPr>
            </w:pPr>
            <w:r>
              <w:rPr>
                <w:rFonts w:hint="eastAsia" w:ascii="宋体" w:hAnsi="宋体" w:eastAsia="宋体"/>
              </w:rPr>
              <w:t>提供有线通信设计专业乙级及以上资质证书（资质需在有效期内）。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rPr>
            </w:pPr>
            <w:r>
              <w:rPr>
                <w:rFonts w:hint="eastAsia" w:ascii="宋体" w:hAnsi="宋体" w:eastAsia="宋体"/>
              </w:rPr>
              <w:t>3</w:t>
            </w:r>
          </w:p>
        </w:tc>
        <w:tc>
          <w:tcPr>
            <w:tcW w:w="1984" w:type="dxa"/>
            <w:vAlign w:val="center"/>
          </w:tcPr>
          <w:p>
            <w:pPr>
              <w:jc w:val="center"/>
              <w:rPr>
                <w:rFonts w:ascii="宋体" w:hAnsi="宋体" w:eastAsia="宋体"/>
              </w:rPr>
            </w:pPr>
            <w:r>
              <w:rPr>
                <w:rFonts w:hint="eastAsia" w:ascii="宋体" w:hAnsi="宋体" w:eastAsia="宋体"/>
              </w:rPr>
              <w:t>业绩情况</w:t>
            </w:r>
          </w:p>
        </w:tc>
        <w:tc>
          <w:tcPr>
            <w:tcW w:w="5466" w:type="dxa"/>
            <w:vAlign w:val="center"/>
          </w:tcPr>
          <w:p>
            <w:pPr>
              <w:jc w:val="left"/>
              <w:rPr>
                <w:rFonts w:ascii="宋体" w:hAnsi="宋体" w:eastAsia="宋体"/>
              </w:rPr>
            </w:pPr>
            <w:r>
              <w:rPr>
                <w:rFonts w:hint="eastAsia" w:ascii="宋体" w:hAnsi="宋体" w:eastAsia="宋体"/>
              </w:rPr>
              <w:t>提供</w:t>
            </w:r>
            <w:r>
              <w:rPr>
                <w:rFonts w:ascii="宋体" w:hAnsi="宋体" w:eastAsia="宋体"/>
              </w:rPr>
              <w:t>近</w:t>
            </w:r>
            <w:r>
              <w:rPr>
                <w:rFonts w:hint="eastAsia" w:ascii="宋体" w:hAnsi="宋体" w:eastAsia="宋体"/>
              </w:rPr>
              <w:t>5年（以</w:t>
            </w:r>
            <w:r>
              <w:rPr>
                <w:rFonts w:ascii="宋体" w:hAnsi="宋体" w:eastAsia="宋体"/>
              </w:rPr>
              <w:t>合同签订时间为准</w:t>
            </w:r>
            <w:r>
              <w:rPr>
                <w:rFonts w:hint="eastAsia" w:ascii="宋体" w:hAnsi="宋体" w:eastAsia="宋体"/>
              </w:rPr>
              <w:t>）自认为</w:t>
            </w:r>
            <w:r>
              <w:rPr>
                <w:rFonts w:ascii="宋体" w:hAnsi="宋体" w:eastAsia="宋体"/>
              </w:rPr>
              <w:t>最具代表性的</w:t>
            </w:r>
            <w:r>
              <w:rPr>
                <w:rFonts w:hint="eastAsia" w:ascii="宋体" w:hAnsi="宋体" w:eastAsia="宋体"/>
              </w:rPr>
              <w:t>电力系统通信规划设计相关</w:t>
            </w:r>
            <w:r>
              <w:rPr>
                <w:rFonts w:ascii="宋体" w:hAnsi="宋体" w:eastAsia="宋体"/>
              </w:rPr>
              <w:t>项目业绩，不超过</w:t>
            </w:r>
            <w:r>
              <w:rPr>
                <w:rFonts w:hint="eastAsia" w:ascii="宋体" w:hAnsi="宋体" w:eastAsia="宋体"/>
              </w:rPr>
              <w:t>5个</w:t>
            </w:r>
            <w:r>
              <w:rPr>
                <w:rFonts w:ascii="宋体" w:hAnsi="宋体" w:eastAsia="宋体"/>
              </w:rPr>
              <w:t>。</w:t>
            </w:r>
            <w:r>
              <w:rPr>
                <w:rFonts w:hint="eastAsia" w:ascii="宋体" w:hAnsi="宋体" w:eastAsia="宋体"/>
              </w:rPr>
              <w:t>供应商须</w:t>
            </w:r>
            <w:r>
              <w:rPr>
                <w:rFonts w:ascii="宋体" w:hAnsi="宋体" w:eastAsia="宋体"/>
              </w:rPr>
              <w:t>提供合同关键页或中标通知书扫描件等证明材料。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宋体" w:hAnsi="宋体" w:eastAsia="宋体"/>
              </w:rPr>
            </w:pPr>
            <w:r>
              <w:rPr>
                <w:rFonts w:hint="eastAsia" w:ascii="宋体" w:hAnsi="宋体" w:eastAsia="宋体"/>
              </w:rPr>
              <w:t>4</w:t>
            </w:r>
          </w:p>
        </w:tc>
        <w:tc>
          <w:tcPr>
            <w:tcW w:w="1984" w:type="dxa"/>
            <w:vAlign w:val="center"/>
          </w:tcPr>
          <w:p>
            <w:pPr>
              <w:jc w:val="center"/>
              <w:rPr>
                <w:rFonts w:ascii="宋体" w:hAnsi="宋体" w:eastAsia="宋体"/>
              </w:rPr>
            </w:pPr>
            <w:r>
              <w:rPr>
                <w:rFonts w:hint="eastAsia" w:ascii="宋体" w:hAnsi="宋体" w:eastAsia="宋体"/>
              </w:rPr>
              <w:t>其他</w:t>
            </w:r>
          </w:p>
        </w:tc>
        <w:tc>
          <w:tcPr>
            <w:tcW w:w="5466" w:type="dxa"/>
            <w:vAlign w:val="center"/>
          </w:tcPr>
          <w:p>
            <w:pPr>
              <w:jc w:val="left"/>
              <w:rPr>
                <w:rFonts w:ascii="宋体" w:hAnsi="宋体" w:eastAsia="宋体"/>
              </w:rPr>
            </w:pPr>
            <w:r>
              <w:rPr>
                <w:rFonts w:ascii="宋体" w:hAnsi="宋体" w:eastAsia="宋体"/>
                <w:spacing w:val="-7"/>
                <w:szCs w:val="21"/>
              </w:rPr>
              <w:t>投标人</w:t>
            </w:r>
            <w:r>
              <w:rPr>
                <w:rFonts w:hint="eastAsia" w:ascii="宋体" w:hAnsi="宋体" w:eastAsia="宋体"/>
                <w:kern w:val="0"/>
                <w:szCs w:val="20"/>
              </w:rPr>
              <w:t>可提供自认为体现综合实力证明材料。</w:t>
            </w:r>
          </w:p>
        </w:tc>
      </w:tr>
    </w:tbl>
    <w:p>
      <w:pPr>
        <w:spacing w:line="360" w:lineRule="auto"/>
        <w:ind w:firstLine="420" w:firstLineChars="200"/>
        <w:rPr>
          <w:rFonts w:ascii="宋体" w:hAnsi="宋体" w:eastAsia="宋体"/>
        </w:rPr>
      </w:pPr>
      <w:r>
        <w:rPr>
          <w:rFonts w:hint="eastAsia" w:ascii="宋体" w:hAnsi="宋体" w:eastAsia="宋体"/>
        </w:rPr>
        <w:t>备注</w:t>
      </w:r>
      <w:r>
        <w:rPr>
          <w:rFonts w:ascii="宋体" w:hAnsi="宋体" w:eastAsia="宋体"/>
        </w:rPr>
        <w:t>：</w:t>
      </w:r>
    </w:p>
    <w:p>
      <w:pPr>
        <w:spacing w:line="360" w:lineRule="auto"/>
        <w:ind w:firstLine="420" w:firstLineChars="200"/>
        <w:rPr>
          <w:rFonts w:ascii="宋体" w:hAnsi="宋体" w:eastAsia="宋体"/>
        </w:rPr>
      </w:pPr>
      <w:r>
        <w:rPr>
          <w:rFonts w:hint="eastAsia" w:ascii="宋体" w:hAnsi="宋体" w:eastAsia="宋体"/>
        </w:rPr>
        <w:t>1.凡</w:t>
      </w:r>
      <w:r>
        <w:rPr>
          <w:rFonts w:ascii="宋体" w:hAnsi="宋体" w:eastAsia="宋体"/>
        </w:rPr>
        <w:t>不能通过后续增加资金、人力、物力投入改变的要素视为资信要素，如</w:t>
      </w:r>
      <w:r>
        <w:rPr>
          <w:rFonts w:hint="eastAsia" w:ascii="宋体" w:hAnsi="宋体" w:eastAsia="宋体"/>
        </w:rPr>
        <w:t>供应商</w:t>
      </w:r>
      <w:r>
        <w:rPr>
          <w:rFonts w:ascii="宋体" w:hAnsi="宋体" w:eastAsia="宋体"/>
        </w:rPr>
        <w:t>业绩、</w:t>
      </w:r>
      <w:r>
        <w:rPr>
          <w:rFonts w:hint="eastAsia" w:ascii="宋体" w:hAnsi="宋体" w:eastAsia="宋体"/>
        </w:rPr>
        <w:t>过往</w:t>
      </w:r>
      <w:r>
        <w:rPr>
          <w:rFonts w:ascii="宋体" w:hAnsi="宋体" w:eastAsia="宋体"/>
        </w:rPr>
        <w:t>认证情况、财务状况、营业</w:t>
      </w:r>
      <w:r>
        <w:rPr>
          <w:rFonts w:hint="eastAsia" w:ascii="宋体" w:hAnsi="宋体" w:eastAsia="宋体"/>
        </w:rPr>
        <w:t>额</w:t>
      </w:r>
      <w:r>
        <w:rPr>
          <w:rFonts w:ascii="宋体" w:hAnsi="宋体" w:eastAsia="宋体"/>
        </w:rPr>
        <w:t>、从业人员学历、注册资格、</w:t>
      </w:r>
      <w:r>
        <w:rPr>
          <w:rFonts w:hint="eastAsia" w:ascii="宋体" w:hAnsi="宋体" w:eastAsia="宋体"/>
        </w:rPr>
        <w:t>资历</w:t>
      </w:r>
      <w:r>
        <w:rPr>
          <w:rFonts w:ascii="宋体" w:hAnsi="宋体" w:eastAsia="宋体"/>
        </w:rPr>
        <w:t>等情况。</w:t>
      </w:r>
    </w:p>
    <w:p>
      <w:pPr>
        <w:spacing w:line="360" w:lineRule="auto"/>
        <w:ind w:firstLine="420" w:firstLineChars="200"/>
        <w:rPr>
          <w:rFonts w:ascii="宋体" w:hAnsi="宋体" w:eastAsia="宋体"/>
        </w:rPr>
      </w:pPr>
      <w:r>
        <w:rPr>
          <w:rFonts w:ascii="宋体" w:hAnsi="宋体" w:eastAsia="宋体"/>
        </w:rPr>
        <w:t>2.</w:t>
      </w:r>
      <w:r>
        <w:rPr>
          <w:rFonts w:hint="eastAsia" w:ascii="宋体" w:hAnsi="宋体" w:eastAsia="宋体"/>
        </w:rPr>
        <w:t>资信</w:t>
      </w:r>
      <w:r>
        <w:rPr>
          <w:rFonts w:ascii="宋体" w:hAnsi="宋体" w:eastAsia="宋体"/>
        </w:rPr>
        <w:t>要素不得有规模、数量等下限要求；如</w:t>
      </w:r>
      <w:r>
        <w:rPr>
          <w:rFonts w:hint="eastAsia" w:ascii="宋体" w:hAnsi="宋体" w:eastAsia="宋体"/>
        </w:rPr>
        <w:t>供应商</w:t>
      </w:r>
      <w:r>
        <w:rPr>
          <w:rFonts w:ascii="宋体" w:hAnsi="宋体" w:eastAsia="宋体"/>
        </w:rPr>
        <w:t>业绩的描述可以为：提供</w:t>
      </w:r>
      <w:r>
        <w:rPr>
          <w:rFonts w:hint="eastAsia" w:ascii="宋体" w:hAnsi="宋体" w:eastAsia="宋体"/>
        </w:rPr>
        <w:t>××××</w:t>
      </w:r>
      <w:r>
        <w:rPr>
          <w:rFonts w:ascii="宋体" w:hAnsi="宋体" w:eastAsia="宋体"/>
        </w:rPr>
        <w:t>年</w:t>
      </w:r>
      <w:r>
        <w:rPr>
          <w:rFonts w:hint="eastAsia" w:ascii="宋体" w:hAnsi="宋体" w:eastAsia="宋体"/>
        </w:rPr>
        <w:t>×</w:t>
      </w:r>
      <w:r>
        <w:rPr>
          <w:rFonts w:ascii="宋体" w:hAnsi="宋体" w:eastAsia="宋体"/>
        </w:rPr>
        <w:t>月</w:t>
      </w:r>
      <w:r>
        <w:rPr>
          <w:rFonts w:hint="eastAsia" w:ascii="宋体" w:hAnsi="宋体" w:eastAsia="宋体"/>
        </w:rPr>
        <w:t>×</w:t>
      </w:r>
      <w:r>
        <w:rPr>
          <w:rFonts w:ascii="宋体" w:hAnsi="宋体" w:eastAsia="宋体"/>
        </w:rPr>
        <w:t>日至</w:t>
      </w:r>
      <w:r>
        <w:rPr>
          <w:rFonts w:hint="eastAsia" w:ascii="宋体" w:hAnsi="宋体" w:eastAsia="宋体"/>
        </w:rPr>
        <w:t>投标</w:t>
      </w:r>
      <w:r>
        <w:rPr>
          <w:rFonts w:ascii="宋体" w:hAnsi="宋体" w:eastAsia="宋体"/>
        </w:rPr>
        <w:t>截止时间（</w:t>
      </w:r>
      <w:r>
        <w:rPr>
          <w:rFonts w:hint="eastAsia" w:ascii="宋体" w:hAnsi="宋体" w:eastAsia="宋体"/>
        </w:rPr>
        <w:t>以</w:t>
      </w:r>
      <w:r>
        <w:rPr>
          <w:rFonts w:ascii="宋体" w:hAnsi="宋体" w:eastAsia="宋体"/>
        </w:rPr>
        <w:t>合同签订时间为准）</w:t>
      </w:r>
      <w:r>
        <w:rPr>
          <w:rFonts w:hint="eastAsia" w:ascii="宋体" w:hAnsi="宋体" w:eastAsia="宋体"/>
        </w:rPr>
        <w:t>供应商</w:t>
      </w:r>
      <w:r>
        <w:rPr>
          <w:rFonts w:ascii="宋体" w:hAnsi="宋体" w:eastAsia="宋体"/>
        </w:rPr>
        <w:t>自认为最具代表性的类似业绩（</w:t>
      </w:r>
      <w:r>
        <w:rPr>
          <w:rFonts w:hint="eastAsia" w:ascii="宋体" w:hAnsi="宋体" w:eastAsia="宋体"/>
        </w:rPr>
        <w:t>不超过5项</w:t>
      </w:r>
      <w:r>
        <w:rPr>
          <w:rFonts w:ascii="宋体" w:hAnsi="宋体" w:eastAsia="宋体"/>
        </w:rPr>
        <w:t>）</w:t>
      </w:r>
      <w:r>
        <w:rPr>
          <w:rFonts w:hint="eastAsia" w:ascii="宋体" w:hAnsi="宋体" w:eastAsia="宋体"/>
        </w:rPr>
        <w:t>。</w:t>
      </w:r>
    </w:p>
    <w:p>
      <w:pPr>
        <w:spacing w:line="360" w:lineRule="auto"/>
        <w:ind w:firstLine="420" w:firstLineChars="200"/>
        <w:rPr>
          <w:rFonts w:ascii="宋体" w:hAnsi="宋体" w:eastAsia="宋体"/>
        </w:rPr>
      </w:pPr>
      <w:r>
        <w:rPr>
          <w:rFonts w:ascii="宋体" w:hAnsi="宋体" w:eastAsia="宋体"/>
        </w:rPr>
        <w:t>3.</w:t>
      </w:r>
      <w:r>
        <w:rPr>
          <w:rFonts w:hint="eastAsia" w:ascii="宋体" w:hAnsi="宋体" w:eastAsia="宋体"/>
        </w:rPr>
        <w:t>为</w:t>
      </w:r>
      <w:r>
        <w:rPr>
          <w:rFonts w:ascii="宋体" w:hAnsi="宋体" w:eastAsia="宋体"/>
        </w:rPr>
        <w:t>响应</w:t>
      </w:r>
      <w:r>
        <w:rPr>
          <w:rFonts w:hint="eastAsia" w:ascii="宋体" w:hAnsi="宋体" w:eastAsia="宋体"/>
        </w:rPr>
        <w:t>深</w:t>
      </w:r>
      <w:r>
        <w:rPr>
          <w:rFonts w:ascii="宋体" w:hAnsi="宋体" w:eastAsia="宋体"/>
        </w:rPr>
        <w:t>建市场[2016]5</w:t>
      </w:r>
      <w:r>
        <w:rPr>
          <w:rFonts w:hint="eastAsia" w:ascii="宋体" w:hAnsi="宋体" w:eastAsia="宋体"/>
        </w:rPr>
        <w:t>号</w:t>
      </w:r>
      <w:r>
        <w:rPr>
          <w:rFonts w:ascii="宋体" w:hAnsi="宋体" w:eastAsia="宋体"/>
        </w:rPr>
        <w:t>深圳市住房和建设局关于印发《</w:t>
      </w:r>
      <w:r>
        <w:rPr>
          <w:rFonts w:hint="eastAsia" w:ascii="宋体" w:hAnsi="宋体" w:eastAsia="宋体"/>
        </w:rPr>
        <w:t>建设</w:t>
      </w:r>
      <w:r>
        <w:rPr>
          <w:rFonts w:ascii="宋体" w:hAnsi="宋体" w:eastAsia="宋体"/>
        </w:rPr>
        <w:t>工程招标文件定性评审</w:t>
      </w:r>
      <w:r>
        <w:rPr>
          <w:rFonts w:hint="eastAsia" w:ascii="宋体" w:hAnsi="宋体" w:eastAsia="宋体"/>
        </w:rPr>
        <w:t>要素</w:t>
      </w:r>
      <w:r>
        <w:rPr>
          <w:rFonts w:ascii="宋体" w:hAnsi="宋体" w:eastAsia="宋体"/>
        </w:rPr>
        <w:t>设置规则》</w:t>
      </w:r>
      <w:r>
        <w:rPr>
          <w:rFonts w:hint="eastAsia" w:ascii="宋体" w:hAnsi="宋体" w:eastAsia="宋体"/>
        </w:rPr>
        <w:t>的</w:t>
      </w:r>
      <w:r>
        <w:rPr>
          <w:rFonts w:ascii="宋体" w:hAnsi="宋体" w:eastAsia="宋体"/>
        </w:rPr>
        <w:t>通知，本</w:t>
      </w:r>
      <w:r>
        <w:rPr>
          <w:rFonts w:hint="eastAsia" w:ascii="宋体" w:hAnsi="宋体" w:eastAsia="宋体"/>
        </w:rPr>
        <w:t>采购</w:t>
      </w:r>
      <w:r>
        <w:rPr>
          <w:rFonts w:ascii="宋体" w:hAnsi="宋体" w:eastAsia="宋体"/>
        </w:rPr>
        <w:t>文件资信标不</w:t>
      </w:r>
      <w:r>
        <w:rPr>
          <w:rFonts w:hint="eastAsia" w:ascii="宋体" w:hAnsi="宋体" w:eastAsia="宋体"/>
        </w:rPr>
        <w:t>作</w:t>
      </w:r>
      <w:r>
        <w:rPr>
          <w:rFonts w:ascii="宋体" w:hAnsi="宋体" w:eastAsia="宋体"/>
        </w:rPr>
        <w:t>评审（</w:t>
      </w:r>
      <w:r>
        <w:rPr>
          <w:rFonts w:hint="eastAsia" w:ascii="宋体" w:hAnsi="宋体" w:eastAsia="宋体"/>
        </w:rPr>
        <w:t>评价</w:t>
      </w:r>
      <w:r>
        <w:rPr>
          <w:rFonts w:ascii="宋体" w:hAnsi="宋体" w:eastAsia="宋体"/>
        </w:rPr>
        <w:t>或评级）</w:t>
      </w:r>
      <w:r>
        <w:rPr>
          <w:rFonts w:hint="eastAsia" w:ascii="宋体" w:hAnsi="宋体" w:eastAsia="宋体"/>
        </w:rPr>
        <w:t>，但</w:t>
      </w:r>
      <w:r>
        <w:rPr>
          <w:rFonts w:ascii="宋体" w:hAnsi="宋体" w:eastAsia="宋体"/>
        </w:rPr>
        <w:t>要求</w:t>
      </w:r>
      <w:r>
        <w:rPr>
          <w:rFonts w:hint="eastAsia" w:ascii="宋体" w:hAnsi="宋体" w:eastAsia="宋体"/>
        </w:rPr>
        <w:t>供应商</w:t>
      </w:r>
      <w:r>
        <w:rPr>
          <w:rFonts w:ascii="宋体" w:hAnsi="宋体" w:eastAsia="宋体"/>
        </w:rPr>
        <w:t>认真响应《</w:t>
      </w:r>
      <w:r>
        <w:rPr>
          <w:rFonts w:hint="eastAsia" w:ascii="宋体" w:hAnsi="宋体" w:eastAsia="宋体"/>
        </w:rPr>
        <w:t>资信标</w:t>
      </w:r>
      <w:r>
        <w:rPr>
          <w:rFonts w:ascii="宋体" w:hAnsi="宋体" w:eastAsia="宋体"/>
        </w:rPr>
        <w:t>要求一览表》</w:t>
      </w:r>
      <w:r>
        <w:rPr>
          <w:rFonts w:hint="eastAsia" w:ascii="宋体" w:hAnsi="宋体" w:eastAsia="宋体"/>
        </w:rPr>
        <w:t>各项</w:t>
      </w:r>
      <w:r>
        <w:rPr>
          <w:rFonts w:ascii="宋体" w:hAnsi="宋体" w:eastAsia="宋体"/>
        </w:rPr>
        <w:t>内容，</w:t>
      </w:r>
      <w:r>
        <w:rPr>
          <w:rFonts w:hint="eastAsia" w:ascii="宋体" w:hAnsi="宋体" w:eastAsia="宋体"/>
        </w:rPr>
        <w:t>供采购</w:t>
      </w:r>
      <w:r>
        <w:rPr>
          <w:rFonts w:ascii="宋体" w:hAnsi="宋体" w:eastAsia="宋体"/>
        </w:rPr>
        <w:t>人作定标参考。</w:t>
      </w:r>
    </w:p>
    <w:p>
      <w:pPr>
        <w:spacing w:line="360" w:lineRule="auto"/>
        <w:jc w:val="center"/>
        <w:outlineLvl w:val="3"/>
        <w:rPr>
          <w:rFonts w:ascii="宋体" w:hAnsi="宋体" w:eastAsia="宋体"/>
          <w:b/>
          <w:sz w:val="28"/>
        </w:rPr>
      </w:pPr>
      <w:r>
        <w:rPr>
          <w:rFonts w:hint="eastAsia" w:ascii="宋体" w:hAnsi="宋体" w:eastAsia="宋体"/>
          <w:b/>
          <w:sz w:val="28"/>
        </w:rPr>
        <w:t>技术</w:t>
      </w:r>
      <w:r>
        <w:rPr>
          <w:rFonts w:ascii="宋体" w:hAnsi="宋体" w:eastAsia="宋体"/>
          <w:b/>
          <w:sz w:val="28"/>
        </w:rPr>
        <w:t>定性评审表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3260"/>
        <w:gridCol w:w="723"/>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jc w:val="center"/>
              <w:rPr>
                <w:rFonts w:ascii="宋体" w:hAnsi="宋体" w:eastAsia="宋体"/>
                <w:b/>
              </w:rPr>
            </w:pPr>
            <w:r>
              <w:rPr>
                <w:rFonts w:hint="eastAsia" w:ascii="宋体" w:hAnsi="宋体" w:eastAsia="宋体"/>
                <w:b/>
              </w:rPr>
              <w:t>序号</w:t>
            </w:r>
          </w:p>
        </w:tc>
        <w:tc>
          <w:tcPr>
            <w:tcW w:w="1418" w:type="dxa"/>
            <w:vAlign w:val="center"/>
          </w:tcPr>
          <w:p>
            <w:pPr>
              <w:jc w:val="center"/>
              <w:rPr>
                <w:rFonts w:ascii="宋体" w:hAnsi="宋体" w:eastAsia="宋体"/>
                <w:b/>
              </w:rPr>
            </w:pPr>
            <w:r>
              <w:rPr>
                <w:rFonts w:hint="eastAsia" w:ascii="宋体" w:hAnsi="宋体" w:eastAsia="宋体"/>
                <w:b/>
              </w:rPr>
              <w:t>评审</w:t>
            </w:r>
            <w:r>
              <w:rPr>
                <w:rFonts w:ascii="宋体" w:hAnsi="宋体" w:eastAsia="宋体"/>
                <w:b/>
              </w:rPr>
              <w:t>项目</w:t>
            </w:r>
          </w:p>
        </w:tc>
        <w:tc>
          <w:tcPr>
            <w:tcW w:w="3260" w:type="dxa"/>
            <w:vAlign w:val="center"/>
          </w:tcPr>
          <w:p>
            <w:pPr>
              <w:jc w:val="center"/>
              <w:rPr>
                <w:rFonts w:ascii="宋体" w:hAnsi="宋体" w:eastAsia="宋体"/>
                <w:b/>
              </w:rPr>
            </w:pPr>
            <w:r>
              <w:rPr>
                <w:rFonts w:hint="eastAsia" w:ascii="宋体" w:hAnsi="宋体" w:eastAsia="宋体"/>
                <w:b/>
              </w:rPr>
              <w:t>评审内容</w:t>
            </w:r>
          </w:p>
        </w:tc>
        <w:tc>
          <w:tcPr>
            <w:tcW w:w="723" w:type="dxa"/>
            <w:vAlign w:val="center"/>
          </w:tcPr>
          <w:p>
            <w:pPr>
              <w:jc w:val="center"/>
              <w:rPr>
                <w:rFonts w:ascii="宋体" w:hAnsi="宋体" w:eastAsia="宋体"/>
                <w:b/>
              </w:rPr>
            </w:pPr>
            <w:r>
              <w:rPr>
                <w:rFonts w:hint="eastAsia" w:ascii="宋体" w:hAnsi="宋体" w:eastAsia="宋体"/>
                <w:b/>
              </w:rPr>
              <w:t>优点</w:t>
            </w:r>
          </w:p>
        </w:tc>
        <w:tc>
          <w:tcPr>
            <w:tcW w:w="2191" w:type="dxa"/>
            <w:vAlign w:val="center"/>
          </w:tcPr>
          <w:p>
            <w:pPr>
              <w:jc w:val="center"/>
              <w:rPr>
                <w:rFonts w:ascii="宋体" w:hAnsi="宋体" w:eastAsia="宋体"/>
                <w:b/>
              </w:rPr>
            </w:pPr>
            <w:r>
              <w:rPr>
                <w:rFonts w:hint="eastAsia" w:ascii="宋体" w:hAnsi="宋体" w:eastAsia="宋体"/>
                <w:b/>
              </w:rPr>
              <w:t>存在</w:t>
            </w:r>
            <w:r>
              <w:rPr>
                <w:rFonts w:ascii="宋体" w:hAnsi="宋体" w:eastAsia="宋体"/>
                <w:b/>
              </w:rPr>
              <w:t>缺陷或签订合同前应注意和澄清事项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1</w:t>
            </w:r>
          </w:p>
        </w:tc>
        <w:tc>
          <w:tcPr>
            <w:tcW w:w="1418" w:type="dxa"/>
            <w:vAlign w:val="center"/>
          </w:tcPr>
          <w:p>
            <w:pPr>
              <w:jc w:val="center"/>
              <w:rPr>
                <w:rFonts w:ascii="宋体" w:hAnsi="宋体" w:eastAsia="宋体"/>
              </w:rPr>
            </w:pPr>
            <w:r>
              <w:rPr>
                <w:rFonts w:hint="eastAsia" w:ascii="宋体" w:hAnsi="宋体" w:eastAsia="宋体" w:cstheme="minorBidi"/>
                <w:color w:val="auto"/>
                <w:szCs w:val="22"/>
                <w:shd w:val="clear" w:color="auto" w:fill="auto"/>
              </w:rPr>
              <w:t>设计方案</w:t>
            </w:r>
          </w:p>
        </w:tc>
        <w:tc>
          <w:tcPr>
            <w:tcW w:w="3260" w:type="dxa"/>
            <w:vAlign w:val="center"/>
          </w:tcPr>
          <w:p>
            <w:pPr>
              <w:jc w:val="left"/>
              <w:rPr>
                <w:rFonts w:ascii="宋体" w:hAnsi="宋体" w:eastAsia="宋体"/>
              </w:rPr>
            </w:pPr>
            <w:r>
              <w:rPr>
                <w:rFonts w:hint="eastAsia" w:ascii="宋体" w:hAnsi="宋体" w:eastAsia="宋体" w:cstheme="minorBidi"/>
                <w:color w:val="auto"/>
                <w:szCs w:val="22"/>
                <w:shd w:val="clear" w:color="auto" w:fill="auto"/>
              </w:rPr>
              <w:t>投标人对项目的理解是否充分、对项目的重难点分析是否到位、设计方案是否具备针对性及合理性。</w:t>
            </w:r>
            <w:r>
              <w:rPr>
                <w:rFonts w:ascii="宋体" w:hAnsi="宋体" w:eastAsia="宋体" w:cstheme="minorBidi"/>
                <w:color w:val="auto"/>
                <w:szCs w:val="22"/>
                <w:shd w:val="clear" w:color="auto" w:fill="auto"/>
              </w:rPr>
              <w:t xml:space="preserve"> </w:t>
            </w:r>
            <w:r>
              <w:rPr>
                <w:rFonts w:hint="eastAsia" w:ascii="宋体" w:hAnsi="宋体" w:eastAsia="宋体" w:cstheme="minorBidi"/>
                <w:color w:val="auto"/>
                <w:szCs w:val="22"/>
                <w:shd w:val="clear" w:color="auto" w:fill="auto"/>
              </w:rPr>
              <w:t>备注：根据供应商设计方案的内容进行评审。</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2</w:t>
            </w:r>
          </w:p>
        </w:tc>
        <w:tc>
          <w:tcPr>
            <w:tcW w:w="1418" w:type="dxa"/>
            <w:vAlign w:val="center"/>
          </w:tcPr>
          <w:p>
            <w:pPr>
              <w:jc w:val="center"/>
              <w:rPr>
                <w:rFonts w:ascii="宋体" w:hAnsi="宋体" w:eastAsia="宋体"/>
              </w:rPr>
            </w:pPr>
            <w:r>
              <w:rPr>
                <w:rFonts w:hint="eastAsia" w:ascii="宋体" w:hAnsi="宋体" w:eastAsia="宋体" w:cstheme="minorBidi"/>
                <w:color w:val="auto"/>
                <w:szCs w:val="22"/>
                <w:shd w:val="clear" w:color="auto" w:fill="auto"/>
              </w:rPr>
              <w:t>项目团队</w:t>
            </w:r>
          </w:p>
        </w:tc>
        <w:tc>
          <w:tcPr>
            <w:tcW w:w="3260" w:type="dxa"/>
            <w:vAlign w:val="center"/>
          </w:tcPr>
          <w:p>
            <w:pPr>
              <w:jc w:val="left"/>
              <w:rPr>
                <w:rFonts w:ascii="宋体" w:hAnsi="宋体" w:eastAsia="宋体"/>
              </w:rPr>
            </w:pPr>
            <w:r>
              <w:rPr>
                <w:rFonts w:hint="eastAsia" w:ascii="宋体" w:hAnsi="宋体" w:eastAsia="宋体" w:cstheme="minorBidi"/>
                <w:color w:val="auto"/>
                <w:szCs w:val="22"/>
                <w:shd w:val="clear" w:color="auto" w:fill="auto"/>
              </w:rPr>
              <w:t>项目团队人员专业是否对口、是否有相关经验、是否具备独立完成设计的能力。</w:t>
            </w:r>
            <w:r>
              <w:rPr>
                <w:rFonts w:ascii="宋体" w:hAnsi="宋体" w:eastAsia="宋体" w:cstheme="minorBidi"/>
                <w:color w:val="auto"/>
                <w:szCs w:val="22"/>
                <w:shd w:val="clear" w:color="auto" w:fill="auto"/>
              </w:rPr>
              <w:t xml:space="preserve"> </w:t>
            </w:r>
            <w:r>
              <w:rPr>
                <w:rFonts w:hint="eastAsia" w:ascii="宋体" w:hAnsi="宋体" w:eastAsia="宋体" w:cstheme="minorBidi"/>
                <w:color w:val="auto"/>
                <w:szCs w:val="22"/>
                <w:shd w:val="clear" w:color="auto" w:fill="auto"/>
              </w:rPr>
              <w:t>备注：根据供应商技术标书中提供的项目团队配置进行评审。</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3</w:t>
            </w:r>
          </w:p>
        </w:tc>
        <w:tc>
          <w:tcPr>
            <w:tcW w:w="1418" w:type="dxa"/>
            <w:vAlign w:val="center"/>
          </w:tcPr>
          <w:p>
            <w:pPr>
              <w:jc w:val="center"/>
              <w:rPr>
                <w:rFonts w:ascii="宋体" w:hAnsi="宋体" w:eastAsia="宋体"/>
              </w:rPr>
            </w:pPr>
            <w:r>
              <w:rPr>
                <w:rFonts w:hint="eastAsia" w:ascii="宋体" w:hAnsi="宋体" w:eastAsia="宋体" w:cstheme="minorBidi"/>
                <w:color w:val="auto"/>
                <w:szCs w:val="22"/>
                <w:shd w:val="clear" w:color="auto" w:fill="auto"/>
              </w:rPr>
              <w:t>进度计划</w:t>
            </w:r>
          </w:p>
        </w:tc>
        <w:tc>
          <w:tcPr>
            <w:tcW w:w="3260" w:type="dxa"/>
            <w:vAlign w:val="center"/>
          </w:tcPr>
          <w:p>
            <w:pPr>
              <w:jc w:val="left"/>
              <w:rPr>
                <w:rFonts w:ascii="宋体" w:hAnsi="宋体" w:eastAsia="宋体"/>
              </w:rPr>
            </w:pPr>
            <w:r>
              <w:rPr>
                <w:rFonts w:hint="eastAsia" w:ascii="宋体" w:hAnsi="宋体" w:eastAsia="宋体" w:cstheme="minorBidi"/>
                <w:color w:val="auto"/>
                <w:szCs w:val="22"/>
                <w:shd w:val="clear" w:color="auto" w:fill="auto"/>
              </w:rPr>
              <w:t>工期承诺是否合理，有无切实可行的进度计划与保障机制。</w:t>
            </w:r>
            <w:r>
              <w:rPr>
                <w:rFonts w:ascii="宋体" w:hAnsi="宋体" w:eastAsia="宋体" w:cstheme="minorBidi"/>
                <w:color w:val="auto"/>
                <w:szCs w:val="22"/>
                <w:shd w:val="clear" w:color="auto" w:fill="auto"/>
              </w:rPr>
              <w:t xml:space="preserve"> </w:t>
            </w:r>
            <w:r>
              <w:rPr>
                <w:rFonts w:hint="eastAsia" w:ascii="宋体" w:hAnsi="宋体" w:eastAsia="宋体" w:cstheme="minorBidi"/>
                <w:color w:val="auto"/>
                <w:szCs w:val="22"/>
                <w:shd w:val="clear" w:color="auto" w:fill="auto"/>
              </w:rPr>
              <w:t>备注：根据供应商技术标书中提供的进度计划进行评审。</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4</w:t>
            </w:r>
          </w:p>
        </w:tc>
        <w:tc>
          <w:tcPr>
            <w:tcW w:w="1418" w:type="dxa"/>
            <w:vAlign w:val="center"/>
          </w:tcPr>
          <w:p>
            <w:pPr>
              <w:jc w:val="center"/>
              <w:rPr>
                <w:rFonts w:ascii="宋体" w:hAnsi="宋体" w:eastAsia="宋体"/>
              </w:rPr>
            </w:pPr>
            <w:r>
              <w:rPr>
                <w:rFonts w:hint="eastAsia" w:ascii="宋体" w:hAnsi="宋体" w:eastAsia="宋体" w:cstheme="minorBidi"/>
                <w:color w:val="auto"/>
                <w:szCs w:val="22"/>
                <w:shd w:val="clear" w:color="auto" w:fill="auto"/>
              </w:rPr>
              <w:t>设计质量保障</w:t>
            </w:r>
          </w:p>
        </w:tc>
        <w:tc>
          <w:tcPr>
            <w:tcW w:w="3260" w:type="dxa"/>
            <w:vAlign w:val="center"/>
          </w:tcPr>
          <w:p>
            <w:pPr>
              <w:jc w:val="left"/>
              <w:rPr>
                <w:rFonts w:ascii="宋体" w:hAnsi="宋体" w:eastAsia="宋体"/>
              </w:rPr>
            </w:pPr>
            <w:r>
              <w:rPr>
                <w:rFonts w:hint="eastAsia" w:ascii="宋体" w:hAnsi="宋体" w:eastAsia="宋体" w:cstheme="minorBidi"/>
                <w:color w:val="auto"/>
                <w:szCs w:val="22"/>
                <w:shd w:val="clear" w:color="auto" w:fill="auto"/>
              </w:rPr>
              <w:t>设计质量保障措施是否具备合理性、有效性。</w:t>
            </w:r>
            <w:r>
              <w:rPr>
                <w:rFonts w:ascii="宋体" w:hAnsi="宋体" w:eastAsia="宋体" w:cstheme="minorBidi"/>
                <w:color w:val="auto"/>
                <w:szCs w:val="22"/>
                <w:shd w:val="clear" w:color="auto" w:fill="auto"/>
              </w:rPr>
              <w:t xml:space="preserve"> </w:t>
            </w:r>
            <w:r>
              <w:rPr>
                <w:rFonts w:hint="eastAsia" w:ascii="宋体" w:hAnsi="宋体" w:eastAsia="宋体" w:cstheme="minorBidi"/>
                <w:color w:val="auto"/>
                <w:szCs w:val="22"/>
                <w:shd w:val="clear" w:color="auto" w:fill="auto"/>
              </w:rPr>
              <w:t>备注：根据供应商技术标书中设计质量保证措施的合理性、有效性进行评审。</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5</w:t>
            </w:r>
          </w:p>
        </w:tc>
        <w:tc>
          <w:tcPr>
            <w:tcW w:w="1418" w:type="dxa"/>
            <w:vAlign w:val="center"/>
          </w:tcPr>
          <w:p>
            <w:pPr>
              <w:jc w:val="center"/>
              <w:rPr>
                <w:rFonts w:ascii="宋体" w:hAnsi="宋体" w:eastAsia="宋体"/>
              </w:rPr>
            </w:pPr>
            <w:r>
              <w:rPr>
                <w:rFonts w:hint="eastAsia" w:ascii="宋体" w:hAnsi="宋体" w:eastAsia="宋体" w:cstheme="minorBidi"/>
                <w:color w:val="auto"/>
                <w:szCs w:val="22"/>
                <w:shd w:val="clear" w:color="auto" w:fill="auto"/>
              </w:rPr>
              <w:t>服务承诺</w:t>
            </w:r>
          </w:p>
        </w:tc>
        <w:tc>
          <w:tcPr>
            <w:tcW w:w="3260" w:type="dxa"/>
            <w:vAlign w:val="center"/>
          </w:tcPr>
          <w:p>
            <w:pPr>
              <w:jc w:val="left"/>
              <w:rPr>
                <w:rFonts w:ascii="宋体" w:hAnsi="宋体" w:eastAsia="宋体"/>
              </w:rPr>
            </w:pPr>
            <w:r>
              <w:rPr>
                <w:rFonts w:hint="eastAsia" w:ascii="宋体" w:hAnsi="宋体" w:eastAsia="宋体" w:cstheme="minorBidi"/>
                <w:color w:val="auto"/>
                <w:szCs w:val="22"/>
                <w:shd w:val="clear" w:color="auto" w:fill="auto"/>
              </w:rPr>
              <w:t>施工配合、设计变更响应、竣工验收支持等服务承诺是否到位。</w:t>
            </w:r>
            <w:r>
              <w:rPr>
                <w:rFonts w:ascii="宋体" w:hAnsi="宋体" w:eastAsia="宋体" w:cstheme="minorBidi"/>
                <w:color w:val="auto"/>
                <w:szCs w:val="22"/>
                <w:shd w:val="clear" w:color="auto" w:fill="auto"/>
              </w:rPr>
              <w:t xml:space="preserve"> </w:t>
            </w:r>
            <w:r>
              <w:rPr>
                <w:rFonts w:hint="eastAsia" w:ascii="宋体" w:hAnsi="宋体" w:eastAsia="宋体" w:cstheme="minorBidi"/>
                <w:color w:val="auto"/>
                <w:szCs w:val="22"/>
                <w:shd w:val="clear" w:color="auto" w:fill="auto"/>
              </w:rPr>
              <w:t>备注：根据供应商提出的服务承诺进行评审。</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bl>
    <w:p>
      <w:pPr>
        <w:spacing w:line="360" w:lineRule="auto"/>
        <w:ind w:firstLine="420" w:firstLineChars="200"/>
        <w:rPr>
          <w:rFonts w:ascii="宋体" w:hAnsi="宋体" w:eastAsia="宋体"/>
        </w:rPr>
      </w:pPr>
      <w:r>
        <w:rPr>
          <w:rFonts w:hint="eastAsia" w:ascii="宋体" w:hAnsi="宋体" w:eastAsia="宋体"/>
        </w:rPr>
        <w:t>备注：</w:t>
      </w:r>
    </w:p>
    <w:p>
      <w:pPr>
        <w:spacing w:line="360" w:lineRule="auto"/>
        <w:ind w:firstLine="420" w:firstLineChars="200"/>
        <w:rPr>
          <w:rFonts w:ascii="宋体" w:hAnsi="宋体" w:eastAsia="宋体"/>
        </w:rPr>
      </w:pPr>
      <w:r>
        <w:rPr>
          <w:rFonts w:ascii="宋体" w:hAnsi="宋体" w:eastAsia="宋体"/>
        </w:rPr>
        <w:t>1.</w:t>
      </w:r>
      <w:r>
        <w:rPr>
          <w:rFonts w:hint="eastAsia" w:ascii="宋体" w:hAnsi="宋体" w:eastAsia="宋体"/>
        </w:rPr>
        <w:t>本表适用于专家独立评审使用；</w:t>
      </w:r>
    </w:p>
    <w:p>
      <w:pPr>
        <w:spacing w:line="360" w:lineRule="auto"/>
        <w:ind w:firstLine="420" w:firstLineChars="200"/>
        <w:rPr>
          <w:rFonts w:ascii="宋体" w:hAnsi="宋体" w:eastAsia="宋体"/>
        </w:rPr>
      </w:pPr>
      <w:r>
        <w:rPr>
          <w:rFonts w:ascii="宋体" w:hAnsi="宋体" w:eastAsia="宋体"/>
        </w:rPr>
        <w:t>2.</w:t>
      </w:r>
      <w:r>
        <w:rPr>
          <w:rFonts w:hint="eastAsia" w:ascii="宋体" w:hAnsi="宋体" w:eastAsia="宋体"/>
        </w:rPr>
        <w:t>指出各评审项的优点、存在缺陷或签订合同前应注意和澄清事项；</w:t>
      </w:r>
    </w:p>
    <w:p>
      <w:pPr>
        <w:spacing w:line="360" w:lineRule="auto"/>
        <w:ind w:firstLine="420" w:firstLineChars="200"/>
        <w:rPr>
          <w:rFonts w:ascii="宋体" w:hAnsi="宋体" w:eastAsia="宋体"/>
        </w:rPr>
      </w:pPr>
      <w:r>
        <w:rPr>
          <w:rFonts w:ascii="宋体" w:hAnsi="宋体" w:eastAsia="宋体"/>
        </w:rPr>
        <w:t>3.</w:t>
      </w:r>
      <w:r>
        <w:rPr>
          <w:rFonts w:hint="eastAsia" w:ascii="宋体" w:hAnsi="宋体" w:eastAsia="宋体"/>
        </w:rPr>
        <w:t>如果有资格条件要素、资信要素在本评审表中列项的，不需进行评审，在对应栏中标示“/”即可；</w:t>
      </w:r>
    </w:p>
    <w:p>
      <w:pPr>
        <w:spacing w:line="360" w:lineRule="auto"/>
        <w:ind w:firstLine="420" w:firstLineChars="200"/>
        <w:rPr>
          <w:rFonts w:ascii="宋体" w:hAnsi="宋体" w:eastAsia="宋体"/>
        </w:rPr>
      </w:pPr>
      <w:r>
        <w:rPr>
          <w:rFonts w:ascii="宋体" w:hAnsi="宋体" w:eastAsia="宋体"/>
        </w:rPr>
        <w:t>5.</w:t>
      </w:r>
      <w:r>
        <w:rPr>
          <w:rFonts w:hint="eastAsia" w:ascii="宋体" w:hAnsi="宋体" w:eastAsia="宋体"/>
        </w:rPr>
        <w:t>综合评价等级仅分为通过或不通过两个等级，不通过仅限于符合采购文件废标、无效标情形以及报价文件违反国家强制性条文标准的情形。</w:t>
      </w:r>
    </w:p>
    <w:p>
      <w:pPr>
        <w:spacing w:line="360" w:lineRule="auto"/>
        <w:jc w:val="center"/>
        <w:outlineLvl w:val="3"/>
        <w:rPr>
          <w:rFonts w:ascii="宋体" w:hAnsi="宋体" w:eastAsia="宋体"/>
          <w:b/>
          <w:sz w:val="28"/>
        </w:rPr>
      </w:pPr>
      <w:r>
        <w:rPr>
          <w:rFonts w:hint="eastAsia" w:ascii="宋体" w:hAnsi="宋体" w:eastAsia="宋体"/>
          <w:b/>
          <w:sz w:val="28"/>
        </w:rPr>
        <w:t>商务标</w:t>
      </w:r>
      <w:r>
        <w:rPr>
          <w:rFonts w:ascii="宋体" w:hAnsi="宋体" w:eastAsia="宋体"/>
          <w:b/>
          <w:sz w:val="28"/>
        </w:rPr>
        <w:t>定性评审表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59"/>
        <w:gridCol w:w="3119"/>
        <w:gridCol w:w="723"/>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b/>
              </w:rPr>
            </w:pPr>
            <w:r>
              <w:rPr>
                <w:rFonts w:hint="eastAsia" w:ascii="宋体" w:hAnsi="宋体" w:eastAsia="宋体"/>
                <w:b/>
              </w:rPr>
              <w:t>序号</w:t>
            </w:r>
          </w:p>
        </w:tc>
        <w:tc>
          <w:tcPr>
            <w:tcW w:w="1559" w:type="dxa"/>
            <w:vAlign w:val="center"/>
          </w:tcPr>
          <w:p>
            <w:pPr>
              <w:jc w:val="center"/>
              <w:rPr>
                <w:rFonts w:ascii="宋体" w:hAnsi="宋体" w:eastAsia="宋体"/>
                <w:b/>
              </w:rPr>
            </w:pPr>
            <w:r>
              <w:rPr>
                <w:rFonts w:hint="eastAsia" w:ascii="宋体" w:hAnsi="宋体" w:eastAsia="宋体"/>
                <w:b/>
              </w:rPr>
              <w:t>评审</w:t>
            </w:r>
            <w:r>
              <w:rPr>
                <w:rFonts w:ascii="宋体" w:hAnsi="宋体" w:eastAsia="宋体"/>
                <w:b/>
              </w:rPr>
              <w:t>项目</w:t>
            </w:r>
          </w:p>
        </w:tc>
        <w:tc>
          <w:tcPr>
            <w:tcW w:w="3119" w:type="dxa"/>
            <w:vAlign w:val="center"/>
          </w:tcPr>
          <w:p>
            <w:pPr>
              <w:jc w:val="center"/>
              <w:rPr>
                <w:rFonts w:ascii="宋体" w:hAnsi="宋体" w:eastAsia="宋体"/>
                <w:b/>
              </w:rPr>
            </w:pPr>
            <w:r>
              <w:rPr>
                <w:rFonts w:hint="eastAsia" w:ascii="宋体" w:hAnsi="宋体" w:eastAsia="宋体"/>
                <w:b/>
              </w:rPr>
              <w:t>评审内容</w:t>
            </w:r>
          </w:p>
        </w:tc>
        <w:tc>
          <w:tcPr>
            <w:tcW w:w="723" w:type="dxa"/>
            <w:vAlign w:val="center"/>
          </w:tcPr>
          <w:p>
            <w:pPr>
              <w:jc w:val="center"/>
              <w:rPr>
                <w:rFonts w:ascii="宋体" w:hAnsi="宋体" w:eastAsia="宋体"/>
                <w:b/>
              </w:rPr>
            </w:pPr>
            <w:r>
              <w:rPr>
                <w:rFonts w:hint="eastAsia" w:ascii="宋体" w:hAnsi="宋体" w:eastAsia="宋体"/>
                <w:b/>
              </w:rPr>
              <w:t>优点</w:t>
            </w:r>
          </w:p>
        </w:tc>
        <w:tc>
          <w:tcPr>
            <w:tcW w:w="2191" w:type="dxa"/>
            <w:vAlign w:val="center"/>
          </w:tcPr>
          <w:p>
            <w:pPr>
              <w:jc w:val="center"/>
              <w:rPr>
                <w:rFonts w:ascii="宋体" w:hAnsi="宋体" w:eastAsia="宋体"/>
                <w:b/>
              </w:rPr>
            </w:pPr>
            <w:r>
              <w:rPr>
                <w:rFonts w:hint="eastAsia" w:ascii="宋体" w:hAnsi="宋体" w:eastAsia="宋体"/>
                <w:b/>
              </w:rPr>
              <w:t>存在</w:t>
            </w:r>
            <w:r>
              <w:rPr>
                <w:rFonts w:ascii="宋体" w:hAnsi="宋体" w:eastAsia="宋体"/>
                <w:b/>
              </w:rPr>
              <w:t>缺陷或签订合同前应注意和澄清事项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1</w:t>
            </w:r>
          </w:p>
        </w:tc>
        <w:tc>
          <w:tcPr>
            <w:tcW w:w="1559" w:type="dxa"/>
            <w:vAlign w:val="center"/>
          </w:tcPr>
          <w:p>
            <w:pPr>
              <w:jc w:val="center"/>
              <w:rPr>
                <w:rFonts w:ascii="宋体" w:hAnsi="宋体" w:eastAsia="宋体"/>
              </w:rPr>
            </w:pPr>
            <w:r>
              <w:rPr>
                <w:rFonts w:hint="eastAsia" w:ascii="宋体" w:hAnsi="宋体" w:eastAsia="宋体"/>
              </w:rPr>
              <w:t>投标</w:t>
            </w:r>
            <w:r>
              <w:rPr>
                <w:rFonts w:ascii="宋体" w:hAnsi="宋体" w:eastAsia="宋体"/>
              </w:rPr>
              <w:t>报价</w:t>
            </w:r>
          </w:p>
        </w:tc>
        <w:tc>
          <w:tcPr>
            <w:tcW w:w="3119" w:type="dxa"/>
            <w:vAlign w:val="center"/>
          </w:tcPr>
          <w:p>
            <w:pPr>
              <w:jc w:val="left"/>
              <w:rPr>
                <w:rFonts w:ascii="宋体" w:hAnsi="宋体" w:eastAsia="宋体"/>
              </w:rPr>
            </w:pPr>
            <w:r>
              <w:rPr>
                <w:rFonts w:hint="eastAsia" w:ascii="宋体" w:hAnsi="宋体" w:eastAsia="宋体"/>
              </w:rPr>
              <w:t>投标</w:t>
            </w:r>
            <w:r>
              <w:rPr>
                <w:rFonts w:ascii="宋体" w:hAnsi="宋体" w:eastAsia="宋体"/>
              </w:rPr>
              <w:t>报价、分项报价情况</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2</w:t>
            </w:r>
          </w:p>
        </w:tc>
        <w:tc>
          <w:tcPr>
            <w:tcW w:w="1559" w:type="dxa"/>
            <w:vAlign w:val="center"/>
          </w:tcPr>
          <w:p>
            <w:pPr>
              <w:jc w:val="center"/>
              <w:rPr>
                <w:rFonts w:ascii="宋体" w:hAnsi="宋体" w:eastAsia="宋体"/>
              </w:rPr>
            </w:pPr>
            <w:r>
              <w:rPr>
                <w:rFonts w:hint="eastAsia" w:ascii="宋体" w:hAnsi="宋体" w:eastAsia="宋体"/>
              </w:rPr>
              <w:t>其他</w:t>
            </w:r>
            <w:r>
              <w:rPr>
                <w:rFonts w:ascii="宋体" w:hAnsi="宋体" w:eastAsia="宋体"/>
              </w:rPr>
              <w:t>问题</w:t>
            </w:r>
          </w:p>
        </w:tc>
        <w:tc>
          <w:tcPr>
            <w:tcW w:w="3119" w:type="dxa"/>
            <w:vAlign w:val="center"/>
          </w:tcPr>
          <w:p>
            <w:pPr>
              <w:jc w:val="left"/>
              <w:rPr>
                <w:rFonts w:ascii="宋体" w:hAnsi="宋体" w:eastAsia="宋体"/>
              </w:rPr>
            </w:pPr>
            <w:r>
              <w:rPr>
                <w:rFonts w:hint="eastAsia" w:ascii="宋体" w:hAnsi="宋体" w:eastAsia="宋体"/>
              </w:rPr>
              <w:t>其他</w:t>
            </w:r>
            <w:r>
              <w:rPr>
                <w:rFonts w:ascii="宋体" w:hAnsi="宋体" w:eastAsia="宋体"/>
              </w:rPr>
              <w:t>报价问题以及对合同签订、履行过程中的风险警示</w:t>
            </w:r>
          </w:p>
        </w:tc>
        <w:tc>
          <w:tcPr>
            <w:tcW w:w="723" w:type="dxa"/>
            <w:vAlign w:val="center"/>
          </w:tcPr>
          <w:p>
            <w:pPr>
              <w:jc w:val="center"/>
              <w:rPr>
                <w:rFonts w:ascii="宋体" w:hAnsi="宋体" w:eastAsia="宋体"/>
              </w:rPr>
            </w:pPr>
          </w:p>
        </w:tc>
        <w:tc>
          <w:tcPr>
            <w:tcW w:w="2191" w:type="dxa"/>
            <w:vAlign w:val="center"/>
          </w:tcPr>
          <w:p>
            <w:pPr>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rPr>
            </w:pPr>
            <w:r>
              <w:rPr>
                <w:rFonts w:hint="eastAsia" w:ascii="宋体" w:hAnsi="宋体" w:eastAsia="宋体"/>
              </w:rPr>
              <w:t>3</w:t>
            </w:r>
          </w:p>
        </w:tc>
        <w:tc>
          <w:tcPr>
            <w:tcW w:w="1559" w:type="dxa"/>
            <w:vAlign w:val="center"/>
          </w:tcPr>
          <w:p>
            <w:pPr>
              <w:jc w:val="center"/>
              <w:rPr>
                <w:rFonts w:ascii="宋体" w:hAnsi="宋体" w:eastAsia="宋体"/>
              </w:rPr>
            </w:pPr>
            <w:r>
              <w:rPr>
                <w:rFonts w:hint="eastAsia" w:ascii="宋体" w:hAnsi="宋体" w:eastAsia="宋体"/>
              </w:rPr>
              <w:t>综合</w:t>
            </w:r>
            <w:r>
              <w:rPr>
                <w:rFonts w:ascii="宋体" w:hAnsi="宋体" w:eastAsia="宋体"/>
              </w:rPr>
              <w:t>评审等级</w:t>
            </w:r>
          </w:p>
        </w:tc>
        <w:tc>
          <w:tcPr>
            <w:tcW w:w="6033" w:type="dxa"/>
            <w:gridSpan w:val="3"/>
            <w:vAlign w:val="center"/>
          </w:tcPr>
          <w:p>
            <w:pPr>
              <w:jc w:val="center"/>
              <w:rPr>
                <w:rFonts w:ascii="宋体" w:hAnsi="宋体" w:eastAsia="宋体"/>
              </w:rPr>
            </w:pPr>
            <w:r>
              <w:rPr>
                <w:rFonts w:hint="eastAsia" w:ascii="宋体" w:hAnsi="宋体" w:eastAsia="宋体"/>
              </w:rPr>
              <w:sym w:font="Wingdings 2" w:char="F0A3"/>
            </w:r>
            <w:r>
              <w:rPr>
                <w:rFonts w:hint="eastAsia" w:ascii="宋体" w:hAnsi="宋体" w:eastAsia="宋体"/>
              </w:rPr>
              <w:t xml:space="preserve">通过     </w:t>
            </w:r>
            <w:r>
              <w:rPr>
                <w:rFonts w:hint="eastAsia" w:ascii="宋体" w:hAnsi="宋体" w:eastAsia="宋体"/>
              </w:rPr>
              <w:sym w:font="Wingdings 2" w:char="F0A3"/>
            </w:r>
            <w:r>
              <w:rPr>
                <w:rFonts w:ascii="宋体" w:hAnsi="宋体" w:eastAsia="宋体"/>
              </w:rPr>
              <w:t>不通过</w:t>
            </w:r>
          </w:p>
        </w:tc>
      </w:tr>
    </w:tbl>
    <w:p>
      <w:pPr>
        <w:spacing w:line="360" w:lineRule="auto"/>
        <w:ind w:firstLine="420" w:firstLineChars="200"/>
        <w:rPr>
          <w:rFonts w:ascii="宋体" w:hAnsi="宋体" w:eastAsia="宋体"/>
        </w:rPr>
      </w:pPr>
      <w:r>
        <w:rPr>
          <w:rFonts w:hint="eastAsia" w:ascii="宋体" w:hAnsi="宋体" w:eastAsia="宋体"/>
        </w:rPr>
        <w:t>备注：</w:t>
      </w:r>
    </w:p>
    <w:p>
      <w:pPr>
        <w:spacing w:line="360" w:lineRule="auto"/>
        <w:ind w:firstLine="420" w:firstLineChars="200"/>
        <w:rPr>
          <w:rFonts w:ascii="宋体" w:hAnsi="宋体" w:eastAsia="宋体"/>
        </w:rPr>
      </w:pPr>
      <w:r>
        <w:rPr>
          <w:rFonts w:ascii="宋体" w:hAnsi="宋体" w:eastAsia="宋体"/>
        </w:rPr>
        <w:t>1.</w:t>
      </w:r>
      <w:r>
        <w:rPr>
          <w:rFonts w:hint="eastAsia" w:ascii="宋体" w:hAnsi="宋体" w:eastAsia="宋体"/>
        </w:rPr>
        <w:t>本表适用于专家独立评审使用；</w:t>
      </w:r>
    </w:p>
    <w:p>
      <w:pPr>
        <w:spacing w:line="360" w:lineRule="auto"/>
        <w:ind w:firstLine="420" w:firstLineChars="200"/>
        <w:rPr>
          <w:rFonts w:ascii="宋体" w:hAnsi="宋体" w:eastAsia="宋体"/>
        </w:rPr>
      </w:pPr>
      <w:r>
        <w:rPr>
          <w:rFonts w:ascii="宋体" w:hAnsi="宋体" w:eastAsia="宋体"/>
        </w:rPr>
        <w:t>2.</w:t>
      </w:r>
      <w:r>
        <w:rPr>
          <w:rFonts w:hint="eastAsia" w:ascii="宋体" w:hAnsi="宋体" w:eastAsia="宋体"/>
        </w:rPr>
        <w:t>指出各评审项的优点、存在缺陷或签订合同前应注意和澄清事项；</w:t>
      </w:r>
    </w:p>
    <w:p>
      <w:pPr>
        <w:spacing w:line="360" w:lineRule="auto"/>
        <w:ind w:firstLine="420" w:firstLineChars="200"/>
        <w:rPr>
          <w:rFonts w:ascii="宋体" w:hAnsi="宋体" w:eastAsia="宋体"/>
        </w:rPr>
      </w:pPr>
      <w:r>
        <w:rPr>
          <w:rFonts w:ascii="宋体" w:hAnsi="宋体" w:eastAsia="宋体"/>
        </w:rPr>
        <w:t>3.</w:t>
      </w:r>
      <w:r>
        <w:rPr>
          <w:rFonts w:hint="eastAsia" w:ascii="宋体" w:hAnsi="宋体" w:eastAsia="宋体"/>
        </w:rPr>
        <w:t>如果有资格条件要素、资信要素在本评审表中列项的，不需进行评审，在对应栏中标示“/”即可；</w:t>
      </w:r>
    </w:p>
    <w:p>
      <w:pPr>
        <w:spacing w:line="360" w:lineRule="auto"/>
        <w:ind w:firstLine="420" w:firstLineChars="200"/>
        <w:rPr>
          <w:rFonts w:ascii="宋体" w:hAnsi="宋体" w:eastAsia="宋体"/>
        </w:rPr>
      </w:pPr>
      <w:r>
        <w:rPr>
          <w:rFonts w:ascii="宋体" w:hAnsi="宋体" w:eastAsia="宋体"/>
        </w:rPr>
        <w:t>4.</w:t>
      </w:r>
      <w:r>
        <w:rPr>
          <w:rFonts w:hint="eastAsia" w:ascii="宋体" w:hAnsi="宋体" w:eastAsia="宋体"/>
        </w:rPr>
        <w:t>综合评价等级仅分为通过或不通过两个等级，不通过仅限于符合采购文件废标、无效标情形以及报价文件违反国家强制性条文标准的情形。</w:t>
      </w:r>
    </w:p>
    <w:p>
      <w:pPr>
        <w:spacing w:line="360" w:lineRule="auto"/>
        <w:ind w:firstLine="420" w:firstLineChars="200"/>
        <w:rPr>
          <w:rFonts w:ascii="宋体" w:hAnsi="宋体" w:eastAsia="宋体"/>
        </w:rPr>
      </w:pPr>
      <w:r>
        <w:rPr>
          <w:rFonts w:ascii="宋体" w:hAnsi="宋体" w:eastAsia="宋体"/>
        </w:rPr>
        <w:t>5.</w:t>
      </w:r>
      <w:r>
        <w:rPr>
          <w:rFonts w:hint="eastAsia" w:ascii="宋体" w:hAnsi="宋体" w:eastAsia="宋体"/>
        </w:rPr>
        <w:t>评审表序号“2” 评审项目，由专家自主出具评审意见。主要针对报价文件中的其他报价问题以及对合同签订、履行过程中隐含的风险因素。</w:t>
      </w:r>
    </w:p>
    <w:p>
      <w:pPr>
        <w:widowControl/>
        <w:jc w:val="left"/>
        <w:rPr>
          <w:rFonts w:ascii="宋体" w:hAnsi="宋体" w:eastAsia="宋体"/>
        </w:rPr>
      </w:pPr>
      <w:r>
        <w:rPr>
          <w:rFonts w:ascii="宋体" w:hAnsi="宋体" w:eastAsia="宋体"/>
        </w:rPr>
        <w:br w:type="page"/>
      </w:r>
    </w:p>
    <w:bookmarkEnd w:id="129"/>
    <w:bookmarkEnd w:id="130"/>
    <w:p>
      <w:pPr>
        <w:jc w:val="center"/>
        <w:outlineLvl w:val="0"/>
        <w:rPr>
          <w:rFonts w:ascii="黑体" w:hAnsi="黑体" w:eastAsia="黑体"/>
          <w:b/>
          <w:bCs/>
          <w:sz w:val="44"/>
          <w:szCs w:val="44"/>
        </w:rPr>
      </w:pPr>
      <w:bookmarkStart w:id="131" w:name="_Toc216716609"/>
      <w:bookmarkStart w:id="132" w:name="_Toc2688"/>
      <w:r>
        <w:rPr>
          <w:rFonts w:hint="eastAsia" w:ascii="黑体" w:hAnsi="黑体" w:eastAsia="黑体"/>
          <w:b/>
          <w:bCs/>
          <w:sz w:val="44"/>
          <w:szCs w:val="44"/>
        </w:rPr>
        <w:t>第五章 项目</w:t>
      </w:r>
      <w:r>
        <w:rPr>
          <w:rFonts w:ascii="黑体" w:hAnsi="黑体" w:eastAsia="黑体"/>
          <w:b/>
          <w:bCs/>
          <w:sz w:val="44"/>
          <w:szCs w:val="44"/>
        </w:rPr>
        <w:t>需求书</w:t>
      </w:r>
      <w:bookmarkEnd w:id="131"/>
      <w:bookmarkEnd w:id="132"/>
    </w:p>
    <w:p>
      <w:pPr>
        <w:jc w:val="center"/>
        <w:outlineLvl w:val="1"/>
        <w:rPr>
          <w:rFonts w:ascii="黑体" w:hAnsi="黑体" w:eastAsia="黑体"/>
          <w:b/>
          <w:bCs/>
          <w:sz w:val="30"/>
          <w:szCs w:val="30"/>
        </w:rPr>
      </w:pPr>
      <w:bookmarkStart w:id="133" w:name="_Toc216716610"/>
      <w:bookmarkStart w:id="134" w:name="_Toc29576"/>
      <w:r>
        <w:rPr>
          <w:rFonts w:hint="eastAsia" w:ascii="黑体" w:hAnsi="黑体" w:eastAsia="黑体"/>
          <w:b/>
          <w:bCs/>
          <w:sz w:val="30"/>
          <w:szCs w:val="30"/>
        </w:rPr>
        <w:t>第一节 项目实质性</w:t>
      </w:r>
      <w:r>
        <w:rPr>
          <w:rFonts w:ascii="黑体" w:hAnsi="黑体" w:eastAsia="黑体"/>
          <w:b/>
          <w:bCs/>
          <w:sz w:val="30"/>
          <w:szCs w:val="30"/>
        </w:rPr>
        <w:t>要求和条件</w:t>
      </w:r>
      <w:bookmarkEnd w:id="133"/>
      <w:bookmarkEnd w:id="134"/>
    </w:p>
    <w:p>
      <w:pPr>
        <w:spacing w:line="360" w:lineRule="auto"/>
        <w:ind w:firstLine="422" w:firstLineChars="200"/>
        <w:rPr>
          <w:rFonts w:ascii="宋体" w:hAnsi="宋体" w:eastAsia="宋体"/>
          <w:b/>
        </w:rPr>
      </w:pPr>
      <w:r>
        <w:rPr>
          <w:rFonts w:hint="eastAsia" w:ascii="宋体" w:hAnsi="宋体" w:eastAsia="宋体"/>
          <w:b/>
        </w:rPr>
        <w:t>重要</w:t>
      </w:r>
      <w:r>
        <w:rPr>
          <w:rFonts w:ascii="宋体" w:hAnsi="宋体" w:eastAsia="宋体"/>
          <w:b/>
        </w:rPr>
        <w:t>提示：</w:t>
      </w:r>
    </w:p>
    <w:p>
      <w:pPr>
        <w:spacing w:line="360" w:lineRule="auto"/>
        <w:ind w:firstLine="422" w:firstLineChars="200"/>
        <w:rPr>
          <w:rFonts w:ascii="宋体" w:hAnsi="宋体" w:eastAsia="宋体"/>
          <w:b/>
        </w:rPr>
      </w:pPr>
      <w:r>
        <w:rPr>
          <w:rFonts w:hint="eastAsia" w:ascii="宋体" w:hAnsi="宋体" w:eastAsia="宋体"/>
          <w:b/>
        </w:rPr>
        <w:t>1.采购</w:t>
      </w:r>
      <w:r>
        <w:rPr>
          <w:rFonts w:ascii="宋体" w:hAnsi="宋体" w:eastAsia="宋体"/>
          <w:b/>
        </w:rPr>
        <w:t>文件中规定的实质性要求和条件</w:t>
      </w:r>
      <w:r>
        <w:rPr>
          <w:rFonts w:hint="eastAsia" w:ascii="宋体" w:hAnsi="宋体" w:eastAsia="宋体"/>
          <w:b/>
        </w:rPr>
        <w:t>，</w:t>
      </w:r>
      <w:r>
        <w:rPr>
          <w:rFonts w:ascii="宋体" w:hAnsi="宋体" w:eastAsia="宋体"/>
          <w:b/>
        </w:rPr>
        <w:t>对这些要求</w:t>
      </w:r>
      <w:r>
        <w:rPr>
          <w:rFonts w:hint="eastAsia" w:ascii="宋体" w:hAnsi="宋体" w:eastAsia="宋体"/>
          <w:b/>
        </w:rPr>
        <w:t>和</w:t>
      </w:r>
      <w:r>
        <w:rPr>
          <w:rFonts w:ascii="宋体" w:hAnsi="宋体" w:eastAsia="宋体"/>
          <w:b/>
        </w:rPr>
        <w:t>条件的任何偏离或不满足，其</w:t>
      </w:r>
      <w:r>
        <w:rPr>
          <w:rFonts w:hint="eastAsia" w:ascii="宋体" w:hAnsi="宋体" w:eastAsia="宋体"/>
          <w:b/>
        </w:rPr>
        <w:t>报价</w:t>
      </w:r>
      <w:r>
        <w:rPr>
          <w:rFonts w:ascii="宋体" w:hAnsi="宋体" w:eastAsia="宋体"/>
          <w:b/>
        </w:rPr>
        <w:t>将被拒绝；</w:t>
      </w:r>
    </w:p>
    <w:p>
      <w:pPr>
        <w:spacing w:line="360" w:lineRule="auto"/>
        <w:ind w:firstLine="422" w:firstLineChars="200"/>
        <w:rPr>
          <w:rFonts w:ascii="宋体" w:hAnsi="宋体" w:eastAsia="宋体"/>
          <w:b/>
        </w:rPr>
      </w:pPr>
      <w:r>
        <w:rPr>
          <w:rFonts w:ascii="宋体" w:hAnsi="宋体" w:eastAsia="宋体"/>
          <w:b/>
        </w:rPr>
        <w:t>2.</w:t>
      </w:r>
      <w:r>
        <w:rPr>
          <w:rFonts w:hint="eastAsia" w:ascii="宋体" w:hAnsi="宋体" w:eastAsia="宋体"/>
          <w:b/>
        </w:rPr>
        <w:t>采购</w:t>
      </w:r>
      <w:r>
        <w:rPr>
          <w:rFonts w:ascii="宋体" w:hAnsi="宋体" w:eastAsia="宋体"/>
          <w:b/>
        </w:rPr>
        <w:t>文件中非实质性要求和条件，允许偏离的最大范围是</w:t>
      </w:r>
      <w:r>
        <w:rPr>
          <w:rFonts w:hint="eastAsia" w:ascii="宋体" w:hAnsi="宋体" w:eastAsia="宋体"/>
          <w:b/>
          <w:u w:val="single"/>
        </w:rPr>
        <w:t xml:space="preserve">  </w:t>
      </w:r>
      <w:r>
        <w:rPr>
          <w:rFonts w:ascii="宋体" w:hAnsi="宋体" w:eastAsia="宋体"/>
          <w:b/>
          <w:u w:val="single"/>
        </w:rPr>
        <w:t>/</w:t>
      </w:r>
      <w:r>
        <w:rPr>
          <w:rFonts w:hint="eastAsia" w:ascii="宋体" w:hAnsi="宋体" w:eastAsia="宋体"/>
          <w:b/>
          <w:u w:val="single"/>
        </w:rPr>
        <w:t xml:space="preserve">  </w:t>
      </w:r>
      <w:r>
        <w:rPr>
          <w:rFonts w:hint="eastAsia" w:ascii="宋体" w:hAnsi="宋体" w:eastAsia="宋体"/>
          <w:b/>
        </w:rPr>
        <w:t>（最高</w:t>
      </w:r>
      <w:r>
        <w:rPr>
          <w:rFonts w:ascii="宋体" w:hAnsi="宋体" w:eastAsia="宋体"/>
          <w:b/>
        </w:rPr>
        <w:t>项数</w:t>
      </w:r>
      <w:r>
        <w:rPr>
          <w:rFonts w:hint="eastAsia" w:ascii="宋体" w:hAnsi="宋体" w:eastAsia="宋体"/>
          <w:b/>
          <w:u w:val="single"/>
        </w:rPr>
        <w:t xml:space="preserve">  </w:t>
      </w:r>
      <w:r>
        <w:rPr>
          <w:rFonts w:ascii="宋体" w:hAnsi="宋体" w:eastAsia="宋体"/>
          <w:b/>
          <w:u w:val="single"/>
        </w:rPr>
        <w:t>/</w:t>
      </w:r>
      <w:r>
        <w:rPr>
          <w:rFonts w:hint="eastAsia" w:ascii="宋体" w:hAnsi="宋体" w:eastAsia="宋体"/>
          <w:b/>
          <w:u w:val="single"/>
        </w:rPr>
        <w:t xml:space="preserve">  </w:t>
      </w:r>
      <w:r>
        <w:rPr>
          <w:rFonts w:hint="eastAsia" w:ascii="宋体" w:hAnsi="宋体" w:eastAsia="宋体"/>
          <w:b/>
        </w:rPr>
        <w:t>），</w:t>
      </w:r>
      <w:r>
        <w:rPr>
          <w:rFonts w:ascii="宋体" w:hAnsi="宋体" w:eastAsia="宋体"/>
          <w:b/>
        </w:rPr>
        <w:t>若超出上述</w:t>
      </w:r>
      <w:r>
        <w:rPr>
          <w:rFonts w:hint="eastAsia" w:ascii="宋体" w:hAnsi="宋体" w:eastAsia="宋体"/>
          <w:b/>
        </w:rPr>
        <w:t>规定</w:t>
      </w:r>
      <w:r>
        <w:rPr>
          <w:rFonts w:ascii="宋体" w:hAnsi="宋体" w:eastAsia="宋体"/>
          <w:b/>
        </w:rPr>
        <w:t>，其</w:t>
      </w:r>
      <w:r>
        <w:rPr>
          <w:rFonts w:hint="eastAsia" w:ascii="宋体" w:hAnsi="宋体" w:eastAsia="宋体"/>
          <w:b/>
        </w:rPr>
        <w:t>报价</w:t>
      </w:r>
      <w:r>
        <w:rPr>
          <w:rFonts w:ascii="宋体" w:hAnsi="宋体" w:eastAsia="宋体"/>
          <w:b/>
        </w:rPr>
        <w:t>将被拒绝。</w:t>
      </w:r>
    </w:p>
    <w:p>
      <w:pPr>
        <w:spacing w:line="360" w:lineRule="auto"/>
        <w:outlineLvl w:val="2"/>
        <w:rPr>
          <w:rFonts w:ascii="宋体" w:hAnsi="宋体" w:eastAsia="宋体"/>
          <w:b/>
        </w:rPr>
      </w:pPr>
      <w:bookmarkStart w:id="135" w:name="_Toc133138794"/>
      <w:bookmarkStart w:id="136" w:name="_Toc78810893"/>
      <w:bookmarkStart w:id="137" w:name="_Toc75247504"/>
      <w:r>
        <w:rPr>
          <w:rFonts w:hint="eastAsia" w:ascii="宋体" w:hAnsi="宋体" w:eastAsia="宋体"/>
          <w:b/>
        </w:rPr>
        <w:t>1 资信条款</w:t>
      </w:r>
      <w:r>
        <w:rPr>
          <w:rFonts w:ascii="宋体" w:hAnsi="宋体" w:eastAsia="宋体"/>
          <w:b/>
        </w:rPr>
        <w:t>不可偏离表</w:t>
      </w:r>
      <w:bookmarkEnd w:id="135"/>
      <w:bookmarkEnd w:id="136"/>
      <w:bookmarkEnd w:id="137"/>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268"/>
        <w:gridCol w:w="2693"/>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eastAsia="宋体"/>
                <w:b/>
              </w:rPr>
            </w:pPr>
            <w:r>
              <w:rPr>
                <w:rFonts w:hint="eastAsia" w:ascii="宋体" w:hAnsi="宋体" w:eastAsia="宋体"/>
                <w:b/>
              </w:rPr>
              <w:t>序号</w:t>
            </w:r>
          </w:p>
        </w:tc>
        <w:tc>
          <w:tcPr>
            <w:tcW w:w="2268" w:type="dxa"/>
            <w:vAlign w:val="center"/>
          </w:tcPr>
          <w:p>
            <w:pPr>
              <w:spacing w:line="360" w:lineRule="auto"/>
              <w:jc w:val="center"/>
              <w:rPr>
                <w:rFonts w:ascii="宋体" w:hAnsi="宋体" w:eastAsia="宋体"/>
                <w:b/>
              </w:rPr>
            </w:pPr>
            <w:r>
              <w:rPr>
                <w:rFonts w:hint="eastAsia" w:ascii="宋体" w:hAnsi="宋体" w:eastAsia="宋体"/>
                <w:b/>
              </w:rPr>
              <w:t>名称</w:t>
            </w:r>
          </w:p>
        </w:tc>
        <w:tc>
          <w:tcPr>
            <w:tcW w:w="2693" w:type="dxa"/>
            <w:vAlign w:val="center"/>
          </w:tcPr>
          <w:p>
            <w:pPr>
              <w:spacing w:line="360" w:lineRule="auto"/>
              <w:jc w:val="center"/>
              <w:rPr>
                <w:rFonts w:ascii="宋体" w:hAnsi="宋体" w:eastAsia="宋体"/>
                <w:b/>
              </w:rPr>
            </w:pPr>
            <w:r>
              <w:rPr>
                <w:rFonts w:hint="eastAsia" w:ascii="宋体" w:hAnsi="宋体" w:eastAsia="宋体"/>
                <w:b/>
              </w:rPr>
              <w:t>需求</w:t>
            </w:r>
            <w:r>
              <w:rPr>
                <w:rFonts w:ascii="宋体" w:hAnsi="宋体" w:eastAsia="宋体"/>
                <w:b/>
              </w:rPr>
              <w:t>说明</w:t>
            </w:r>
          </w:p>
        </w:tc>
        <w:tc>
          <w:tcPr>
            <w:tcW w:w="2489" w:type="dxa"/>
            <w:vAlign w:val="center"/>
          </w:tcPr>
          <w:p>
            <w:pPr>
              <w:spacing w:line="360" w:lineRule="auto"/>
              <w:jc w:val="center"/>
              <w:rPr>
                <w:rFonts w:ascii="宋体" w:hAnsi="宋体" w:eastAsia="宋体"/>
                <w:b/>
              </w:rPr>
            </w:pPr>
            <w:r>
              <w:rPr>
                <w:rFonts w:hint="eastAsia" w:ascii="宋体" w:hAnsi="宋体" w:eastAsia="宋体"/>
                <w:b/>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eastAsia="宋体"/>
              </w:rPr>
            </w:pPr>
          </w:p>
        </w:tc>
        <w:tc>
          <w:tcPr>
            <w:tcW w:w="2268" w:type="dxa"/>
            <w:vAlign w:val="center"/>
          </w:tcPr>
          <w:p>
            <w:pPr>
              <w:spacing w:line="360" w:lineRule="auto"/>
              <w:jc w:val="center"/>
              <w:rPr>
                <w:rFonts w:ascii="宋体" w:hAnsi="宋体" w:eastAsia="宋体"/>
              </w:rPr>
            </w:pPr>
          </w:p>
        </w:tc>
        <w:tc>
          <w:tcPr>
            <w:tcW w:w="2693" w:type="dxa"/>
            <w:vAlign w:val="center"/>
          </w:tcPr>
          <w:p>
            <w:pPr>
              <w:spacing w:line="360" w:lineRule="auto"/>
              <w:rPr>
                <w:rFonts w:ascii="宋体" w:hAnsi="宋体" w:eastAsia="宋体"/>
              </w:rPr>
            </w:pPr>
          </w:p>
        </w:tc>
        <w:tc>
          <w:tcPr>
            <w:tcW w:w="2489" w:type="dxa"/>
            <w:vAlign w:val="center"/>
          </w:tcPr>
          <w:p>
            <w:pPr>
              <w:spacing w:line="360" w:lineRule="auto"/>
              <w:rPr>
                <w:rFonts w:ascii="宋体" w:hAnsi="宋体" w:eastAsia="宋体"/>
              </w:rPr>
            </w:pPr>
          </w:p>
        </w:tc>
      </w:tr>
    </w:tbl>
    <w:p>
      <w:pPr>
        <w:spacing w:line="360" w:lineRule="auto"/>
        <w:outlineLvl w:val="2"/>
        <w:rPr>
          <w:rFonts w:ascii="宋体" w:hAnsi="宋体" w:eastAsia="宋体"/>
          <w:b/>
        </w:rPr>
      </w:pPr>
      <w:bookmarkStart w:id="138" w:name="_Toc78810894"/>
      <w:bookmarkStart w:id="139" w:name="_Toc75247505"/>
      <w:bookmarkStart w:id="140" w:name="_Toc133138795"/>
      <w:r>
        <w:rPr>
          <w:rFonts w:hint="eastAsia" w:ascii="宋体" w:hAnsi="宋体" w:eastAsia="宋体"/>
          <w:b/>
        </w:rPr>
        <w:t>2 商务</w:t>
      </w:r>
      <w:r>
        <w:rPr>
          <w:rFonts w:ascii="宋体" w:hAnsi="宋体" w:eastAsia="宋体"/>
          <w:b/>
        </w:rPr>
        <w:t>条款不可偏离表</w:t>
      </w:r>
      <w:bookmarkEnd w:id="138"/>
      <w:bookmarkEnd w:id="139"/>
      <w:bookmarkEnd w:id="140"/>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268"/>
        <w:gridCol w:w="2693"/>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eastAsia="宋体"/>
                <w:b/>
              </w:rPr>
            </w:pPr>
            <w:r>
              <w:rPr>
                <w:rFonts w:hint="eastAsia" w:ascii="宋体" w:hAnsi="宋体" w:eastAsia="宋体"/>
                <w:b/>
              </w:rPr>
              <w:t>序号</w:t>
            </w:r>
          </w:p>
        </w:tc>
        <w:tc>
          <w:tcPr>
            <w:tcW w:w="2268" w:type="dxa"/>
            <w:vAlign w:val="center"/>
          </w:tcPr>
          <w:p>
            <w:pPr>
              <w:spacing w:line="360" w:lineRule="auto"/>
              <w:jc w:val="center"/>
              <w:rPr>
                <w:rFonts w:ascii="宋体" w:hAnsi="宋体" w:eastAsia="宋体"/>
                <w:b/>
              </w:rPr>
            </w:pPr>
            <w:r>
              <w:rPr>
                <w:rFonts w:hint="eastAsia" w:ascii="宋体" w:hAnsi="宋体" w:eastAsia="宋体"/>
                <w:b/>
              </w:rPr>
              <w:t>名称</w:t>
            </w:r>
          </w:p>
        </w:tc>
        <w:tc>
          <w:tcPr>
            <w:tcW w:w="2693" w:type="dxa"/>
            <w:vAlign w:val="center"/>
          </w:tcPr>
          <w:p>
            <w:pPr>
              <w:spacing w:line="360" w:lineRule="auto"/>
              <w:jc w:val="center"/>
              <w:rPr>
                <w:rFonts w:ascii="宋体" w:hAnsi="宋体" w:eastAsia="宋体"/>
                <w:b/>
              </w:rPr>
            </w:pPr>
            <w:r>
              <w:rPr>
                <w:rFonts w:hint="eastAsia" w:ascii="宋体" w:hAnsi="宋体" w:eastAsia="宋体"/>
                <w:b/>
              </w:rPr>
              <w:t>需求</w:t>
            </w:r>
            <w:r>
              <w:rPr>
                <w:rFonts w:ascii="宋体" w:hAnsi="宋体" w:eastAsia="宋体"/>
                <w:b/>
              </w:rPr>
              <w:t>说明</w:t>
            </w:r>
          </w:p>
        </w:tc>
        <w:tc>
          <w:tcPr>
            <w:tcW w:w="2489" w:type="dxa"/>
            <w:vAlign w:val="center"/>
          </w:tcPr>
          <w:p>
            <w:pPr>
              <w:spacing w:line="360" w:lineRule="auto"/>
              <w:jc w:val="center"/>
              <w:rPr>
                <w:rFonts w:ascii="宋体" w:hAnsi="宋体" w:eastAsia="宋体"/>
                <w:b/>
              </w:rPr>
            </w:pPr>
            <w:r>
              <w:rPr>
                <w:rFonts w:hint="eastAsia" w:ascii="宋体" w:hAnsi="宋体" w:eastAsia="宋体"/>
                <w:b/>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eastAsia="宋体"/>
              </w:rPr>
            </w:pPr>
          </w:p>
        </w:tc>
        <w:tc>
          <w:tcPr>
            <w:tcW w:w="2268" w:type="dxa"/>
            <w:vAlign w:val="center"/>
          </w:tcPr>
          <w:p>
            <w:pPr>
              <w:spacing w:line="360" w:lineRule="auto"/>
              <w:jc w:val="center"/>
              <w:rPr>
                <w:rFonts w:ascii="宋体" w:hAnsi="宋体" w:eastAsia="宋体"/>
              </w:rPr>
            </w:pPr>
          </w:p>
        </w:tc>
        <w:tc>
          <w:tcPr>
            <w:tcW w:w="2693" w:type="dxa"/>
            <w:vAlign w:val="center"/>
          </w:tcPr>
          <w:p>
            <w:pPr>
              <w:spacing w:line="360" w:lineRule="auto"/>
              <w:rPr>
                <w:rFonts w:ascii="宋体" w:hAnsi="宋体" w:eastAsia="宋体"/>
              </w:rPr>
            </w:pPr>
          </w:p>
        </w:tc>
        <w:tc>
          <w:tcPr>
            <w:tcW w:w="2489" w:type="dxa"/>
            <w:vAlign w:val="center"/>
          </w:tcPr>
          <w:p>
            <w:pPr>
              <w:spacing w:line="360" w:lineRule="auto"/>
              <w:rPr>
                <w:rFonts w:ascii="宋体" w:hAnsi="宋体" w:eastAsia="宋体"/>
              </w:rPr>
            </w:pPr>
          </w:p>
        </w:tc>
      </w:tr>
    </w:tbl>
    <w:p>
      <w:pPr>
        <w:spacing w:line="360" w:lineRule="auto"/>
        <w:outlineLvl w:val="2"/>
        <w:rPr>
          <w:rFonts w:ascii="宋体" w:hAnsi="宋体" w:eastAsia="宋体"/>
          <w:b/>
        </w:rPr>
      </w:pPr>
      <w:bookmarkStart w:id="141" w:name="_Toc75247506"/>
      <w:bookmarkStart w:id="142" w:name="_Toc133138796"/>
      <w:bookmarkStart w:id="143" w:name="_Toc78810895"/>
      <w:r>
        <w:rPr>
          <w:rFonts w:ascii="宋体" w:hAnsi="宋体" w:eastAsia="宋体"/>
          <w:b/>
        </w:rPr>
        <w:t xml:space="preserve">3 </w:t>
      </w:r>
      <w:r>
        <w:rPr>
          <w:rFonts w:hint="eastAsia" w:ascii="宋体" w:hAnsi="宋体" w:eastAsia="宋体"/>
          <w:b/>
        </w:rPr>
        <w:t>技术</w:t>
      </w:r>
      <w:r>
        <w:rPr>
          <w:rFonts w:ascii="宋体" w:hAnsi="宋体" w:eastAsia="宋体"/>
          <w:b/>
        </w:rPr>
        <w:t>条款不可偏离表</w:t>
      </w:r>
      <w:bookmarkEnd w:id="141"/>
      <w:bookmarkEnd w:id="142"/>
      <w:bookmarkEnd w:id="143"/>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268"/>
        <w:gridCol w:w="2693"/>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eastAsia="宋体"/>
                <w:b/>
              </w:rPr>
            </w:pPr>
            <w:r>
              <w:rPr>
                <w:rFonts w:hint="eastAsia" w:ascii="宋体" w:hAnsi="宋体" w:eastAsia="宋体"/>
                <w:b/>
              </w:rPr>
              <w:t>序号</w:t>
            </w:r>
          </w:p>
        </w:tc>
        <w:tc>
          <w:tcPr>
            <w:tcW w:w="2268" w:type="dxa"/>
            <w:vAlign w:val="center"/>
          </w:tcPr>
          <w:p>
            <w:pPr>
              <w:spacing w:line="360" w:lineRule="auto"/>
              <w:jc w:val="center"/>
              <w:rPr>
                <w:rFonts w:ascii="宋体" w:hAnsi="宋体" w:eastAsia="宋体"/>
                <w:b/>
              </w:rPr>
            </w:pPr>
            <w:r>
              <w:rPr>
                <w:rFonts w:hint="eastAsia" w:ascii="宋体" w:hAnsi="宋体" w:eastAsia="宋体"/>
                <w:b/>
              </w:rPr>
              <w:t>名称</w:t>
            </w:r>
          </w:p>
        </w:tc>
        <w:tc>
          <w:tcPr>
            <w:tcW w:w="2693" w:type="dxa"/>
            <w:vAlign w:val="center"/>
          </w:tcPr>
          <w:p>
            <w:pPr>
              <w:spacing w:line="360" w:lineRule="auto"/>
              <w:jc w:val="center"/>
              <w:rPr>
                <w:rFonts w:ascii="宋体" w:hAnsi="宋体" w:eastAsia="宋体"/>
                <w:b/>
              </w:rPr>
            </w:pPr>
            <w:r>
              <w:rPr>
                <w:rFonts w:hint="eastAsia" w:ascii="宋体" w:hAnsi="宋体" w:eastAsia="宋体"/>
                <w:b/>
              </w:rPr>
              <w:t>需求</w:t>
            </w:r>
            <w:r>
              <w:rPr>
                <w:rFonts w:ascii="宋体" w:hAnsi="宋体" w:eastAsia="宋体"/>
                <w:b/>
              </w:rPr>
              <w:t>说明</w:t>
            </w:r>
          </w:p>
        </w:tc>
        <w:tc>
          <w:tcPr>
            <w:tcW w:w="2489" w:type="dxa"/>
            <w:vAlign w:val="center"/>
          </w:tcPr>
          <w:p>
            <w:pPr>
              <w:spacing w:line="360" w:lineRule="auto"/>
              <w:jc w:val="center"/>
              <w:rPr>
                <w:rFonts w:ascii="宋体" w:hAnsi="宋体" w:eastAsia="宋体"/>
                <w:b/>
              </w:rPr>
            </w:pPr>
            <w:r>
              <w:rPr>
                <w:rFonts w:hint="eastAsia" w:ascii="宋体" w:hAnsi="宋体" w:eastAsia="宋体"/>
                <w:b/>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eastAsia="宋体"/>
              </w:rPr>
            </w:pPr>
          </w:p>
        </w:tc>
        <w:tc>
          <w:tcPr>
            <w:tcW w:w="2268" w:type="dxa"/>
            <w:vAlign w:val="center"/>
          </w:tcPr>
          <w:p>
            <w:pPr>
              <w:spacing w:line="360" w:lineRule="auto"/>
              <w:jc w:val="center"/>
              <w:rPr>
                <w:rFonts w:ascii="宋体" w:hAnsi="宋体" w:eastAsia="宋体"/>
              </w:rPr>
            </w:pPr>
          </w:p>
        </w:tc>
        <w:tc>
          <w:tcPr>
            <w:tcW w:w="2693" w:type="dxa"/>
            <w:vAlign w:val="center"/>
          </w:tcPr>
          <w:p>
            <w:pPr>
              <w:spacing w:line="360" w:lineRule="auto"/>
              <w:rPr>
                <w:rFonts w:ascii="宋体" w:hAnsi="宋体" w:eastAsia="宋体"/>
              </w:rPr>
            </w:pPr>
          </w:p>
        </w:tc>
        <w:tc>
          <w:tcPr>
            <w:tcW w:w="2489" w:type="dxa"/>
            <w:vAlign w:val="center"/>
          </w:tcPr>
          <w:p>
            <w:pPr>
              <w:spacing w:line="360" w:lineRule="auto"/>
              <w:rPr>
                <w:rFonts w:ascii="宋体" w:hAnsi="宋体" w:eastAsia="宋体"/>
              </w:rPr>
            </w:pPr>
          </w:p>
        </w:tc>
      </w:tr>
    </w:tbl>
    <w:p>
      <w:pPr>
        <w:widowControl/>
        <w:jc w:val="left"/>
        <w:rPr>
          <w:rFonts w:ascii="黑体" w:hAnsi="黑体" w:eastAsia="黑体"/>
          <w:b/>
          <w:bCs/>
          <w:sz w:val="30"/>
          <w:szCs w:val="30"/>
        </w:rPr>
      </w:pPr>
      <w:r>
        <w:rPr>
          <w:rFonts w:ascii="黑体" w:hAnsi="黑体" w:eastAsia="黑体"/>
          <w:b/>
          <w:bCs/>
          <w:sz w:val="30"/>
          <w:szCs w:val="30"/>
        </w:rPr>
        <w:br w:type="page"/>
      </w:r>
    </w:p>
    <w:p>
      <w:pPr>
        <w:jc w:val="center"/>
        <w:outlineLvl w:val="1"/>
        <w:rPr>
          <w:rFonts w:ascii="黑体" w:hAnsi="黑体" w:eastAsia="黑体"/>
          <w:b/>
          <w:bCs/>
          <w:sz w:val="30"/>
          <w:szCs w:val="30"/>
        </w:rPr>
      </w:pPr>
      <w:bookmarkStart w:id="144" w:name="_Toc216716611"/>
      <w:bookmarkStart w:id="145" w:name="_Toc12328"/>
      <w:r>
        <w:rPr>
          <w:rFonts w:hint="eastAsia" w:ascii="黑体" w:hAnsi="黑体" w:eastAsia="黑体"/>
          <w:b/>
          <w:bCs/>
          <w:sz w:val="30"/>
          <w:szCs w:val="30"/>
        </w:rPr>
        <w:t>第二节 商务</w:t>
      </w:r>
      <w:r>
        <w:rPr>
          <w:rFonts w:ascii="黑体" w:hAnsi="黑体" w:eastAsia="黑体"/>
          <w:b/>
          <w:bCs/>
          <w:sz w:val="30"/>
          <w:szCs w:val="30"/>
        </w:rPr>
        <w:t>要求</w:t>
      </w:r>
      <w:bookmarkEnd w:id="144"/>
      <w:bookmarkEnd w:id="145"/>
    </w:p>
    <w:p>
      <w:pPr>
        <w:spacing w:line="360" w:lineRule="auto"/>
        <w:outlineLvl w:val="2"/>
        <w:rPr>
          <w:rFonts w:ascii="宋体" w:hAnsi="宋体" w:eastAsia="宋体"/>
          <w:b/>
        </w:rPr>
      </w:pPr>
      <w:r>
        <w:rPr>
          <w:rFonts w:hint="eastAsia" w:ascii="宋体" w:hAnsi="宋体" w:eastAsia="宋体"/>
          <w:b/>
        </w:rPr>
        <w:t>1 项目概述</w:t>
      </w:r>
    </w:p>
    <w:p>
      <w:pPr>
        <w:spacing w:line="360" w:lineRule="auto"/>
        <w:ind w:firstLine="420" w:firstLineChars="200"/>
        <w:rPr>
          <w:rFonts w:ascii="宋体" w:hAnsi="宋体" w:eastAsia="宋体"/>
        </w:rPr>
      </w:pPr>
      <w:r>
        <w:rPr>
          <w:rFonts w:hint="eastAsia" w:ascii="宋体" w:hAnsi="宋体" w:eastAsia="宋体"/>
        </w:rPr>
        <w:t>为适配新型电力系统建设发展需求，完善公司电力通信光纤网络架构，提升网络可靠性、带宽容量、智能化运维水平及安全防护能力，满足电网调度、继电保护、配电自动化、新能源接入、用电信息采集、视频通讯、用户侧设备接入、电力鸿蒙物联网设备接入等全业务通信承载需求，现需委托专业设计单位，编制公司管辖范围内电力通信光纤网络规划设计，并完成各类通信节点建设典型设计，为后续网络建设、改造及运维管理提供科学依据与技术标准。</w:t>
      </w:r>
    </w:p>
    <w:p>
      <w:pPr>
        <w:spacing w:line="360" w:lineRule="auto"/>
        <w:outlineLvl w:val="2"/>
        <w:rPr>
          <w:rFonts w:ascii="宋体" w:hAnsi="宋体" w:eastAsia="宋体"/>
          <w:b/>
        </w:rPr>
      </w:pPr>
      <w:r>
        <w:rPr>
          <w:rFonts w:hint="eastAsia" w:ascii="宋体" w:hAnsi="宋体" w:eastAsia="宋体"/>
          <w:b/>
        </w:rPr>
        <w:t>2 采购范围</w:t>
      </w:r>
    </w:p>
    <w:p>
      <w:pPr>
        <w:spacing w:line="360" w:lineRule="auto"/>
        <w:ind w:firstLine="420" w:firstLineChars="200"/>
        <w:rPr>
          <w:rFonts w:ascii="宋体" w:hAnsi="宋体" w:eastAsia="宋体"/>
        </w:rPr>
      </w:pPr>
      <w:r>
        <w:rPr>
          <w:rFonts w:hint="eastAsia" w:ascii="宋体" w:hAnsi="宋体" w:eastAsia="宋体"/>
        </w:rPr>
        <w:t>1、开展现场调研并结合甲方要求编制《深圳前海蛇口自贸区供电有限公司电力通信光纤网络五年规划》</w:t>
      </w:r>
    </w:p>
    <w:p>
      <w:pPr>
        <w:spacing w:line="360" w:lineRule="auto"/>
        <w:ind w:firstLine="420" w:firstLineChars="200"/>
        <w:rPr>
          <w:rFonts w:ascii="宋体" w:hAnsi="宋体" w:eastAsia="宋体"/>
        </w:rPr>
      </w:pPr>
      <w:r>
        <w:rPr>
          <w:rFonts w:hint="eastAsia" w:ascii="宋体" w:hAnsi="宋体" w:eastAsia="宋体"/>
        </w:rPr>
        <w:t>2、配合采购方组织的内外部专家评审会，根据评审意见完成成果修改完善，直至通过评审；</w:t>
      </w:r>
    </w:p>
    <w:p>
      <w:pPr>
        <w:spacing w:line="360" w:lineRule="auto"/>
        <w:ind w:firstLine="420" w:firstLineChars="200"/>
        <w:rPr>
          <w:rFonts w:ascii="宋体" w:hAnsi="宋体" w:eastAsia="宋体"/>
        </w:rPr>
      </w:pPr>
      <w:r>
        <w:rPr>
          <w:rFonts w:hint="eastAsia" w:ascii="宋体" w:hAnsi="宋体" w:eastAsia="宋体"/>
        </w:rPr>
        <w:t>3、提供成果交底、技术咨询服务，解答后续项目实施过程中的设计相关问题；</w:t>
      </w:r>
    </w:p>
    <w:p>
      <w:pPr>
        <w:spacing w:line="360" w:lineRule="auto"/>
        <w:ind w:firstLine="420" w:firstLineChars="200"/>
        <w:rPr>
          <w:rFonts w:ascii="宋体" w:hAnsi="宋体" w:eastAsia="宋体"/>
        </w:rPr>
      </w:pPr>
      <w:r>
        <w:rPr>
          <w:rFonts w:hint="eastAsia" w:ascii="宋体" w:hAnsi="宋体" w:eastAsia="宋体"/>
        </w:rPr>
        <w:t>4、按采购方要求提供电子版及纸质版成果文件。</w:t>
      </w:r>
    </w:p>
    <w:p>
      <w:pPr>
        <w:spacing w:line="360" w:lineRule="auto"/>
        <w:outlineLvl w:val="2"/>
        <w:rPr>
          <w:rFonts w:ascii="宋体" w:hAnsi="宋体" w:eastAsia="宋体"/>
          <w:b/>
        </w:rPr>
      </w:pPr>
      <w:r>
        <w:rPr>
          <w:rFonts w:hint="eastAsia" w:ascii="宋体" w:hAnsi="宋体" w:eastAsia="宋体"/>
          <w:b/>
        </w:rPr>
        <w:t>3 项目工期</w:t>
      </w:r>
    </w:p>
    <w:p>
      <w:pPr>
        <w:spacing w:line="360" w:lineRule="auto"/>
        <w:ind w:firstLine="420" w:firstLineChars="200"/>
        <w:rPr>
          <w:rFonts w:ascii="宋体" w:hAnsi="宋体" w:eastAsia="宋体"/>
        </w:rPr>
      </w:pPr>
      <w:r>
        <w:rPr>
          <w:rFonts w:hint="eastAsia" w:ascii="宋体" w:hAnsi="宋体" w:eastAsia="宋体"/>
        </w:rPr>
        <w:t>120天</w:t>
      </w:r>
    </w:p>
    <w:p>
      <w:pPr>
        <w:spacing w:line="360" w:lineRule="auto"/>
        <w:outlineLvl w:val="2"/>
        <w:rPr>
          <w:rFonts w:ascii="宋体" w:hAnsi="宋体" w:eastAsia="宋体"/>
          <w:b/>
        </w:rPr>
      </w:pPr>
      <w:r>
        <w:rPr>
          <w:rFonts w:hint="eastAsia" w:ascii="宋体" w:hAnsi="宋体" w:eastAsia="宋体"/>
          <w:b/>
        </w:rPr>
        <w:t>4 付款方式和条件</w:t>
      </w:r>
    </w:p>
    <w:p>
      <w:pPr>
        <w:pStyle w:val="32"/>
        <w:numPr>
          <w:ilvl w:val="0"/>
          <w:numId w:val="6"/>
        </w:numPr>
        <w:spacing w:line="360" w:lineRule="auto"/>
        <w:ind w:firstLineChars="0"/>
        <w:rPr>
          <w:rFonts w:ascii="宋体" w:hAnsi="宋体" w:eastAsia="宋体"/>
        </w:rPr>
      </w:pPr>
      <w:r>
        <w:rPr>
          <w:rFonts w:hint="eastAsia" w:ascii="宋体" w:hAnsi="宋体" w:eastAsia="宋体"/>
        </w:rPr>
        <w:t>完成合同约定的光纤网络规划设计方案及配套材料交付且通过甲方验收后，支付合同金额的95%；</w:t>
      </w:r>
    </w:p>
    <w:p>
      <w:pPr>
        <w:pStyle w:val="32"/>
        <w:numPr>
          <w:ilvl w:val="0"/>
          <w:numId w:val="6"/>
        </w:numPr>
        <w:spacing w:line="360" w:lineRule="auto"/>
        <w:ind w:firstLineChars="0"/>
        <w:rPr>
          <w:rFonts w:ascii="宋体" w:hAnsi="宋体" w:eastAsia="宋体"/>
        </w:rPr>
      </w:pPr>
      <w:r>
        <w:rPr>
          <w:rFonts w:hint="eastAsia" w:ascii="宋体" w:hAnsi="宋体" w:eastAsia="宋体"/>
        </w:rPr>
        <w:t>验收通过满1年且设计成果无合同约定的明显缺陷，支付合同金额的5%。</w:t>
      </w:r>
    </w:p>
    <w:p>
      <w:pPr>
        <w:spacing w:line="360" w:lineRule="auto"/>
        <w:outlineLvl w:val="2"/>
        <w:rPr>
          <w:rFonts w:ascii="宋体" w:hAnsi="宋体" w:eastAsia="宋体"/>
          <w:b/>
        </w:rPr>
      </w:pPr>
      <w:r>
        <w:rPr>
          <w:rFonts w:hint="eastAsia" w:ascii="宋体" w:hAnsi="宋体" w:eastAsia="宋体"/>
          <w:b/>
        </w:rPr>
        <w:t>5 报价要求</w:t>
      </w:r>
    </w:p>
    <w:p>
      <w:pPr>
        <w:spacing w:line="360" w:lineRule="auto"/>
        <w:ind w:firstLine="420" w:firstLineChars="200"/>
        <w:rPr>
          <w:rFonts w:ascii="宋体" w:hAnsi="宋体" w:eastAsia="宋体"/>
        </w:rPr>
      </w:pPr>
      <w:r>
        <w:rPr>
          <w:rFonts w:hint="eastAsia" w:ascii="宋体" w:hAnsi="宋体" w:eastAsia="宋体"/>
        </w:rPr>
        <w:t>无</w:t>
      </w:r>
    </w:p>
    <w:p>
      <w:pPr>
        <w:spacing w:line="360" w:lineRule="auto"/>
        <w:outlineLvl w:val="2"/>
        <w:rPr>
          <w:rFonts w:ascii="宋体" w:hAnsi="宋体" w:eastAsia="宋体"/>
          <w:b/>
        </w:rPr>
      </w:pPr>
      <w:r>
        <w:rPr>
          <w:rFonts w:hint="eastAsia" w:ascii="宋体" w:hAnsi="宋体" w:eastAsia="宋体"/>
          <w:b/>
        </w:rPr>
        <w:t>6 报价方式</w:t>
      </w:r>
    </w:p>
    <w:p>
      <w:pPr>
        <w:spacing w:line="360" w:lineRule="auto"/>
        <w:ind w:firstLine="420" w:firstLineChars="200"/>
        <w:rPr>
          <w:rFonts w:ascii="宋体" w:hAnsi="宋体" w:eastAsia="宋体"/>
        </w:rPr>
      </w:pPr>
      <w:r>
        <w:rPr>
          <w:rFonts w:hint="eastAsia" w:ascii="宋体" w:hAnsi="宋体" w:eastAsia="宋体"/>
        </w:rPr>
        <w:t>无</w:t>
      </w:r>
    </w:p>
    <w:p>
      <w:pPr>
        <w:spacing w:line="360" w:lineRule="auto"/>
        <w:outlineLvl w:val="2"/>
        <w:rPr>
          <w:rFonts w:ascii="宋体" w:hAnsi="宋体" w:eastAsia="宋体"/>
          <w:b/>
        </w:rPr>
      </w:pPr>
      <w:r>
        <w:rPr>
          <w:rFonts w:hint="eastAsia" w:ascii="宋体" w:hAnsi="宋体" w:eastAsia="宋体"/>
          <w:b/>
        </w:rPr>
        <w:t>7 签订合同</w:t>
      </w:r>
    </w:p>
    <w:p>
      <w:pPr>
        <w:spacing w:line="360" w:lineRule="auto"/>
        <w:ind w:firstLine="420" w:firstLineChars="200"/>
        <w:rPr>
          <w:rFonts w:ascii="宋体" w:hAnsi="宋体" w:eastAsia="宋体"/>
        </w:rPr>
      </w:pPr>
      <w:r>
        <w:rPr>
          <w:rFonts w:hint="eastAsia" w:ascii="宋体" w:hAnsi="宋体" w:eastAsia="宋体"/>
        </w:rPr>
        <w:t>成交通知书发出后30天内。成交单位与</w:t>
      </w:r>
      <w:r>
        <w:rPr>
          <w:rFonts w:hint="eastAsia" w:ascii="宋体" w:hAnsi="宋体" w:eastAsia="宋体"/>
          <w:b/>
          <w:u w:val="single"/>
        </w:rPr>
        <w:fldChar w:fldCharType="begin">
          <w:ffData>
            <w:name w:val="文字1"/>
            <w:enabled/>
            <w:calcOnExit w:val="0"/>
            <w:textInput>
              <w:default w:val="深圳招商供电有限公司"/>
            </w:textInput>
          </w:ffData>
        </w:fldChar>
      </w:r>
      <w:bookmarkStart w:id="146" w:name="文字1"/>
      <w:r>
        <w:rPr>
          <w:rFonts w:hint="eastAsia" w:ascii="宋体" w:hAnsi="宋体" w:eastAsia="宋体"/>
          <w:b/>
          <w:u w:val="single"/>
        </w:rPr>
        <w:instrText xml:space="preserve"> FORMTEXT </w:instrText>
      </w:r>
      <w:r>
        <w:rPr>
          <w:rFonts w:hint="eastAsia" w:ascii="宋体" w:hAnsi="宋体" w:eastAsia="宋体"/>
          <w:b/>
          <w:u w:val="single"/>
        </w:rPr>
        <w:fldChar w:fldCharType="separate"/>
      </w:r>
      <w:r>
        <w:rPr>
          <w:rFonts w:hint="eastAsia" w:ascii="宋体" w:hAnsi="宋体" w:eastAsia="宋体"/>
          <w:b/>
          <w:u w:val="single"/>
        </w:rPr>
        <w:t>深圳招商供电有限公司</w:t>
      </w:r>
      <w:r>
        <w:rPr>
          <w:rFonts w:hint="eastAsia"/>
        </w:rPr>
        <w:fldChar w:fldCharType="end"/>
      </w:r>
      <w:bookmarkEnd w:id="146"/>
      <w:r>
        <w:rPr>
          <w:rFonts w:hint="eastAsia" w:ascii="宋体" w:hAnsi="宋体" w:eastAsia="宋体"/>
        </w:rPr>
        <w:t>签订合同。</w:t>
      </w:r>
    </w:p>
    <w:p>
      <w:pPr>
        <w:spacing w:line="360" w:lineRule="auto"/>
        <w:outlineLvl w:val="2"/>
        <w:rPr>
          <w:rFonts w:ascii="宋体" w:hAnsi="宋体" w:eastAsia="宋体"/>
          <w:b/>
        </w:rPr>
      </w:pPr>
      <w:r>
        <w:rPr>
          <w:rFonts w:hint="eastAsia" w:ascii="宋体" w:hAnsi="宋体" w:eastAsia="宋体"/>
          <w:b/>
        </w:rPr>
        <w:t>8 其他</w:t>
      </w:r>
      <w:r>
        <w:rPr>
          <w:rFonts w:ascii="黑体" w:hAnsi="黑体" w:eastAsia="黑体"/>
          <w:b/>
          <w:bCs/>
          <w:sz w:val="30"/>
          <w:szCs w:val="30"/>
        </w:rPr>
        <w:br w:type="page"/>
      </w:r>
    </w:p>
    <w:p>
      <w:pPr>
        <w:jc w:val="center"/>
        <w:outlineLvl w:val="1"/>
        <w:rPr>
          <w:rFonts w:ascii="黑体" w:hAnsi="黑体" w:eastAsia="黑体"/>
          <w:b/>
          <w:bCs/>
          <w:sz w:val="30"/>
          <w:szCs w:val="30"/>
        </w:rPr>
      </w:pPr>
      <w:bookmarkStart w:id="147" w:name="_Toc216716612"/>
      <w:bookmarkStart w:id="148" w:name="_Toc10765"/>
      <w:r>
        <w:rPr>
          <w:rFonts w:hint="eastAsia" w:ascii="黑体" w:hAnsi="黑体" w:eastAsia="黑体"/>
          <w:b/>
          <w:bCs/>
          <w:sz w:val="30"/>
          <w:szCs w:val="30"/>
        </w:rPr>
        <w:t>第三节 技术</w:t>
      </w:r>
      <w:r>
        <w:rPr>
          <w:rFonts w:ascii="黑体" w:hAnsi="黑体" w:eastAsia="黑体"/>
          <w:b/>
          <w:bCs/>
          <w:sz w:val="30"/>
          <w:szCs w:val="30"/>
        </w:rPr>
        <w:t>要求</w:t>
      </w:r>
      <w:bookmarkEnd w:id="147"/>
      <w:bookmarkEnd w:id="148"/>
    </w:p>
    <w:p>
      <w:pPr>
        <w:widowControl/>
        <w:shd w:val="clear" w:color="auto" w:fill="FFFFFF"/>
        <w:spacing w:before="100" w:beforeAutospacing="1" w:after="100" w:afterAutospacing="1"/>
        <w:jc w:val="left"/>
        <w:outlineLvl w:val="2"/>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一、项目背景</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为适配新型电力系统建设发展需求，完善公司电力通信光纤网络架构，提升网络可靠性、带宽容量、智能化运维水平及安全防护能力，满足电网调度、继电保护、配电自动化、新能源接入、用电信息采集、视频通讯、用户侧设备接入、电力鸿蒙物联网设备接入等全业务通信承载需求，现需委托专业设计单位，编制公司管辖范围内电力通信光纤网络规划设计，并完成各类通信节点建设典型设计，为后续网络建设、改造及运维管理提供科学依据与技术标准。</w:t>
      </w:r>
    </w:p>
    <w:p>
      <w:pPr>
        <w:widowControl/>
        <w:shd w:val="clear" w:color="auto" w:fill="FFFFFF"/>
        <w:spacing w:before="100" w:beforeAutospacing="1" w:after="100" w:afterAutospacing="1"/>
        <w:jc w:val="left"/>
        <w:outlineLvl w:val="2"/>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二、采购内容及成果要求</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（一）采购内容</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1、《深圳前海蛇口自贸区供电有限公司电力通信光纤网络五年规划》</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开展现场调研，全面梳理公司现有电力通信光纤网络（骨干网、接入网、光缆资源、通信设备、机房配套、业务承载等）现状，完成现状评估与问题诊断；</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结合公司电网发展规划、新型电力系统建设要求，预测未来五年电网调度、继电保护、配电自动化、新能源接入、用电信息采集、视频通讯、用户侧接入、电力鸿蒙物联网设备接入等各类通信业务带宽、时延、可靠性需求；</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制定五年规划总体目标、实施原则、网络架构优化方案、光缆建设/改造方案、设备升级方案、智能化建设方案、安全防护方案，具体方案应包括且不限于以下10点：</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1）交换机高可用方案：提供变电站三层交换机（调度网、计量网、综合网、物联网）的高可用方案，包括架构设计方案、需新增的设备及布线调整方案；</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2）网络安全提升方案：对当前通信网络的网络安全的现状进行评估，并提出能更充分加强网络安全的举措，尤其是针对交换机的安全加固，提供可行的安全加固措施；</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3）网络隔离的设计方案：当前网络中，三层交换机各vlan之间可以互相通信，存在网络互通的风险，需提供切合实际情况的方案解决该问题；</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4）配电房节点环网设计方案：目前部分配电房具备了环网的物理条件（光缆成环），需提供成环运行的设计方案和实施方案，提升通信的健壮性；</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5）继电保护网络规划：当前业务上对具备光差保护的电房，需点对点规划并敷设光纤，需重新规划并设计一个新的服务于智能分布式保护装置的goose网络；</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6）保信网络：本年度前海和蛇口片区计划开展保信专网建设，方案中应结合业务需求预留通道芯数冗余；</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7）物联网网络安全架构设计：设计方案需支撑后续物联网区网络安全防护建设需求；</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8）变电站交换机资源需求：目前部分变电站的核心交换机资源紧张，交付内容应满足当前及后续五年内业务新增需求，新增的骨干层交换机型号应尽量保持一致，避免不同厂家之间的兼容性问题，同时也要考虑新的骨干层交换机要兼容当前正在运行的交换机；</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9）方案内应考虑将生产视频监控业务单独组网，确保视频业务连续性和可靠性；</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10）编制分年度实施计划、投资估算、经济技术效益分析及保障措施。</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2、其他服务</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1）配合采购方组织的内外部专家评审会，根据评审意见完成成果修改完善，直至通过评审；</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2）提供成果交底、技术咨询服务，解答后续项目实施过程中的设计相关问题；</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3）按采购方要求提供电子版及纸质版成果文件。</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（二）成果交付要求</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1、《深圳前海蛇口自贸区供电有限公司电力通信光纤网络五年规划》文本（纸质盖章版4份，电子版PDF+可编辑Word版各1套）；</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2、项目投资估算书、技术规范书等配套文件；</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3、成果汇报PPT、评审修改说明等相关资料。</w:t>
      </w:r>
    </w:p>
    <w:p>
      <w:pPr>
        <w:widowControl/>
        <w:shd w:val="clear" w:color="auto" w:fill="FFFFFF"/>
        <w:spacing w:before="100" w:beforeAutospacing="1" w:after="100" w:afterAutospacing="1"/>
        <w:jc w:val="left"/>
        <w:outlineLvl w:val="2"/>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三、设计原则</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（一）技术原则</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规划设计应满足《深圳前海蛇口“十五五”智能配电网规划》通信系统技术要求：</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（1）总体原则</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1、配网通信网独立于主网通信网络，配电终端接入网络应遵循“以光纤为主，无线公网及其他通信方式为辅”的原则，有线专网采用工业以太网交换机为主要通信技术进行组网。</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2、光纤通信网原则上应覆盖全部公变配电节点及三遥终端，其</w:t>
      </w:r>
    </w:p>
    <w:p>
      <w:pPr>
        <w:widowControl/>
        <w:shd w:val="clear" w:color="auto" w:fill="FFFFFF"/>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他业务节点可优先考虑光纤接入，不具备条件的情况下可采用无线公网。</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3、光纤通信网应优先完成三遥配电节点的接入，与配基、业扩工程等同步敷设光缆并逐步形成环网。</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（2）系统构架</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配网通信网络应分层、分区域建设，光纤通信网络根据一次电网的网格化划分的层次，设置通信骨干层、通信接入层、本地通信层等三个层级；其他通信方式应根据各自技术特点和安全要求分层构建网络，并与光纤网络有效融合。</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（3）技术要求</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配网光纤通信网络骨干层、接入层的主要技术要求见下表。</w:t>
      </w:r>
    </w:p>
    <w:tbl>
      <w:tblPr>
        <w:tblStyle w:val="1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27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_GB2312"/>
                <w:kern w:val="0"/>
                <w:sz w:val="24"/>
                <w:szCs w:val="28"/>
              </w:rPr>
            </w:pPr>
            <w:r>
              <w:rPr>
                <w:rFonts w:hint="eastAsia" w:ascii="仿宋" w:hAnsi="仿宋" w:eastAsia="仿宋" w:cs="仿宋_GB2312"/>
                <w:kern w:val="0"/>
                <w:sz w:val="24"/>
                <w:szCs w:val="28"/>
              </w:rPr>
              <w:t>层级划分</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宋体"/>
                <w:kern w:val="0"/>
                <w:sz w:val="24"/>
                <w:szCs w:val="28"/>
              </w:rPr>
            </w:pPr>
            <w:r>
              <w:rPr>
                <w:rFonts w:hint="eastAsia" w:ascii="仿宋" w:hAnsi="仿宋" w:eastAsia="仿宋" w:cs="仿宋_GB2312"/>
                <w:kern w:val="0"/>
                <w:sz w:val="24"/>
                <w:szCs w:val="28"/>
              </w:rPr>
              <w:t>层级位置</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_GB2312"/>
                <w:kern w:val="0"/>
                <w:sz w:val="24"/>
                <w:szCs w:val="28"/>
              </w:rPr>
            </w:pPr>
            <w:r>
              <w:rPr>
                <w:rFonts w:hint="eastAsia" w:ascii="仿宋" w:hAnsi="仿宋" w:eastAsia="仿宋" w:cs="仿宋_GB2312"/>
                <w:kern w:val="0"/>
                <w:sz w:val="24"/>
                <w:szCs w:val="28"/>
              </w:rPr>
              <w:t>通信方式</w:t>
            </w:r>
          </w:p>
        </w:tc>
        <w:tc>
          <w:tcPr>
            <w:tcW w:w="44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宋体"/>
                <w:kern w:val="0"/>
                <w:sz w:val="24"/>
                <w:szCs w:val="28"/>
              </w:rPr>
            </w:pPr>
            <w:r>
              <w:rPr>
                <w:rFonts w:hint="eastAsia" w:ascii="仿宋" w:hAnsi="仿宋" w:eastAsia="仿宋" w:cs="仿宋_GB2312"/>
                <w:kern w:val="0"/>
                <w:sz w:val="24"/>
                <w:szCs w:val="28"/>
              </w:rPr>
              <w:t>主要技术原则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_GB2312"/>
                <w:kern w:val="0"/>
                <w:sz w:val="24"/>
                <w:szCs w:val="28"/>
              </w:rPr>
            </w:pPr>
            <w:r>
              <w:rPr>
                <w:rFonts w:hint="eastAsia" w:ascii="仿宋" w:hAnsi="仿宋" w:eastAsia="仿宋" w:cs="仿宋_GB2312"/>
                <w:kern w:val="0"/>
                <w:sz w:val="24"/>
                <w:szCs w:val="28"/>
              </w:rPr>
              <w:t>通信骨干层</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仿宋" w:hAnsi="仿宋" w:eastAsia="仿宋" w:cs="TimesNewRomanPSMT"/>
                <w:kern w:val="0"/>
                <w:sz w:val="24"/>
                <w:szCs w:val="28"/>
              </w:rPr>
            </w:pPr>
            <w:r>
              <w:rPr>
                <w:rFonts w:hint="eastAsia" w:ascii="仿宋" w:hAnsi="仿宋" w:eastAsia="仿宋" w:cs="仿宋_GB2312"/>
                <w:kern w:val="0"/>
                <w:sz w:val="24"/>
                <w:szCs w:val="28"/>
              </w:rPr>
              <w:t>部署在</w:t>
            </w:r>
            <w:r>
              <w:rPr>
                <w:rFonts w:hint="eastAsia" w:ascii="仿宋" w:hAnsi="仿宋" w:eastAsia="仿宋" w:cs="TimesNewRomanPSMT"/>
                <w:kern w:val="0"/>
                <w:sz w:val="24"/>
                <w:szCs w:val="28"/>
              </w:rPr>
              <w:t>110</w:t>
            </w:r>
            <w:r>
              <w:rPr>
                <w:rFonts w:hint="eastAsia" w:ascii="仿宋" w:hAnsi="仿宋" w:eastAsia="仿宋" w:cs="仿宋_GB2312"/>
                <w:kern w:val="0"/>
                <w:sz w:val="24"/>
                <w:szCs w:val="28"/>
              </w:rPr>
              <w:t>千伏及以上变电站</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_GB2312"/>
                <w:kern w:val="0"/>
                <w:sz w:val="24"/>
                <w:szCs w:val="28"/>
              </w:rPr>
            </w:pPr>
            <w:r>
              <w:rPr>
                <w:rFonts w:hint="eastAsia" w:ascii="仿宋" w:hAnsi="仿宋" w:eastAsia="仿宋" w:cs="仿宋_GB2312"/>
                <w:kern w:val="0"/>
                <w:sz w:val="24"/>
                <w:szCs w:val="28"/>
              </w:rPr>
              <w:t>光纤专网</w:t>
            </w:r>
          </w:p>
        </w:tc>
        <w:tc>
          <w:tcPr>
            <w:tcW w:w="447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仿宋" w:hAnsi="仿宋" w:eastAsia="仿宋" w:cs="仿宋_GB2312"/>
                <w:kern w:val="0"/>
                <w:sz w:val="24"/>
                <w:szCs w:val="28"/>
              </w:rPr>
            </w:pPr>
            <w:r>
              <w:rPr>
                <w:rFonts w:hint="eastAsia" w:ascii="仿宋" w:hAnsi="仿宋" w:eastAsia="仿宋" w:cs="TimesNewRomanPSMT"/>
                <w:kern w:val="0"/>
                <w:sz w:val="24"/>
                <w:szCs w:val="28"/>
              </w:rPr>
              <w:t>1</w:t>
            </w:r>
            <w:r>
              <w:rPr>
                <w:rFonts w:hint="eastAsia" w:ascii="仿宋" w:hAnsi="仿宋" w:eastAsia="仿宋" w:cs="仿宋_GB2312"/>
                <w:kern w:val="0"/>
                <w:sz w:val="24"/>
                <w:szCs w:val="28"/>
              </w:rPr>
              <w:t>）组网结构：</w:t>
            </w:r>
            <w:r>
              <w:rPr>
                <w:rFonts w:hint="eastAsia" w:ascii="仿宋" w:hAnsi="仿宋" w:eastAsia="仿宋" w:cs="TimesNewRomanPSMT"/>
                <w:kern w:val="0"/>
                <w:sz w:val="24"/>
                <w:szCs w:val="28"/>
              </w:rPr>
              <w:t>110</w:t>
            </w:r>
            <w:r>
              <w:rPr>
                <w:rFonts w:hint="eastAsia" w:ascii="仿宋" w:hAnsi="仿宋" w:eastAsia="仿宋" w:cs="仿宋_GB2312"/>
                <w:kern w:val="0"/>
                <w:sz w:val="24"/>
                <w:szCs w:val="28"/>
              </w:rPr>
              <w:t>千伏及以上变电站间采用网状或环形结构。</w:t>
            </w:r>
          </w:p>
          <w:p>
            <w:pPr>
              <w:autoSpaceDE w:val="0"/>
              <w:autoSpaceDN w:val="0"/>
              <w:adjustRightInd w:val="0"/>
              <w:jc w:val="left"/>
              <w:rPr>
                <w:rFonts w:ascii="仿宋" w:hAnsi="仿宋" w:eastAsia="仿宋" w:cs="仿宋_GB2312"/>
                <w:kern w:val="0"/>
                <w:sz w:val="24"/>
                <w:szCs w:val="28"/>
              </w:rPr>
            </w:pPr>
            <w:r>
              <w:rPr>
                <w:rFonts w:hint="eastAsia" w:ascii="仿宋" w:hAnsi="仿宋" w:eastAsia="仿宋" w:cs="TimesNewRomanPSMT"/>
                <w:kern w:val="0"/>
                <w:sz w:val="24"/>
                <w:szCs w:val="28"/>
              </w:rPr>
              <w:t>2</w:t>
            </w:r>
            <w:r>
              <w:rPr>
                <w:rFonts w:hint="eastAsia" w:ascii="仿宋" w:hAnsi="仿宋" w:eastAsia="仿宋" w:cs="仿宋_GB2312"/>
                <w:kern w:val="0"/>
                <w:sz w:val="24"/>
                <w:szCs w:val="28"/>
              </w:rPr>
              <w:t>）通信光缆：利用主网光缆冗余纤芯，不再单独敷设光缆。</w:t>
            </w:r>
          </w:p>
          <w:p>
            <w:pPr>
              <w:autoSpaceDE w:val="0"/>
              <w:autoSpaceDN w:val="0"/>
              <w:adjustRightInd w:val="0"/>
              <w:jc w:val="left"/>
              <w:rPr>
                <w:rFonts w:ascii="仿宋" w:hAnsi="仿宋" w:eastAsia="仿宋" w:cs="仿宋_GB2312"/>
                <w:kern w:val="0"/>
                <w:sz w:val="24"/>
                <w:szCs w:val="28"/>
              </w:rPr>
            </w:pPr>
            <w:r>
              <w:rPr>
                <w:rFonts w:hint="eastAsia" w:ascii="仿宋" w:hAnsi="仿宋" w:eastAsia="仿宋" w:cs="TimesNewRomanPSMT"/>
                <w:kern w:val="0"/>
                <w:sz w:val="24"/>
                <w:szCs w:val="28"/>
              </w:rPr>
              <w:t>3</w:t>
            </w:r>
            <w:r>
              <w:rPr>
                <w:rFonts w:hint="eastAsia" w:ascii="仿宋" w:hAnsi="仿宋" w:eastAsia="仿宋" w:cs="仿宋_GB2312"/>
                <w:kern w:val="0"/>
                <w:sz w:val="24"/>
                <w:szCs w:val="28"/>
              </w:rPr>
              <w:t>）通信设备：</w:t>
            </w:r>
          </w:p>
          <w:p>
            <w:pPr>
              <w:autoSpaceDE w:val="0"/>
              <w:autoSpaceDN w:val="0"/>
              <w:adjustRightInd w:val="0"/>
              <w:jc w:val="left"/>
              <w:rPr>
                <w:rFonts w:ascii="仿宋" w:hAnsi="仿宋" w:eastAsia="仿宋" w:cs="仿宋_GB2312"/>
                <w:kern w:val="0"/>
                <w:sz w:val="24"/>
                <w:szCs w:val="28"/>
              </w:rPr>
            </w:pPr>
            <w:r>
              <w:rPr>
                <w:rFonts w:hint="eastAsia" w:ascii="仿宋" w:hAnsi="仿宋" w:eastAsia="仿宋" w:cs="TimesNewRomanPSMT"/>
                <w:kern w:val="0"/>
                <w:sz w:val="24"/>
                <w:szCs w:val="28"/>
              </w:rPr>
              <w:t>a.</w:t>
            </w:r>
            <w:r>
              <w:rPr>
                <w:rFonts w:hint="eastAsia" w:ascii="仿宋" w:hAnsi="仿宋" w:eastAsia="仿宋" w:cs="仿宋_GB2312"/>
                <w:kern w:val="0"/>
                <w:sz w:val="24"/>
                <w:szCs w:val="28"/>
              </w:rPr>
              <w:t>骨干层节点部署</w:t>
            </w:r>
            <w:r>
              <w:rPr>
                <w:rFonts w:hint="eastAsia" w:ascii="仿宋" w:hAnsi="仿宋" w:eastAsia="仿宋" w:cs="TimesNewRomanPSMT"/>
                <w:kern w:val="0"/>
                <w:sz w:val="24"/>
                <w:szCs w:val="28"/>
              </w:rPr>
              <w:t>PE</w:t>
            </w:r>
            <w:r>
              <w:rPr>
                <w:rFonts w:hint="eastAsia" w:ascii="仿宋" w:hAnsi="仿宋" w:eastAsia="仿宋" w:cs="仿宋_GB2312"/>
                <w:kern w:val="0"/>
                <w:sz w:val="24"/>
                <w:szCs w:val="28"/>
              </w:rPr>
              <w:t>级路由器或三层千兆级以太网交换机，采用开放式三层路由协议，支持不同设备厂家的互联互通；</w:t>
            </w:r>
          </w:p>
          <w:p>
            <w:pPr>
              <w:autoSpaceDE w:val="0"/>
              <w:autoSpaceDN w:val="0"/>
              <w:adjustRightInd w:val="0"/>
              <w:jc w:val="left"/>
              <w:rPr>
                <w:rFonts w:ascii="仿宋" w:hAnsi="仿宋" w:eastAsia="仿宋" w:cs="仿宋_GB2312"/>
                <w:kern w:val="0"/>
                <w:sz w:val="24"/>
                <w:szCs w:val="28"/>
              </w:rPr>
            </w:pPr>
            <w:r>
              <w:rPr>
                <w:rFonts w:hint="eastAsia" w:ascii="仿宋" w:hAnsi="仿宋" w:eastAsia="仿宋" w:cs="TimesNewRomanPSMT"/>
                <w:kern w:val="0"/>
                <w:sz w:val="24"/>
                <w:szCs w:val="28"/>
              </w:rPr>
              <w:t>b.</w:t>
            </w:r>
            <w:r>
              <w:rPr>
                <w:rFonts w:hint="eastAsia" w:ascii="仿宋" w:hAnsi="仿宋" w:eastAsia="仿宋" w:cs="仿宋_GB2312"/>
                <w:kern w:val="0"/>
                <w:sz w:val="24"/>
                <w:szCs w:val="28"/>
              </w:rPr>
              <w:t>工业以太网交换机接入系统应根据配网终端接口类型，具备承载以太网</w:t>
            </w:r>
            <w:r>
              <w:rPr>
                <w:rFonts w:hint="eastAsia" w:ascii="仿宋" w:hAnsi="仿宋" w:eastAsia="仿宋" w:cs="TimesNewRomanPSMT"/>
                <w:kern w:val="0"/>
                <w:sz w:val="24"/>
                <w:szCs w:val="28"/>
              </w:rPr>
              <w:t>/IP</w:t>
            </w:r>
            <w:r>
              <w:rPr>
                <w:rFonts w:hint="eastAsia" w:ascii="仿宋" w:hAnsi="仿宋" w:eastAsia="仿宋" w:cs="仿宋_GB2312"/>
                <w:kern w:val="0"/>
                <w:sz w:val="24"/>
                <w:szCs w:val="28"/>
              </w:rPr>
              <w:t>业务和</w:t>
            </w:r>
            <w:r>
              <w:rPr>
                <w:rFonts w:hint="eastAsia" w:ascii="仿宋" w:hAnsi="仿宋" w:eastAsia="仿宋" w:cs="TimesNewRomanPSMT"/>
                <w:kern w:val="0"/>
                <w:sz w:val="24"/>
                <w:szCs w:val="28"/>
              </w:rPr>
              <w:t>RS232/485</w:t>
            </w:r>
            <w:r>
              <w:rPr>
                <w:rFonts w:hint="eastAsia" w:ascii="仿宋" w:hAnsi="仿宋" w:eastAsia="仿宋" w:cs="仿宋_GB2312"/>
                <w:kern w:val="0"/>
                <w:sz w:val="24"/>
                <w:szCs w:val="28"/>
              </w:rPr>
              <w:t>串口业务的能力，支持</w:t>
            </w:r>
            <w:r>
              <w:rPr>
                <w:rFonts w:hint="eastAsia" w:ascii="仿宋" w:hAnsi="仿宋" w:eastAsia="仿宋" w:cs="TimesNewRomanPSMT"/>
                <w:kern w:val="0"/>
                <w:sz w:val="24"/>
                <w:szCs w:val="28"/>
              </w:rPr>
              <w:t>IEC60870-5-101</w:t>
            </w:r>
            <w:r>
              <w:rPr>
                <w:rFonts w:hint="eastAsia" w:ascii="仿宋" w:hAnsi="仿宋" w:eastAsia="仿宋" w:cs="仿宋_GB2312"/>
                <w:kern w:val="0"/>
                <w:sz w:val="24"/>
                <w:szCs w:val="28"/>
              </w:rPr>
              <w:t>、</w:t>
            </w:r>
            <w:r>
              <w:rPr>
                <w:rFonts w:hint="eastAsia" w:ascii="仿宋" w:hAnsi="仿宋" w:eastAsia="仿宋" w:cs="TimesNewRomanPSMT"/>
                <w:kern w:val="0"/>
                <w:sz w:val="24"/>
                <w:szCs w:val="28"/>
              </w:rPr>
              <w:t>IEC60870-5-104</w:t>
            </w:r>
            <w:r>
              <w:rPr>
                <w:rFonts w:hint="eastAsia" w:ascii="仿宋" w:hAnsi="仿宋" w:eastAsia="仿宋" w:cs="仿宋_GB2312"/>
                <w:kern w:val="0"/>
                <w:sz w:val="24"/>
                <w:szCs w:val="28"/>
              </w:rPr>
              <w:t>、</w:t>
            </w:r>
            <w:r>
              <w:rPr>
                <w:rFonts w:hint="eastAsia" w:ascii="仿宋" w:hAnsi="仿宋" w:eastAsia="仿宋" w:cs="TimesNewRomanPSMT"/>
                <w:kern w:val="0"/>
                <w:sz w:val="24"/>
                <w:szCs w:val="28"/>
              </w:rPr>
              <w:t>CDT</w:t>
            </w:r>
            <w:r>
              <w:rPr>
                <w:rFonts w:hint="eastAsia" w:ascii="仿宋" w:hAnsi="仿宋" w:eastAsia="仿宋" w:cs="仿宋_GB2312"/>
                <w:kern w:val="0"/>
                <w:sz w:val="24"/>
                <w:szCs w:val="28"/>
              </w:rPr>
              <w:t>、</w:t>
            </w:r>
            <w:r>
              <w:rPr>
                <w:rFonts w:hint="eastAsia" w:ascii="仿宋" w:hAnsi="仿宋" w:eastAsia="仿宋" w:cs="TimesNewRomanPSMT"/>
                <w:kern w:val="0"/>
                <w:sz w:val="24"/>
                <w:szCs w:val="28"/>
              </w:rPr>
              <w:t>DNP</w:t>
            </w:r>
            <w:r>
              <w:rPr>
                <w:rFonts w:hint="eastAsia" w:ascii="仿宋" w:hAnsi="仿宋" w:eastAsia="仿宋" w:cs="仿宋_GB2312"/>
                <w:kern w:val="0"/>
                <w:sz w:val="24"/>
                <w:szCs w:val="28"/>
              </w:rPr>
              <w:t>等多种电力通信规约业务的透传，可选支持语音业务、视频、</w:t>
            </w:r>
            <w:r>
              <w:rPr>
                <w:rFonts w:hint="eastAsia" w:ascii="仿宋" w:hAnsi="仿宋" w:eastAsia="仿宋" w:cs="TimesNewRomanPSMT"/>
                <w:kern w:val="0"/>
                <w:sz w:val="24"/>
                <w:szCs w:val="28"/>
              </w:rPr>
              <w:t>TDM</w:t>
            </w:r>
            <w:r>
              <w:rPr>
                <w:rFonts w:hint="eastAsia" w:ascii="仿宋" w:hAnsi="仿宋" w:eastAsia="仿宋" w:cs="仿宋_GB2312"/>
                <w:kern w:val="0"/>
                <w:sz w:val="24"/>
                <w:szCs w:val="28"/>
              </w:rPr>
              <w:t>业务等；</w:t>
            </w:r>
          </w:p>
          <w:p>
            <w:pPr>
              <w:autoSpaceDE w:val="0"/>
              <w:autoSpaceDN w:val="0"/>
              <w:adjustRightInd w:val="0"/>
              <w:jc w:val="left"/>
              <w:rPr>
                <w:rFonts w:ascii="仿宋" w:hAnsi="仿宋" w:eastAsia="仿宋" w:cs="仿宋_GB2312"/>
                <w:kern w:val="0"/>
                <w:sz w:val="24"/>
                <w:szCs w:val="28"/>
              </w:rPr>
            </w:pPr>
            <w:r>
              <w:rPr>
                <w:rFonts w:hint="eastAsia" w:ascii="仿宋" w:hAnsi="仿宋" w:eastAsia="仿宋" w:cs="TimesNewRomanPSMT"/>
                <w:kern w:val="0"/>
                <w:sz w:val="24"/>
                <w:szCs w:val="28"/>
              </w:rPr>
              <w:t>c.</w:t>
            </w:r>
            <w:r>
              <w:rPr>
                <w:rFonts w:hint="eastAsia" w:ascii="仿宋" w:hAnsi="仿宋" w:eastAsia="仿宋" w:cs="仿宋_GB2312"/>
                <w:kern w:val="0"/>
                <w:sz w:val="24"/>
                <w:szCs w:val="28"/>
              </w:rPr>
              <w:t>单台通信骨干层交换机原则上至多接入</w:t>
            </w:r>
            <w:r>
              <w:rPr>
                <w:rFonts w:hint="eastAsia" w:ascii="仿宋" w:hAnsi="仿宋" w:eastAsia="仿宋" w:cs="TimesNewRomanPSMT"/>
                <w:kern w:val="0"/>
                <w:sz w:val="24"/>
                <w:szCs w:val="28"/>
              </w:rPr>
              <w:t>4</w:t>
            </w:r>
            <w:r>
              <w:rPr>
                <w:rFonts w:hint="eastAsia" w:ascii="仿宋" w:hAnsi="仿宋" w:eastAsia="仿宋" w:cs="仿宋_GB2312"/>
                <w:kern w:val="0"/>
                <w:sz w:val="24"/>
                <w:szCs w:val="28"/>
              </w:rPr>
              <w:t>个接入层子环。原则上，若超过</w:t>
            </w:r>
            <w:r>
              <w:rPr>
                <w:rFonts w:hint="eastAsia" w:ascii="仿宋" w:hAnsi="仿宋" w:eastAsia="仿宋" w:cs="TimesNewRomanPSMT"/>
                <w:kern w:val="0"/>
                <w:sz w:val="24"/>
                <w:szCs w:val="28"/>
              </w:rPr>
              <w:t>4</w:t>
            </w:r>
            <w:r>
              <w:rPr>
                <w:rFonts w:hint="eastAsia" w:ascii="仿宋" w:hAnsi="仿宋" w:eastAsia="仿宋" w:cs="仿宋_GB2312"/>
                <w:kern w:val="0"/>
                <w:sz w:val="24"/>
                <w:szCs w:val="28"/>
              </w:rPr>
              <w:t>个接入层子环，则应新增通信骨干层交换机。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_GB2312"/>
                <w:kern w:val="0"/>
                <w:sz w:val="24"/>
                <w:szCs w:val="28"/>
              </w:rPr>
            </w:pPr>
            <w:r>
              <w:rPr>
                <w:rFonts w:hint="eastAsia" w:ascii="仿宋" w:hAnsi="仿宋" w:eastAsia="仿宋" w:cs="仿宋_GB2312"/>
                <w:kern w:val="0"/>
                <w:sz w:val="24"/>
                <w:szCs w:val="28"/>
              </w:rPr>
              <w:t>通信接入层</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仿宋" w:hAnsi="仿宋" w:eastAsia="仿宋" w:cs="仿宋_GB2312"/>
                <w:kern w:val="0"/>
                <w:sz w:val="24"/>
                <w:szCs w:val="28"/>
              </w:rPr>
            </w:pPr>
            <w:r>
              <w:rPr>
                <w:rFonts w:hint="eastAsia" w:ascii="仿宋" w:hAnsi="仿宋" w:eastAsia="仿宋" w:cs="TimesNewRomanPSMT"/>
                <w:kern w:val="0"/>
                <w:sz w:val="24"/>
                <w:szCs w:val="28"/>
              </w:rPr>
              <w:t>1</w:t>
            </w:r>
            <w:r>
              <w:rPr>
                <w:rFonts w:hint="eastAsia" w:ascii="仿宋" w:hAnsi="仿宋" w:eastAsia="仿宋" w:cs="仿宋_GB2312"/>
                <w:kern w:val="0"/>
                <w:sz w:val="24"/>
                <w:szCs w:val="28"/>
              </w:rPr>
              <w:t>）部署在中</w:t>
            </w:r>
          </w:p>
          <w:p>
            <w:pPr>
              <w:autoSpaceDE w:val="0"/>
              <w:autoSpaceDN w:val="0"/>
              <w:adjustRightInd w:val="0"/>
              <w:jc w:val="left"/>
              <w:rPr>
                <w:rFonts w:ascii="仿宋" w:hAnsi="仿宋" w:eastAsia="仿宋" w:cs="仿宋_GB2312"/>
                <w:kern w:val="0"/>
                <w:sz w:val="24"/>
                <w:szCs w:val="28"/>
              </w:rPr>
            </w:pPr>
            <w:r>
              <w:rPr>
                <w:rFonts w:hint="eastAsia" w:ascii="仿宋" w:hAnsi="仿宋" w:eastAsia="仿宋" w:cs="仿宋_GB2312"/>
                <w:kern w:val="0"/>
                <w:sz w:val="24"/>
                <w:szCs w:val="28"/>
              </w:rPr>
              <w:t>压配电站；</w:t>
            </w:r>
          </w:p>
          <w:p>
            <w:pPr>
              <w:autoSpaceDE w:val="0"/>
              <w:autoSpaceDN w:val="0"/>
              <w:adjustRightInd w:val="0"/>
              <w:jc w:val="left"/>
              <w:rPr>
                <w:rFonts w:ascii="仿宋" w:hAnsi="仿宋" w:eastAsia="仿宋" w:cs="仿宋_GB2312"/>
                <w:kern w:val="0"/>
                <w:sz w:val="24"/>
                <w:szCs w:val="28"/>
              </w:rPr>
            </w:pPr>
            <w:r>
              <w:rPr>
                <w:rFonts w:hint="eastAsia" w:ascii="仿宋" w:hAnsi="仿宋" w:eastAsia="仿宋" w:cs="TimesNewRomanPSMT"/>
                <w:kern w:val="0"/>
                <w:sz w:val="24"/>
                <w:szCs w:val="28"/>
              </w:rPr>
              <w:t>2</w:t>
            </w:r>
            <w:r>
              <w:rPr>
                <w:rFonts w:hint="eastAsia" w:ascii="仿宋" w:hAnsi="仿宋" w:eastAsia="仿宋" w:cs="仿宋_GB2312"/>
                <w:kern w:val="0"/>
                <w:sz w:val="24"/>
                <w:szCs w:val="28"/>
              </w:rPr>
              <w:t>）远程遥控配电站点应采用光纤通信，其他业务节点可就近接入。</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_GB2312"/>
                <w:kern w:val="0"/>
                <w:sz w:val="24"/>
                <w:szCs w:val="28"/>
              </w:rPr>
            </w:pPr>
            <w:r>
              <w:rPr>
                <w:rFonts w:hint="eastAsia" w:ascii="仿宋" w:hAnsi="仿宋" w:eastAsia="仿宋" w:cs="仿宋_GB2312"/>
                <w:kern w:val="0"/>
                <w:sz w:val="24"/>
                <w:szCs w:val="28"/>
              </w:rPr>
              <w:t>光纤专网</w:t>
            </w:r>
          </w:p>
        </w:tc>
        <w:tc>
          <w:tcPr>
            <w:tcW w:w="4473"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仿宋" w:hAnsi="仿宋" w:eastAsia="仿宋" w:cs="仿宋_GB2312"/>
                <w:kern w:val="0"/>
                <w:sz w:val="24"/>
                <w:szCs w:val="28"/>
              </w:rPr>
            </w:pPr>
            <w:r>
              <w:rPr>
                <w:rFonts w:hint="eastAsia" w:ascii="仿宋" w:hAnsi="仿宋" w:eastAsia="仿宋" w:cs="TimesNewRomanPSMT"/>
                <w:kern w:val="0"/>
                <w:sz w:val="24"/>
                <w:szCs w:val="28"/>
              </w:rPr>
              <w:t>1</w:t>
            </w:r>
            <w:r>
              <w:rPr>
                <w:rFonts w:hint="eastAsia" w:ascii="仿宋" w:hAnsi="仿宋" w:eastAsia="仿宋" w:cs="仿宋_GB2312"/>
                <w:kern w:val="0"/>
                <w:sz w:val="24"/>
                <w:szCs w:val="28"/>
              </w:rPr>
              <w:t>）组网结构：各配电站点间采用环形结构，接入骨干层节点。</w:t>
            </w:r>
          </w:p>
          <w:p>
            <w:pPr>
              <w:autoSpaceDE w:val="0"/>
              <w:autoSpaceDN w:val="0"/>
              <w:adjustRightInd w:val="0"/>
              <w:jc w:val="left"/>
              <w:rPr>
                <w:rFonts w:ascii="仿宋" w:hAnsi="仿宋" w:eastAsia="仿宋" w:cs="仿宋_GB2312"/>
                <w:kern w:val="0"/>
                <w:sz w:val="24"/>
                <w:szCs w:val="28"/>
              </w:rPr>
            </w:pPr>
            <w:r>
              <w:rPr>
                <w:rFonts w:hint="eastAsia" w:ascii="仿宋" w:hAnsi="仿宋" w:eastAsia="仿宋" w:cs="TimesNewRomanPSMT"/>
                <w:kern w:val="0"/>
                <w:sz w:val="24"/>
                <w:szCs w:val="28"/>
              </w:rPr>
              <w:t>2</w:t>
            </w:r>
            <w:r>
              <w:rPr>
                <w:rFonts w:hint="eastAsia" w:ascii="仿宋" w:hAnsi="仿宋" w:eastAsia="仿宋" w:cs="仿宋_GB2312"/>
                <w:kern w:val="0"/>
                <w:sz w:val="24"/>
                <w:szCs w:val="28"/>
              </w:rPr>
              <w:t>）通信光缆：光缆纤芯不得少于</w:t>
            </w:r>
            <w:r>
              <w:rPr>
                <w:rFonts w:hint="eastAsia" w:ascii="仿宋" w:hAnsi="仿宋" w:eastAsia="仿宋" w:cs="TimesNewRomanPSMT"/>
                <w:kern w:val="0"/>
                <w:sz w:val="24"/>
                <w:szCs w:val="28"/>
              </w:rPr>
              <w:t>48</w:t>
            </w:r>
            <w:r>
              <w:rPr>
                <w:rFonts w:hint="eastAsia" w:ascii="仿宋" w:hAnsi="仿宋" w:eastAsia="仿宋" w:cs="仿宋_GB2312"/>
                <w:kern w:val="0"/>
                <w:sz w:val="24"/>
                <w:szCs w:val="28"/>
              </w:rPr>
              <w:t>芯，单环节点总数不得超过</w:t>
            </w:r>
            <w:r>
              <w:rPr>
                <w:rFonts w:hint="eastAsia" w:ascii="仿宋" w:hAnsi="仿宋" w:eastAsia="仿宋" w:cs="TimesNewRomanPSMT"/>
                <w:kern w:val="0"/>
                <w:sz w:val="24"/>
                <w:szCs w:val="28"/>
              </w:rPr>
              <w:t>35</w:t>
            </w:r>
            <w:r>
              <w:rPr>
                <w:rFonts w:hint="eastAsia" w:ascii="仿宋" w:hAnsi="仿宋" w:eastAsia="仿宋" w:cs="仿宋_GB2312"/>
                <w:kern w:val="0"/>
                <w:sz w:val="24"/>
                <w:szCs w:val="28"/>
              </w:rPr>
              <w:t>个，光缆成端</w:t>
            </w:r>
          </w:p>
          <w:p>
            <w:pPr>
              <w:autoSpaceDE w:val="0"/>
              <w:autoSpaceDN w:val="0"/>
              <w:adjustRightInd w:val="0"/>
              <w:jc w:val="left"/>
              <w:rPr>
                <w:rFonts w:ascii="仿宋" w:hAnsi="仿宋" w:eastAsia="仿宋" w:cs="仿宋_GB2312"/>
                <w:kern w:val="0"/>
                <w:sz w:val="24"/>
                <w:szCs w:val="28"/>
              </w:rPr>
            </w:pPr>
            <w:r>
              <w:rPr>
                <w:rFonts w:hint="eastAsia" w:ascii="仿宋" w:hAnsi="仿宋" w:eastAsia="仿宋" w:cs="仿宋_GB2312"/>
                <w:kern w:val="0"/>
                <w:sz w:val="24"/>
                <w:szCs w:val="28"/>
              </w:rPr>
              <w:t>位置尽量靠近一体化保护测控终端或低压配电柜。</w:t>
            </w:r>
          </w:p>
          <w:p>
            <w:pPr>
              <w:autoSpaceDE w:val="0"/>
              <w:autoSpaceDN w:val="0"/>
              <w:adjustRightInd w:val="0"/>
              <w:jc w:val="left"/>
              <w:rPr>
                <w:rFonts w:ascii="仿宋" w:hAnsi="仿宋" w:eastAsia="仿宋" w:cs="仿宋_GB2312"/>
                <w:kern w:val="0"/>
                <w:sz w:val="24"/>
                <w:szCs w:val="28"/>
              </w:rPr>
            </w:pPr>
            <w:r>
              <w:rPr>
                <w:rFonts w:hint="eastAsia" w:ascii="仿宋" w:hAnsi="仿宋" w:eastAsia="仿宋" w:cs="TimesNewRomanPSMT"/>
                <w:kern w:val="0"/>
                <w:sz w:val="24"/>
                <w:szCs w:val="28"/>
              </w:rPr>
              <w:t>3</w:t>
            </w:r>
            <w:r>
              <w:rPr>
                <w:rFonts w:hint="eastAsia" w:ascii="仿宋" w:hAnsi="仿宋" w:eastAsia="仿宋" w:cs="仿宋_GB2312"/>
                <w:kern w:val="0"/>
                <w:sz w:val="24"/>
                <w:szCs w:val="28"/>
              </w:rPr>
              <w:t>）通信设备：</w:t>
            </w:r>
          </w:p>
          <w:p>
            <w:pPr>
              <w:autoSpaceDE w:val="0"/>
              <w:autoSpaceDN w:val="0"/>
              <w:adjustRightInd w:val="0"/>
              <w:jc w:val="left"/>
              <w:rPr>
                <w:rFonts w:ascii="仿宋" w:hAnsi="仿宋" w:eastAsia="仿宋" w:cs="仿宋_GB2312"/>
                <w:kern w:val="0"/>
                <w:sz w:val="24"/>
                <w:szCs w:val="28"/>
              </w:rPr>
            </w:pPr>
            <w:r>
              <w:rPr>
                <w:rFonts w:hint="eastAsia" w:ascii="仿宋" w:hAnsi="仿宋" w:eastAsia="仿宋" w:cs="TimesNewRomanPSMT"/>
                <w:kern w:val="0"/>
                <w:sz w:val="24"/>
                <w:szCs w:val="28"/>
              </w:rPr>
              <w:t>a.</w:t>
            </w:r>
            <w:r>
              <w:rPr>
                <w:rFonts w:hint="eastAsia" w:ascii="仿宋" w:hAnsi="仿宋" w:eastAsia="仿宋" w:cs="仿宋_GB2312"/>
                <w:kern w:val="0"/>
                <w:sz w:val="24"/>
                <w:szCs w:val="28"/>
              </w:rPr>
              <w:t>通信节点部署千兆级光纤以太网交换机，路由收敛性无法满足要求时可以采用厂家私有协议进行组网。</w:t>
            </w:r>
          </w:p>
          <w:p>
            <w:pPr>
              <w:autoSpaceDE w:val="0"/>
              <w:autoSpaceDN w:val="0"/>
              <w:adjustRightInd w:val="0"/>
              <w:jc w:val="left"/>
              <w:rPr>
                <w:rFonts w:ascii="仿宋" w:hAnsi="仿宋" w:eastAsia="仿宋" w:cs="仿宋_GB2312"/>
                <w:kern w:val="0"/>
                <w:sz w:val="24"/>
                <w:szCs w:val="28"/>
              </w:rPr>
            </w:pPr>
            <w:r>
              <w:rPr>
                <w:rFonts w:hint="eastAsia" w:ascii="仿宋" w:hAnsi="仿宋" w:eastAsia="仿宋" w:cs="TimesNewRomanPSMT"/>
                <w:kern w:val="0"/>
                <w:sz w:val="24"/>
                <w:szCs w:val="28"/>
              </w:rPr>
              <w:t>b.</w:t>
            </w:r>
            <w:r>
              <w:rPr>
                <w:rFonts w:hint="eastAsia" w:ascii="仿宋" w:hAnsi="仿宋" w:eastAsia="仿宋" w:cs="仿宋_GB2312"/>
                <w:kern w:val="0"/>
                <w:sz w:val="24"/>
                <w:szCs w:val="28"/>
              </w:rPr>
              <w:t>工业以太网交换机接入系统应根据配网终端接口类型，具备承载以太网</w:t>
            </w:r>
            <w:r>
              <w:rPr>
                <w:rFonts w:hint="eastAsia" w:ascii="仿宋" w:hAnsi="仿宋" w:eastAsia="仿宋" w:cs="TimesNewRomanPSMT"/>
                <w:kern w:val="0"/>
                <w:sz w:val="24"/>
                <w:szCs w:val="28"/>
              </w:rPr>
              <w:t>/IP</w:t>
            </w:r>
            <w:r>
              <w:rPr>
                <w:rFonts w:hint="eastAsia" w:ascii="仿宋" w:hAnsi="仿宋" w:eastAsia="仿宋" w:cs="仿宋_GB2312"/>
                <w:kern w:val="0"/>
                <w:sz w:val="24"/>
                <w:szCs w:val="28"/>
              </w:rPr>
              <w:t>业务和</w:t>
            </w:r>
            <w:r>
              <w:rPr>
                <w:rFonts w:hint="eastAsia" w:ascii="仿宋" w:hAnsi="仿宋" w:eastAsia="仿宋" w:cs="TimesNewRomanPSMT"/>
                <w:kern w:val="0"/>
                <w:sz w:val="24"/>
                <w:szCs w:val="28"/>
              </w:rPr>
              <w:t>RS232/485</w:t>
            </w:r>
            <w:r>
              <w:rPr>
                <w:rFonts w:hint="eastAsia" w:ascii="仿宋" w:hAnsi="仿宋" w:eastAsia="仿宋" w:cs="仿宋_GB2312"/>
                <w:kern w:val="0"/>
                <w:sz w:val="24"/>
                <w:szCs w:val="28"/>
              </w:rPr>
              <w:t>串口业务的能力，支持</w:t>
            </w:r>
            <w:r>
              <w:rPr>
                <w:rFonts w:hint="eastAsia" w:ascii="仿宋" w:hAnsi="仿宋" w:eastAsia="仿宋" w:cs="TimesNewRomanPSMT"/>
                <w:kern w:val="0"/>
                <w:sz w:val="24"/>
                <w:szCs w:val="28"/>
              </w:rPr>
              <w:t>IEC60870-5-101</w:t>
            </w:r>
            <w:r>
              <w:rPr>
                <w:rFonts w:hint="eastAsia" w:ascii="仿宋" w:hAnsi="仿宋" w:eastAsia="仿宋" w:cs="仿宋_GB2312"/>
                <w:kern w:val="0"/>
                <w:sz w:val="24"/>
                <w:szCs w:val="28"/>
              </w:rPr>
              <w:t>、</w:t>
            </w:r>
            <w:r>
              <w:rPr>
                <w:rFonts w:hint="eastAsia" w:ascii="仿宋" w:hAnsi="仿宋" w:eastAsia="仿宋" w:cs="TimesNewRomanPSMT"/>
                <w:kern w:val="0"/>
                <w:sz w:val="24"/>
                <w:szCs w:val="28"/>
              </w:rPr>
              <w:t>IEC60870-5-104</w:t>
            </w:r>
            <w:r>
              <w:rPr>
                <w:rFonts w:hint="eastAsia" w:ascii="仿宋" w:hAnsi="仿宋" w:eastAsia="仿宋" w:cs="仿宋_GB2312"/>
                <w:kern w:val="0"/>
                <w:sz w:val="24"/>
                <w:szCs w:val="28"/>
              </w:rPr>
              <w:t>、</w:t>
            </w:r>
            <w:r>
              <w:rPr>
                <w:rFonts w:hint="eastAsia" w:ascii="仿宋" w:hAnsi="仿宋" w:eastAsia="仿宋" w:cs="TimesNewRomanPSMT"/>
                <w:kern w:val="0"/>
                <w:sz w:val="24"/>
                <w:szCs w:val="28"/>
              </w:rPr>
              <w:t>CDT</w:t>
            </w:r>
            <w:r>
              <w:rPr>
                <w:rFonts w:hint="eastAsia" w:ascii="仿宋" w:hAnsi="仿宋" w:eastAsia="仿宋" w:cs="仿宋_GB2312"/>
                <w:kern w:val="0"/>
                <w:sz w:val="24"/>
                <w:szCs w:val="28"/>
              </w:rPr>
              <w:t>、</w:t>
            </w:r>
            <w:r>
              <w:rPr>
                <w:rFonts w:hint="eastAsia" w:ascii="仿宋" w:hAnsi="仿宋" w:eastAsia="仿宋" w:cs="TimesNewRomanPSMT"/>
                <w:kern w:val="0"/>
                <w:sz w:val="24"/>
                <w:szCs w:val="28"/>
              </w:rPr>
              <w:t>DNP</w:t>
            </w:r>
            <w:r>
              <w:rPr>
                <w:rFonts w:hint="eastAsia" w:ascii="仿宋" w:hAnsi="仿宋" w:eastAsia="仿宋" w:cs="仿宋_GB2312"/>
                <w:kern w:val="0"/>
                <w:sz w:val="24"/>
                <w:szCs w:val="28"/>
              </w:rPr>
              <w:t>等多种电力通信规约业务的透传，可选支持语音业务、视频、</w:t>
            </w:r>
            <w:r>
              <w:rPr>
                <w:rFonts w:hint="eastAsia" w:ascii="仿宋" w:hAnsi="仿宋" w:eastAsia="仿宋" w:cs="TimesNewRomanPSMT"/>
                <w:kern w:val="0"/>
                <w:sz w:val="24"/>
                <w:szCs w:val="28"/>
              </w:rPr>
              <w:t>TDM</w:t>
            </w:r>
            <w:r>
              <w:rPr>
                <w:rFonts w:hint="eastAsia" w:ascii="仿宋" w:hAnsi="仿宋" w:eastAsia="仿宋" w:cs="仿宋_GB2312"/>
                <w:kern w:val="0"/>
                <w:sz w:val="24"/>
                <w:szCs w:val="28"/>
              </w:rPr>
              <w:t>业务等。</w:t>
            </w:r>
          </w:p>
        </w:tc>
      </w:tr>
    </w:tbl>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（二）基本原则</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1.需结合深圳前海蛇口自贸区供电有限公司光缆建设实际需求，采用符合国家及行业相关标准的技术路线，确保设计方案科学、合理、可行。</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2.设计思路需兼顾项目实用性、扩展性和前瞻性，结合现有电网架构，提出简洁高效的设计方法，满足项目长期运行及未来5年的扩建需求。</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3.需充分调研深圳前海蛇口自贸区供电有限公司光缆建设的目的、建设环境、核心需求及应用场景，明确项目建设范围、服务对象及整体目标。</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4.需结合深圳前海蛇口自贸区供电有限公司电网业务运行特点，准确把握项目与现有电网系统的衔接要求，确保设计方案贴合电网实际运营需求。</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5.需树立造价控制意识，在设计过程中优化方案，合理选用材料、技术及工艺，避免不必要的成本浪费。</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6.提出明确的造价控制措施，确保设计方案的造价合理合规，符合项目预算要求，同时保障设计质量不降低。</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8.建立完善的设计质量管控体系，明确质量检查节点，确保设计成果准确、规范，符合相关标准及项目要求。</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9.制定合理的设计进度计划，明确各阶段设计任务及完成时限，提出有效的进度保障措施，确保按时提交设计成果。</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10.能识别项目设计阶段可能存在的各类风险，提出针对性的风险防范及应对措施，降低风险对项目设计的影响。</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11.配备专业的设计团队，建立清晰的组织架构，明确各岗位职责，提供充足的人力、技术支持，保障设计工作有序推进，在网络规划、设计及实施阶段，至少提供一名高级网络工程师（至少应具备副高级以上职称、8年以上工作经验、有相似项目设计工作经验2项以上），提供5*8电话和远程的技术支持。</w:t>
      </w:r>
    </w:p>
    <w:p>
      <w:pPr>
        <w:widowControl/>
        <w:shd w:val="clear" w:color="auto" w:fill="FFFFFF"/>
        <w:spacing w:before="100" w:beforeAutospacing="1" w:after="100" w:afterAutospacing="1"/>
        <w:jc w:val="left"/>
        <w:outlineLvl w:val="2"/>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四、建设范围</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规划设计范围应满足《深圳前海蛇口“十五五”智能配电网规划》对通信网络建设的要求，包括目前营业区域已投产10kV/20kV配电房通信节点230个，110kV/220kV变电站通信节点6个，以及十五五期间预计新增10kV/20kV配电房通信节点130个，110kV/220kV变电站通信节点5个，共涵盖接入层交换机1800台，骨干层交换机60台。</w:t>
      </w:r>
    </w:p>
    <w:p>
      <w:pPr>
        <w:widowControl/>
        <w:shd w:val="clear" w:color="auto" w:fill="FFFFFF"/>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规划设计界面为公司负责管理运维的所有光纤通信节点，对象设备涵盖接入层交换机、骨干层交换机、接入层光纤、骨干层光纤、配套光纤配线架及光纤收发器等光传输设备，不包括交换机电口以下网关及传感器等接入设备。</w:t>
      </w:r>
    </w:p>
    <w:p>
      <w:pPr>
        <w:widowControl/>
        <w:jc w:val="left"/>
        <w:rPr>
          <w:rFonts w:ascii="宋体" w:hAnsi="宋体" w:eastAsia="宋体"/>
        </w:rPr>
      </w:pPr>
      <w:r>
        <w:rPr>
          <w:rFonts w:ascii="宋体" w:hAnsi="宋体" w:eastAsia="宋体"/>
        </w:rPr>
        <w:t xml:space="preserve"> </w:t>
      </w:r>
      <w:r>
        <w:rPr>
          <w:rFonts w:ascii="宋体" w:hAnsi="宋体" w:eastAsia="宋体"/>
        </w:rPr>
        <w:br w:type="page"/>
      </w:r>
    </w:p>
    <w:p>
      <w:pPr>
        <w:jc w:val="center"/>
        <w:outlineLvl w:val="0"/>
        <w:rPr>
          <w:rFonts w:ascii="黑体" w:hAnsi="黑体" w:eastAsia="黑体"/>
          <w:b/>
          <w:bCs/>
          <w:color w:val="000000" w:themeColor="text1"/>
          <w:sz w:val="44"/>
          <w:szCs w:val="44"/>
          <w14:textFill>
            <w14:solidFill>
              <w14:schemeClr w14:val="tx1"/>
            </w14:solidFill>
          </w14:textFill>
        </w:rPr>
      </w:pPr>
      <w:bookmarkStart w:id="149" w:name="_Toc216716614"/>
      <w:bookmarkStart w:id="150" w:name="_Toc10304"/>
      <w:bookmarkStart w:id="151" w:name="_Toc181970690"/>
      <w:r>
        <w:rPr>
          <w:rFonts w:hint="eastAsia" w:ascii="黑体" w:hAnsi="黑体" w:eastAsia="黑体"/>
          <w:b/>
          <w:bCs/>
          <w:color w:val="000000" w:themeColor="text1"/>
          <w:sz w:val="44"/>
          <w:szCs w:val="44"/>
          <w14:textFill>
            <w14:solidFill>
              <w14:schemeClr w14:val="tx1"/>
            </w14:solidFill>
          </w14:textFill>
        </w:rPr>
        <w:t>第六章</w:t>
      </w:r>
      <w:r>
        <w:rPr>
          <w:rFonts w:ascii="黑体" w:hAnsi="黑体" w:eastAsia="黑体"/>
          <w:b/>
          <w:bCs/>
          <w:color w:val="000000" w:themeColor="text1"/>
          <w:sz w:val="44"/>
          <w:szCs w:val="44"/>
          <w14:textFill>
            <w14:solidFill>
              <w14:schemeClr w14:val="tx1"/>
            </w14:solidFill>
          </w14:textFill>
        </w:rPr>
        <w:t xml:space="preserve"> </w:t>
      </w:r>
      <w:r>
        <w:rPr>
          <w:rFonts w:hint="eastAsia" w:ascii="黑体" w:hAnsi="黑体" w:eastAsia="黑体"/>
          <w:b/>
          <w:bCs/>
          <w:color w:val="000000" w:themeColor="text1"/>
          <w:sz w:val="44"/>
          <w:szCs w:val="44"/>
          <w14:textFill>
            <w14:solidFill>
              <w14:schemeClr w14:val="tx1"/>
            </w14:solidFill>
          </w14:textFill>
        </w:rPr>
        <w:t>招标代理服务费缴纳说明</w:t>
      </w:r>
      <w:bookmarkEnd w:id="149"/>
      <w:bookmarkEnd w:id="150"/>
      <w:bookmarkEnd w:id="151"/>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招标代理服务费由中标（成交）人支付，计算方法详如下：</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.计算基数：</w:t>
      </w:r>
      <w:r>
        <w:rPr>
          <w:rFonts w:hint="eastAsia" w:ascii="Times New Roman" w:hAnsi="Times New Roman" w:eastAsia="宋体" w:cs="Times New Roman"/>
          <w:szCs w:val="21"/>
        </w:rPr>
        <w:t>中标（成交）</w:t>
      </w:r>
      <w:r>
        <w:rPr>
          <w:rFonts w:ascii="Times New Roman" w:hAnsi="Times New Roman" w:eastAsia="宋体" w:cs="Times New Roman"/>
          <w:szCs w:val="21"/>
        </w:rPr>
        <w:t>金额。</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.计算方法如下：</w:t>
      </w:r>
    </w:p>
    <w:p>
      <w:pPr>
        <w:spacing w:line="360" w:lineRule="auto"/>
        <w:ind w:firstLine="420" w:firstLineChars="200"/>
        <w:rPr>
          <w:rFonts w:ascii="Times New Roman" w:hAnsi="Times New Roman" w:eastAsia="宋体" w:cs="Times New Roman"/>
          <w:szCs w:val="21"/>
        </w:rPr>
      </w:pPr>
      <w:sdt>
        <w:sdtPr>
          <w:rPr>
            <w:rFonts w:ascii="Times New Roman" w:hAnsi="Times New Roman" w:eastAsia="宋体" w:cs="Times New Roman"/>
          </w:rPr>
          <w:id w:val="-732076809"/>
          <w14:checkbox>
            <w14:checked w14:val="1"/>
            <w14:checkedState w14:val="0052" w14:font="Wingdings 2"/>
            <w14:uncheckedState w14:val="25A1" w14:font="宋体"/>
          </w14:checkbox>
        </w:sdtPr>
        <w:sdtEndPr>
          <w:rPr>
            <w:rFonts w:ascii="Times New Roman" w:hAnsi="Times New Roman" w:eastAsia="宋体" w:cs="Times New Roman"/>
          </w:rPr>
        </w:sdtEndPr>
        <w:sdtContent>
          <w:r>
            <w:rPr>
              <w:rFonts w:ascii="Times New Roman" w:hAnsi="Times New Roman" w:eastAsia="宋体" w:cs="Times New Roman"/>
            </w:rPr>
            <w:sym w:font="Wingdings 2" w:char="F052"/>
          </w:r>
        </w:sdtContent>
      </w:sdt>
      <w:r>
        <w:rPr>
          <w:rFonts w:hint="eastAsia" w:ascii="Times New Roman" w:hAnsi="Times New Roman" w:eastAsia="宋体" w:cs="Times New Roman"/>
        </w:rPr>
        <w:t>（1）</w:t>
      </w:r>
      <w:r>
        <w:rPr>
          <w:rFonts w:hint="eastAsia" w:ascii="Times New Roman" w:hAnsi="Times New Roman" w:eastAsia="宋体" w:cs="Times New Roman"/>
          <w:szCs w:val="21"/>
        </w:rPr>
        <w:t>按照国家发展计划委员会《招标代理服务收费管理暂行办法》（计价格</w:t>
      </w:r>
      <w:r>
        <w:rPr>
          <w:rFonts w:hint="eastAsia" w:ascii="宋体" w:hAnsi="宋体" w:eastAsia="宋体" w:cs="Times New Roman"/>
          <w:szCs w:val="21"/>
        </w:rPr>
        <w:t>〔</w:t>
      </w:r>
      <w:r>
        <w:rPr>
          <w:rFonts w:ascii="Times New Roman" w:hAnsi="Times New Roman" w:eastAsia="宋体" w:cs="Times New Roman"/>
          <w:szCs w:val="21"/>
        </w:rPr>
        <w:t>2002</w:t>
      </w:r>
      <w:r>
        <w:rPr>
          <w:rFonts w:hint="eastAsia" w:ascii="宋体" w:hAnsi="宋体" w:eastAsia="宋体" w:cs="Times New Roman"/>
          <w:szCs w:val="21"/>
        </w:rPr>
        <w:t>〕</w:t>
      </w:r>
      <w:r>
        <w:rPr>
          <w:rFonts w:ascii="Times New Roman" w:hAnsi="Times New Roman" w:eastAsia="宋体" w:cs="Times New Roman"/>
          <w:szCs w:val="21"/>
        </w:rPr>
        <w:t>1980号）和国家发展改革委《国家发展改革委关于降低部分建设项目收费标准规范收费行为等有关问题的通知》（发改价</w:t>
      </w:r>
      <w:r>
        <w:rPr>
          <w:rFonts w:hint="eastAsia" w:ascii="宋体" w:hAnsi="宋体" w:eastAsia="宋体" w:cs="Times New Roman"/>
          <w:szCs w:val="21"/>
        </w:rPr>
        <w:t>〔</w:t>
      </w:r>
      <w:r>
        <w:rPr>
          <w:rFonts w:ascii="Times New Roman" w:hAnsi="Times New Roman" w:eastAsia="宋体" w:cs="Times New Roman"/>
          <w:szCs w:val="21"/>
        </w:rPr>
        <w:t>2011</w:t>
      </w:r>
      <w:r>
        <w:rPr>
          <w:rFonts w:hint="eastAsia" w:ascii="宋体" w:hAnsi="宋体" w:eastAsia="宋体" w:cs="Times New Roman"/>
          <w:szCs w:val="21"/>
        </w:rPr>
        <w:t>〕</w:t>
      </w:r>
      <w:r>
        <w:rPr>
          <w:rFonts w:ascii="Times New Roman" w:hAnsi="Times New Roman" w:eastAsia="宋体" w:cs="Times New Roman"/>
          <w:szCs w:val="21"/>
        </w:rPr>
        <w:t>534号）的规定计算，</w:t>
      </w:r>
      <w:r>
        <w:rPr>
          <w:rFonts w:hint="eastAsia" w:ascii="Times New Roman" w:hAnsi="Times New Roman" w:eastAsia="宋体" w:cs="Times New Roman"/>
          <w:szCs w:val="21"/>
        </w:rPr>
        <w:t>计算结果不足以支付评标专家费和平台费的，按评标专家费和平台费合计金额收取</w:t>
      </w:r>
      <w:r>
        <w:rPr>
          <w:rFonts w:ascii="Times New Roman" w:hAnsi="Times New Roman" w:eastAsia="宋体" w:cs="Times New Roman"/>
          <w:szCs w:val="21"/>
        </w:rPr>
        <w:t>。</w:t>
      </w:r>
    </w:p>
    <w:p>
      <w:pPr>
        <w:spacing w:line="360" w:lineRule="auto"/>
        <w:ind w:firstLine="420" w:firstLineChars="200"/>
        <w:rPr>
          <w:rFonts w:ascii="Times New Roman" w:hAnsi="Times New Roman" w:eastAsia="宋体" w:cs="Times New Roman"/>
          <w:szCs w:val="21"/>
        </w:rPr>
      </w:pPr>
      <w:sdt>
        <w:sdtPr>
          <w:rPr>
            <w:rFonts w:ascii="Times New Roman" w:hAnsi="Times New Roman" w:eastAsia="宋体" w:cs="Times New Roman"/>
          </w:rPr>
          <w:id w:val="-1569262967"/>
          <w14:checkbox>
            <w14:checked w14:val="0"/>
            <w14:checkedState w14:val="0052" w14:font="Wingdings 2"/>
            <w14:uncheckedState w14:val="25A1" w14:font="宋体"/>
          </w14:checkbox>
        </w:sdtPr>
        <w:sdtEndPr>
          <w:rPr>
            <w:rFonts w:ascii="Times New Roman" w:hAnsi="Times New Roman" w:eastAsia="宋体" w:cs="Times New Roman"/>
          </w:rPr>
        </w:sdtEndPr>
        <w:sdtContent>
          <w:r>
            <w:rPr>
              <w:rFonts w:hint="eastAsia" w:ascii="Times New Roman" w:hAnsi="Times New Roman" w:eastAsia="宋体" w:cs="Times New Roman"/>
            </w:rPr>
            <w:t>□</w:t>
          </w:r>
        </w:sdtContent>
      </w:sdt>
      <w:r>
        <w:rPr>
          <w:rFonts w:hint="eastAsia" w:ascii="Times New Roman" w:hAnsi="Times New Roman" w:eastAsia="宋体" w:cs="Times New Roman"/>
        </w:rPr>
        <w:t>（2）</w:t>
      </w:r>
      <w:r>
        <w:rPr>
          <w:rFonts w:hint="eastAsia" w:ascii="Times New Roman" w:hAnsi="Times New Roman" w:eastAsia="宋体" w:cs="Times New Roman"/>
          <w:szCs w:val="21"/>
        </w:rPr>
        <w:t>按照国家发展计划委员会《招标代理服务收费管理暂行办法》（计价格</w:t>
      </w:r>
      <w:r>
        <w:rPr>
          <w:rFonts w:hint="eastAsia" w:ascii="宋体" w:hAnsi="宋体" w:eastAsia="宋体" w:cs="Times New Roman"/>
          <w:szCs w:val="21"/>
        </w:rPr>
        <w:t>〔</w:t>
      </w:r>
      <w:r>
        <w:rPr>
          <w:rFonts w:ascii="Times New Roman" w:hAnsi="Times New Roman" w:eastAsia="宋体" w:cs="Times New Roman"/>
          <w:szCs w:val="21"/>
        </w:rPr>
        <w:t>2002</w:t>
      </w:r>
      <w:r>
        <w:rPr>
          <w:rFonts w:hint="eastAsia" w:ascii="宋体" w:hAnsi="宋体" w:eastAsia="宋体" w:cs="Times New Roman"/>
          <w:szCs w:val="21"/>
        </w:rPr>
        <w:t>〕</w:t>
      </w:r>
      <w:r>
        <w:rPr>
          <w:rFonts w:ascii="Times New Roman" w:hAnsi="Times New Roman" w:eastAsia="宋体" w:cs="Times New Roman"/>
          <w:szCs w:val="21"/>
        </w:rPr>
        <w:t>1980号）和国家发展改革委《国家发展改革委关于降低部分建设项目收费标准规范收费行为等有关问题的通知》（发改价</w:t>
      </w:r>
      <w:r>
        <w:rPr>
          <w:rFonts w:hint="eastAsia" w:ascii="宋体" w:hAnsi="宋体" w:eastAsia="宋体" w:cs="Times New Roman"/>
          <w:szCs w:val="21"/>
        </w:rPr>
        <w:t>〔</w:t>
      </w:r>
      <w:r>
        <w:rPr>
          <w:rFonts w:ascii="Times New Roman" w:hAnsi="Times New Roman" w:eastAsia="宋体" w:cs="Times New Roman"/>
          <w:szCs w:val="21"/>
        </w:rPr>
        <w:t>2011</w:t>
      </w:r>
      <w:r>
        <w:rPr>
          <w:rFonts w:hint="eastAsia" w:ascii="宋体" w:hAnsi="宋体" w:eastAsia="宋体" w:cs="Times New Roman"/>
          <w:szCs w:val="21"/>
        </w:rPr>
        <w:t>〕</w:t>
      </w:r>
      <w:r>
        <w:rPr>
          <w:rFonts w:ascii="Times New Roman" w:hAnsi="Times New Roman" w:eastAsia="宋体" w:cs="Times New Roman"/>
          <w:szCs w:val="21"/>
        </w:rPr>
        <w:t>534号）的规定计算，并下浮</w:t>
      </w:r>
      <w:r>
        <w:rPr>
          <w:rFonts w:ascii="Times New Roman" w:hAnsi="Times New Roman" w:eastAsia="宋体" w:cs="Times New Roman"/>
          <w:szCs w:val="21"/>
          <w:u w:val="single"/>
        </w:rPr>
        <w:t>60</w:t>
      </w:r>
      <w:r>
        <w:rPr>
          <w:rFonts w:ascii="Times New Roman" w:hAnsi="Times New Roman" w:eastAsia="宋体" w:cs="Times New Roman"/>
          <w:szCs w:val="21"/>
        </w:rPr>
        <w:t>%</w:t>
      </w:r>
      <w:r>
        <w:rPr>
          <w:rFonts w:hint="eastAsia" w:ascii="Times New Roman" w:hAnsi="Times New Roman" w:eastAsia="宋体" w:cs="Times New Roman"/>
          <w:szCs w:val="21"/>
        </w:rPr>
        <w:t>，计算结果不足以支付评标专家费和平台费的，按评标专家费和平台费合计金额收取</w:t>
      </w:r>
      <w:r>
        <w:rPr>
          <w:rFonts w:ascii="Times New Roman" w:hAnsi="Times New Roman" w:eastAsia="宋体" w:cs="Times New Roman"/>
          <w:szCs w:val="21"/>
        </w:rPr>
        <w:t>。</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.支付人：</w:t>
      </w:r>
      <w:r>
        <w:rPr>
          <w:rFonts w:hint="eastAsia" w:ascii="Times New Roman" w:hAnsi="Times New Roman" w:eastAsia="宋体" w:cs="Times New Roman"/>
          <w:szCs w:val="21"/>
        </w:rPr>
        <w:t>中标（成交）</w:t>
      </w:r>
      <w:r>
        <w:rPr>
          <w:rFonts w:ascii="Times New Roman" w:hAnsi="Times New Roman" w:eastAsia="宋体" w:cs="Times New Roman"/>
          <w:szCs w:val="21"/>
        </w:rPr>
        <w:t>单位。</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.支付方式：银行转账。</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.收款账户信息如下：</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户名：深圳前供综合能源有限公司</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账号：755916015510502</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开户行：招商银行股份有限公司深圳蛇口支行</w:t>
      </w:r>
      <w:r>
        <w:rPr>
          <w:rFonts w:ascii="Times New Roman" w:hAnsi="Times New Roman" w:eastAsia="宋体" w:cs="Times New Roman"/>
          <w:szCs w:val="21"/>
        </w:rPr>
        <w:t xml:space="preserve"> </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.发票联系人：</w:t>
      </w:r>
      <w:r>
        <w:rPr>
          <w:rFonts w:hint="eastAsia" w:ascii="Times New Roman" w:hAnsi="Times New Roman" w:eastAsia="宋体" w:cs="Times New Roman"/>
          <w:szCs w:val="21"/>
        </w:rPr>
        <w:t>陈工</w:t>
      </w:r>
      <w:r>
        <w:rPr>
          <w:rFonts w:ascii="Times New Roman" w:hAnsi="Times New Roman" w:eastAsia="宋体" w:cs="Times New Roman"/>
          <w:szCs w:val="21"/>
        </w:rPr>
        <w:t xml:space="preserve"> 18319294329</w:t>
      </w:r>
    </w:p>
    <w:p>
      <w:pPr>
        <w:spacing w:line="360" w:lineRule="auto"/>
        <w:jc w:val="center"/>
        <w:rPr>
          <w:rFonts w:ascii="宋体" w:hAnsi="宋体" w:eastAsia="宋体" w:cs="宋体"/>
          <w:szCs w:val="21"/>
        </w:rPr>
      </w:pPr>
      <w:r>
        <w:rPr>
          <w:rFonts w:hint="eastAsia" w:ascii="宋体" w:hAnsi="宋体" w:eastAsia="宋体" w:cs="宋体"/>
          <w:szCs w:val="21"/>
        </w:rPr>
        <w:t>招标代理服务费率标准</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986" w:type="dxa"/>
            <w:vAlign w:val="center"/>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中标（成交）</w:t>
            </w:r>
            <w:r>
              <w:rPr>
                <w:rFonts w:ascii="Times New Roman" w:hAnsi="Times New Roman" w:eastAsia="宋体" w:cs="Times New Roman"/>
                <w:szCs w:val="21"/>
              </w:rPr>
              <w:t>金额</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货物采购</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服务采购</w:t>
            </w:r>
          </w:p>
        </w:tc>
        <w:tc>
          <w:tcPr>
            <w:tcW w:w="1846"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100万元以下</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1.500%</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1.500%</w:t>
            </w:r>
          </w:p>
        </w:tc>
        <w:tc>
          <w:tcPr>
            <w:tcW w:w="1846"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100万元（含）-500万元</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1.100%</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0.800%</w:t>
            </w:r>
          </w:p>
        </w:tc>
        <w:tc>
          <w:tcPr>
            <w:tcW w:w="1846"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500万元（含）-1000万元</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0.800%</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0.450%</w:t>
            </w:r>
          </w:p>
        </w:tc>
        <w:tc>
          <w:tcPr>
            <w:tcW w:w="1846"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1000万元（含）-5000万元</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0.500%</w:t>
            </w:r>
          </w:p>
        </w:tc>
        <w:tc>
          <w:tcPr>
            <w:tcW w:w="1845"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0.250%</w:t>
            </w:r>
          </w:p>
        </w:tc>
        <w:tc>
          <w:tcPr>
            <w:tcW w:w="1846" w:type="dxa"/>
            <w:vAlign w:val="center"/>
          </w:tcPr>
          <w:p>
            <w:pPr>
              <w:tabs>
                <w:tab w:val="left" w:pos="426"/>
              </w:tabs>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5000万元（含）-1亿元</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0.250%</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0.100%</w:t>
            </w:r>
          </w:p>
        </w:tc>
        <w:tc>
          <w:tcPr>
            <w:tcW w:w="1846"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1亿元（含）-5亿元</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0.050%</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0.050%</w:t>
            </w:r>
          </w:p>
        </w:tc>
        <w:tc>
          <w:tcPr>
            <w:tcW w:w="1846"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5亿元（含）-10亿元</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0.035%</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0.035%</w:t>
            </w:r>
          </w:p>
        </w:tc>
        <w:tc>
          <w:tcPr>
            <w:tcW w:w="1846"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10亿元（含）-50亿元</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0.008%</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0.008%</w:t>
            </w:r>
          </w:p>
        </w:tc>
        <w:tc>
          <w:tcPr>
            <w:tcW w:w="1846"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50亿元（含）-100亿元</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0.006%</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0.006%</w:t>
            </w:r>
          </w:p>
        </w:tc>
        <w:tc>
          <w:tcPr>
            <w:tcW w:w="1846"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Cs w:val="21"/>
              </w:rPr>
            </w:pPr>
            <w:r>
              <w:rPr>
                <w:rFonts w:ascii="Times New Roman" w:hAnsi="Times New Roman" w:eastAsia="宋体" w:cs="Times New Roman"/>
                <w:color w:val="000000"/>
                <w:sz w:val="22"/>
              </w:rPr>
              <w:t>100亿元（含）以上</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 w:val="22"/>
              </w:rPr>
              <w:t>0.004%</w:t>
            </w:r>
          </w:p>
        </w:tc>
        <w:tc>
          <w:tcPr>
            <w:tcW w:w="1845"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 w:val="22"/>
              </w:rPr>
              <w:t>0.004%</w:t>
            </w:r>
          </w:p>
        </w:tc>
        <w:tc>
          <w:tcPr>
            <w:tcW w:w="1846" w:type="dxa"/>
            <w:vAlign w:val="center"/>
          </w:tcPr>
          <w:p>
            <w:pPr>
              <w:tabs>
                <w:tab w:val="left" w:pos="426"/>
              </w:tabs>
              <w:spacing w:line="360" w:lineRule="auto"/>
              <w:jc w:val="center"/>
              <w:rPr>
                <w:rFonts w:ascii="Times New Roman" w:hAnsi="Times New Roman" w:eastAsia="宋体" w:cs="Times New Roman"/>
                <w:szCs w:val="21"/>
              </w:rPr>
            </w:pPr>
            <w:r>
              <w:rPr>
                <w:rFonts w:ascii="Times New Roman" w:hAnsi="Times New Roman" w:eastAsia="宋体" w:cs="Times New Roman"/>
                <w:sz w:val="22"/>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tabs>
                <w:tab w:val="left" w:pos="426"/>
              </w:tabs>
              <w:spacing w:line="360" w:lineRule="auto"/>
              <w:jc w:val="left"/>
              <w:rPr>
                <w:rFonts w:ascii="Times New Roman" w:hAnsi="Times New Roman" w:eastAsia="宋体" w:cs="Times New Roman"/>
                <w:color w:val="000000"/>
                <w:sz w:val="22"/>
              </w:rPr>
            </w:pPr>
            <w:r>
              <w:rPr>
                <w:rFonts w:hint="eastAsia" w:ascii="Times New Roman" w:hAnsi="Times New Roman" w:eastAsia="宋体" w:cs="Times New Roman"/>
                <w:color w:val="000000"/>
                <w:sz w:val="22"/>
              </w:rPr>
              <w:t>最高收费限额</w:t>
            </w:r>
          </w:p>
        </w:tc>
        <w:tc>
          <w:tcPr>
            <w:tcW w:w="1845" w:type="dxa"/>
            <w:vAlign w:val="center"/>
          </w:tcPr>
          <w:p>
            <w:pPr>
              <w:tabs>
                <w:tab w:val="left" w:pos="426"/>
              </w:tabs>
              <w:spacing w:line="360" w:lineRule="auto"/>
              <w:jc w:val="center"/>
              <w:rPr>
                <w:rFonts w:ascii="Times New Roman" w:hAnsi="Times New Roman" w:eastAsia="宋体" w:cs="Times New Roman"/>
                <w:sz w:val="22"/>
              </w:rPr>
            </w:pPr>
            <w:r>
              <w:rPr>
                <w:rFonts w:hint="eastAsia" w:ascii="Times New Roman" w:hAnsi="Times New Roman" w:eastAsia="宋体" w:cs="Times New Roman"/>
                <w:sz w:val="22"/>
              </w:rPr>
              <w:t>3</w:t>
            </w:r>
            <w:r>
              <w:rPr>
                <w:rFonts w:ascii="Times New Roman" w:hAnsi="Times New Roman" w:eastAsia="宋体" w:cs="Times New Roman"/>
                <w:sz w:val="22"/>
              </w:rPr>
              <w:t>50</w:t>
            </w:r>
            <w:r>
              <w:rPr>
                <w:rFonts w:hint="eastAsia" w:ascii="Times New Roman" w:hAnsi="Times New Roman" w:eastAsia="宋体" w:cs="Times New Roman"/>
                <w:sz w:val="22"/>
              </w:rPr>
              <w:t>万元</w:t>
            </w:r>
          </w:p>
        </w:tc>
        <w:tc>
          <w:tcPr>
            <w:tcW w:w="1845" w:type="dxa"/>
            <w:vAlign w:val="center"/>
          </w:tcPr>
          <w:p>
            <w:pPr>
              <w:tabs>
                <w:tab w:val="left" w:pos="426"/>
              </w:tabs>
              <w:spacing w:line="360" w:lineRule="auto"/>
              <w:jc w:val="center"/>
              <w:rPr>
                <w:rFonts w:ascii="Times New Roman" w:hAnsi="Times New Roman" w:eastAsia="宋体" w:cs="Times New Roman"/>
                <w:sz w:val="22"/>
              </w:rPr>
            </w:pPr>
            <w:r>
              <w:rPr>
                <w:rFonts w:hint="eastAsia" w:ascii="Times New Roman" w:hAnsi="Times New Roman" w:eastAsia="宋体" w:cs="Times New Roman"/>
                <w:sz w:val="22"/>
              </w:rPr>
              <w:t>3</w:t>
            </w:r>
            <w:r>
              <w:rPr>
                <w:rFonts w:ascii="Times New Roman" w:hAnsi="Times New Roman" w:eastAsia="宋体" w:cs="Times New Roman"/>
                <w:sz w:val="22"/>
              </w:rPr>
              <w:t>00</w:t>
            </w:r>
            <w:r>
              <w:rPr>
                <w:rFonts w:hint="eastAsia" w:ascii="Times New Roman" w:hAnsi="Times New Roman" w:eastAsia="宋体" w:cs="Times New Roman"/>
                <w:sz w:val="22"/>
              </w:rPr>
              <w:t>万元</w:t>
            </w:r>
          </w:p>
        </w:tc>
        <w:tc>
          <w:tcPr>
            <w:tcW w:w="1846" w:type="dxa"/>
            <w:vAlign w:val="center"/>
          </w:tcPr>
          <w:p>
            <w:pPr>
              <w:tabs>
                <w:tab w:val="left" w:pos="426"/>
              </w:tabs>
              <w:spacing w:line="360" w:lineRule="auto"/>
              <w:jc w:val="center"/>
              <w:rPr>
                <w:rFonts w:ascii="Times New Roman" w:hAnsi="Times New Roman" w:eastAsia="宋体" w:cs="Times New Roman"/>
                <w:sz w:val="22"/>
              </w:rPr>
            </w:pPr>
            <w:r>
              <w:rPr>
                <w:rFonts w:hint="eastAsia" w:ascii="Times New Roman" w:hAnsi="Times New Roman" w:eastAsia="宋体" w:cs="Times New Roman"/>
                <w:sz w:val="22"/>
              </w:rPr>
              <w:t>4</w:t>
            </w:r>
            <w:r>
              <w:rPr>
                <w:rFonts w:ascii="Times New Roman" w:hAnsi="Times New Roman" w:eastAsia="宋体" w:cs="Times New Roman"/>
                <w:sz w:val="22"/>
              </w:rPr>
              <w:t>50</w:t>
            </w:r>
            <w:r>
              <w:rPr>
                <w:rFonts w:hint="eastAsia" w:ascii="Times New Roman" w:hAnsi="Times New Roman" w:eastAsia="宋体" w:cs="Times New Roman"/>
                <w:sz w:val="22"/>
              </w:rPr>
              <w:t>万元</w:t>
            </w:r>
          </w:p>
        </w:tc>
      </w:tr>
    </w:tbl>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以某服务类项目招标为例：</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假设其计算基准价为5000万元，则招标代理服务费计算过程为：</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100万元以下部分：1</w:t>
      </w:r>
      <w:r>
        <w:rPr>
          <w:rFonts w:ascii="Times New Roman" w:hAnsi="Times New Roman" w:eastAsia="宋体" w:cs="Times New Roman"/>
          <w:szCs w:val="21"/>
        </w:rPr>
        <w:t>00</w:t>
      </w:r>
      <w:r>
        <w:rPr>
          <w:rFonts w:hint="eastAsia" w:ascii="Times New Roman" w:hAnsi="Times New Roman" w:eastAsia="宋体" w:cs="Times New Roman"/>
          <w:szCs w:val="21"/>
        </w:rPr>
        <w:t>×1.5%=1.5（万元）；</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100-500</w:t>
      </w:r>
      <w:r>
        <w:rPr>
          <w:rFonts w:hint="eastAsia" w:ascii="Times New Roman" w:hAnsi="Times New Roman" w:eastAsia="宋体" w:cs="Times New Roman"/>
          <w:szCs w:val="21"/>
        </w:rPr>
        <w:t>万元部分：4</w:t>
      </w:r>
      <w:r>
        <w:rPr>
          <w:rFonts w:ascii="Times New Roman" w:hAnsi="Times New Roman" w:eastAsia="宋体" w:cs="Times New Roman"/>
          <w:szCs w:val="21"/>
        </w:rPr>
        <w:t>00</w:t>
      </w:r>
      <w:r>
        <w:rPr>
          <w:rFonts w:hint="eastAsia" w:ascii="Times New Roman" w:hAnsi="Times New Roman" w:eastAsia="宋体" w:cs="Times New Roman"/>
          <w:szCs w:val="21"/>
        </w:rPr>
        <w:t>×0.8%=3.2（万元）；</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500-1000</w:t>
      </w:r>
      <w:r>
        <w:rPr>
          <w:rFonts w:hint="eastAsia" w:ascii="Times New Roman" w:hAnsi="Times New Roman" w:eastAsia="宋体" w:cs="Times New Roman"/>
          <w:szCs w:val="21"/>
        </w:rPr>
        <w:t>万元部分：5</w:t>
      </w:r>
      <w:r>
        <w:rPr>
          <w:rFonts w:ascii="Times New Roman" w:hAnsi="Times New Roman" w:eastAsia="宋体" w:cs="Times New Roman"/>
          <w:szCs w:val="21"/>
        </w:rPr>
        <w:t>00</w:t>
      </w:r>
      <w:r>
        <w:rPr>
          <w:rFonts w:hint="eastAsia" w:ascii="Times New Roman" w:hAnsi="Times New Roman" w:eastAsia="宋体" w:cs="Times New Roman"/>
          <w:szCs w:val="21"/>
        </w:rPr>
        <w:t>×0.45%=2.25（万元）；</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1000-</w:t>
      </w:r>
      <w:r>
        <w:rPr>
          <w:rFonts w:hint="eastAsia" w:ascii="Times New Roman" w:hAnsi="Times New Roman" w:eastAsia="宋体" w:cs="Times New Roman"/>
          <w:szCs w:val="21"/>
        </w:rPr>
        <w:t>5000万元部分：4</w:t>
      </w:r>
      <w:r>
        <w:rPr>
          <w:rFonts w:ascii="Times New Roman" w:hAnsi="Times New Roman" w:eastAsia="宋体" w:cs="Times New Roman"/>
          <w:szCs w:val="21"/>
        </w:rPr>
        <w:t>000</w:t>
      </w:r>
      <w:r>
        <w:rPr>
          <w:rFonts w:hint="eastAsia" w:ascii="Times New Roman" w:hAnsi="Times New Roman" w:eastAsia="宋体" w:cs="Times New Roman"/>
          <w:szCs w:val="21"/>
        </w:rPr>
        <w:t>×0.25%=10（万元）。</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按照第（1）种计算方法，该项目招标代理服务费为：</w:t>
      </w:r>
      <w:r>
        <w:rPr>
          <w:rFonts w:ascii="Times New Roman" w:hAnsi="Times New Roman" w:eastAsia="宋体" w:cs="Times New Roman"/>
          <w:szCs w:val="21"/>
        </w:rPr>
        <w:t>1.5+3.2+2.25+10</w:t>
      </w:r>
      <w:r>
        <w:rPr>
          <w:rFonts w:hint="eastAsia" w:ascii="Times New Roman" w:hAnsi="Times New Roman" w:eastAsia="宋体" w:cs="Times New Roman"/>
          <w:szCs w:val="21"/>
        </w:rPr>
        <w:t>=</w:t>
      </w:r>
      <w:r>
        <w:rPr>
          <w:rFonts w:ascii="Times New Roman" w:hAnsi="Times New Roman" w:eastAsia="宋体" w:cs="Times New Roman"/>
          <w:szCs w:val="21"/>
        </w:rPr>
        <w:t>16.95</w:t>
      </w:r>
      <w:r>
        <w:rPr>
          <w:rFonts w:hint="eastAsia" w:ascii="Times New Roman" w:hAnsi="Times New Roman" w:eastAsia="宋体" w:cs="Times New Roman"/>
          <w:szCs w:val="21"/>
        </w:rPr>
        <w:t>万元。</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按照第（2）种计算方法，该项目招标代理服务费为：（</w:t>
      </w:r>
      <w:r>
        <w:rPr>
          <w:rFonts w:ascii="Times New Roman" w:hAnsi="Times New Roman" w:eastAsia="宋体" w:cs="Times New Roman"/>
          <w:szCs w:val="21"/>
        </w:rPr>
        <w:t>1.5+3.2+2.25+10</w:t>
      </w:r>
      <w:r>
        <w:rPr>
          <w:rFonts w:hint="eastAsia" w:ascii="Times New Roman" w:hAnsi="Times New Roman" w:eastAsia="宋体" w:cs="Times New Roman"/>
          <w:szCs w:val="21"/>
        </w:rPr>
        <w:t>）×（1</w:t>
      </w:r>
      <w:r>
        <w:rPr>
          <w:rFonts w:ascii="Times New Roman" w:hAnsi="Times New Roman" w:eastAsia="宋体" w:cs="Times New Roman"/>
          <w:szCs w:val="21"/>
        </w:rPr>
        <w:t>-60%</w:t>
      </w:r>
      <w:r>
        <w:rPr>
          <w:rFonts w:hint="eastAsia" w:ascii="Times New Roman" w:hAnsi="Times New Roman" w:eastAsia="宋体" w:cs="Times New Roman"/>
          <w:szCs w:val="21"/>
        </w:rPr>
        <w:t xml:space="preserve">）= </w:t>
      </w:r>
      <w:r>
        <w:rPr>
          <w:rFonts w:ascii="Times New Roman" w:hAnsi="Times New Roman" w:eastAsia="宋体" w:cs="Times New Roman"/>
          <w:szCs w:val="21"/>
        </w:rPr>
        <w:t>6.78</w:t>
      </w:r>
      <w:r>
        <w:rPr>
          <w:rFonts w:hint="eastAsia" w:ascii="Times New Roman" w:hAnsi="Times New Roman" w:eastAsia="宋体" w:cs="Times New Roman"/>
          <w:szCs w:val="21"/>
        </w:rPr>
        <w:t>万元。</w:t>
      </w:r>
    </w:p>
    <w:p>
      <w:pPr>
        <w:spacing w:line="360" w:lineRule="auto"/>
        <w:ind w:firstLine="420" w:firstLineChars="200"/>
        <w:rPr>
          <w:rFonts w:ascii="宋体" w:hAnsi="宋体" w:eastAsia="宋体" w:cs="Times New Roman"/>
        </w:rPr>
      </w:pPr>
      <w:r>
        <w:rPr>
          <w:rFonts w:hint="eastAsia" w:ascii="Times New Roman" w:hAnsi="Times New Roman" w:eastAsia="宋体" w:cs="Times New Roman"/>
          <w:szCs w:val="21"/>
        </w:rPr>
        <w:t>计算结果不足以支付评标专家费和平台费的，按评标专家费和平台费合计金额收取</w:t>
      </w:r>
      <w:r>
        <w:rPr>
          <w:rFonts w:ascii="Times New Roman" w:hAnsi="Times New Roman" w:eastAsia="宋体" w:cs="Times New Roman"/>
          <w:szCs w:val="21"/>
        </w:rPr>
        <w:t>。</w:t>
      </w:r>
    </w:p>
    <w:p>
      <w:pPr>
        <w:spacing w:line="360" w:lineRule="auto"/>
        <w:ind w:firstLine="420" w:firstLineChars="200"/>
        <w:rPr>
          <w:rFonts w:ascii="宋体" w:hAnsi="宋体" w:eastAsia="宋体"/>
        </w:rPr>
      </w:pPr>
    </w:p>
    <w:p>
      <w:pPr>
        <w:spacing w:line="360" w:lineRule="auto"/>
        <w:ind w:firstLine="420" w:firstLineChars="20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320198262"/>
    </w:sdtPr>
    <w:sdtEndPr>
      <w:rPr>
        <w:rFonts w:ascii="Times New Roman" w:hAnsi="Times New Roman" w:cs="Times New Roman"/>
      </w:rPr>
    </w:sdtEndPr>
    <w:sdtContent>
      <w:p>
        <w:pPr>
          <w:pStyle w:val="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11</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101</w:t>
    </w:r>
    <w:r>
      <w:rPr>
        <w:b/>
        <w:bCs/>
        <w:sz w:val="24"/>
        <w:szCs w:val="24"/>
      </w:rPr>
      <w:fldChar w:fldCharType="end"/>
    </w:r>
  </w:p>
  <w:p>
    <w:pPr>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p>
    <w:pPr>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p>
    <w:pPr>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left="420"/>
      <w:jc w:val="right"/>
    </w:pPr>
  </w:p>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840" w:firstLine="360"/>
    </w:pPr>
  </w:p>
  <w:p>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840" w:firstLine="360"/>
    </w:pPr>
  </w:p>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124CE"/>
    <w:multiLevelType w:val="multilevel"/>
    <w:tmpl w:val="1FF124CE"/>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default" w:ascii="Times New Roman" w:hAnsi="Times New Roman" w:eastAsiaTheme="minor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2AF5E21"/>
    <w:multiLevelType w:val="multilevel"/>
    <w:tmpl w:val="22AF5E21"/>
    <w:lvl w:ilvl="0" w:tentative="0">
      <w:start w:val="1"/>
      <w:numFmt w:val="decimal"/>
      <w:lvlText w:val="%1."/>
      <w:lvlJc w:val="left"/>
      <w:pPr>
        <w:ind w:left="1265" w:hanging="420"/>
      </w:pPr>
    </w:lvl>
    <w:lvl w:ilvl="1" w:tentative="0">
      <w:start w:val="1"/>
      <w:numFmt w:val="lowerLetter"/>
      <w:lvlText w:val="%2)"/>
      <w:lvlJc w:val="left"/>
      <w:pPr>
        <w:ind w:left="1685" w:hanging="420"/>
      </w:pPr>
    </w:lvl>
    <w:lvl w:ilvl="2" w:tentative="0">
      <w:start w:val="1"/>
      <w:numFmt w:val="lowerRoman"/>
      <w:lvlText w:val="%3."/>
      <w:lvlJc w:val="right"/>
      <w:pPr>
        <w:ind w:left="2105" w:hanging="420"/>
      </w:pPr>
    </w:lvl>
    <w:lvl w:ilvl="3" w:tentative="0">
      <w:start w:val="1"/>
      <w:numFmt w:val="decimal"/>
      <w:lvlText w:val="%4."/>
      <w:lvlJc w:val="left"/>
      <w:pPr>
        <w:ind w:left="2525" w:hanging="420"/>
      </w:pPr>
    </w:lvl>
    <w:lvl w:ilvl="4" w:tentative="0">
      <w:start w:val="1"/>
      <w:numFmt w:val="lowerLetter"/>
      <w:lvlText w:val="%5)"/>
      <w:lvlJc w:val="left"/>
      <w:pPr>
        <w:ind w:left="2945" w:hanging="420"/>
      </w:pPr>
    </w:lvl>
    <w:lvl w:ilvl="5" w:tentative="0">
      <w:start w:val="1"/>
      <w:numFmt w:val="lowerRoman"/>
      <w:lvlText w:val="%6."/>
      <w:lvlJc w:val="right"/>
      <w:pPr>
        <w:ind w:left="3365" w:hanging="420"/>
      </w:pPr>
    </w:lvl>
    <w:lvl w:ilvl="6" w:tentative="0">
      <w:start w:val="1"/>
      <w:numFmt w:val="decimal"/>
      <w:lvlText w:val="%7."/>
      <w:lvlJc w:val="left"/>
      <w:pPr>
        <w:ind w:left="3785" w:hanging="420"/>
      </w:pPr>
    </w:lvl>
    <w:lvl w:ilvl="7" w:tentative="0">
      <w:start w:val="1"/>
      <w:numFmt w:val="lowerLetter"/>
      <w:lvlText w:val="%8)"/>
      <w:lvlJc w:val="left"/>
      <w:pPr>
        <w:ind w:left="4205" w:hanging="420"/>
      </w:pPr>
    </w:lvl>
    <w:lvl w:ilvl="8" w:tentative="0">
      <w:start w:val="1"/>
      <w:numFmt w:val="lowerRoman"/>
      <w:lvlText w:val="%9."/>
      <w:lvlJc w:val="right"/>
      <w:pPr>
        <w:ind w:left="4625" w:hanging="420"/>
      </w:pPr>
    </w:lvl>
  </w:abstractNum>
  <w:abstractNum w:abstractNumId="2">
    <w:nsid w:val="22D02DC5"/>
    <w:multiLevelType w:val="multilevel"/>
    <w:tmpl w:val="22D02DC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CA66D2E"/>
    <w:multiLevelType w:val="multilevel"/>
    <w:tmpl w:val="3CA66D2E"/>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E41773"/>
    <w:multiLevelType w:val="multilevel"/>
    <w:tmpl w:val="53E41773"/>
    <w:lvl w:ilvl="0" w:tentative="0">
      <w:start w:val="1"/>
      <w:numFmt w:val="decimal"/>
      <w:lvlText w:val="%1"/>
      <w:lvlJc w:val="center"/>
      <w:pPr>
        <w:ind w:left="84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4490982"/>
    <w:multiLevelType w:val="multilevel"/>
    <w:tmpl w:val="6449098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2"/>
  </w:num>
  <w:num w:numId="3">
    <w:abstractNumId w:val="1"/>
  </w:num>
  <w:num w:numId="4">
    <w:abstractNumId w:val="5"/>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mOTQ2NjQ4Mjc0YWMxMjNjYjE0ZWNkYjk5ZGI2NmYifQ=="/>
  </w:docVars>
  <w:rsids>
    <w:rsidRoot w:val="00C279E4"/>
    <w:rsid w:val="00010B26"/>
    <w:rsid w:val="00012BE0"/>
    <w:rsid w:val="00015DF2"/>
    <w:rsid w:val="0002456D"/>
    <w:rsid w:val="00025A63"/>
    <w:rsid w:val="00026ED0"/>
    <w:rsid w:val="00027019"/>
    <w:rsid w:val="00032B51"/>
    <w:rsid w:val="00033C39"/>
    <w:rsid w:val="00041DBA"/>
    <w:rsid w:val="0005137E"/>
    <w:rsid w:val="000604B4"/>
    <w:rsid w:val="0007028D"/>
    <w:rsid w:val="00073FF0"/>
    <w:rsid w:val="00085483"/>
    <w:rsid w:val="000877C0"/>
    <w:rsid w:val="0009526A"/>
    <w:rsid w:val="00095D6B"/>
    <w:rsid w:val="000A3AF1"/>
    <w:rsid w:val="000A4E6E"/>
    <w:rsid w:val="000A6FA8"/>
    <w:rsid w:val="000D3208"/>
    <w:rsid w:val="000F4A3D"/>
    <w:rsid w:val="00105547"/>
    <w:rsid w:val="001230D4"/>
    <w:rsid w:val="001254A7"/>
    <w:rsid w:val="0014085E"/>
    <w:rsid w:val="00141E88"/>
    <w:rsid w:val="0014250D"/>
    <w:rsid w:val="0014304E"/>
    <w:rsid w:val="00151E12"/>
    <w:rsid w:val="00165E3C"/>
    <w:rsid w:val="0017088F"/>
    <w:rsid w:val="001846D2"/>
    <w:rsid w:val="00184E29"/>
    <w:rsid w:val="00195138"/>
    <w:rsid w:val="001B6ADC"/>
    <w:rsid w:val="001D19A3"/>
    <w:rsid w:val="001D7F8C"/>
    <w:rsid w:val="001E1DD7"/>
    <w:rsid w:val="001E4A33"/>
    <w:rsid w:val="001E755C"/>
    <w:rsid w:val="002174D0"/>
    <w:rsid w:val="002205EF"/>
    <w:rsid w:val="0022224F"/>
    <w:rsid w:val="002402CB"/>
    <w:rsid w:val="00241AC1"/>
    <w:rsid w:val="0026764C"/>
    <w:rsid w:val="00271B84"/>
    <w:rsid w:val="00281A55"/>
    <w:rsid w:val="002B31FA"/>
    <w:rsid w:val="002D5AED"/>
    <w:rsid w:val="002D6323"/>
    <w:rsid w:val="002E2C5B"/>
    <w:rsid w:val="002F19E1"/>
    <w:rsid w:val="002F2C69"/>
    <w:rsid w:val="002F3D5E"/>
    <w:rsid w:val="002F5E63"/>
    <w:rsid w:val="00330F20"/>
    <w:rsid w:val="00341901"/>
    <w:rsid w:val="0035026A"/>
    <w:rsid w:val="00351232"/>
    <w:rsid w:val="00373D1B"/>
    <w:rsid w:val="003867F6"/>
    <w:rsid w:val="00390062"/>
    <w:rsid w:val="003959DA"/>
    <w:rsid w:val="003A3D73"/>
    <w:rsid w:val="003D1B20"/>
    <w:rsid w:val="003E44F1"/>
    <w:rsid w:val="003F06EC"/>
    <w:rsid w:val="003F3D40"/>
    <w:rsid w:val="00400683"/>
    <w:rsid w:val="00420CCA"/>
    <w:rsid w:val="004278BD"/>
    <w:rsid w:val="00454BC7"/>
    <w:rsid w:val="004577B4"/>
    <w:rsid w:val="00467C83"/>
    <w:rsid w:val="00470D63"/>
    <w:rsid w:val="00494F5E"/>
    <w:rsid w:val="004A4E7D"/>
    <w:rsid w:val="004B2AB4"/>
    <w:rsid w:val="004C203B"/>
    <w:rsid w:val="004D6376"/>
    <w:rsid w:val="004E3F52"/>
    <w:rsid w:val="004E445D"/>
    <w:rsid w:val="004E790F"/>
    <w:rsid w:val="004F306B"/>
    <w:rsid w:val="00505DBF"/>
    <w:rsid w:val="00530BF7"/>
    <w:rsid w:val="005346FA"/>
    <w:rsid w:val="00535E94"/>
    <w:rsid w:val="005458E3"/>
    <w:rsid w:val="005535DA"/>
    <w:rsid w:val="00556456"/>
    <w:rsid w:val="00557FF5"/>
    <w:rsid w:val="00564683"/>
    <w:rsid w:val="0056614F"/>
    <w:rsid w:val="00575A41"/>
    <w:rsid w:val="00595F0B"/>
    <w:rsid w:val="00596A54"/>
    <w:rsid w:val="005A127E"/>
    <w:rsid w:val="005A1CA6"/>
    <w:rsid w:val="005A514A"/>
    <w:rsid w:val="005B459A"/>
    <w:rsid w:val="005C07A7"/>
    <w:rsid w:val="005D55D0"/>
    <w:rsid w:val="005D670C"/>
    <w:rsid w:val="005E07F9"/>
    <w:rsid w:val="005F0E3E"/>
    <w:rsid w:val="006045B6"/>
    <w:rsid w:val="006066E2"/>
    <w:rsid w:val="00624527"/>
    <w:rsid w:val="0062599C"/>
    <w:rsid w:val="006266F4"/>
    <w:rsid w:val="006272C2"/>
    <w:rsid w:val="00627BA5"/>
    <w:rsid w:val="006414A6"/>
    <w:rsid w:val="00645B08"/>
    <w:rsid w:val="006561E2"/>
    <w:rsid w:val="006615CF"/>
    <w:rsid w:val="0066348F"/>
    <w:rsid w:val="00674524"/>
    <w:rsid w:val="00674A14"/>
    <w:rsid w:val="00682CE6"/>
    <w:rsid w:val="00686D45"/>
    <w:rsid w:val="00691161"/>
    <w:rsid w:val="006941BF"/>
    <w:rsid w:val="006A2289"/>
    <w:rsid w:val="006A24AD"/>
    <w:rsid w:val="006B1123"/>
    <w:rsid w:val="006B1AAA"/>
    <w:rsid w:val="006B6969"/>
    <w:rsid w:val="006C52A1"/>
    <w:rsid w:val="006C75C1"/>
    <w:rsid w:val="006D7829"/>
    <w:rsid w:val="006F52EF"/>
    <w:rsid w:val="006F5665"/>
    <w:rsid w:val="006F7DF7"/>
    <w:rsid w:val="00700418"/>
    <w:rsid w:val="00702ECA"/>
    <w:rsid w:val="00707045"/>
    <w:rsid w:val="00745FF2"/>
    <w:rsid w:val="00750CAC"/>
    <w:rsid w:val="00753C20"/>
    <w:rsid w:val="00757F4D"/>
    <w:rsid w:val="00767D85"/>
    <w:rsid w:val="0077015C"/>
    <w:rsid w:val="00776624"/>
    <w:rsid w:val="00783F81"/>
    <w:rsid w:val="007A3AF4"/>
    <w:rsid w:val="007B0AB6"/>
    <w:rsid w:val="007B1C20"/>
    <w:rsid w:val="007B4704"/>
    <w:rsid w:val="007C62B0"/>
    <w:rsid w:val="007D0CD8"/>
    <w:rsid w:val="007D48B4"/>
    <w:rsid w:val="00810D3A"/>
    <w:rsid w:val="0081209B"/>
    <w:rsid w:val="008203D0"/>
    <w:rsid w:val="008250AA"/>
    <w:rsid w:val="00827EDB"/>
    <w:rsid w:val="0085772B"/>
    <w:rsid w:val="0086540C"/>
    <w:rsid w:val="00883271"/>
    <w:rsid w:val="00893203"/>
    <w:rsid w:val="00894AF2"/>
    <w:rsid w:val="008A5391"/>
    <w:rsid w:val="008A5AF9"/>
    <w:rsid w:val="008A7D9C"/>
    <w:rsid w:val="008B205C"/>
    <w:rsid w:val="008C12B7"/>
    <w:rsid w:val="008C626D"/>
    <w:rsid w:val="008E4978"/>
    <w:rsid w:val="008E74E6"/>
    <w:rsid w:val="008E7515"/>
    <w:rsid w:val="00925D88"/>
    <w:rsid w:val="00930A06"/>
    <w:rsid w:val="00940DCC"/>
    <w:rsid w:val="00966EC4"/>
    <w:rsid w:val="00985303"/>
    <w:rsid w:val="00994FDF"/>
    <w:rsid w:val="009C15C7"/>
    <w:rsid w:val="009C20D8"/>
    <w:rsid w:val="009D22C2"/>
    <w:rsid w:val="00A27C92"/>
    <w:rsid w:val="00A30FF1"/>
    <w:rsid w:val="00A34A1D"/>
    <w:rsid w:val="00A62479"/>
    <w:rsid w:val="00A86572"/>
    <w:rsid w:val="00A942A7"/>
    <w:rsid w:val="00A9722D"/>
    <w:rsid w:val="00AB0617"/>
    <w:rsid w:val="00AB6D19"/>
    <w:rsid w:val="00AE1117"/>
    <w:rsid w:val="00AE190B"/>
    <w:rsid w:val="00AE6E5B"/>
    <w:rsid w:val="00AF6B13"/>
    <w:rsid w:val="00B05DE0"/>
    <w:rsid w:val="00B172A6"/>
    <w:rsid w:val="00B210F8"/>
    <w:rsid w:val="00B2427E"/>
    <w:rsid w:val="00B3445D"/>
    <w:rsid w:val="00B5548A"/>
    <w:rsid w:val="00B57D77"/>
    <w:rsid w:val="00B608A0"/>
    <w:rsid w:val="00B62F59"/>
    <w:rsid w:val="00B6400B"/>
    <w:rsid w:val="00B840AF"/>
    <w:rsid w:val="00B913BA"/>
    <w:rsid w:val="00BC24CD"/>
    <w:rsid w:val="00BD0389"/>
    <w:rsid w:val="00BF17FF"/>
    <w:rsid w:val="00C14DE8"/>
    <w:rsid w:val="00C177E3"/>
    <w:rsid w:val="00C257E0"/>
    <w:rsid w:val="00C279E4"/>
    <w:rsid w:val="00C33C03"/>
    <w:rsid w:val="00C5759B"/>
    <w:rsid w:val="00C74B6C"/>
    <w:rsid w:val="00C76D7E"/>
    <w:rsid w:val="00C76E09"/>
    <w:rsid w:val="00C83E80"/>
    <w:rsid w:val="00C8713B"/>
    <w:rsid w:val="00C93ABD"/>
    <w:rsid w:val="00C94B79"/>
    <w:rsid w:val="00CA5416"/>
    <w:rsid w:val="00CC4FAF"/>
    <w:rsid w:val="00CC54D2"/>
    <w:rsid w:val="00CD1CDF"/>
    <w:rsid w:val="00CD319A"/>
    <w:rsid w:val="00CF2939"/>
    <w:rsid w:val="00D23079"/>
    <w:rsid w:val="00D36B71"/>
    <w:rsid w:val="00D4421B"/>
    <w:rsid w:val="00D646C2"/>
    <w:rsid w:val="00D71FFB"/>
    <w:rsid w:val="00D75D1E"/>
    <w:rsid w:val="00D804AF"/>
    <w:rsid w:val="00D826EE"/>
    <w:rsid w:val="00D865D5"/>
    <w:rsid w:val="00DA49B2"/>
    <w:rsid w:val="00DB00F1"/>
    <w:rsid w:val="00DB1CB5"/>
    <w:rsid w:val="00DB5592"/>
    <w:rsid w:val="00DC66A8"/>
    <w:rsid w:val="00DD1BFB"/>
    <w:rsid w:val="00DE041F"/>
    <w:rsid w:val="00DE29AB"/>
    <w:rsid w:val="00E03F17"/>
    <w:rsid w:val="00E03F7F"/>
    <w:rsid w:val="00E10358"/>
    <w:rsid w:val="00E20931"/>
    <w:rsid w:val="00E3153D"/>
    <w:rsid w:val="00E44512"/>
    <w:rsid w:val="00E50640"/>
    <w:rsid w:val="00E62636"/>
    <w:rsid w:val="00E824AE"/>
    <w:rsid w:val="00E94A6B"/>
    <w:rsid w:val="00E953F2"/>
    <w:rsid w:val="00EB534D"/>
    <w:rsid w:val="00EB63AC"/>
    <w:rsid w:val="00ED14B7"/>
    <w:rsid w:val="00EF18DD"/>
    <w:rsid w:val="00EF451E"/>
    <w:rsid w:val="00F0364F"/>
    <w:rsid w:val="00F06218"/>
    <w:rsid w:val="00F24C0F"/>
    <w:rsid w:val="00F51BBC"/>
    <w:rsid w:val="00F61EB2"/>
    <w:rsid w:val="00F817F4"/>
    <w:rsid w:val="00F856C3"/>
    <w:rsid w:val="00FB7EA8"/>
    <w:rsid w:val="00FC0D1C"/>
    <w:rsid w:val="00FC0ED6"/>
    <w:rsid w:val="00FE10DA"/>
    <w:rsid w:val="00FE2EA1"/>
    <w:rsid w:val="0823250A"/>
    <w:rsid w:val="0CD07A3D"/>
    <w:rsid w:val="0F4D1F61"/>
    <w:rsid w:val="0FDF6BA3"/>
    <w:rsid w:val="12B373BF"/>
    <w:rsid w:val="1930091B"/>
    <w:rsid w:val="226D2D95"/>
    <w:rsid w:val="22AE198E"/>
    <w:rsid w:val="235627F3"/>
    <w:rsid w:val="2638043B"/>
    <w:rsid w:val="28A3715F"/>
    <w:rsid w:val="2D4D124C"/>
    <w:rsid w:val="37700A56"/>
    <w:rsid w:val="3D4E6F73"/>
    <w:rsid w:val="3E6B6443"/>
    <w:rsid w:val="3E6D26C0"/>
    <w:rsid w:val="46B775F7"/>
    <w:rsid w:val="5F566603"/>
    <w:rsid w:val="616943F0"/>
    <w:rsid w:val="668D7DA8"/>
    <w:rsid w:val="74835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0"/>
    <w:semiHidden/>
    <w:unhideWhenUsed/>
    <w:uiPriority w:val="99"/>
    <w:pPr>
      <w:jc w:val="left"/>
    </w:pPr>
  </w:style>
  <w:style w:type="paragraph" w:styleId="6">
    <w:name w:val="toc 3"/>
    <w:basedOn w:val="1"/>
    <w:next w:val="1"/>
    <w:unhideWhenUsed/>
    <w:uiPriority w:val="39"/>
    <w:pPr>
      <w:widowControl/>
      <w:spacing w:after="100" w:line="259" w:lineRule="auto"/>
      <w:ind w:left="440"/>
      <w:jc w:val="left"/>
    </w:pPr>
    <w:rPr>
      <w:rFonts w:cs="Times New Roman"/>
      <w:kern w:val="0"/>
      <w:sz w:val="22"/>
    </w:rPr>
  </w:style>
  <w:style w:type="paragraph" w:styleId="7">
    <w:name w:val="Plain Text"/>
    <w:basedOn w:val="1"/>
    <w:link w:val="28"/>
    <w:qFormat/>
    <w:uiPriority w:val="0"/>
    <w:rPr>
      <w:rFonts w:ascii="宋体" w:hAnsi="Courier New" w:eastAsia="宋体" w:cs="Times New Roman"/>
      <w:szCs w:val="20"/>
    </w:rPr>
  </w:style>
  <w:style w:type="paragraph" w:styleId="8">
    <w:name w:val="Balloon Text"/>
    <w:basedOn w:val="1"/>
    <w:link w:val="26"/>
    <w:semiHidden/>
    <w:unhideWhenUsed/>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uiPriority w:val="39"/>
  </w:style>
  <w:style w:type="paragraph" w:styleId="12">
    <w:name w:val="toc 2"/>
    <w:basedOn w:val="1"/>
    <w:next w:val="1"/>
    <w:unhideWhenUsed/>
    <w:uiPriority w:val="39"/>
    <w:pPr>
      <w:widowControl/>
      <w:spacing w:after="100" w:line="259" w:lineRule="auto"/>
      <w:ind w:left="220"/>
      <w:jc w:val="left"/>
    </w:pPr>
    <w:rPr>
      <w:rFonts w:cs="Times New Roman"/>
      <w:kern w:val="0"/>
      <w:sz w:val="22"/>
    </w:rPr>
  </w:style>
  <w:style w:type="paragraph" w:styleId="13">
    <w:name w:val="annotation subject"/>
    <w:basedOn w:val="5"/>
    <w:next w:val="5"/>
    <w:link w:val="31"/>
    <w:semiHidden/>
    <w:unhideWhenUsed/>
    <w:uiPriority w:val="99"/>
    <w:rPr>
      <w:b/>
      <w:bCs/>
    </w:rPr>
  </w:style>
  <w:style w:type="table" w:styleId="15">
    <w:name w:val="Table Grid"/>
    <w:basedOn w:val="1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semiHidden/>
    <w:unhideWhenUsed/>
    <w:uiPriority w:val="99"/>
  </w:style>
  <w:style w:type="character" w:styleId="18">
    <w:name w:val="Hyperlink"/>
    <w:basedOn w:val="16"/>
    <w:unhideWhenUsed/>
    <w:uiPriority w:val="99"/>
    <w:rPr>
      <w:color w:val="0563C1" w:themeColor="hyperlink"/>
      <w:u w:val="single"/>
      <w14:textFill>
        <w14:solidFill>
          <w14:schemeClr w14:val="hlink"/>
        </w14:solidFill>
      </w14:textFill>
    </w:rPr>
  </w:style>
  <w:style w:type="character" w:styleId="19">
    <w:name w:val="annotation reference"/>
    <w:basedOn w:val="16"/>
    <w:unhideWhenUsed/>
    <w:qFormat/>
    <w:uiPriority w:val="0"/>
    <w:rPr>
      <w:sz w:val="21"/>
      <w:szCs w:val="21"/>
    </w:rPr>
  </w:style>
  <w:style w:type="character" w:customStyle="1" w:styleId="20">
    <w:name w:val="宋体五号下划线"/>
    <w:basedOn w:val="16"/>
    <w:qFormat/>
    <w:uiPriority w:val="1"/>
    <w:rPr>
      <w:rFonts w:eastAsia="宋体"/>
      <w:sz w:val="21"/>
      <w:u w:val="single"/>
    </w:rPr>
  </w:style>
  <w:style w:type="character" w:customStyle="1" w:styleId="21">
    <w:name w:val="页眉 字符"/>
    <w:basedOn w:val="16"/>
    <w:link w:val="10"/>
    <w:qFormat/>
    <w:uiPriority w:val="99"/>
    <w:rPr>
      <w:sz w:val="18"/>
      <w:szCs w:val="18"/>
    </w:rPr>
  </w:style>
  <w:style w:type="character" w:customStyle="1" w:styleId="22">
    <w:name w:val="页脚 字符"/>
    <w:basedOn w:val="16"/>
    <w:link w:val="9"/>
    <w:qFormat/>
    <w:uiPriority w:val="99"/>
    <w:rPr>
      <w:sz w:val="18"/>
      <w:szCs w:val="18"/>
    </w:rPr>
  </w:style>
  <w:style w:type="character" w:customStyle="1" w:styleId="23">
    <w:name w:val="标题 1 字符"/>
    <w:basedOn w:val="16"/>
    <w:link w:val="2"/>
    <w:uiPriority w:val="9"/>
    <w:rPr>
      <w:b/>
      <w:bCs/>
      <w:kern w:val="44"/>
      <w:sz w:val="44"/>
      <w:szCs w:val="44"/>
    </w:rPr>
  </w:style>
  <w:style w:type="character" w:customStyle="1" w:styleId="24">
    <w:name w:val="标题 2 字符"/>
    <w:basedOn w:val="16"/>
    <w:link w:val="3"/>
    <w:qFormat/>
    <w:uiPriority w:val="0"/>
    <w:rPr>
      <w:rFonts w:ascii="Arial" w:hAnsi="Arial" w:eastAsia="黑体" w:cs="Times New Roman"/>
      <w:b/>
      <w:bCs/>
      <w:sz w:val="32"/>
      <w:szCs w:val="32"/>
    </w:rPr>
  </w:style>
  <w:style w:type="character" w:styleId="25">
    <w:name w:val="Placeholder Text"/>
    <w:basedOn w:val="16"/>
    <w:semiHidden/>
    <w:uiPriority w:val="99"/>
    <w:rPr>
      <w:color w:val="808080"/>
    </w:rPr>
  </w:style>
  <w:style w:type="character" w:customStyle="1" w:styleId="26">
    <w:name w:val="批注框文本 字符"/>
    <w:basedOn w:val="16"/>
    <w:link w:val="8"/>
    <w:semiHidden/>
    <w:uiPriority w:val="99"/>
    <w:rPr>
      <w:sz w:val="18"/>
      <w:szCs w:val="18"/>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
    <w:name w:val="纯文本 字符"/>
    <w:basedOn w:val="16"/>
    <w:link w:val="7"/>
    <w:qFormat/>
    <w:uiPriority w:val="0"/>
    <w:rPr>
      <w:rFonts w:ascii="宋体" w:hAnsi="Courier New" w:eastAsia="宋体" w:cs="Times New Roman"/>
      <w:szCs w:val="20"/>
    </w:rPr>
  </w:style>
  <w:style w:type="character" w:customStyle="1" w:styleId="29">
    <w:name w:val="纯文本 Char"/>
    <w:basedOn w:val="16"/>
    <w:semiHidden/>
    <w:uiPriority w:val="99"/>
    <w:rPr>
      <w:rFonts w:ascii="宋体" w:hAnsi="Courier New" w:eastAsia="宋体" w:cs="Courier New"/>
      <w:szCs w:val="21"/>
    </w:rPr>
  </w:style>
  <w:style w:type="character" w:customStyle="1" w:styleId="30">
    <w:name w:val="批注文字 字符"/>
    <w:basedOn w:val="16"/>
    <w:link w:val="5"/>
    <w:semiHidden/>
    <w:uiPriority w:val="99"/>
  </w:style>
  <w:style w:type="character" w:customStyle="1" w:styleId="31">
    <w:name w:val="批注主题 字符"/>
    <w:basedOn w:val="30"/>
    <w:link w:val="13"/>
    <w:semiHidden/>
    <w:uiPriority w:val="99"/>
    <w:rPr>
      <w:b/>
      <w:bCs/>
    </w:rPr>
  </w:style>
  <w:style w:type="paragraph" w:styleId="32">
    <w:name w:val="List Paragraph"/>
    <w:basedOn w:val="1"/>
    <w:qFormat/>
    <w:uiPriority w:val="34"/>
    <w:pPr>
      <w:ind w:firstLine="420" w:firstLineChars="200"/>
    </w:pPr>
  </w:style>
  <w:style w:type="table" w:customStyle="1" w:styleId="33">
    <w:name w:val="网格型1"/>
    <w:basedOn w:val="1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2"/>
    <w:basedOn w:val="1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3"/>
    <w:basedOn w:val="1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4"/>
    <w:basedOn w:val="1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5"/>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6"/>
    <w:basedOn w:val="1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7"/>
    <w:basedOn w:val="1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样式1"/>
    <w:basedOn w:val="16"/>
    <w:uiPriority w:val="1"/>
    <w:rPr>
      <w:rFonts w:eastAsia="宋体"/>
      <w:sz w:val="21"/>
    </w:rPr>
  </w:style>
  <w:style w:type="character" w:customStyle="1" w:styleId="42">
    <w:name w:val="标题 3 字符"/>
    <w:basedOn w:val="16"/>
    <w:link w:val="4"/>
    <w:semiHidden/>
    <w:uiPriority w:val="9"/>
    <w:rPr>
      <w:b/>
      <w:bCs/>
      <w:sz w:val="32"/>
      <w:szCs w:val="32"/>
    </w:rPr>
  </w:style>
  <w:style w:type="table" w:customStyle="1" w:styleId="43">
    <w:name w:val="网格型71"/>
    <w:basedOn w:val="1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2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iPriority w:val="99"/>
    <w:rPr>
      <w:rFonts w:asciiTheme="minorHAnsi" w:hAnsiTheme="minorHAnsi" w:eastAsiaTheme="minorEastAsia" w:cstheme="minorBidi"/>
      <w:kern w:val="2"/>
      <w:sz w:val="21"/>
      <w:szCs w:val="22"/>
      <w:lang w:val="en-US" w:eastAsia="zh-CN" w:bidi="ar-SA"/>
    </w:rPr>
  </w:style>
  <w:style w:type="table" w:customStyle="1" w:styleId="46">
    <w:name w:val="网格型8"/>
    <w:basedOn w:val="1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60977237EFC430880E3A8173828F9B3"/>
        <w:style w:val=""/>
        <w:category>
          <w:name w:val="常规"/>
          <w:gallery w:val="placeholder"/>
        </w:category>
        <w:types>
          <w:type w:val="bbPlcHdr"/>
        </w:types>
        <w:behaviors>
          <w:behavior w:val="content"/>
        </w:behaviors>
        <w:description w:val=""/>
        <w:guid w:val="{4DC0A6DD-EADB-4333-A72C-E4FE75E43053}"/>
      </w:docPartPr>
      <w:docPartBody>
        <w:p>
          <w:pPr>
            <w:pStyle w:val="5"/>
          </w:pPr>
          <w:r>
            <w:rPr>
              <w:rStyle w:val="4"/>
            </w:rPr>
            <w:t>单击或点击此处输入文字。</w:t>
          </w:r>
        </w:p>
      </w:docPartBody>
    </w:docPart>
    <w:docPart>
      <w:docPartPr>
        <w:name w:val="E4CA1962D4D846E291B515D0B8C0B857"/>
        <w:style w:val=""/>
        <w:category>
          <w:name w:val="常规"/>
          <w:gallery w:val="placeholder"/>
        </w:category>
        <w:types>
          <w:type w:val="bbPlcHdr"/>
        </w:types>
        <w:behaviors>
          <w:behavior w:val="content"/>
        </w:behaviors>
        <w:description w:val=""/>
        <w:guid w:val="{42D68AFE-DB2F-42BA-A36B-D20263DDEC42}"/>
      </w:docPartPr>
      <w:docPartBody>
        <w:p>
          <w:pPr>
            <w:pStyle w:val="6"/>
          </w:pPr>
          <w:r>
            <w:rPr>
              <w:rStyle w:val="4"/>
            </w:rPr>
            <w:t>单击或点击此处输入文字。</w:t>
          </w:r>
        </w:p>
      </w:docPartBody>
    </w:docPart>
    <w:docPart>
      <w:docPartPr>
        <w:name w:val="0BB2F8C19A694B68BBDBF950377003AD"/>
        <w:style w:val=""/>
        <w:category>
          <w:name w:val="常规"/>
          <w:gallery w:val="placeholder"/>
        </w:category>
        <w:types>
          <w:type w:val="bbPlcHdr"/>
        </w:types>
        <w:behaviors>
          <w:behavior w:val="content"/>
        </w:behaviors>
        <w:description w:val=""/>
        <w:guid w:val="{CE35AFA1-40C4-42F8-84ED-597C804BF392}"/>
      </w:docPartPr>
      <w:docPartBody>
        <w:p>
          <w:pPr>
            <w:pStyle w:val="7"/>
          </w:pPr>
          <w:r>
            <w:rPr>
              <w:rStyle w:val="4"/>
            </w:rPr>
            <w:t>单击或点击此处输入文字。</w:t>
          </w:r>
        </w:p>
      </w:docPartBody>
    </w:docPart>
    <w:docPart>
      <w:docPartPr>
        <w:name w:val="5A3D5A398F6F409FB714807B5E1F0AE4"/>
        <w:style w:val=""/>
        <w:category>
          <w:name w:val="常规"/>
          <w:gallery w:val="placeholder"/>
        </w:category>
        <w:types>
          <w:type w:val="bbPlcHdr"/>
        </w:types>
        <w:behaviors>
          <w:behavior w:val="content"/>
        </w:behaviors>
        <w:description w:val=""/>
        <w:guid w:val="{6519FBF5-D8CB-480F-A338-1F54056CC3FC}"/>
      </w:docPartPr>
      <w:docPartBody>
        <w:p>
          <w:pPr>
            <w:pStyle w:val="8"/>
          </w:pPr>
          <w:r>
            <w:rPr>
              <w:rStyle w:val="4"/>
            </w:rPr>
            <w:t>单击或点击此处输入文字。</w:t>
          </w:r>
        </w:p>
      </w:docPartBody>
    </w:docPart>
    <w:docPart>
      <w:docPartPr>
        <w:name w:val="309BD572530C470B8530953FA1F244B9"/>
        <w:style w:val=""/>
        <w:category>
          <w:name w:val="常规"/>
          <w:gallery w:val="placeholder"/>
        </w:category>
        <w:types>
          <w:type w:val="bbPlcHdr"/>
        </w:types>
        <w:behaviors>
          <w:behavior w:val="content"/>
        </w:behaviors>
        <w:description w:val=""/>
        <w:guid w:val="{F2602A8B-2108-4455-B140-0B577F956C20}"/>
      </w:docPartPr>
      <w:docPartBody>
        <w:p>
          <w:pPr>
            <w:pStyle w:val="9"/>
          </w:pPr>
          <w:r>
            <w:rPr>
              <w:rStyle w:val="4"/>
            </w:rPr>
            <w:t>单击或点击此处输入文字。</w:t>
          </w:r>
        </w:p>
      </w:docPartBody>
    </w:docPart>
    <w:docPart>
      <w:docPartPr>
        <w:name w:val="DE43E2DC523F4DAD8D185B8F56F5E7E1"/>
        <w:style w:val=""/>
        <w:category>
          <w:name w:val="常规"/>
          <w:gallery w:val="placeholder"/>
        </w:category>
        <w:types>
          <w:type w:val="bbPlcHdr"/>
        </w:types>
        <w:behaviors>
          <w:behavior w:val="content"/>
        </w:behaviors>
        <w:description w:val=""/>
        <w:guid w:val="{FB535571-464A-425B-AD74-81A24AE9E6A5}"/>
      </w:docPartPr>
      <w:docPartBody>
        <w:p>
          <w:pPr>
            <w:pStyle w:val="11"/>
          </w:pPr>
          <w:r>
            <w:rPr>
              <w:rStyle w:val="4"/>
            </w:rPr>
            <w:t>单击或点击此处输入文字。</w:t>
          </w:r>
        </w:p>
      </w:docPartBody>
    </w:docPart>
    <w:docPart>
      <w:docPartPr>
        <w:name w:val="CCAC6151CDC54E2882C8A28CF40471F2"/>
        <w:style w:val=""/>
        <w:category>
          <w:name w:val="常规"/>
          <w:gallery w:val="placeholder"/>
        </w:category>
        <w:types>
          <w:type w:val="bbPlcHdr"/>
        </w:types>
        <w:behaviors>
          <w:behavior w:val="content"/>
        </w:behaviors>
        <w:description w:val=""/>
        <w:guid w:val="{57E7A4E6-E28C-4EB4-9A98-B78A8E7D9B48}"/>
      </w:docPartPr>
      <w:docPartBody>
        <w:p>
          <w:pPr>
            <w:pStyle w:val="12"/>
          </w:pPr>
          <w:r>
            <w:rPr>
              <w:rStyle w:val="4"/>
            </w:rPr>
            <w:t>单击或点击此处输入文字。</w:t>
          </w:r>
        </w:p>
      </w:docPartBody>
    </w:docPart>
    <w:docPart>
      <w:docPartPr>
        <w:name w:val="85A0B029137F4304B253EF250318B72E"/>
        <w:style w:val=""/>
        <w:category>
          <w:name w:val="常规"/>
          <w:gallery w:val="placeholder"/>
        </w:category>
        <w:types>
          <w:type w:val="bbPlcHdr"/>
        </w:types>
        <w:behaviors>
          <w:behavior w:val="content"/>
        </w:behaviors>
        <w:description w:val=""/>
        <w:guid w:val="{82A3E4CD-A2D1-4E40-940C-5BF160C19990}"/>
      </w:docPartPr>
      <w:docPartBody>
        <w:p>
          <w:pPr>
            <w:pStyle w:val="13"/>
          </w:pPr>
          <w:r>
            <w:rPr>
              <w:rStyle w:val="4"/>
            </w:rPr>
            <w:t>单击或点击此处输入文字。</w:t>
          </w:r>
        </w:p>
      </w:docPartBody>
    </w:docPart>
    <w:docPart>
      <w:docPartPr>
        <w:name w:val="00D0556E766A4C19961418CEA4378C22"/>
        <w:style w:val=""/>
        <w:category>
          <w:name w:val="常规"/>
          <w:gallery w:val="placeholder"/>
        </w:category>
        <w:types>
          <w:type w:val="bbPlcHdr"/>
        </w:types>
        <w:behaviors>
          <w:behavior w:val="content"/>
        </w:behaviors>
        <w:description w:val=""/>
        <w:guid w:val="{4FBBF473-2790-4D8C-A6B0-13183C46EE16}"/>
      </w:docPartPr>
      <w:docPartBody>
        <w:p>
          <w:pPr>
            <w:pStyle w:val="14"/>
          </w:pPr>
          <w:r>
            <w:rPr>
              <w:rStyle w:val="4"/>
            </w:rPr>
            <w:t>单击或点击此处输入文字。</w:t>
          </w:r>
        </w:p>
      </w:docPartBody>
    </w:docPart>
    <w:docPart>
      <w:docPartPr>
        <w:name w:val="E11FCE4170C443DF869F9C2B0BF62FBA"/>
        <w:style w:val=""/>
        <w:category>
          <w:name w:val="常规"/>
          <w:gallery w:val="placeholder"/>
        </w:category>
        <w:types>
          <w:type w:val="bbPlcHdr"/>
        </w:types>
        <w:behaviors>
          <w:behavior w:val="content"/>
        </w:behaviors>
        <w:description w:val=""/>
        <w:guid w:val="{F3728C0B-707F-46FB-9A26-675A474C0C32}"/>
      </w:docPartPr>
      <w:docPartBody>
        <w:p>
          <w:pPr>
            <w:pStyle w:val="15"/>
          </w:pPr>
          <w:r>
            <w:rPr>
              <w:rStyle w:val="4"/>
            </w:rPr>
            <w:t>单击或点击此处输入文字。</w:t>
          </w:r>
        </w:p>
      </w:docPartBody>
    </w:docPart>
    <w:docPart>
      <w:docPartPr>
        <w:name w:val="E068F70E0886461F90CBA22618ACCC01"/>
        <w:style w:val=""/>
        <w:category>
          <w:name w:val="常规"/>
          <w:gallery w:val="placeholder"/>
        </w:category>
        <w:types>
          <w:type w:val="bbPlcHdr"/>
        </w:types>
        <w:behaviors>
          <w:behavior w:val="content"/>
        </w:behaviors>
        <w:description w:val=""/>
        <w:guid w:val="{AA06BAD1-63E2-468A-8094-EF7DAC9F3527}"/>
      </w:docPartPr>
      <w:docPartBody>
        <w:p>
          <w:pPr>
            <w:pStyle w:val="16"/>
          </w:pPr>
          <w:r>
            <w:rPr>
              <w:rStyle w:val="4"/>
            </w:rPr>
            <w:t>单击或点击此处输入文字。</w:t>
          </w:r>
        </w:p>
      </w:docPartBody>
    </w:docPart>
    <w:docPart>
      <w:docPartPr>
        <w:name w:val="9A90C02EA1484A1694AD31786AE2FEE3"/>
        <w:style w:val=""/>
        <w:category>
          <w:name w:val="常规"/>
          <w:gallery w:val="placeholder"/>
        </w:category>
        <w:types>
          <w:type w:val="bbPlcHdr"/>
        </w:types>
        <w:behaviors>
          <w:behavior w:val="content"/>
        </w:behaviors>
        <w:description w:val=""/>
        <w:guid w:val="{303CC744-62D6-4904-A231-4591F8F04AA1}"/>
      </w:docPartPr>
      <w:docPartBody>
        <w:p>
          <w:pPr>
            <w:pStyle w:val="17"/>
          </w:pPr>
          <w:r>
            <w:rPr>
              <w:rStyle w:val="4"/>
            </w:rPr>
            <w:t>单击或点击此处输入文字。</w:t>
          </w:r>
        </w:p>
      </w:docPartBody>
    </w:docPart>
    <w:docPart>
      <w:docPartPr>
        <w:name w:val="AB15341593ED4ADA90C2DAC5BA2F2275"/>
        <w:style w:val=""/>
        <w:category>
          <w:name w:val="常规"/>
          <w:gallery w:val="placeholder"/>
        </w:category>
        <w:types>
          <w:type w:val="bbPlcHdr"/>
        </w:types>
        <w:behaviors>
          <w:behavior w:val="content"/>
        </w:behaviors>
        <w:description w:val=""/>
        <w:guid w:val="{63B00BC8-16EF-4556-AA75-0AC8F70AC69F}"/>
      </w:docPartPr>
      <w:docPartBody>
        <w:p>
          <w:pPr>
            <w:pStyle w:val="18"/>
          </w:pPr>
          <w:r>
            <w:rPr>
              <w:rStyle w:val="4"/>
            </w:rPr>
            <w:t>单击或点击此处输入文字。</w:t>
          </w:r>
        </w:p>
      </w:docPartBody>
    </w:docPart>
    <w:docPart>
      <w:docPartPr>
        <w:name w:val="D87BAC51FBC74DC89F70C6303A169A68"/>
        <w:style w:val=""/>
        <w:category>
          <w:name w:val="常规"/>
          <w:gallery w:val="placeholder"/>
        </w:category>
        <w:types>
          <w:type w:val="bbPlcHdr"/>
        </w:types>
        <w:behaviors>
          <w:behavior w:val="content"/>
        </w:behaviors>
        <w:description w:val=""/>
        <w:guid w:val="{D78A24ED-2712-4975-9466-04D40C3815E8}"/>
      </w:docPartPr>
      <w:docPartBody>
        <w:p>
          <w:pPr>
            <w:pStyle w:val="19"/>
          </w:pPr>
          <w:r>
            <w:rPr>
              <w:rStyle w:val="4"/>
            </w:rPr>
            <w:t>单击或点击此处输入文字。</w:t>
          </w:r>
        </w:p>
      </w:docPartBody>
    </w:docPart>
    <w:docPart>
      <w:docPartPr>
        <w:name w:val="87AD13120A9947A5B1F5113E4ED23155"/>
        <w:style w:val=""/>
        <w:category>
          <w:name w:val="常规"/>
          <w:gallery w:val="placeholder"/>
        </w:category>
        <w:types>
          <w:type w:val="bbPlcHdr"/>
        </w:types>
        <w:behaviors>
          <w:behavior w:val="content"/>
        </w:behaviors>
        <w:description w:val=""/>
        <w:guid w:val="{9662BAE0-59F4-40E9-AFB7-547409B1CFF0}"/>
      </w:docPartPr>
      <w:docPartBody>
        <w:p>
          <w:pPr>
            <w:pStyle w:val="20"/>
          </w:pPr>
          <w:r>
            <w:rPr>
              <w:rStyle w:val="4"/>
            </w:rPr>
            <w:t>单击或点击此处输入文字。</w:t>
          </w:r>
        </w:p>
      </w:docPartBody>
    </w:docPart>
    <w:docPart>
      <w:docPartPr>
        <w:name w:val="A7C0456DD0EB4A36A3834A0A1D75E378"/>
        <w:style w:val=""/>
        <w:category>
          <w:name w:val="常规"/>
          <w:gallery w:val="placeholder"/>
        </w:category>
        <w:types>
          <w:type w:val="bbPlcHdr"/>
        </w:types>
        <w:behaviors>
          <w:behavior w:val="content"/>
        </w:behaviors>
        <w:description w:val=""/>
        <w:guid w:val="{84BC0ED1-DDF5-46BD-8463-D0B9EEFC95D9}"/>
      </w:docPartPr>
      <w:docPartBody>
        <w:p>
          <w:pPr>
            <w:pStyle w:val="21"/>
          </w:pPr>
          <w:r>
            <w:rPr>
              <w:rStyle w:val="4"/>
            </w:rPr>
            <w:t>单击或点击此处输入文字。</w:t>
          </w:r>
        </w:p>
      </w:docPartBody>
    </w:docPart>
    <w:docPart>
      <w:docPartPr>
        <w:name w:val="3AA40B16AD864E73A5EC7A5B6D8D6214"/>
        <w:style w:val=""/>
        <w:category>
          <w:name w:val="常规"/>
          <w:gallery w:val="placeholder"/>
        </w:category>
        <w:types>
          <w:type w:val="bbPlcHdr"/>
        </w:types>
        <w:behaviors>
          <w:behavior w:val="content"/>
        </w:behaviors>
        <w:description w:val=""/>
        <w:guid w:val="{6FF59A58-118D-4B3B-A906-69842478422B}"/>
      </w:docPartPr>
      <w:docPartBody>
        <w:p>
          <w:pPr>
            <w:pStyle w:val="22"/>
          </w:pPr>
          <w:r>
            <w:rPr>
              <w:rStyle w:val="4"/>
            </w:rPr>
            <w:t>单击或点击此处输入文字。</w:t>
          </w:r>
        </w:p>
      </w:docPartBody>
    </w:docPart>
    <w:docPart>
      <w:docPartPr>
        <w:name w:val="E66665B7E22F46358D1F47E1FF7C35DB"/>
        <w:style w:val=""/>
        <w:category>
          <w:name w:val="常规"/>
          <w:gallery w:val="placeholder"/>
        </w:category>
        <w:types>
          <w:type w:val="bbPlcHdr"/>
        </w:types>
        <w:behaviors>
          <w:behavior w:val="content"/>
        </w:behaviors>
        <w:description w:val=""/>
        <w:guid w:val="{915EB604-BF42-48FA-AEE8-BBA4D610C3A3}"/>
      </w:docPartPr>
      <w:docPartBody>
        <w:p>
          <w:pPr>
            <w:pStyle w:val="23"/>
          </w:pPr>
          <w:r>
            <w:rPr>
              <w:rStyle w:val="4"/>
            </w:rPr>
            <w:t>单击或点击此处输入文字。</w:t>
          </w:r>
        </w:p>
      </w:docPartBody>
    </w:docPart>
    <w:docPart>
      <w:docPartPr>
        <w:name w:val="AD54E1C06FB74E4B94DB8710AE94A1EE"/>
        <w:style w:val=""/>
        <w:category>
          <w:name w:val="常规"/>
          <w:gallery w:val="placeholder"/>
        </w:category>
        <w:types>
          <w:type w:val="bbPlcHdr"/>
        </w:types>
        <w:behaviors>
          <w:behavior w:val="content"/>
        </w:behaviors>
        <w:description w:val=""/>
        <w:guid w:val="{A7F22EA6-A70C-432C-99C1-DF11BFB52D4A}"/>
      </w:docPartPr>
      <w:docPartBody>
        <w:p>
          <w:pPr>
            <w:pStyle w:val="24"/>
          </w:pPr>
          <w:r>
            <w:rPr>
              <w:rStyle w:val="4"/>
            </w:rPr>
            <w:t>单击或点击此处输入文字。</w:t>
          </w:r>
        </w:p>
      </w:docPartBody>
    </w:docPart>
    <w:docPart>
      <w:docPartPr>
        <w:name w:val="FD491392657D439F9CEE2510BE42E1C8"/>
        <w:style w:val=""/>
        <w:category>
          <w:name w:val="常规"/>
          <w:gallery w:val="placeholder"/>
        </w:category>
        <w:types>
          <w:type w:val="bbPlcHdr"/>
        </w:types>
        <w:behaviors>
          <w:behavior w:val="content"/>
        </w:behaviors>
        <w:description w:val=""/>
        <w:guid w:val="{69C43FEF-74D5-45E7-A4C0-AE5B39A90C32}"/>
      </w:docPartPr>
      <w:docPartBody>
        <w:p>
          <w:pPr>
            <w:pStyle w:val="25"/>
          </w:pPr>
          <w:r>
            <w:rPr>
              <w:rStyle w:val="4"/>
            </w:rPr>
            <w:t>单击或点击此处输入文字。</w:t>
          </w:r>
        </w:p>
      </w:docPartBody>
    </w:docPart>
    <w:docPart>
      <w:docPartPr>
        <w:name w:val="511B20B70EAB4F36B5EAA442D9D5858D"/>
        <w:style w:val=""/>
        <w:category>
          <w:name w:val="常规"/>
          <w:gallery w:val="placeholder"/>
        </w:category>
        <w:types>
          <w:type w:val="bbPlcHdr"/>
        </w:types>
        <w:behaviors>
          <w:behavior w:val="content"/>
        </w:behaviors>
        <w:description w:val=""/>
        <w:guid w:val="{2C0C20C1-A6D9-43F5-AB55-6D7C960B4AA2}"/>
      </w:docPartPr>
      <w:docPartBody>
        <w:p>
          <w:pPr>
            <w:pStyle w:val="26"/>
          </w:pPr>
          <w:r>
            <w:rPr>
              <w:rStyle w:val="4"/>
            </w:rPr>
            <w:t>单击或点击此处输入文字。</w:t>
          </w:r>
        </w:p>
      </w:docPartBody>
    </w:docPart>
    <w:docPart>
      <w:docPartPr>
        <w:name w:val="B52F1C91DC6C4581B6B385B55708C623"/>
        <w:style w:val=""/>
        <w:category>
          <w:name w:val="常规"/>
          <w:gallery w:val="placeholder"/>
        </w:category>
        <w:types>
          <w:type w:val="bbPlcHdr"/>
        </w:types>
        <w:behaviors>
          <w:behavior w:val="content"/>
        </w:behaviors>
        <w:description w:val=""/>
        <w:guid w:val="{A5CA7041-FC53-4D55-95D6-73CFC5FB2143}"/>
      </w:docPartPr>
      <w:docPartBody>
        <w:p>
          <w:pPr>
            <w:pStyle w:val="27"/>
          </w:pPr>
          <w:r>
            <w:rPr>
              <w:rStyle w:val="4"/>
            </w:rPr>
            <w:t>单击或点击此处输入文字。</w:t>
          </w:r>
        </w:p>
      </w:docPartBody>
    </w:docPart>
    <w:docPart>
      <w:docPartPr>
        <w:name w:val="A65B5358D23F4E8CB78982EAC3537877"/>
        <w:style w:val=""/>
        <w:category>
          <w:name w:val="常规"/>
          <w:gallery w:val="placeholder"/>
        </w:category>
        <w:types>
          <w:type w:val="bbPlcHdr"/>
        </w:types>
        <w:behaviors>
          <w:behavior w:val="content"/>
        </w:behaviors>
        <w:description w:val=""/>
        <w:guid w:val="{6955E215-13B0-4A71-AE0D-B144EA330854}"/>
      </w:docPartPr>
      <w:docPartBody>
        <w:p>
          <w:pPr>
            <w:pStyle w:val="28"/>
          </w:pPr>
          <w:r>
            <w:rPr>
              <w:rStyle w:val="4"/>
            </w:rPr>
            <w:t>单击或点击此处输入文字。</w:t>
          </w:r>
        </w:p>
      </w:docPartBody>
    </w:docPart>
    <w:docPart>
      <w:docPartPr>
        <w:name w:val="DCDB8DB3CA0143928D1913F40C0B7CC9"/>
        <w:style w:val=""/>
        <w:category>
          <w:name w:val="常规"/>
          <w:gallery w:val="placeholder"/>
        </w:category>
        <w:types>
          <w:type w:val="bbPlcHdr"/>
        </w:types>
        <w:behaviors>
          <w:behavior w:val="content"/>
        </w:behaviors>
        <w:description w:val=""/>
        <w:guid w:val="{7FF592D4-86CD-4C0F-B40E-308CA462F660}"/>
      </w:docPartPr>
      <w:docPartBody>
        <w:p>
          <w:pPr>
            <w:pStyle w:val="29"/>
          </w:pPr>
          <w:r>
            <w:rPr>
              <w:rStyle w:val="4"/>
            </w:rPr>
            <w:t>单击或点击此处输入文字。</w:t>
          </w:r>
        </w:p>
      </w:docPartBody>
    </w:docPart>
    <w:docPart>
      <w:docPartPr>
        <w:name w:val="F5945FCC23344C8687E2B945590733BC"/>
        <w:style w:val=""/>
        <w:category>
          <w:name w:val="常规"/>
          <w:gallery w:val="placeholder"/>
        </w:category>
        <w:types>
          <w:type w:val="bbPlcHdr"/>
        </w:types>
        <w:behaviors>
          <w:behavior w:val="content"/>
        </w:behaviors>
        <w:description w:val=""/>
        <w:guid w:val="{5D301E17-EF91-4E76-981B-41F5BE468D79}"/>
      </w:docPartPr>
      <w:docPartBody>
        <w:p>
          <w:pPr>
            <w:pStyle w:val="30"/>
          </w:pPr>
          <w:r>
            <w:rPr>
              <w:rStyle w:val="4"/>
            </w:rPr>
            <w:t>单击或点击此处输入文字。</w:t>
          </w:r>
        </w:p>
      </w:docPartBody>
    </w:docPart>
    <w:docPart>
      <w:docPartPr>
        <w:name w:val="66D46BF5645644F5853BE806CDBAB614"/>
        <w:style w:val=""/>
        <w:category>
          <w:name w:val="常规"/>
          <w:gallery w:val="placeholder"/>
        </w:category>
        <w:types>
          <w:type w:val="bbPlcHdr"/>
        </w:types>
        <w:behaviors>
          <w:behavior w:val="content"/>
        </w:behaviors>
        <w:description w:val=""/>
        <w:guid w:val="{A8EFF5FB-6BAF-4315-A71E-4BBC2F084106}"/>
      </w:docPartPr>
      <w:docPartBody>
        <w:p>
          <w:pPr>
            <w:pStyle w:val="39"/>
          </w:pPr>
          <w:r>
            <w:rPr>
              <w:rStyle w:val="4"/>
            </w:rPr>
            <w:t>单击或点击此处输入文字。</w:t>
          </w:r>
        </w:p>
      </w:docPartBody>
    </w:docPart>
    <w:docPart>
      <w:docPartPr>
        <w:name w:val="075BBEA5FFB645AC86AE439FDB6C5C73"/>
        <w:style w:val=""/>
        <w:category>
          <w:name w:val="常规"/>
          <w:gallery w:val="placeholder"/>
        </w:category>
        <w:types>
          <w:type w:val="bbPlcHdr"/>
        </w:types>
        <w:behaviors>
          <w:behavior w:val="content"/>
        </w:behaviors>
        <w:description w:val=""/>
        <w:guid w:val="{D0BFE640-660E-4432-ABAC-93D48D901BC6}"/>
      </w:docPartPr>
      <w:docPartBody>
        <w:p>
          <w:pPr>
            <w:pStyle w:val="40"/>
          </w:pPr>
          <w:r>
            <w:rPr>
              <w:rStyle w:val="4"/>
            </w:rPr>
            <w:t>单击或点击此处输入文字。</w:t>
          </w:r>
        </w:p>
      </w:docPartBody>
    </w:docPart>
    <w:docPart>
      <w:docPartPr>
        <w:name w:val="CE3DF25A1B194F3C90AA3F5F3D0EE3EF"/>
        <w:style w:val=""/>
        <w:category>
          <w:name w:val="常规"/>
          <w:gallery w:val="placeholder"/>
        </w:category>
        <w:types>
          <w:type w:val="bbPlcHdr"/>
        </w:types>
        <w:behaviors>
          <w:behavior w:val="content"/>
        </w:behaviors>
        <w:description w:val=""/>
        <w:guid w:val="{D661888A-D878-4B22-A2D4-6687B86B0747}"/>
      </w:docPartPr>
      <w:docPartBody>
        <w:p>
          <w:pPr>
            <w:pStyle w:val="41"/>
          </w:pPr>
          <w:r>
            <w:rPr>
              <w:rStyle w:val="4"/>
            </w:rPr>
            <w:t>单击或点击此处输入文字。</w:t>
          </w:r>
        </w:p>
      </w:docPartBody>
    </w:docPart>
    <w:docPart>
      <w:docPartPr>
        <w:name w:val="19F07FE4FE9948098B85F66FA79D912B"/>
        <w:style w:val=""/>
        <w:category>
          <w:name w:val="常规"/>
          <w:gallery w:val="placeholder"/>
        </w:category>
        <w:types>
          <w:type w:val="bbPlcHdr"/>
        </w:types>
        <w:behaviors>
          <w:behavior w:val="content"/>
        </w:behaviors>
        <w:description w:val=""/>
        <w:guid w:val="{28176A82-FA62-4502-9D6C-5689FCB5E337}"/>
      </w:docPartPr>
      <w:docPartBody>
        <w:p>
          <w:pPr>
            <w:pStyle w:val="42"/>
          </w:pPr>
          <w:r>
            <w:rPr>
              <w:rStyle w:val="4"/>
            </w:rPr>
            <w:t>单击或点击此处输入文字。</w:t>
          </w:r>
        </w:p>
      </w:docPartBody>
    </w:docPart>
    <w:docPart>
      <w:docPartPr>
        <w:name w:val="1D621DA28D9543E08D617B17DF91FADE"/>
        <w:style w:val=""/>
        <w:category>
          <w:name w:val="常规"/>
          <w:gallery w:val="placeholder"/>
        </w:category>
        <w:types>
          <w:type w:val="bbPlcHdr"/>
        </w:types>
        <w:behaviors>
          <w:behavior w:val="content"/>
        </w:behaviors>
        <w:description w:val=""/>
        <w:guid w:val="{8E4FF817-A427-4C6B-87EC-AFB19EE2E82C}"/>
      </w:docPartPr>
      <w:docPartBody>
        <w:p>
          <w:pPr>
            <w:pStyle w:val="43"/>
          </w:pPr>
          <w:r>
            <w:rPr>
              <w:rStyle w:val="4"/>
            </w:rPr>
            <w:t>单击或点击此处输入文字。</w:t>
          </w:r>
        </w:p>
      </w:docPartBody>
    </w:docPart>
    <w:docPart>
      <w:docPartPr>
        <w:name w:val="DA6FD6C8DE62488CA6B61B2DDFC0927C"/>
        <w:style w:val=""/>
        <w:category>
          <w:name w:val="常规"/>
          <w:gallery w:val="placeholder"/>
        </w:category>
        <w:types>
          <w:type w:val="bbPlcHdr"/>
        </w:types>
        <w:behaviors>
          <w:behavior w:val="content"/>
        </w:behaviors>
        <w:description w:val=""/>
        <w:guid w:val="{4A28F7DD-48F9-415D-B7EA-A10D77778866}"/>
      </w:docPartPr>
      <w:docPartBody>
        <w:p>
          <w:pPr>
            <w:pStyle w:val="44"/>
          </w:pPr>
          <w:r>
            <w:rPr>
              <w:rStyle w:val="4"/>
            </w:rPr>
            <w:t>单击或点击此处输入文字。</w:t>
          </w:r>
        </w:p>
      </w:docPartBody>
    </w:docPart>
    <w:docPart>
      <w:docPartPr>
        <w:name w:val="B99B79A5002F4A26814178B80BECCC1E"/>
        <w:style w:val=""/>
        <w:category>
          <w:name w:val="常规"/>
          <w:gallery w:val="placeholder"/>
        </w:category>
        <w:types>
          <w:type w:val="bbPlcHdr"/>
        </w:types>
        <w:behaviors>
          <w:behavior w:val="content"/>
        </w:behaviors>
        <w:description w:val=""/>
        <w:guid w:val="{C0B30D62-8508-4034-8C2D-ECED1CDAA0CF}"/>
      </w:docPartPr>
      <w:docPartBody>
        <w:p>
          <w:pPr>
            <w:pStyle w:val="45"/>
          </w:pPr>
          <w:r>
            <w:rPr>
              <w:rStyle w:val="4"/>
            </w:rPr>
            <w:t>单击或点击此处输入文字。</w:t>
          </w:r>
        </w:p>
      </w:docPartBody>
    </w:docPart>
    <w:docPart>
      <w:docPartPr>
        <w:name w:val="C71B6AC5D67B4FCA96BCA20F8DCB0236"/>
        <w:style w:val=""/>
        <w:category>
          <w:name w:val="常规"/>
          <w:gallery w:val="placeholder"/>
        </w:category>
        <w:types>
          <w:type w:val="bbPlcHdr"/>
        </w:types>
        <w:behaviors>
          <w:behavior w:val="content"/>
        </w:behaviors>
        <w:description w:val=""/>
        <w:guid w:val="{6A714AD8-D757-425E-96F9-F769BB817AA7}"/>
      </w:docPartPr>
      <w:docPartBody>
        <w:p>
          <w:pPr>
            <w:pStyle w:val="46"/>
          </w:pPr>
          <w:r>
            <w:rPr>
              <w:rStyle w:val="4"/>
            </w:rPr>
            <w:t>单击或点击此处输入文字。</w:t>
          </w:r>
        </w:p>
      </w:docPartBody>
    </w:docPart>
    <w:docPart>
      <w:docPartPr>
        <w:name w:val="F72D6BFD2B684726AAB445D54C0EEAD7"/>
        <w:style w:val=""/>
        <w:category>
          <w:name w:val="常规"/>
          <w:gallery w:val="placeholder"/>
        </w:category>
        <w:types>
          <w:type w:val="bbPlcHdr"/>
        </w:types>
        <w:behaviors>
          <w:behavior w:val="content"/>
        </w:behaviors>
        <w:description w:val=""/>
        <w:guid w:val="{4D693B81-5D8B-4111-859A-6075AEF5FDD4}"/>
      </w:docPartPr>
      <w:docPartBody>
        <w:p>
          <w:pPr>
            <w:pStyle w:val="48"/>
          </w:pPr>
          <w:r>
            <w:rPr>
              <w:rStyle w:val="4"/>
            </w:rPr>
            <w:t>单击或点击此处输入文字。</w:t>
          </w:r>
        </w:p>
      </w:docPartBody>
    </w:docPart>
    <w:docPart>
      <w:docPartPr>
        <w:name w:val="520D106300174B9CB8501BB1268146FC"/>
        <w:style w:val=""/>
        <w:category>
          <w:name w:val="常规"/>
          <w:gallery w:val="placeholder"/>
        </w:category>
        <w:types>
          <w:type w:val="bbPlcHdr"/>
        </w:types>
        <w:behaviors>
          <w:behavior w:val="content"/>
        </w:behaviors>
        <w:description w:val=""/>
        <w:guid w:val="{6F8EDD2D-DA2B-4B9C-B283-C744DAF3EB05}"/>
      </w:docPartPr>
      <w:docPartBody>
        <w:p>
          <w:pPr>
            <w:pStyle w:val="50"/>
          </w:pPr>
          <w:r>
            <w:rPr>
              <w:rStyle w:val="4"/>
            </w:rPr>
            <w:t>单击或点击此处输入文字。</w:t>
          </w:r>
        </w:p>
      </w:docPartBody>
    </w:docPart>
    <w:docPart>
      <w:docPartPr>
        <w:name w:val="CB53DC06D43B4B46946BCA7D5566FCBE"/>
        <w:style w:val=""/>
        <w:category>
          <w:name w:val="常规"/>
          <w:gallery w:val="placeholder"/>
        </w:category>
        <w:types>
          <w:type w:val="bbPlcHdr"/>
        </w:types>
        <w:behaviors>
          <w:behavior w:val="content"/>
        </w:behaviors>
        <w:description w:val=""/>
        <w:guid w:val="{0E013963-84BB-46F9-8736-BDF23027A7B4}"/>
      </w:docPartPr>
      <w:docPartBody>
        <w:p>
          <w:pPr>
            <w:pStyle w:val="55"/>
          </w:pPr>
          <w:r>
            <w:rPr>
              <w:rStyle w:val="4"/>
            </w:rPr>
            <w:t>单击或点击此处输入文字。</w:t>
          </w:r>
        </w:p>
      </w:docPartBody>
    </w:docPart>
    <w:docPart>
      <w:docPartPr>
        <w:name w:val="0C96F845F265425C8D8517CECB9E195A"/>
        <w:style w:val=""/>
        <w:category>
          <w:name w:val="常规"/>
          <w:gallery w:val="placeholder"/>
        </w:category>
        <w:types>
          <w:type w:val="bbPlcHdr"/>
        </w:types>
        <w:behaviors>
          <w:behavior w:val="content"/>
        </w:behaviors>
        <w:description w:val=""/>
        <w:guid w:val="{42EB3E22-0A2E-4375-AE92-5C5099F50124}"/>
      </w:docPartPr>
      <w:docPartBody>
        <w:p>
          <w:pPr>
            <w:pStyle w:val="56"/>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E4"/>
    <w:rsid w:val="00003EB0"/>
    <w:rsid w:val="00056386"/>
    <w:rsid w:val="000C024A"/>
    <w:rsid w:val="000C55D3"/>
    <w:rsid w:val="001072C5"/>
    <w:rsid w:val="00193707"/>
    <w:rsid w:val="001D475B"/>
    <w:rsid w:val="0020140A"/>
    <w:rsid w:val="002B0BEB"/>
    <w:rsid w:val="002B6CA9"/>
    <w:rsid w:val="002C4DD8"/>
    <w:rsid w:val="00312D39"/>
    <w:rsid w:val="00377D44"/>
    <w:rsid w:val="0038145A"/>
    <w:rsid w:val="00403F3A"/>
    <w:rsid w:val="00451228"/>
    <w:rsid w:val="00483B89"/>
    <w:rsid w:val="004906A4"/>
    <w:rsid w:val="00516692"/>
    <w:rsid w:val="00521480"/>
    <w:rsid w:val="005402FA"/>
    <w:rsid w:val="00546793"/>
    <w:rsid w:val="0057002B"/>
    <w:rsid w:val="00604437"/>
    <w:rsid w:val="00613FE6"/>
    <w:rsid w:val="006159E9"/>
    <w:rsid w:val="006E0EA3"/>
    <w:rsid w:val="006F56E5"/>
    <w:rsid w:val="0070180E"/>
    <w:rsid w:val="00721DCD"/>
    <w:rsid w:val="00844711"/>
    <w:rsid w:val="0090364B"/>
    <w:rsid w:val="009A642B"/>
    <w:rsid w:val="009C73E4"/>
    <w:rsid w:val="00A17FB4"/>
    <w:rsid w:val="00A722CB"/>
    <w:rsid w:val="00A92730"/>
    <w:rsid w:val="00A937F8"/>
    <w:rsid w:val="00B75F70"/>
    <w:rsid w:val="00BC0301"/>
    <w:rsid w:val="00BC256B"/>
    <w:rsid w:val="00C44C35"/>
    <w:rsid w:val="00C56712"/>
    <w:rsid w:val="00C73B4A"/>
    <w:rsid w:val="00C80958"/>
    <w:rsid w:val="00CA2391"/>
    <w:rsid w:val="00CE6ECE"/>
    <w:rsid w:val="00CF0664"/>
    <w:rsid w:val="00D14E4B"/>
    <w:rsid w:val="00D26125"/>
    <w:rsid w:val="00D830BB"/>
    <w:rsid w:val="00DC30D3"/>
    <w:rsid w:val="00DE3B73"/>
    <w:rsid w:val="00EC2C1D"/>
    <w:rsid w:val="00F14760"/>
    <w:rsid w:val="00F314FF"/>
    <w:rsid w:val="00F81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C60977237EFC430880E3A8173828F9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4CA1962D4D846E291B515D0B8C0B8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BB2F8C19A694B68BBDBF950377003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5A3D5A398F6F409FB714807B5E1F0A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09BD572530C470B8530953FA1F244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C79F202043704F2BB00B5C62B7C3A2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DE43E2DC523F4DAD8D185B8F56F5E7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CAC6151CDC54E2882C8A28CF40471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85A0B029137F4304B253EF250318B7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0D0556E766A4C19961418CEA4378C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E11FCE4170C443DF869F9C2B0BF62F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E068F70E0886461F90CBA22618ACCC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9A90C02EA1484A1694AD31786AE2FE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AB15341593ED4ADA90C2DAC5BA2F22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D87BAC51FBC74DC89F70C6303A169A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87AD13120A9947A5B1F5113E4ED231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A7C0456DD0EB4A36A3834A0A1D75E3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3AA40B16AD864E73A5EC7A5B6D8D62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66665B7E22F46358D1F47E1FF7C35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AD54E1C06FB74E4B94DB8710AE94A1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FD491392657D439F9CEE2510BE42E1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511B20B70EAB4F36B5EAA442D9D585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B52F1C91DC6C4581B6B385B55708C6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A65B5358D23F4E8CB78982EAC35378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CDB8DB3CA0143928D1913F40C0B7C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F5945FCC23344C8687E2B945590733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83516C5A50A84ADEBE580333FD4912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993E6A899EA74C029C470D0CB81BE6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B854D37005B54E5DAEA672E5313D71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4753EADCA30A4503A405C493B66032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67775C347EE4406BB9DD7CB6B5E3C5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66D181BB1A494EF6A193E16F249E47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29E3EFB239C405F9923557E4721EE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F7A57DF209C446F9BCD858E2B5AD63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66D46BF5645644F5853BE806CDBAB6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075BBEA5FFB645AC86AE439FDB6C5C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E3DF25A1B194F3C90AA3F5F3D0EE3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19F07FE4FE9948098B85F66FA79D91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1D621DA28D9543E08D617B17DF91FA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DA6FD6C8DE62488CA6B61B2DDFC092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B99B79A5002F4A26814178B80BECCC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C71B6AC5D67B4FCA96BCA20F8DCB02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DE00DFB34730464E9BC41941901376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F72D6BFD2B684726AAB445D54C0EEA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0E09EBB4449C4FFBB863BD0A2E9E7C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520D106300174B9CB8501BB1268146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B4B73FC5BA8A409F8C118E24F17486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686ABC4169143E7B71667ADB97C7A1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6D247E4044C742119DDEED38A5EB13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AAB21362E0EB4751BA0364ED43A40D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B53DC06D43B4B46946BCA7D5566FCB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0C96F845F265425C8D8517CECB9E19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D59256F496A446ABE19D145FF527D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677238C9140B495EA2D2BAD024D136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B65FF499AAAE4798BF4923C2D63C68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89307EE2B1843EC812753495FC8D8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68E3CF174800472A9BB979E962DA957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FD3A7-A979-452D-A9BC-BB5E879CE6CE}">
  <ds:schemaRefs/>
</ds:datastoreItem>
</file>

<file path=docProps/app.xml><?xml version="1.0" encoding="utf-8"?>
<Properties xmlns="http://schemas.openxmlformats.org/officeDocument/2006/extended-properties" xmlns:vt="http://schemas.openxmlformats.org/officeDocument/2006/docPropsVTypes">
  <Template>Normal.dotm</Template>
  <Pages>90</Pages>
  <Words>41271</Words>
  <Characters>42865</Characters>
  <Lines>356</Lines>
  <Paragraphs>100</Paragraphs>
  <TotalTime>10</TotalTime>
  <ScaleCrop>false</ScaleCrop>
  <LinksUpToDate>false</LinksUpToDate>
  <CharactersWithSpaces>44798</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2026-06-08T02:40:00Z</dcterms:created>
  <dc:creator>林文凯</dc:creator>
  <cp:lastModifiedBy>冯浩然</cp:lastModifiedBy>
  <dcterms:modified xsi:type="dcterms:W3CDTF">2026-06-08T08:29:06Z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DEE60C3BDD5245C3BECF618FB68F8908</vt:lpwstr>
  </property>
</Properties>
</file>