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center"/>
        <w:rPr>
          <w:rFonts w:ascii="宋体" w:eastAsia="宋体" w:hAnsi="宋体" w:hint="eastAsia"/>
          <w:color w:val="FF0000"/>
          <w:kern w:val="2"/>
          <w:sz w:val="21"/>
          <w:szCs w:val="21"/>
          <w:lang w:eastAsia="zh-CN"/>
        </w:rPr>
      </w:pPr>
      <w:r>
        <w:rPr>
          <w:rFonts w:ascii="宋体" w:eastAsia="黑体" w:hAnsi="宋体" w:hint="eastAsia"/>
          <w:b/>
          <w:bCs/>
          <w:color w:val="FF0000"/>
          <w:kern w:val="44"/>
          <w:sz w:val="28"/>
          <w:szCs w:val="44"/>
          <w:lang w:eastAsia="zh-CN"/>
        </w:rPr>
        <w:t>特别</w:t>
      </w:r>
      <w:r>
        <w:rPr>
          <w:rFonts w:ascii="宋体" w:eastAsia="黑体" w:hAnsi="宋体" w:hint="eastAsia"/>
          <w:b/>
          <w:bCs/>
          <w:color w:val="FF0000"/>
          <w:kern w:val="44"/>
          <w:sz w:val="28"/>
          <w:szCs w:val="44"/>
          <w:lang w:eastAsia="zh-CN"/>
        </w:rPr>
        <w:t>警示条款</w:t>
      </w:r>
    </w:p>
    <w:p>
      <w:pPr>
        <w:widowControl w:val="0"/>
        <w:ind w:firstLine="400" w:firstLineChars="200"/>
        <w:jc w:val="center"/>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s="宋体" w:hint="eastAsia"/>
          <w:b/>
          <w:bCs/>
          <w:color w:val="FF0000"/>
          <w:kern w:val="2"/>
          <w:sz w:val="21"/>
          <w:szCs w:val="21"/>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w:t>
      </w:r>
      <w:r>
        <w:rPr>
          <w:rFonts w:ascii="宋体" w:eastAsia="宋体" w:hAnsi="宋体" w:hint="eastAsia"/>
          <w:color w:val="FF0000"/>
          <w:kern w:val="2"/>
          <w:sz w:val="20"/>
          <w:szCs w:val="20"/>
          <w:lang w:eastAsia="zh-CN"/>
        </w:rPr>
        <w:t>公开征集</w:t>
      </w:r>
      <w:r>
        <w:rPr>
          <w:rFonts w:ascii="宋体" w:eastAsia="宋体" w:hAnsi="宋体" w:hint="eastAsia"/>
          <w:color w:val="FF0000"/>
          <w:kern w:val="2"/>
          <w:sz w:val="20"/>
          <w:szCs w:val="20"/>
          <w:lang w:eastAsia="zh-CN"/>
        </w:rPr>
        <w:t>方式确定中标供应商。</w:t>
      </w:r>
      <w:r>
        <w:rPr>
          <w:rFonts w:ascii="宋体" w:eastAsia="宋体" w:hAnsi="宋体" w:hint="eastAsia"/>
          <w:color w:val="FF0000"/>
          <w:kern w:val="2"/>
          <w:sz w:val="20"/>
          <w:szCs w:val="20"/>
          <w:lang w:eastAsia="zh-CN"/>
        </w:rPr>
        <w:t>供应商</w:t>
      </w:r>
      <w:r>
        <w:rPr>
          <w:rFonts w:ascii="宋体" w:eastAsia="宋体" w:hAnsi="宋体" w:cs="宋体" w:hint="eastAsia"/>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7"/>
        <w:gridCol w:w="776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619"/>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478"/>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24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w:t>
      </w:r>
      <w:r>
        <w:rPr>
          <w:rFonts w:ascii="宋体" w:eastAsia="宋体" w:hAnsi="宋体" w:hint="eastAsia"/>
          <w:b/>
          <w:bCs/>
          <w:color w:val="FF0000"/>
          <w:kern w:val="2"/>
          <w:sz w:val="20"/>
          <w:szCs w:val="20"/>
          <w:lang w:eastAsia="zh-CN"/>
        </w:rPr>
        <w:t xml:space="preserve"> </w:t>
      </w:r>
      <w:r>
        <w:rPr>
          <w:rFonts w:ascii="宋体" w:eastAsia="宋体" w:hAnsi="宋体" w:hint="eastAsia"/>
          <w:color w:val="FF0000"/>
          <w:kern w:val="2"/>
          <w:sz w:val="20"/>
          <w:szCs w:val="20"/>
          <w:lang w:eastAsia="zh-CN"/>
        </w:rPr>
        <w:t>供应商有下列情形</w:t>
      </w:r>
      <w:r>
        <w:rPr>
          <w:rFonts w:ascii="宋体" w:eastAsia="宋体" w:hAnsi="宋体" w:hint="eastAsia"/>
          <w:color w:val="FF0000"/>
          <w:kern w:val="2"/>
          <w:sz w:val="20"/>
          <w:szCs w:val="20"/>
          <w:lang w:eastAsia="zh-CN"/>
        </w:rPr>
        <w:t>之一</w:t>
      </w:r>
      <w:r>
        <w:rPr>
          <w:rFonts w:ascii="宋体" w:eastAsia="宋体" w:hAnsi="宋体" w:hint="eastAsia"/>
          <w:color w:val="FF0000"/>
          <w:kern w:val="2"/>
          <w:sz w:val="20"/>
          <w:szCs w:val="20"/>
          <w:lang w:eastAsia="zh-CN"/>
        </w:rPr>
        <w:t>的，属于采购条例所称的串通投标行为，按照采购条例第五十七条有关规定处理：（一）投标供应商之间相互约定给予未中标的供应商利益补偿</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（三）不同投标供应商的投标文件由同一单位或者同一人编制，或者由同一人分阶段参与编制的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（四）不同投标供应商的投标文件或部分投标文件相互混装</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（五）不同投标供应商的投标文件内容存在非正常一致</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（六）由同一单位工作人员为两家以上（含两家）供应商进行同一项投标活动的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w:t>
      </w:r>
      <w:r>
        <w:rPr>
          <w:rFonts w:ascii="宋体" w:eastAsia="宋体" w:hAnsi="宋体" w:hint="eastAsia"/>
          <w:b/>
          <w:bCs/>
          <w:color w:val="FF0000"/>
          <w:kern w:val="2"/>
          <w:sz w:val="20"/>
          <w:szCs w:val="20"/>
          <w:lang w:eastAsia="zh-CN"/>
        </w:rPr>
        <w:t xml:space="preserve"> </w:t>
      </w:r>
      <w:r>
        <w:rPr>
          <w:rFonts w:ascii="宋体" w:eastAsia="宋体" w:hAnsi="宋体" w:hint="eastAsia"/>
          <w:color w:val="FF0000"/>
          <w:kern w:val="2"/>
          <w:sz w:val="20"/>
          <w:szCs w:val="20"/>
          <w:lang w:eastAsia="zh-CN"/>
        </w:rPr>
        <w:t>供应商有下列情形之一的，属于隐瞒真实情况，提供虚假资料，按照采购条例第五十七</w:t>
      </w:r>
      <w:r>
        <w:rPr>
          <w:rFonts w:ascii="宋体" w:eastAsia="宋体" w:hAnsi="宋体" w:hint="eastAsia"/>
          <w:color w:val="FF0000"/>
          <w:kern w:val="2"/>
          <w:sz w:val="20"/>
          <w:szCs w:val="20"/>
          <w:lang w:eastAsia="zh-CN"/>
        </w:rPr>
        <w:t>条</w:t>
      </w:r>
      <w:r>
        <w:rPr>
          <w:rFonts w:ascii="宋体" w:eastAsia="宋体" w:hAnsi="宋体" w:hint="eastAsia"/>
          <w:color w:val="FF0000"/>
          <w:kern w:val="2"/>
          <w:sz w:val="20"/>
          <w:szCs w:val="20"/>
          <w:lang w:eastAsia="zh-CN"/>
        </w:rPr>
        <w:t>的有关规定处理：（一）通过转让或者租借等方式从其他单位获取资格或者资质证书投标的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（二）由其他单位或者其他单位负责人在投标供应商编制的投标文件上加盖印章或者签字的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（三）项目负责人或者主要技术人员不是本单位人员的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（四）投标保证金不是从投标供应商基本账户转出的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四、</w:t>
      </w:r>
      <w:r>
        <w:rPr>
          <w:rFonts w:ascii="宋体" w:eastAsia="宋体" w:hAnsi="宋体" w:hint="eastAsia"/>
          <w:b/>
          <w:bCs/>
          <w:color w:val="FF0000"/>
          <w:kern w:val="2"/>
          <w:sz w:val="20"/>
          <w:szCs w:val="20"/>
          <w:lang w:eastAsia="zh-CN"/>
        </w:rPr>
        <w:t>根据《深圳经济特区政府采购条例实施细则》第七十五条规定，</w:t>
      </w:r>
      <w:r>
        <w:rPr>
          <w:rFonts w:ascii="宋体" w:eastAsia="宋体" w:hAnsi="宋体" w:hint="eastAsia"/>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 xml:space="preserve">   五、</w:t>
      </w:r>
      <w:r>
        <w:rPr>
          <w:rFonts w:ascii="宋体" w:eastAsia="宋体" w:hAnsi="宋体" w:hint="eastAsia"/>
          <w:b/>
          <w:bCs/>
          <w:color w:val="FF0000"/>
          <w:kern w:val="2"/>
          <w:sz w:val="20"/>
          <w:szCs w:val="20"/>
          <w:lang w:eastAsia="zh-CN"/>
        </w:rPr>
        <w:t>请投标供应商阅读《自行采购违法行为风险知悉确认书》</w:t>
      </w:r>
      <w:r>
        <w:rPr>
          <w:rFonts w:ascii="宋体" w:eastAsia="宋体" w:hAnsi="宋体" w:hint="eastAsia"/>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jc w:val="both"/>
        <w:rPr>
          <w:rFonts w:ascii="方正小标宋简体" w:eastAsia="方正小标宋简体" w:hAnsi="方正小标宋简体" w:cs="方正小标宋简体" w:hint="eastAsia"/>
          <w:bCs/>
          <w:color w:val="000000"/>
          <w:kern w:val="2"/>
          <w:sz w:val="44"/>
          <w:szCs w:val="44"/>
          <w:lang w:eastAsia="zh-CN"/>
        </w:rPr>
      </w:pPr>
    </w:p>
    <w:p>
      <w:pPr>
        <w:widowControl w:val="0"/>
        <w:jc w:val="both"/>
        <w:rPr>
          <w:rFonts w:ascii="方正小标宋简体" w:eastAsia="方正小标宋简体" w:hAnsi="方正小标宋简体" w:cs="方正小标宋简体" w:hint="eastAsia"/>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br w:type="page"/>
      </w:r>
    </w:p>
    <w:p>
      <w:pPr>
        <w:widowControl/>
        <w:spacing w:before="100" w:beforeAutospacing="1" w:after="100" w:afterAutospacing="1"/>
        <w:jc w:val="center"/>
        <w:outlineLvl w:val="1"/>
        <w:rPr>
          <w:rFonts w:ascii="方正小标宋简体" w:eastAsia="方正小标宋简体" w:hAnsi="方正小标宋简体" w:cs="方正小标宋简体" w:hint="eastAsia"/>
          <w:bCs/>
          <w:color w:val="000000"/>
          <w:kern w:val="2"/>
          <w:sz w:val="44"/>
          <w:szCs w:val="44"/>
          <w:lang w:eastAsia="zh-CN"/>
        </w:rPr>
      </w:pPr>
      <w:r>
        <w:rPr>
          <w:rFonts w:ascii="方正小标宋简体" w:eastAsia="方正小标宋简体" w:hAnsi="方正小标宋简体" w:cs="方正小标宋简体" w:hint="eastAsia"/>
          <w:bCs/>
          <w:color w:val="000000"/>
          <w:kern w:val="2"/>
          <w:sz w:val="44"/>
          <w:szCs w:val="44"/>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2881"/>
        <w:gridCol w:w="5522"/>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SZZXCG-2025-00457</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shd w:val="clear" w:color="auto" w:fill="auto"/>
            <w:vAlign w:val="center"/>
          </w:tcPr>
          <w:p>
            <w:pPr>
              <w:widowControl/>
              <w:jc w:val="left"/>
              <w:rPr>
                <w:rFonts w:eastAsia="宋体" w:hint="eastAsia"/>
                <w:kern w:val="2"/>
                <w:sz w:val="30"/>
                <w:szCs w:val="30"/>
                <w:lang w:eastAsia="zh-CN"/>
              </w:rPr>
            </w:pPr>
            <w:r>
              <w:rPr>
                <w:rFonts w:eastAsia="宋体" w:hint="eastAsia"/>
                <w:kern w:val="2"/>
                <w:sz w:val="30"/>
                <w:szCs w:val="30"/>
                <w:lang w:eastAsia="zh-CN"/>
              </w:rPr>
              <w:t>深圳福彩网络安全服务项目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hint="eastAsia"/>
                <w:sz w:val="30"/>
                <w:szCs w:val="30"/>
                <w:lang w:eastAsia="zh-CN"/>
              </w:rPr>
              <w:t>服务类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widowControl/>
              <w:jc w:val="left"/>
              <w:rPr>
                <w:rFonts w:eastAsia="宋体" w:hint="eastAsia"/>
                <w:kern w:val="2"/>
                <w:sz w:val="30"/>
                <w:szCs w:val="30"/>
                <w:lang w:eastAsia="zh-CN"/>
              </w:rPr>
            </w:pPr>
            <w:r>
              <w:rPr>
                <w:rFonts w:ascii="宋体" w:eastAsia="宋体" w:hAnsi="宋体" w:cs="宋体" w:hint="eastAsia"/>
                <w:sz w:val="30"/>
                <w:szCs w:val="30"/>
                <w:lang w:eastAsia="zh-CN"/>
              </w:rPr>
              <w:t>公开征集</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5868"/>
        <w:gridCol w:w="2661"/>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1</w:t>
            </w:r>
          </w:p>
        </w:tc>
        <w:tc>
          <w:tcPr>
            <w:tcW w:w="360"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招标</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pPr>
        <w:widowControl w:val="0"/>
        <w:spacing w:before="28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8"/>
        <w:gridCol w:w="7771"/>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不得将一个包内容拆开投标；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分项报价或投标总价不得高于相应预算金额（或设定的预算金额下的最高限价）；</w:t>
            </w:r>
          </w:p>
        </w:tc>
      </w:tr>
      <w:tr>
        <w:tblPrEx>
          <w:tblW w:w="5000" w:type="pct"/>
          <w:jc w:val="center"/>
          <w:tblLayout w:type="fixed"/>
          <w:tblCellMar>
            <w:top w:w="20" w:type="dxa"/>
            <w:left w:w="108" w:type="dxa"/>
            <w:bottom w:w="20" w:type="dxa"/>
            <w:right w:w="108" w:type="dxa"/>
          </w:tblCellMar>
        </w:tblPrEx>
        <w:trPr>
          <w:trHeight w:val="1436"/>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投标人响应的内容在技术、商务等方面没有实质性满足（</w:t>
            </w:r>
            <w:r>
              <w:rPr>
                <w:rFonts w:ascii="Calibri" w:eastAsia="宋体" w:hAnsi="Calibri" w:hint="eastAsia"/>
                <w:kern w:val="2"/>
                <w:sz w:val="21"/>
                <w:lang w:eastAsia="zh-CN"/>
              </w:rPr>
              <w:t>或未响应招标文件中带★号条款或响应有负偏离）</w:t>
            </w:r>
            <w:r>
              <w:rPr>
                <w:rFonts w:eastAsia="宋体" w:hint="eastAsia"/>
                <w:kern w:val="2"/>
                <w:sz w:val="21"/>
                <w:lang w:eastAsia="zh-CN"/>
              </w:rPr>
              <w:t>招标文件要求的（是否实质性满足招标文件要求，由评审委员会根据实质性条款响应情况作出评判，若招标文件未设置实质性条款，不得据此做投标无效处理）；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投标文件用不属于本公司的电子密钥进行加密或投标文件未按时解密的；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r>
              <w:rPr>
                <w:rFonts w:ascii="宋体" w:eastAsia="宋体" w:hAnsi="宋体" w:cs="宋体" w:hint="eastAsia"/>
                <w:sz w:val="21"/>
                <w:szCs w:val="21"/>
                <w:lang w:eastAsia="zh-CN"/>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法律、法规、规章、规范性文件规定的其他情形。</w:t>
            </w:r>
          </w:p>
        </w:tc>
      </w:tr>
    </w:tbl>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662"/>
        <w:gridCol w:w="668"/>
        <w:gridCol w:w="1566"/>
        <w:gridCol w:w="1054"/>
        <w:gridCol w:w="4473"/>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jc w:val="center"/>
        </w:trPr>
        <w:tc>
          <w:tcPr>
            <w:tcW w:w="9072" w:type="dxa"/>
            <w:gridSpan w:val="5"/>
            <w:vAlign w:val="center"/>
          </w:tcPr>
          <w:p>
            <w:pPr>
              <w:widowControl w:val="0"/>
              <w:jc w:val="left"/>
              <w:rPr>
                <w:rFonts w:ascii="宋体" w:eastAsia="宋体" w:hAnsi="宋体" w:cs="宋体" w:hint="eastAsia"/>
                <w:b/>
                <w:bCs/>
                <w:kern w:val="2"/>
                <w:lang w:eastAsia="zh-CN"/>
              </w:rPr>
            </w:pPr>
            <w:r>
              <w:rPr>
                <w:rFonts w:eastAsia="宋体"/>
                <w:b/>
                <w:bCs/>
                <w:kern w:val="2"/>
                <w:sz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072" w:type="dxa"/>
            <w:gridSpan w:val="5"/>
            <w:vAlign w:val="center"/>
          </w:tcPr>
          <w:p>
            <w:pPr>
              <w:widowControl w:val="0"/>
              <w:spacing w:line="324" w:lineRule="auto"/>
              <w:ind w:firstLine="420"/>
              <w:jc w:val="both"/>
              <w:rPr>
                <w:rFonts w:eastAsia="宋体"/>
                <w:kern w:val="2"/>
                <w:sz w:val="21"/>
                <w:szCs w:val="21"/>
                <w:lang w:eastAsia="zh-CN"/>
              </w:rPr>
            </w:pPr>
            <w:r>
              <w:rPr>
                <w:rFonts w:eastAsia="宋体" w:hint="eastAsia"/>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pPr>
              <w:widowControl w:val="0"/>
              <w:spacing w:line="324" w:lineRule="auto"/>
              <w:ind w:firstLine="420"/>
              <w:jc w:val="both"/>
              <w:rPr>
                <w:rFonts w:eastAsia="宋体"/>
                <w:kern w:val="2"/>
                <w:sz w:val="21"/>
                <w:szCs w:val="21"/>
                <w:lang w:eastAsia="zh-CN"/>
              </w:rPr>
            </w:pPr>
            <w:r>
              <w:rPr>
                <w:rFonts w:eastAsia="宋体" w:hint="eastAsia"/>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widowControl w:val="0"/>
              <w:spacing w:line="324" w:lineRule="auto"/>
              <w:ind w:left="420"/>
              <w:jc w:val="both"/>
              <w:rPr>
                <w:rFonts w:eastAsia="宋体" w:hint="eastAsia"/>
                <w:kern w:val="2"/>
                <w:sz w:val="21"/>
                <w:szCs w:val="21"/>
                <w:lang w:eastAsia="zh-CN"/>
              </w:rPr>
            </w:pPr>
            <w:r>
              <w:rPr>
                <w:rFonts w:eastAsia="宋体"/>
                <w:kern w:val="2"/>
                <w:sz w:val="21"/>
                <w:szCs w:val="21"/>
                <w:lang w:eastAsia="zh-CN"/>
              </w:rPr>
              <w:t>采用低价优先法计算，即满足</w:t>
            </w:r>
            <w:r>
              <w:rPr>
                <w:rFonts w:eastAsia="宋体" w:hint="eastAsia"/>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p>
          <w:p>
            <w:pPr>
              <w:widowControl w:val="0"/>
              <w:spacing w:line="324" w:lineRule="auto"/>
              <w:ind w:left="420"/>
              <w:jc w:val="both"/>
              <w:rPr>
                <w:rFonts w:eastAsia="宋体" w:hint="eastAsia"/>
                <w:kern w:val="2"/>
                <w:sz w:val="21"/>
                <w:szCs w:val="21"/>
                <w:lang w:eastAsia="zh-CN"/>
              </w:rPr>
            </w:pPr>
          </w:p>
          <w:p>
            <w:pPr>
              <w:widowControl w:val="0"/>
              <w:spacing w:line="324" w:lineRule="auto"/>
              <w:ind w:left="420"/>
              <w:jc w:val="both"/>
              <w:rPr>
                <w:rFonts w:eastAsia="宋体" w:hint="eastAsia"/>
                <w:kern w:val="2"/>
                <w:sz w:val="21"/>
                <w:szCs w:val="21"/>
                <w:lang w:eastAsia="zh-CN"/>
              </w:rPr>
            </w:pPr>
            <w:r>
              <w:rPr>
                <w:rFonts w:eastAsia="宋体"/>
                <w:kern w:val="2"/>
                <w:sz w:val="21"/>
                <w:szCs w:val="21"/>
                <w:lang w:eastAsia="zh-CN"/>
              </w:rPr>
              <w:t xml:space="preserve">投标报价得分=(评标基准价／投标报价)×100 </w:t>
            </w:r>
          </w:p>
          <w:p>
            <w:pPr>
              <w:widowControl w:val="0"/>
              <w:spacing w:line="324" w:lineRule="auto"/>
              <w:ind w:left="420"/>
              <w:jc w:val="both"/>
              <w:rPr>
                <w:rFonts w:eastAsia="宋体" w:hint="eastAsia"/>
                <w:kern w:val="2"/>
                <w:sz w:val="21"/>
                <w:szCs w:val="21"/>
                <w:lang w:eastAsia="zh-CN"/>
              </w:rPr>
            </w:pPr>
          </w:p>
          <w:p>
            <w:pPr>
              <w:widowControl w:val="0"/>
              <w:spacing w:line="324" w:lineRule="auto"/>
              <w:ind w:left="420"/>
              <w:jc w:val="both"/>
              <w:rPr>
                <w:rFonts w:eastAsia="宋体" w:hint="eastAsia"/>
                <w:kern w:val="2"/>
                <w:sz w:val="21"/>
                <w:szCs w:val="21"/>
                <w:lang w:eastAsia="zh-CN"/>
              </w:rPr>
            </w:pPr>
            <w:r>
              <w:rPr>
                <w:rFonts w:eastAsia="宋体"/>
                <w:kern w:val="2"/>
                <w:sz w:val="21"/>
                <w:szCs w:val="21"/>
                <w:lang w:eastAsia="zh-CN"/>
              </w:rPr>
              <w:t xml:space="preserve">评标总得分＝F1×A1＋F2×A2＋……＋Fn×An </w:t>
            </w:r>
          </w:p>
          <w:p>
            <w:pPr>
              <w:widowControl w:val="0"/>
              <w:spacing w:line="324" w:lineRule="auto"/>
              <w:ind w:left="420"/>
              <w:jc w:val="both"/>
              <w:rPr>
                <w:rFonts w:eastAsia="宋体" w:hint="eastAsia"/>
                <w:kern w:val="2"/>
                <w:sz w:val="21"/>
                <w:szCs w:val="21"/>
                <w:lang w:eastAsia="zh-CN"/>
              </w:rPr>
            </w:pPr>
          </w:p>
          <w:p>
            <w:pPr>
              <w:widowControl w:val="0"/>
              <w:spacing w:line="324" w:lineRule="auto"/>
              <w:ind w:left="420"/>
              <w:jc w:val="both"/>
              <w:rPr>
                <w:rFonts w:eastAsia="宋体" w:hint="eastAsia"/>
                <w:kern w:val="2"/>
                <w:sz w:val="21"/>
                <w:szCs w:val="21"/>
                <w:lang w:eastAsia="zh-CN"/>
              </w:rPr>
            </w:pPr>
            <w:r>
              <w:rPr>
                <w:rFonts w:eastAsia="宋体"/>
                <w:kern w:val="2"/>
                <w:sz w:val="21"/>
                <w:szCs w:val="21"/>
                <w:lang w:eastAsia="zh-CN"/>
              </w:rPr>
              <w:t xml:space="preserve">F1、F2……Fn分别为各项评审因素的得分； </w:t>
            </w:r>
          </w:p>
          <w:p>
            <w:pPr>
              <w:widowControl w:val="0"/>
              <w:spacing w:line="324" w:lineRule="auto"/>
              <w:ind w:left="420"/>
              <w:jc w:val="both"/>
              <w:rPr>
                <w:rFonts w:eastAsia="宋体" w:hint="eastAsia"/>
                <w:kern w:val="2"/>
                <w:sz w:val="21"/>
                <w:szCs w:val="21"/>
                <w:lang w:eastAsia="zh-CN"/>
              </w:rPr>
            </w:pPr>
          </w:p>
          <w:p>
            <w:pPr>
              <w:widowControl w:val="0"/>
              <w:spacing w:line="324" w:lineRule="auto"/>
              <w:ind w:left="420"/>
              <w:jc w:val="both"/>
              <w:rPr>
                <w:rFonts w:eastAsia="宋体" w:hint="eastAsia"/>
                <w:kern w:val="2"/>
                <w:sz w:val="21"/>
                <w:szCs w:val="21"/>
                <w:lang w:eastAsia="zh-CN"/>
              </w:rPr>
            </w:pPr>
            <w:r>
              <w:rPr>
                <w:rFonts w:eastAsia="宋体"/>
                <w:kern w:val="2"/>
                <w:sz w:val="21"/>
                <w:szCs w:val="21"/>
                <w:lang w:eastAsia="zh-CN"/>
              </w:rPr>
              <w:t xml:space="preserve">A1、A2、……An 分别为各项评审因素所占的权重(A1＋A2＋……＋An＝1)。 </w:t>
            </w:r>
          </w:p>
          <w:p>
            <w:pPr>
              <w:widowControl w:val="0"/>
              <w:spacing w:line="324" w:lineRule="auto"/>
              <w:ind w:left="420"/>
              <w:jc w:val="both"/>
              <w:rPr>
                <w:rFonts w:eastAsia="宋体" w:hint="eastAsia"/>
                <w:kern w:val="2"/>
                <w:sz w:val="21"/>
                <w:szCs w:val="21"/>
                <w:lang w:eastAsia="zh-CN"/>
              </w:rPr>
            </w:pP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评标过程中，不得去掉报价中的最高报价和最低报价。</w:t>
            </w:r>
          </w:p>
          <w:p>
            <w:pPr>
              <w:widowControl w:val="0"/>
              <w:spacing w:line="324" w:lineRule="auto"/>
              <w:ind w:left="420"/>
              <w:jc w:val="both"/>
              <w:rPr>
                <w:rFonts w:eastAsia="宋体"/>
                <w:kern w:val="2"/>
                <w:sz w:val="21"/>
                <w:szCs w:val="21"/>
                <w:lang w:eastAsia="zh-CN"/>
              </w:rPr>
            </w:pPr>
            <w:r>
              <w:rPr>
                <w:rFonts w:eastAsia="宋体" w:hint="eastAsia"/>
                <w:kern w:val="2"/>
                <w:sz w:val="21"/>
                <w:szCs w:val="21"/>
                <w:lang w:eastAsia="zh-CN"/>
              </w:rPr>
              <w:t>注：投标人的“</w:t>
            </w:r>
            <w:r>
              <w:rPr>
                <w:rFonts w:eastAsia="宋体" w:hint="eastAsia"/>
                <w:color w:val="FF0000"/>
                <w:kern w:val="2"/>
                <w:sz w:val="21"/>
                <w:szCs w:val="21"/>
                <w:lang w:eastAsia="zh-CN"/>
              </w:rPr>
              <w:t>技术响应情况</w:t>
            </w:r>
            <w:r>
              <w:rPr>
                <w:rFonts w:eastAsia="宋体" w:hint="eastAsia"/>
                <w:kern w:val="2"/>
                <w:sz w:val="21"/>
                <w:szCs w:val="21"/>
                <w:lang w:eastAsia="zh-CN"/>
              </w:rPr>
              <w:t>”“技术偏离情况”等必须与客观实际保持一致，响应不实且情节严重的，经查实，将依法记入供应商诚信档案或受到行政处罚。</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shd w:val="clear" w:color="auto" w:fill="E6EFFA"/>
            <w:vAlign w:val="center"/>
          </w:tcPr>
          <w:p>
            <w:pPr>
              <w:widowControl w:val="0"/>
              <w:wordWrap w:val="0"/>
              <w:jc w:val="center"/>
              <w:rPr>
                <w:rFonts w:ascii="宋体" w:eastAsia="宋体" w:hAnsi="宋体" w:cs="宋体" w:hint="eastAsia"/>
                <w:b/>
                <w:bCs/>
                <w:kern w:val="2"/>
                <w:lang w:eastAsia="zh-CN"/>
              </w:rPr>
            </w:pPr>
            <w:r>
              <w:rPr>
                <w:rFonts w:eastAsia="宋体"/>
                <w:b/>
                <w:bCs/>
                <w:kern w:val="2"/>
                <w:sz w:val="21"/>
                <w:lang w:eastAsia="zh-CN"/>
              </w:rPr>
              <w:t>序号</w:t>
            </w:r>
          </w:p>
        </w:tc>
        <w:tc>
          <w:tcPr>
            <w:tcW w:w="3516" w:type="dxa"/>
            <w:gridSpan w:val="3"/>
            <w:shd w:val="clear" w:color="auto" w:fill="E6EFFA"/>
            <w:vAlign w:val="center"/>
          </w:tcPr>
          <w:p>
            <w:pPr>
              <w:widowControl w:val="0"/>
              <w:wordWrap w:val="0"/>
              <w:jc w:val="center"/>
              <w:rPr>
                <w:rFonts w:ascii="宋体" w:eastAsia="宋体" w:hAnsi="宋体" w:cs="宋体" w:hint="eastAsia"/>
                <w:b/>
                <w:bCs/>
                <w:kern w:val="2"/>
                <w:lang w:eastAsia="zh-CN"/>
              </w:rPr>
            </w:pPr>
            <w:r>
              <w:rPr>
                <w:rFonts w:eastAsia="宋体"/>
                <w:b/>
                <w:bCs/>
                <w:kern w:val="2"/>
                <w:sz w:val="21"/>
                <w:lang w:eastAsia="zh-CN"/>
              </w:rPr>
              <w:t>评分项</w:t>
            </w:r>
          </w:p>
        </w:tc>
        <w:tc>
          <w:tcPr>
            <w:tcW w:w="4856" w:type="dxa"/>
            <w:shd w:val="clear" w:color="auto" w:fill="E6EFFA"/>
            <w:vAlign w:val="center"/>
          </w:tcPr>
          <w:p>
            <w:pPr>
              <w:widowControl w:val="0"/>
              <w:wordWrap w:val="0"/>
              <w:jc w:val="center"/>
              <w:rPr>
                <w:rFonts w:ascii="宋体" w:eastAsia="宋体" w:hAnsi="宋体" w:cs="宋体" w:hint="eastAsia"/>
                <w:b/>
                <w:bCs/>
                <w:kern w:val="2"/>
                <w:lang w:eastAsia="zh-CN"/>
              </w:rPr>
            </w:pPr>
            <w:r>
              <w:rPr>
                <w:rFonts w:eastAsia="宋体"/>
                <w:b/>
                <w:bCs/>
                <w:kern w:val="2"/>
                <w:sz w:val="21"/>
                <w:lang w:eastAsia="zh-CN"/>
              </w:rPr>
              <w:t>权重(%)</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restart"/>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1</w:t>
            </w:r>
          </w:p>
        </w:tc>
        <w:tc>
          <w:tcPr>
            <w:tcW w:w="3516" w:type="dxa"/>
            <w:gridSpan w:val="3"/>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价格</w:t>
            </w:r>
          </w:p>
        </w:tc>
        <w:tc>
          <w:tcPr>
            <w:tcW w:w="4856" w:type="dxa"/>
          </w:tcPr>
          <w:p>
            <w:pPr>
              <w:widowControl w:val="0"/>
              <w:wordWrap w:val="0"/>
              <w:jc w:val="center"/>
              <w:rPr>
                <w:rFonts w:ascii="宋体" w:eastAsia="宋体" w:hAnsi="宋体" w:cs="宋体"/>
                <w:b/>
                <w:bCs/>
                <w:color w:val="0000FF"/>
                <w:kern w:val="2"/>
                <w:lang w:eastAsia="zh-CN"/>
              </w:rPr>
            </w:pPr>
            <w:r>
              <w:rPr>
                <w:rFonts w:ascii="宋体" w:eastAsia="宋体" w:hAnsi="宋体" w:cs="宋体" w:hint="eastAsia"/>
                <w:b/>
                <w:bCs/>
                <w:color w:val="0000FF"/>
                <w:kern w:val="2"/>
                <w:lang w:eastAsia="zh-CN"/>
              </w:rPr>
              <w:t>10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8372" w:type="dxa"/>
            <w:gridSpan w:val="4"/>
          </w:tcPr>
          <w:p>
            <w:pPr>
              <w:widowControl w:val="0"/>
              <w:wordWrap w:val="0"/>
              <w:jc w:val="both"/>
              <w:rPr>
                <w:rFonts w:ascii="宋体" w:eastAsia="宋体" w:hAnsi="宋体" w:cs="宋体" w:hint="eastAsia"/>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restart"/>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2</w:t>
            </w:r>
          </w:p>
        </w:tc>
        <w:tc>
          <w:tcPr>
            <w:tcW w:w="3516" w:type="dxa"/>
            <w:gridSpan w:val="3"/>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技术</w:t>
            </w:r>
            <w:r>
              <w:rPr>
                <w:rFonts w:eastAsia="宋体" w:hint="eastAsia"/>
                <w:b/>
                <w:bCs/>
                <w:color w:val="0000FF"/>
                <w:kern w:val="2"/>
                <w:sz w:val="21"/>
                <w:lang w:eastAsia="zh-CN"/>
              </w:rPr>
              <w:t>部分</w:t>
            </w:r>
          </w:p>
        </w:tc>
        <w:tc>
          <w:tcPr>
            <w:tcW w:w="4856" w:type="dxa"/>
          </w:tcPr>
          <w:p>
            <w:pPr>
              <w:widowControl w:val="0"/>
              <w:wordWrap w:val="0"/>
              <w:jc w:val="center"/>
              <w:rPr>
                <w:rFonts w:ascii="宋体" w:eastAsia="宋体" w:hAnsi="宋体" w:cs="宋体"/>
                <w:b/>
                <w:bCs/>
                <w:color w:val="0000FF"/>
                <w:kern w:val="2"/>
                <w:lang w:eastAsia="zh-CN"/>
              </w:rPr>
            </w:pPr>
            <w:r>
              <w:rPr>
                <w:rFonts w:eastAsia="宋体" w:hint="eastAsia"/>
                <w:b/>
                <w:bCs/>
                <w:color w:val="0000FF"/>
                <w:kern w:val="2"/>
                <w:sz w:val="21"/>
                <w:lang w:eastAsia="zh-CN"/>
              </w:rPr>
              <w:t>63</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8372" w:type="dxa"/>
            <w:gridSpan w:val="4"/>
          </w:tcPr>
          <w:p>
            <w:pPr>
              <w:widowControl w:val="0"/>
              <w:wordWrap w:val="0"/>
              <w:jc w:val="both"/>
              <w:rPr>
                <w:rFonts w:ascii="宋体" w:eastAsia="宋体" w:hAnsi="宋体" w:cs="宋体" w:hint="eastAsia"/>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shd w:val="clear" w:color="auto" w:fill="E6EFFA"/>
            <w:vAlign w:val="center"/>
          </w:tcPr>
          <w:p>
            <w:pPr>
              <w:widowControl w:val="0"/>
              <w:jc w:val="both"/>
              <w:rPr>
                <w:rFonts w:ascii="宋体" w:eastAsia="宋体" w:hAnsi="宋体" w:cs="宋体" w:hint="eastAsia"/>
                <w:b/>
                <w:bCs/>
                <w:color w:val="0000FF"/>
                <w:kern w:val="2"/>
                <w:lang w:eastAsia="zh-CN"/>
              </w:rPr>
            </w:pPr>
          </w:p>
        </w:tc>
        <w:tc>
          <w:tcPr>
            <w:tcW w:w="705"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hint="eastAsia"/>
                <w:b/>
                <w:bCs/>
                <w:kern w:val="2"/>
                <w:sz w:val="21"/>
                <w:szCs w:val="21"/>
                <w:lang w:eastAsia="zh-CN"/>
              </w:rPr>
              <w:t>评审因素</w:t>
            </w:r>
          </w:p>
        </w:tc>
        <w:tc>
          <w:tcPr>
            <w:tcW w:w="1126"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70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1</w:t>
            </w:r>
          </w:p>
        </w:tc>
        <w:tc>
          <w:tcPr>
            <w:tcW w:w="168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实施方案</w:t>
            </w:r>
          </w:p>
        </w:tc>
        <w:tc>
          <w:tcPr>
            <w:tcW w:w="1126"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10</w:t>
            </w:r>
          </w:p>
        </w:tc>
        <w:tc>
          <w:tcPr>
            <w:tcW w:w="4856" w:type="dxa"/>
          </w:tcPr>
          <w:p>
            <w:pPr>
              <w:widowControl w:val="0"/>
              <w:jc w:val="both"/>
              <w:rPr>
                <w:rFonts w:ascii="宋体" w:eastAsia="宋体" w:hAnsi="宋体" w:cs="宋体"/>
                <w:b/>
                <w:i/>
                <w:kern w:val="2"/>
                <w:sz w:val="21"/>
                <w:u w:val="single"/>
                <w:lang w:eastAsia="zh-CN"/>
              </w:rPr>
            </w:pPr>
            <w:r>
              <w:rPr>
                <w:rFonts w:ascii="宋体" w:eastAsia="宋体" w:hAnsi="宋体" w:cs="宋体" w:hint="eastAsia"/>
                <w:kern w:val="2"/>
                <w:sz w:val="21"/>
                <w:lang w:eastAsia="zh-CN"/>
              </w:rPr>
              <w:t>（一）评审内容：</w:t>
            </w:r>
          </w:p>
          <w:p>
            <w:pPr>
              <w:widowControl w:val="0"/>
              <w:jc w:val="both"/>
              <w:rPr>
                <w:rFonts w:eastAsia="宋体"/>
                <w:b/>
                <w:bCs/>
                <w:kern w:val="2"/>
                <w:sz w:val="21"/>
                <w:lang w:eastAsia="zh-CN"/>
              </w:rPr>
            </w:pPr>
            <w:r>
              <w:rPr>
                <w:rFonts w:ascii="宋体" w:eastAsia="宋体" w:hAnsi="宋体" w:cs="宋体" w:hint="eastAsia"/>
                <w:b/>
                <w:bCs/>
                <w:kern w:val="2"/>
                <w:sz w:val="21"/>
                <w:lang w:eastAsia="zh-CN"/>
              </w:rPr>
              <w:t>评分内容：投标人结合采购需求，结合采购人网络安全服务需求，提出</w:t>
            </w:r>
            <w:r>
              <w:rPr>
                <w:rFonts w:ascii="宋体" w:eastAsia="宋体" w:hAnsi="宋体" w:cs="宋体" w:hint="eastAsia"/>
                <w:b/>
                <w:bCs/>
                <w:kern w:val="2"/>
                <w:sz w:val="21"/>
                <w:lang w:eastAsia="zh-CN"/>
              </w:rPr>
              <w:t>针对性</w:t>
            </w:r>
            <w:r>
              <w:rPr>
                <w:rFonts w:ascii="宋体" w:eastAsia="宋体" w:hAnsi="宋体" w:cs="宋体" w:hint="eastAsia"/>
                <w:b/>
                <w:bCs/>
                <w:kern w:val="2"/>
                <w:sz w:val="21"/>
                <w:lang w:eastAsia="zh-CN"/>
              </w:rPr>
              <w:t>实</w:t>
            </w:r>
            <w:r>
              <w:rPr>
                <w:rFonts w:ascii="宋体" w:eastAsia="宋体" w:hAnsi="宋体" w:hint="eastAsia"/>
                <w:b/>
                <w:bCs/>
                <w:kern w:val="2"/>
                <w:sz w:val="21"/>
                <w:lang w:eastAsia="zh-CN"/>
              </w:rPr>
              <w:t>施方案，根据各投标人的实施方案进行评价。实施方案包括：</w:t>
            </w:r>
          </w:p>
          <w:p>
            <w:pPr>
              <w:widowControl/>
              <w:numPr>
                <w:ilvl w:val="0"/>
                <w:numId w:val="1"/>
              </w:numPr>
              <w:autoSpaceDE w:val="0"/>
              <w:autoSpaceDN w:val="0"/>
              <w:adjustRightInd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针对网络安全运维服务中的网络安全管理体系建设服务、网络安全攻防演练服务、重要时期安全保障服务、应急响应服务、网络安全意识培训服务及信息安全咨询服务等提供实施方案。</w:t>
            </w:r>
          </w:p>
          <w:p>
            <w:pPr>
              <w:widowControl/>
              <w:numPr>
                <w:ilvl w:val="0"/>
                <w:numId w:val="1"/>
              </w:numPr>
              <w:autoSpaceDE w:val="0"/>
              <w:autoSpaceDN w:val="0"/>
              <w:adjustRightInd w:val="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针对新系统（或应用软件模块）上线安全检测服务、互联网资产暴露面漏洞扫描服务、网络安全风险评估服务、渗透测试服务等提供解决方案。</w:t>
            </w:r>
          </w:p>
          <w:p>
            <w:pPr>
              <w:widowControl/>
              <w:numPr>
                <w:ilvl w:val="0"/>
                <w:numId w:val="1"/>
              </w:numPr>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针对网络安全运营服务中的全天候一体化主动防御服务、资产终端授权服务、资产授权服务相匹配的云端服务平台提供实施方案。</w:t>
            </w:r>
          </w:p>
          <w:p>
            <w:pPr>
              <w:widowControl/>
              <w:numPr>
                <w:ilvl w:val="0"/>
                <w:numId w:val="1"/>
              </w:numPr>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针对全年7×24小时持续性服务，围绕彩票资产、漏洞、威胁、脆弱性等安全要素，不间断监测、响应、阻断非授权行为等提供解决方案。</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（二）评分依据：</w:t>
            </w:r>
          </w:p>
          <w:p>
            <w:pPr>
              <w:widowControl w:val="0"/>
              <w:tabs>
                <w:tab w:val="center" w:pos="4153"/>
                <w:tab w:val="right" w:pos="8306"/>
              </w:tabs>
              <w:snapToGrid w:val="0"/>
              <w:jc w:val="left"/>
              <w:rPr>
                <w:rFonts w:eastAsia="宋体"/>
                <w:kern w:val="2"/>
                <w:sz w:val="18"/>
                <w:szCs w:val="18"/>
                <w:lang w:eastAsia="zh-CN"/>
              </w:rPr>
            </w:pPr>
            <w:r>
              <w:rPr>
                <w:rFonts w:ascii="宋体" w:eastAsia="宋体" w:hAnsi="宋体" w:cs="宋体" w:hint="eastAsia"/>
                <w:color w:val="000000"/>
                <w:sz w:val="21"/>
                <w:szCs w:val="21"/>
                <w:lang w:eastAsia="zh-CN"/>
              </w:rPr>
              <w:t>考察以上4点，满足4点得80分，满足3点得60分，满足2点得40分，满足1点得20分，未满足不得分。</w:t>
            </w:r>
          </w:p>
          <w:p>
            <w:pPr>
              <w:widowControl/>
              <w:jc w:val="left"/>
              <w:rPr>
                <w:rFonts w:ascii="宋体" w:eastAsia="宋体" w:hAnsi="宋体" w:cs="宋体" w:hint="eastAsia"/>
                <w:kern w:val="2"/>
                <w:sz w:val="21"/>
                <w:lang w:eastAsia="zh-CN"/>
              </w:rPr>
            </w:pPr>
            <w:r>
              <w:rPr>
                <w:rFonts w:ascii="宋体" w:eastAsia="宋体" w:hAnsi="宋体" w:cs="宋体" w:hint="eastAsia"/>
                <w:kern w:val="2"/>
                <w:sz w:val="21"/>
                <w:lang w:eastAsia="zh-CN"/>
              </w:rPr>
              <w:t>在此基础上，根据方案整体全面性、具体性、针对性、科学合理性、可行性进行评分，本项最高加20分。</w:t>
            </w:r>
          </w:p>
          <w:p>
            <w:pPr>
              <w:widowControl/>
              <w:jc w:val="left"/>
              <w:rPr>
                <w:rFonts w:ascii="宋体" w:eastAsia="宋体" w:hAnsi="宋体" w:cs="宋体"/>
                <w:kern w:val="2"/>
                <w:sz w:val="21"/>
                <w:lang w:eastAsia="zh-CN"/>
              </w:rPr>
            </w:pPr>
            <w:r>
              <w:rPr>
                <w:rFonts w:ascii="宋体" w:eastAsia="宋体" w:hAnsi="宋体" w:cs="宋体" w:hint="eastAsia"/>
                <w:kern w:val="2"/>
                <w:sz w:val="21"/>
                <w:lang w:eastAsia="zh-CN"/>
              </w:rPr>
              <w:t>（1）投标文件响应内容全面；</w:t>
            </w:r>
          </w:p>
          <w:p>
            <w:pPr>
              <w:widowControl/>
              <w:jc w:val="left"/>
              <w:rPr>
                <w:rFonts w:ascii="宋体" w:eastAsia="宋体" w:hAnsi="宋体" w:cs="宋体"/>
                <w:kern w:val="2"/>
                <w:sz w:val="21"/>
                <w:lang w:eastAsia="zh-CN"/>
              </w:rPr>
            </w:pPr>
            <w:r>
              <w:rPr>
                <w:rFonts w:ascii="宋体" w:eastAsia="宋体" w:hAnsi="宋体" w:cs="宋体" w:hint="eastAsia"/>
                <w:kern w:val="2"/>
                <w:sz w:val="21"/>
                <w:lang w:eastAsia="zh-CN"/>
              </w:rPr>
              <w:t>（2）投标文件响应内容具体；</w:t>
            </w:r>
          </w:p>
          <w:p>
            <w:pPr>
              <w:widowControl/>
              <w:jc w:val="left"/>
              <w:rPr>
                <w:rFonts w:ascii="宋体" w:eastAsia="宋体" w:hAnsi="宋体" w:cs="宋体"/>
                <w:kern w:val="2"/>
                <w:sz w:val="21"/>
                <w:lang w:eastAsia="zh-CN"/>
              </w:rPr>
            </w:pPr>
            <w:r>
              <w:rPr>
                <w:rFonts w:ascii="宋体" w:eastAsia="宋体" w:hAnsi="宋体" w:cs="宋体" w:hint="eastAsia"/>
                <w:kern w:val="2"/>
                <w:sz w:val="21"/>
                <w:lang w:eastAsia="zh-CN"/>
              </w:rPr>
              <w:t>（3）投标文件响应内容针对性强；</w:t>
            </w:r>
          </w:p>
          <w:p>
            <w:pPr>
              <w:widowControl/>
              <w:jc w:val="left"/>
              <w:rPr>
                <w:rFonts w:ascii="宋体" w:eastAsia="宋体" w:hAnsi="宋体" w:cs="宋体"/>
                <w:kern w:val="2"/>
                <w:sz w:val="21"/>
                <w:lang w:eastAsia="zh-CN"/>
              </w:rPr>
            </w:pPr>
            <w:r>
              <w:rPr>
                <w:rFonts w:ascii="宋体" w:eastAsia="宋体" w:hAnsi="宋体" w:cs="宋体" w:hint="eastAsia"/>
                <w:kern w:val="2"/>
                <w:sz w:val="21"/>
                <w:lang w:eastAsia="zh-CN"/>
              </w:rPr>
              <w:t>（4）投标文件响应内容科学合理；</w:t>
            </w:r>
          </w:p>
          <w:p>
            <w:pPr>
              <w:widowControl/>
              <w:jc w:val="left"/>
              <w:rPr>
                <w:rFonts w:ascii="宋体" w:eastAsia="宋体" w:hAnsi="宋体" w:cs="宋体"/>
                <w:kern w:val="2"/>
                <w:sz w:val="21"/>
                <w:lang w:eastAsia="zh-CN"/>
              </w:rPr>
            </w:pPr>
            <w:r>
              <w:rPr>
                <w:rFonts w:ascii="宋体" w:eastAsia="宋体" w:hAnsi="宋体" w:cs="宋体" w:hint="eastAsia"/>
                <w:kern w:val="2"/>
                <w:sz w:val="21"/>
                <w:lang w:eastAsia="zh-CN"/>
              </w:rPr>
              <w:t>（5）投标文件响应内容可行性强。</w:t>
            </w:r>
          </w:p>
          <w:p>
            <w:pPr>
              <w:widowControl w:val="0"/>
              <w:wordWrap w:val="0"/>
              <w:jc w:val="both"/>
              <w:rPr>
                <w:rFonts w:ascii="宋体" w:eastAsia="宋体" w:hAnsi="宋体" w:cs="宋体"/>
                <w:sz w:val="21"/>
                <w:lang w:eastAsia="zh-CN"/>
              </w:rPr>
            </w:pPr>
            <w:r>
              <w:rPr>
                <w:rFonts w:ascii="宋体" w:eastAsia="宋体" w:hAnsi="宋体" w:cs="宋体" w:hint="eastAsia"/>
                <w:sz w:val="21"/>
                <w:lang w:eastAsia="zh-CN"/>
              </w:rPr>
              <w:t>满足以上5项要求的评价为优，加20分。</w:t>
            </w:r>
          </w:p>
          <w:p>
            <w:pPr>
              <w:widowControl w:val="0"/>
              <w:wordWrap w:val="0"/>
              <w:jc w:val="both"/>
              <w:rPr>
                <w:rFonts w:ascii="宋体" w:eastAsia="宋体" w:hAnsi="宋体" w:cs="宋体"/>
                <w:sz w:val="21"/>
                <w:lang w:eastAsia="zh-CN"/>
              </w:rPr>
            </w:pPr>
            <w:r>
              <w:rPr>
                <w:rFonts w:ascii="宋体" w:eastAsia="宋体" w:hAnsi="宋体" w:cs="宋体" w:hint="eastAsia"/>
                <w:sz w:val="21"/>
                <w:lang w:eastAsia="zh-CN"/>
              </w:rPr>
              <w:t>满足以上4项要求的评价为良，加10分。</w:t>
            </w:r>
          </w:p>
          <w:p>
            <w:pPr>
              <w:widowControl w:val="0"/>
              <w:wordWrap w:val="0"/>
              <w:jc w:val="both"/>
              <w:rPr>
                <w:rFonts w:ascii="宋体" w:eastAsia="宋体" w:hAnsi="宋体" w:cs="宋体"/>
                <w:sz w:val="21"/>
                <w:lang w:eastAsia="zh-CN"/>
              </w:rPr>
            </w:pPr>
            <w:r>
              <w:rPr>
                <w:rFonts w:ascii="宋体" w:eastAsia="宋体" w:hAnsi="宋体" w:cs="宋体" w:hint="eastAsia"/>
                <w:sz w:val="21"/>
                <w:lang w:eastAsia="zh-CN"/>
              </w:rPr>
              <w:t>满足以上3项要求的评价为中，加5分。</w:t>
            </w:r>
          </w:p>
          <w:p>
            <w:pPr>
              <w:widowControl w:val="0"/>
              <w:jc w:val="left"/>
              <w:rPr>
                <w:rFonts w:ascii="宋体" w:eastAsia="宋体" w:hAnsi="宋体" w:cs="宋体" w:hint="eastAsia"/>
                <w:sz w:val="21"/>
                <w:lang w:eastAsia="zh-CN"/>
              </w:rPr>
            </w:pPr>
            <w:r>
              <w:rPr>
                <w:rFonts w:ascii="宋体" w:eastAsia="宋体" w:hAnsi="宋体" w:cs="宋体" w:hint="eastAsia"/>
                <w:sz w:val="21"/>
                <w:lang w:eastAsia="zh-CN"/>
              </w:rPr>
              <w:t>其它情况的评价为差，不加分。</w:t>
            </w:r>
          </w:p>
          <w:p>
            <w:pPr>
              <w:widowControl w:val="0"/>
              <w:jc w:val="left"/>
              <w:rPr>
                <w:rFonts w:ascii="宋体" w:eastAsia="宋体" w:hAnsi="宋体" w:cs="宋体"/>
                <w:b/>
                <w:i/>
                <w:kern w:val="2"/>
                <w:sz w:val="21"/>
                <w:u w:val="single"/>
                <w:lang w:eastAsia="zh-CN"/>
              </w:rPr>
            </w:pPr>
            <w:r>
              <w:rPr>
                <w:rFonts w:ascii="宋体" w:eastAsia="宋体" w:hAnsi="宋体" w:cs="宋体" w:hint="eastAsia"/>
                <w:color w:val="000000"/>
                <w:sz w:val="21"/>
                <w:lang w:eastAsia="zh-CN"/>
              </w:rPr>
              <w:t>如果评审为差，要求专家书面说明理由，并记录在档。</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bCs/>
                <w:iCs/>
                <w:kern w:val="2"/>
                <w:sz w:val="21"/>
                <w:lang w:eastAsia="zh-CN"/>
              </w:rPr>
              <w:t>合计最高得100分。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70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2</w:t>
            </w:r>
          </w:p>
        </w:tc>
        <w:tc>
          <w:tcPr>
            <w:tcW w:w="168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项目重点难点分析、应对措施及相关的合理化建议</w:t>
            </w:r>
          </w:p>
        </w:tc>
        <w:tc>
          <w:tcPr>
            <w:tcW w:w="1126" w:type="dxa"/>
            <w:vAlign w:val="center"/>
          </w:tcPr>
          <w:p>
            <w:pPr>
              <w:widowControl w:val="0"/>
              <w:wordWrap w:val="0"/>
              <w:jc w:val="center"/>
              <w:rPr>
                <w:rFonts w:ascii="宋体" w:eastAsia="宋体" w:hAnsi="宋体" w:cs="宋体"/>
                <w:kern w:val="2"/>
                <w:sz w:val="21"/>
                <w:szCs w:val="21"/>
                <w:lang w:eastAsia="zh-CN"/>
              </w:rPr>
            </w:pPr>
            <w:r>
              <w:rPr>
                <w:rFonts w:ascii="宋体" w:eastAsia="宋体" w:hAnsi="宋体" w:hint="eastAsia"/>
                <w:kern w:val="2"/>
                <w:sz w:val="21"/>
                <w:szCs w:val="21"/>
                <w:lang w:eastAsia="zh-CN"/>
              </w:rPr>
              <w:t>10</w:t>
            </w:r>
          </w:p>
        </w:tc>
        <w:tc>
          <w:tcPr>
            <w:tcW w:w="4856" w:type="dxa"/>
            <w:vAlign w:val="center"/>
          </w:tcPr>
          <w:p>
            <w:pPr>
              <w:widowControl w:val="0"/>
              <w:autoSpaceDE w:val="0"/>
              <w:autoSpaceDN w:val="0"/>
              <w:spacing w:before="2"/>
              <w:jc w:val="left"/>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（一）评审内容：</w:t>
            </w:r>
          </w:p>
          <w:p>
            <w:pPr>
              <w:widowControl w:val="0"/>
              <w:autoSpaceDE w:val="0"/>
              <w:autoSpaceDN w:val="0"/>
              <w:spacing w:before="2"/>
              <w:jc w:val="both"/>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根据投标人所提供的项目重点难点分析、应对措施及相关的合理化建议进行评分：</w:t>
            </w:r>
          </w:p>
          <w:p>
            <w:pPr>
              <w:widowControl w:val="0"/>
              <w:autoSpaceDE w:val="0"/>
              <w:autoSpaceDN w:val="0"/>
              <w:spacing w:before="2"/>
              <w:jc w:val="both"/>
              <w:rPr>
                <w:rFonts w:ascii="宋体" w:eastAsia="宋体" w:hAnsi="宋体" w:cs="宋体"/>
                <w:kern w:val="2"/>
                <w:sz w:val="21"/>
                <w:lang w:val="zh-CN" w:eastAsia="zh-CN" w:bidi="zh-CN"/>
              </w:rPr>
            </w:pPr>
            <w:r>
              <w:rPr>
                <w:rFonts w:ascii="宋体" w:eastAsia="宋体" w:hAnsi="宋体" w:cs="宋体"/>
                <w:kern w:val="2"/>
                <w:sz w:val="21"/>
                <w:lang w:val="zh-CN" w:eastAsia="zh-CN" w:bidi="zh-CN"/>
              </w:rPr>
              <w:t>1.</w:t>
            </w:r>
            <w:r>
              <w:rPr>
                <w:rFonts w:ascii="宋体" w:eastAsia="宋体" w:hAnsi="宋体" w:cs="宋体" w:hint="eastAsia"/>
                <w:kern w:val="2"/>
                <w:sz w:val="21"/>
                <w:lang w:val="zh-CN" w:eastAsia="zh-CN" w:bidi="zh-CN"/>
              </w:rPr>
              <w:t>重难点分析</w:t>
            </w:r>
            <w:r>
              <w:rPr>
                <w:rFonts w:ascii="宋体" w:eastAsia="宋体" w:hAnsi="宋体" w:cs="宋体"/>
                <w:kern w:val="2"/>
                <w:sz w:val="21"/>
                <w:lang w:val="zh-CN" w:eastAsia="zh-CN" w:bidi="zh-CN"/>
              </w:rPr>
              <w:t>；</w:t>
            </w:r>
          </w:p>
          <w:p>
            <w:pPr>
              <w:widowControl w:val="0"/>
              <w:autoSpaceDE w:val="0"/>
              <w:autoSpaceDN w:val="0"/>
              <w:spacing w:before="2"/>
              <w:jc w:val="both"/>
              <w:rPr>
                <w:rFonts w:ascii="宋体" w:eastAsia="宋体" w:hAnsi="宋体" w:cs="宋体"/>
                <w:kern w:val="2"/>
                <w:sz w:val="21"/>
                <w:lang w:val="zh-CN" w:eastAsia="zh-CN" w:bidi="zh-CN"/>
              </w:rPr>
            </w:pPr>
            <w:r>
              <w:rPr>
                <w:rFonts w:ascii="宋体" w:eastAsia="宋体" w:hAnsi="宋体" w:cs="宋体"/>
                <w:kern w:val="2"/>
                <w:sz w:val="21"/>
                <w:lang w:val="zh-CN" w:eastAsia="zh-CN" w:bidi="zh-CN"/>
              </w:rPr>
              <w:t>2.能针对项目重点难点逐项提出应对措施；</w:t>
            </w:r>
          </w:p>
          <w:p>
            <w:pPr>
              <w:widowControl w:val="0"/>
              <w:autoSpaceDE w:val="0"/>
              <w:autoSpaceDN w:val="0"/>
              <w:spacing w:before="2"/>
              <w:jc w:val="both"/>
              <w:rPr>
                <w:rFonts w:ascii="宋体" w:eastAsia="宋体" w:hAnsi="宋体" w:cs="宋体"/>
                <w:kern w:val="2"/>
                <w:sz w:val="21"/>
                <w:lang w:val="zh-CN" w:eastAsia="zh-CN" w:bidi="zh-CN"/>
              </w:rPr>
            </w:pPr>
            <w:r>
              <w:rPr>
                <w:rFonts w:ascii="宋体" w:eastAsia="宋体" w:hAnsi="宋体" w:cs="宋体"/>
                <w:kern w:val="2"/>
                <w:sz w:val="21"/>
                <w:lang w:val="zh-CN" w:eastAsia="zh-CN" w:bidi="zh-CN"/>
              </w:rPr>
              <w:t>3.相关的合理化建议</w:t>
            </w:r>
            <w:r>
              <w:rPr>
                <w:rFonts w:ascii="宋体" w:eastAsia="宋体" w:hAnsi="宋体" w:cs="宋体" w:hint="eastAsia"/>
                <w:kern w:val="2"/>
                <w:sz w:val="21"/>
                <w:lang w:val="zh-CN" w:eastAsia="zh-CN" w:bidi="zh-CN"/>
              </w:rPr>
              <w:t>。</w:t>
            </w:r>
          </w:p>
          <w:p>
            <w:pPr>
              <w:widowControl w:val="0"/>
              <w:wordWrap w:val="0"/>
              <w:autoSpaceDE w:val="0"/>
              <w:autoSpaceDN w:val="0"/>
              <w:spacing w:before="2"/>
              <w:jc w:val="both"/>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（二）评分依据</w:t>
            </w:r>
          </w:p>
          <w:p>
            <w:pPr>
              <w:widowControl w:val="0"/>
              <w:wordWrap w:val="0"/>
              <w:autoSpaceDE w:val="0"/>
              <w:autoSpaceDN w:val="0"/>
              <w:spacing w:before="2"/>
              <w:ind w:firstLine="0"/>
              <w:jc w:val="both"/>
              <w:rPr>
                <w:rFonts w:ascii="宋体" w:eastAsia="宋体" w:hAnsi="宋体" w:cs="宋体"/>
                <w:kern w:val="2"/>
                <w:sz w:val="21"/>
                <w:lang w:val="zh-CN" w:eastAsia="zh-CN" w:bidi="zh-CN"/>
              </w:rPr>
            </w:pPr>
            <w:r>
              <w:rPr>
                <w:rFonts w:ascii="宋体" w:eastAsia="宋体" w:hAnsi="宋体" w:cs="宋体" w:hint="eastAsia"/>
                <w:kern w:val="2"/>
                <w:sz w:val="21"/>
                <w:lang w:val="zh-CN" w:eastAsia="zh-CN" w:bidi="zh-CN"/>
              </w:rPr>
              <w:t>满足以上三项要求的得80分，满足其中二项要求的得50分，满足其中一项要求的得20分，其他情况不得分。</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在此基础上，专家根据各供应商的具体响应内容按照量化的评审因素指标进一步评审：</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评审为优：内容完整准确，思路清晰，贴合实际情况，方案内容详实具体、建议措施针对性强，且有较强的可执行性，得20分；</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评审为良：内容完整准确，思路清晰，贴合实际情况，方案内容详实具体，但建议措施针对性一般，可执行性一般，得10分；</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评审为中：方案内容简单，建议措施针对性一般，可执行性一般，得5分；</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评审为差：方案内容简单，可执行性差，得0分。</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lang w:val="zh-CN" w:eastAsia="zh-CN" w:bidi="zh-CN"/>
              </w:rPr>
              <w:t>如果评审为差，要求专家书面说明理由，并记录在档。</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70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3</w:t>
            </w:r>
          </w:p>
        </w:tc>
        <w:tc>
          <w:tcPr>
            <w:tcW w:w="168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质量（完成时间、安全、环保）保障措施及方案</w:t>
            </w:r>
          </w:p>
        </w:tc>
        <w:tc>
          <w:tcPr>
            <w:tcW w:w="1126"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5</w:t>
            </w:r>
          </w:p>
        </w:tc>
        <w:tc>
          <w:tcPr>
            <w:tcW w:w="4856" w:type="dxa"/>
            <w:vAlign w:val="center"/>
          </w:tcPr>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（一）评审内容：</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根据对项目的理解及自身管理经验，针对本项目提出质量（完成时间、安全）保障措施及方案。包括但不限于以下内容：</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1.项目进度计划管理方案；</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2.项目质量管理方案；</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3.专用工具情况；</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4.项目实施风险与应对策略。</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（二）评分依据</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1.投标人提供的《质量保障措施及方案》满足上述4项考察内容的，得60分，缺少一项扣15分。</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sz w:val="21"/>
                <w:szCs w:val="21"/>
                <w:lang w:eastAsia="zh-CN"/>
              </w:rPr>
              <w:t>2.</w:t>
            </w:r>
            <w:r>
              <w:rPr>
                <w:rFonts w:eastAsia="宋体"/>
                <w:lang w:eastAsia="zh-CN"/>
              </w:rPr>
              <w:t xml:space="preserve"> </w:t>
            </w:r>
            <w:r>
              <w:rPr>
                <w:rFonts w:ascii="宋体" w:eastAsia="宋体" w:hAnsi="宋体" w:cs="宋体" w:hint="eastAsia"/>
                <w:sz w:val="21"/>
                <w:szCs w:val="21"/>
                <w:lang w:eastAsia="zh-CN"/>
              </w:rPr>
              <w:t>在此基础上，专家根据各供应商的具体响应内容按照量化的评审因素指标进一步评审。</w:t>
            </w:r>
            <w:r>
              <w:rPr>
                <w:rFonts w:ascii="宋体" w:eastAsia="宋体" w:hAnsi="宋体" w:cs="宋体"/>
                <w:sz w:val="21"/>
                <w:szCs w:val="21"/>
                <w:lang w:eastAsia="zh-CN"/>
              </w:rPr>
              <w:t xml:space="preserve"> </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优评分标准：方案内容全面、具体，可行性高，加40分；</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良评分标准：方案内容较全面，可行性较高，加20分；</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中评分标准：方案全面性、可行性一般，加10分；</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lang w:eastAsia="zh-CN"/>
              </w:rPr>
              <w:t>差评分标准：方案不全，可行性低，不加分。如果评分为差，专家须书面说明理由，并 记录在档。</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70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4</w:t>
            </w:r>
          </w:p>
        </w:tc>
        <w:tc>
          <w:tcPr>
            <w:tcW w:w="168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项目完成（服务期满）后的服务承诺</w:t>
            </w:r>
          </w:p>
        </w:tc>
        <w:tc>
          <w:tcPr>
            <w:tcW w:w="1126"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lang w:eastAsia="zh-CN"/>
              </w:rPr>
              <w:t>3</w:t>
            </w:r>
          </w:p>
        </w:tc>
        <w:tc>
          <w:tcPr>
            <w:tcW w:w="4856" w:type="dxa"/>
            <w:vAlign w:val="top"/>
          </w:tcPr>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（一）评审内容：根据对项目的理解及自身管理经验，提出项目完成（服务期满）后的服务承诺。包括但不限于以下内容：</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sz w:val="21"/>
                <w:szCs w:val="21"/>
                <w:lang w:eastAsia="zh-CN"/>
              </w:rPr>
              <w:t xml:space="preserve">1）服务期满后主动离岗； </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w:t>
            </w:r>
            <w:r>
              <w:rPr>
                <w:rFonts w:ascii="宋体" w:eastAsia="宋体" w:hAnsi="宋体" w:cs="宋体"/>
                <w:sz w:val="21"/>
                <w:szCs w:val="21"/>
                <w:lang w:eastAsia="zh-CN"/>
              </w:rPr>
              <w:t xml:space="preserve">2）与后续服务公司进行交接； </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lang w:eastAsia="zh-CN"/>
              </w:rPr>
              <w:t>（</w:t>
            </w:r>
            <w:r>
              <w:rPr>
                <w:rFonts w:ascii="宋体" w:eastAsia="宋体" w:hAnsi="宋体" w:cs="宋体"/>
                <w:sz w:val="21"/>
                <w:lang w:eastAsia="zh-CN"/>
              </w:rPr>
              <w:t>3）服务期满，后续服务公司未到位前仍按原合同服务承诺提供服务。</w:t>
            </w:r>
          </w:p>
          <w:p>
            <w:pPr>
              <w:widowControl/>
              <w:autoSpaceDE w:val="0"/>
              <w:autoSpaceDN w:val="0"/>
              <w:adjustRightInd w:val="0"/>
              <w:jc w:val="left"/>
              <w:rPr>
                <w:rFonts w:ascii="宋体" w:eastAsia="宋体" w:hAnsi="宋体" w:cs="宋体"/>
                <w:sz w:val="21"/>
                <w:szCs w:val="21"/>
                <w:lang w:eastAsia="zh-CN"/>
              </w:rPr>
            </w:pPr>
            <w:r>
              <w:rPr>
                <w:rFonts w:ascii="宋体" w:eastAsia="宋体" w:hAnsi="宋体" w:cs="宋体" w:hint="eastAsia"/>
                <w:sz w:val="21"/>
                <w:szCs w:val="21"/>
                <w:lang w:eastAsia="zh-CN"/>
              </w:rPr>
              <w:t>（二）评分依据：</w:t>
            </w:r>
          </w:p>
          <w:p>
            <w:pPr>
              <w:widowControl/>
              <w:autoSpaceDE w:val="0"/>
              <w:autoSpaceDN w:val="0"/>
              <w:adjustRightInd w:val="0"/>
              <w:jc w:val="left"/>
              <w:rPr>
                <w:rFonts w:eastAsia="宋体" w:hAnsi="宋体" w:cs="宋体" w:hint="eastAsia"/>
                <w:szCs w:val="21"/>
                <w:lang w:eastAsia="zh-CN"/>
              </w:rPr>
            </w:pPr>
            <w:r>
              <w:rPr>
                <w:rFonts w:ascii="宋体" w:eastAsia="宋体" w:hAnsi="宋体" w:cs="宋体" w:hint="eastAsia"/>
                <w:sz w:val="21"/>
                <w:szCs w:val="21"/>
                <w:lang w:eastAsia="zh-CN"/>
              </w:rPr>
              <w:t>要求提供承诺（格式自定）作为得分依据，未提供承诺或承诺内容不满足要求不得分。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70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5</w:t>
            </w:r>
          </w:p>
        </w:tc>
        <w:tc>
          <w:tcPr>
            <w:tcW w:w="168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违约承诺</w:t>
            </w:r>
          </w:p>
        </w:tc>
        <w:tc>
          <w:tcPr>
            <w:tcW w:w="1126"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lang w:eastAsia="zh-CN"/>
              </w:rPr>
              <w:t>3</w:t>
            </w:r>
          </w:p>
        </w:tc>
        <w:tc>
          <w:tcPr>
            <w:tcW w:w="4856" w:type="dxa"/>
            <w:vAlign w:val="top"/>
          </w:tcPr>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（一）评审内容：</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承诺满足违约责任的全部内容，并提供《违约承诺函》。</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（二）评分依据</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1.提供《违约承诺函》且承诺满足上述考察内容的，得 100 分；</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2.未提供《违约承诺函》或提供的《违约承诺函》未能体现承诺满足上述考察内容的，</w:t>
            </w:r>
          </w:p>
          <w:p>
            <w:pPr>
              <w:widowControl w:val="0"/>
              <w:jc w:val="both"/>
              <w:rPr>
                <w:rFonts w:eastAsia="宋体" w:hAnsi="宋体" w:cs="宋体" w:hint="eastAsia"/>
                <w:kern w:val="2"/>
                <w:sz w:val="21"/>
                <w:szCs w:val="21"/>
                <w:lang w:eastAsia="zh-CN"/>
              </w:rPr>
            </w:pPr>
            <w:r>
              <w:rPr>
                <w:rFonts w:ascii="宋体" w:eastAsia="宋体" w:hAnsi="宋体" w:cs="宋体" w:hint="eastAsia"/>
                <w:kern w:val="2"/>
                <w:sz w:val="21"/>
                <w:lang w:eastAsia="zh-CN"/>
              </w:rPr>
              <w:t>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70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6</w:t>
            </w:r>
          </w:p>
        </w:tc>
        <w:tc>
          <w:tcPr>
            <w:tcW w:w="168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拟安排的项目负责人情况（仅限一人）</w:t>
            </w:r>
          </w:p>
        </w:tc>
        <w:tc>
          <w:tcPr>
            <w:tcW w:w="1126"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lang w:eastAsia="zh-CN"/>
              </w:rPr>
              <w:t>7</w:t>
            </w:r>
          </w:p>
        </w:tc>
        <w:tc>
          <w:tcPr>
            <w:tcW w:w="4856" w:type="dxa"/>
            <w:vAlign w:val="top"/>
          </w:tcPr>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（一）评分内容：</w:t>
            </w:r>
          </w:p>
          <w:p>
            <w:pPr>
              <w:widowControl w:val="0"/>
              <w:wordWrap w:val="0"/>
              <w:autoSpaceDE w:val="0"/>
              <w:autoSpaceDN w:val="0"/>
              <w:spacing w:before="2"/>
              <w:jc w:val="both"/>
              <w:rPr>
                <w:rFonts w:ascii="宋体" w:eastAsia="宋体" w:hAnsi="宋体" w:cs="宋体" w:hint="eastAsia"/>
                <w:b/>
                <w:bCs/>
                <w:kern w:val="2"/>
                <w:sz w:val="21"/>
                <w:lang w:val="zh-CN" w:eastAsia="zh-CN" w:bidi="zh-CN"/>
              </w:rPr>
            </w:pPr>
            <w:r>
              <w:rPr>
                <w:rFonts w:ascii="宋体" w:eastAsia="宋体" w:hAnsi="宋体" w:cs="宋体" w:hint="eastAsia"/>
                <w:b/>
                <w:bCs/>
                <w:kern w:val="2"/>
                <w:sz w:val="21"/>
                <w:lang w:val="zh-CN" w:eastAsia="zh-CN" w:bidi="zh-CN"/>
              </w:rPr>
              <w:t>拟安排项目负责人为投标单位自有员工，否则本项不得分。</w:t>
            </w:r>
            <w:r>
              <w:rPr>
                <w:rFonts w:ascii="宋体" w:eastAsia="宋体" w:hAnsi="宋体" w:cs="宋体" w:hint="eastAsia"/>
                <w:b/>
                <w:kern w:val="2"/>
                <w:sz w:val="21"/>
                <w:lang w:eastAsia="zh-CN"/>
              </w:rPr>
              <w:t>在此基础上考察学历和专业证书：</w:t>
            </w:r>
          </w:p>
          <w:p>
            <w:pPr>
              <w:widowControl w:val="0"/>
              <w:jc w:val="both"/>
              <w:rPr>
                <w:rFonts w:ascii="宋体" w:eastAsia="宋体" w:hAnsi="宋体" w:cs="宋体" w:hint="eastAsia"/>
                <w:kern w:val="2"/>
                <w:sz w:val="21"/>
                <w:lang w:eastAsia="zh-CN"/>
              </w:rPr>
            </w:pPr>
            <w:r>
              <w:rPr>
                <w:rFonts w:ascii="宋体" w:eastAsia="宋体" w:hAnsi="宋体" w:cs="宋体"/>
                <w:kern w:val="2"/>
                <w:sz w:val="21"/>
                <w:lang w:val="zh-CN" w:eastAsia="zh-CN" w:bidi="zh-CN"/>
              </w:rPr>
              <w:t>1.</w:t>
            </w:r>
            <w:r>
              <w:rPr>
                <w:rFonts w:ascii="宋体" w:eastAsia="宋体" w:hAnsi="宋体" w:cs="宋体" w:hint="eastAsia"/>
                <w:kern w:val="2"/>
                <w:sz w:val="21"/>
                <w:lang w:val="zh-CN" w:eastAsia="zh-CN" w:bidi="zh-CN"/>
              </w:rPr>
              <w:t>具有</w:t>
            </w:r>
            <w:r>
              <w:rPr>
                <w:rFonts w:ascii="宋体" w:eastAsia="宋体" w:hAnsi="宋体" w:cs="宋体" w:hint="eastAsia"/>
                <w:bCs/>
                <w:kern w:val="2"/>
                <w:sz w:val="21"/>
                <w:lang w:eastAsia="zh-CN"/>
              </w:rPr>
              <w:t>信息工程类或信息安全类相关专业</w:t>
            </w:r>
            <w:r>
              <w:rPr>
                <w:rFonts w:ascii="宋体" w:eastAsia="宋体" w:hAnsi="宋体" w:cs="宋体" w:hint="eastAsia"/>
                <w:kern w:val="2"/>
                <w:sz w:val="21"/>
                <w:lang w:eastAsia="zh-CN" w:bidi="zh-CN"/>
              </w:rPr>
              <w:t>本科及以上学历的，得10分。</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2.具有国家信息安全漏洞共享平台(CNVD)原创漏洞证书的，每提供一个得5分，本项最高得10分；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3.具有信息技术（信息安全）专业专业技术职务任职资格证书的</w:t>
            </w:r>
            <w:r>
              <w:rPr>
                <w:rFonts w:ascii="宋体" w:eastAsia="宋体" w:hAnsi="宋体" w:cs="宋体" w:hint="eastAsia"/>
                <w:kern w:val="2"/>
                <w:sz w:val="21"/>
                <w:lang w:eastAsia="zh-CN"/>
              </w:rPr>
              <w:t>，</w:t>
            </w:r>
            <w:r>
              <w:rPr>
                <w:rFonts w:ascii="宋体" w:eastAsia="宋体" w:hAnsi="宋体" w:cs="宋体" w:hint="eastAsia"/>
                <w:kern w:val="2"/>
                <w:sz w:val="21"/>
                <w:lang w:eastAsia="zh-CN"/>
              </w:rPr>
              <w:t>资格名称为高级工程师的，</w:t>
            </w:r>
            <w:r>
              <w:rPr>
                <w:rFonts w:ascii="宋体" w:eastAsia="宋体" w:hAnsi="宋体" w:cs="宋体" w:hint="eastAsia"/>
                <w:kern w:val="2"/>
                <w:sz w:val="21"/>
                <w:lang w:eastAsia="zh-CN"/>
              </w:rPr>
              <w:t>得40分；</w:t>
            </w:r>
            <w:r>
              <w:rPr>
                <w:rFonts w:ascii="宋体" w:eastAsia="宋体" w:hAnsi="宋体" w:cs="宋体" w:hint="eastAsia"/>
                <w:kern w:val="2"/>
                <w:sz w:val="21"/>
                <w:lang w:eastAsia="zh-CN"/>
              </w:rPr>
              <w:t>资格名称为中级工程师</w:t>
            </w:r>
            <w:r>
              <w:rPr>
                <w:rFonts w:ascii="宋体" w:eastAsia="宋体" w:hAnsi="宋体" w:cs="宋体" w:hint="eastAsia"/>
                <w:kern w:val="2"/>
                <w:sz w:val="21"/>
                <w:lang w:eastAsia="zh-CN"/>
              </w:rPr>
              <w:t>的</w:t>
            </w:r>
            <w:r>
              <w:rPr>
                <w:rFonts w:ascii="宋体" w:eastAsia="宋体" w:hAnsi="宋体" w:cs="宋体" w:hint="eastAsia"/>
                <w:kern w:val="2"/>
                <w:sz w:val="21"/>
                <w:lang w:eastAsia="zh-CN"/>
              </w:rPr>
              <w:t>，</w:t>
            </w:r>
            <w:r>
              <w:rPr>
                <w:rFonts w:ascii="宋体" w:eastAsia="宋体" w:hAnsi="宋体" w:cs="宋体" w:hint="eastAsia"/>
                <w:kern w:val="2"/>
                <w:sz w:val="21"/>
                <w:lang w:eastAsia="zh-CN"/>
              </w:rPr>
              <w:t>得15分</w:t>
            </w:r>
            <w:r>
              <w:rPr>
                <w:rFonts w:ascii="宋体" w:eastAsia="宋体" w:hAnsi="宋体" w:cs="宋体" w:hint="eastAsia"/>
                <w:kern w:val="2"/>
                <w:sz w:val="21"/>
                <w:lang w:eastAsia="zh-CN"/>
              </w:rPr>
              <w:t>；</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4.具有公安部等级保护评估中心颁发的信息安全等级测评师中级或以上证书的，得20分；</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5.具有由国家人力资源和社会保障部、工业和信息化部批准颁发的</w:t>
            </w:r>
            <w:r>
              <w:rPr>
                <w:rFonts w:ascii="宋体" w:eastAsia="宋体" w:hAnsi="宋体" w:hint="eastAsia"/>
                <w:kern w:val="2"/>
                <w:sz w:val="21"/>
                <w:lang w:eastAsia="zh-CN"/>
              </w:rPr>
              <w:t>信息系统项目管理师</w:t>
            </w:r>
            <w:r>
              <w:rPr>
                <w:rFonts w:ascii="宋体" w:eastAsia="宋体" w:hAnsi="宋体" w:cs="宋体" w:hint="eastAsia"/>
                <w:kern w:val="2"/>
                <w:sz w:val="21"/>
                <w:lang w:eastAsia="zh-CN"/>
              </w:rPr>
              <w:t>专业资格的，得10分；</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5.具有中国信息安全测评中心颁发的注册信息安全管理人员（CISO）证书的，得10分。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（二）评分依据：</w:t>
            </w:r>
          </w:p>
          <w:p>
            <w:pPr>
              <w:widowControl w:val="0"/>
              <w:jc w:val="both"/>
              <w:rPr>
                <w:rFonts w:ascii="宋体" w:eastAsia="宋体" w:hAnsi="宋体" w:cs="宋体"/>
                <w:color w:val="000000"/>
                <w:kern w:val="2"/>
                <w:sz w:val="21"/>
                <w:lang w:eastAsia="zh-CN"/>
              </w:rPr>
            </w:pPr>
            <w:r>
              <w:rPr>
                <w:rFonts w:ascii="宋体" w:eastAsia="宋体" w:hAnsi="宋体" w:cs="宋体" w:hint="eastAsia"/>
                <w:color w:val="000000"/>
                <w:kern w:val="2"/>
                <w:sz w:val="21"/>
                <w:lang w:eastAsia="zh-CN"/>
              </w:rPr>
              <w:t>按照以下要求提供证明材料：</w:t>
            </w:r>
          </w:p>
          <w:p>
            <w:pPr>
              <w:widowControl w:val="0"/>
              <w:jc w:val="both"/>
              <w:rPr>
                <w:rFonts w:ascii="宋体" w:eastAsia="宋体" w:hAnsi="宋体" w:cs="宋体"/>
                <w:color w:val="000000"/>
                <w:kern w:val="2"/>
                <w:sz w:val="21"/>
                <w:lang w:eastAsia="zh-CN"/>
              </w:rPr>
            </w:pPr>
            <w:r>
              <w:rPr>
                <w:rFonts w:ascii="宋体" w:eastAsia="宋体" w:hAnsi="宋体" w:cs="宋体" w:hint="eastAsia"/>
                <w:color w:val="000000"/>
                <w:kern w:val="2"/>
                <w:sz w:val="21"/>
                <w:lang w:eastAsia="zh-CN"/>
              </w:rPr>
              <w:t>1.</w:t>
            </w:r>
            <w:r>
              <w:rPr>
                <w:rFonts w:ascii="宋体" w:eastAsia="宋体" w:hAnsi="宋体" w:cs="宋体" w:hint="eastAsia"/>
                <w:kern w:val="2"/>
                <w:sz w:val="21"/>
                <w:lang w:eastAsia="zh-CN"/>
              </w:rPr>
              <w:t>通过投标人缴纳的近三个月（含开标当月）的任意一个月的社保证明作为本单位员工的证明依据，如供应商成立不足一个月的，提供情况说明函（格式自拟），无需提供相关人员社保，亦可得分。</w:t>
            </w:r>
          </w:p>
          <w:p>
            <w:pPr>
              <w:widowControl w:val="0"/>
              <w:jc w:val="both"/>
              <w:rPr>
                <w:rFonts w:ascii="宋体" w:eastAsia="宋体" w:hAnsi="宋体" w:cs="宋体" w:hint="eastAsia"/>
                <w:color w:val="000000"/>
                <w:kern w:val="2"/>
                <w:sz w:val="21"/>
                <w:lang w:eastAsia="zh-CN"/>
              </w:rPr>
            </w:pPr>
            <w:r>
              <w:rPr>
                <w:rFonts w:ascii="宋体" w:eastAsia="宋体" w:hAnsi="宋体" w:cs="宋体" w:hint="eastAsia"/>
                <w:color w:val="000000"/>
                <w:kern w:val="2"/>
                <w:sz w:val="21"/>
                <w:lang w:eastAsia="zh-CN"/>
              </w:rPr>
              <w:t>2.要求提供投标人相关证明资料作为得分依据。涉及学历（学位）的，要求提供证书扫描件以及学信网查询记录</w:t>
            </w:r>
            <w:r>
              <w:rPr>
                <w:rFonts w:ascii="宋体" w:eastAsia="宋体" w:hint="eastAsia"/>
                <w:kern w:val="2"/>
                <w:sz w:val="21"/>
                <w:lang w:eastAsia="zh-CN"/>
              </w:rPr>
              <w:t>（https://www.chsi.com.cn/xlcx/index.jsp）</w:t>
            </w:r>
            <w:r>
              <w:rPr>
                <w:rFonts w:ascii="宋体" w:eastAsia="宋体" w:hAnsi="宋体" w:cs="宋体" w:hint="eastAsia"/>
                <w:color w:val="000000"/>
                <w:kern w:val="2"/>
                <w:sz w:val="21"/>
                <w:lang w:eastAsia="zh-CN"/>
              </w:rPr>
              <w:t>。对于较早颁发的学历证书，学信网无法查询的，要求提供证书扫描件和其他佐证材料（如毕业院校、人社部门等颁发机构或监管机构等单位出具的证明）作为得分的依据。海外留学人员学历（含港澳台）无法通过学信网站查询，应当提供“教育部留学服务中心出具的学历学位认证书以及教育部留学服务中心官网查询截图”</w:t>
            </w:r>
            <w:r>
              <w:rPr>
                <w:rFonts w:ascii="宋体" w:eastAsia="宋体" w:hint="eastAsia"/>
                <w:kern w:val="2"/>
                <w:sz w:val="21"/>
                <w:lang w:eastAsia="zh-CN"/>
              </w:rPr>
              <w:t>（http://zwfw.cscse.edu.cn/）</w:t>
            </w:r>
            <w:r>
              <w:rPr>
                <w:rFonts w:ascii="宋体" w:eastAsia="宋体" w:hAnsi="宋体" w:cs="宋体" w:hint="eastAsia"/>
                <w:color w:val="000000"/>
                <w:kern w:val="2"/>
                <w:sz w:val="21"/>
                <w:lang w:eastAsia="zh-CN"/>
              </w:rPr>
              <w:t>。</w:t>
            </w:r>
          </w:p>
          <w:p>
            <w:pPr>
              <w:widowControl w:val="0"/>
              <w:jc w:val="both"/>
              <w:rPr>
                <w:rFonts w:ascii="宋体" w:eastAsia="宋体" w:hAnsi="宋体" w:cs="宋体"/>
                <w:color w:val="000000"/>
                <w:kern w:val="2"/>
                <w:sz w:val="21"/>
                <w:lang w:eastAsia="zh-CN"/>
              </w:rPr>
            </w:pPr>
            <w:r>
              <w:rPr>
                <w:rFonts w:ascii="宋体" w:eastAsia="宋体" w:hAnsi="宋体" w:cs="宋体" w:hint="eastAsia"/>
                <w:color w:val="000000"/>
                <w:kern w:val="2"/>
                <w:sz w:val="21"/>
                <w:lang w:eastAsia="zh-CN"/>
              </w:rPr>
              <w:t>3.提供上述有效相关证书扫描件；</w:t>
            </w:r>
          </w:p>
          <w:p>
            <w:pPr>
              <w:widowControl w:val="0"/>
              <w:jc w:val="left"/>
              <w:rPr>
                <w:rFonts w:eastAsia="宋体"/>
                <w:kern w:val="2"/>
                <w:sz w:val="21"/>
                <w:lang w:eastAsia="zh-CN"/>
              </w:rPr>
            </w:pPr>
            <w:r>
              <w:rPr>
                <w:rFonts w:ascii="宋体" w:eastAsia="宋体" w:hAnsi="宋体" w:cs="宋体" w:hint="eastAsia"/>
                <w:color w:val="000000"/>
                <w:kern w:val="2"/>
                <w:sz w:val="21"/>
                <w:lang w:eastAsia="zh-CN"/>
              </w:rPr>
              <w:t>4.</w:t>
            </w:r>
            <w:r>
              <w:rPr>
                <w:rFonts w:eastAsia="宋体" w:hint="eastAsia"/>
                <w:kern w:val="2"/>
                <w:sz w:val="21"/>
                <w:lang w:eastAsia="zh-CN"/>
              </w:rPr>
              <w:t>由社会组织颁发的证书，还需同时提供该组织在“中国社会组织政务服务平台（全国社会组织信用信息公示平台）https://chinanpo.mca.gov.cn/”的查询截图（截图需体现网址且状态为正常），否则该证书不得分。</w:t>
            </w:r>
          </w:p>
          <w:p>
            <w:pPr>
              <w:widowControl w:val="0"/>
              <w:wordWrap w:val="0"/>
              <w:jc w:val="both"/>
              <w:rPr>
                <w:rFonts w:ascii="宋体" w:eastAsia="宋体" w:hAnsi="宋体" w:cs="宋体" w:hint="eastAsia"/>
                <w:kern w:val="2"/>
                <w:sz w:val="21"/>
                <w:szCs w:val="21"/>
                <w:lang w:eastAsia="zh-CN"/>
              </w:rPr>
            </w:pPr>
            <w:r>
              <w:rPr>
                <w:rFonts w:eastAsia="宋体" w:hint="eastAsia"/>
                <w:kern w:val="2"/>
                <w:sz w:val="21"/>
                <w:lang w:eastAsia="zh-CN"/>
              </w:rPr>
              <w:t>5.</w:t>
            </w:r>
            <w:r>
              <w:rPr>
                <w:rFonts w:ascii="宋体" w:eastAsia="宋体" w:hAnsi="宋体" w:cs="宋体" w:hint="eastAsia"/>
                <w:color w:val="000000"/>
                <w:kern w:val="2"/>
                <w:sz w:val="21"/>
                <w:lang w:eastAsia="zh-CN"/>
              </w:rPr>
              <w:t>如未按要求提供证明材料，或所提供的证明材料未能体现上述评分内容的，视为该证明材料无效。</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705" w:type="dxa"/>
            <w:vAlign w:val="center"/>
          </w:tcPr>
          <w:p>
            <w:pPr>
              <w:widowControl w:val="0"/>
              <w:wordWrap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7</w:t>
            </w:r>
          </w:p>
        </w:tc>
        <w:tc>
          <w:tcPr>
            <w:tcW w:w="168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拟安排的项目主要团队成员（主要技术人员）情况（项目负责人除外）</w:t>
            </w:r>
          </w:p>
        </w:tc>
        <w:tc>
          <w:tcPr>
            <w:tcW w:w="1126"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lang w:eastAsia="zh-CN"/>
              </w:rPr>
              <w:t>15</w:t>
            </w:r>
          </w:p>
        </w:tc>
        <w:tc>
          <w:tcPr>
            <w:tcW w:w="4856" w:type="dxa"/>
            <w:vAlign w:val="top"/>
          </w:tcPr>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（一）评分内容：</w:t>
            </w:r>
          </w:p>
          <w:p>
            <w:pPr>
              <w:widowControl w:val="0"/>
              <w:autoSpaceDE w:val="0"/>
              <w:autoSpaceDN w:val="0"/>
              <w:spacing w:before="2"/>
              <w:jc w:val="both"/>
              <w:rPr>
                <w:rFonts w:ascii="宋体" w:eastAsia="宋体" w:hAnsi="宋体" w:cs="宋体"/>
                <w:bCs/>
                <w:kern w:val="2"/>
                <w:sz w:val="21"/>
                <w:lang w:eastAsia="zh-CN"/>
              </w:rPr>
            </w:pPr>
            <w:r>
              <w:rPr>
                <w:rFonts w:ascii="宋体" w:eastAsia="宋体" w:hAnsi="宋体" w:cs="宋体" w:hint="eastAsia"/>
                <w:kern w:val="2"/>
                <w:sz w:val="21"/>
                <w:lang w:val="zh-CN" w:eastAsia="zh-CN" w:bidi="zh-CN"/>
              </w:rPr>
              <w:t>拟安排项目主要团队成员为投标单位自有员工，</w:t>
            </w:r>
            <w:r>
              <w:rPr>
                <w:rFonts w:ascii="宋体" w:eastAsia="宋体" w:hAnsi="宋体" w:cs="宋体" w:hint="eastAsia"/>
                <w:bCs/>
                <w:kern w:val="2"/>
                <w:sz w:val="21"/>
                <w:lang w:eastAsia="zh-CN"/>
              </w:rPr>
              <w:t>团队成员人数≥5人（不含</w:t>
            </w:r>
            <w:r>
              <w:rPr>
                <w:rFonts w:ascii="宋体" w:eastAsia="宋体" w:hAnsi="宋体" w:hint="eastAsia"/>
                <w:kern w:val="2"/>
                <w:sz w:val="21"/>
                <w:lang w:eastAsia="zh-CN"/>
              </w:rPr>
              <w:t>项目负责人</w:t>
            </w:r>
            <w:r>
              <w:rPr>
                <w:rFonts w:ascii="宋体" w:eastAsia="宋体" w:hAnsi="宋体" w:cs="宋体" w:hint="eastAsia"/>
                <w:bCs/>
                <w:kern w:val="2"/>
                <w:sz w:val="21"/>
                <w:lang w:eastAsia="zh-CN"/>
              </w:rPr>
              <w:t>），</w:t>
            </w:r>
            <w:r>
              <w:rPr>
                <w:rFonts w:ascii="宋体" w:eastAsia="宋体" w:hAnsi="宋体" w:cs="宋体" w:hint="eastAsia"/>
                <w:bCs/>
                <w:kern w:val="2"/>
                <w:sz w:val="21"/>
                <w:lang w:val="zh-CN" w:eastAsia="zh-CN" w:bidi="zh-CN"/>
              </w:rPr>
              <w:t>否则</w:t>
            </w:r>
            <w:r>
              <w:rPr>
                <w:rFonts w:ascii="宋体" w:eastAsia="宋体" w:hAnsi="宋体" w:cs="宋体" w:hint="eastAsia"/>
                <w:bCs/>
                <w:kern w:val="2"/>
                <w:sz w:val="21"/>
                <w:lang w:eastAsia="zh-CN" w:bidi="zh-CN"/>
              </w:rPr>
              <w:t>本项不得分</w:t>
            </w:r>
            <w:r>
              <w:rPr>
                <w:rFonts w:ascii="宋体" w:eastAsia="宋体" w:hAnsi="宋体" w:cs="宋体"/>
                <w:bCs/>
                <w:kern w:val="2"/>
                <w:sz w:val="21"/>
                <w:lang w:eastAsia="zh-CN"/>
              </w:rPr>
              <w:t>。</w:t>
            </w:r>
          </w:p>
          <w:p>
            <w:pPr>
              <w:widowControl w:val="0"/>
              <w:autoSpaceDE w:val="0"/>
              <w:autoSpaceDN w:val="0"/>
              <w:spacing w:before="2"/>
              <w:jc w:val="both"/>
              <w:rPr>
                <w:rFonts w:ascii="宋体" w:eastAsia="宋体" w:hAnsi="宋体" w:cs="宋体" w:hint="eastAsia"/>
                <w:kern w:val="2"/>
                <w:sz w:val="21"/>
                <w:lang w:eastAsia="zh-CN"/>
              </w:rPr>
            </w:pPr>
          </w:p>
          <w:p>
            <w:pPr>
              <w:widowControl w:val="0"/>
              <w:jc w:val="both"/>
              <w:rPr>
                <w:rFonts w:ascii="宋体" w:eastAsia="宋体" w:hAnsi="宋体" w:cs="宋体" w:hint="eastAsia"/>
                <w:bCs/>
                <w:kern w:val="2"/>
                <w:sz w:val="21"/>
                <w:lang w:eastAsia="zh-CN"/>
              </w:rPr>
            </w:pPr>
            <w:r>
              <w:rPr>
                <w:rFonts w:ascii="宋体" w:eastAsia="宋体" w:hAnsi="宋体" w:cs="宋体" w:hint="eastAsia"/>
                <w:bCs/>
                <w:kern w:val="2"/>
                <w:sz w:val="21"/>
                <w:lang w:eastAsia="zh-CN"/>
              </w:rPr>
              <w:t>1.拟安排技术负责人1名，具有计算机类或电子信息相关专业本科及以上学历，否则不得分。在此基础上考察专业证书：</w:t>
            </w:r>
          </w:p>
          <w:p>
            <w:pPr>
              <w:widowControl w:val="0"/>
              <w:jc w:val="both"/>
              <w:rPr>
                <w:rFonts w:ascii="宋体" w:eastAsia="宋体" w:hAnsi="宋体" w:cs="宋体"/>
                <w:bCs/>
                <w:kern w:val="2"/>
                <w:sz w:val="21"/>
                <w:lang w:eastAsia="zh-CN"/>
              </w:rPr>
            </w:pPr>
            <w:r>
              <w:rPr>
                <w:rFonts w:ascii="宋体" w:eastAsia="宋体" w:hAnsi="宋体" w:cs="宋体" w:hint="eastAsia"/>
                <w:bCs/>
                <w:kern w:val="2"/>
                <w:sz w:val="21"/>
                <w:lang w:eastAsia="zh-CN"/>
              </w:rPr>
              <w:t>（1）具有</w:t>
            </w:r>
            <w:r>
              <w:rPr>
                <w:rFonts w:ascii="宋体" w:eastAsia="宋体" w:hAnsi="宋体" w:cs="宋体" w:hint="eastAsia"/>
                <w:kern w:val="2"/>
                <w:sz w:val="21"/>
                <w:lang w:eastAsia="zh-CN"/>
              </w:rPr>
              <w:t>具有省或市人力资源和社会保障部门颁发的</w:t>
            </w:r>
            <w:r>
              <w:rPr>
                <w:rFonts w:ascii="宋体" w:eastAsia="宋体" w:hAnsi="宋体" w:cs="宋体" w:hint="eastAsia"/>
                <w:bCs/>
                <w:kern w:val="2"/>
                <w:sz w:val="21"/>
                <w:lang w:eastAsia="zh-CN"/>
              </w:rPr>
              <w:t>网络安全工程或网络空间安全相关中级或以上职称，得10分；</w:t>
            </w:r>
          </w:p>
          <w:p>
            <w:pPr>
              <w:widowControl w:val="0"/>
              <w:jc w:val="both"/>
              <w:rPr>
                <w:rFonts w:ascii="宋体" w:eastAsia="宋体" w:hAnsi="宋体" w:cs="宋体" w:hint="eastAsia"/>
                <w:bCs/>
                <w:kern w:val="2"/>
                <w:sz w:val="21"/>
                <w:lang w:eastAsia="zh-CN"/>
              </w:rPr>
            </w:pPr>
            <w:r>
              <w:rPr>
                <w:rFonts w:ascii="宋体" w:eastAsia="宋体" w:hAnsi="宋体" w:cs="宋体" w:hint="eastAsia"/>
                <w:bCs/>
                <w:kern w:val="2"/>
                <w:sz w:val="21"/>
                <w:lang w:eastAsia="zh-CN"/>
              </w:rPr>
              <w:t>（2）</w:t>
            </w:r>
            <w:r>
              <w:rPr>
                <w:rFonts w:ascii="宋体" w:eastAsia="宋体" w:hAnsi="宋体" w:cs="宋体" w:hint="eastAsia"/>
                <w:bCs/>
                <w:color w:val="000000"/>
                <w:kern w:val="2"/>
                <w:sz w:val="21"/>
                <w:lang w:eastAsia="zh-CN"/>
              </w:rPr>
              <w:t>具有</w:t>
            </w:r>
            <w:r>
              <w:rPr>
                <w:rFonts w:ascii="宋体" w:eastAsia="宋体" w:hAnsi="宋体" w:cs="宋体" w:hint="eastAsia"/>
                <w:bCs/>
                <w:kern w:val="2"/>
                <w:sz w:val="21"/>
                <w:lang w:eastAsia="zh-CN"/>
              </w:rPr>
              <w:t>中国网络安全审查认证和市场监管大数据中心（原中国网络安全审查技术与认证中心）</w:t>
            </w:r>
            <w:r>
              <w:rPr>
                <w:rFonts w:ascii="宋体" w:eastAsia="宋体" w:hAnsi="宋体" w:cs="宋体" w:hint="eastAsia"/>
                <w:bCs/>
                <w:color w:val="000000"/>
                <w:kern w:val="2"/>
                <w:sz w:val="21"/>
                <w:lang w:eastAsia="zh-CN"/>
              </w:rPr>
              <w:t>颁发的信息安全保障人员（CISAW，认证方向：</w:t>
            </w:r>
            <w:r>
              <w:rPr>
                <w:rFonts w:ascii="宋体" w:eastAsia="宋体" w:hAnsi="宋体" w:cs="宋体" w:hint="eastAsia"/>
                <w:bCs/>
                <w:kern w:val="2"/>
                <w:sz w:val="21"/>
                <w:lang w:eastAsia="zh-CN"/>
              </w:rPr>
              <w:t>风险管理或渗透测试</w:t>
            </w:r>
            <w:r>
              <w:rPr>
                <w:rFonts w:ascii="宋体" w:eastAsia="宋体" w:hAnsi="宋体" w:cs="宋体" w:hint="eastAsia"/>
                <w:bCs/>
                <w:color w:val="000000"/>
                <w:kern w:val="2"/>
                <w:sz w:val="21"/>
                <w:lang w:eastAsia="zh-CN"/>
              </w:rPr>
              <w:t>）</w:t>
            </w:r>
            <w:r>
              <w:rPr>
                <w:rFonts w:ascii="宋体" w:eastAsia="宋体" w:hAnsi="宋体" w:cs="宋体" w:hint="eastAsia"/>
                <w:bCs/>
                <w:kern w:val="2"/>
                <w:sz w:val="21"/>
                <w:lang w:eastAsia="zh-CN"/>
              </w:rPr>
              <w:t>，基础级得5</w:t>
            </w:r>
            <w:r>
              <w:rPr>
                <w:rFonts w:ascii="宋体" w:eastAsia="宋体" w:hAnsi="宋体" w:cs="宋体"/>
                <w:bCs/>
                <w:kern w:val="2"/>
                <w:sz w:val="21"/>
                <w:lang w:eastAsia="zh-CN"/>
              </w:rPr>
              <w:t>分</w:t>
            </w:r>
            <w:r>
              <w:rPr>
                <w:rFonts w:ascii="宋体" w:eastAsia="宋体" w:hAnsi="宋体" w:cs="宋体" w:hint="eastAsia"/>
                <w:bCs/>
                <w:kern w:val="2"/>
                <w:sz w:val="21"/>
                <w:lang w:eastAsia="zh-CN"/>
              </w:rPr>
              <w:t>，专业级得10</w:t>
            </w:r>
            <w:r>
              <w:rPr>
                <w:rFonts w:ascii="宋体" w:eastAsia="宋体" w:hAnsi="宋体" w:cs="宋体"/>
                <w:bCs/>
                <w:kern w:val="2"/>
                <w:sz w:val="21"/>
                <w:lang w:eastAsia="zh-CN"/>
              </w:rPr>
              <w:t>分</w:t>
            </w:r>
            <w:r>
              <w:rPr>
                <w:rFonts w:ascii="宋体" w:eastAsia="宋体" w:hAnsi="宋体" w:cs="宋体" w:hint="eastAsia"/>
                <w:bCs/>
                <w:kern w:val="2"/>
                <w:sz w:val="21"/>
                <w:lang w:eastAsia="zh-CN"/>
              </w:rPr>
              <w:t>。</w:t>
            </w:r>
          </w:p>
          <w:p>
            <w:pPr>
              <w:widowControl w:val="0"/>
              <w:jc w:val="both"/>
              <w:rPr>
                <w:rFonts w:ascii="宋体" w:eastAsia="宋体" w:hAnsi="宋体" w:cs="宋体"/>
                <w:bCs/>
                <w:kern w:val="2"/>
                <w:sz w:val="21"/>
                <w:lang w:eastAsia="zh-CN"/>
              </w:rPr>
            </w:pPr>
            <w:r>
              <w:rPr>
                <w:rFonts w:ascii="宋体" w:eastAsia="宋体" w:hAnsi="宋体" w:cs="宋体" w:hint="eastAsia"/>
                <w:bCs/>
                <w:kern w:val="2"/>
                <w:sz w:val="21"/>
                <w:lang w:eastAsia="zh-CN"/>
              </w:rPr>
              <w:t>（1）（2）两项累计得分，</w:t>
            </w:r>
            <w:r>
              <w:rPr>
                <w:rFonts w:ascii="宋体" w:eastAsia="宋体" w:hAnsi="宋体" w:cs="宋体" w:hint="eastAsia"/>
                <w:bCs/>
                <w:kern w:val="2"/>
                <w:sz w:val="21"/>
                <w:lang w:eastAsia="zh-CN"/>
              </w:rPr>
              <w:t>本项</w:t>
            </w:r>
            <w:r>
              <w:rPr>
                <w:rFonts w:ascii="宋体" w:eastAsia="宋体" w:hAnsi="宋体" w:cs="宋体" w:hint="eastAsia"/>
                <w:bCs/>
                <w:kern w:val="2"/>
                <w:sz w:val="21"/>
                <w:lang w:eastAsia="zh-CN"/>
              </w:rPr>
              <w:t>最高</w:t>
            </w:r>
            <w:r>
              <w:rPr>
                <w:rFonts w:ascii="宋体" w:eastAsia="宋体" w:hAnsi="宋体" w:cs="宋体" w:hint="eastAsia"/>
                <w:bCs/>
                <w:kern w:val="2"/>
                <w:sz w:val="21"/>
                <w:lang w:eastAsia="zh-CN"/>
              </w:rPr>
              <w:t>得</w:t>
            </w:r>
            <w:r>
              <w:rPr>
                <w:rFonts w:ascii="宋体" w:eastAsia="宋体" w:hAnsi="宋体" w:cs="宋体" w:hint="eastAsia"/>
                <w:bCs/>
                <w:kern w:val="2"/>
                <w:sz w:val="21"/>
                <w:lang w:eastAsia="zh-CN"/>
              </w:rPr>
              <w:t>20分；；</w:t>
            </w:r>
          </w:p>
          <w:p>
            <w:pPr>
              <w:widowControl w:val="0"/>
              <w:jc w:val="both"/>
              <w:rPr>
                <w:rFonts w:ascii="宋体" w:eastAsia="宋体" w:hAnsi="宋体" w:cs="宋体"/>
                <w:kern w:val="2"/>
                <w:sz w:val="21"/>
                <w:lang w:eastAsia="zh-CN"/>
              </w:rPr>
            </w:pP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2.拟安排网络安全攻防专家1名，具有</w:t>
            </w:r>
            <w:r>
              <w:rPr>
                <w:rFonts w:ascii="宋体" w:eastAsia="宋体" w:hAnsi="宋体" w:cs="宋体" w:hint="eastAsia"/>
                <w:bCs/>
                <w:kern w:val="2"/>
                <w:sz w:val="21"/>
                <w:lang w:eastAsia="zh-CN"/>
              </w:rPr>
              <w:t>计算机类或电子信息相关专业</w:t>
            </w:r>
            <w:r>
              <w:rPr>
                <w:rFonts w:ascii="宋体" w:eastAsia="宋体" w:hAnsi="宋体" w:cs="宋体" w:hint="eastAsia"/>
                <w:kern w:val="2"/>
                <w:sz w:val="21"/>
                <w:lang w:eastAsia="zh-CN"/>
              </w:rPr>
              <w:t>本科学历，否则不得分。在此基础上考察专业证书：</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（1）具有省或市人力资源和社会保障部门颁发的</w:t>
            </w:r>
            <w:r>
              <w:rPr>
                <w:rFonts w:ascii="宋体" w:eastAsia="宋体" w:hAnsi="宋体" w:cs="宋体" w:hint="eastAsia"/>
                <w:bCs/>
                <w:kern w:val="2"/>
                <w:sz w:val="21"/>
                <w:lang w:eastAsia="zh-CN"/>
              </w:rPr>
              <w:t>网络安全工程或网络空间安全</w:t>
            </w:r>
            <w:r>
              <w:rPr>
                <w:rFonts w:ascii="宋体" w:eastAsia="宋体" w:hAnsi="宋体" w:cs="宋体" w:hint="eastAsia"/>
                <w:kern w:val="2"/>
                <w:sz w:val="21"/>
                <w:lang w:eastAsia="zh-CN"/>
              </w:rPr>
              <w:t>相关专业职称证书的，得10分；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具有中国信息安全测评中心颁发的注册渗透测试专家证书（CISP-PTS）、中国网络安全审查认证和市场监管大数据中心（原中国网络安全审查技术与认证中心）颁发的CISAW渗透测试（专业级）证书，每具备一项证书得5</w:t>
            </w:r>
            <w:r>
              <w:rPr>
                <w:rFonts w:ascii="宋体" w:eastAsia="宋体" w:hAnsi="宋体" w:cs="宋体"/>
                <w:kern w:val="2"/>
                <w:sz w:val="21"/>
                <w:lang w:eastAsia="zh-CN"/>
              </w:rPr>
              <w:t>分</w:t>
            </w:r>
            <w:r>
              <w:rPr>
                <w:rFonts w:ascii="宋体" w:eastAsia="宋体" w:hAnsi="宋体" w:cs="宋体" w:hint="eastAsia"/>
                <w:kern w:val="2"/>
                <w:sz w:val="21"/>
                <w:lang w:eastAsia="zh-CN"/>
              </w:rPr>
              <w:t>，具备两项证书得10分。</w:t>
            </w:r>
          </w:p>
          <w:p>
            <w:pPr>
              <w:widowControl w:val="0"/>
              <w:jc w:val="both"/>
              <w:rPr>
                <w:rFonts w:ascii="宋体" w:eastAsia="宋体" w:hAnsi="宋体" w:cs="宋体"/>
                <w:b/>
                <w:bCs/>
                <w:kern w:val="2"/>
                <w:sz w:val="21"/>
                <w:lang w:eastAsia="zh-CN"/>
              </w:rPr>
            </w:pPr>
            <w:r>
              <w:rPr>
                <w:rFonts w:eastAsia="宋体" w:hint="eastAsia"/>
                <w:kern w:val="2"/>
                <w:sz w:val="21"/>
                <w:lang w:eastAsia="zh-CN"/>
              </w:rPr>
              <w:t>（</w:t>
            </w:r>
            <w:r>
              <w:rPr>
                <w:rFonts w:ascii="宋体" w:eastAsia="宋体" w:hAnsi="宋体" w:cs="宋体" w:hint="eastAsia"/>
                <w:bCs/>
                <w:kern w:val="2"/>
                <w:sz w:val="21"/>
                <w:lang w:eastAsia="zh-CN"/>
              </w:rPr>
              <w:t>1）（2）两项累计得分，</w:t>
            </w:r>
            <w:r>
              <w:rPr>
                <w:rFonts w:ascii="宋体" w:eastAsia="宋体" w:hAnsi="宋体" w:cs="宋体" w:hint="eastAsia"/>
                <w:kern w:val="2"/>
                <w:sz w:val="21"/>
                <w:lang w:eastAsia="zh-CN"/>
              </w:rPr>
              <w:t>本项最高得</w:t>
            </w:r>
            <w:r>
              <w:rPr>
                <w:rFonts w:ascii="宋体" w:eastAsia="宋体" w:hAnsi="宋体" w:cs="宋体"/>
                <w:kern w:val="2"/>
                <w:sz w:val="21"/>
                <w:lang w:eastAsia="zh-CN"/>
              </w:rPr>
              <w:t>20分</w:t>
            </w:r>
            <w:r>
              <w:rPr>
                <w:rFonts w:ascii="宋体" w:eastAsia="宋体" w:hAnsi="宋体" w:cs="宋体" w:hint="eastAsia"/>
                <w:kern w:val="2"/>
                <w:sz w:val="21"/>
                <w:lang w:eastAsia="zh-CN"/>
              </w:rPr>
              <w:t>；</w:t>
            </w:r>
          </w:p>
          <w:p>
            <w:pPr>
              <w:widowControl w:val="0"/>
              <w:jc w:val="both"/>
              <w:rPr>
                <w:rFonts w:ascii="宋体" w:eastAsia="宋体" w:hAnsi="宋体" w:cs="宋体"/>
                <w:kern w:val="2"/>
                <w:sz w:val="21"/>
                <w:lang w:eastAsia="zh-CN"/>
              </w:rPr>
            </w:pPr>
          </w:p>
          <w:p>
            <w:pPr>
              <w:widowControl w:val="0"/>
              <w:numPr>
                <w:ilvl w:val="0"/>
                <w:numId w:val="0"/>
              </w:numPr>
              <w:ind w:left="0" w:firstLine="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w:t>
            </w:r>
            <w:r>
              <w:rPr>
                <w:rFonts w:ascii="宋体" w:eastAsia="宋体" w:hAnsi="宋体" w:cs="宋体" w:hint="eastAsia"/>
                <w:kern w:val="2"/>
                <w:sz w:val="21"/>
                <w:lang w:eastAsia="zh-CN"/>
              </w:rPr>
              <w:t>拟安排应急响应工程师1名，具有</w:t>
            </w:r>
            <w:r>
              <w:rPr>
                <w:rFonts w:ascii="宋体" w:eastAsia="宋体" w:hAnsi="宋体" w:cs="宋体" w:hint="eastAsia"/>
                <w:bCs/>
                <w:kern w:val="2"/>
                <w:sz w:val="21"/>
                <w:lang w:eastAsia="zh-CN"/>
              </w:rPr>
              <w:t>计算机类或电子信息相关专业</w:t>
            </w:r>
            <w:r>
              <w:rPr>
                <w:rFonts w:ascii="宋体" w:eastAsia="宋体" w:hAnsi="宋体" w:cs="宋体" w:hint="eastAsia"/>
                <w:kern w:val="2"/>
                <w:sz w:val="21"/>
                <w:lang w:eastAsia="zh-CN"/>
              </w:rPr>
              <w:t>本科学历，否则不得分。</w:t>
            </w:r>
          </w:p>
          <w:p>
            <w:pPr>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在此基础上，中国信息安全测评中心颁发的注册渗透测试工程师(CISP-PTE)证书，本项最高得10</w:t>
            </w:r>
            <w:r>
              <w:rPr>
                <w:rFonts w:ascii="宋体" w:eastAsia="宋体" w:hAnsi="宋体" w:cs="宋体"/>
                <w:kern w:val="2"/>
                <w:sz w:val="21"/>
                <w:szCs w:val="21"/>
                <w:lang w:eastAsia="zh-CN"/>
              </w:rPr>
              <w:t>分</w:t>
            </w:r>
            <w:r>
              <w:rPr>
                <w:rFonts w:ascii="宋体" w:eastAsia="宋体" w:hAnsi="宋体" w:cs="宋体" w:hint="eastAsia"/>
                <w:kern w:val="2"/>
                <w:sz w:val="21"/>
                <w:szCs w:val="21"/>
                <w:lang w:eastAsia="zh-CN"/>
              </w:rPr>
              <w:t>；</w:t>
            </w:r>
          </w:p>
          <w:p>
            <w:pPr>
              <w:widowControl w:val="0"/>
              <w:jc w:val="both"/>
              <w:rPr>
                <w:rFonts w:ascii="宋体" w:eastAsia="宋体" w:hAnsi="宋体" w:cs="宋体"/>
                <w:kern w:val="2"/>
                <w:sz w:val="21"/>
                <w:lang w:eastAsia="zh-CN"/>
              </w:rPr>
            </w:pPr>
          </w:p>
          <w:p>
            <w:pPr>
              <w:widowControl w:val="0"/>
              <w:numPr>
                <w:ilvl w:val="0"/>
                <w:numId w:val="0"/>
              </w:numPr>
              <w:ind w:left="0" w:firstLine="0"/>
              <w:jc w:val="both"/>
              <w:rPr>
                <w:rFonts w:ascii="宋体" w:eastAsia="宋体" w:hAnsi="宋体" w:cs="宋体"/>
                <w:kern w:val="2"/>
                <w:sz w:val="21"/>
                <w:lang w:eastAsia="zh-CN"/>
              </w:rPr>
            </w:pPr>
            <w:r>
              <w:rPr>
                <w:rFonts w:ascii="宋体" w:eastAsia="宋体" w:hAnsi="宋体" w:cs="宋体" w:hint="eastAsia"/>
                <w:kern w:val="2"/>
                <w:sz w:val="21"/>
                <w:lang w:eastAsia="zh-CN"/>
              </w:rPr>
              <w:t>4</w:t>
            </w:r>
            <w:r>
              <w:rPr>
                <w:rFonts w:ascii="宋体" w:eastAsia="宋体" w:hAnsi="宋体" w:cs="宋体"/>
                <w:kern w:val="2"/>
                <w:sz w:val="21"/>
                <w:lang w:eastAsia="zh-CN"/>
              </w:rPr>
              <w:t>.</w:t>
            </w:r>
            <w:r>
              <w:rPr>
                <w:rFonts w:ascii="宋体" w:eastAsia="宋体" w:hAnsi="宋体" w:cs="宋体" w:hint="eastAsia"/>
                <w:kern w:val="2"/>
                <w:sz w:val="21"/>
                <w:lang w:eastAsia="zh-CN"/>
              </w:rPr>
              <w:t>拟安排重要时期保障工程师1名，具有</w:t>
            </w:r>
            <w:r>
              <w:rPr>
                <w:rFonts w:ascii="宋体" w:eastAsia="宋体" w:hAnsi="宋体" w:cs="宋体" w:hint="eastAsia"/>
                <w:bCs/>
                <w:kern w:val="2"/>
                <w:sz w:val="21"/>
                <w:lang w:eastAsia="zh-CN"/>
              </w:rPr>
              <w:t>计算机类或电子信息相关专业</w:t>
            </w:r>
            <w:r>
              <w:rPr>
                <w:rFonts w:ascii="宋体" w:eastAsia="宋体" w:hAnsi="宋体" w:cs="宋体" w:hint="eastAsia"/>
                <w:kern w:val="2"/>
                <w:sz w:val="21"/>
                <w:lang w:eastAsia="zh-CN"/>
              </w:rPr>
              <w:t>本科学历，否则不得分。</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在此基础上，</w:t>
            </w:r>
            <w:r>
              <w:rPr>
                <w:rFonts w:ascii="宋体" w:eastAsia="宋体" w:hAnsi="宋体"/>
                <w:kern w:val="2"/>
                <w:sz w:val="21"/>
                <w:lang w:eastAsia="zh-CN"/>
              </w:rPr>
              <w:t>具有由国家人力资源和社会保障部、工业和信息化部批准颁发的信息安全工程师</w:t>
            </w:r>
            <w:r>
              <w:rPr>
                <w:rFonts w:ascii="宋体" w:eastAsia="宋体" w:hAnsi="宋体" w:hint="eastAsia"/>
                <w:kern w:val="2"/>
                <w:sz w:val="21"/>
                <w:lang w:eastAsia="zh-CN"/>
              </w:rPr>
              <w:t>、</w:t>
            </w:r>
            <w:r>
              <w:rPr>
                <w:rFonts w:ascii="宋体" w:eastAsia="宋体" w:hAnsi="宋体" w:cs="宋体" w:hint="eastAsia"/>
                <w:kern w:val="2"/>
                <w:sz w:val="21"/>
                <w:lang w:eastAsia="zh-CN"/>
              </w:rPr>
              <w:t>中国信息安全测评中心颁发的</w:t>
            </w:r>
            <w:r>
              <w:rPr>
                <w:rFonts w:ascii="宋体" w:eastAsia="宋体" w:hAnsi="宋体" w:hint="eastAsia"/>
                <w:kern w:val="2"/>
                <w:sz w:val="21"/>
                <w:lang w:eastAsia="zh-CN"/>
              </w:rPr>
              <w:t>注册渗透测试工程师</w:t>
            </w:r>
            <w:r>
              <w:rPr>
                <w:rFonts w:ascii="宋体" w:eastAsia="宋体" w:hAnsi="宋体" w:cs="宋体" w:hint="eastAsia"/>
                <w:kern w:val="2"/>
                <w:sz w:val="21"/>
                <w:lang w:eastAsia="zh-CN"/>
              </w:rPr>
              <w:t>(CISP-</w:t>
            </w:r>
            <w:r>
              <w:rPr>
                <w:rFonts w:ascii="宋体" w:eastAsia="宋体" w:hAnsi="宋体" w:hint="eastAsia"/>
                <w:kern w:val="2"/>
                <w:sz w:val="21"/>
                <w:lang w:eastAsia="zh-CN"/>
              </w:rPr>
              <w:t>PTE</w:t>
            </w:r>
            <w:r>
              <w:rPr>
                <w:rFonts w:ascii="宋体" w:eastAsia="宋体" w:hAnsi="宋体" w:cs="宋体" w:hint="eastAsia"/>
                <w:kern w:val="2"/>
                <w:sz w:val="21"/>
                <w:lang w:eastAsia="zh-CN"/>
              </w:rPr>
              <w:t>)证书，每具备一项证书得10</w:t>
            </w:r>
            <w:r>
              <w:rPr>
                <w:rFonts w:ascii="宋体" w:eastAsia="宋体" w:hAnsi="宋体" w:cs="宋体"/>
                <w:kern w:val="2"/>
                <w:sz w:val="21"/>
                <w:lang w:eastAsia="zh-CN"/>
              </w:rPr>
              <w:t>分</w:t>
            </w:r>
            <w:r>
              <w:rPr>
                <w:rFonts w:ascii="宋体" w:eastAsia="宋体" w:hAnsi="宋体" w:cs="宋体" w:hint="eastAsia"/>
                <w:kern w:val="2"/>
                <w:sz w:val="21"/>
                <w:lang w:eastAsia="zh-CN"/>
              </w:rPr>
              <w:t>，具备两项证书得20分。本项最高得20</w:t>
            </w:r>
            <w:r>
              <w:rPr>
                <w:rFonts w:ascii="宋体" w:eastAsia="宋体" w:hAnsi="宋体" w:cs="宋体"/>
                <w:kern w:val="2"/>
                <w:sz w:val="21"/>
                <w:lang w:eastAsia="zh-CN"/>
              </w:rPr>
              <w:t>分</w:t>
            </w:r>
            <w:r>
              <w:rPr>
                <w:rFonts w:ascii="宋体" w:eastAsia="宋体" w:hAnsi="宋体" w:cs="宋体" w:hint="eastAsia"/>
                <w:kern w:val="2"/>
                <w:sz w:val="21"/>
                <w:lang w:eastAsia="zh-CN"/>
              </w:rPr>
              <w:t>；</w:t>
            </w:r>
          </w:p>
          <w:p>
            <w:pPr>
              <w:widowControl w:val="0"/>
              <w:jc w:val="both"/>
              <w:rPr>
                <w:rFonts w:ascii="宋体" w:eastAsia="宋体" w:hAnsi="宋体" w:cs="宋体"/>
                <w:kern w:val="2"/>
                <w:sz w:val="21"/>
                <w:lang w:eastAsia="zh-CN"/>
              </w:rPr>
            </w:pP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5.拟安排安全制度体系优化工程师1名，需具备工业和信息化部审批的标准研究与制定专业认证，任职资格为中级工程师得10分，任职资格为高级工程师得30</w:t>
            </w:r>
            <w:r>
              <w:rPr>
                <w:rFonts w:ascii="宋体" w:eastAsia="宋体" w:hAnsi="宋体" w:cs="宋体"/>
                <w:kern w:val="2"/>
                <w:sz w:val="21"/>
                <w:lang w:eastAsia="zh-CN"/>
              </w:rPr>
              <w:t>分</w:t>
            </w:r>
            <w:r>
              <w:rPr>
                <w:rFonts w:ascii="宋体" w:eastAsia="宋体" w:hAnsi="宋体" w:cs="宋体" w:hint="eastAsia"/>
                <w:kern w:val="2"/>
                <w:sz w:val="21"/>
                <w:lang w:eastAsia="zh-CN"/>
              </w:rPr>
              <w:t>。本项最高得30</w:t>
            </w:r>
            <w:r>
              <w:rPr>
                <w:rFonts w:ascii="宋体" w:eastAsia="宋体" w:hAnsi="宋体" w:cs="宋体"/>
                <w:kern w:val="2"/>
                <w:sz w:val="21"/>
                <w:lang w:eastAsia="zh-CN"/>
              </w:rPr>
              <w:t>分</w:t>
            </w:r>
            <w:r>
              <w:rPr>
                <w:rFonts w:ascii="宋体" w:eastAsia="宋体" w:hAnsi="宋体" w:cs="宋体" w:hint="eastAsia"/>
                <w:kern w:val="2"/>
                <w:sz w:val="21"/>
                <w:lang w:eastAsia="zh-CN"/>
              </w:rPr>
              <w:t>。</w:t>
            </w:r>
          </w:p>
          <w:p>
            <w:pPr>
              <w:widowControl w:val="0"/>
              <w:jc w:val="both"/>
              <w:rPr>
                <w:rFonts w:ascii="宋体" w:eastAsia="宋体" w:hAnsi="宋体" w:cs="宋体"/>
                <w:kern w:val="2"/>
                <w:sz w:val="21"/>
                <w:lang w:eastAsia="zh-CN"/>
              </w:rPr>
            </w:pP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（二）评分依据：</w:t>
            </w:r>
          </w:p>
          <w:p>
            <w:pPr>
              <w:widowControl w:val="0"/>
              <w:wordWrap w:val="0"/>
              <w:jc w:val="both"/>
              <w:rPr>
                <w:rFonts w:ascii="宋体" w:eastAsia="宋体" w:hAnsi="宋体" w:cs="宋体"/>
                <w:color w:val="000000"/>
                <w:kern w:val="2"/>
                <w:sz w:val="21"/>
                <w:lang w:eastAsia="zh-CN"/>
              </w:rPr>
            </w:pPr>
            <w:r>
              <w:rPr>
                <w:rFonts w:ascii="宋体" w:eastAsia="宋体" w:hAnsi="宋体" w:cs="宋体" w:hint="eastAsia"/>
                <w:color w:val="000000"/>
                <w:kern w:val="2"/>
                <w:sz w:val="21"/>
                <w:lang w:eastAsia="zh-CN"/>
              </w:rPr>
              <w:t>按照以下要求提供证明材料：</w:t>
            </w:r>
          </w:p>
          <w:p>
            <w:pPr>
              <w:widowControl w:val="0"/>
              <w:jc w:val="both"/>
              <w:rPr>
                <w:rFonts w:ascii="宋体" w:eastAsia="宋体" w:hAnsi="宋体" w:cs="宋体"/>
                <w:color w:val="000000"/>
                <w:kern w:val="2"/>
                <w:sz w:val="21"/>
                <w:lang w:eastAsia="zh-CN"/>
              </w:rPr>
            </w:pPr>
            <w:r>
              <w:rPr>
                <w:rFonts w:ascii="宋体" w:eastAsia="宋体" w:hAnsi="宋体" w:cs="宋体" w:hint="eastAsia"/>
                <w:color w:val="000000"/>
                <w:kern w:val="2"/>
                <w:sz w:val="21"/>
                <w:lang w:eastAsia="zh-CN"/>
              </w:rPr>
              <w:t>1.通过投标人缴纳的近三个月（含开标当月）的任意一个月的社保证明作为本单位员工的证明依据，如供应商成立不足一个月的，提供情况说明函（格式自拟），无需提供相关人员社保，亦可得分。</w:t>
            </w:r>
          </w:p>
          <w:p>
            <w:pPr>
              <w:widowControl w:val="0"/>
              <w:jc w:val="both"/>
              <w:rPr>
                <w:rFonts w:ascii="宋体" w:eastAsia="宋体" w:hAnsi="宋体" w:cs="宋体" w:hint="eastAsia"/>
                <w:color w:val="000000"/>
                <w:kern w:val="2"/>
                <w:sz w:val="21"/>
                <w:lang w:eastAsia="zh-CN"/>
              </w:rPr>
            </w:pPr>
            <w:r>
              <w:rPr>
                <w:rFonts w:ascii="宋体" w:eastAsia="宋体" w:hAnsi="宋体" w:cs="宋体" w:hint="eastAsia"/>
                <w:color w:val="000000"/>
                <w:kern w:val="2"/>
                <w:sz w:val="21"/>
                <w:lang w:eastAsia="zh-CN"/>
              </w:rPr>
              <w:t>2.要求提供投标人相关证明资料作为得分依据。涉及学历（学位）的，要求提供证书扫描件以及学信网查询记录</w:t>
            </w:r>
            <w:r>
              <w:rPr>
                <w:rFonts w:ascii="宋体" w:eastAsia="宋体" w:hint="eastAsia"/>
                <w:kern w:val="2"/>
                <w:sz w:val="21"/>
                <w:lang w:eastAsia="zh-CN"/>
              </w:rPr>
              <w:t>（https://www.chsi.com.cn/xlcx/index.jsp）</w:t>
            </w:r>
            <w:r>
              <w:rPr>
                <w:rFonts w:ascii="宋体" w:eastAsia="宋体" w:hAnsi="宋体" w:cs="宋体" w:hint="eastAsia"/>
                <w:color w:val="000000"/>
                <w:kern w:val="2"/>
                <w:sz w:val="21"/>
                <w:lang w:eastAsia="zh-CN"/>
              </w:rPr>
              <w:t>。对于较早颁发的学历学位证书，学信网无法查询的，要求提供证书扫描件和其他佐证材料（如毕业院校、人社部门等颁发机构或监管机构等单位出具的证明）作为得分的依据。海外留学人员学历（含港澳台）无法通过学信网站查询，应当提供“教育部留学服务中心出具的学历学位认证书以及教育部留学服务中心官网查询截图”</w:t>
            </w:r>
            <w:r>
              <w:rPr>
                <w:rFonts w:ascii="宋体" w:eastAsia="宋体" w:hint="eastAsia"/>
                <w:kern w:val="2"/>
                <w:sz w:val="21"/>
                <w:lang w:eastAsia="zh-CN"/>
              </w:rPr>
              <w:t>（http://zwfw.cscse.edu.cn/）</w:t>
            </w:r>
            <w:r>
              <w:rPr>
                <w:rFonts w:ascii="宋体" w:eastAsia="宋体" w:hAnsi="宋体" w:cs="宋体" w:hint="eastAsia"/>
                <w:color w:val="000000"/>
                <w:kern w:val="2"/>
                <w:sz w:val="21"/>
                <w:lang w:eastAsia="zh-CN"/>
              </w:rPr>
              <w:t>。</w:t>
            </w:r>
          </w:p>
          <w:p>
            <w:pPr>
              <w:widowControl w:val="0"/>
              <w:jc w:val="both"/>
              <w:rPr>
                <w:rFonts w:ascii="宋体" w:eastAsia="宋体" w:hAnsi="宋体" w:cs="宋体"/>
                <w:color w:val="000000"/>
                <w:kern w:val="2"/>
                <w:sz w:val="21"/>
                <w:lang w:eastAsia="zh-CN"/>
              </w:rPr>
            </w:pPr>
            <w:r>
              <w:rPr>
                <w:rFonts w:ascii="宋体" w:eastAsia="宋体" w:hAnsi="宋体" w:cs="宋体" w:hint="eastAsia"/>
                <w:color w:val="000000"/>
                <w:kern w:val="2"/>
                <w:sz w:val="21"/>
                <w:lang w:eastAsia="zh-CN"/>
              </w:rPr>
              <w:t>3.提供上述有效相关证书扫描件；</w:t>
            </w:r>
          </w:p>
          <w:p>
            <w:pPr>
              <w:widowControl w:val="0"/>
              <w:jc w:val="left"/>
              <w:rPr>
                <w:rFonts w:ascii="宋体" w:eastAsia="宋体" w:hAnsi="宋体" w:cs="宋体"/>
                <w:color w:val="000000"/>
                <w:kern w:val="2"/>
                <w:sz w:val="21"/>
                <w:lang w:eastAsia="zh-CN"/>
              </w:rPr>
            </w:pPr>
            <w:r>
              <w:rPr>
                <w:rFonts w:ascii="宋体" w:eastAsia="宋体" w:hAnsi="宋体" w:cs="宋体" w:hint="eastAsia"/>
                <w:kern w:val="2"/>
                <w:sz w:val="21"/>
                <w:lang w:eastAsia="zh-CN"/>
              </w:rPr>
              <w:t>4.由社会组织颁发的证书，还需同时提供该组织在“中国社会组织政务服务平台（全国社会组织信用信息公示平台）https://chinanpo.mca.gov.cn/”的查询截图（截图需体现网址且状态为正常），否则该证书不得分。</w:t>
            </w:r>
          </w:p>
          <w:p>
            <w:pPr>
              <w:widowControl w:val="0"/>
              <w:jc w:val="left"/>
              <w:rPr>
                <w:rFonts w:ascii="宋体" w:eastAsia="宋体" w:hAnsi="宋体" w:hint="eastAsia"/>
                <w:kern w:val="2"/>
                <w:sz w:val="21"/>
                <w:szCs w:val="21"/>
                <w:lang w:eastAsia="zh-CN"/>
              </w:rPr>
            </w:pPr>
            <w:r>
              <w:rPr>
                <w:rFonts w:ascii="宋体" w:eastAsia="宋体" w:hAnsi="宋体" w:cs="宋体" w:hint="eastAsia"/>
                <w:color w:val="000000"/>
                <w:kern w:val="2"/>
                <w:sz w:val="21"/>
                <w:lang w:eastAsia="zh-CN"/>
              </w:rPr>
              <w:t>5.如未按要求提供证明材料，或所提供的证明材料未能体现上述评分内容的，视为该证明材料无效。</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70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8</w:t>
            </w:r>
          </w:p>
        </w:tc>
        <w:tc>
          <w:tcPr>
            <w:tcW w:w="168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color w:val="000000"/>
                <w:kern w:val="2"/>
                <w:sz w:val="21"/>
                <w:lang w:eastAsia="zh-CN"/>
              </w:rPr>
              <w:t>技术要求偏离</w:t>
            </w:r>
            <w:r>
              <w:rPr>
                <w:rFonts w:ascii="宋体" w:eastAsia="宋体" w:hAnsi="宋体" w:hint="eastAsia"/>
                <w:color w:val="000000"/>
                <w:kern w:val="2"/>
                <w:sz w:val="21"/>
                <w:lang w:eastAsia="zh-CN"/>
              </w:rPr>
              <w:t>情况</w:t>
            </w:r>
          </w:p>
        </w:tc>
        <w:tc>
          <w:tcPr>
            <w:tcW w:w="1126"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10</w:t>
            </w:r>
          </w:p>
        </w:tc>
        <w:tc>
          <w:tcPr>
            <w:tcW w:w="4856" w:type="dxa"/>
          </w:tcPr>
          <w:p>
            <w:pPr>
              <w:widowControl w:val="0"/>
              <w:ind w:firstLine="420" w:firstLineChars="200"/>
              <w:jc w:val="both"/>
              <w:rPr>
                <w:rFonts w:ascii="宋体" w:eastAsia="宋体" w:hAnsi="宋体" w:hint="eastAsia"/>
                <w:kern w:val="2"/>
                <w:sz w:val="21"/>
                <w:szCs w:val="21"/>
                <w:lang w:eastAsia="zh-CN"/>
              </w:rPr>
            </w:pPr>
            <w:r>
              <w:rPr>
                <w:rFonts w:ascii="宋体" w:eastAsia="宋体" w:hAnsi="宋体" w:cs="宋体" w:hint="eastAsia"/>
                <w:sz w:val="21"/>
                <w:szCs w:val="21"/>
                <w:lang w:eastAsia="zh-CN"/>
              </w:rPr>
              <w:t>（一）评分内容：投标人应如实填写《技术要求偏离表》，评审委员会根据技术需求参数响应情况进行打分，各项技术参数指标及要求全部满足的得100分，所有标注“▲”的重要参数每项负偏离一扣</w:t>
            </w:r>
            <w:r>
              <w:rPr>
                <w:rFonts w:ascii="宋体" w:eastAsia="宋体" w:hAnsi="宋体" w:cs="宋体" w:hint="eastAsia"/>
                <w:sz w:val="21"/>
                <w:szCs w:val="21"/>
                <w:lang w:eastAsia="zh-CN"/>
              </w:rPr>
              <w:t>10</w:t>
            </w:r>
            <w:r>
              <w:rPr>
                <w:rFonts w:ascii="宋体" w:eastAsia="宋体" w:hAnsi="宋体" w:cs="宋体" w:hint="eastAsia"/>
                <w:sz w:val="21"/>
                <w:szCs w:val="21"/>
                <w:lang w:eastAsia="zh-CN"/>
              </w:rPr>
              <w:t>分，一般参数每负偏离一条扣</w:t>
            </w:r>
            <w:r>
              <w:rPr>
                <w:rFonts w:ascii="宋体" w:eastAsia="宋体" w:hAnsi="宋体" w:cs="宋体" w:hint="eastAsia"/>
                <w:sz w:val="21"/>
                <w:szCs w:val="21"/>
                <w:lang w:eastAsia="zh-CN"/>
              </w:rPr>
              <w:t>5</w:t>
            </w:r>
            <w:r>
              <w:rPr>
                <w:rFonts w:ascii="宋体" w:eastAsia="宋体" w:hAnsi="宋体" w:cs="宋体" w:hint="eastAsia"/>
                <w:sz w:val="21"/>
                <w:szCs w:val="21"/>
                <w:lang w:eastAsia="zh-CN"/>
              </w:rPr>
              <w:t>分，扣完为止。</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restart"/>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3</w:t>
            </w:r>
          </w:p>
        </w:tc>
        <w:tc>
          <w:tcPr>
            <w:tcW w:w="3516" w:type="dxa"/>
            <w:gridSpan w:val="3"/>
          </w:tcPr>
          <w:p>
            <w:pPr>
              <w:widowControl w:val="0"/>
              <w:wordWrap w:val="0"/>
              <w:jc w:val="center"/>
              <w:rPr>
                <w:rFonts w:ascii="宋体" w:eastAsia="宋体" w:hAnsi="宋体" w:cs="宋体" w:hint="eastAsia"/>
                <w:b/>
                <w:bCs/>
                <w:color w:val="0000FF"/>
                <w:kern w:val="2"/>
                <w:lang w:eastAsia="zh-CN"/>
              </w:rPr>
            </w:pPr>
            <w:r>
              <w:rPr>
                <w:rFonts w:eastAsia="宋体" w:hint="eastAsia"/>
                <w:b/>
                <w:bCs/>
                <w:color w:val="0000FF"/>
                <w:kern w:val="2"/>
                <w:sz w:val="21"/>
                <w:lang w:eastAsia="zh-CN"/>
              </w:rPr>
              <w:t>综合实力部分</w:t>
            </w:r>
          </w:p>
        </w:tc>
        <w:tc>
          <w:tcPr>
            <w:tcW w:w="4856" w:type="dxa"/>
          </w:tcPr>
          <w:p>
            <w:pPr>
              <w:widowControl w:val="0"/>
              <w:wordWrap w:val="0"/>
              <w:jc w:val="center"/>
              <w:rPr>
                <w:rFonts w:ascii="宋体" w:eastAsia="宋体" w:hAnsi="宋体" w:cs="宋体"/>
                <w:b/>
                <w:bCs/>
                <w:color w:val="0000FF"/>
                <w:kern w:val="2"/>
                <w:lang w:eastAsia="zh-CN"/>
              </w:rPr>
            </w:pPr>
            <w:r>
              <w:rPr>
                <w:rFonts w:ascii="宋体" w:eastAsia="宋体" w:hAnsi="宋体" w:cs="宋体" w:hint="eastAsia"/>
                <w:b/>
                <w:bCs/>
                <w:color w:val="0000FF"/>
                <w:kern w:val="2"/>
                <w:lang w:eastAsia="zh-CN"/>
              </w:rPr>
              <w:t>24</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8372" w:type="dxa"/>
            <w:gridSpan w:val="4"/>
          </w:tcPr>
          <w:p>
            <w:pPr>
              <w:widowControl w:val="0"/>
              <w:wordWrap w:val="0"/>
              <w:jc w:val="both"/>
              <w:rPr>
                <w:rFonts w:ascii="宋体" w:eastAsia="宋体" w:hAnsi="宋体" w:cs="宋体" w:hint="eastAsia"/>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shd w:val="clear" w:color="auto" w:fill="E6EFFA"/>
            <w:vAlign w:val="center"/>
          </w:tcPr>
          <w:p>
            <w:pPr>
              <w:widowControl w:val="0"/>
              <w:jc w:val="both"/>
              <w:rPr>
                <w:rFonts w:ascii="宋体" w:eastAsia="宋体" w:hAnsi="宋体" w:cs="宋体" w:hint="eastAsia"/>
                <w:b/>
                <w:bCs/>
                <w:color w:val="0000FF"/>
                <w:kern w:val="2"/>
                <w:lang w:eastAsia="zh-CN"/>
              </w:rPr>
            </w:pPr>
          </w:p>
        </w:tc>
        <w:tc>
          <w:tcPr>
            <w:tcW w:w="705"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hint="eastAsia"/>
                <w:b/>
                <w:bCs/>
                <w:kern w:val="2"/>
                <w:sz w:val="21"/>
                <w:szCs w:val="21"/>
                <w:lang w:eastAsia="zh-CN"/>
              </w:rPr>
              <w:t>评审因素</w:t>
            </w:r>
          </w:p>
        </w:tc>
        <w:tc>
          <w:tcPr>
            <w:tcW w:w="1126"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70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1</w:t>
            </w:r>
          </w:p>
        </w:tc>
        <w:tc>
          <w:tcPr>
            <w:tcW w:w="168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供应商认证情况</w:t>
            </w:r>
          </w:p>
        </w:tc>
        <w:tc>
          <w:tcPr>
            <w:tcW w:w="1126"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lang w:eastAsia="zh-CN"/>
              </w:rPr>
              <w:t>6</w:t>
            </w:r>
          </w:p>
        </w:tc>
        <w:tc>
          <w:tcPr>
            <w:tcW w:w="4856" w:type="dxa"/>
            <w:vAlign w:val="top"/>
          </w:tcPr>
          <w:p>
            <w:pPr>
              <w:widowControl w:val="0"/>
              <w:spacing w:line="240" w:lineRule="exact"/>
              <w:jc w:val="both"/>
              <w:rPr>
                <w:rFonts w:ascii="宋体" w:eastAsia="宋体" w:hAnsi="宋体" w:cs="宋体"/>
                <w:kern w:val="2"/>
                <w:sz w:val="21"/>
                <w:lang w:eastAsia="zh-CN"/>
              </w:rPr>
            </w:pPr>
            <w:r>
              <w:rPr>
                <w:rFonts w:ascii="宋体" w:eastAsia="宋体" w:hAnsi="宋体" w:cs="宋体" w:hint="eastAsia"/>
                <w:kern w:val="2"/>
                <w:sz w:val="21"/>
                <w:lang w:eastAsia="zh-CN"/>
              </w:rPr>
              <w:t>（一）评分内容：</w:t>
            </w:r>
          </w:p>
          <w:p>
            <w:pPr>
              <w:widowControl w:val="0"/>
              <w:autoSpaceDE w:val="0"/>
              <w:autoSpaceDN w:val="0"/>
              <w:adjustRightInd w:val="0"/>
              <w:jc w:val="left"/>
              <w:textAlignment w:val="baseline"/>
              <w:rPr>
                <w:rFonts w:ascii="宋体" w:eastAsia="宋体" w:hAnsi="宋体" w:cs="宋体" w:hint="eastAsia"/>
                <w:kern w:val="2"/>
                <w:sz w:val="21"/>
                <w:lang w:eastAsia="zh-CN"/>
              </w:rPr>
            </w:pPr>
            <w:r>
              <w:rPr>
                <w:rFonts w:ascii="宋体" w:eastAsia="宋体" w:hint="eastAsia"/>
                <w:kern w:val="2"/>
                <w:sz w:val="22"/>
                <w:szCs w:val="22"/>
                <w:lang w:eastAsia="zh-CN"/>
              </w:rPr>
              <w:t>考核投标人拥有证书情况：</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1.具有中国信息安全测评中心颁发的信息安全服务资质证书（安全运营类）资质证书，一级的的10分，二级得25分；</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2.具有中国国家信息安全漏洞库（CNNVD）技术支撑单位等级证书，等级为二级的得5分，等级为一级的得15分，等级为核心的得25分；</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3.具有ISO28000供应链安全管理体系认证证书的，得25分；</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4.具有ISO27017云服务信息安全管理体系认证证书的，得25分。</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（二）评分依据：</w:t>
            </w:r>
          </w:p>
          <w:p>
            <w:pPr>
              <w:widowControl w:val="0"/>
              <w:ind w:firstLine="0" w:firstLineChars="0"/>
              <w:jc w:val="both"/>
              <w:rPr>
                <w:rFonts w:ascii="宋体" w:eastAsia="宋体" w:hAnsi="宋体" w:cs="宋体" w:hint="eastAsia"/>
                <w:color w:val="000000"/>
                <w:kern w:val="2"/>
                <w:sz w:val="21"/>
                <w:lang w:eastAsia="zh-CN"/>
              </w:rPr>
            </w:pPr>
            <w:r>
              <w:rPr>
                <w:rFonts w:ascii="宋体" w:eastAsia="宋体" w:hAnsi="宋体" w:cs="宋体" w:hint="eastAsia"/>
                <w:color w:val="000000"/>
                <w:kern w:val="2"/>
                <w:sz w:val="21"/>
                <w:lang w:eastAsia="zh-CN"/>
              </w:rPr>
              <w:t>1.要求提供有效的认证证书扫描件作为得分依据。</w:t>
            </w:r>
          </w:p>
          <w:p>
            <w:pPr>
              <w:widowControl w:val="0"/>
              <w:ind w:firstLine="0" w:firstLineChars="0"/>
              <w:jc w:val="both"/>
              <w:rPr>
                <w:rFonts w:ascii="宋体" w:eastAsia="宋体" w:hAnsi="宋体" w:cs="宋体" w:hint="eastAsia"/>
                <w:color w:val="000000"/>
                <w:kern w:val="2"/>
                <w:sz w:val="21"/>
                <w:lang w:eastAsia="zh-CN"/>
              </w:rPr>
            </w:pPr>
            <w:r>
              <w:rPr>
                <w:rFonts w:ascii="宋体" w:eastAsia="宋体" w:hAnsi="宋体" w:cs="宋体" w:hint="eastAsia"/>
                <w:color w:val="000000"/>
                <w:kern w:val="2"/>
                <w:sz w:val="21"/>
                <w:lang w:eastAsia="zh-CN"/>
              </w:rPr>
              <w:t>2.提供认证证书及出具证书官网[或全国认证认可信息公共服务平台（http://cx.cnca.cn/）]的证书查询记录并截图。认证证书在公开渠道无法查询的，需提供颁发机构的证明材料，证明证书真实有效。评分中出现无证明资料或专家无法凭所提供资料判断是否得分的情况，一律作不得分处理。</w:t>
            </w:r>
          </w:p>
          <w:p>
            <w:pPr>
              <w:widowControl w:val="0"/>
              <w:ind w:firstLine="0" w:firstLineChars="0"/>
              <w:jc w:val="both"/>
              <w:rPr>
                <w:kern w:val="2"/>
                <w:sz w:val="21"/>
                <w:lang w:eastAsia="zh-CN"/>
              </w:rPr>
            </w:pPr>
            <w:r>
              <w:rPr>
                <w:rFonts w:ascii="宋体" w:eastAsia="宋体" w:hAnsi="宋体" w:cs="宋体" w:hint="eastAsia"/>
                <w:color w:val="000000"/>
                <w:kern w:val="2"/>
                <w:sz w:val="21"/>
                <w:lang w:eastAsia="zh-CN"/>
              </w:rPr>
              <w:t>3.投标人因成立不足3个月，而未取得上述认证证书的，亦视为符合。提供成立情况说明函（格式自拟）。</w:t>
            </w:r>
          </w:p>
          <w:p>
            <w:pPr>
              <w:widowControl w:val="0"/>
              <w:jc w:val="both"/>
              <w:rPr>
                <w:rFonts w:eastAsia="宋体"/>
                <w:kern w:val="2"/>
                <w:sz w:val="21"/>
                <w:lang w:eastAsia="zh-CN"/>
              </w:rPr>
            </w:pPr>
            <w:r>
              <w:rPr>
                <w:rFonts w:ascii="宋体" w:eastAsia="宋体" w:hAnsi="宋体" w:cs="宋体" w:hint="eastAsia"/>
                <w:color w:val="000000"/>
                <w:kern w:val="2"/>
                <w:sz w:val="21"/>
                <w:lang w:eastAsia="zh-CN"/>
              </w:rPr>
              <w:t>4.如未按要求提供证明材料，或所提供的证明材料未能体现上述评分内容的，视为该证明材料无效。</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70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2</w:t>
            </w:r>
          </w:p>
        </w:tc>
        <w:tc>
          <w:tcPr>
            <w:tcW w:w="168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供应商同类项目业绩情况</w:t>
            </w:r>
          </w:p>
        </w:tc>
        <w:tc>
          <w:tcPr>
            <w:tcW w:w="1126"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4856" w:type="dxa"/>
          </w:tcPr>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（一）评分内容：</w:t>
            </w:r>
          </w:p>
          <w:p>
            <w:pPr>
              <w:widowControl w:val="0"/>
              <w:ind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1.具有</w:t>
            </w:r>
            <w:r>
              <w:rPr>
                <w:rFonts w:ascii="宋体" w:eastAsia="宋体" w:hAnsi="宋体" w:hint="eastAsia"/>
                <w:kern w:val="2"/>
                <w:sz w:val="21"/>
                <w:szCs w:val="21"/>
                <w:lang w:eastAsia="zh-CN"/>
              </w:rPr>
              <w:t>信息</w:t>
            </w:r>
            <w:r>
              <w:rPr>
                <w:rFonts w:ascii="宋体" w:eastAsia="宋体" w:hAnsi="宋体" w:hint="eastAsia"/>
                <w:kern w:val="2"/>
                <w:sz w:val="21"/>
                <w:szCs w:val="21"/>
                <w:lang w:eastAsia="zh-CN"/>
              </w:rPr>
              <w:t>安全服务相关项目经验的，每提供一个得</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0</w:t>
            </w:r>
            <w:r>
              <w:rPr>
                <w:rFonts w:ascii="宋体" w:eastAsia="宋体" w:hAnsi="宋体" w:hint="eastAsia"/>
                <w:kern w:val="2"/>
                <w:sz w:val="21"/>
                <w:szCs w:val="21"/>
                <w:lang w:eastAsia="zh-CN"/>
              </w:rPr>
              <w:t>分，最高得</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0分。；</w:t>
            </w:r>
          </w:p>
          <w:p>
            <w:pPr>
              <w:widowControl w:val="0"/>
              <w:ind w:firstLine="0" w:firstLineChars="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2.具有攻防演练或应急处置相关项目经验的，每提供一个得</w:t>
            </w:r>
            <w:r>
              <w:rPr>
                <w:rFonts w:ascii="宋体" w:eastAsia="宋体" w:hAnsi="宋体" w:hint="eastAsia"/>
                <w:kern w:val="2"/>
                <w:sz w:val="21"/>
                <w:szCs w:val="21"/>
                <w:lang w:eastAsia="zh-CN"/>
              </w:rPr>
              <w:t>30</w:t>
            </w:r>
            <w:r>
              <w:rPr>
                <w:rFonts w:ascii="宋体" w:eastAsia="宋体" w:hAnsi="宋体" w:hint="eastAsia"/>
                <w:kern w:val="2"/>
                <w:sz w:val="21"/>
                <w:szCs w:val="21"/>
                <w:lang w:eastAsia="zh-CN"/>
              </w:rPr>
              <w:t>分，最高得</w:t>
            </w:r>
            <w:r>
              <w:rPr>
                <w:rFonts w:ascii="宋体" w:eastAsia="宋体" w:hAnsi="宋体" w:hint="eastAsia"/>
                <w:kern w:val="2"/>
                <w:sz w:val="21"/>
                <w:szCs w:val="21"/>
                <w:lang w:eastAsia="zh-CN"/>
              </w:rPr>
              <w:t>6</w:t>
            </w:r>
            <w:r>
              <w:rPr>
                <w:rFonts w:ascii="宋体" w:eastAsia="宋体" w:hAnsi="宋体" w:hint="eastAsia"/>
                <w:kern w:val="2"/>
                <w:sz w:val="21"/>
                <w:szCs w:val="21"/>
                <w:lang w:eastAsia="zh-CN"/>
              </w:rPr>
              <w:t>0分。_；</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（二）评分依据：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1.要求同时提供合同关键信息，且履约评价合格或者验收合格证明文件作为得分依据，履约评价合格或者验收合格证明文件需加盖合同甲方公章（或甲方业务章）。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2.通过合同关键信息无法判断是否得分的，还须同时提供能证明得分的其他证明资料，如项目报告等。</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3.以上资料均要求提供扫描件。</w:t>
            </w:r>
            <w:r>
              <w:rPr>
                <w:rFonts w:eastAsia="宋体"/>
                <w:kern w:val="2"/>
                <w:sz w:val="21"/>
                <w:szCs w:val="21"/>
                <w:lang w:eastAsia="zh-CN"/>
              </w:rPr>
              <w:t>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70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3</w:t>
            </w:r>
          </w:p>
        </w:tc>
        <w:tc>
          <w:tcPr>
            <w:tcW w:w="168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供应商获奖情况</w:t>
            </w:r>
          </w:p>
        </w:tc>
        <w:tc>
          <w:tcPr>
            <w:tcW w:w="1126"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lang w:eastAsia="zh-CN"/>
              </w:rPr>
              <w:t>8</w:t>
            </w:r>
          </w:p>
        </w:tc>
        <w:tc>
          <w:tcPr>
            <w:tcW w:w="4856" w:type="dxa"/>
            <w:vAlign w:val="top"/>
          </w:tcPr>
          <w:p>
            <w:pPr>
              <w:widowControl w:val="0"/>
              <w:numPr>
                <w:ilvl w:val="0"/>
                <w:numId w:val="2"/>
              </w:numPr>
              <w:spacing w:line="240" w:lineRule="exact"/>
              <w:jc w:val="both"/>
              <w:rPr>
                <w:rFonts w:ascii="宋体" w:eastAsia="宋体" w:hAnsi="宋体" w:cs="宋体" w:hint="eastAsia"/>
                <w:kern w:val="2"/>
                <w:sz w:val="21"/>
                <w:lang w:eastAsia="zh-CN"/>
              </w:rPr>
            </w:pPr>
            <w:r>
              <w:rPr>
                <w:rFonts w:ascii="宋体" w:eastAsia="宋体" w:hAnsi="宋体" w:cs="宋体" w:hint="eastAsia"/>
                <w:kern w:val="2"/>
                <w:sz w:val="21"/>
                <w:lang w:eastAsia="zh-CN"/>
              </w:rPr>
              <w:t>评分内容：</w:t>
            </w:r>
          </w:p>
          <w:p>
            <w:pPr>
              <w:widowControl w:val="0"/>
              <w:spacing w:line="240" w:lineRule="auto"/>
              <w:jc w:val="both"/>
              <w:rPr>
                <w:rFonts w:eastAsia="宋体"/>
                <w:kern w:val="2"/>
                <w:sz w:val="21"/>
                <w:lang w:eastAsia="zh-CN"/>
              </w:rPr>
            </w:pPr>
            <w:r>
              <w:rPr>
                <w:rFonts w:ascii="宋体" w:eastAsia="宋体" w:hAnsi="宋体" w:cs="宋体" w:hint="eastAsia"/>
                <w:kern w:val="2"/>
                <w:sz w:val="21"/>
                <w:lang w:eastAsia="zh-CN"/>
              </w:rPr>
              <w:t>投标人自2</w:t>
            </w:r>
            <w:r>
              <w:rPr>
                <w:rFonts w:eastAsia="宋体" w:hint="eastAsia"/>
                <w:kern w:val="2"/>
                <w:sz w:val="21"/>
                <w:lang w:eastAsia="zh-CN"/>
              </w:rPr>
              <w:t>022年1月1日至本项目投标截止日</w:t>
            </w:r>
            <w:r>
              <w:rPr>
                <w:rFonts w:eastAsia="宋体" w:hint="eastAsia"/>
                <w:kern w:val="2"/>
                <w:sz w:val="21"/>
                <w:lang w:eastAsia="zh-CN"/>
              </w:rPr>
              <w:t>的获奖情况，具体时间以获奖颁发日期为准。</w:t>
            </w:r>
          </w:p>
          <w:p>
            <w:pPr>
              <w:widowControl w:val="0"/>
              <w:spacing w:line="240" w:lineRule="auto"/>
              <w:jc w:val="both"/>
              <w:rPr>
                <w:rFonts w:eastAsia="宋体" w:hint="eastAsia"/>
                <w:kern w:val="2"/>
                <w:sz w:val="21"/>
                <w:lang w:eastAsia="zh-CN"/>
              </w:rPr>
            </w:pPr>
            <w:r>
              <w:rPr>
                <w:rFonts w:eastAsia="宋体" w:hint="eastAsia"/>
                <w:kern w:val="2"/>
                <w:sz w:val="21"/>
                <w:lang w:eastAsia="zh-CN"/>
              </w:rPr>
              <w:t>1、投标人具有国家计算机网络应急技术处理协调中心颁发的网络安全应急服务支撑单位证书，得</w:t>
            </w:r>
            <w:r>
              <w:rPr>
                <w:rFonts w:eastAsia="宋体" w:hint="eastAsia"/>
                <w:kern w:val="2"/>
                <w:sz w:val="21"/>
                <w:lang w:eastAsia="zh-CN"/>
              </w:rPr>
              <w:t>15</w:t>
            </w:r>
            <w:r>
              <w:rPr>
                <w:rFonts w:eastAsia="宋体" w:hint="eastAsia"/>
                <w:kern w:val="2"/>
                <w:sz w:val="21"/>
                <w:lang w:eastAsia="zh-CN"/>
              </w:rPr>
              <w:t>分；</w:t>
            </w:r>
          </w:p>
          <w:p>
            <w:pPr>
              <w:widowControl w:val="0"/>
              <w:jc w:val="both"/>
              <w:rPr>
                <w:rFonts w:eastAsia="宋体"/>
                <w:kern w:val="2"/>
                <w:sz w:val="21"/>
                <w:lang w:eastAsia="zh-CN"/>
              </w:rPr>
            </w:pPr>
            <w:r>
              <w:rPr>
                <w:rFonts w:eastAsia="宋体" w:hint="eastAsia"/>
                <w:kern w:val="2"/>
                <w:sz w:val="21"/>
                <w:lang w:eastAsia="zh-CN"/>
              </w:rPr>
              <w:t>2、</w:t>
            </w:r>
            <w:r>
              <w:rPr>
                <w:rFonts w:eastAsia="宋体" w:hint="eastAsia"/>
                <w:kern w:val="2"/>
                <w:sz w:val="21"/>
                <w:lang w:eastAsia="zh-CN"/>
              </w:rPr>
              <w:t>获得过国家计算机网络应急技术处理协调中心颁发的国家信息安全漏洞共享平台（CNVD）原创漏洞发现贡献单位证书的，得</w:t>
            </w:r>
            <w:r>
              <w:rPr>
                <w:rFonts w:eastAsia="宋体" w:hint="eastAsia"/>
                <w:kern w:val="2"/>
                <w:sz w:val="21"/>
                <w:lang w:eastAsia="zh-CN"/>
              </w:rPr>
              <w:t>15</w:t>
            </w:r>
            <w:r>
              <w:rPr>
                <w:rFonts w:eastAsia="宋体" w:hint="eastAsia"/>
                <w:kern w:val="2"/>
                <w:sz w:val="21"/>
                <w:lang w:eastAsia="zh-CN"/>
              </w:rPr>
              <w:t>分；</w:t>
            </w:r>
          </w:p>
          <w:p>
            <w:pPr>
              <w:widowControl w:val="0"/>
              <w:jc w:val="both"/>
              <w:rPr>
                <w:rFonts w:ascii="宋体" w:eastAsia="宋体" w:hAnsi="宋体" w:cs="宋体"/>
                <w:kern w:val="2"/>
                <w:sz w:val="21"/>
                <w:lang w:eastAsia="zh-CN"/>
              </w:rPr>
            </w:pPr>
            <w:r>
              <w:rPr>
                <w:rFonts w:eastAsia="宋体" w:hint="eastAsia"/>
                <w:kern w:val="2"/>
                <w:sz w:val="21"/>
                <w:lang w:eastAsia="zh-CN"/>
              </w:rPr>
              <w:t>3、</w:t>
            </w:r>
            <w:r>
              <w:rPr>
                <w:rFonts w:ascii="宋体" w:eastAsia="宋体" w:hAnsi="宋体" w:cs="宋体" w:hint="eastAsia"/>
                <w:kern w:val="2"/>
                <w:sz w:val="21"/>
                <w:lang w:eastAsia="zh-CN"/>
              </w:rPr>
              <w:t>获得过由中国信息安全测评中心颁发的国家信息安全漏洞库（CNNVD）年度优秀支撑单位、年度高质量漏洞优秀贡献单位、</w:t>
            </w:r>
            <w:r>
              <w:rPr>
                <w:rFonts w:ascii="宋体" w:eastAsia="宋体" w:hAnsi="宋体" w:cs="宋体"/>
                <w:kern w:val="2"/>
                <w:sz w:val="21"/>
                <w:lang w:eastAsia="zh-CN"/>
              </w:rPr>
              <w:t>年度漏洞消控专项奖</w:t>
            </w:r>
            <w:r>
              <w:rPr>
                <w:rFonts w:ascii="宋体" w:eastAsia="宋体" w:hAnsi="宋体" w:cs="宋体" w:hint="eastAsia"/>
                <w:kern w:val="2"/>
                <w:sz w:val="21"/>
                <w:lang w:eastAsia="zh-CN"/>
              </w:rPr>
              <w:t>的，每提供以上任意一项得15分，最高得45分；</w:t>
            </w:r>
          </w:p>
          <w:p>
            <w:pPr>
              <w:widowControl w:val="0"/>
              <w:jc w:val="both"/>
              <w:rPr>
                <w:rFonts w:eastAsia="宋体"/>
                <w:kern w:val="2"/>
                <w:sz w:val="21"/>
                <w:lang w:eastAsia="zh-CN"/>
              </w:rPr>
            </w:pPr>
            <w:r>
              <w:rPr>
                <w:rFonts w:eastAsia="宋体" w:hint="eastAsia"/>
                <w:kern w:val="2"/>
                <w:sz w:val="21"/>
                <w:lang w:eastAsia="zh-CN"/>
              </w:rPr>
              <w:t>4、获得过</w:t>
            </w:r>
            <w:r>
              <w:rPr>
                <w:rFonts w:ascii="宋体" w:eastAsia="宋体" w:hAnsi="宋体" w:cs="宋体" w:hint="eastAsia"/>
                <w:kern w:val="2"/>
                <w:sz w:val="21"/>
                <w:lang w:eastAsia="zh-CN"/>
              </w:rPr>
              <w:t>公安部第三研究所</w:t>
            </w:r>
            <w:r>
              <w:rPr>
                <w:rFonts w:eastAsia="宋体" w:hint="eastAsia"/>
                <w:kern w:val="2"/>
                <w:sz w:val="21"/>
                <w:lang w:eastAsia="zh-CN"/>
              </w:rPr>
              <w:t>颁发的网络安全实战能力评价支撑单位证书的，得25分；</w:t>
            </w:r>
          </w:p>
          <w:p>
            <w:pPr>
              <w:widowControl w:val="0"/>
              <w:jc w:val="both"/>
              <w:rPr>
                <w:rFonts w:ascii="宋体" w:eastAsia="宋体" w:hAnsi="宋体" w:cs="宋体" w:hint="eastAsia"/>
                <w:kern w:val="2"/>
                <w:sz w:val="21"/>
                <w:lang w:eastAsia="zh-CN"/>
              </w:rPr>
            </w:pPr>
          </w:p>
          <w:p>
            <w:pPr>
              <w:widowControl w:val="0"/>
              <w:spacing w:line="240" w:lineRule="exact"/>
              <w:jc w:val="both"/>
              <w:rPr>
                <w:rFonts w:ascii="宋体" w:eastAsia="宋体" w:hAnsi="宋体" w:cs="宋体"/>
                <w:kern w:val="2"/>
                <w:sz w:val="21"/>
                <w:lang w:eastAsia="zh-CN"/>
              </w:rPr>
            </w:pPr>
            <w:r>
              <w:rPr>
                <w:rFonts w:ascii="宋体" w:eastAsia="宋体" w:hAnsi="宋体" w:cs="宋体" w:hint="eastAsia"/>
                <w:kern w:val="2"/>
                <w:sz w:val="21"/>
                <w:lang w:eastAsia="zh-CN"/>
              </w:rPr>
              <w:t>（二）评分依据：</w:t>
            </w:r>
          </w:p>
          <w:p>
            <w:pPr>
              <w:widowControl w:val="0"/>
              <w:jc w:val="both"/>
              <w:rPr>
                <w:rFonts w:ascii="宋体" w:eastAsia="宋体" w:hAnsi="宋体" w:cs="宋体"/>
                <w:kern w:val="2"/>
                <w:sz w:val="21"/>
                <w:lang w:eastAsia="zh-CN"/>
              </w:rPr>
            </w:pPr>
            <w:r>
              <w:rPr>
                <w:rFonts w:ascii="宋体" w:eastAsia="宋体" w:hAnsi="宋体" w:cs="宋体" w:hint="eastAsia"/>
                <w:kern w:val="2"/>
                <w:sz w:val="21"/>
                <w:lang w:eastAsia="zh-CN"/>
              </w:rPr>
              <w:t>1.要求提供奖项照片或获奖（荣誉）证书等证明材料作为得分依据。</w:t>
            </w:r>
          </w:p>
          <w:p>
            <w:pPr>
              <w:widowControl w:val="0"/>
              <w:jc w:val="both"/>
              <w:rPr>
                <w:rFonts w:eastAsia="宋体"/>
                <w:kern w:val="2"/>
                <w:sz w:val="21"/>
                <w:lang w:eastAsia="zh-CN"/>
              </w:rPr>
            </w:pPr>
            <w:r>
              <w:rPr>
                <w:rFonts w:ascii="宋体" w:eastAsia="宋体" w:hAnsi="宋体" w:cs="宋体" w:hint="eastAsia"/>
                <w:kern w:val="2"/>
                <w:sz w:val="21"/>
                <w:lang w:eastAsia="zh-CN"/>
              </w:rPr>
              <w:t>2.以上资料均要求提供扫描件（或官方网站截图）。评分中出现无证明资料或专家无法凭所提供资料判断是否得分的情况，一律作不得分处理。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ign w:val="center"/>
          </w:tcPr>
          <w:p>
            <w:pPr>
              <w:widowControl w:val="0"/>
              <w:jc w:val="both"/>
              <w:rPr>
                <w:rFonts w:ascii="宋体" w:eastAsia="宋体" w:hAnsi="宋体" w:cs="宋体" w:hint="eastAsia"/>
                <w:b/>
                <w:bCs/>
                <w:color w:val="0000FF"/>
                <w:kern w:val="2"/>
                <w:lang w:eastAsia="zh-CN"/>
              </w:rPr>
            </w:pPr>
          </w:p>
        </w:tc>
        <w:tc>
          <w:tcPr>
            <w:tcW w:w="70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4</w:t>
            </w:r>
          </w:p>
        </w:tc>
        <w:tc>
          <w:tcPr>
            <w:tcW w:w="1685"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szCs w:val="21"/>
                <w:lang w:eastAsia="zh-CN"/>
              </w:rPr>
              <w:t>供应商自主知识产权产品（创新、设计）情况</w:t>
            </w:r>
          </w:p>
        </w:tc>
        <w:tc>
          <w:tcPr>
            <w:tcW w:w="1126" w:type="dxa"/>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hint="eastAsia"/>
                <w:kern w:val="2"/>
                <w:sz w:val="21"/>
                <w:lang w:eastAsia="zh-CN"/>
              </w:rPr>
              <w:t>5</w:t>
            </w:r>
          </w:p>
        </w:tc>
        <w:tc>
          <w:tcPr>
            <w:tcW w:w="4856" w:type="dxa"/>
            <w:vAlign w:val="top"/>
          </w:tcPr>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（一）评分内容：</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（1）具有“自动化渗透测试平台”软件著作权登记证书的，得25分。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（2）具有“交互式应用安全检测系统”软件著作权登记证书的，得25分。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（3）具有“安全可信众测平台”软件著作权登记证书的，得25分。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（4）具有“威胁建模平台”软件著作权登记证书的，得25分。</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（二）评分依据:</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1.如为自有知识产权，提供计算机软件著作权登记证书（著作权人须为投标人）；</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2.如非自有知识产权，提供许可使用合同和计算机软件著作权登记证书（著作权人为许可使用合同甲方或许可人）。</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3.相关证明材料的软件名称与招标文件要求的软件名称不完全一致的，需提供为同种软件的说明；若名称不完全一致又未提供说明的，由评审委员会判定是否符合文件要求。</w:t>
            </w:r>
          </w:p>
          <w:p>
            <w:pPr>
              <w:widowControl w:val="0"/>
              <w:jc w:val="both"/>
              <w:rPr>
                <w:rFonts w:eastAsia="宋体"/>
                <w:kern w:val="2"/>
                <w:sz w:val="21"/>
                <w:szCs w:val="21"/>
                <w:lang w:eastAsia="zh-CN"/>
              </w:rPr>
            </w:pPr>
            <w:r>
              <w:rPr>
                <w:rFonts w:ascii="宋体" w:eastAsia="宋体" w:hAnsi="宋体" w:cs="宋体" w:hint="eastAsia"/>
                <w:kern w:val="2"/>
                <w:sz w:val="21"/>
                <w:lang w:eastAsia="zh-CN"/>
              </w:rPr>
              <w:t>4.评分中出现无证明资料或评审委员会无法凭所提供资料判断是否得分的情况，一律作不得分处理。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4</w:t>
            </w:r>
          </w:p>
        </w:tc>
        <w:tc>
          <w:tcPr>
            <w:tcW w:w="3516" w:type="dxa"/>
            <w:gridSpan w:val="3"/>
          </w:tcPr>
          <w:p>
            <w:pPr>
              <w:widowControl w:val="0"/>
              <w:wordWrap w:val="0"/>
              <w:jc w:val="center"/>
              <w:rPr>
                <w:rFonts w:ascii="宋体" w:eastAsia="宋体" w:hAnsi="宋体" w:cs="宋体" w:hint="eastAsia"/>
                <w:b/>
                <w:bCs/>
                <w:color w:val="0000FF"/>
                <w:kern w:val="2"/>
                <w:lang w:eastAsia="zh-CN"/>
              </w:rPr>
            </w:pPr>
            <w:r>
              <w:rPr>
                <w:rFonts w:eastAsia="宋体"/>
                <w:b/>
                <w:bCs/>
                <w:color w:val="0000FF"/>
                <w:kern w:val="2"/>
                <w:sz w:val="21"/>
                <w:lang w:eastAsia="zh-CN"/>
              </w:rPr>
              <w:t>诚信情况</w:t>
            </w:r>
          </w:p>
        </w:tc>
        <w:tc>
          <w:tcPr>
            <w:tcW w:w="4856" w:type="dxa"/>
          </w:tcPr>
          <w:p>
            <w:pPr>
              <w:widowControl w:val="0"/>
              <w:wordWrap w:val="0"/>
              <w:jc w:val="center"/>
              <w:rPr>
                <w:rFonts w:ascii="宋体" w:eastAsia="宋体" w:hAnsi="宋体" w:cs="宋体" w:hint="eastAsia"/>
                <w:b/>
                <w:bCs/>
                <w:color w:val="0000FF"/>
                <w:kern w:val="2"/>
                <w:lang w:eastAsia="zh-CN"/>
              </w:rPr>
            </w:pPr>
            <w:r>
              <w:rPr>
                <w:rFonts w:eastAsia="宋体" w:hint="eastAsia"/>
                <w:b/>
                <w:bCs/>
                <w:color w:val="0000FF"/>
                <w:kern w:val="2"/>
                <w:sz w:val="21"/>
                <w:lang w:eastAsia="zh-CN"/>
              </w:rPr>
              <w:t>3</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val="restart"/>
            <w:shd w:val="clear" w:color="auto" w:fill="auto"/>
            <w:vAlign w:val="center"/>
          </w:tcPr>
          <w:p>
            <w:pPr>
              <w:widowControl w:val="0"/>
              <w:jc w:val="both"/>
              <w:rPr>
                <w:rFonts w:ascii="宋体" w:eastAsia="宋体" w:hAnsi="宋体" w:cs="宋体" w:hint="eastAsia"/>
                <w:b/>
                <w:bCs/>
                <w:color w:val="0000FF"/>
                <w:kern w:val="2"/>
                <w:lang w:eastAsia="zh-CN"/>
              </w:rPr>
            </w:pPr>
          </w:p>
        </w:tc>
        <w:tc>
          <w:tcPr>
            <w:tcW w:w="705"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hint="eastAsia"/>
                <w:b/>
                <w:bCs/>
                <w:kern w:val="2"/>
                <w:sz w:val="21"/>
                <w:szCs w:val="21"/>
                <w:lang w:eastAsia="zh-CN"/>
              </w:rPr>
              <w:t>评审因素</w:t>
            </w:r>
          </w:p>
        </w:tc>
        <w:tc>
          <w:tcPr>
            <w:tcW w:w="1126"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pPr>
              <w:widowControl w:val="0"/>
              <w:wordWrap w:val="0"/>
              <w:jc w:val="center"/>
              <w:rPr>
                <w:rFonts w:ascii="宋体" w:eastAsia="宋体" w:hAnsi="宋体" w:cs="宋体" w:hint="eastAsia"/>
                <w:b/>
                <w:bCs/>
                <w:kern w:val="2"/>
                <w:sz w:val="21"/>
                <w:szCs w:val="21"/>
                <w:lang w:eastAsia="zh-CN"/>
              </w:rPr>
            </w:pPr>
            <w:r>
              <w:rPr>
                <w:rFonts w:eastAsia="宋体"/>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700" w:type="dxa"/>
            <w:vMerge/>
            <w:shd w:val="clear" w:color="auto" w:fill="auto"/>
            <w:vAlign w:val="center"/>
          </w:tcPr>
          <w:p>
            <w:pPr>
              <w:widowControl w:val="0"/>
              <w:jc w:val="both"/>
              <w:rPr>
                <w:rFonts w:ascii="宋体" w:eastAsia="宋体" w:hAnsi="宋体" w:cs="宋体" w:hint="eastAsia"/>
                <w:b/>
                <w:bCs/>
                <w:color w:val="0000FF"/>
                <w:kern w:val="2"/>
                <w:lang w:eastAsia="zh-CN"/>
              </w:rPr>
            </w:pPr>
          </w:p>
        </w:tc>
        <w:tc>
          <w:tcPr>
            <w:tcW w:w="705" w:type="dxa"/>
            <w:vAlign w:val="center"/>
          </w:tcPr>
          <w:p>
            <w:pPr>
              <w:widowControl w:val="0"/>
              <w:wordWrap w:val="0"/>
              <w:jc w:val="center"/>
              <w:rPr>
                <w:rFonts w:ascii="宋体" w:eastAsia="宋体" w:hAnsi="宋体" w:hint="eastAsia"/>
                <w:kern w:val="2"/>
                <w:sz w:val="21"/>
                <w:szCs w:val="21"/>
                <w:lang w:eastAsia="zh-CN"/>
              </w:rPr>
            </w:pPr>
            <w:r>
              <w:rPr>
                <w:rFonts w:ascii="宋体" w:eastAsia="宋体" w:hAnsi="宋体"/>
                <w:kern w:val="2"/>
                <w:sz w:val="21"/>
                <w:szCs w:val="21"/>
                <w:lang w:eastAsia="zh-CN"/>
              </w:rPr>
              <w:t>1</w:t>
            </w:r>
          </w:p>
        </w:tc>
        <w:tc>
          <w:tcPr>
            <w:tcW w:w="1685" w:type="dxa"/>
            <w:vAlign w:val="center"/>
          </w:tcPr>
          <w:p>
            <w:pPr>
              <w:widowControl w:val="0"/>
              <w:wordWrap w:val="0"/>
              <w:jc w:val="center"/>
              <w:rPr>
                <w:rFonts w:ascii="宋体" w:eastAsia="宋体" w:hAnsi="宋体" w:hint="eastAsia"/>
                <w:kern w:val="2"/>
                <w:sz w:val="21"/>
                <w:szCs w:val="21"/>
                <w:lang w:eastAsia="zh-CN"/>
              </w:rPr>
            </w:pPr>
            <w:r>
              <w:rPr>
                <w:rFonts w:ascii="宋体" w:eastAsia="宋体" w:hAnsi="宋体"/>
                <w:kern w:val="2"/>
                <w:sz w:val="21"/>
                <w:szCs w:val="21"/>
                <w:lang w:eastAsia="zh-CN"/>
              </w:rPr>
              <w:t>诚信情况</w:t>
            </w:r>
          </w:p>
        </w:tc>
        <w:tc>
          <w:tcPr>
            <w:tcW w:w="1126" w:type="dxa"/>
            <w:vAlign w:val="center"/>
          </w:tcPr>
          <w:p>
            <w:pPr>
              <w:widowControl w:val="0"/>
              <w:wordWrap w:val="0"/>
              <w:jc w:val="center"/>
              <w:rPr>
                <w:rFonts w:ascii="宋体" w:eastAsia="宋体" w:hAnsi="宋体" w:cs="宋体" w:hint="eastAsia"/>
                <w:kern w:val="2"/>
                <w:sz w:val="21"/>
                <w:szCs w:val="21"/>
                <w:lang w:eastAsia="zh-CN"/>
              </w:rPr>
            </w:pPr>
            <w:r>
              <w:rPr>
                <w:rFonts w:eastAsia="宋体" w:hint="eastAsia"/>
                <w:kern w:val="2"/>
                <w:sz w:val="21"/>
                <w:szCs w:val="21"/>
                <w:lang w:eastAsia="zh-CN"/>
              </w:rPr>
              <w:t>3</w:t>
            </w:r>
          </w:p>
        </w:tc>
        <w:tc>
          <w:tcPr>
            <w:tcW w:w="4856" w:type="dxa"/>
          </w:tcPr>
          <w:p>
            <w:pPr>
              <w:widowControl w:val="0"/>
              <w:spacing w:after="120"/>
              <w:jc w:val="both"/>
              <w:rPr>
                <w:rFonts w:eastAsia="宋体"/>
                <w:kern w:val="2"/>
                <w:sz w:val="21"/>
                <w:szCs w:val="21"/>
                <w:lang w:eastAsia="zh-CN"/>
              </w:rPr>
            </w:pPr>
            <w:r>
              <w:rPr>
                <w:rFonts w:eastAsia="宋体" w:hint="eastAsia"/>
                <w:kern w:val="2"/>
                <w:sz w:val="21"/>
                <w:szCs w:val="21"/>
                <w:lang w:eastAsia="zh-CN"/>
              </w:rPr>
              <w:t>（一）评分内容：</w:t>
            </w:r>
          </w:p>
          <w:p>
            <w:pPr>
              <w:widowControl w:val="0"/>
              <w:jc w:val="both"/>
              <w:rPr>
                <w:rFonts w:eastAsia="宋体"/>
                <w:kern w:val="2"/>
                <w:sz w:val="21"/>
                <w:lang w:eastAsia="zh-CN"/>
              </w:rPr>
            </w:pPr>
            <w:r>
              <w:rPr>
                <w:rFonts w:eastAsia="宋体" w:hint="eastAsia"/>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widowControl w:val="0"/>
              <w:spacing w:after="120"/>
              <w:jc w:val="both"/>
              <w:rPr>
                <w:rFonts w:eastAsia="宋体"/>
                <w:kern w:val="2"/>
                <w:sz w:val="21"/>
                <w:szCs w:val="21"/>
                <w:lang w:eastAsia="zh-CN"/>
              </w:rPr>
            </w:pPr>
            <w:r>
              <w:rPr>
                <w:rFonts w:eastAsia="宋体" w:hint="eastAsia"/>
                <w:kern w:val="2"/>
                <w:sz w:val="21"/>
                <w:szCs w:val="21"/>
                <w:lang w:eastAsia="zh-CN"/>
              </w:rPr>
              <w:t>（二）评分依据：</w:t>
            </w:r>
          </w:p>
          <w:p>
            <w:pPr>
              <w:widowControl w:val="0"/>
              <w:jc w:val="both"/>
              <w:rPr>
                <w:rFonts w:eastAsia="宋体"/>
                <w:kern w:val="2"/>
                <w:sz w:val="21"/>
                <w:lang w:eastAsia="zh-CN"/>
              </w:rPr>
            </w:pPr>
            <w:r>
              <w:rPr>
                <w:rFonts w:eastAsia="宋体" w:hint="eastAsia"/>
                <w:kern w:val="2"/>
                <w:sz w:val="21"/>
                <w:lang w:eastAsia="zh-CN"/>
              </w:rPr>
              <w:t>查询渠道：</w:t>
            </w:r>
            <w:r>
              <w:rPr>
                <w:rFonts w:eastAsia="宋体" w:hint="eastAsia"/>
                <w:kern w:val="2"/>
                <w:sz w:val="21"/>
                <w:lang w:eastAsia="zh-CN"/>
              </w:rPr>
              <w:t>通过</w:t>
            </w:r>
            <w:r>
              <w:rPr>
                <w:rFonts w:eastAsia="宋体" w:hint="eastAsia"/>
                <w:kern w:val="2"/>
                <w:sz w:val="21"/>
                <w:lang w:eastAsia="zh-CN"/>
              </w:rPr>
              <w:t>“信用中国”（www.creditchina.gov.cn，下载信用信息报告）、“中国政府采购网”（www.ccgp.gov.cn）”、“深圳市政府采购监管网”（http://zfcg.sz.gov.cn）以及“深圳政府采购智慧平台信用库”为供应商信用信息的查询渠道，相关信息以开标当日的查询结果为准。</w:t>
            </w:r>
          </w:p>
          <w:p>
            <w:pPr>
              <w:widowControl w:val="0"/>
              <w:ind w:firstLine="420" w:firstLineChars="200"/>
              <w:jc w:val="both"/>
              <w:rPr>
                <w:rFonts w:ascii="宋体" w:eastAsia="宋体" w:hAnsi="宋体" w:cs="宋体" w:hint="eastAsia"/>
                <w:kern w:val="2"/>
                <w:sz w:val="21"/>
                <w:szCs w:val="21"/>
                <w:lang w:eastAsia="zh-CN"/>
              </w:rPr>
            </w:pPr>
          </w:p>
        </w:tc>
      </w:tr>
    </w:tbl>
    <w:p>
      <w:pPr>
        <w:widowControl w:val="0"/>
        <w:jc w:val="both"/>
        <w:rPr>
          <w:rFonts w:eastAsia="宋体"/>
          <w:kern w:val="2"/>
          <w:sz w:val="21"/>
          <w:lang w:eastAsia="zh-CN"/>
        </w:rPr>
      </w:pPr>
      <w:r>
        <w:rPr>
          <w:rFonts w:eastAsia="宋体" w:hint="eastAsia"/>
          <w:kern w:val="2"/>
          <w:sz w:val="21"/>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（服务类）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0"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25年）</w:t>
      </w:r>
      <w:bookmarkEnd w:id="0"/>
    </w:p>
    <w:p>
      <w:pPr>
        <w:widowControl/>
        <w:jc w:val="left"/>
        <w:rPr>
          <w:rFonts w:ascii="宋体" w:eastAsia="黑体" w:hAnsi="宋体" w:hint="eastAsia"/>
          <w:b/>
          <w:bCs/>
          <w:kern w:val="44"/>
          <w:sz w:val="28"/>
          <w:szCs w:val="44"/>
          <w:lang w:eastAsia="zh-CN"/>
        </w:rPr>
      </w:pPr>
      <w:r>
        <w:rPr>
          <w:rFonts w:eastAsia="宋体" w:hint="eastAsia"/>
          <w:kern w:val="2"/>
          <w:sz w:val="21"/>
          <w:lang w:eastAsia="zh-CN"/>
        </w:rPr>
        <w:br w:type="page"/>
      </w:r>
    </w:p>
    <w:p>
      <w:pPr>
        <w:keepNext/>
        <w:keepLines/>
        <w:widowControl w:val="0"/>
        <w:spacing w:before="340" w:after="330" w:line="360" w:lineRule="auto"/>
        <w:jc w:val="center"/>
        <w:outlineLvl w:val="0"/>
        <w:rPr>
          <w:rFonts w:ascii="宋体" w:eastAsia="黑体" w:hAnsi="宋体" w:hint="eastAsia"/>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jc w:val="both"/>
        <w:rPr>
          <w:rFonts w:eastAsia="宋体"/>
          <w:kern w:val="2"/>
          <w:lang w:eastAsia="zh-CN"/>
        </w:rPr>
      </w:pPr>
      <w:r>
        <w:rPr>
          <w:rFonts w:eastAsia="宋体" w:hint="eastAsia"/>
          <w:kern w:val="2"/>
          <w:lang w:eastAsia="zh-CN"/>
        </w:rPr>
        <w:t xml:space="preserve">          关键信息</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第二章  </w:t>
      </w:r>
      <w:bookmarkStart w:id="1" w:name="_Hlk71994379"/>
      <w:r>
        <w:rPr>
          <w:rFonts w:ascii="宋体" w:eastAsia="宋体" w:hAnsi="宋体" w:hint="eastAsia"/>
          <w:kern w:val="2"/>
          <w:sz w:val="21"/>
          <w:szCs w:val="21"/>
          <w:lang w:eastAsia="zh-CN"/>
        </w:rPr>
        <w:t>对通用条款的补充内容及其他关键信息</w:t>
      </w:r>
      <w:bookmarkEnd w:id="1"/>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第九章  </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失败的后续处理</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spacing w:line="360" w:lineRule="auto"/>
        <w:ind w:firstLine="420" w:firstLineChars="200"/>
        <w:jc w:val="left"/>
        <w:rPr>
          <w:rFonts w:ascii="宋体" w:eastAsia="宋体" w:hAnsi="宋体" w:hint="eastAsia"/>
          <w:kern w:val="2"/>
          <w:sz w:val="21"/>
          <w:szCs w:val="21"/>
          <w:lang w:eastAsia="zh-CN"/>
        </w:rPr>
      </w:pPr>
    </w:p>
    <w:p>
      <w:pPr>
        <w:keepNext/>
        <w:keepLines/>
        <w:widowControl w:val="0"/>
        <w:spacing w:before="340" w:after="330" w:line="360" w:lineRule="auto"/>
        <w:jc w:val="center"/>
        <w:outlineLvl w:val="0"/>
        <w:rPr>
          <w:rFonts w:ascii="宋体" w:eastAsia="黑体" w:hAnsi="宋体" w:hint="eastAsia"/>
          <w:b/>
          <w:bCs/>
          <w:kern w:val="44"/>
          <w:szCs w:val="44"/>
          <w:lang w:eastAsia="zh-CN"/>
        </w:rPr>
      </w:pPr>
      <w:r>
        <w:rPr>
          <w:rFonts w:ascii="宋体" w:eastAsia="黑体" w:hAnsi="宋体"/>
          <w:b/>
          <w:bCs/>
          <w:kern w:val="44"/>
          <w:sz w:val="28"/>
          <w:szCs w:val="44"/>
          <w:lang w:eastAsia="zh-CN"/>
        </w:rPr>
        <w:br w:type="page"/>
      </w:r>
      <w:bookmarkStart w:id="2" w:name="bt投标人须知"/>
      <w:bookmarkEnd w:id="2"/>
      <w:bookmarkStart w:id="3" w:name="bt本工程承诺书"/>
      <w:bookmarkEnd w:id="3"/>
      <w:bookmarkStart w:id="4" w:name="bt项目管理班子配备情况"/>
      <w:bookmarkEnd w:id="4"/>
      <w:bookmarkStart w:id="5" w:name="bt技术标投标文件格式"/>
      <w:bookmarkEnd w:id="5"/>
      <w:bookmarkStart w:id="6" w:name="bt投标文件签署授权委托书"/>
      <w:bookmarkEnd w:id="6"/>
      <w:bookmarkStart w:id="7" w:name="bt投标函"/>
      <w:bookmarkEnd w:id="7"/>
      <w:bookmarkStart w:id="8" w:name="bt合同条款及格式"/>
      <w:bookmarkEnd w:id="8"/>
      <w:bookmarkStart w:id="9" w:name="bt投标报价汇总表"/>
      <w:bookmarkEnd w:id="9"/>
      <w:bookmarkStart w:id="10" w:name="bt投标人情况介绍"/>
      <w:bookmarkEnd w:id="10"/>
      <w:bookmarkStart w:id="11" w:name="合同格式"/>
      <w:bookmarkEnd w:id="11"/>
      <w:bookmarkStart w:id="12" w:name="bt说明"/>
      <w:bookmarkEnd w:id="12"/>
      <w:bookmarkStart w:id="13" w:name="bt其他资料2"/>
      <w:bookmarkEnd w:id="13"/>
      <w:bookmarkStart w:id="14" w:name="bt商务标投标文件格式"/>
      <w:bookmarkEnd w:id="14"/>
      <w:bookmarkStart w:id="15" w:name="bt开标一览表"/>
      <w:bookmarkEnd w:id="15"/>
      <w:bookmarkStart w:id="16" w:name="bt其他资料由投标人自定"/>
      <w:bookmarkEnd w:id="16"/>
      <w:bookmarkStart w:id="17" w:name="bt合同格式"/>
      <w:bookmarkEnd w:id="17"/>
      <w:bookmarkStart w:id="18" w:name="bt合同条款"/>
      <w:bookmarkEnd w:id="18"/>
      <w:r>
        <w:rPr>
          <w:rFonts w:ascii="宋体" w:eastAsia="黑体" w:hAnsi="宋体" w:hint="eastAsia"/>
          <w:b/>
          <w:bCs/>
          <w:kern w:val="44"/>
          <w:sz w:val="28"/>
          <w:szCs w:val="44"/>
          <w:lang w:eastAsia="zh-CN"/>
        </w:rPr>
        <w:t>第一册专用条款</w:t>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widowControl w:val="0"/>
        <w:jc w:val="both"/>
        <w:rPr>
          <w:rFonts w:eastAsia="宋体"/>
          <w:kern w:val="2"/>
          <w:sz w:val="21"/>
          <w:lang w:eastAsia="zh-CN"/>
        </w:rPr>
      </w:pP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投标人的资格要求：</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19" w:name="_Hlk72162904"/>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color w:val="FF0000"/>
          <w:sz w:val="21"/>
          <w:szCs w:val="21"/>
          <w:lang w:eastAsia="zh-CN"/>
        </w:rPr>
        <w:t>2.本项目不接受联合体投标，不接受投标人选用进口产品参与投标（由供应商在《采购投标及履约承诺函》中作出声明）；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8.本项目是（否）专门面向中小企业采购：</w:t>
      </w:r>
      <w:r>
        <w:rPr>
          <w:rFonts w:ascii="Wingdings" w:eastAsia="宋体" w:hAnsi="Wingdings" w:cs="宋体"/>
          <w:sz w:val="21"/>
          <w:szCs w:val="21"/>
          <w:lang w:eastAsia="zh-CN"/>
        </w:rPr>
        <w:sym w:font="Wingdings" w:char="F0FE"/>
      </w:r>
      <w:r>
        <w:rPr>
          <w:rFonts w:ascii="宋体" w:eastAsia="宋体" w:hAnsi="宋体" w:cs="宋体" w:hint="eastAsia"/>
          <w:sz w:val="21"/>
          <w:szCs w:val="21"/>
          <w:lang w:eastAsia="zh-CN"/>
        </w:rPr>
        <w:t>否；</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9.</w:t>
      </w:r>
      <w:r>
        <w:rPr>
          <w:rFonts w:ascii="宋体" w:eastAsia="宋体" w:hAnsi="宋体" w:cs="宋体" w:hint="eastAsia"/>
          <w:color w:val="FF000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宋体" w:eastAsia="宋体" w:hAnsi="宋体" w:cs="宋体" w:hint="eastAsia"/>
          <w:sz w:val="21"/>
          <w:szCs w:val="21"/>
          <w:lang w:eastAsia="zh-CN"/>
        </w:rPr>
        <w:t>。</w:t>
      </w:r>
    </w:p>
    <w:p>
      <w:pPr>
        <w:widowControl w:val="0"/>
        <w:wordWrap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hint="eastAsia"/>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ind w:firstLine="420" w:firstLineChars="200"/>
        <w:jc w:val="both"/>
        <w:rPr>
          <w:rFonts w:ascii="宋体" w:eastAsia="宋体" w:hAnsi="宋体" w:cs="宋体" w:hint="eastAsia"/>
          <w:color w:val="FF0000"/>
          <w:sz w:val="21"/>
          <w:szCs w:val="21"/>
          <w:lang w:eastAsia="zh-CN"/>
        </w:rPr>
      </w:pPr>
    </w:p>
    <w:p>
      <w:pPr>
        <w:widowControl w:val="0"/>
        <w:jc w:val="left"/>
        <w:rPr>
          <w:rFonts w:eastAsia="宋体"/>
          <w:kern w:val="2"/>
          <w:sz w:val="22"/>
          <w:szCs w:val="18"/>
          <w:lang w:eastAsia="zh-CN"/>
        </w:rPr>
      </w:pPr>
      <w:r>
        <w:rPr>
          <w:rFonts w:eastAsia="宋体" w:hint="eastAsia"/>
          <w:kern w:val="2"/>
          <w:sz w:val="22"/>
          <w:szCs w:val="18"/>
          <w:lang w:eastAsia="zh-CN"/>
        </w:rPr>
        <w:t>完整公告内容详见：深圳交易集团（深圳公共资源交易中心）官网https://www.szexgrp.com/jyfw/zfcg-view.html?id=zfcg</w:t>
      </w: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sz w:val="28"/>
          <w:szCs w:val="28"/>
          <w:lang w:eastAsia="zh-CN"/>
        </w:rPr>
      </w:pPr>
      <w:bookmarkStart w:id="20" w:name="_Toc60560625"/>
      <w:bookmarkStart w:id="21" w:name="_Toc60631620"/>
      <w:bookmarkStart w:id="22" w:name="_Toc73521547"/>
      <w:bookmarkStart w:id="23" w:name="_Toc101074876"/>
      <w:bookmarkStart w:id="24" w:name="_Toc73517639"/>
      <w:bookmarkStart w:id="25" w:name="_Toc100052364"/>
      <w:bookmarkStart w:id="26" w:name="_Toc73518117"/>
      <w:bookmarkStart w:id="27" w:name="_Toc73521635"/>
      <w:r>
        <w:rPr>
          <w:rFonts w:ascii="宋体" w:eastAsia="宋体" w:hAnsi="宋体" w:hint="eastAsia"/>
          <w:b/>
          <w:bCs/>
          <w:lang w:eastAsia="zh-CN"/>
        </w:rPr>
        <w:t>一、对通用条款的补充内容</w:t>
      </w:r>
    </w:p>
    <w:bookmarkEnd w:id="20"/>
    <w:bookmarkEnd w:id="21"/>
    <w:bookmarkEnd w:id="22"/>
    <w:bookmarkEnd w:id="23"/>
    <w:bookmarkEnd w:id="24"/>
    <w:bookmarkEnd w:id="25"/>
    <w:bookmarkEnd w:id="26"/>
    <w:bookmarkEnd w:id="27"/>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89"/>
        <w:gridCol w:w="2575"/>
        <w:gridCol w:w="496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通用条款序号</w:t>
            </w:r>
          </w:p>
        </w:tc>
        <w:tc>
          <w:tcPr>
            <w:tcW w:w="2526"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涉及事项</w:t>
            </w:r>
          </w:p>
        </w:tc>
        <w:tc>
          <w:tcPr>
            <w:tcW w:w="4871"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526"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871" w:type="dxa"/>
            <w:vAlign w:val="center"/>
          </w:tcPr>
          <w:p>
            <w:pPr>
              <w:widowControl w:val="0"/>
              <w:jc w:val="center"/>
              <w:rPr>
                <w:rFonts w:ascii="宋体" w:eastAsia="宋体" w:hAnsi="宋体" w:hint="eastAsia"/>
                <w:kern w:val="2"/>
                <w:sz w:val="21"/>
                <w:lang w:eastAsia="zh-CN"/>
              </w:rPr>
            </w:pPr>
            <w:r>
              <w:rPr>
                <w:rFonts w:eastAsia="宋体" w:hint="eastAsia"/>
                <w:kern w:val="2"/>
                <w:sz w:val="21"/>
                <w:lang w:eastAsia="zh-CN"/>
              </w:rPr>
              <w:t>深圳市福利彩票发行中心</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政府集中采购机构</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9</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踏勘现场</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标前会议</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招标文件的澄清和修改</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投标有效期</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投标人的替代方案</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投标文件的大小</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hint="eastAsia"/>
                <w:kern w:val="2"/>
                <w:sz w:val="21"/>
                <w:lang w:eastAsia="zh-CN"/>
              </w:rPr>
            </w:pPr>
            <w:bookmarkStart w:id="28" w:name="_Hlk71664860"/>
            <w:r>
              <w:rPr>
                <w:rFonts w:ascii="宋体" w:eastAsia="宋体" w:hAnsi="宋体" w:hint="eastAsia"/>
                <w:kern w:val="2"/>
                <w:sz w:val="21"/>
                <w:lang w:eastAsia="zh-CN"/>
              </w:rPr>
              <w:t>样品、演示、方案讲解</w:t>
            </w:r>
            <w:bookmarkEnd w:id="28"/>
          </w:p>
        </w:tc>
        <w:tc>
          <w:tcPr>
            <w:tcW w:w="4871" w:type="dxa"/>
            <w:vAlign w:val="center"/>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评审方法</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b/>
                <w:kern w:val="2"/>
                <w:sz w:val="21"/>
                <w:lang w:eastAsia="zh-CN"/>
              </w:rPr>
              <w:t>☑</w:t>
            </w:r>
            <w:r>
              <w:rPr>
                <w:rFonts w:ascii="宋体" w:eastAsia="宋体" w:hAnsi="宋体" w:hint="eastAsia"/>
                <w:b/>
                <w:kern w:val="2"/>
                <w:sz w:val="21"/>
                <w:lang w:eastAsia="zh-CN"/>
              </w:rPr>
              <w:t xml:space="preserve"> </w:t>
            </w: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59"/>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定标方法</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b/>
                <w:kern w:val="2"/>
                <w:sz w:val="21"/>
                <w:lang w:eastAsia="zh-CN"/>
              </w:rPr>
              <w:t>☑</w:t>
            </w:r>
            <w:r>
              <w:rPr>
                <w:rFonts w:ascii="宋体" w:eastAsia="宋体" w:hAnsi="宋体" w:hint="eastAsia"/>
                <w:b/>
                <w:kern w:val="2"/>
                <w:sz w:val="21"/>
                <w:lang w:eastAsia="zh-CN"/>
              </w:rPr>
              <w:t xml:space="preserve"> </w:t>
            </w:r>
            <w:r>
              <w:rPr>
                <w:rFonts w:ascii="宋体" w:eastAsia="宋体" w:hAnsi="宋体" w:hint="eastAsia"/>
                <w:kern w:val="2"/>
                <w:sz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履约担保</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b/>
                <w:kern w:val="2"/>
                <w:sz w:val="21"/>
                <w:lang w:eastAsia="zh-CN"/>
              </w:rPr>
              <w:t>☑</w:t>
            </w:r>
            <w:r>
              <w:rPr>
                <w:rFonts w:ascii="宋体" w:eastAsia="宋体" w:hAnsi="宋体" w:hint="eastAsia"/>
                <w:b/>
                <w:kern w:val="2"/>
                <w:sz w:val="21"/>
                <w:lang w:eastAsia="zh-CN"/>
              </w:rPr>
              <w:t xml:space="preserve"> </w:t>
            </w:r>
            <w:r>
              <w:rPr>
                <w:rFonts w:ascii="宋体" w:eastAsia="宋体" w:hAnsi="宋体" w:hint="eastAsia"/>
                <w:kern w:val="2"/>
                <w:sz w:val="21"/>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52.8</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争议（投诉）</w:t>
            </w:r>
          </w:p>
        </w:tc>
        <w:tc>
          <w:tcPr>
            <w:tcW w:w="4871" w:type="dxa"/>
            <w:vAlign w:val="center"/>
          </w:tcPr>
          <w:p>
            <w:pPr>
              <w:widowControl w:val="0"/>
              <w:jc w:val="left"/>
              <w:rPr>
                <w:rFonts w:ascii="宋体" w:eastAsia="宋体" w:hAnsi="宋体" w:hint="eastAsia"/>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jc w:val="left"/>
        <w:rPr>
          <w:rFonts w:ascii="宋体" w:eastAsia="宋体" w:hAnsi="宋体" w:hint="eastAsia"/>
          <w:b/>
          <w:sz w:val="21"/>
          <w:szCs w:val="20"/>
          <w:lang w:eastAsia="zh-CN"/>
        </w:rPr>
      </w:pPr>
      <w:bookmarkStart w:id="29" w:name="_Hlk72579465"/>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918"/>
        <w:gridCol w:w="561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评标方法</w:t>
            </w:r>
          </w:p>
        </w:tc>
        <w:tc>
          <w:tcPr>
            <w:tcW w:w="5468" w:type="dxa"/>
          </w:tcPr>
          <w:p>
            <w:pPr>
              <w:jc w:val="center"/>
              <w:rPr>
                <w:kern w:val="2"/>
                <w:sz w:val="21"/>
                <w:lang w:eastAsia="zh-CN"/>
              </w:rPr>
            </w:pPr>
            <w:r>
              <w:rPr>
                <w:rFonts w:ascii="Wingdings" w:hAnsi="Wingdings"/>
                <w:kern w:val="2"/>
                <w:sz w:val="21"/>
                <w:lang w:eastAsia="zh-CN"/>
              </w:rPr>
              <w:sym w:font="Wingdings" w:char="F0FE"/>
            </w: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候选中标供应商家数</w:t>
            </w:r>
          </w:p>
        </w:tc>
        <w:tc>
          <w:tcPr>
            <w:tcW w:w="5468" w:type="dxa"/>
          </w:tcPr>
          <w:p>
            <w:pPr>
              <w:jc w:val="center"/>
              <w:rPr>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中标供应商家数</w:t>
            </w:r>
          </w:p>
        </w:tc>
        <w:tc>
          <w:tcPr>
            <w:tcW w:w="5468" w:type="dxa"/>
          </w:tcPr>
          <w:p>
            <w:pPr>
              <w:jc w:val="center"/>
              <w:rPr>
                <w:kern w:val="2"/>
                <w:sz w:val="21"/>
                <w:lang w:eastAsia="zh-CN"/>
              </w:rPr>
            </w:pPr>
            <w:r>
              <w:rPr>
                <w:rFonts w:hint="eastAsia"/>
                <w:kern w:val="2"/>
                <w:sz w:val="21"/>
                <w:lang w:eastAsia="zh-CN"/>
              </w:rPr>
              <w:t>1</w:t>
            </w:r>
          </w:p>
        </w:tc>
      </w:tr>
      <w:bookmarkEnd w:id="29"/>
    </w:tbl>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（2）非专门面向中小企业采购的项目，应执行价格扣除比例：供应商提供的服务全部由优惠主体承接，则对其投标总价给予</w:t>
      </w:r>
      <w:r>
        <w:rPr>
          <w:rFonts w:eastAsia="宋体"/>
          <w:color w:val="FF0000"/>
          <w:kern w:val="2"/>
          <w:sz w:val="21"/>
          <w:u w:val="single"/>
          <w:lang w:eastAsia="zh-CN"/>
        </w:rPr>
        <w:t xml:space="preserve">  </w:t>
      </w:r>
      <w:r>
        <w:rPr>
          <w:rFonts w:eastAsia="宋体" w:hint="eastAsia"/>
          <w:color w:val="FF0000"/>
          <w:kern w:val="2"/>
          <w:sz w:val="21"/>
          <w:u w:val="single"/>
          <w:lang w:eastAsia="zh-CN"/>
        </w:rPr>
        <w:t>10</w:t>
      </w:r>
      <w:r>
        <w:rPr>
          <w:rFonts w:eastAsia="宋体"/>
          <w:color w:val="FF0000"/>
          <w:kern w:val="2"/>
          <w:sz w:val="21"/>
          <w:u w:val="single"/>
          <w:lang w:eastAsia="zh-CN"/>
        </w:rPr>
        <w:t xml:space="preserve">  %</w:t>
      </w:r>
      <w:r>
        <w:rPr>
          <w:rFonts w:eastAsia="宋体" w:hint="eastAsia"/>
          <w:color w:val="000000"/>
          <w:kern w:val="2"/>
          <w:sz w:val="21"/>
          <w:lang w:eastAsia="zh-CN"/>
        </w:rPr>
        <w:t>（10%~20%）</w:t>
      </w:r>
      <w:r>
        <w:rPr>
          <w:rFonts w:eastAsia="宋体" w:hint="eastAsia"/>
          <w:kern w:val="2"/>
          <w:sz w:val="21"/>
          <w:lang w:eastAsia="zh-CN"/>
        </w:rPr>
        <w:t>的扣除，用扣除后的价格参与评审。满足多项优惠政策的企业，不重复享受多项价格扣除政策。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eastAsia="宋体" w:hint="eastAsia"/>
          <w:kern w:val="2"/>
          <w:sz w:val="21"/>
          <w:lang w:eastAsia="zh-CN"/>
        </w:rPr>
        <w:t>优惠主体承接是指提供服务的人员为中小企业依照《中华人民共和国劳动合同法》订立劳动合同的从业人员。</w:t>
      </w:r>
    </w:p>
    <w:p>
      <w:pPr>
        <w:widowControl w:val="0"/>
        <w:numPr>
          <w:ilvl w:val="0"/>
          <w:numId w:val="3"/>
        </w:numPr>
        <w:ind w:firstLine="420" w:firstLineChars="200"/>
        <w:jc w:val="both"/>
        <w:rPr>
          <w:rFonts w:eastAsia="宋体"/>
          <w:kern w:val="2"/>
          <w:sz w:val="21"/>
          <w:szCs w:val="21"/>
          <w:lang w:eastAsia="zh-CN"/>
        </w:rPr>
      </w:pP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w:t>
      </w:r>
      <w:r>
        <w:rPr>
          <w:rFonts w:ascii="宋体" w:eastAsia="宋体" w:hAnsi="宋体" w:cs="宋体" w:hint="eastAsia"/>
          <w:b/>
          <w:bCs/>
          <w:color w:val="FF0000"/>
          <w:kern w:val="2"/>
          <w:sz w:val="21"/>
          <w:szCs w:val="21"/>
          <w:lang w:eastAsia="zh-CN"/>
        </w:rPr>
        <w:t>（服务承接商）</w:t>
      </w:r>
      <w:r>
        <w:rPr>
          <w:rFonts w:ascii="宋体" w:eastAsia="宋体" w:hAnsi="宋体" w:cs="宋体"/>
          <w:b/>
          <w:bCs/>
          <w:color w:val="FF0000"/>
          <w:kern w:val="2"/>
          <w:sz w:val="21"/>
          <w:szCs w:val="21"/>
          <w:lang w:eastAsia="zh-CN"/>
        </w:rPr>
        <w:t>所属行业应当与采购标的所属行业相一致</w:t>
      </w:r>
      <w:r>
        <w:rPr>
          <w:rFonts w:eastAsia="宋体" w:hint="eastAsia"/>
          <w:b/>
          <w:bCs/>
          <w:color w:val="FF0000"/>
          <w:kern w:val="2"/>
          <w:sz w:val="21"/>
          <w:lang w:eastAsia="zh-CN"/>
        </w:rPr>
        <w:t>，</w:t>
      </w:r>
      <w:r>
        <w:rPr>
          <w:rFonts w:eastAsia="宋体" w:hint="eastAsia"/>
          <w:b/>
          <w:bCs/>
          <w:color w:val="FF0000"/>
          <w:kern w:val="2"/>
          <w:sz w:val="21"/>
          <w:lang w:eastAsia="zh-CN"/>
        </w:rPr>
        <w:t>标的所属行业</w:t>
      </w:r>
      <w:r>
        <w:rPr>
          <w:rFonts w:eastAsia="宋体" w:hint="eastAsia"/>
          <w:b/>
          <w:bCs/>
          <w:color w:val="FF0000"/>
          <w:kern w:val="2"/>
          <w:sz w:val="21"/>
          <w:lang w:eastAsia="zh-CN"/>
        </w:rPr>
        <w:t>以</w:t>
      </w:r>
      <w:r>
        <w:rPr>
          <w:rFonts w:eastAsia="宋体" w:hint="eastAsia"/>
          <w:b/>
          <w:bCs/>
          <w:color w:val="FF0000"/>
          <w:kern w:val="2"/>
          <w:sz w:val="21"/>
          <w:lang w:eastAsia="zh-CN"/>
        </w:rPr>
        <w:t>采购</w:t>
      </w:r>
      <w:r>
        <w:rPr>
          <w:rFonts w:eastAsia="宋体" w:hint="eastAsia"/>
          <w:b/>
          <w:bCs/>
          <w:color w:val="FF0000"/>
          <w:kern w:val="2"/>
          <w:sz w:val="21"/>
          <w:lang w:eastAsia="zh-CN"/>
        </w:rPr>
        <w:t>文件第一册第三章用户需求书“</w:t>
      </w:r>
      <w:r>
        <w:rPr>
          <w:rFonts w:eastAsia="宋体" w:hint="eastAsia"/>
          <w:b/>
          <w:bCs/>
          <w:color w:val="FF0000"/>
          <w:kern w:val="2"/>
          <w:sz w:val="21"/>
          <w:lang w:eastAsia="zh-CN"/>
        </w:rPr>
        <w:t>服务需求</w:t>
      </w:r>
      <w:r>
        <w:rPr>
          <w:rFonts w:eastAsia="宋体" w:hint="eastAsia"/>
          <w:b/>
          <w:bCs/>
          <w:color w:val="FF0000"/>
          <w:kern w:val="2"/>
          <w:sz w:val="21"/>
          <w:lang w:eastAsia="zh-CN"/>
        </w:rPr>
        <w:t>明细”的“标的所属行业”一栏为准</w:t>
      </w:r>
      <w:r>
        <w:rPr>
          <w:rFonts w:ascii="宋体" w:eastAsia="宋体" w:hAnsi="宋体" w:cs="宋体"/>
          <w:b/>
          <w:bCs/>
          <w:color w:val="FF0000"/>
          <w:kern w:val="2"/>
          <w:sz w:val="21"/>
          <w:szCs w:val="21"/>
          <w:lang w:eastAsia="zh-CN"/>
        </w:rPr>
        <w:t>。</w:t>
      </w:r>
    </w:p>
    <w:p>
      <w:pPr>
        <w:widowControl w:val="0"/>
        <w:numPr>
          <w:ilvl w:val="0"/>
          <w:numId w:val="3"/>
        </w:numPr>
        <w:ind w:firstLine="420" w:firstLineChars="200"/>
        <w:jc w:val="both"/>
        <w:rPr>
          <w:rFonts w:eastAsia="宋体"/>
          <w:kern w:val="2"/>
          <w:sz w:val="21"/>
          <w:lang w:eastAsia="zh-CN"/>
        </w:rPr>
      </w:pPr>
      <w:r>
        <w:rPr>
          <w:rFonts w:eastAsia="宋体" w:hint="eastAsia"/>
          <w:kern w:val="2"/>
          <w:sz w:val="21"/>
          <w:szCs w:val="21"/>
          <w:lang w:eastAsia="zh-CN"/>
        </w:rPr>
        <w:t>小型企业、微</w:t>
      </w:r>
      <w:r>
        <w:rPr>
          <w:rFonts w:eastAsia="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widowControl w:val="0"/>
        <w:ind w:firstLine="420" w:firstLineChars="200"/>
        <w:jc w:val="both"/>
        <w:rPr>
          <w:rFonts w:eastAsia="宋体"/>
          <w:kern w:val="2"/>
          <w:sz w:val="21"/>
          <w:lang w:eastAsia="zh-CN"/>
        </w:rPr>
      </w:pPr>
      <w:r>
        <w:rPr>
          <w:rFonts w:eastAsia="宋体" w:hint="eastAsia"/>
          <w:kern w:val="2"/>
          <w:sz w:val="21"/>
          <w:lang w:eastAsia="zh-CN"/>
        </w:rPr>
        <w:t>（5）享受价格扣除获得采购合同的，小微企业不得将合同分包给大中型企业。</w:t>
      </w:r>
    </w:p>
    <w:p>
      <w:pPr>
        <w:widowControl w:val="0"/>
        <w:spacing w:line="360" w:lineRule="auto"/>
        <w:ind w:firstLine="420" w:firstLineChars="200"/>
        <w:jc w:val="both"/>
        <w:rPr>
          <w:rFonts w:ascii="宋体" w:eastAsia="宋体" w:hAnsi="宋体" w:cs="宋体" w:hint="eastAsia"/>
          <w:b/>
          <w:bCs/>
          <w:kern w:val="2"/>
          <w:sz w:val="21"/>
          <w:lang w:eastAsia="zh-CN"/>
        </w:rPr>
      </w:pP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2、关于采购订单融资政策</w:t>
      </w:r>
    </w:p>
    <w:p>
      <w:pPr>
        <w:widowControl w:val="0"/>
        <w:wordWrap w:val="0"/>
        <w:ind w:firstLine="420" w:firstLineChars="200"/>
        <w:jc w:val="both"/>
        <w:rPr>
          <w:rFonts w:ascii="宋体" w:eastAsia="宋体" w:hAnsi="宋体" w:hint="eastAsia"/>
          <w:b/>
          <w:kern w:val="2"/>
          <w:sz w:val="21"/>
          <w:lang w:eastAsia="zh-CN"/>
        </w:rPr>
      </w:pPr>
      <w:r>
        <w:rPr>
          <w:rFonts w:eastAsia="宋体" w:hint="eastAsia"/>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640" w:firstLineChars="200"/>
        <w:jc w:val="both"/>
        <w:rPr>
          <w:rFonts w:eastAsia="宋体"/>
          <w:kern w:val="2"/>
          <w:sz w:val="32"/>
          <w:szCs w:val="40"/>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3、</w:t>
      </w:r>
      <w:bookmarkStart w:id="30" w:name="_Hlk72594729"/>
      <w:bookmarkStart w:id="31" w:name="_Hlk76855768"/>
      <w:r>
        <w:rPr>
          <w:rFonts w:eastAsia="宋体" w:hint="eastAsia"/>
          <w:b/>
          <w:kern w:val="2"/>
          <w:sz w:val="21"/>
          <w:lang w:eastAsia="zh-CN"/>
        </w:rPr>
        <w:t>本项目为代理服务项目，将向中标（成交）供应商收取代理服务费。</w:t>
      </w:r>
    </w:p>
    <w:bookmarkEnd w:id="30"/>
    <w:bookmarkEnd w:id="31"/>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color w:val="FF0000"/>
          <w:kern w:val="2"/>
          <w:sz w:val="21"/>
          <w:lang w:eastAsia="zh-CN"/>
        </w:rPr>
        <w:t>本项目类型为服务采购：</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ascii="宋体" w:eastAsia="宋体" w:hAnsi="宋体" w:cs="宋体" w:hint="eastAsia"/>
          <w:bCs/>
          <w:color w:val="FF0000"/>
          <w:kern w:val="2"/>
          <w:sz w:val="21"/>
          <w:szCs w:val="21"/>
          <w:lang w:eastAsia="zh-CN"/>
        </w:rPr>
      </w:pPr>
      <w:r>
        <w:rPr>
          <w:rFonts w:eastAsia="宋体" w:hint="eastAsia"/>
          <w:kern w:val="2"/>
          <w:sz w:val="21"/>
          <w:lang w:eastAsia="zh-CN"/>
        </w:rPr>
        <w:t>（3）中标（成交）供应商中标（成交）后，必须按规定采用银行对公转账方式向深圳交易集团有限公司直接交纳代理服务费，具体交纳信息以</w:t>
      </w:r>
      <w:bookmarkStart w:id="32" w:name="OLE_LINK1"/>
      <w:r>
        <w:rPr>
          <w:rFonts w:eastAsia="宋体" w:hint="eastAsia"/>
          <w:kern w:val="2"/>
          <w:sz w:val="21"/>
          <w:lang w:eastAsia="zh-CN"/>
        </w:rPr>
        <w:t>《付款（缴款）通知书》</w:t>
      </w:r>
      <w:bookmarkEnd w:id="32"/>
      <w:r>
        <w:rPr>
          <w:rFonts w:eastAsia="宋体" w:hint="eastAsia"/>
          <w:kern w:val="2"/>
          <w:sz w:val="21"/>
          <w:lang w:eastAsia="zh-CN"/>
        </w:rPr>
        <w:t>内容为准。</w:t>
      </w:r>
    </w:p>
    <w:p>
      <w:pPr>
        <w:widowControl w:val="0"/>
        <w:spacing w:line="360" w:lineRule="auto"/>
        <w:jc w:val="both"/>
        <w:rPr>
          <w:rFonts w:eastAsia="宋体"/>
          <w:b/>
          <w:bCs/>
          <w:kern w:val="2"/>
          <w:lang w:eastAsia="zh-CN"/>
        </w:rPr>
      </w:pPr>
      <w:r>
        <w:rPr>
          <w:rFonts w:eastAsia="宋体" w:hint="eastAsia"/>
          <w:b/>
          <w:bCs/>
          <w:kern w:val="2"/>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bookmarkStart w:id="33" w:name="_Toc128884461"/>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一、项目基本信息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2"/>
        <w:gridCol w:w="4331"/>
        <w:gridCol w:w="377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426"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4418"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3852" w:type="dxa"/>
            <w:vAlign w:val="center"/>
          </w:tcPr>
          <w:p>
            <w:pPr>
              <w:widowControl w:val="0"/>
              <w:jc w:val="center"/>
              <w:rPr>
                <w:rFonts w:eastAsia="宋体"/>
                <w:b/>
                <w:bCs/>
                <w:color w:val="FF0000"/>
                <w:kern w:val="2"/>
                <w:sz w:val="21"/>
                <w:szCs w:val="21"/>
                <w:lang w:eastAsia="zh-CN"/>
              </w:rPr>
            </w:pPr>
            <w:r>
              <w:rPr>
                <w:rFonts w:eastAsia="宋体" w:hint="eastAsia"/>
                <w:b/>
                <w:bCs/>
                <w:color w:val="FF0000"/>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290"/>
        </w:trPr>
        <w:tc>
          <w:tcPr>
            <w:tcW w:w="426" w:type="dxa"/>
            <w:vAlign w:val="center"/>
          </w:tcPr>
          <w:p>
            <w:pPr>
              <w:widowControl w:val="0"/>
              <w:jc w:val="center"/>
              <w:rPr>
                <w:rFonts w:eastAsia="宋体"/>
                <w:bCs/>
                <w:color w:val="FF0000"/>
                <w:kern w:val="2"/>
                <w:sz w:val="21"/>
                <w:szCs w:val="21"/>
                <w:lang w:eastAsia="zh-CN"/>
              </w:rPr>
            </w:pPr>
            <w:r>
              <w:rPr>
                <w:rFonts w:eastAsia="宋体" w:hint="eastAsia"/>
                <w:bCs/>
                <w:color w:val="FF0000"/>
                <w:kern w:val="2"/>
                <w:sz w:val="21"/>
                <w:szCs w:val="21"/>
                <w:lang w:eastAsia="zh-CN"/>
              </w:rPr>
              <w:t>1</w:t>
            </w:r>
          </w:p>
        </w:tc>
        <w:tc>
          <w:tcPr>
            <w:tcW w:w="4418" w:type="dxa"/>
            <w:vAlign w:val="center"/>
          </w:tcPr>
          <w:p>
            <w:pPr>
              <w:widowControl w:val="0"/>
              <w:jc w:val="center"/>
              <w:rPr>
                <w:rFonts w:eastAsia="宋体"/>
                <w:b/>
                <w:bCs/>
                <w:color w:val="FF0000"/>
                <w:kern w:val="2"/>
                <w:sz w:val="21"/>
                <w:szCs w:val="21"/>
                <w:lang w:eastAsia="zh-CN"/>
              </w:rPr>
            </w:pPr>
            <w:r>
              <w:rPr>
                <w:rFonts w:ascii="宋体" w:eastAsia="宋体" w:hAnsi="宋体" w:hint="eastAsia"/>
                <w:kern w:val="2"/>
                <w:sz w:val="21"/>
                <w:lang w:eastAsia="zh-CN"/>
              </w:rPr>
              <w:t>深圳福彩网络安全服务项目</w:t>
            </w:r>
          </w:p>
        </w:tc>
        <w:tc>
          <w:tcPr>
            <w:tcW w:w="3852" w:type="dxa"/>
            <w:vAlign w:val="center"/>
          </w:tcPr>
          <w:p>
            <w:pPr>
              <w:widowControl w:val="0"/>
              <w:jc w:val="center"/>
              <w:rPr>
                <w:rFonts w:eastAsia="宋体"/>
                <w:bCs/>
                <w:color w:val="FF0000"/>
                <w:kern w:val="2"/>
                <w:sz w:val="21"/>
                <w:szCs w:val="21"/>
                <w:lang w:eastAsia="zh-CN"/>
              </w:rPr>
            </w:pPr>
            <w:r>
              <w:rPr>
                <w:rFonts w:eastAsia="宋体" w:hint="eastAsia"/>
                <w:kern w:val="2"/>
                <w:sz w:val="21"/>
                <w:lang w:eastAsia="zh-CN"/>
              </w:rPr>
              <w:t>89</w:t>
            </w:r>
            <w:r>
              <w:rPr>
                <w:rFonts w:eastAsia="宋体" w:hint="eastAsia"/>
                <w:kern w:val="2"/>
                <w:sz w:val="21"/>
                <w:lang w:eastAsia="zh-CN"/>
              </w:rPr>
              <w:t>0000</w:t>
            </w:r>
          </w:p>
        </w:tc>
      </w:tr>
    </w:tbl>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二、项目概况</w:t>
      </w:r>
    </w:p>
    <w:p>
      <w:pPr>
        <w:widowControl w:val="0"/>
        <w:ind w:firstLine="420" w:firstLineChars="200"/>
        <w:jc w:val="both"/>
        <w:rPr>
          <w:rFonts w:eastAsia="宋体"/>
          <w:kern w:val="2"/>
          <w:lang w:eastAsia="zh-CN"/>
        </w:rPr>
      </w:pPr>
      <w:r>
        <w:rPr>
          <w:rFonts w:ascii="宋体" w:eastAsia="宋体" w:hAnsi="宋体" w:cs="宋体" w:hint="eastAsia"/>
          <w:color w:val="000000"/>
          <w:sz w:val="21"/>
          <w:lang w:eastAsia="zh-CN" w:bidi="ar"/>
        </w:rPr>
        <w:t>网络安全是彩票生产业务健康发展的根本保障，是确保彩票系统稳定运行、数据安全可靠及维护社会公信力的重要依托，我中心一直高度重视。根据《网络安全法》、《个人信息保护法》、《网络安全等级保护基本要求》、《2021年民政综合评估福利彩票发行销售管理项目评估细则》、《网络安全等级保护测评高风险判定实施指引（试行）》要求，为应对日益严峻的安全挑战，加强网络安全运维管理，我中心拟开展深圳福彩网络信息安全运维服务项目采购工作，拟通过采购网络安全基础服务、网络安全运营服务，对深圳市福利彩票销售系统、深圳市福彩APP系统、深圳市福彩微信公众平台、深圳市福利彩票中心官方网站、中间业务平台、全程可追溯系统、深圳福彩智能办公平台、智慧宣传集中管理等系统开展网络安全风险评估、漏洞扫描、应急响应等日常网络安全运营工作，</w:t>
      </w:r>
      <w:r>
        <w:rPr>
          <w:rFonts w:ascii="宋体" w:eastAsia="宋体" w:hAnsi="宋体" w:cs="宋体" w:hint="eastAsia"/>
          <w:color w:val="000000"/>
          <w:sz w:val="21"/>
          <w:lang w:eastAsia="zh-CN" w:bidi="ar"/>
        </w:rPr>
        <w:t>以及辅助招标人应对各级单位</w:t>
      </w:r>
      <w:r>
        <w:rPr>
          <w:rFonts w:eastAsia="宋体" w:hint="eastAsia"/>
          <w:kern w:val="2"/>
          <w:sz w:val="21"/>
          <w:lang w:eastAsia="zh-CN"/>
        </w:rPr>
        <w:t>信息安全检查</w:t>
      </w:r>
      <w:r>
        <w:rPr>
          <w:rFonts w:ascii="宋体" w:eastAsia="宋体" w:hAnsi="宋体" w:cs="宋体" w:hint="eastAsia"/>
          <w:color w:val="000000"/>
          <w:sz w:val="21"/>
          <w:lang w:eastAsia="zh-CN" w:bidi="ar"/>
        </w:rPr>
        <w:t>等</w:t>
      </w:r>
      <w:r>
        <w:rPr>
          <w:rFonts w:eastAsia="宋体" w:hint="eastAsia"/>
          <w:kern w:val="2"/>
          <w:sz w:val="21"/>
          <w:lang w:eastAsia="zh-CN"/>
        </w:rPr>
        <w:t>迎检</w:t>
      </w:r>
      <w:r>
        <w:rPr>
          <w:rFonts w:ascii="宋体" w:eastAsia="宋体" w:hAnsi="宋体" w:cs="宋体" w:hint="eastAsia"/>
          <w:color w:val="000000"/>
          <w:sz w:val="21"/>
          <w:lang w:eastAsia="zh-CN" w:bidi="ar"/>
        </w:rPr>
        <w:t>工作</w:t>
      </w:r>
      <w:r>
        <w:rPr>
          <w:rFonts w:ascii="宋体" w:eastAsia="宋体" w:hAnsi="宋体" w:cs="宋体" w:hint="eastAsia"/>
          <w:color w:val="000000"/>
          <w:sz w:val="21"/>
          <w:lang w:eastAsia="zh-CN" w:bidi="ar"/>
        </w:rPr>
        <w:t>，有效提升网络和信息系统安全保障和运行能力。</w:t>
      </w:r>
    </w:p>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三、</w:t>
      </w:r>
      <w:bookmarkStart w:id="34" w:name="_Hlk72073432"/>
      <w:r>
        <w:rPr>
          <w:rFonts w:ascii="宋体" w:eastAsia="宋体" w:hAnsi="宋体" w:hint="eastAsia"/>
          <w:b/>
          <w:bCs/>
          <w:lang w:eastAsia="zh-CN"/>
        </w:rPr>
        <w:t>服务需求明细</w:t>
      </w:r>
      <w:bookmarkEnd w:id="34"/>
    </w:p>
    <w:tbl>
      <w:tblPr>
        <w:tblStyle w:val="TableNormal"/>
        <w:tblpPr w:leftFromText="180" w:rightFromText="180" w:vertAnchor="text" w:horzAnchor="margin"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7"/>
        <w:gridCol w:w="3067"/>
        <w:gridCol w:w="1588"/>
        <w:gridCol w:w="1039"/>
        <w:gridCol w:w="1039"/>
        <w:gridCol w:w="10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6"/>
        </w:trPr>
        <w:tc>
          <w:tcPr>
            <w:tcW w:w="7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315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服务需求名称（标的名称）</w:t>
            </w:r>
          </w:p>
        </w:tc>
        <w:tc>
          <w:tcPr>
            <w:tcW w:w="1628"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1063"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1063" w:type="dxa"/>
            <w:vAlign w:val="center"/>
          </w:tcPr>
          <w:p>
            <w:pPr>
              <w:widowControl w:val="0"/>
              <w:jc w:val="center"/>
              <w:rPr>
                <w:rFonts w:eastAsia="宋体" w:hint="eastAsia"/>
                <w:bCs/>
                <w:kern w:val="2"/>
                <w:sz w:val="21"/>
                <w:szCs w:val="21"/>
                <w:lang w:eastAsia="zh-CN"/>
              </w:rPr>
            </w:pPr>
            <w:r>
              <w:rPr>
                <w:rFonts w:eastAsia="宋体" w:hint="eastAsia"/>
                <w:b/>
                <w:bCs/>
                <w:color w:val="FF0000"/>
                <w:kern w:val="2"/>
                <w:sz w:val="21"/>
                <w:szCs w:val="21"/>
                <w:lang w:eastAsia="zh-CN"/>
              </w:rPr>
              <w:t>是否专门面向中小企业</w:t>
            </w:r>
          </w:p>
        </w:tc>
        <w:tc>
          <w:tcPr>
            <w:tcW w:w="1063" w:type="dxa"/>
            <w:vAlign w:val="center"/>
          </w:tcPr>
          <w:p>
            <w:pPr>
              <w:widowControl w:val="0"/>
              <w:jc w:val="center"/>
              <w:rPr>
                <w:rFonts w:eastAsia="宋体" w:hint="eastAsia"/>
                <w:bCs/>
                <w:kern w:val="2"/>
                <w:sz w:val="21"/>
                <w:szCs w:val="21"/>
                <w:lang w:eastAsia="zh-CN"/>
              </w:rPr>
            </w:pPr>
            <w:r>
              <w:rPr>
                <w:rFonts w:eastAsia="宋体" w:hint="eastAsia"/>
                <w:b/>
                <w:bCs/>
                <w:color w:val="FF0000"/>
                <w:kern w:val="2"/>
                <w:sz w:val="21"/>
                <w:szCs w:val="21"/>
                <w:lang w:eastAsia="zh-CN"/>
              </w:rPr>
              <w:t>标的所属行业</w:t>
            </w:r>
          </w:p>
        </w:tc>
      </w:tr>
      <w:tr>
        <w:tblPrEx>
          <w:tblW w:w="5000" w:type="pct"/>
          <w:tblInd w:w="0" w:type="dxa"/>
          <w:tblLayout w:type="fixed"/>
          <w:tblCellMar>
            <w:top w:w="0" w:type="dxa"/>
            <w:left w:w="108" w:type="dxa"/>
            <w:bottom w:w="0" w:type="dxa"/>
            <w:right w:w="108" w:type="dxa"/>
          </w:tblCellMar>
        </w:tblPrEx>
        <w:trPr>
          <w:trHeight w:val="170"/>
        </w:trPr>
        <w:tc>
          <w:tcPr>
            <w:tcW w:w="7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3151" w:type="dxa"/>
            <w:vAlign w:val="center"/>
          </w:tcPr>
          <w:p>
            <w:pPr>
              <w:widowControl w:val="0"/>
              <w:jc w:val="center"/>
              <w:rPr>
                <w:rFonts w:eastAsia="宋体"/>
                <w:bCs/>
                <w:kern w:val="2"/>
                <w:sz w:val="21"/>
                <w:szCs w:val="21"/>
                <w:lang w:eastAsia="zh-CN"/>
              </w:rPr>
            </w:pPr>
            <w:r>
              <w:rPr>
                <w:rFonts w:ascii="宋体" w:eastAsia="宋体" w:hAnsi="宋体" w:hint="eastAsia"/>
                <w:kern w:val="2"/>
                <w:sz w:val="21"/>
                <w:lang w:eastAsia="zh-CN"/>
              </w:rPr>
              <w:t>深圳福彩网络安全服务项目</w:t>
            </w:r>
          </w:p>
        </w:tc>
        <w:tc>
          <w:tcPr>
            <w:tcW w:w="1628"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1</w:t>
            </w:r>
          </w:p>
        </w:tc>
        <w:tc>
          <w:tcPr>
            <w:tcW w:w="1063"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项</w:t>
            </w:r>
          </w:p>
        </w:tc>
        <w:tc>
          <w:tcPr>
            <w:tcW w:w="1063" w:type="dxa"/>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否</w:t>
            </w:r>
          </w:p>
        </w:tc>
        <w:tc>
          <w:tcPr>
            <w:tcW w:w="1063" w:type="dxa"/>
            <w:vAlign w:val="center"/>
          </w:tcPr>
          <w:p>
            <w:pPr>
              <w:widowControl w:val="0"/>
              <w:jc w:val="center"/>
              <w:rPr>
                <w:rFonts w:eastAsia="宋体"/>
                <w:bCs/>
                <w:kern w:val="2"/>
                <w:sz w:val="21"/>
                <w:szCs w:val="21"/>
                <w:lang w:eastAsia="zh-CN"/>
              </w:rPr>
            </w:pPr>
            <w:r>
              <w:rPr>
                <w:rFonts w:ascii="宋体" w:eastAsia="宋体" w:hAnsi="宋体" w:hint="eastAsia"/>
                <w:kern w:val="2"/>
                <w:sz w:val="21"/>
                <w:lang w:eastAsia="zh-CN"/>
              </w:rPr>
              <w:t>软件和信息技术服务业</w:t>
            </w:r>
          </w:p>
        </w:tc>
      </w:tr>
    </w:tbl>
    <w:p>
      <w:pPr>
        <w:widowControl w:val="0"/>
        <w:jc w:val="both"/>
        <w:rPr>
          <w:rFonts w:ascii="宋体" w:eastAsia="宋体" w:hAnsi="宋体" w:hint="eastAsia"/>
          <w:b/>
          <w:color w:val="FF0000"/>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四、实质性条款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8"/>
        <w:gridCol w:w="783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7951"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7951" w:type="dxa"/>
          </w:tcPr>
          <w:p>
            <w:pPr>
              <w:widowControl w:val="0"/>
              <w:jc w:val="both"/>
              <w:rPr>
                <w:rFonts w:eastAsia="宋体" w:hAnsi="宋体" w:hint="eastAsia"/>
                <w:sz w:val="21"/>
                <w:szCs w:val="21"/>
                <w:lang w:eastAsia="zh-CN"/>
              </w:rPr>
            </w:pPr>
            <w:r>
              <w:rPr>
                <w:rFonts w:eastAsia="宋体" w:hint="eastAsia"/>
                <w:kern w:val="2"/>
                <w:sz w:val="21"/>
                <w:lang w:eastAsia="zh-CN"/>
              </w:rPr>
              <w:t>满足本项目标★的条款要求</w:t>
            </w:r>
          </w:p>
        </w:tc>
      </w:tr>
      <w:tr>
        <w:tblPrEx>
          <w:tblW w:w="5000" w:type="pct"/>
          <w:tblInd w:w="0" w:type="dxa"/>
          <w:tblLayout w:type="fixed"/>
          <w:tblCellMar>
            <w:top w:w="0" w:type="dxa"/>
            <w:left w:w="108" w:type="dxa"/>
            <w:bottom w:w="0" w:type="dxa"/>
            <w:right w:w="108" w:type="dxa"/>
          </w:tblCellMar>
        </w:tblPrEx>
        <w:tc>
          <w:tcPr>
            <w:tcW w:w="705" w:type="dxa"/>
            <w:vAlign w:val="center"/>
          </w:tcPr>
          <w:p>
            <w:pPr>
              <w:widowControl w:val="0"/>
              <w:jc w:val="center"/>
              <w:rPr>
                <w:rFonts w:ascii="宋体" w:eastAsia="宋体" w:hAnsi="宋体" w:hint="eastAsia"/>
                <w:sz w:val="21"/>
                <w:szCs w:val="21"/>
                <w:lang w:eastAsia="zh-CN"/>
              </w:rPr>
            </w:pPr>
            <w:r>
              <w:rPr>
                <w:rFonts w:eastAsia="宋体" w:hint="eastAsia"/>
                <w:kern w:val="2"/>
                <w:sz w:val="21"/>
                <w:lang w:eastAsia="zh-CN"/>
              </w:rPr>
              <w:t>2</w:t>
            </w:r>
          </w:p>
        </w:tc>
        <w:tc>
          <w:tcPr>
            <w:tcW w:w="7951" w:type="dxa"/>
            <w:vAlign w:val="center"/>
          </w:tcPr>
          <w:p>
            <w:pPr>
              <w:widowControl w:val="0"/>
              <w:jc w:val="left"/>
              <w:rPr>
                <w:rFonts w:eastAsia="宋体" w:hint="eastAsia"/>
                <w:b/>
                <w:bCs/>
                <w:color w:val="FF0000"/>
                <w:kern w:val="2"/>
                <w:sz w:val="21"/>
                <w:lang w:eastAsia="zh-CN"/>
              </w:rPr>
            </w:pPr>
            <w:r>
              <w:rPr>
                <w:rFonts w:eastAsia="宋体" w:hint="eastAsia"/>
                <w:b/>
                <w:bCs/>
                <w:color w:val="FF0000"/>
                <w:kern w:val="2"/>
                <w:sz w:val="21"/>
                <w:lang w:eastAsia="zh-CN"/>
              </w:rPr>
              <w:t>★投标方承诺信息安全检查工作以及落实各项安全管理措施主要依据国家、省及深圳市的相关信息安全文件、规范、指引、标准等要求，如下所示：</w:t>
            </w:r>
          </w:p>
          <w:p>
            <w:pPr>
              <w:widowControl w:val="0"/>
              <w:jc w:val="left"/>
              <w:rPr>
                <w:rFonts w:eastAsia="宋体" w:hint="eastAsia"/>
                <w:b/>
                <w:bCs/>
                <w:color w:val="FF0000"/>
                <w:kern w:val="2"/>
                <w:sz w:val="21"/>
                <w:lang w:eastAsia="zh-CN"/>
              </w:rPr>
            </w:pPr>
            <w:r>
              <w:rPr>
                <w:rFonts w:eastAsia="宋体" w:hint="eastAsia"/>
                <w:b/>
                <w:bCs/>
                <w:color w:val="FF0000"/>
                <w:kern w:val="2"/>
                <w:sz w:val="21"/>
                <w:lang w:eastAsia="zh-CN"/>
              </w:rPr>
              <w:t>《中华人民共和国网络安全法》、《公安机关互联网安全监督检查规定》、（公安部令第151号）、深圳市网络与信息安全信息通报中心文件《关于启动“护网2020”网络安全专项工作的通知》（深网安通《2020》1号）、《深圳市党政机关信息安全联合检查工作方案》、《信息安全技术网络安全等级保护基本要求》、《信息安全技术网络安全等级保护测评要求》、《信息安全技术网络安全等级保护实施指南》</w:t>
            </w:r>
            <w:r>
              <w:rPr>
                <w:rFonts w:eastAsia="宋体" w:hint="eastAsia"/>
                <w:b/>
                <w:bCs/>
                <w:color w:val="FF0000"/>
                <w:kern w:val="2"/>
                <w:sz w:val="21"/>
                <w:lang w:eastAsia="zh-CN"/>
              </w:rPr>
              <w:t>（提供承诺函，格式自拟）。</w:t>
            </w:r>
          </w:p>
        </w:tc>
      </w:tr>
      <w:tr>
        <w:tblPrEx>
          <w:tblW w:w="5000" w:type="pct"/>
          <w:tblInd w:w="0" w:type="dxa"/>
          <w:tblLayout w:type="fixed"/>
          <w:tblCellMar>
            <w:top w:w="0" w:type="dxa"/>
            <w:left w:w="108" w:type="dxa"/>
            <w:bottom w:w="0" w:type="dxa"/>
            <w:right w:w="108" w:type="dxa"/>
          </w:tblCellMar>
        </w:tblPrEx>
        <w:tc>
          <w:tcPr>
            <w:tcW w:w="705" w:type="dxa"/>
            <w:vAlign w:val="center"/>
          </w:tcPr>
          <w:p>
            <w:pPr>
              <w:widowControl w:val="0"/>
              <w:jc w:val="center"/>
              <w:rPr>
                <w:rFonts w:ascii="宋体" w:eastAsia="宋体" w:hAnsi="宋体" w:hint="eastAsia"/>
                <w:sz w:val="21"/>
                <w:szCs w:val="21"/>
                <w:lang w:eastAsia="zh-CN"/>
              </w:rPr>
            </w:pPr>
            <w:r>
              <w:rPr>
                <w:rFonts w:eastAsia="宋体" w:hint="eastAsia"/>
                <w:kern w:val="2"/>
                <w:sz w:val="21"/>
                <w:lang w:eastAsia="zh-CN"/>
              </w:rPr>
              <w:t>3</w:t>
            </w:r>
          </w:p>
        </w:tc>
        <w:tc>
          <w:tcPr>
            <w:tcW w:w="7951" w:type="dxa"/>
            <w:vAlign w:val="center"/>
          </w:tcPr>
          <w:p>
            <w:pPr>
              <w:widowControl w:val="0"/>
              <w:jc w:val="left"/>
              <w:rPr>
                <w:rFonts w:eastAsia="宋体" w:hint="eastAsia"/>
                <w:b/>
                <w:bCs/>
                <w:color w:val="FF0000"/>
                <w:kern w:val="2"/>
                <w:sz w:val="21"/>
                <w:lang w:eastAsia="zh-CN"/>
              </w:rPr>
            </w:pPr>
            <w:r>
              <w:rPr>
                <w:rFonts w:eastAsia="宋体" w:hint="eastAsia"/>
                <w:b/>
                <w:bCs/>
                <w:color w:val="FF0000"/>
                <w:kern w:val="2"/>
                <w:sz w:val="21"/>
                <w:lang w:eastAsia="zh-CN"/>
              </w:rPr>
              <w:t>★本次项目涉及基础网络架构、重要信息系统、存储设施、安全防护设施和终端设备等IT资产，投标方承诺服务过程中因乙方的失误造成的损失由乙方承担</w:t>
            </w:r>
            <w:r>
              <w:rPr>
                <w:rFonts w:eastAsia="宋体" w:hint="eastAsia"/>
                <w:b/>
                <w:bCs/>
                <w:color w:val="FF0000"/>
                <w:kern w:val="2"/>
                <w:sz w:val="21"/>
                <w:lang w:eastAsia="zh-CN"/>
              </w:rPr>
              <w:t>（提供承诺函，格式自拟）。</w:t>
            </w:r>
          </w:p>
        </w:tc>
      </w:tr>
      <w:tr>
        <w:tblPrEx>
          <w:tblW w:w="5000" w:type="pct"/>
          <w:tblInd w:w="0" w:type="dxa"/>
          <w:tblLayout w:type="fixed"/>
          <w:tblCellMar>
            <w:top w:w="0" w:type="dxa"/>
            <w:left w:w="108" w:type="dxa"/>
            <w:bottom w:w="0" w:type="dxa"/>
            <w:right w:w="108" w:type="dxa"/>
          </w:tblCellMar>
        </w:tblPrEx>
        <w:tc>
          <w:tcPr>
            <w:tcW w:w="705" w:type="dxa"/>
            <w:vAlign w:val="center"/>
          </w:tcPr>
          <w:p>
            <w:pPr>
              <w:widowControl w:val="0"/>
              <w:jc w:val="center"/>
              <w:rPr>
                <w:rFonts w:ascii="宋体" w:eastAsia="宋体" w:hAnsi="宋体" w:hint="eastAsia"/>
                <w:sz w:val="21"/>
                <w:szCs w:val="21"/>
                <w:lang w:eastAsia="zh-CN"/>
              </w:rPr>
            </w:pPr>
            <w:r>
              <w:rPr>
                <w:rFonts w:eastAsia="宋体" w:hint="eastAsia"/>
                <w:kern w:val="2"/>
                <w:sz w:val="21"/>
                <w:lang w:eastAsia="zh-CN"/>
              </w:rPr>
              <w:t>4</w:t>
            </w:r>
          </w:p>
        </w:tc>
        <w:tc>
          <w:tcPr>
            <w:tcW w:w="7951" w:type="dxa"/>
            <w:vAlign w:val="center"/>
          </w:tcPr>
          <w:p>
            <w:pPr>
              <w:widowControl w:val="0"/>
              <w:jc w:val="left"/>
              <w:rPr>
                <w:rFonts w:eastAsia="宋体" w:hint="eastAsia"/>
                <w:b/>
                <w:bCs/>
                <w:color w:val="FF0000"/>
                <w:kern w:val="2"/>
                <w:sz w:val="21"/>
                <w:lang w:eastAsia="zh-CN"/>
              </w:rPr>
            </w:pPr>
            <w:r>
              <w:rPr>
                <w:rFonts w:eastAsia="宋体" w:hint="eastAsia"/>
                <w:b/>
                <w:bCs/>
                <w:color w:val="FF0000"/>
                <w:kern w:val="2"/>
                <w:sz w:val="21"/>
                <w:lang w:eastAsia="zh-CN"/>
              </w:rPr>
              <w:t>★投标人承诺完全满足“服务项目具体技术要求”中“具体服务内容”和“具体服务标准”（</w:t>
            </w:r>
            <w:r>
              <w:rPr>
                <w:rFonts w:eastAsia="宋体" w:hint="eastAsia"/>
                <w:b/>
                <w:bCs/>
                <w:color w:val="FF0000"/>
                <w:kern w:val="2"/>
                <w:sz w:val="21"/>
                <w:lang w:eastAsia="zh-CN"/>
              </w:rPr>
              <w:t>提供承诺函，格式自拟）。</w:t>
            </w:r>
          </w:p>
        </w:tc>
      </w:tr>
      <w:tr>
        <w:tblPrEx>
          <w:tblW w:w="5000" w:type="pct"/>
          <w:tblInd w:w="0" w:type="dxa"/>
          <w:tblLayout w:type="fixed"/>
          <w:tblCellMar>
            <w:top w:w="0" w:type="dxa"/>
            <w:left w:w="108" w:type="dxa"/>
            <w:bottom w:w="0" w:type="dxa"/>
            <w:right w:w="108" w:type="dxa"/>
          </w:tblCellMar>
        </w:tblPrEx>
        <w:tc>
          <w:tcPr>
            <w:tcW w:w="705" w:type="dxa"/>
            <w:vAlign w:val="center"/>
          </w:tcPr>
          <w:p>
            <w:pPr>
              <w:widowControl w:val="0"/>
              <w:jc w:val="center"/>
              <w:rPr>
                <w:rFonts w:ascii="宋体" w:eastAsia="宋体" w:hAnsi="宋体" w:hint="eastAsia"/>
                <w:sz w:val="21"/>
                <w:szCs w:val="21"/>
                <w:lang w:eastAsia="zh-CN"/>
              </w:rPr>
            </w:pPr>
            <w:r>
              <w:rPr>
                <w:rFonts w:eastAsia="宋体" w:hint="eastAsia"/>
                <w:kern w:val="2"/>
                <w:sz w:val="21"/>
                <w:lang w:eastAsia="zh-CN"/>
              </w:rPr>
              <w:t>5</w:t>
            </w:r>
          </w:p>
        </w:tc>
        <w:tc>
          <w:tcPr>
            <w:tcW w:w="7951" w:type="dxa"/>
            <w:vAlign w:val="center"/>
          </w:tcPr>
          <w:p>
            <w:pPr>
              <w:widowControl w:val="0"/>
              <w:jc w:val="left"/>
              <w:rPr>
                <w:rFonts w:eastAsia="宋体" w:hint="eastAsia"/>
                <w:b/>
                <w:bCs/>
                <w:color w:val="FF0000"/>
                <w:kern w:val="2"/>
                <w:sz w:val="21"/>
                <w:lang w:eastAsia="zh-CN"/>
              </w:rPr>
            </w:pPr>
            <w:r>
              <w:rPr>
                <w:rFonts w:eastAsia="宋体" w:hint="eastAsia"/>
                <w:b/>
                <w:bCs/>
                <w:color w:val="FF0000"/>
                <w:kern w:val="2"/>
                <w:sz w:val="21"/>
                <w:lang w:eastAsia="zh-CN"/>
              </w:rPr>
              <w:t>★</w:t>
            </w:r>
            <w:r>
              <w:rPr>
                <w:rFonts w:ascii="宋体" w:eastAsia="宋体" w:hAnsi="宋体" w:cs="宋体" w:hint="eastAsia"/>
                <w:b/>
                <w:bCs/>
                <w:color w:val="FF0000"/>
                <w:sz w:val="21"/>
                <w:lang w:eastAsia="zh-CN"/>
              </w:rPr>
              <w:t>投标方承诺除完成本项目要求的服务内容外，对采购人因业务发展需要而指派的与信息安全服务相关的工作也能保质保量的完成</w:t>
            </w:r>
            <w:r>
              <w:rPr>
                <w:rFonts w:eastAsia="宋体" w:hint="eastAsia"/>
                <w:b/>
                <w:bCs/>
                <w:color w:val="FF0000"/>
                <w:kern w:val="2"/>
                <w:sz w:val="21"/>
                <w:lang w:eastAsia="zh-CN"/>
              </w:rPr>
              <w:t>（提供承诺函，格式自拟）</w:t>
            </w:r>
            <w:r>
              <w:rPr>
                <w:rFonts w:ascii="宋体" w:eastAsia="宋体" w:hAnsi="宋体" w:cs="宋体" w:hint="eastAsia"/>
                <w:b/>
                <w:bCs/>
                <w:color w:val="FF0000"/>
                <w:sz w:val="21"/>
                <w:lang w:eastAsia="zh-CN"/>
              </w:rPr>
              <w:t>。</w:t>
            </w:r>
          </w:p>
        </w:tc>
      </w:tr>
      <w:bookmarkEnd w:id="33"/>
    </w:tbl>
    <w:p>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招标</w:t>
      </w:r>
      <w:r>
        <w:rPr>
          <w:rFonts w:ascii="宋体" w:eastAsia="宋体"/>
          <w:b/>
          <w:szCs w:val="20"/>
          <w:lang w:eastAsia="zh-CN"/>
        </w:rPr>
        <w:t>文件要求和条件作投标无效处理。</w:t>
      </w: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五、技术要求</w:t>
      </w:r>
    </w:p>
    <w:p>
      <w:pPr>
        <w:widowControl w:val="0"/>
        <w:numPr>
          <w:ilvl w:val="0"/>
          <w:numId w:val="0"/>
        </w:numPr>
        <w:spacing w:line="360" w:lineRule="auto"/>
        <w:ind w:left="0" w:firstLine="0"/>
        <w:jc w:val="both"/>
        <w:rPr>
          <w:rFonts w:eastAsia="宋体"/>
          <w:kern w:val="2"/>
          <w:sz w:val="21"/>
          <w:lang w:eastAsia="zh-CN"/>
        </w:rPr>
      </w:pPr>
      <w:r>
        <w:rPr>
          <w:rFonts w:eastAsia="宋体" w:hint="eastAsia"/>
          <w:kern w:val="2"/>
          <w:sz w:val="21"/>
          <w:lang w:eastAsia="zh-CN"/>
        </w:rPr>
        <w:t>（一）</w:t>
      </w:r>
      <w:r>
        <w:rPr>
          <w:rFonts w:eastAsia="宋体" w:hint="eastAsia"/>
          <w:kern w:val="2"/>
          <w:sz w:val="21"/>
          <w:lang w:eastAsia="zh-CN"/>
        </w:rPr>
        <w:t>服务清单</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6"/>
        <w:gridCol w:w="5677"/>
        <w:gridCol w:w="680"/>
        <w:gridCol w:w="140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7"/>
        </w:trPr>
        <w:tc>
          <w:tcPr>
            <w:tcW w:w="736" w:type="dxa"/>
            <w:noWrap w:val="0"/>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序号</w:t>
            </w:r>
          </w:p>
        </w:tc>
        <w:tc>
          <w:tcPr>
            <w:tcW w:w="5459" w:type="dxa"/>
            <w:noWrap w:val="0"/>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服务名称</w:t>
            </w:r>
          </w:p>
        </w:tc>
        <w:tc>
          <w:tcPr>
            <w:tcW w:w="654"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数量</w:t>
            </w:r>
          </w:p>
        </w:tc>
        <w:tc>
          <w:tcPr>
            <w:tcW w:w="1352"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单位</w:t>
            </w:r>
          </w:p>
        </w:tc>
      </w:tr>
      <w:tr>
        <w:tblPrEx>
          <w:tblW w:w="5000" w:type="pct"/>
          <w:tblInd w:w="0" w:type="dxa"/>
          <w:tblLayout w:type="fixed"/>
          <w:tblCellMar>
            <w:top w:w="0" w:type="dxa"/>
            <w:left w:w="108" w:type="dxa"/>
            <w:bottom w:w="0" w:type="dxa"/>
            <w:right w:w="108" w:type="dxa"/>
          </w:tblCellMar>
        </w:tblPrEx>
        <w:trPr>
          <w:trHeight w:val="567"/>
        </w:trPr>
        <w:tc>
          <w:tcPr>
            <w:tcW w:w="736" w:type="dxa"/>
            <w:noWrap w:val="0"/>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p>
        </w:tc>
        <w:tc>
          <w:tcPr>
            <w:tcW w:w="5459" w:type="dxa"/>
            <w:noWrap w:val="0"/>
            <w:vAlign w:val="center"/>
          </w:tcPr>
          <w:p>
            <w:pPr>
              <w:widowControl/>
              <w:jc w:val="center"/>
              <w:rPr>
                <w:rFonts w:ascii="宋体" w:eastAsia="宋体" w:hAnsi="宋体" w:hint="eastAsia"/>
                <w:kern w:val="2"/>
                <w:sz w:val="21"/>
                <w:lang w:eastAsia="zh-CN"/>
              </w:rPr>
            </w:pPr>
            <w:r>
              <w:rPr>
                <w:rFonts w:ascii="宋体" w:eastAsia="宋体" w:hAnsi="宋体" w:hint="eastAsia"/>
                <w:kern w:val="2"/>
                <w:sz w:val="21"/>
                <w:lang w:eastAsia="zh-CN"/>
              </w:rPr>
              <w:t>网络安全基础服务</w:t>
            </w:r>
          </w:p>
        </w:tc>
        <w:tc>
          <w:tcPr>
            <w:tcW w:w="654" w:type="dxa"/>
            <w:noWrap w:val="0"/>
            <w:vAlign w:val="center"/>
          </w:tcPr>
          <w:p>
            <w:pPr>
              <w:widowControl w:val="0"/>
              <w:jc w:val="center"/>
              <w:rPr>
                <w:rFonts w:ascii="宋体" w:eastAsia="宋体" w:hAnsi="宋体"/>
                <w:kern w:val="2"/>
                <w:sz w:val="21"/>
                <w:lang w:eastAsia="zh-CN"/>
              </w:rPr>
            </w:pPr>
            <w:r>
              <w:rPr>
                <w:rFonts w:ascii="宋体" w:eastAsia="宋体" w:hAnsi="宋体" w:hint="eastAsia"/>
                <w:kern w:val="2"/>
                <w:sz w:val="21"/>
                <w:lang w:eastAsia="zh-CN"/>
              </w:rPr>
              <w:t>1</w:t>
            </w:r>
          </w:p>
        </w:tc>
        <w:tc>
          <w:tcPr>
            <w:tcW w:w="1352"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项</w:t>
            </w:r>
          </w:p>
        </w:tc>
      </w:tr>
      <w:tr>
        <w:tblPrEx>
          <w:tblW w:w="5000" w:type="pct"/>
          <w:tblInd w:w="0" w:type="dxa"/>
          <w:tblLayout w:type="fixed"/>
          <w:tblCellMar>
            <w:top w:w="0" w:type="dxa"/>
            <w:left w:w="108" w:type="dxa"/>
            <w:bottom w:w="0" w:type="dxa"/>
            <w:right w:w="108" w:type="dxa"/>
          </w:tblCellMar>
        </w:tblPrEx>
        <w:trPr>
          <w:trHeight w:val="567"/>
        </w:trPr>
        <w:tc>
          <w:tcPr>
            <w:tcW w:w="736"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p>
        </w:tc>
        <w:tc>
          <w:tcPr>
            <w:tcW w:w="5459" w:type="dxa"/>
            <w:noWrap w:val="0"/>
            <w:vAlign w:val="center"/>
          </w:tcPr>
          <w:p>
            <w:pPr>
              <w:widowControl/>
              <w:jc w:val="center"/>
              <w:rPr>
                <w:rFonts w:ascii="宋体" w:eastAsia="宋体" w:hAnsi="宋体" w:hint="eastAsia"/>
                <w:kern w:val="2"/>
                <w:sz w:val="21"/>
                <w:lang w:eastAsia="zh-CN"/>
              </w:rPr>
            </w:pPr>
            <w:r>
              <w:rPr>
                <w:rFonts w:ascii="宋体" w:eastAsia="宋体" w:hAnsi="宋体" w:hint="eastAsia"/>
                <w:kern w:val="2"/>
                <w:sz w:val="21"/>
                <w:lang w:eastAsia="zh-CN"/>
              </w:rPr>
              <w:t>网络安全运营服务</w:t>
            </w:r>
          </w:p>
        </w:tc>
        <w:tc>
          <w:tcPr>
            <w:tcW w:w="654"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p>
        </w:tc>
        <w:tc>
          <w:tcPr>
            <w:tcW w:w="1352" w:type="dxa"/>
            <w:noWrap w:val="0"/>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项</w:t>
            </w:r>
          </w:p>
        </w:tc>
      </w:tr>
    </w:tbl>
    <w:p>
      <w:pPr>
        <w:widowControl w:val="0"/>
        <w:numPr>
          <w:ilvl w:val="0"/>
          <w:numId w:val="0"/>
        </w:numPr>
        <w:spacing w:line="360" w:lineRule="exact"/>
        <w:ind w:left="0" w:firstLine="0"/>
        <w:jc w:val="both"/>
        <w:rPr>
          <w:rFonts w:eastAsia="宋体" w:hint="eastAsia"/>
          <w:kern w:val="2"/>
          <w:sz w:val="21"/>
          <w:lang w:eastAsia="zh-CN"/>
        </w:rPr>
      </w:pPr>
      <w:r>
        <w:rPr>
          <w:rFonts w:eastAsia="宋体" w:hint="eastAsia"/>
          <w:kern w:val="2"/>
          <w:sz w:val="21"/>
          <w:lang w:eastAsia="zh-CN"/>
        </w:rPr>
        <w:t>（</w:t>
      </w:r>
      <w:r>
        <w:rPr>
          <w:rFonts w:eastAsia="宋体" w:hint="eastAsia"/>
          <w:kern w:val="2"/>
          <w:sz w:val="21"/>
          <w:lang w:eastAsia="zh-CN"/>
        </w:rPr>
        <w:t>二</w:t>
      </w:r>
      <w:r>
        <w:rPr>
          <w:rFonts w:eastAsia="宋体" w:hint="eastAsia"/>
          <w:kern w:val="2"/>
          <w:sz w:val="21"/>
          <w:lang w:eastAsia="zh-CN"/>
        </w:rPr>
        <w:t>）</w:t>
      </w:r>
      <w:r>
        <w:rPr>
          <w:rFonts w:eastAsia="宋体" w:hint="eastAsia"/>
          <w:kern w:val="2"/>
          <w:sz w:val="21"/>
          <w:lang w:eastAsia="zh-CN"/>
        </w:rPr>
        <w:t>服务项目具体技术要求</w:t>
      </w:r>
    </w:p>
    <w:tbl>
      <w:tblPr>
        <w:tblStyle w:val="TableNormal"/>
        <w:tblpPr w:leftFromText="180" w:rightFromText="180" w:vertAnchor="text" w:horzAnchor="page" w:tblpX="1607" w:tblpY="717"/>
        <w:tblOverlap w:val="never"/>
        <w:tblW w:w="5000" w:type="pct"/>
        <w:tblInd w:w="0" w:type="dxa"/>
        <w:tblLayout w:type="fixed"/>
        <w:tblCellMar>
          <w:top w:w="0" w:type="dxa"/>
          <w:left w:w="108" w:type="dxa"/>
          <w:bottom w:w="0" w:type="dxa"/>
          <w:right w:w="108" w:type="dxa"/>
        </w:tblCellMar>
      </w:tblPr>
      <w:tblGrid>
        <w:gridCol w:w="430"/>
        <w:gridCol w:w="800"/>
        <w:gridCol w:w="4008"/>
        <w:gridCol w:w="3291"/>
      </w:tblGrid>
      <w:tr>
        <w:tblPrEx>
          <w:tblW w:w="5000" w:type="pct"/>
          <w:tblInd w:w="0" w:type="dxa"/>
          <w:tblLayout w:type="fixed"/>
          <w:tblCellMar>
            <w:top w:w="0" w:type="dxa"/>
            <w:left w:w="108" w:type="dxa"/>
            <w:bottom w:w="0" w:type="dxa"/>
            <w:right w:w="108" w:type="dxa"/>
          </w:tblCellMar>
        </w:tblPrEx>
        <w:trPr>
          <w:trHeight w:val="280"/>
        </w:trPr>
        <w:tc>
          <w:tcPr>
            <w:tcW w:w="431" w:type="dxa"/>
            <w:tcBorders>
              <w:top w:val="single" w:sz="4" w:space="0" w:color="auto"/>
              <w:left w:val="single" w:sz="4" w:space="0" w:color="auto"/>
              <w:bottom w:val="single" w:sz="4" w:space="0" w:color="auto"/>
              <w:right w:val="single" w:sz="4" w:space="0" w:color="auto"/>
            </w:tcBorders>
            <w:noWrap w:val="0"/>
            <w:vAlign w:val="center"/>
          </w:tcPr>
          <w:p>
            <w:pPr>
              <w:widowControl/>
              <w:jc w:val="center"/>
              <w:rPr>
                <w:rFonts w:ascii="宋体" w:eastAsia="宋体" w:hAnsi="宋体" w:cs="宋体"/>
                <w:b/>
                <w:bCs/>
                <w:color w:val="000000"/>
                <w:sz w:val="21"/>
                <w:lang w:eastAsia="zh-CN"/>
              </w:rPr>
            </w:pPr>
            <w:r>
              <w:rPr>
                <w:rFonts w:ascii="宋体" w:eastAsia="宋体" w:hAnsi="宋体" w:cs="宋体" w:hint="eastAsia"/>
                <w:b/>
                <w:bCs/>
                <w:color w:val="000000"/>
                <w:sz w:val="21"/>
                <w:lang w:eastAsia="zh-CN"/>
              </w:rPr>
              <w:t>序号</w:t>
            </w:r>
          </w:p>
        </w:tc>
        <w:tc>
          <w:tcPr>
            <w:tcW w:w="800" w:type="dxa"/>
            <w:tcBorders>
              <w:top w:val="single" w:sz="4" w:space="0" w:color="auto"/>
              <w:left w:val="nil"/>
              <w:bottom w:val="single" w:sz="4" w:space="0" w:color="auto"/>
              <w:right w:val="single" w:sz="4" w:space="0" w:color="auto"/>
            </w:tcBorders>
            <w:noWrap w:val="0"/>
            <w:vAlign w:val="center"/>
          </w:tcPr>
          <w:p>
            <w:pPr>
              <w:widowControl/>
              <w:jc w:val="center"/>
              <w:rPr>
                <w:rFonts w:ascii="宋体" w:eastAsia="宋体" w:hAnsi="宋体" w:cs="宋体" w:hint="eastAsia"/>
                <w:b/>
                <w:bCs/>
                <w:color w:val="000000"/>
                <w:sz w:val="21"/>
                <w:lang w:eastAsia="zh-CN"/>
              </w:rPr>
            </w:pPr>
            <w:r>
              <w:rPr>
                <w:rFonts w:ascii="宋体" w:eastAsia="宋体" w:hAnsi="宋体" w:cs="宋体" w:hint="eastAsia"/>
                <w:b/>
                <w:bCs/>
                <w:color w:val="000000"/>
                <w:sz w:val="21"/>
                <w:lang w:eastAsia="zh-CN"/>
              </w:rPr>
              <w:t>服务名称</w:t>
            </w:r>
          </w:p>
        </w:tc>
        <w:tc>
          <w:tcPr>
            <w:tcW w:w="4009" w:type="dxa"/>
            <w:tcBorders>
              <w:top w:val="single" w:sz="4" w:space="0" w:color="auto"/>
              <w:left w:val="nil"/>
              <w:bottom w:val="single" w:sz="4" w:space="0" w:color="auto"/>
              <w:right w:val="single" w:sz="4" w:space="0" w:color="auto"/>
            </w:tcBorders>
            <w:noWrap w:val="0"/>
            <w:vAlign w:val="center"/>
          </w:tcPr>
          <w:p>
            <w:pPr>
              <w:widowControl/>
              <w:jc w:val="center"/>
              <w:rPr>
                <w:rFonts w:ascii="宋体" w:eastAsia="宋体" w:hAnsi="宋体" w:cs="宋体" w:hint="eastAsia"/>
                <w:b/>
                <w:bCs/>
                <w:color w:val="000000"/>
                <w:sz w:val="21"/>
                <w:lang w:eastAsia="zh-CN"/>
              </w:rPr>
            </w:pPr>
            <w:r>
              <w:rPr>
                <w:rFonts w:ascii="宋体" w:eastAsia="宋体" w:hAnsi="宋体" w:cs="宋体" w:hint="eastAsia"/>
                <w:b/>
                <w:bCs/>
                <w:color w:val="000000"/>
                <w:sz w:val="21"/>
                <w:lang w:eastAsia="zh-CN"/>
              </w:rPr>
              <w:t>具体服务内容</w:t>
            </w:r>
          </w:p>
        </w:tc>
        <w:tc>
          <w:tcPr>
            <w:tcW w:w="3292" w:type="dxa"/>
            <w:tcBorders>
              <w:top w:val="single" w:sz="4" w:space="0" w:color="auto"/>
              <w:left w:val="nil"/>
              <w:bottom w:val="single" w:sz="4" w:space="0" w:color="auto"/>
              <w:right w:val="single" w:sz="4" w:space="0" w:color="auto"/>
            </w:tcBorders>
            <w:noWrap w:val="0"/>
            <w:vAlign w:val="center"/>
          </w:tcPr>
          <w:p>
            <w:pPr>
              <w:widowControl/>
              <w:jc w:val="center"/>
              <w:rPr>
                <w:rFonts w:ascii="宋体" w:eastAsia="宋体" w:hAnsi="宋体" w:cs="宋体" w:hint="eastAsia"/>
                <w:b/>
                <w:bCs/>
                <w:color w:val="000000"/>
                <w:sz w:val="21"/>
                <w:lang w:eastAsia="zh-CN"/>
              </w:rPr>
            </w:pPr>
            <w:r>
              <w:rPr>
                <w:rFonts w:ascii="宋体" w:eastAsia="宋体" w:hAnsi="宋体" w:cs="宋体" w:hint="eastAsia"/>
                <w:b/>
                <w:bCs/>
                <w:color w:val="000000"/>
                <w:sz w:val="21"/>
                <w:lang w:eastAsia="zh-CN"/>
              </w:rPr>
              <w:t>具体服务标准</w:t>
            </w:r>
          </w:p>
        </w:tc>
      </w:tr>
      <w:tr>
        <w:tblPrEx>
          <w:tblW w:w="5000" w:type="pct"/>
          <w:tblInd w:w="0" w:type="dxa"/>
          <w:tblLayout w:type="fixed"/>
          <w:tblCellMar>
            <w:top w:w="0" w:type="dxa"/>
            <w:left w:w="108" w:type="dxa"/>
            <w:bottom w:w="0" w:type="dxa"/>
            <w:right w:w="108" w:type="dxa"/>
          </w:tblCellMar>
        </w:tblPrEx>
        <w:trPr>
          <w:trHeight w:val="281"/>
        </w:trPr>
        <w:tc>
          <w:tcPr>
            <w:tcW w:w="431" w:type="dxa"/>
            <w:tcBorders>
              <w:top w:val="nil"/>
              <w:left w:val="single" w:sz="4" w:space="0" w:color="auto"/>
              <w:bottom w:val="single" w:sz="4" w:space="0" w:color="auto"/>
              <w:right w:val="single" w:sz="4" w:space="0" w:color="auto"/>
            </w:tcBorders>
            <w:noWrap w:val="0"/>
            <w:vAlign w:val="center"/>
          </w:tcPr>
          <w:p>
            <w:pPr>
              <w:widowControl/>
              <w:jc w:val="center"/>
              <w:rPr>
                <w:rFonts w:eastAsia="等线" w:hint="eastAsia"/>
                <w:color w:val="000000"/>
                <w:sz w:val="21"/>
                <w:lang w:eastAsia="zh-CN"/>
              </w:rPr>
            </w:pPr>
            <w:r>
              <w:rPr>
                <w:rFonts w:eastAsia="等线"/>
                <w:color w:val="000000"/>
                <w:sz w:val="21"/>
                <w:lang w:eastAsia="zh-CN"/>
              </w:rPr>
              <w:t>1</w:t>
            </w:r>
          </w:p>
        </w:tc>
        <w:tc>
          <w:tcPr>
            <w:tcW w:w="800" w:type="dxa"/>
            <w:tcBorders>
              <w:top w:val="nil"/>
              <w:left w:val="nil"/>
              <w:bottom w:val="single" w:sz="4" w:space="0" w:color="auto"/>
              <w:right w:val="single" w:sz="4" w:space="0" w:color="auto"/>
            </w:tcBorders>
            <w:noWrap w:val="0"/>
            <w:vAlign w:val="center"/>
          </w:tcPr>
          <w:p>
            <w:pPr>
              <w:widowControl/>
              <w:jc w:val="both"/>
              <w:rPr>
                <w:rFonts w:ascii="宋体" w:eastAsia="宋体" w:hAnsi="宋体" w:cs="宋体"/>
                <w:color w:val="000000"/>
                <w:sz w:val="21"/>
                <w:lang w:eastAsia="zh-CN"/>
              </w:rPr>
            </w:pPr>
            <w:r>
              <w:rPr>
                <w:rFonts w:ascii="宋体" w:eastAsia="宋体" w:hAnsi="宋体" w:hint="eastAsia"/>
                <w:kern w:val="2"/>
                <w:sz w:val="21"/>
                <w:lang w:eastAsia="zh-CN"/>
              </w:rPr>
              <w:t>网络安全基础服务</w:t>
            </w:r>
          </w:p>
        </w:tc>
        <w:tc>
          <w:tcPr>
            <w:tcW w:w="4009" w:type="dxa"/>
            <w:tcBorders>
              <w:top w:val="nil"/>
              <w:left w:val="nil"/>
              <w:bottom w:val="single" w:sz="4" w:space="0" w:color="auto"/>
              <w:right w:val="single" w:sz="4" w:space="0" w:color="auto"/>
            </w:tcBorders>
            <w:noWrap w:val="0"/>
            <w:vAlign w:val="center"/>
          </w:tcPr>
          <w:p>
            <w:pPr>
              <w:widowControl w:val="0"/>
              <w:numPr>
                <w:ilvl w:val="0"/>
                <w:numId w:val="4"/>
              </w:numPr>
              <w:tabs>
                <w:tab w:val="left" w:pos="312"/>
              </w:tabs>
              <w:spacing w:after="240"/>
              <w:jc w:val="both"/>
              <w:rPr>
                <w:rFonts w:eastAsia="宋体" w:hint="eastAsia"/>
                <w:b/>
                <w:bCs/>
                <w:kern w:val="2"/>
                <w:sz w:val="21"/>
                <w:lang w:eastAsia="zh-CN"/>
              </w:rPr>
            </w:pPr>
            <w:r>
              <w:rPr>
                <w:rFonts w:eastAsia="宋体" w:hint="eastAsia"/>
                <w:b/>
                <w:bCs/>
                <w:kern w:val="2"/>
                <w:sz w:val="21"/>
                <w:lang w:eastAsia="zh-CN"/>
              </w:rPr>
              <w:t>网络安全管理体系建设服务</w:t>
            </w:r>
          </w:p>
          <w:p>
            <w:pPr>
              <w:widowControl w:val="0"/>
              <w:spacing w:after="240"/>
              <w:jc w:val="both"/>
              <w:rPr>
                <w:rFonts w:eastAsia="宋体" w:hint="eastAsia"/>
                <w:kern w:val="2"/>
                <w:sz w:val="21"/>
                <w:lang w:eastAsia="zh-CN"/>
              </w:rPr>
            </w:pPr>
            <w:r>
              <w:rPr>
                <w:rFonts w:eastAsia="宋体" w:hint="eastAsia"/>
                <w:kern w:val="2"/>
                <w:sz w:val="21"/>
                <w:lang w:eastAsia="zh-CN"/>
              </w:rPr>
              <w:t>根据网络安全最新政策及合格性工作要求，结合采购人实际情况，对网络安全管理制度体系进行完善和优化，协助建立网络安全管理体系和管理制度，将网络安全融入日常运营管理，保障彩票信息系统规范有序地运行。</w:t>
            </w:r>
          </w:p>
          <w:p>
            <w:pPr>
              <w:widowControl w:val="0"/>
              <w:numPr>
                <w:ilvl w:val="0"/>
                <w:numId w:val="4"/>
              </w:numPr>
              <w:tabs>
                <w:tab w:val="left" w:pos="312"/>
              </w:tabs>
              <w:spacing w:after="240"/>
              <w:jc w:val="both"/>
              <w:rPr>
                <w:rFonts w:eastAsia="宋体" w:hint="eastAsia"/>
                <w:b/>
                <w:bCs/>
                <w:kern w:val="2"/>
                <w:sz w:val="21"/>
                <w:lang w:eastAsia="zh-CN"/>
              </w:rPr>
            </w:pPr>
            <w:r>
              <w:rPr>
                <w:rFonts w:eastAsia="宋体" w:hint="eastAsia"/>
                <w:b/>
                <w:bCs/>
                <w:kern w:val="2"/>
                <w:sz w:val="21"/>
                <w:lang w:eastAsia="zh-CN"/>
              </w:rPr>
              <w:t>网络安全攻防演练服务</w:t>
            </w:r>
          </w:p>
          <w:p>
            <w:pPr>
              <w:widowControl w:val="0"/>
              <w:spacing w:after="240"/>
              <w:jc w:val="both"/>
              <w:rPr>
                <w:rFonts w:eastAsia="宋体" w:hint="eastAsia"/>
                <w:kern w:val="2"/>
                <w:sz w:val="21"/>
                <w:lang w:eastAsia="zh-CN"/>
              </w:rPr>
            </w:pPr>
            <w:r>
              <w:rPr>
                <w:rFonts w:eastAsia="宋体" w:hint="eastAsia"/>
                <w:kern w:val="2"/>
                <w:sz w:val="21"/>
                <w:lang w:eastAsia="zh-CN"/>
              </w:rPr>
              <w:t>组织开展网络安全攻防演练，模拟真实的网络攻击场景，检验和提升中心的网络安全防护能力和应急处理能力。演练过程中，攻防双方进行对抗，通过攻击和防守的实践，发现网络系统中存在的安全问题和薄弱环节，及时进行改进。</w:t>
            </w:r>
          </w:p>
          <w:p>
            <w:pPr>
              <w:widowControl w:val="0"/>
              <w:numPr>
                <w:ilvl w:val="0"/>
                <w:numId w:val="4"/>
              </w:numPr>
              <w:tabs>
                <w:tab w:val="left" w:pos="312"/>
              </w:tabs>
              <w:spacing w:after="240"/>
              <w:jc w:val="both"/>
              <w:rPr>
                <w:rFonts w:eastAsia="宋体" w:hint="eastAsia"/>
                <w:b/>
                <w:bCs/>
                <w:kern w:val="2"/>
                <w:sz w:val="21"/>
                <w:lang w:eastAsia="zh-CN"/>
              </w:rPr>
            </w:pPr>
            <w:r>
              <w:rPr>
                <w:rFonts w:ascii="宋体" w:eastAsia="宋体" w:hAnsi="宋体" w:cs="宋体" w:hint="eastAsia"/>
                <w:b/>
                <w:bCs/>
                <w:color w:val="000000"/>
                <w:sz w:val="21"/>
                <w:lang w:eastAsia="zh-CN"/>
              </w:rPr>
              <w:t>重要时期安全保障服务</w:t>
            </w:r>
          </w:p>
          <w:p>
            <w:pPr>
              <w:widowControl w:val="0"/>
              <w:spacing w:after="240"/>
              <w:jc w:val="both"/>
              <w:rPr>
                <w:rFonts w:eastAsia="宋体" w:hint="eastAsia"/>
                <w:kern w:val="2"/>
                <w:sz w:val="21"/>
                <w:lang w:eastAsia="zh-CN"/>
              </w:rPr>
            </w:pPr>
            <w:r>
              <w:rPr>
                <w:rFonts w:ascii="宋体" w:eastAsia="宋体" w:hAnsi="宋体" w:cs="宋体" w:hint="eastAsia"/>
                <w:color w:val="000000"/>
                <w:sz w:val="21"/>
                <w:lang w:eastAsia="zh-CN"/>
              </w:rPr>
              <w:t>在重要节日、重大活动、护网行动等重保时期，提供事前的安全自查、安全运维，事中的日志分析、安全值守、应急响应等，事后的复盘总结等工作，做好网络安全隐患排查、安全防护、预警监测等安全保障技术支撑服务，确保业务系统安全运行，避免敏感事件或影响业务的安全事件发生。</w:t>
            </w:r>
          </w:p>
          <w:p>
            <w:pPr>
              <w:widowControl w:val="0"/>
              <w:numPr>
                <w:ilvl w:val="0"/>
                <w:numId w:val="4"/>
              </w:numPr>
              <w:tabs>
                <w:tab w:val="left" w:pos="312"/>
              </w:tabs>
              <w:spacing w:after="240"/>
              <w:jc w:val="both"/>
              <w:rPr>
                <w:rFonts w:ascii="宋体" w:eastAsia="宋体" w:hAnsi="宋体" w:cs="宋体" w:hint="eastAsia"/>
                <w:b/>
                <w:bCs/>
                <w:color w:val="000000"/>
                <w:sz w:val="21"/>
                <w:lang w:eastAsia="zh-CN"/>
              </w:rPr>
            </w:pPr>
            <w:r>
              <w:rPr>
                <w:rFonts w:ascii="宋体" w:eastAsia="宋体" w:hAnsi="宋体" w:cs="宋体" w:hint="eastAsia"/>
                <w:b/>
                <w:bCs/>
                <w:color w:val="000000"/>
                <w:sz w:val="21"/>
                <w:lang w:eastAsia="zh-CN"/>
              </w:rPr>
              <w:t>新系统（或应用软件模块）上线安全检测服务</w:t>
            </w:r>
          </w:p>
          <w:p>
            <w:pPr>
              <w:widowControl w:val="0"/>
              <w:spacing w:after="240"/>
              <w:jc w:val="both"/>
              <w:rPr>
                <w:rFonts w:ascii="宋体" w:eastAsia="宋体" w:hAnsi="宋体" w:cs="宋体" w:hint="eastAsia"/>
                <w:color w:val="000000"/>
                <w:sz w:val="21"/>
                <w:lang w:eastAsia="zh-CN"/>
              </w:rPr>
            </w:pPr>
            <w:r>
              <w:rPr>
                <w:rFonts w:ascii="宋体" w:eastAsia="宋体" w:hAnsi="宋体" w:cs="宋体" w:hint="eastAsia"/>
                <w:color w:val="000000"/>
                <w:sz w:val="21"/>
                <w:lang w:eastAsia="zh-CN"/>
              </w:rPr>
              <w:t>按需对新上线彩票信息系统开展上线前的安全检测服务，具体检测项目包括安全漏洞检查（包括主机和应用）、安全配置基线检查（包括服务器、应用系统和数据库），对检查发现的不符合项协助落实整改和修复，避免系统“带病”上线，保障系统及网络安全稳定运行。</w:t>
            </w:r>
          </w:p>
          <w:p>
            <w:pPr>
              <w:widowControl w:val="0"/>
              <w:numPr>
                <w:ilvl w:val="0"/>
                <w:numId w:val="4"/>
              </w:numPr>
              <w:tabs>
                <w:tab w:val="left" w:pos="312"/>
              </w:tabs>
              <w:spacing w:after="240"/>
              <w:jc w:val="both"/>
              <w:rPr>
                <w:rFonts w:ascii="宋体" w:eastAsia="宋体" w:hAnsi="宋体" w:cs="宋体" w:hint="eastAsia"/>
                <w:b/>
                <w:bCs/>
                <w:color w:val="000000"/>
                <w:sz w:val="21"/>
                <w:lang w:eastAsia="zh-CN"/>
              </w:rPr>
            </w:pPr>
            <w:r>
              <w:rPr>
                <w:rFonts w:ascii="宋体" w:eastAsia="宋体" w:hAnsi="宋体" w:cs="宋体" w:hint="eastAsia"/>
                <w:b/>
                <w:bCs/>
                <w:color w:val="000000"/>
                <w:sz w:val="21"/>
                <w:lang w:eastAsia="zh-CN"/>
              </w:rPr>
              <w:t>互联网资产暴露面发现服务</w:t>
            </w:r>
          </w:p>
          <w:p>
            <w:pPr>
              <w:widowControl w:val="0"/>
              <w:spacing w:after="240"/>
              <w:jc w:val="both"/>
              <w:rPr>
                <w:rFonts w:ascii="宋体" w:eastAsia="宋体" w:hAnsi="宋体" w:cs="宋体" w:hint="eastAsia"/>
                <w:color w:val="000000"/>
                <w:sz w:val="21"/>
                <w:lang w:eastAsia="zh-CN"/>
              </w:rPr>
            </w:pPr>
            <w:r>
              <w:rPr>
                <w:rFonts w:ascii="宋体" w:eastAsia="宋体" w:hAnsi="宋体" w:cs="宋体" w:hint="eastAsia"/>
                <w:color w:val="000000"/>
                <w:sz w:val="21"/>
                <w:lang w:eastAsia="zh-CN"/>
              </w:rPr>
              <w:t>1.使用互联网搜索引擎和网络空间搜索引擎，包括但不限于谷歌、百度、必应、Zoomeye、Fofa、Censys、Shodan等，针对深圳福彩中心中英文全称或简称、福彩中心所有域名、子域名、服务器IP进行资产收集；</w:t>
            </w:r>
          </w:p>
          <w:p>
            <w:pPr>
              <w:widowControl w:val="0"/>
              <w:spacing w:after="240"/>
              <w:jc w:val="both"/>
              <w:rPr>
                <w:rFonts w:ascii="宋体" w:eastAsia="宋体" w:hAnsi="宋体" w:cs="宋体" w:hint="eastAsia"/>
                <w:color w:val="000000"/>
                <w:sz w:val="21"/>
                <w:lang w:eastAsia="zh-CN"/>
              </w:rPr>
            </w:pPr>
            <w:r>
              <w:rPr>
                <w:rFonts w:ascii="宋体" w:eastAsia="宋体" w:hAnsi="宋体" w:cs="宋体" w:hint="eastAsia"/>
                <w:color w:val="000000"/>
                <w:sz w:val="21"/>
                <w:lang w:eastAsia="zh-CN"/>
              </w:rPr>
              <w:t>2.使用端口扫描类工具，针对所有深圳福彩对外服务器进行全端口扫描，根据端口识别分析进行未知业务应用、服务组件等资产收集；</w:t>
            </w:r>
          </w:p>
          <w:p>
            <w:pPr>
              <w:widowControl w:val="0"/>
              <w:spacing w:after="240"/>
              <w:jc w:val="both"/>
              <w:rPr>
                <w:rFonts w:ascii="宋体" w:eastAsia="宋体" w:hAnsi="宋体" w:cs="宋体" w:hint="eastAsia"/>
                <w:color w:val="000000"/>
                <w:sz w:val="21"/>
                <w:lang w:eastAsia="zh-CN"/>
              </w:rPr>
            </w:pPr>
            <w:r>
              <w:rPr>
                <w:rFonts w:ascii="宋体" w:eastAsia="宋体" w:hAnsi="宋体" w:cs="宋体" w:hint="eastAsia"/>
                <w:color w:val="000000"/>
                <w:sz w:val="21"/>
                <w:lang w:eastAsia="zh-CN"/>
              </w:rPr>
              <w:t>对上述已探测发现的互联网信息资产进行统计、梳理、去重、归类和核验，提交服务成果，协助福彩中心完成资产库更新，以及老旧系统下线或停用。</w:t>
            </w:r>
          </w:p>
          <w:p>
            <w:pPr>
              <w:widowControl w:val="0"/>
              <w:numPr>
                <w:ilvl w:val="0"/>
                <w:numId w:val="4"/>
              </w:numPr>
              <w:tabs>
                <w:tab w:val="left" w:pos="312"/>
              </w:tabs>
              <w:spacing w:after="240"/>
              <w:jc w:val="both"/>
              <w:rPr>
                <w:rFonts w:ascii="宋体" w:eastAsia="宋体" w:hAnsi="宋体" w:cs="宋体" w:hint="eastAsia"/>
                <w:b/>
                <w:bCs/>
                <w:color w:val="000000"/>
                <w:sz w:val="21"/>
                <w:lang w:eastAsia="zh-CN"/>
              </w:rPr>
            </w:pPr>
            <w:r>
              <w:rPr>
                <w:rFonts w:ascii="宋体" w:eastAsia="宋体" w:hAnsi="宋体" w:cs="宋体" w:hint="eastAsia"/>
                <w:b/>
                <w:bCs/>
                <w:color w:val="000000"/>
                <w:sz w:val="21"/>
                <w:lang w:eastAsia="zh-CN"/>
              </w:rPr>
              <w:t>网络安全风险评估服务</w:t>
            </w:r>
          </w:p>
          <w:p>
            <w:pPr>
              <w:widowControl w:val="0"/>
              <w:spacing w:after="240"/>
              <w:jc w:val="both"/>
              <w:rPr>
                <w:rFonts w:ascii="宋体" w:eastAsia="宋体" w:hAnsi="宋体" w:cs="宋体" w:hint="eastAsia"/>
                <w:color w:val="000000"/>
                <w:sz w:val="21"/>
                <w:lang w:eastAsia="zh-CN"/>
              </w:rPr>
            </w:pPr>
            <w:r>
              <w:rPr>
                <w:rFonts w:ascii="宋体" w:eastAsia="宋体" w:hAnsi="宋体" w:cs="宋体" w:hint="eastAsia"/>
                <w:color w:val="000000"/>
                <w:sz w:val="21"/>
                <w:lang w:eastAsia="zh-CN"/>
              </w:rPr>
              <w:t>以信息化资产为主线，全面收集信息资产（包含硬件、软件、数据、人员、应用、物理环境、组织管理等），整个风险评估生命周期围绕资产识别、威胁识别、脆弱性识别、现有安全措施识别、风险分析、风险值计算等方面实施，通过开展风险评估来发现信息化资产中可能存在的潜在风险隐患，制定风险处理计划，协助完成风险处理工作。</w:t>
            </w:r>
          </w:p>
          <w:p>
            <w:pPr>
              <w:widowControl w:val="0"/>
              <w:numPr>
                <w:ilvl w:val="0"/>
                <w:numId w:val="4"/>
              </w:numPr>
              <w:tabs>
                <w:tab w:val="left" w:pos="312"/>
              </w:tabs>
              <w:spacing w:after="240"/>
              <w:jc w:val="both"/>
              <w:rPr>
                <w:rFonts w:ascii="宋体" w:eastAsia="宋体" w:hAnsi="宋体" w:cs="宋体" w:hint="eastAsia"/>
                <w:b/>
                <w:bCs/>
                <w:color w:val="000000"/>
                <w:sz w:val="21"/>
                <w:lang w:eastAsia="zh-CN"/>
              </w:rPr>
            </w:pPr>
            <w:r>
              <w:rPr>
                <w:rFonts w:ascii="宋体" w:eastAsia="宋体" w:hAnsi="宋体" w:cs="宋体" w:hint="eastAsia"/>
                <w:b/>
                <w:bCs/>
                <w:color w:val="000000"/>
                <w:sz w:val="21"/>
                <w:lang w:eastAsia="zh-CN"/>
              </w:rPr>
              <w:t>漏洞扫描渗透测试服务</w:t>
            </w:r>
          </w:p>
          <w:p>
            <w:pPr>
              <w:widowControl w:val="0"/>
              <w:spacing w:after="240"/>
              <w:jc w:val="both"/>
              <w:rPr>
                <w:rFonts w:ascii="宋体" w:eastAsia="宋体" w:hAnsi="宋体" w:cs="宋体" w:hint="eastAsia"/>
                <w:color w:val="000000"/>
                <w:sz w:val="21"/>
                <w:lang w:eastAsia="zh-CN"/>
              </w:rPr>
            </w:pPr>
            <w:r>
              <w:rPr>
                <w:rFonts w:ascii="宋体" w:eastAsia="宋体" w:hAnsi="宋体" w:cs="宋体" w:hint="eastAsia"/>
                <w:color w:val="000000"/>
                <w:sz w:val="21"/>
                <w:lang w:eastAsia="zh-CN"/>
              </w:rPr>
              <w:t>对现有信息系统模拟入侵者的攻击方法，开展对应用系统、服务器系统和网络设备非破坏性质的攻击性测试，直观地暴露网络和信息系统所面临的威胁与风险点，并对</w:t>
            </w:r>
            <w:r>
              <w:rPr>
                <w:rFonts w:ascii="宋体" w:eastAsia="宋体" w:hAnsi="宋体" w:cs="宋体" w:hint="eastAsia"/>
                <w:b/>
                <w:bCs/>
                <w:color w:val="000000"/>
                <w:sz w:val="21"/>
                <w:lang w:eastAsia="zh-CN"/>
              </w:rPr>
              <w:t>漏洞扫描</w:t>
            </w:r>
            <w:r>
              <w:rPr>
                <w:rFonts w:ascii="宋体" w:eastAsia="宋体" w:hAnsi="宋体" w:cs="宋体" w:hint="eastAsia"/>
                <w:color w:val="000000"/>
                <w:sz w:val="21"/>
                <w:lang w:eastAsia="zh-CN"/>
              </w:rPr>
              <w:t>渗透测试发现的安全问题和漏洞协助落实整改加固。</w:t>
            </w:r>
          </w:p>
          <w:p>
            <w:pPr>
              <w:widowControl w:val="0"/>
              <w:numPr>
                <w:ilvl w:val="0"/>
                <w:numId w:val="4"/>
              </w:numPr>
              <w:tabs>
                <w:tab w:val="left" w:pos="312"/>
              </w:tabs>
              <w:spacing w:after="240"/>
              <w:jc w:val="both"/>
              <w:rPr>
                <w:rFonts w:ascii="宋体" w:eastAsia="宋体" w:hAnsi="宋体" w:cs="宋体" w:hint="eastAsia"/>
                <w:b/>
                <w:bCs/>
                <w:color w:val="000000"/>
                <w:sz w:val="21"/>
                <w:lang w:eastAsia="zh-CN"/>
              </w:rPr>
            </w:pPr>
            <w:r>
              <w:rPr>
                <w:rFonts w:ascii="宋体" w:eastAsia="宋体" w:hAnsi="宋体" w:cs="宋体" w:hint="eastAsia"/>
                <w:b/>
                <w:bCs/>
                <w:color w:val="000000"/>
                <w:sz w:val="21"/>
                <w:lang w:eastAsia="zh-CN"/>
              </w:rPr>
              <w:t>应急响应服务</w:t>
            </w:r>
          </w:p>
          <w:p>
            <w:pPr>
              <w:widowControl w:val="0"/>
              <w:spacing w:after="240"/>
              <w:jc w:val="both"/>
              <w:rPr>
                <w:rFonts w:ascii="宋体" w:eastAsia="宋体" w:hAnsi="宋体" w:cs="宋体" w:hint="eastAsia"/>
                <w:color w:val="000000"/>
                <w:sz w:val="21"/>
                <w:lang w:eastAsia="zh-CN"/>
              </w:rPr>
            </w:pPr>
            <w:r>
              <w:rPr>
                <w:rFonts w:ascii="宋体" w:eastAsia="宋体" w:hAnsi="宋体" w:cs="宋体" w:hint="eastAsia"/>
                <w:color w:val="000000"/>
                <w:sz w:val="21"/>
                <w:lang w:eastAsia="zh-CN"/>
              </w:rPr>
              <w:t>针对突发网络安全事件提供应急响应服务，内容包括快速定位攻击源与漏洞，阻断恶意行为；对入侵系统进行深度分析，清除后门与恶意程序；提供漏洞修复建议与加固方案；协助恢复系统正常运行。</w:t>
            </w:r>
          </w:p>
          <w:p>
            <w:pPr>
              <w:widowControl w:val="0"/>
              <w:numPr>
                <w:ilvl w:val="0"/>
                <w:numId w:val="4"/>
              </w:numPr>
              <w:tabs>
                <w:tab w:val="left" w:pos="312"/>
              </w:tabs>
              <w:spacing w:after="240"/>
              <w:jc w:val="both"/>
              <w:rPr>
                <w:rFonts w:ascii="宋体" w:eastAsia="宋体" w:hAnsi="宋体" w:cs="宋体" w:hint="eastAsia"/>
                <w:b/>
                <w:bCs/>
                <w:color w:val="000000"/>
                <w:sz w:val="21"/>
                <w:lang w:eastAsia="zh-CN"/>
              </w:rPr>
            </w:pPr>
            <w:r>
              <w:rPr>
                <w:rFonts w:ascii="宋体" w:eastAsia="宋体" w:hAnsi="宋体" w:cs="宋体" w:hint="eastAsia"/>
                <w:b/>
                <w:bCs/>
                <w:color w:val="000000"/>
                <w:sz w:val="21"/>
                <w:lang w:eastAsia="zh-CN"/>
              </w:rPr>
              <w:t>网络安全意识培训服务</w:t>
            </w:r>
          </w:p>
          <w:p>
            <w:pPr>
              <w:widowControl w:val="0"/>
              <w:spacing w:after="240"/>
              <w:jc w:val="both"/>
              <w:rPr>
                <w:rFonts w:ascii="宋体" w:eastAsia="宋体" w:hAnsi="宋体" w:cs="宋体" w:hint="eastAsia"/>
                <w:color w:val="000000"/>
                <w:sz w:val="21"/>
                <w:lang w:eastAsia="zh-CN"/>
              </w:rPr>
            </w:pPr>
            <w:r>
              <w:rPr>
                <w:rFonts w:ascii="宋体" w:eastAsia="宋体" w:hAnsi="宋体" w:cs="宋体" w:hint="eastAsia"/>
                <w:color w:val="000000"/>
                <w:sz w:val="21"/>
                <w:lang w:eastAsia="zh-CN"/>
              </w:rPr>
              <w:t>协助组织开展网络安全全员意识教育培训，提供包括网络安全法律法规要求、典型案例介绍、日常工作注意事项等方面的培训内容和建议，提高工作人员安全意识，提升整体防护水平。</w:t>
            </w:r>
          </w:p>
          <w:p>
            <w:pPr>
              <w:widowControl w:val="0"/>
              <w:numPr>
                <w:ilvl w:val="0"/>
                <w:numId w:val="4"/>
              </w:numPr>
              <w:tabs>
                <w:tab w:val="left" w:pos="312"/>
              </w:tabs>
              <w:spacing w:after="240"/>
              <w:jc w:val="both"/>
              <w:rPr>
                <w:rFonts w:ascii="宋体" w:eastAsia="宋体" w:hAnsi="宋体" w:cs="宋体" w:hint="eastAsia"/>
                <w:color w:val="000000"/>
                <w:sz w:val="21"/>
                <w:lang w:eastAsia="zh-CN"/>
              </w:rPr>
            </w:pPr>
            <w:r>
              <w:rPr>
                <w:rFonts w:ascii="宋体" w:eastAsia="宋体" w:hAnsi="宋体" w:cs="宋体" w:hint="eastAsia"/>
                <w:b/>
                <w:bCs/>
                <w:color w:val="000000"/>
                <w:sz w:val="21"/>
                <w:lang w:eastAsia="zh-CN"/>
              </w:rPr>
              <w:t>信息安全咨询服务</w:t>
            </w:r>
          </w:p>
          <w:p>
            <w:pPr>
              <w:widowControl w:val="0"/>
              <w:spacing w:after="240"/>
              <w:jc w:val="both"/>
              <w:rPr>
                <w:rFonts w:eastAsia="宋体"/>
                <w:kern w:val="2"/>
                <w:sz w:val="21"/>
                <w:lang w:eastAsia="zh-CN"/>
              </w:rPr>
            </w:pPr>
            <w:r>
              <w:rPr>
                <w:rFonts w:ascii="宋体" w:eastAsia="宋体" w:hAnsi="宋体" w:cs="宋体" w:hint="eastAsia"/>
                <w:color w:val="000000"/>
                <w:sz w:val="21"/>
                <w:lang w:eastAsia="zh-CN"/>
              </w:rPr>
              <w:t>提供信息安全咨询服务，咨询方式不限于电话、电子邮件和会议等方式。</w:t>
            </w:r>
          </w:p>
        </w:tc>
        <w:tc>
          <w:tcPr>
            <w:tcW w:w="3292" w:type="dxa"/>
            <w:tcBorders>
              <w:top w:val="nil"/>
              <w:left w:val="nil"/>
              <w:bottom w:val="single" w:sz="4" w:space="0" w:color="auto"/>
              <w:right w:val="single" w:sz="4" w:space="0" w:color="auto"/>
            </w:tcBorders>
            <w:noWrap w:val="0"/>
            <w:vAlign w:val="center"/>
          </w:tcPr>
          <w:p>
            <w:pPr>
              <w:widowControl w:val="0"/>
              <w:jc w:val="left"/>
              <w:rPr>
                <w:rFonts w:eastAsia="宋体" w:hint="eastAsia"/>
                <w:kern w:val="2"/>
                <w:sz w:val="21"/>
                <w:lang w:eastAsia="zh-CN"/>
              </w:rPr>
            </w:pPr>
            <w:r>
              <w:rPr>
                <w:rFonts w:eastAsia="宋体" w:hint="eastAsia"/>
                <w:kern w:val="2"/>
                <w:sz w:val="21"/>
                <w:lang w:eastAsia="zh-CN"/>
              </w:rPr>
              <w:t>根据《网络安全法》、《个人信息保护法》、《网络安全等级保护基本要求》、《2021年民政综合评估福利彩票发行销售管理项目评估细则》、《网络安全等级保护测评高风险判定实施指引（试行）》等相关法律法规要求，</w:t>
            </w:r>
          </w:p>
          <w:p>
            <w:pPr>
              <w:widowControl w:val="0"/>
              <w:jc w:val="left"/>
              <w:rPr>
                <w:rFonts w:eastAsia="宋体" w:hint="eastAsia"/>
                <w:kern w:val="2"/>
                <w:sz w:val="21"/>
                <w:lang w:eastAsia="zh-CN"/>
              </w:rPr>
            </w:pPr>
            <w:r>
              <w:rPr>
                <w:rFonts w:eastAsia="宋体" w:hint="eastAsia"/>
                <w:kern w:val="2"/>
                <w:sz w:val="21"/>
                <w:lang w:eastAsia="zh-CN"/>
              </w:rPr>
              <w:t>为采购人提供</w:t>
            </w:r>
            <w:r>
              <w:rPr>
                <w:rFonts w:eastAsia="宋体" w:hint="eastAsia"/>
                <w:b/>
                <w:bCs/>
                <w:kern w:val="2"/>
                <w:sz w:val="21"/>
                <w:lang w:eastAsia="zh-CN"/>
              </w:rPr>
              <w:t>深圳市福利彩票销售系统、深圳市福彩APP系统、深圳市福彩微信公众平台、深圳市福利彩票中心官方网站、中间业务平台、全程可追溯系统、深圳福彩智能办公平台、智慧宣传集中管理</w:t>
            </w:r>
            <w:r>
              <w:rPr>
                <w:rFonts w:eastAsia="宋体" w:hint="eastAsia"/>
                <w:kern w:val="2"/>
                <w:sz w:val="21"/>
                <w:lang w:eastAsia="zh-CN"/>
              </w:rPr>
              <w:t>等系统网络安全基础服务，中标人向采购人提供如下内容：</w:t>
            </w:r>
          </w:p>
          <w:p>
            <w:pPr>
              <w:widowControl w:val="0"/>
              <w:numPr>
                <w:ilvl w:val="0"/>
                <w:numId w:val="5"/>
              </w:numPr>
              <w:tabs>
                <w:tab w:val="left" w:pos="312"/>
              </w:tabs>
              <w:jc w:val="left"/>
              <w:rPr>
                <w:rFonts w:eastAsia="宋体" w:hint="eastAsia"/>
                <w:kern w:val="2"/>
                <w:sz w:val="21"/>
                <w:lang w:eastAsia="zh-CN"/>
              </w:rPr>
            </w:pPr>
            <w:r>
              <w:rPr>
                <w:rFonts w:ascii="宋体" w:eastAsia="宋体" w:hAnsi="宋体" w:cs="宋体" w:hint="eastAsia"/>
                <w:kern w:val="2"/>
                <w:sz w:val="21"/>
                <w:lang w:eastAsia="zh-CN"/>
              </w:rPr>
              <w:t>网络安全管理体系建设服务,</w:t>
            </w:r>
            <w:r>
              <w:rPr>
                <w:rFonts w:eastAsia="宋体" w:hint="eastAsia"/>
                <w:kern w:val="2"/>
                <w:sz w:val="21"/>
                <w:lang w:eastAsia="zh-CN"/>
              </w:rPr>
              <w:t>根据采购人实际要求，按需完成信息安全管理体系等相关制度评审和修订工作。</w:t>
            </w:r>
          </w:p>
          <w:p>
            <w:pPr>
              <w:widowControl w:val="0"/>
              <w:jc w:val="left"/>
              <w:rPr>
                <w:rFonts w:ascii="宋体" w:eastAsia="宋体" w:hAnsi="宋体" w:cs="宋体"/>
                <w:kern w:val="2"/>
                <w:sz w:val="21"/>
                <w:lang w:eastAsia="zh-CN"/>
              </w:rPr>
            </w:pPr>
            <w:r>
              <w:rPr>
                <w:rFonts w:ascii="宋体" w:eastAsia="宋体" w:hAnsi="宋体" w:cs="宋体" w:hint="eastAsia"/>
                <w:kern w:val="2"/>
                <w:sz w:val="21"/>
                <w:lang w:eastAsia="zh-CN"/>
              </w:rPr>
              <w:t>2.网络安全攻防演练服务，</w:t>
            </w:r>
            <w:r>
              <w:rPr>
                <w:rFonts w:eastAsia="宋体" w:hint="eastAsia"/>
                <w:kern w:val="2"/>
                <w:sz w:val="21"/>
                <w:lang w:eastAsia="zh-CN"/>
              </w:rPr>
              <w:t>不少于1次/年提交《网络安全攻防演练报告》。</w:t>
            </w:r>
          </w:p>
          <w:p>
            <w:pPr>
              <w:widowControl w:val="0"/>
              <w:jc w:val="left"/>
              <w:rPr>
                <w:rFonts w:ascii="宋体" w:eastAsia="宋体" w:hAnsi="宋体" w:cs="宋体"/>
                <w:kern w:val="2"/>
                <w:sz w:val="21"/>
                <w:lang w:eastAsia="zh-CN"/>
              </w:rPr>
            </w:pPr>
            <w:r>
              <w:rPr>
                <w:rFonts w:ascii="宋体" w:eastAsia="宋体" w:hAnsi="宋体" w:cs="宋体" w:hint="eastAsia"/>
                <w:kern w:val="2"/>
                <w:sz w:val="21"/>
                <w:lang w:eastAsia="zh-CN"/>
              </w:rPr>
              <w:t>3.重要时期安全保障服务,</w:t>
            </w:r>
            <w:r>
              <w:rPr>
                <w:rFonts w:ascii="宋体" w:eastAsia="宋体" w:hAnsi="宋体" w:cs="宋体" w:hint="eastAsia"/>
                <w:color w:val="000000"/>
                <w:sz w:val="21"/>
                <w:lang w:eastAsia="zh-CN"/>
              </w:rPr>
              <w:t>全年按需提供服务，提交《重保工作报告》。</w:t>
            </w:r>
          </w:p>
          <w:p>
            <w:pPr>
              <w:widowControl w:val="0"/>
              <w:jc w:val="left"/>
              <w:rPr>
                <w:rFonts w:ascii="宋体" w:eastAsia="宋体" w:hAnsi="宋体" w:cs="宋体"/>
                <w:kern w:val="2"/>
                <w:sz w:val="21"/>
                <w:lang w:eastAsia="zh-CN"/>
              </w:rPr>
            </w:pPr>
            <w:r>
              <w:rPr>
                <w:rFonts w:ascii="宋体" w:eastAsia="宋体" w:hAnsi="宋体" w:cs="宋体" w:hint="eastAsia"/>
                <w:kern w:val="2"/>
                <w:sz w:val="21"/>
                <w:lang w:eastAsia="zh-CN"/>
              </w:rPr>
              <w:t>4.新系统（或应用软件模块）上线安全检测服务，</w:t>
            </w:r>
            <w:r>
              <w:rPr>
                <w:rFonts w:ascii="宋体" w:eastAsia="宋体" w:hAnsi="宋体" w:cs="宋体" w:hint="eastAsia"/>
                <w:color w:val="000000"/>
                <w:sz w:val="21"/>
                <w:lang w:eastAsia="zh-CN"/>
              </w:rPr>
              <w:t>全年按需提供服务，提交</w:t>
            </w:r>
            <w:r>
              <w:rPr>
                <w:rFonts w:ascii="宋体" w:eastAsia="宋体" w:hAnsi="宋体" w:cs="宋体" w:hint="eastAsia"/>
                <w:color w:val="000000"/>
                <w:sz w:val="21"/>
                <w:lang w:eastAsia="zh-CN"/>
              </w:rPr>
              <w:t>《系统上线安全检测报告》《系统上线安全复测报告》。</w:t>
            </w:r>
          </w:p>
          <w:p>
            <w:pPr>
              <w:widowControl w:val="0"/>
              <w:jc w:val="left"/>
              <w:rPr>
                <w:rFonts w:ascii="宋体" w:eastAsia="宋体" w:hAnsi="宋体" w:cs="宋体" w:hint="eastAsia"/>
                <w:kern w:val="2"/>
                <w:sz w:val="21"/>
                <w:lang w:eastAsia="zh-CN"/>
              </w:rPr>
            </w:pPr>
            <w:r>
              <w:rPr>
                <w:rFonts w:ascii="宋体" w:eastAsia="宋体" w:hAnsi="宋体" w:cs="宋体" w:hint="eastAsia"/>
                <w:kern w:val="2"/>
                <w:sz w:val="21"/>
                <w:lang w:eastAsia="zh-CN"/>
              </w:rPr>
              <w:t>5.互联网资产暴露面发现服务，</w:t>
            </w:r>
            <w:r>
              <w:rPr>
                <w:rFonts w:ascii="宋体" w:eastAsia="宋体" w:hAnsi="宋体" w:cs="宋体" w:hint="eastAsia"/>
                <w:color w:val="000000"/>
                <w:sz w:val="21"/>
                <w:lang w:eastAsia="zh-CN"/>
              </w:rPr>
              <w:t>不少于2次/年，提交《互联网资产暴露面发现报告》。</w:t>
            </w:r>
          </w:p>
          <w:p>
            <w:pPr>
              <w:widowControl w:val="0"/>
              <w:jc w:val="left"/>
              <w:rPr>
                <w:rFonts w:ascii="宋体" w:eastAsia="宋体" w:hAnsi="宋体" w:cs="宋体"/>
                <w:kern w:val="2"/>
                <w:sz w:val="21"/>
                <w:lang w:eastAsia="zh-CN"/>
              </w:rPr>
            </w:pPr>
            <w:r>
              <w:rPr>
                <w:rFonts w:ascii="宋体" w:eastAsia="宋体" w:hAnsi="宋体" w:cs="宋体" w:hint="eastAsia"/>
                <w:kern w:val="2"/>
                <w:sz w:val="21"/>
                <w:lang w:eastAsia="zh-CN"/>
              </w:rPr>
              <w:t>6.按需提供网络安全风险评估服务,</w:t>
            </w:r>
            <w:r>
              <w:rPr>
                <w:rFonts w:ascii="宋体" w:eastAsia="宋体" w:hAnsi="宋体" w:cs="宋体" w:hint="eastAsia"/>
                <w:color w:val="000000"/>
                <w:sz w:val="21"/>
                <w:lang w:eastAsia="zh-CN"/>
              </w:rPr>
              <w:t>不少于1次/年</w:t>
            </w:r>
            <w:r>
              <w:rPr>
                <w:rFonts w:ascii="宋体" w:eastAsia="宋体" w:hAnsi="宋体" w:cs="宋体" w:hint="eastAsia"/>
                <w:color w:val="000000"/>
                <w:sz w:val="21"/>
                <w:lang w:eastAsia="zh-CN"/>
              </w:rPr>
              <w:t>，提交《网络安全风险评估报告》《网络安全风险整改计划和跟踪表》。</w:t>
            </w:r>
          </w:p>
          <w:p>
            <w:pPr>
              <w:widowControl w:val="0"/>
              <w:jc w:val="left"/>
              <w:rPr>
                <w:rFonts w:ascii="宋体" w:eastAsia="宋体" w:hAnsi="宋体" w:cs="宋体" w:hint="eastAsia"/>
                <w:color w:val="000000"/>
                <w:sz w:val="21"/>
                <w:lang w:eastAsia="zh-CN"/>
              </w:rPr>
            </w:pPr>
            <w:r>
              <w:rPr>
                <w:rFonts w:ascii="宋体" w:eastAsia="宋体" w:hAnsi="宋体" w:cs="宋体" w:hint="eastAsia"/>
                <w:kern w:val="2"/>
                <w:sz w:val="21"/>
                <w:lang w:eastAsia="zh-CN"/>
              </w:rPr>
              <w:t>7.</w:t>
            </w:r>
            <w:r>
              <w:rPr>
                <w:rFonts w:ascii="宋体" w:eastAsia="宋体" w:hAnsi="宋体" w:cs="宋体" w:hint="eastAsia"/>
                <w:color w:val="000000"/>
                <w:sz w:val="21"/>
                <w:lang w:eastAsia="zh-CN"/>
              </w:rPr>
              <w:t>漏洞扫描和</w:t>
            </w:r>
            <w:r>
              <w:rPr>
                <w:rFonts w:ascii="宋体" w:eastAsia="宋体" w:hAnsi="宋体" w:cs="宋体" w:hint="eastAsia"/>
                <w:kern w:val="2"/>
                <w:sz w:val="21"/>
                <w:lang w:eastAsia="zh-CN"/>
              </w:rPr>
              <w:t>渗透测试服务,不少于</w:t>
            </w:r>
            <w:r>
              <w:rPr>
                <w:rFonts w:ascii="宋体" w:eastAsia="宋体" w:hAnsi="宋体" w:cs="宋体" w:hint="eastAsia"/>
                <w:color w:val="000000"/>
                <w:sz w:val="21"/>
                <w:lang w:eastAsia="zh-CN"/>
              </w:rPr>
              <w:t>1次/季度，提交《漏洞扫描报告》《漏洞扫描复测报告》《渗透测试报告》《渗透测试复测报告》。</w:t>
            </w:r>
          </w:p>
          <w:p>
            <w:pPr>
              <w:widowControl w:val="0"/>
              <w:jc w:val="left"/>
              <w:rPr>
                <w:rFonts w:ascii="宋体" w:eastAsia="宋体" w:hAnsi="宋体" w:cs="宋体" w:hint="eastAsia"/>
                <w:color w:val="000000"/>
                <w:sz w:val="21"/>
                <w:lang w:eastAsia="zh-CN"/>
              </w:rPr>
            </w:pPr>
            <w:r>
              <w:rPr>
                <w:rFonts w:ascii="宋体" w:eastAsia="宋体" w:hAnsi="宋体" w:cs="宋体" w:hint="eastAsia"/>
                <w:kern w:val="2"/>
                <w:sz w:val="21"/>
                <w:lang w:eastAsia="zh-CN"/>
              </w:rPr>
              <w:t>8.应急响应服务，</w:t>
            </w:r>
            <w:r>
              <w:rPr>
                <w:rFonts w:ascii="宋体" w:eastAsia="宋体" w:hAnsi="宋体" w:cs="宋体" w:hint="eastAsia"/>
                <w:color w:val="000000"/>
                <w:sz w:val="21"/>
                <w:lang w:eastAsia="zh-CN"/>
              </w:rPr>
              <w:t>在服务期间，提供全年的7</w:t>
            </w:r>
            <w:r>
              <w:rPr>
                <w:rFonts w:eastAsia="宋体" w:hint="eastAsia"/>
                <w:kern w:val="2"/>
                <w:sz w:val="21"/>
                <w:lang w:eastAsia="zh-CN"/>
              </w:rPr>
              <w:t>×</w:t>
            </w:r>
            <w:r>
              <w:rPr>
                <w:rFonts w:ascii="宋体" w:eastAsia="宋体" w:hAnsi="宋体" w:cs="宋体" w:hint="eastAsia"/>
                <w:color w:val="000000"/>
                <w:sz w:val="21"/>
                <w:lang w:eastAsia="zh-CN"/>
              </w:rPr>
              <w:t>24小时网络安全应急响应，紧急事件时应急响应人员在2小时内到达响应现场，一般事件应急响应人员在 24小时内到达响应现场，应急响应事后48小时内提交应急响应工作报告。全年按需提供服务，提交《应急响应服务报告》。</w:t>
            </w:r>
          </w:p>
          <w:p>
            <w:pPr>
              <w:widowControl w:val="0"/>
              <w:spacing w:after="240"/>
              <w:jc w:val="both"/>
              <w:rPr>
                <w:rFonts w:ascii="宋体" w:eastAsia="宋体" w:hAnsi="宋体" w:cs="宋体" w:hint="eastAsia"/>
                <w:color w:val="000000"/>
                <w:sz w:val="21"/>
                <w:lang w:eastAsia="zh-CN"/>
              </w:rPr>
            </w:pPr>
            <w:r>
              <w:rPr>
                <w:rFonts w:ascii="宋体" w:eastAsia="宋体" w:hAnsi="宋体" w:cs="宋体" w:hint="eastAsia"/>
                <w:color w:val="000000"/>
                <w:sz w:val="21"/>
                <w:lang w:eastAsia="zh-CN"/>
              </w:rPr>
              <w:t>9.</w:t>
            </w:r>
            <w:r>
              <w:rPr>
                <w:rFonts w:ascii="宋体" w:eastAsia="宋体" w:hAnsi="宋体" w:cs="宋体" w:hint="eastAsia"/>
                <w:kern w:val="2"/>
                <w:sz w:val="21"/>
                <w:lang w:eastAsia="zh-CN"/>
              </w:rPr>
              <w:t>网络安全意识培训服务，</w:t>
            </w:r>
            <w:r>
              <w:rPr>
                <w:rFonts w:ascii="宋体" w:eastAsia="宋体" w:hAnsi="宋体" w:cs="宋体" w:hint="eastAsia"/>
                <w:color w:val="000000"/>
                <w:sz w:val="21"/>
                <w:lang w:eastAsia="zh-CN"/>
              </w:rPr>
              <w:t>按照采购人要求，完成必要的日常安全防范和安全类专业培训。</w:t>
            </w:r>
          </w:p>
          <w:p>
            <w:pPr>
              <w:widowControl w:val="0"/>
              <w:spacing w:after="240"/>
              <w:jc w:val="both"/>
              <w:rPr>
                <w:rFonts w:eastAsia="宋体" w:hint="eastAsia"/>
                <w:kern w:val="2"/>
                <w:sz w:val="21"/>
                <w:lang w:eastAsia="zh-CN"/>
              </w:rPr>
            </w:pPr>
            <w:r>
              <w:rPr>
                <w:rFonts w:ascii="宋体" w:eastAsia="宋体" w:hAnsi="宋体" w:cs="宋体" w:hint="eastAsia"/>
                <w:kern w:val="2"/>
                <w:sz w:val="21"/>
                <w:lang w:eastAsia="zh-CN"/>
              </w:rPr>
              <w:t>10.信息安全咨询服务，</w:t>
            </w:r>
            <w:r>
              <w:rPr>
                <w:rFonts w:ascii="宋体" w:eastAsia="宋体" w:hAnsi="宋体" w:cs="宋体" w:hint="eastAsia"/>
                <w:color w:val="000000"/>
                <w:sz w:val="21"/>
                <w:lang w:eastAsia="zh-CN"/>
              </w:rPr>
              <w:t>全年按需提供服务，提交《安全咨询总结》。</w:t>
            </w:r>
          </w:p>
          <w:p>
            <w:pPr>
              <w:widowControl w:val="0"/>
              <w:spacing w:line="360" w:lineRule="auto"/>
              <w:jc w:val="both"/>
              <w:rPr>
                <w:rFonts w:eastAsia="宋体" w:hint="eastAsia"/>
                <w:b/>
                <w:bCs/>
                <w:kern w:val="2"/>
                <w:sz w:val="21"/>
                <w:lang w:eastAsia="zh-CN"/>
              </w:rPr>
            </w:pPr>
            <w:r>
              <w:rPr>
                <w:rFonts w:eastAsia="宋体" w:hint="eastAsia"/>
                <w:b/>
                <w:bCs/>
                <w:kern w:val="2"/>
                <w:sz w:val="21"/>
                <w:lang w:eastAsia="zh-CN"/>
              </w:rPr>
              <w:t>以上所有内容须</w:t>
            </w:r>
            <w:r>
              <w:rPr>
                <w:rFonts w:eastAsia="宋体"/>
                <w:b/>
                <w:bCs/>
                <w:kern w:val="2"/>
                <w:sz w:val="21"/>
                <w:lang w:eastAsia="zh-CN"/>
              </w:rPr>
              <w:t>应得到采购人认可</w:t>
            </w:r>
            <w:r>
              <w:rPr>
                <w:rFonts w:eastAsia="宋体" w:hint="eastAsia"/>
                <w:b/>
                <w:bCs/>
                <w:kern w:val="2"/>
                <w:sz w:val="21"/>
                <w:lang w:eastAsia="zh-CN"/>
              </w:rPr>
              <w:t>。</w:t>
            </w:r>
          </w:p>
          <w:p>
            <w:pPr>
              <w:widowControl w:val="0"/>
              <w:spacing w:line="360" w:lineRule="auto"/>
              <w:jc w:val="both"/>
              <w:rPr>
                <w:rFonts w:eastAsia="宋体" w:hint="eastAsia"/>
                <w:b/>
                <w:bCs/>
                <w:kern w:val="2"/>
                <w:sz w:val="21"/>
                <w:lang w:eastAsia="zh-CN"/>
              </w:rPr>
            </w:pPr>
          </w:p>
          <w:p>
            <w:pPr>
              <w:widowControl w:val="0"/>
              <w:spacing w:line="360" w:lineRule="auto"/>
              <w:jc w:val="both"/>
              <w:rPr>
                <w:rFonts w:eastAsia="宋体" w:hint="eastAsia"/>
                <w:b/>
                <w:bCs/>
                <w:kern w:val="2"/>
                <w:sz w:val="21"/>
                <w:lang w:eastAsia="zh-CN"/>
              </w:rPr>
            </w:pPr>
          </w:p>
          <w:p>
            <w:pPr>
              <w:widowControl w:val="0"/>
              <w:spacing w:line="360" w:lineRule="auto"/>
              <w:jc w:val="both"/>
              <w:rPr>
                <w:rFonts w:eastAsia="宋体" w:hint="eastAsia"/>
                <w:b/>
                <w:bCs/>
                <w:kern w:val="2"/>
                <w:sz w:val="21"/>
                <w:lang w:eastAsia="zh-CN"/>
              </w:rPr>
            </w:pPr>
          </w:p>
          <w:p>
            <w:pPr>
              <w:widowControl w:val="0"/>
              <w:spacing w:line="360" w:lineRule="auto"/>
              <w:jc w:val="both"/>
              <w:rPr>
                <w:rFonts w:eastAsia="宋体" w:hint="eastAsia"/>
                <w:b/>
                <w:bCs/>
                <w:kern w:val="2"/>
                <w:sz w:val="21"/>
                <w:lang w:eastAsia="zh-CN"/>
              </w:rPr>
            </w:pPr>
          </w:p>
          <w:p>
            <w:pPr>
              <w:widowControl w:val="0"/>
              <w:jc w:val="both"/>
              <w:rPr>
                <w:rFonts w:ascii="宋体" w:eastAsia="宋体" w:hAnsi="宋体" w:cs="宋体"/>
                <w:color w:val="000000"/>
                <w:sz w:val="21"/>
                <w:lang w:eastAsia="zh-CN"/>
              </w:rPr>
            </w:pPr>
          </w:p>
        </w:tc>
      </w:tr>
      <w:tr>
        <w:tblPrEx>
          <w:tblW w:w="5000" w:type="pct"/>
          <w:tblInd w:w="0" w:type="dxa"/>
          <w:tblLayout w:type="fixed"/>
          <w:tblCellMar>
            <w:top w:w="0" w:type="dxa"/>
            <w:left w:w="108" w:type="dxa"/>
            <w:bottom w:w="0" w:type="dxa"/>
            <w:right w:w="108" w:type="dxa"/>
          </w:tblCellMar>
        </w:tblPrEx>
        <w:trPr>
          <w:trHeight w:val="7916"/>
        </w:trPr>
        <w:tc>
          <w:tcPr>
            <w:tcW w:w="431" w:type="dxa"/>
            <w:tcBorders>
              <w:top w:val="single" w:sz="4" w:space="0" w:color="auto"/>
              <w:left w:val="single" w:sz="4" w:space="0" w:color="auto"/>
              <w:bottom w:val="single" w:sz="4" w:space="0" w:color="auto"/>
              <w:right w:val="single" w:sz="4" w:space="0" w:color="auto"/>
            </w:tcBorders>
            <w:noWrap w:val="0"/>
            <w:vAlign w:val="center"/>
          </w:tcPr>
          <w:p>
            <w:pPr>
              <w:widowControl/>
              <w:jc w:val="center"/>
              <w:rPr>
                <w:rFonts w:eastAsia="等线" w:hint="eastAsia"/>
                <w:color w:val="000000"/>
                <w:sz w:val="21"/>
                <w:lang w:eastAsia="zh-CN"/>
              </w:rPr>
            </w:pPr>
            <w:r>
              <w:rPr>
                <w:rFonts w:eastAsia="等线" w:hint="eastAsia"/>
                <w:color w:val="000000"/>
                <w:sz w:val="21"/>
                <w:lang w:eastAsia="zh-CN"/>
              </w:rPr>
              <w:t>2</w:t>
            </w:r>
          </w:p>
        </w:tc>
        <w:tc>
          <w:tcPr>
            <w:tcW w:w="800" w:type="dxa"/>
            <w:tcBorders>
              <w:top w:val="single" w:sz="4" w:space="0" w:color="auto"/>
              <w:left w:val="single" w:sz="4" w:space="0" w:color="auto"/>
              <w:bottom w:val="single" w:sz="4" w:space="0" w:color="auto"/>
              <w:right w:val="single" w:sz="4" w:space="0" w:color="auto"/>
            </w:tcBorders>
            <w:noWrap w:val="0"/>
            <w:vAlign w:val="center"/>
          </w:tcPr>
          <w:p>
            <w:pPr>
              <w:widowControl/>
              <w:jc w:val="both"/>
              <w:rPr>
                <w:rFonts w:ascii="宋体" w:eastAsia="宋体" w:hAnsi="宋体" w:hint="eastAsia"/>
                <w:kern w:val="2"/>
                <w:sz w:val="21"/>
                <w:lang w:eastAsia="zh-CN"/>
              </w:rPr>
            </w:pPr>
            <w:r>
              <w:rPr>
                <w:rFonts w:ascii="宋体" w:eastAsia="宋体" w:hAnsi="宋体" w:hint="eastAsia"/>
                <w:kern w:val="2"/>
                <w:sz w:val="21"/>
                <w:lang w:eastAsia="zh-CN"/>
              </w:rPr>
              <w:t>网络安全运营服务</w:t>
            </w:r>
          </w:p>
        </w:tc>
        <w:tc>
          <w:tcPr>
            <w:tcW w:w="4009" w:type="dxa"/>
            <w:tcBorders>
              <w:top w:val="single" w:sz="4" w:space="0" w:color="auto"/>
              <w:left w:val="single" w:sz="4" w:space="0" w:color="auto"/>
              <w:bottom w:val="single" w:sz="4" w:space="0" w:color="auto"/>
              <w:right w:val="single" w:sz="4" w:space="0" w:color="auto"/>
            </w:tcBorders>
            <w:noWrap w:val="0"/>
            <w:vAlign w:val="center"/>
          </w:tcPr>
          <w:p>
            <w:pPr>
              <w:widowControl w:val="0"/>
              <w:numPr>
                <w:ilvl w:val="0"/>
                <w:numId w:val="6"/>
              </w:numPr>
              <w:spacing w:after="240"/>
              <w:jc w:val="both"/>
              <w:rPr>
                <w:rFonts w:eastAsia="宋体" w:hint="eastAsia"/>
                <w:b/>
                <w:bCs/>
                <w:kern w:val="2"/>
                <w:sz w:val="21"/>
                <w:lang w:eastAsia="zh-CN"/>
              </w:rPr>
            </w:pPr>
            <w:r>
              <w:rPr>
                <w:rFonts w:eastAsia="宋体" w:hint="eastAsia"/>
                <w:b/>
                <w:bCs/>
                <w:kern w:val="2"/>
                <w:sz w:val="21"/>
                <w:lang w:eastAsia="zh-CN"/>
              </w:rPr>
              <w:t>核心资产授权服务</w:t>
            </w:r>
          </w:p>
          <w:p>
            <w:pPr>
              <w:widowControl w:val="0"/>
              <w:numPr>
                <w:ilvl w:val="0"/>
                <w:numId w:val="7"/>
              </w:numPr>
              <w:spacing w:after="240"/>
              <w:jc w:val="both"/>
              <w:rPr>
                <w:rFonts w:eastAsia="宋体" w:hint="eastAsia"/>
                <w:kern w:val="2"/>
                <w:sz w:val="21"/>
                <w:lang w:eastAsia="zh-CN"/>
              </w:rPr>
            </w:pPr>
            <w:r>
              <w:rPr>
                <w:rFonts w:eastAsia="宋体" w:hint="eastAsia"/>
                <w:kern w:val="2"/>
                <w:sz w:val="21"/>
                <w:lang w:eastAsia="zh-CN"/>
              </w:rPr>
              <w:t>提供采购人现有生产环境中的“全天候一体化主动防御服务（型号：安全托管服务MSS-100）”授权服务，授权IP数量不少于100个，资产授权终端涵盖但不限于现有运行的深圳市福利彩票销售系统、深圳市福彩APP系统、深圳市福彩微信公众平台、深圳市福利彩票中心官方网站、中间业务平台、全程可追溯系统、智慧宣传集中管理等系统运行终端，授权终端具备与采购人现有生产环境中的安全防护设备（包括：深信服SIP-1000-B400，深信服入侵防御设备AF-2000-B2350B、深信服AF-1000-FA40防火墙）实现网络全域安全的联防、联控、联动机制，实现网络安全一体化防御能力。</w:t>
            </w:r>
          </w:p>
          <w:p>
            <w:pPr>
              <w:widowControl w:val="0"/>
              <w:numPr>
                <w:ilvl w:val="0"/>
                <w:numId w:val="7"/>
              </w:numPr>
              <w:spacing w:after="240"/>
              <w:jc w:val="both"/>
              <w:rPr>
                <w:rFonts w:eastAsia="宋体" w:hint="eastAsia"/>
                <w:kern w:val="2"/>
                <w:sz w:val="21"/>
                <w:lang w:eastAsia="zh-CN"/>
              </w:rPr>
            </w:pPr>
            <w:r>
              <w:rPr>
                <w:rFonts w:eastAsia="宋体" w:hint="eastAsia"/>
                <w:kern w:val="2"/>
                <w:sz w:val="21"/>
                <w:lang w:eastAsia="zh-CN"/>
              </w:rPr>
              <w:t>提供与资产授权服务相匹配的云端服务平台提供不少于40种策略检查工具，支持排查安全设备防护策略配置的合理性。</w:t>
            </w:r>
          </w:p>
          <w:p>
            <w:pPr>
              <w:widowControl w:val="0"/>
              <w:numPr>
                <w:ilvl w:val="0"/>
                <w:numId w:val="6"/>
              </w:numPr>
              <w:spacing w:line="360" w:lineRule="auto"/>
              <w:jc w:val="both"/>
              <w:rPr>
                <w:rFonts w:eastAsia="宋体" w:hint="eastAsia"/>
                <w:b/>
                <w:bCs/>
                <w:kern w:val="2"/>
                <w:sz w:val="21"/>
                <w:lang w:eastAsia="zh-CN"/>
              </w:rPr>
            </w:pPr>
            <w:r>
              <w:rPr>
                <w:rFonts w:eastAsia="宋体" w:hint="eastAsia"/>
                <w:b/>
                <w:bCs/>
                <w:kern w:val="2"/>
                <w:sz w:val="21"/>
                <w:lang w:eastAsia="zh-CN"/>
              </w:rPr>
              <w:t>网络安全运营服务</w:t>
            </w:r>
          </w:p>
          <w:p>
            <w:pPr>
              <w:widowControl w:val="0"/>
              <w:spacing w:after="240"/>
              <w:jc w:val="both"/>
              <w:rPr>
                <w:rFonts w:eastAsia="宋体"/>
                <w:kern w:val="2"/>
                <w:sz w:val="21"/>
                <w:lang w:eastAsia="zh-CN"/>
              </w:rPr>
            </w:pPr>
            <w:r>
              <w:rPr>
                <w:rFonts w:eastAsia="宋体" w:hint="eastAsia"/>
                <w:kern w:val="2"/>
                <w:sz w:val="21"/>
                <w:lang w:eastAsia="zh-CN"/>
              </w:rPr>
              <w:t>基于核心资产授权服务，全年 7×24 小时提供网络安全运营服务，具体要求如下：</w:t>
            </w:r>
          </w:p>
          <w:p>
            <w:pPr>
              <w:widowControl w:val="0"/>
              <w:spacing w:after="240"/>
              <w:jc w:val="both"/>
              <w:rPr>
                <w:rFonts w:eastAsia="宋体"/>
                <w:kern w:val="2"/>
                <w:sz w:val="21"/>
                <w:lang w:eastAsia="zh-CN"/>
              </w:rPr>
            </w:pPr>
            <w:r>
              <w:rPr>
                <w:rFonts w:eastAsia="宋体" w:hint="eastAsia"/>
                <w:kern w:val="2"/>
                <w:sz w:val="21"/>
                <w:lang w:eastAsia="zh-CN"/>
              </w:rPr>
              <w:t>（1）提供全年 7×24 小时远程与云端人机共智防御服务，由专业安全团队运用智能监测系统对彩票资产实施实时安全监控，精准发现外部攻击行为（如漏洞利用、恶意渗透等）并启动分级响应机制，若资产被成功入侵则 10 分钟内电话通报并即刻启动包含系统隔离、攻击溯源的安全事件响应机制，确保彩票系统持续符合安全规范要求并稳定运行。</w:t>
            </w:r>
          </w:p>
          <w:p>
            <w:pPr>
              <w:widowControl w:val="0"/>
              <w:spacing w:after="240"/>
              <w:jc w:val="both"/>
              <w:rPr>
                <w:rFonts w:eastAsia="宋体"/>
                <w:kern w:val="2"/>
                <w:sz w:val="21"/>
                <w:lang w:eastAsia="zh-CN"/>
              </w:rPr>
            </w:pPr>
            <w:r>
              <w:rPr>
                <w:rFonts w:eastAsia="宋体" w:hint="eastAsia"/>
                <w:kern w:val="2"/>
                <w:sz w:val="21"/>
                <w:lang w:eastAsia="zh-CN"/>
              </w:rPr>
              <w:t>（2）</w:t>
            </w:r>
            <w:r>
              <w:rPr>
                <w:rFonts w:eastAsia="宋体"/>
                <w:kern w:val="2"/>
                <w:sz w:val="21"/>
                <w:lang w:eastAsia="zh-CN"/>
              </w:rPr>
              <w:t>提供授权终端全年7</w:t>
            </w:r>
            <w:r>
              <w:rPr>
                <w:rFonts w:eastAsia="宋体" w:hint="eastAsia"/>
                <w:kern w:val="2"/>
                <w:sz w:val="21"/>
                <w:lang w:eastAsia="zh-CN"/>
              </w:rPr>
              <w:t>×</w:t>
            </w:r>
            <w:r>
              <w:rPr>
                <w:rFonts w:eastAsia="宋体"/>
                <w:kern w:val="2"/>
                <w:sz w:val="21"/>
                <w:lang w:eastAsia="zh-CN"/>
              </w:rPr>
              <w:t>24小时持续性服务，围绕彩票资产、漏洞、威胁、脆弱性等安全要素，不间断监测、响应、阻断非授权行为，完成安全问题处置，使用采购人现有</w:t>
            </w:r>
            <w:r>
              <w:rPr>
                <w:rFonts w:eastAsia="宋体" w:hint="eastAsia"/>
                <w:kern w:val="2"/>
                <w:sz w:val="21"/>
                <w:lang w:eastAsia="zh-CN"/>
              </w:rPr>
              <w:t>设备</w:t>
            </w:r>
            <w:r>
              <w:rPr>
                <w:rFonts w:eastAsia="宋体"/>
                <w:kern w:val="2"/>
                <w:sz w:val="21"/>
                <w:lang w:eastAsia="zh-CN"/>
              </w:rPr>
              <w:t>（</w:t>
            </w:r>
            <w:r>
              <w:rPr>
                <w:rFonts w:eastAsia="宋体" w:hint="eastAsia"/>
                <w:kern w:val="2"/>
                <w:sz w:val="21"/>
                <w:lang w:eastAsia="zh-CN"/>
              </w:rPr>
              <w:t>包括但不限于：</w:t>
            </w:r>
            <w:r>
              <w:rPr>
                <w:rFonts w:eastAsia="宋体"/>
                <w:kern w:val="2"/>
                <w:sz w:val="21"/>
                <w:lang w:eastAsia="zh-CN"/>
              </w:rPr>
              <w:t>深信服SIP-1000-B400，深信服入侵防御设备AF-2000-B2350B、深信服AF-1000-FA40）主动发现安全事件并同步阻断。</w:t>
            </w:r>
          </w:p>
          <w:p>
            <w:pPr>
              <w:widowControl w:val="0"/>
              <w:spacing w:after="240"/>
              <w:jc w:val="both"/>
              <w:rPr>
                <w:rFonts w:eastAsia="宋体" w:hint="eastAsia"/>
                <w:kern w:val="2"/>
                <w:sz w:val="21"/>
                <w:lang w:eastAsia="zh-CN"/>
              </w:rPr>
            </w:pPr>
            <w:r>
              <w:rPr>
                <w:rFonts w:eastAsia="宋体" w:hint="eastAsia"/>
                <w:kern w:val="2"/>
                <w:sz w:val="21"/>
                <w:lang w:eastAsia="zh-CN"/>
              </w:rPr>
              <w:t>（3）</w:t>
            </w:r>
            <w:r>
              <w:rPr>
                <w:rFonts w:eastAsia="宋体"/>
                <w:kern w:val="2"/>
                <w:sz w:val="21"/>
                <w:lang w:eastAsia="zh-CN"/>
              </w:rPr>
              <w:t>提供全年7</w:t>
            </w:r>
            <w:r>
              <w:rPr>
                <w:rFonts w:eastAsia="宋体" w:hint="eastAsia"/>
                <w:kern w:val="2"/>
                <w:sz w:val="21"/>
                <w:lang w:eastAsia="zh-CN"/>
              </w:rPr>
              <w:t>×</w:t>
            </w:r>
            <w:r>
              <w:rPr>
                <w:rFonts w:eastAsia="宋体"/>
                <w:kern w:val="2"/>
                <w:sz w:val="21"/>
                <w:lang w:eastAsia="zh-CN"/>
              </w:rPr>
              <w:t>24小时采购人认可的安全事件通报方式，第一时间通报安全事件，安全事件内容包括但不限于成功阻断通报、入侵事件通报、异常行为通报等，按需提供事件分析与处置报告、应急响应报告和应急处置报告等。远程值守团队完成但不限于重大节日、攻防演练活动等安全防守工作，对网络安全进行实战化检验和调优。</w:t>
            </w:r>
          </w:p>
        </w:tc>
        <w:tc>
          <w:tcPr>
            <w:tcW w:w="3292" w:type="dxa"/>
            <w:tcBorders>
              <w:top w:val="single" w:sz="4" w:space="0" w:color="auto"/>
              <w:left w:val="nil"/>
              <w:bottom w:val="single" w:sz="4" w:space="0" w:color="auto"/>
              <w:right w:val="single" w:sz="4" w:space="0" w:color="auto"/>
            </w:tcBorders>
            <w:noWrap w:val="0"/>
            <w:vAlign w:val="center"/>
          </w:tcPr>
          <w:p>
            <w:pPr>
              <w:widowControl w:val="0"/>
              <w:jc w:val="left"/>
              <w:rPr>
                <w:rFonts w:eastAsia="宋体" w:hint="eastAsia"/>
                <w:kern w:val="2"/>
                <w:sz w:val="21"/>
                <w:lang w:eastAsia="zh-CN"/>
              </w:rPr>
            </w:pPr>
            <w:r>
              <w:rPr>
                <w:rFonts w:eastAsia="宋体" w:hint="eastAsia"/>
                <w:kern w:val="2"/>
                <w:sz w:val="21"/>
                <w:lang w:eastAsia="zh-CN"/>
              </w:rPr>
              <w:t>根据《网络安全法》《个人信息保护法》《网络安全等级保护基本要求》《2021年民政综合评估福利彩票发行销售管理项目评估细则》《网络安全等级保护测评高风险判定实施指引（试行）》等相关法律法规要求，中标人向采购人提供如下内容：</w:t>
            </w:r>
          </w:p>
          <w:p>
            <w:pPr>
              <w:widowControl w:val="0"/>
              <w:numPr>
                <w:ilvl w:val="0"/>
                <w:numId w:val="8"/>
              </w:numPr>
              <w:spacing w:after="240"/>
              <w:jc w:val="both"/>
              <w:rPr>
                <w:rFonts w:eastAsia="宋体" w:hint="eastAsia"/>
                <w:kern w:val="2"/>
                <w:sz w:val="21"/>
                <w:lang w:eastAsia="zh-CN"/>
              </w:rPr>
            </w:pPr>
            <w:r>
              <w:rPr>
                <w:rFonts w:eastAsia="宋体" w:hint="eastAsia"/>
                <w:kern w:val="2"/>
                <w:sz w:val="21"/>
                <w:lang w:eastAsia="zh-CN"/>
              </w:rPr>
              <w:t>提供全年7×24小时远程云端及在线人机共智坚守服务，提供不少于3名原厂值守人员，其中包括：1名专属服务经理（高级工程师），1名告警审核专员（高级工程师），1名值班专员（中级工程师），中标后需求提供值守人员名单，提供</w:t>
            </w:r>
            <w:r>
              <w:rPr>
                <w:rFonts w:eastAsia="宋体"/>
                <w:kern w:val="2"/>
                <w:sz w:val="21"/>
                <w:lang w:eastAsia="zh-CN"/>
              </w:rPr>
              <w:t>在线服务对接人员和联系电话。</w:t>
            </w:r>
          </w:p>
          <w:p>
            <w:pPr>
              <w:widowControl w:val="0"/>
              <w:numPr>
                <w:ilvl w:val="0"/>
                <w:numId w:val="8"/>
              </w:numPr>
              <w:spacing w:after="240"/>
              <w:jc w:val="both"/>
              <w:rPr>
                <w:rFonts w:eastAsia="宋体" w:hint="eastAsia"/>
                <w:kern w:val="2"/>
                <w:sz w:val="21"/>
                <w:lang w:eastAsia="zh-CN"/>
              </w:rPr>
            </w:pPr>
            <w:r>
              <w:rPr>
                <w:rFonts w:eastAsia="宋体" w:hint="eastAsia"/>
                <w:kern w:val="2"/>
                <w:sz w:val="21"/>
                <w:lang w:eastAsia="zh-CN"/>
              </w:rPr>
              <w:t>全年按需提供服务，提交《安全通告》《安全服务运营报告》《应急响应报告》《事件分析与处置报告》。</w:t>
            </w:r>
          </w:p>
          <w:p>
            <w:pPr>
              <w:widowControl w:val="0"/>
              <w:spacing w:after="240"/>
              <w:jc w:val="both"/>
              <w:rPr>
                <w:rFonts w:eastAsia="宋体"/>
                <w:kern w:val="2"/>
                <w:sz w:val="21"/>
                <w:lang w:eastAsia="zh-CN"/>
              </w:rPr>
            </w:pPr>
            <w:r>
              <w:rPr>
                <w:rFonts w:eastAsia="宋体" w:hint="eastAsia"/>
                <w:kern w:val="2"/>
                <w:sz w:val="21"/>
                <w:lang w:eastAsia="zh-CN"/>
              </w:rPr>
              <w:t>3.投标人承诺合同期内，提供采购人“全天候一体化主动防御服务(型号为安全托管服务MSS-100)”安全运营服务。</w:t>
            </w:r>
          </w:p>
          <w:p>
            <w:pPr>
              <w:widowControl w:val="0"/>
              <w:spacing w:line="360" w:lineRule="auto"/>
              <w:jc w:val="both"/>
              <w:rPr>
                <w:rFonts w:eastAsia="宋体"/>
                <w:b/>
                <w:bCs/>
                <w:kern w:val="2"/>
                <w:lang w:eastAsia="zh-CN"/>
              </w:rPr>
            </w:pPr>
          </w:p>
          <w:p>
            <w:pPr>
              <w:widowControl w:val="0"/>
              <w:spacing w:line="360" w:lineRule="auto"/>
              <w:jc w:val="both"/>
              <w:rPr>
                <w:rFonts w:eastAsia="宋体" w:hint="eastAsia"/>
                <w:b/>
                <w:bCs/>
                <w:kern w:val="2"/>
                <w:sz w:val="21"/>
                <w:lang w:eastAsia="zh-CN"/>
              </w:rPr>
            </w:pPr>
            <w:r>
              <w:rPr>
                <w:rFonts w:eastAsia="宋体" w:hint="eastAsia"/>
                <w:b/>
                <w:bCs/>
                <w:kern w:val="2"/>
                <w:sz w:val="21"/>
                <w:lang w:eastAsia="zh-CN"/>
              </w:rPr>
              <w:t>以上所有内容须</w:t>
            </w:r>
            <w:r>
              <w:rPr>
                <w:rFonts w:eastAsia="宋体"/>
                <w:b/>
                <w:bCs/>
                <w:kern w:val="2"/>
                <w:sz w:val="21"/>
                <w:lang w:eastAsia="zh-CN"/>
              </w:rPr>
              <w:t>应得到采购人认可</w:t>
            </w:r>
            <w:r>
              <w:rPr>
                <w:rFonts w:eastAsia="宋体" w:hint="eastAsia"/>
                <w:b/>
                <w:bCs/>
                <w:kern w:val="2"/>
                <w:sz w:val="21"/>
                <w:lang w:eastAsia="zh-CN"/>
              </w:rPr>
              <w:t>。</w:t>
            </w:r>
          </w:p>
          <w:p>
            <w:pPr>
              <w:widowControl w:val="0"/>
              <w:spacing w:line="360" w:lineRule="auto"/>
              <w:jc w:val="both"/>
              <w:rPr>
                <w:rFonts w:eastAsia="宋体" w:hint="eastAsia"/>
                <w:b/>
                <w:bCs/>
                <w:kern w:val="2"/>
                <w:sz w:val="21"/>
                <w:lang w:eastAsia="zh-CN"/>
              </w:rPr>
            </w:pPr>
          </w:p>
          <w:p>
            <w:pPr>
              <w:widowControl w:val="0"/>
              <w:spacing w:line="360" w:lineRule="auto"/>
              <w:jc w:val="both"/>
              <w:rPr>
                <w:rFonts w:eastAsia="宋体" w:hint="eastAsia"/>
                <w:b/>
                <w:bCs/>
                <w:kern w:val="2"/>
                <w:sz w:val="21"/>
                <w:lang w:eastAsia="zh-CN"/>
              </w:rPr>
            </w:pPr>
          </w:p>
          <w:p>
            <w:pPr>
              <w:widowControl w:val="0"/>
              <w:spacing w:line="360" w:lineRule="auto"/>
              <w:jc w:val="both"/>
              <w:rPr>
                <w:rFonts w:eastAsia="宋体" w:hint="eastAsia"/>
                <w:b/>
                <w:bCs/>
                <w:kern w:val="2"/>
                <w:sz w:val="21"/>
                <w:lang w:eastAsia="zh-CN"/>
              </w:rPr>
            </w:pPr>
          </w:p>
          <w:p>
            <w:pPr>
              <w:widowControl w:val="0"/>
              <w:spacing w:line="360" w:lineRule="auto"/>
              <w:jc w:val="both"/>
              <w:rPr>
                <w:rFonts w:eastAsia="宋体" w:hint="eastAsia"/>
                <w:b/>
                <w:bCs/>
                <w:kern w:val="2"/>
                <w:sz w:val="21"/>
                <w:lang w:eastAsia="zh-CN"/>
              </w:rPr>
            </w:pPr>
          </w:p>
          <w:p>
            <w:pPr>
              <w:widowControl w:val="0"/>
              <w:spacing w:line="360" w:lineRule="auto"/>
              <w:jc w:val="both"/>
              <w:rPr>
                <w:rFonts w:eastAsia="宋体" w:hint="eastAsia"/>
                <w:b/>
                <w:bCs/>
                <w:kern w:val="2"/>
                <w:sz w:val="21"/>
                <w:lang w:eastAsia="zh-CN"/>
              </w:rPr>
            </w:pPr>
          </w:p>
          <w:p>
            <w:pPr>
              <w:widowControl w:val="0"/>
              <w:spacing w:line="360" w:lineRule="auto"/>
              <w:jc w:val="both"/>
              <w:rPr>
                <w:rFonts w:eastAsia="宋体" w:hint="eastAsia"/>
                <w:b/>
                <w:bCs/>
                <w:kern w:val="2"/>
                <w:sz w:val="21"/>
                <w:lang w:eastAsia="zh-CN"/>
              </w:rPr>
            </w:pPr>
          </w:p>
          <w:p>
            <w:pPr>
              <w:widowControl w:val="0"/>
              <w:spacing w:line="360" w:lineRule="auto"/>
              <w:jc w:val="both"/>
              <w:rPr>
                <w:rFonts w:eastAsia="宋体" w:hint="eastAsia"/>
                <w:b/>
                <w:bCs/>
                <w:kern w:val="2"/>
                <w:sz w:val="21"/>
                <w:lang w:eastAsia="zh-CN"/>
              </w:rPr>
            </w:pPr>
          </w:p>
          <w:p>
            <w:pPr>
              <w:widowControl w:val="0"/>
              <w:spacing w:line="360" w:lineRule="auto"/>
              <w:jc w:val="both"/>
              <w:rPr>
                <w:rFonts w:eastAsia="宋体" w:hint="eastAsia"/>
                <w:b/>
                <w:bCs/>
                <w:kern w:val="2"/>
                <w:lang w:eastAsia="zh-CN"/>
              </w:rPr>
            </w:pPr>
          </w:p>
        </w:tc>
      </w:tr>
    </w:tbl>
    <w:p>
      <w:pPr>
        <w:widowControl w:val="0"/>
        <w:jc w:val="both"/>
        <w:rPr>
          <w:rFonts w:ascii="宋体" w:eastAsia="宋体" w:hAnsi="宋体" w:hint="eastAsia"/>
          <w:b/>
          <w:kern w:val="2"/>
          <w:sz w:val="21"/>
          <w:szCs w:val="21"/>
          <w:lang w:eastAsia="zh-CN"/>
        </w:rPr>
      </w:pPr>
    </w:p>
    <w:p>
      <w:pPr>
        <w:widowControl w:val="0"/>
        <w:jc w:val="both"/>
        <w:rPr>
          <w:rFonts w:ascii="宋体" w:eastAsia="宋体" w:hAnsi="宋体" w:hint="eastAsia"/>
          <w:b/>
          <w:kern w:val="2"/>
          <w:sz w:val="21"/>
          <w:szCs w:val="21"/>
          <w:lang w:eastAsia="zh-CN"/>
        </w:rPr>
      </w:pPr>
    </w:p>
    <w:p>
      <w:pPr>
        <w:widowControl w:val="0"/>
        <w:jc w:val="center"/>
        <w:rPr>
          <w:rFonts w:ascii="宋体" w:eastAsia="宋体" w:hAnsi="宋体"/>
          <w:b/>
          <w:kern w:val="2"/>
          <w:sz w:val="21"/>
          <w:szCs w:val="21"/>
          <w:lang w:eastAsia="zh-CN"/>
        </w:rPr>
      </w:pPr>
      <w:r>
        <w:rPr>
          <w:rFonts w:ascii="宋体" w:eastAsia="宋体" w:hAnsi="宋体" w:hint="eastAsia"/>
          <w:b/>
          <w:kern w:val="2"/>
          <w:sz w:val="21"/>
          <w:szCs w:val="21"/>
          <w:lang w:eastAsia="zh-CN"/>
        </w:rPr>
        <w:t>（</w:t>
      </w:r>
      <w:r>
        <w:rPr>
          <w:rFonts w:ascii="宋体" w:eastAsia="宋体" w:hAnsi="宋体" w:hint="eastAsia"/>
          <w:b/>
          <w:kern w:val="2"/>
          <w:sz w:val="21"/>
          <w:szCs w:val="21"/>
          <w:lang w:eastAsia="zh-CN"/>
        </w:rPr>
        <w:t>三</w:t>
      </w:r>
      <w:r>
        <w:rPr>
          <w:rFonts w:ascii="宋体" w:eastAsia="宋体" w:hAnsi="宋体" w:hint="eastAsia"/>
          <w:b/>
          <w:kern w:val="2"/>
          <w:sz w:val="21"/>
          <w:szCs w:val="21"/>
          <w:lang w:eastAsia="zh-CN"/>
        </w:rPr>
        <w:t>）</w:t>
      </w:r>
      <w:r>
        <w:rPr>
          <w:rFonts w:ascii="宋体" w:eastAsia="宋体" w:hAnsi="宋体" w:hint="eastAsia"/>
          <w:b/>
          <w:bCs/>
          <w:color w:val="000000"/>
          <w:kern w:val="2"/>
          <w:sz w:val="21"/>
          <w:lang w:eastAsia="zh-CN"/>
        </w:rPr>
        <w:t>招标技术参数要求</w:t>
      </w:r>
    </w:p>
    <w:tbl>
      <w:tblPr>
        <w:tblStyle w:val="TableNormal"/>
        <w:tblW w:w="5000"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3"/>
        <w:gridCol w:w="669"/>
        <w:gridCol w:w="7537"/>
      </w:tblGrid>
      <w:tr>
        <w:tblPrEx>
          <w:tblW w:w="5000"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trPr>
        <w:tc>
          <w:tcPr>
            <w:tcW w:w="324" w:type="dxa"/>
            <w:tcBorders>
              <w:top w:val="single" w:sz="4" w:space="0" w:color="auto"/>
              <w:left w:val="single" w:sz="4" w:space="0" w:color="auto"/>
              <w:bottom w:val="single" w:sz="4" w:space="0" w:color="auto"/>
              <w:right w:val="single" w:sz="4" w:space="0" w:color="auto"/>
            </w:tcBorders>
            <w:shd w:val="clear" w:color="auto" w:fill="D9D9D9"/>
            <w:noWrap/>
            <w:vAlign w:val="center"/>
          </w:tcPr>
          <w:p>
            <w:pPr>
              <w:widowControl w:val="0"/>
              <w:adjustRightInd w:val="0"/>
              <w:snapToGrid w:val="0"/>
              <w:spacing w:line="240" w:lineRule="exact"/>
              <w:jc w:val="both"/>
              <w:rPr>
                <w:rFonts w:ascii="宋体" w:eastAsia="宋体" w:hAnsi="宋体"/>
                <w:b/>
                <w:bCs/>
                <w:color w:val="000000"/>
                <w:kern w:val="2"/>
                <w:sz w:val="21"/>
                <w:lang w:eastAsia="zh-CN"/>
              </w:rPr>
            </w:pPr>
            <w:r>
              <w:rPr>
                <w:rFonts w:ascii="宋体" w:eastAsia="宋体" w:hAnsi="宋体" w:hint="eastAsia"/>
                <w:b/>
                <w:bCs/>
                <w:color w:val="000000"/>
                <w:kern w:val="2"/>
                <w:sz w:val="21"/>
                <w:lang w:eastAsia="zh-CN"/>
              </w:rPr>
              <w:t>序号</w:t>
            </w:r>
          </w:p>
        </w:tc>
        <w:tc>
          <w:tcPr>
            <w:tcW w:w="672" w:type="dxa"/>
            <w:tcBorders>
              <w:top w:val="single" w:sz="4" w:space="0" w:color="auto"/>
              <w:left w:val="single" w:sz="4" w:space="0" w:color="auto"/>
              <w:bottom w:val="single" w:sz="4" w:space="0" w:color="auto"/>
              <w:right w:val="single" w:sz="4" w:space="0" w:color="auto"/>
            </w:tcBorders>
            <w:shd w:val="clear" w:color="auto" w:fill="D9D9D9"/>
            <w:noWrap/>
            <w:vAlign w:val="center"/>
          </w:tcPr>
          <w:p>
            <w:pPr>
              <w:widowControl w:val="0"/>
              <w:adjustRightInd w:val="0"/>
              <w:snapToGrid w:val="0"/>
              <w:spacing w:line="240" w:lineRule="exact"/>
              <w:jc w:val="both"/>
              <w:rPr>
                <w:rFonts w:ascii="宋体" w:eastAsia="宋体" w:hAnsi="宋体" w:hint="eastAsia"/>
                <w:b/>
                <w:bCs/>
                <w:color w:val="000000"/>
                <w:kern w:val="2"/>
                <w:sz w:val="21"/>
                <w:lang w:eastAsia="zh-CN"/>
              </w:rPr>
            </w:pPr>
            <w:r>
              <w:rPr>
                <w:rFonts w:ascii="宋体" w:eastAsia="宋体" w:hAnsi="宋体" w:hint="eastAsia"/>
                <w:b/>
                <w:bCs/>
                <w:color w:val="000000"/>
                <w:kern w:val="2"/>
                <w:sz w:val="21"/>
                <w:lang w:eastAsia="zh-CN"/>
              </w:rPr>
              <w:t>工具名称</w:t>
            </w:r>
          </w:p>
        </w:tc>
        <w:tc>
          <w:tcPr>
            <w:tcW w:w="7596" w:type="dxa"/>
            <w:tcBorders>
              <w:top w:val="single" w:sz="4" w:space="0" w:color="auto"/>
              <w:left w:val="single" w:sz="4" w:space="0" w:color="auto"/>
              <w:bottom w:val="single" w:sz="4" w:space="0" w:color="auto"/>
              <w:right w:val="single" w:sz="4" w:space="0" w:color="auto"/>
            </w:tcBorders>
            <w:shd w:val="clear" w:color="auto" w:fill="D9D9D9"/>
            <w:noWrap w:val="0"/>
            <w:vAlign w:val="center"/>
          </w:tcPr>
          <w:p>
            <w:pPr>
              <w:widowControl w:val="0"/>
              <w:adjustRightInd w:val="0"/>
              <w:snapToGrid w:val="0"/>
              <w:spacing w:line="240" w:lineRule="exact"/>
              <w:jc w:val="both"/>
              <w:rPr>
                <w:rFonts w:ascii="宋体" w:eastAsia="宋体" w:hAnsi="宋体" w:hint="eastAsia"/>
                <w:b/>
                <w:bCs/>
                <w:color w:val="000000"/>
                <w:kern w:val="2"/>
                <w:sz w:val="21"/>
                <w:lang w:eastAsia="zh-CN"/>
              </w:rPr>
            </w:pPr>
            <w:r>
              <w:rPr>
                <w:rFonts w:ascii="宋体" w:eastAsia="宋体" w:hAnsi="宋体" w:hint="eastAsia"/>
                <w:b/>
                <w:bCs/>
                <w:color w:val="000000"/>
                <w:kern w:val="2"/>
                <w:sz w:val="21"/>
                <w:lang w:eastAsia="zh-CN"/>
              </w:rPr>
              <w:t>招标技术参数要求</w:t>
            </w:r>
          </w:p>
        </w:tc>
      </w:tr>
      <w:tr>
        <w:tblPrEx>
          <w:tblW w:w="5000" w:type="pct"/>
          <w:tblInd w:w="-244" w:type="dxa"/>
          <w:tblLayout w:type="fixed"/>
          <w:tblCellMar>
            <w:top w:w="0" w:type="dxa"/>
            <w:left w:w="108" w:type="dxa"/>
            <w:bottom w:w="0" w:type="dxa"/>
            <w:right w:w="108" w:type="dxa"/>
          </w:tblCellMar>
        </w:tblPrEx>
        <w:trPr>
          <w:trHeight w:val="20"/>
        </w:trPr>
        <w:tc>
          <w:tcPr>
            <w:tcW w:w="324" w:type="dxa"/>
            <w:vMerge w:val="restart"/>
            <w:tcBorders>
              <w:top w:val="nil"/>
              <w:left w:val="single" w:sz="4" w:space="0" w:color="auto"/>
              <w:bottom w:val="single" w:sz="4" w:space="0" w:color="auto"/>
              <w:right w:val="single" w:sz="4" w:space="0" w:color="auto"/>
            </w:tcBorders>
            <w:noWrap/>
            <w:vAlign w:val="center"/>
          </w:tcPr>
          <w:p>
            <w:pPr>
              <w:widowControl w:val="0"/>
              <w:adjustRightInd w:val="0"/>
              <w:snapToGrid w:val="0"/>
              <w:spacing w:line="240" w:lineRule="exact"/>
              <w:jc w:val="both"/>
              <w:rPr>
                <w:rFonts w:ascii="宋体" w:eastAsia="宋体" w:hAnsi="宋体" w:hint="eastAsia"/>
                <w:color w:val="000000"/>
                <w:kern w:val="2"/>
                <w:sz w:val="21"/>
                <w:lang w:eastAsia="zh-CN"/>
              </w:rPr>
            </w:pPr>
            <w:r>
              <w:rPr>
                <w:rFonts w:ascii="宋体" w:eastAsia="宋体" w:hAnsi="宋体" w:hint="eastAsia"/>
                <w:color w:val="000000"/>
                <w:kern w:val="2"/>
                <w:sz w:val="21"/>
                <w:lang w:eastAsia="zh-CN"/>
              </w:rPr>
              <w:t>1</w:t>
            </w:r>
          </w:p>
        </w:tc>
        <w:tc>
          <w:tcPr>
            <w:tcW w:w="672" w:type="dxa"/>
            <w:vMerge w:val="restart"/>
            <w:tcBorders>
              <w:top w:val="nil"/>
              <w:left w:val="single" w:sz="4" w:space="0" w:color="auto"/>
              <w:bottom w:val="single" w:sz="4" w:space="0" w:color="auto"/>
              <w:right w:val="single" w:sz="4" w:space="0" w:color="auto"/>
            </w:tcBorders>
            <w:noWrap/>
            <w:vAlign w:val="center"/>
          </w:tcPr>
          <w:p>
            <w:pPr>
              <w:widowControl w:val="0"/>
              <w:adjustRightInd w:val="0"/>
              <w:snapToGrid w:val="0"/>
              <w:spacing w:line="240" w:lineRule="exact"/>
              <w:jc w:val="both"/>
              <w:rPr>
                <w:rFonts w:ascii="宋体" w:eastAsia="宋体" w:hAnsi="宋体"/>
                <w:sz w:val="21"/>
                <w:lang w:eastAsia="zh-CN"/>
              </w:rPr>
            </w:pPr>
            <w:r>
              <w:rPr>
                <w:rFonts w:ascii="宋体" w:eastAsia="宋体" w:hAnsi="宋体" w:hint="eastAsia"/>
                <w:sz w:val="21"/>
                <w:lang w:eastAsia="zh-CN"/>
              </w:rPr>
              <w:t>系统</w:t>
            </w:r>
          </w:p>
          <w:p>
            <w:pPr>
              <w:widowControl w:val="0"/>
              <w:adjustRightInd w:val="0"/>
              <w:snapToGrid w:val="0"/>
              <w:spacing w:line="240" w:lineRule="exact"/>
              <w:jc w:val="both"/>
              <w:rPr>
                <w:rFonts w:ascii="宋体" w:eastAsia="宋体" w:hAnsi="宋体"/>
                <w:sz w:val="21"/>
                <w:lang w:eastAsia="zh-CN"/>
              </w:rPr>
            </w:pPr>
            <w:r>
              <w:rPr>
                <w:rFonts w:ascii="宋体" w:eastAsia="宋体" w:hAnsi="宋体" w:hint="eastAsia"/>
                <w:sz w:val="21"/>
                <w:lang w:eastAsia="zh-CN"/>
              </w:rPr>
              <w:t>安全</w:t>
            </w:r>
          </w:p>
          <w:p>
            <w:pPr>
              <w:widowControl w:val="0"/>
              <w:adjustRightInd w:val="0"/>
              <w:snapToGrid w:val="0"/>
              <w:spacing w:line="240" w:lineRule="exact"/>
              <w:jc w:val="both"/>
              <w:rPr>
                <w:rFonts w:ascii="宋体" w:eastAsia="宋体" w:hAnsi="宋体"/>
                <w:sz w:val="21"/>
                <w:lang w:eastAsia="zh-CN"/>
              </w:rPr>
            </w:pPr>
            <w:r>
              <w:rPr>
                <w:rFonts w:ascii="宋体" w:eastAsia="宋体" w:hAnsi="宋体" w:hint="eastAsia"/>
                <w:sz w:val="21"/>
                <w:lang w:eastAsia="zh-CN"/>
              </w:rPr>
              <w:t>监测</w:t>
            </w:r>
          </w:p>
          <w:p>
            <w:pPr>
              <w:widowControl w:val="0"/>
              <w:adjustRightInd w:val="0"/>
              <w:snapToGrid w:val="0"/>
              <w:spacing w:line="240" w:lineRule="exact"/>
              <w:jc w:val="both"/>
              <w:rPr>
                <w:rFonts w:ascii="宋体" w:eastAsia="宋体" w:hAnsi="宋体" w:hint="eastAsia"/>
                <w:color w:val="000000"/>
                <w:kern w:val="2"/>
                <w:sz w:val="21"/>
                <w:lang w:eastAsia="zh-CN"/>
              </w:rPr>
            </w:pPr>
            <w:r>
              <w:rPr>
                <w:rFonts w:ascii="宋体" w:eastAsia="宋体" w:hAnsi="宋体" w:hint="eastAsia"/>
                <w:sz w:val="21"/>
                <w:lang w:eastAsia="zh-CN"/>
              </w:rPr>
              <w:t>工具</w:t>
            </w:r>
          </w:p>
        </w:tc>
        <w:tc>
          <w:tcPr>
            <w:tcW w:w="759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sz w:val="21"/>
                <w:lang w:eastAsia="zh-CN"/>
              </w:rPr>
            </w:pPr>
            <w:r>
              <w:rPr>
                <w:rFonts w:ascii="宋体" w:eastAsia="宋体" w:hAnsi="宋体" w:hint="eastAsia"/>
                <w:sz w:val="21"/>
                <w:lang w:eastAsia="zh-CN"/>
              </w:rPr>
              <w:t>系统基于云化SaaS架构，无需消耗虚拟机资源或本地物理资源，通过云端平台完成站点管理和数据查阅。集成AI引擎，辅助判断漏洞真实性，对高可靠结果做加V标记，向用户推送精准监测结果。</w:t>
            </w: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672"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759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r>
              <w:rPr>
                <w:rFonts w:ascii="宋体" w:eastAsia="宋体" w:hAnsi="宋体" w:hint="eastAsia"/>
                <w:b/>
                <w:bCs/>
                <w:color w:val="EE0000"/>
                <w:sz w:val="21"/>
                <w:lang w:eastAsia="zh-CN"/>
              </w:rPr>
              <w:t>▲支持监测网站安全事件，最大扫描深度可达100层，可监测事件类型包括暗链、外链、坏链、黑页、JS挖矿脚本、网页挂马。（提供功能界面截图）</w:t>
            </w: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672"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759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sz w:val="21"/>
                <w:lang w:eastAsia="zh-CN"/>
              </w:rPr>
            </w:pPr>
            <w:r>
              <w:rPr>
                <w:rFonts w:ascii="宋体" w:eastAsia="宋体" w:hAnsi="宋体" w:hint="eastAsia"/>
                <w:b/>
                <w:bCs/>
                <w:color w:val="EE0000"/>
                <w:sz w:val="21"/>
                <w:lang w:eastAsia="zh-CN"/>
              </w:rPr>
              <w:t>▲支持提供Web漏洞扫描服务，支持发现SQL注入漏洞、跨站脚本漏洞、命令执行漏洞、敏感信息泄露漏洞、文件包含漏洞、反序列化漏洞等漏洞。（提供功能界面截图）</w:t>
            </w: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672"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759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sz w:val="21"/>
                <w:lang w:eastAsia="zh-CN"/>
              </w:rPr>
            </w:pPr>
            <w:r>
              <w:rPr>
                <w:rFonts w:ascii="宋体" w:eastAsia="宋体" w:hAnsi="宋体" w:hint="eastAsia"/>
                <w:sz w:val="21"/>
                <w:lang w:eastAsia="zh-CN"/>
              </w:rPr>
              <w:t>支持基于时间、风险等级、域名维度检索漏洞扫描结果，展示站点标题、URL详情、漏洞名称、漏洞等级、专家审核时间、取证POC、修复状态。</w:t>
            </w: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672"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759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sz w:val="21"/>
                <w:lang w:eastAsia="zh-CN"/>
              </w:rPr>
            </w:pPr>
            <w:r>
              <w:rPr>
                <w:rFonts w:ascii="宋体" w:eastAsia="宋体" w:hAnsi="宋体" w:hint="eastAsia"/>
                <w:b/>
                <w:bCs/>
                <w:color w:val="EE0000"/>
                <w:sz w:val="21"/>
                <w:lang w:eastAsia="zh-CN"/>
              </w:rPr>
              <w:t>▲支持记录站点断网信息，基于站点、地址、时间维度进行检索，展示站点名称、站点地址、断网时间、持续时长、站点当前状态、恢复时间，支持查看断网事件深层数据，包括使用的探测节点信息、请求状态码、请求连接时间、DNS解析时间、页面下载时间。（提供功能界面截图）</w:t>
            </w: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672"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759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r>
              <w:rPr>
                <w:rFonts w:ascii="宋体" w:eastAsia="宋体" w:hAnsi="宋体" w:hint="eastAsia"/>
                <w:b/>
                <w:bCs/>
                <w:color w:val="EE0000"/>
                <w:sz w:val="21"/>
                <w:lang w:eastAsia="zh-CN"/>
              </w:rPr>
              <w:t xml:space="preserve">▲为保障网站监测结果的隐私保障以及数据安全性，系统安全监测工具所在的云服务平台所涉及的数据处理活动应符合GB/ T 41479-2022《信息安全技术 </w:t>
            </w:r>
            <w:r>
              <w:rPr>
                <w:rFonts w:ascii="微软雅黑" w:eastAsia="微软雅黑" w:hAnsi="微软雅黑" w:cs="微软雅黑" w:hint="eastAsia"/>
                <w:b/>
                <w:bCs/>
                <w:color w:val="EE0000"/>
                <w:sz w:val="21"/>
                <w:lang w:eastAsia="zh-CN"/>
              </w:rPr>
              <w:t>⽹</w:t>
            </w:r>
            <w:r>
              <w:rPr>
                <w:rFonts w:ascii="宋体" w:eastAsia="宋体" w:hAnsi="宋体" w:hint="eastAsia"/>
                <w:b/>
                <w:bCs/>
                <w:color w:val="EE0000"/>
                <w:sz w:val="21"/>
                <w:lang w:eastAsia="zh-CN"/>
              </w:rPr>
              <w:t>络数据处理安全要求》，应具备中国网络安全审查技术与认证中心颁发的《数据安全管理认证证书》。（提供相关认证证书扫描件）</w:t>
            </w:r>
          </w:p>
        </w:tc>
      </w:tr>
      <w:tr>
        <w:tblPrEx>
          <w:tblW w:w="5000" w:type="pct"/>
          <w:tblInd w:w="-244" w:type="dxa"/>
          <w:tblLayout w:type="fixed"/>
          <w:tblCellMar>
            <w:top w:w="0" w:type="dxa"/>
            <w:left w:w="108" w:type="dxa"/>
            <w:bottom w:w="0" w:type="dxa"/>
            <w:right w:w="108" w:type="dxa"/>
          </w:tblCellMar>
        </w:tblPrEx>
        <w:trPr>
          <w:trHeight w:val="20"/>
        </w:trPr>
        <w:tc>
          <w:tcPr>
            <w:tcW w:w="324" w:type="dxa"/>
            <w:vMerge w:val="restart"/>
            <w:tcBorders>
              <w:top w:val="single" w:sz="4" w:space="0" w:color="auto"/>
              <w:left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hint="eastAsia"/>
                <w:color w:val="000000"/>
                <w:kern w:val="2"/>
                <w:sz w:val="21"/>
                <w:lang w:eastAsia="zh-CN"/>
              </w:rPr>
            </w:pPr>
            <w:r>
              <w:rPr>
                <w:rFonts w:ascii="宋体" w:eastAsia="宋体" w:hAnsi="宋体" w:hint="eastAsia"/>
                <w:color w:val="000000"/>
                <w:kern w:val="2"/>
                <w:sz w:val="21"/>
                <w:lang w:eastAsia="zh-CN"/>
              </w:rPr>
              <w:t>2</w:t>
            </w:r>
          </w:p>
        </w:tc>
        <w:tc>
          <w:tcPr>
            <w:tcW w:w="672" w:type="dxa"/>
            <w:vMerge w:val="restart"/>
            <w:tcBorders>
              <w:top w:val="single" w:sz="4" w:space="0" w:color="auto"/>
              <w:left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sz w:val="21"/>
                <w:lang w:eastAsia="zh-CN"/>
              </w:rPr>
            </w:pPr>
            <w:r>
              <w:rPr>
                <w:rFonts w:ascii="宋体" w:eastAsia="宋体" w:hAnsi="宋体" w:hint="eastAsia"/>
                <w:color w:val="000000"/>
                <w:sz w:val="21"/>
                <w:lang w:eastAsia="zh-CN"/>
              </w:rPr>
              <w:t>安全</w:t>
            </w:r>
          </w:p>
          <w:p>
            <w:pPr>
              <w:widowControl/>
              <w:adjustRightInd w:val="0"/>
              <w:snapToGrid w:val="0"/>
              <w:spacing w:line="240" w:lineRule="exact"/>
              <w:jc w:val="both"/>
              <w:rPr>
                <w:rFonts w:ascii="宋体" w:eastAsia="宋体" w:hAnsi="宋体"/>
                <w:color w:val="000000"/>
                <w:sz w:val="21"/>
                <w:lang w:eastAsia="zh-CN"/>
              </w:rPr>
            </w:pPr>
            <w:r>
              <w:rPr>
                <w:rFonts w:ascii="宋体" w:eastAsia="宋体" w:hAnsi="宋体" w:hint="eastAsia"/>
                <w:color w:val="000000"/>
                <w:sz w:val="21"/>
                <w:lang w:eastAsia="zh-CN"/>
              </w:rPr>
              <w:t>托管</w:t>
            </w:r>
          </w:p>
          <w:p>
            <w:pPr>
              <w:widowControl/>
              <w:adjustRightInd w:val="0"/>
              <w:snapToGrid w:val="0"/>
              <w:spacing w:line="240" w:lineRule="exact"/>
              <w:jc w:val="both"/>
              <w:rPr>
                <w:rFonts w:ascii="宋体" w:eastAsia="宋体" w:hAnsi="宋体"/>
                <w:color w:val="000000"/>
                <w:sz w:val="21"/>
                <w:lang w:eastAsia="zh-CN"/>
              </w:rPr>
            </w:pPr>
            <w:r>
              <w:rPr>
                <w:rFonts w:ascii="宋体" w:eastAsia="宋体" w:hAnsi="宋体" w:hint="eastAsia"/>
                <w:color w:val="000000"/>
                <w:sz w:val="21"/>
                <w:lang w:eastAsia="zh-CN"/>
              </w:rPr>
              <w:t>运营</w:t>
            </w:r>
          </w:p>
          <w:p>
            <w:pPr>
              <w:widowControl/>
              <w:adjustRightInd w:val="0"/>
              <w:snapToGrid w:val="0"/>
              <w:spacing w:line="240" w:lineRule="exact"/>
              <w:jc w:val="both"/>
              <w:rPr>
                <w:rFonts w:ascii="宋体" w:eastAsia="宋体" w:hAnsi="宋体"/>
                <w:color w:val="000000"/>
                <w:sz w:val="21"/>
                <w:lang w:eastAsia="zh-CN"/>
              </w:rPr>
            </w:pPr>
            <w:r>
              <w:rPr>
                <w:rFonts w:ascii="宋体" w:eastAsia="宋体" w:hAnsi="宋体" w:hint="eastAsia"/>
                <w:color w:val="000000"/>
                <w:sz w:val="21"/>
                <w:lang w:eastAsia="zh-CN"/>
              </w:rPr>
              <w:t>服务</w:t>
            </w:r>
          </w:p>
          <w:p>
            <w:pPr>
              <w:widowControl/>
              <w:adjustRightInd w:val="0"/>
              <w:snapToGrid w:val="0"/>
              <w:spacing w:line="240" w:lineRule="exact"/>
              <w:jc w:val="both"/>
              <w:rPr>
                <w:rFonts w:ascii="宋体" w:eastAsia="宋体" w:hAnsi="宋体"/>
                <w:color w:val="000000"/>
                <w:kern w:val="2"/>
                <w:sz w:val="21"/>
                <w:lang w:eastAsia="zh-CN"/>
              </w:rPr>
            </w:pPr>
            <w:r>
              <w:rPr>
                <w:rFonts w:ascii="宋体" w:eastAsia="宋体" w:hAnsi="宋体" w:hint="eastAsia"/>
                <w:color w:val="000000"/>
                <w:sz w:val="21"/>
                <w:lang w:eastAsia="zh-CN"/>
              </w:rPr>
              <w:t>工具</w:t>
            </w:r>
          </w:p>
        </w:tc>
        <w:tc>
          <w:tcPr>
            <w:tcW w:w="7596" w:type="dxa"/>
            <w:tcBorders>
              <w:top w:val="single" w:sz="4" w:space="0" w:color="auto"/>
              <w:left w:val="single" w:sz="4" w:space="0" w:color="auto"/>
              <w:bottom w:val="single" w:sz="4" w:space="0" w:color="auto"/>
              <w:right w:val="single" w:sz="4" w:space="0" w:color="auto"/>
            </w:tcBorders>
            <w:noWrap w:val="0"/>
            <w:vAlign w:val="center"/>
          </w:tcPr>
          <w:p>
            <w:pPr>
              <w:widowControl w:val="0"/>
              <w:snapToGrid w:val="0"/>
              <w:spacing w:line="240" w:lineRule="exact"/>
              <w:jc w:val="both"/>
              <w:rPr>
                <w:rFonts w:ascii="Calibri" w:eastAsia="宋体" w:hAnsi="Calibri" w:hint="eastAsia"/>
                <w:kern w:val="2"/>
                <w:sz w:val="21"/>
                <w:lang w:eastAsia="zh-CN"/>
              </w:rPr>
            </w:pPr>
            <w:r>
              <w:rPr>
                <w:rFonts w:ascii="宋体" w:eastAsia="宋体" w:hAnsi="宋体" w:hint="eastAsia"/>
                <w:b/>
                <w:bCs/>
                <w:color w:val="EE0000"/>
                <w:kern w:val="2"/>
                <w:sz w:val="21"/>
                <w:lang w:eastAsia="zh-CN"/>
              </w:rPr>
              <w:t>▲安全托管运营服务工具支持自定义配置安全规则，以满足日益复杂的安全趋势所带来的安全监测需求；支持完善的流程编排引擎，能够灵活编排、定义服务流程（提供功能界面截图）。</w:t>
            </w: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left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672" w:type="dxa"/>
            <w:vMerge/>
            <w:tcBorders>
              <w:left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759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r>
              <w:rPr>
                <w:rFonts w:ascii="宋体" w:eastAsia="宋体" w:hAnsi="宋体" w:hint="eastAsia"/>
                <w:b/>
                <w:bCs/>
                <w:color w:val="EE0000"/>
                <w:sz w:val="21"/>
                <w:lang w:eastAsia="zh-CN"/>
              </w:rPr>
              <w:t>▲安全托管运营服务</w:t>
            </w:r>
            <w:r>
              <w:rPr>
                <w:rFonts w:ascii="宋体" w:eastAsia="宋体" w:hAnsi="宋体" w:hint="eastAsia"/>
                <w:b/>
                <w:bCs/>
                <w:color w:val="EE0000"/>
                <w:kern w:val="2"/>
                <w:sz w:val="21"/>
                <w:lang w:eastAsia="zh-CN"/>
              </w:rPr>
              <w:t>工具</w:t>
            </w:r>
            <w:r>
              <w:rPr>
                <w:rFonts w:ascii="宋体" w:eastAsia="宋体" w:hAnsi="宋体" w:hint="eastAsia"/>
                <w:b/>
                <w:bCs/>
                <w:color w:val="EE0000"/>
                <w:sz w:val="21"/>
                <w:lang w:eastAsia="zh-CN"/>
              </w:rPr>
              <w:t>应具备GPT（安全大模型）服务</w:t>
            </w:r>
            <w:r>
              <w:rPr>
                <w:rFonts w:ascii="宋体" w:eastAsia="宋体" w:hAnsi="宋体" w:hint="eastAsia"/>
                <w:b/>
                <w:bCs/>
                <w:color w:val="EE0000"/>
                <w:kern w:val="2"/>
                <w:sz w:val="21"/>
                <w:lang w:eastAsia="zh-CN"/>
              </w:rPr>
              <w:t>能力</w:t>
            </w:r>
            <w:r>
              <w:rPr>
                <w:rFonts w:ascii="宋体" w:eastAsia="宋体" w:hAnsi="宋体" w:hint="eastAsia"/>
                <w:b/>
                <w:bCs/>
                <w:color w:val="EE0000"/>
                <w:sz w:val="21"/>
                <w:lang w:eastAsia="zh-CN"/>
              </w:rPr>
              <w:t>，支持集成在服务微信群、服务工作台，支持告警数据包研判、情报查询分析、Payload解码、事件研判定性、自动调用安全设备遏制（IP、域名封堵）、事件调查溯源、运营数据统计（支持在线统计、分析并下载数据）等。</w:t>
            </w:r>
            <w:r>
              <w:rPr>
                <w:rFonts w:ascii="宋体" w:eastAsia="宋体" w:hAnsi="宋体" w:hint="eastAsia"/>
                <w:b/>
                <w:bCs/>
                <w:color w:val="EE0000"/>
                <w:kern w:val="2"/>
                <w:sz w:val="21"/>
                <w:lang w:eastAsia="zh-CN"/>
              </w:rPr>
              <w:t>（提供功能界面截图）</w:t>
            </w: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left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672" w:type="dxa"/>
            <w:vMerge/>
            <w:tcBorders>
              <w:left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759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color w:val="000000"/>
                <w:sz w:val="21"/>
                <w:lang w:eastAsia="zh-CN"/>
              </w:rPr>
            </w:pPr>
            <w:r>
              <w:rPr>
                <w:rFonts w:ascii="宋体" w:eastAsia="宋体" w:hAnsi="宋体" w:hint="eastAsia"/>
                <w:color w:val="000000"/>
                <w:sz w:val="21"/>
                <w:lang w:eastAsia="zh-CN"/>
              </w:rPr>
              <w:t>安全托管运营服务工具提供移动端服务成果展示门户（移动端Portal），支持直观地管理服务过程中安全运营结果，以“资产、威胁、漏洞、事件四大抓手”为维度，呈现服务后业务实时的安全情况和运营结果。</w:t>
            </w: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left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b/>
                <w:bCs/>
                <w:color w:val="EE0000"/>
                <w:sz w:val="21"/>
                <w:lang w:eastAsia="zh-CN"/>
              </w:rPr>
            </w:pPr>
          </w:p>
        </w:tc>
        <w:tc>
          <w:tcPr>
            <w:tcW w:w="672" w:type="dxa"/>
            <w:vMerge/>
            <w:tcBorders>
              <w:left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b/>
                <w:bCs/>
                <w:color w:val="EE0000"/>
                <w:sz w:val="21"/>
                <w:lang w:eastAsia="zh-CN"/>
              </w:rPr>
            </w:pPr>
          </w:p>
        </w:tc>
        <w:tc>
          <w:tcPr>
            <w:tcW w:w="759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r>
              <w:rPr>
                <w:rFonts w:ascii="宋体" w:eastAsia="宋体" w:hAnsi="宋体" w:hint="eastAsia"/>
                <w:b/>
                <w:bCs/>
                <w:color w:val="EE0000"/>
                <w:sz w:val="21"/>
                <w:lang w:eastAsia="zh-CN"/>
              </w:rPr>
              <w:t>▲安全托管运营服务</w:t>
            </w:r>
            <w:r>
              <w:rPr>
                <w:rFonts w:ascii="宋体" w:eastAsia="宋体" w:hAnsi="宋体" w:hint="eastAsia"/>
                <w:b/>
                <w:bCs/>
                <w:color w:val="EE0000"/>
                <w:kern w:val="2"/>
                <w:sz w:val="21"/>
                <w:lang w:eastAsia="zh-CN"/>
              </w:rPr>
              <w:t>工具</w:t>
            </w:r>
            <w:r>
              <w:rPr>
                <w:rFonts w:ascii="宋体" w:eastAsia="宋体" w:hAnsi="宋体" w:hint="eastAsia"/>
                <w:b/>
                <w:bCs/>
                <w:color w:val="EE0000"/>
                <w:sz w:val="21"/>
                <w:lang w:eastAsia="zh-CN"/>
              </w:rPr>
              <w:t>应</w:t>
            </w:r>
            <w:r>
              <w:rPr>
                <w:rFonts w:ascii="宋体" w:eastAsia="宋体" w:hAnsi="宋体" w:hint="eastAsia"/>
                <w:b/>
                <w:bCs/>
                <w:color w:val="EE0000"/>
                <w:kern w:val="2"/>
                <w:sz w:val="21"/>
                <w:lang w:eastAsia="zh-CN"/>
              </w:rPr>
              <w:t>支持</w:t>
            </w:r>
            <w:r>
              <w:rPr>
                <w:rFonts w:ascii="宋体" w:eastAsia="宋体" w:hAnsi="宋体" w:hint="eastAsia"/>
                <w:b/>
                <w:bCs/>
                <w:color w:val="EE0000"/>
                <w:sz w:val="21"/>
                <w:lang w:eastAsia="zh-CN"/>
              </w:rPr>
              <w:t>不少于40种策略检查工具，支持排查安全设备防护策略配置的合理性。</w:t>
            </w:r>
            <w:r>
              <w:rPr>
                <w:rFonts w:ascii="宋体" w:eastAsia="宋体" w:hAnsi="宋体" w:hint="eastAsia"/>
                <w:b/>
                <w:bCs/>
                <w:color w:val="EE0000"/>
                <w:kern w:val="2"/>
                <w:sz w:val="21"/>
                <w:lang w:eastAsia="zh-CN"/>
              </w:rPr>
              <w:t>（提供功能界面截图）</w:t>
            </w: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left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b/>
                <w:bCs/>
                <w:color w:val="EE0000"/>
                <w:sz w:val="21"/>
                <w:lang w:eastAsia="zh-CN"/>
              </w:rPr>
            </w:pPr>
          </w:p>
        </w:tc>
        <w:tc>
          <w:tcPr>
            <w:tcW w:w="672" w:type="dxa"/>
            <w:vMerge/>
            <w:tcBorders>
              <w:left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b/>
                <w:bCs/>
                <w:color w:val="EE0000"/>
                <w:sz w:val="21"/>
                <w:lang w:eastAsia="zh-CN"/>
              </w:rPr>
            </w:pPr>
          </w:p>
        </w:tc>
        <w:tc>
          <w:tcPr>
            <w:tcW w:w="759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r>
              <w:rPr>
                <w:rFonts w:ascii="宋体" w:eastAsia="宋体" w:hAnsi="宋体" w:hint="eastAsia"/>
                <w:color w:val="000000"/>
                <w:kern w:val="2"/>
                <w:sz w:val="21"/>
                <w:lang w:eastAsia="zh-CN"/>
              </w:rPr>
              <w:t>安全托管运营服务工具提供移动端服务过程展示门户（移动端Portal），支持直观地查阅服务推送的各种安全事件/威胁的详细专家审核研判过程。</w:t>
            </w:r>
            <w:r>
              <w:rPr>
                <w:rFonts w:ascii="宋体" w:eastAsia="宋体" w:hAnsi="宋体" w:hint="eastAsia"/>
                <w:color w:val="000000"/>
                <w:sz w:val="21"/>
                <w:lang w:eastAsia="zh-CN"/>
              </w:rPr>
              <w:t>安全托管运营服务工具提供的服务监控门户（或用户portal）应具备服务质量可视化展示，至少包括威胁闭环率、威胁平均分析研判时效、威胁平均遏制时效、事件闭环率、事件平均闭环时效。</w:t>
            </w: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left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b/>
                <w:bCs/>
                <w:color w:val="EE0000"/>
                <w:sz w:val="21"/>
                <w:lang w:eastAsia="zh-CN"/>
              </w:rPr>
            </w:pPr>
          </w:p>
        </w:tc>
        <w:tc>
          <w:tcPr>
            <w:tcW w:w="672" w:type="dxa"/>
            <w:vMerge/>
            <w:tcBorders>
              <w:left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b/>
                <w:bCs/>
                <w:color w:val="EE0000"/>
                <w:sz w:val="21"/>
                <w:lang w:eastAsia="zh-CN"/>
              </w:rPr>
            </w:pPr>
          </w:p>
        </w:tc>
        <w:tc>
          <w:tcPr>
            <w:tcW w:w="7596" w:type="dxa"/>
            <w:tcBorders>
              <w:top w:val="single" w:sz="4" w:space="0" w:color="auto"/>
              <w:left w:val="single" w:sz="4" w:space="0" w:color="auto"/>
              <w:bottom w:val="single" w:sz="4" w:space="0" w:color="auto"/>
              <w:right w:val="single" w:sz="4" w:space="0" w:color="auto"/>
            </w:tcBorders>
            <w:noWrap w:val="0"/>
            <w:vAlign w:val="center"/>
          </w:tcPr>
          <w:p>
            <w:pPr>
              <w:widowControl w:val="0"/>
              <w:snapToGrid w:val="0"/>
              <w:spacing w:line="240" w:lineRule="exact"/>
              <w:jc w:val="both"/>
              <w:rPr>
                <w:rFonts w:ascii="宋体" w:eastAsia="宋体" w:hAnsi="宋体" w:hint="eastAsia"/>
                <w:b/>
                <w:bCs/>
                <w:color w:val="EE0000"/>
                <w:sz w:val="21"/>
                <w:lang w:eastAsia="zh-CN"/>
              </w:rPr>
            </w:pPr>
            <w:r>
              <w:rPr>
                <w:rFonts w:ascii="宋体" w:eastAsia="宋体" w:hAnsi="宋体" w:hint="eastAsia"/>
                <w:b/>
                <w:bCs/>
                <w:color w:val="FF0000"/>
                <w:sz w:val="21"/>
                <w:lang w:eastAsia="zh-CN"/>
              </w:rPr>
              <w:t>▲为了保障安全托管运营服务工具的安全性，该工具需入选中央网络安全和信息化委员会办公室、国家互联网信息办公室官方网站发布的《通过云计算服务安全评估的云平台》，提供入选证明材料。</w:t>
            </w:r>
          </w:p>
        </w:tc>
      </w:tr>
    </w:tbl>
    <w:p>
      <w:pPr>
        <w:widowControl w:val="0"/>
        <w:numPr>
          <w:ilvl w:val="0"/>
          <w:numId w:val="0"/>
        </w:numPr>
        <w:spacing w:line="360" w:lineRule="auto"/>
        <w:ind w:left="0" w:firstLine="0" w:leftChars="0"/>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六、商务要求</w:t>
      </w:r>
    </w:p>
    <w:p>
      <w:pPr>
        <w:widowControl w:val="0"/>
        <w:numPr>
          <w:ilvl w:val="0"/>
          <w:numId w:val="0"/>
        </w:numPr>
        <w:ind w:left="210" w:firstLine="0" w:leftChars="0"/>
        <w:jc w:val="both"/>
        <w:rPr>
          <w:rFonts w:ascii="宋体" w:eastAsia="宋体" w:hAnsi="宋体"/>
          <w:kern w:val="2"/>
          <w:sz w:val="21"/>
          <w:lang w:eastAsia="zh-CN"/>
        </w:rPr>
      </w:pPr>
      <w:r>
        <w:rPr>
          <w:rFonts w:ascii="宋体" w:eastAsia="宋体" w:hAnsi="宋体" w:hint="eastAsia"/>
          <w:kern w:val="2"/>
          <w:sz w:val="21"/>
          <w:lang w:eastAsia="zh-CN"/>
        </w:rPr>
        <w:t>（</w:t>
      </w:r>
      <w:r>
        <w:rPr>
          <w:rFonts w:ascii="宋体" w:eastAsia="宋体" w:hAnsi="宋体" w:hint="eastAsia"/>
          <w:kern w:val="2"/>
          <w:sz w:val="21"/>
          <w:lang w:eastAsia="zh-CN"/>
        </w:rPr>
        <w:t>一</w:t>
      </w:r>
      <w:r>
        <w:rPr>
          <w:rFonts w:ascii="宋体" w:eastAsia="宋体" w:hAnsi="宋体" w:hint="eastAsia"/>
          <w:kern w:val="2"/>
          <w:sz w:val="21"/>
          <w:lang w:eastAsia="zh-CN"/>
        </w:rPr>
        <w:t>）</w:t>
      </w:r>
      <w:r>
        <w:rPr>
          <w:rFonts w:ascii="宋体" w:eastAsia="宋体" w:hAnsi="宋体" w:hint="eastAsia"/>
          <w:kern w:val="2"/>
          <w:sz w:val="21"/>
          <w:lang w:eastAsia="zh-CN"/>
        </w:rPr>
        <w:t>★</w:t>
      </w:r>
      <w:r>
        <w:rPr>
          <w:rFonts w:ascii="宋体" w:eastAsia="宋体" w:hAnsi="宋体" w:hint="eastAsia"/>
          <w:b/>
          <w:kern w:val="2"/>
          <w:sz w:val="21"/>
          <w:lang w:eastAsia="zh-CN"/>
        </w:rPr>
        <w:t>服务时间：</w:t>
      </w:r>
      <w:r>
        <w:rPr>
          <w:rFonts w:ascii="宋体" w:eastAsia="宋体" w:hAnsi="宋体" w:hint="eastAsia"/>
          <w:b/>
          <w:kern w:val="2"/>
          <w:sz w:val="21"/>
          <w:lang w:eastAsia="zh-CN"/>
        </w:rPr>
        <w:t>2025年12月27日-2026年12月27日</w:t>
      </w:r>
      <w:r>
        <w:rPr>
          <w:rFonts w:ascii="宋体" w:eastAsia="宋体" w:hAnsi="宋体" w:hint="eastAsia"/>
          <w:kern w:val="2"/>
          <w:sz w:val="21"/>
          <w:lang w:eastAsia="zh-CN"/>
        </w:rPr>
        <w:t>。</w:t>
      </w:r>
      <w:r>
        <w:rPr>
          <w:rFonts w:ascii="宋体" w:eastAsia="宋体" w:hAnsi="宋体" w:hint="eastAsia"/>
          <w:kern w:val="2"/>
          <w:sz w:val="21"/>
          <w:lang w:eastAsia="zh-CN"/>
        </w:rPr>
        <w:t>该本项目为长期服务项目，合同期限可以延长，但最长不超过3年，具体期限由采购人根据中标人履约情况考核确定。合同每年签订一次，中标人履约情况经考核符合合同续期标准的，第二年和第三年可逐年签订续期合同。</w:t>
      </w:r>
    </w:p>
    <w:p>
      <w:pPr>
        <w:widowControl w:val="0"/>
        <w:numPr>
          <w:ilvl w:val="0"/>
          <w:numId w:val="0"/>
        </w:numPr>
        <w:ind w:left="210" w:firstLine="0" w:leftChars="0" w:firstLineChars="0"/>
        <w:jc w:val="both"/>
        <w:rPr>
          <w:rFonts w:ascii="宋体" w:eastAsia="宋体" w:hAnsi="宋体"/>
          <w:kern w:val="2"/>
          <w:sz w:val="21"/>
          <w:lang w:eastAsia="zh-CN"/>
        </w:rPr>
      </w:pPr>
      <w:r>
        <w:rPr>
          <w:rFonts w:ascii="宋体" w:eastAsia="宋体" w:hAnsi="宋体" w:hint="eastAsia"/>
          <w:b/>
          <w:kern w:val="2"/>
          <w:sz w:val="21"/>
          <w:lang w:eastAsia="zh-CN"/>
        </w:rPr>
        <w:t>（</w:t>
      </w:r>
      <w:r>
        <w:rPr>
          <w:rFonts w:ascii="宋体" w:eastAsia="宋体" w:hAnsi="宋体" w:hint="eastAsia"/>
          <w:b/>
          <w:kern w:val="2"/>
          <w:sz w:val="21"/>
          <w:lang w:eastAsia="zh-CN"/>
        </w:rPr>
        <w:t>二</w:t>
      </w:r>
      <w:r>
        <w:rPr>
          <w:rFonts w:ascii="宋体" w:eastAsia="宋体" w:hAnsi="宋体" w:hint="eastAsia"/>
          <w:b/>
          <w:kern w:val="2"/>
          <w:sz w:val="21"/>
          <w:lang w:eastAsia="zh-CN"/>
        </w:rPr>
        <w:t>）</w:t>
      </w:r>
      <w:r>
        <w:rPr>
          <w:rFonts w:ascii="宋体" w:eastAsia="宋体" w:hAnsi="宋体" w:hint="eastAsia"/>
          <w:b/>
          <w:kern w:val="2"/>
          <w:sz w:val="21"/>
          <w:lang w:eastAsia="zh-CN"/>
        </w:rPr>
        <w:t>服务地点：深圳市区域：</w:t>
      </w:r>
    </w:p>
    <w:p>
      <w:pPr>
        <w:widowControl w:val="0"/>
        <w:numPr>
          <w:ilvl w:val="0"/>
          <w:numId w:val="0"/>
        </w:numPr>
        <w:ind w:left="210" w:firstLine="0" w:leftChars="0" w:firstLineChars="0"/>
        <w:jc w:val="both"/>
        <w:rPr>
          <w:rFonts w:ascii="宋体" w:eastAsia="宋体" w:hAnsi="宋体" w:hint="eastAsia"/>
          <w:b/>
          <w:kern w:val="2"/>
          <w:sz w:val="21"/>
          <w:lang w:eastAsia="zh-CN"/>
        </w:rPr>
      </w:pPr>
      <w:r>
        <w:rPr>
          <w:rFonts w:ascii="宋体" w:eastAsia="宋体" w:hAnsi="宋体" w:hint="eastAsia"/>
          <w:kern w:val="2"/>
          <w:sz w:val="21"/>
          <w:lang w:eastAsia="zh-CN"/>
        </w:rPr>
        <w:t>（</w:t>
      </w:r>
      <w:r>
        <w:rPr>
          <w:rFonts w:ascii="宋体" w:eastAsia="宋体" w:hAnsi="宋体" w:hint="eastAsia"/>
          <w:kern w:val="2"/>
          <w:sz w:val="21"/>
          <w:lang w:eastAsia="zh-CN"/>
        </w:rPr>
        <w:t>三</w:t>
      </w:r>
      <w:r>
        <w:rPr>
          <w:rFonts w:ascii="宋体" w:eastAsia="宋体" w:hAnsi="宋体" w:hint="eastAsia"/>
          <w:kern w:val="2"/>
          <w:sz w:val="21"/>
          <w:lang w:eastAsia="zh-CN"/>
        </w:rPr>
        <w:t>）</w:t>
      </w:r>
      <w:r>
        <w:rPr>
          <w:rFonts w:ascii="宋体" w:eastAsia="宋体" w:hAnsi="宋体" w:hint="eastAsia"/>
          <w:kern w:val="2"/>
          <w:sz w:val="21"/>
          <w:lang w:eastAsia="zh-CN"/>
        </w:rPr>
        <w:t>★</w:t>
      </w:r>
      <w:r>
        <w:rPr>
          <w:rFonts w:ascii="宋体" w:eastAsia="宋体" w:hAnsi="宋体" w:hint="eastAsia"/>
          <w:b/>
          <w:kern w:val="2"/>
          <w:sz w:val="21"/>
          <w:lang w:eastAsia="zh-CN"/>
        </w:rPr>
        <w:t>报价要求：</w:t>
      </w:r>
    </w:p>
    <w:p>
      <w:pPr>
        <w:widowControl w:val="0"/>
        <w:ind w:firstLine="420" w:firstLineChars="200"/>
        <w:jc w:val="both"/>
        <w:rPr>
          <w:rFonts w:ascii="宋体" w:eastAsia="宋体" w:hAnsi="宋体" w:cs="宋体" w:hint="eastAsia"/>
          <w:sz w:val="21"/>
          <w:lang w:eastAsia="zh-CN"/>
        </w:rPr>
      </w:pPr>
      <w:r>
        <w:rPr>
          <w:rFonts w:ascii="宋体" w:eastAsia="宋体" w:hAnsi="宋体" w:cs="宋体" w:hint="eastAsia"/>
          <w:sz w:val="21"/>
          <w:lang w:eastAsia="zh-CN"/>
        </w:rPr>
        <w:t>（1）</w:t>
      </w:r>
      <w:r>
        <w:rPr>
          <w:rFonts w:ascii="宋体" w:eastAsia="宋体" w:hAnsi="宋体" w:hint="eastAsia"/>
          <w:bCs/>
          <w:kern w:val="2"/>
          <w:sz w:val="21"/>
          <w:lang w:eastAsia="zh-CN"/>
        </w:rPr>
        <w:t>本项目预算为</w:t>
      </w:r>
      <w:r>
        <w:rPr>
          <w:rFonts w:ascii="宋体" w:eastAsia="宋体" w:hAnsi="宋体" w:hint="eastAsia"/>
          <w:bCs/>
          <w:kern w:val="2"/>
          <w:sz w:val="21"/>
          <w:lang w:eastAsia="zh-CN"/>
        </w:rPr>
        <w:t>89万</w:t>
      </w:r>
      <w:r>
        <w:rPr>
          <w:rFonts w:ascii="宋体" w:eastAsia="宋体" w:hAnsi="宋体" w:cs="宋体" w:hint="eastAsia"/>
          <w:sz w:val="21"/>
          <w:lang w:eastAsia="zh-CN"/>
        </w:rPr>
        <w:t>。本项目服务费采用包干制，应包括服务成本、法定税费和企业的利润。由投标供应商根据采购文件所提供的资料自行测算投标报价；一经中标，报价作为中标供应商与采购人签定的合同金额，合同期限内不做调整；</w:t>
      </w:r>
    </w:p>
    <w:p>
      <w:pPr>
        <w:widowControl w:val="0"/>
        <w:ind w:firstLine="420" w:firstLineChars="200"/>
        <w:jc w:val="both"/>
        <w:rPr>
          <w:rFonts w:ascii="宋体" w:eastAsia="宋体" w:hAnsi="宋体" w:cs="宋体" w:hint="eastAsia"/>
          <w:sz w:val="21"/>
          <w:lang w:eastAsia="zh-CN"/>
        </w:rPr>
      </w:pPr>
      <w:r>
        <w:rPr>
          <w:rFonts w:ascii="宋体" w:eastAsia="宋体" w:hAnsi="宋体" w:cs="宋体" w:hint="eastAsia"/>
          <w:sz w:val="21"/>
          <w:lang w:eastAsia="zh-CN"/>
        </w:rPr>
        <w:t>（2）投标供应商应当根据本企业的成本进行合理报价，不得低价恶意竞争；</w:t>
      </w:r>
    </w:p>
    <w:p>
      <w:pPr>
        <w:widowControl w:val="0"/>
        <w:ind w:firstLine="420" w:firstLineChars="200"/>
        <w:jc w:val="both"/>
        <w:rPr>
          <w:rFonts w:ascii="宋体" w:eastAsia="宋体" w:hAnsi="宋体" w:cs="宋体" w:hint="eastAsia"/>
          <w:sz w:val="21"/>
          <w:lang w:eastAsia="zh-CN"/>
        </w:rPr>
      </w:pPr>
      <w:r>
        <w:rPr>
          <w:rFonts w:ascii="宋体" w:eastAsia="宋体" w:hAnsi="宋体" w:cs="宋体" w:hint="eastAsia"/>
          <w:sz w:val="21"/>
          <w:lang w:eastAsia="zh-CN"/>
        </w:rPr>
        <w:t>（3）投标供应商的报价不得超过项目预算金额；</w:t>
      </w:r>
    </w:p>
    <w:p>
      <w:pPr>
        <w:widowControl w:val="0"/>
        <w:ind w:firstLine="420" w:firstLineChars="200"/>
        <w:jc w:val="both"/>
        <w:rPr>
          <w:rFonts w:ascii="宋体" w:eastAsia="宋体" w:hAnsi="宋体" w:cs="宋体" w:hint="eastAsia"/>
          <w:sz w:val="21"/>
          <w:lang w:eastAsia="zh-CN"/>
        </w:rPr>
      </w:pPr>
      <w:r>
        <w:rPr>
          <w:rFonts w:ascii="宋体" w:eastAsia="宋体" w:hAnsi="宋体" w:cs="宋体" w:hint="eastAsia"/>
          <w:sz w:val="21"/>
          <w:lang w:eastAsia="zh-CN"/>
        </w:rPr>
        <w:t>（4）投标供应商的报价，必须按服务项目清单明细进行详细报价，且完全包含本项目采购范围和采购文件所列的各项内容中所述的全部，不得以任何理由变更或重复；</w:t>
      </w:r>
    </w:p>
    <w:p>
      <w:pPr>
        <w:widowControl w:val="0"/>
        <w:ind w:firstLine="420" w:firstLineChars="200"/>
        <w:jc w:val="both"/>
        <w:rPr>
          <w:rFonts w:ascii="宋体" w:eastAsia="宋体" w:hAnsi="宋体" w:cs="宋体" w:hint="eastAsia"/>
          <w:sz w:val="21"/>
          <w:lang w:eastAsia="zh-CN"/>
        </w:rPr>
      </w:pPr>
      <w:r>
        <w:rPr>
          <w:rFonts w:ascii="宋体" w:eastAsia="宋体" w:hAnsi="宋体" w:cs="宋体" w:hint="eastAsia"/>
          <w:sz w:val="21"/>
          <w:lang w:eastAsia="zh-CN"/>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widowControl w:val="0"/>
        <w:ind w:firstLine="420" w:firstLineChars="200"/>
        <w:jc w:val="both"/>
        <w:rPr>
          <w:rFonts w:ascii="宋体" w:eastAsia="宋体" w:hAnsi="宋体" w:cs="宋体" w:hint="eastAsia"/>
          <w:sz w:val="21"/>
          <w:lang w:eastAsia="zh-CN"/>
        </w:rPr>
      </w:pPr>
      <w:r>
        <w:rPr>
          <w:rFonts w:ascii="宋体" w:eastAsia="宋体" w:hAnsi="宋体" w:cs="宋体" w:hint="eastAsia"/>
          <w:sz w:val="21"/>
          <w:lang w:eastAsia="zh-CN"/>
        </w:rPr>
        <w:t>（6）投标供应商应先到项目地点踏勘以充分了解项目的位置、情况、道路及任何其它足以影响投标报价的情况，任何因忽视或误解项目情况而导致的索赔或服务期限延长申请将不获批准；</w:t>
      </w:r>
    </w:p>
    <w:p>
      <w:pPr>
        <w:widowControl w:val="0"/>
        <w:ind w:firstLine="420" w:firstLineChars="200"/>
        <w:jc w:val="left"/>
        <w:rPr>
          <w:rFonts w:ascii="宋体" w:eastAsia="宋体" w:hAnsi="宋体" w:cs="宋体" w:hint="eastAsia"/>
          <w:sz w:val="21"/>
          <w:lang w:eastAsia="zh-CN"/>
        </w:rPr>
      </w:pPr>
      <w:r>
        <w:rPr>
          <w:rFonts w:ascii="宋体" w:eastAsia="宋体" w:hAnsi="宋体" w:cs="宋体" w:hint="eastAsia"/>
          <w:sz w:val="21"/>
          <w:lang w:eastAsia="zh-CN"/>
        </w:rPr>
        <w:t>（7）投标供应商不得期望通过索赔等方式获取补偿，否则，可能遭到拒绝；</w:t>
      </w:r>
    </w:p>
    <w:p>
      <w:pPr>
        <w:widowControl w:val="0"/>
        <w:ind w:firstLine="420" w:firstLineChars="200"/>
        <w:jc w:val="both"/>
        <w:rPr>
          <w:rFonts w:ascii="宋体" w:eastAsia="宋体" w:hAnsi="宋体" w:cs="宋体" w:hint="eastAsia"/>
          <w:sz w:val="21"/>
          <w:lang w:eastAsia="zh-CN"/>
        </w:rPr>
      </w:pPr>
      <w:r>
        <w:rPr>
          <w:rFonts w:ascii="宋体" w:eastAsia="宋体" w:hAnsi="宋体" w:cs="宋体" w:hint="eastAsia"/>
          <w:sz w:val="21"/>
          <w:lang w:eastAsia="zh-CN"/>
        </w:rPr>
        <w:t>（8）各投标供应商在报价时，应充分考虑报价的风险。</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w:t>
      </w:r>
      <w:r>
        <w:rPr>
          <w:rFonts w:ascii="宋体" w:eastAsia="宋体" w:hAnsi="宋体" w:hint="eastAsia"/>
          <w:kern w:val="2"/>
          <w:sz w:val="21"/>
          <w:lang w:eastAsia="zh-CN"/>
        </w:rPr>
        <w:t>四</w:t>
      </w:r>
      <w:r>
        <w:rPr>
          <w:rFonts w:ascii="宋体" w:eastAsia="宋体" w:hAnsi="宋体" w:hint="eastAsia"/>
          <w:kern w:val="2"/>
          <w:sz w:val="21"/>
          <w:lang w:eastAsia="zh-CN"/>
        </w:rPr>
        <w:t>）</w:t>
      </w:r>
      <w:r>
        <w:rPr>
          <w:rFonts w:ascii="宋体" w:eastAsia="宋体" w:hAnsi="宋体" w:hint="eastAsia"/>
          <w:kern w:val="2"/>
          <w:sz w:val="21"/>
          <w:lang w:eastAsia="zh-CN"/>
        </w:rPr>
        <w:t>★</w:t>
      </w:r>
      <w:r>
        <w:rPr>
          <w:rFonts w:ascii="宋体" w:eastAsia="宋体" w:hAnsi="宋体" w:hint="eastAsia"/>
          <w:b/>
          <w:kern w:val="2"/>
          <w:sz w:val="21"/>
          <w:lang w:eastAsia="zh-CN"/>
        </w:rPr>
        <w:t>付款方式：</w:t>
      </w:r>
      <w:r>
        <w:rPr>
          <w:rFonts w:ascii="宋体" w:eastAsia="宋体" w:hAnsi="宋体" w:hint="eastAsia"/>
          <w:kern w:val="2"/>
          <w:sz w:val="21"/>
          <w:lang w:eastAsia="zh-CN"/>
        </w:rPr>
        <w:t xml:space="preserve"> </w:t>
      </w:r>
    </w:p>
    <w:p>
      <w:pPr>
        <w:widowControl w:val="0"/>
        <w:ind w:firstLine="420"/>
        <w:jc w:val="both"/>
        <w:rPr>
          <w:rFonts w:ascii="宋体" w:eastAsia="宋体" w:hAnsi="宋体" w:hint="eastAsia"/>
          <w:kern w:val="2"/>
          <w:sz w:val="21"/>
          <w:szCs w:val="20"/>
          <w:lang w:eastAsia="zh-CN"/>
        </w:rPr>
      </w:pPr>
      <w:r>
        <w:rPr>
          <w:rFonts w:ascii="宋体" w:eastAsia="宋体" w:hAnsi="宋体" w:hint="eastAsia"/>
          <w:kern w:val="2"/>
          <w:sz w:val="21"/>
          <w:szCs w:val="20"/>
          <w:lang w:eastAsia="zh-CN"/>
        </w:rPr>
        <w:t>首款：合同签订并收到合法发票后10个工作日内支付不超过中标金额的50%；尾款：本项目完成，经验收合格并收到合法发票后10个工作日内支付合同余款。</w:t>
      </w:r>
    </w:p>
    <w:p>
      <w:pPr>
        <w:widowControl w:val="0"/>
        <w:numPr>
          <w:ilvl w:val="0"/>
          <w:numId w:val="0"/>
        </w:numPr>
        <w:ind w:left="0" w:firstLine="0"/>
        <w:jc w:val="both"/>
        <w:rPr>
          <w:rFonts w:ascii="宋体" w:eastAsia="宋体" w:hAnsi="宋体"/>
          <w:kern w:val="2"/>
          <w:sz w:val="21"/>
          <w:lang w:eastAsia="zh-CN"/>
        </w:rPr>
      </w:pPr>
      <w:r>
        <w:rPr>
          <w:rFonts w:ascii="宋体" w:eastAsia="宋体" w:hAnsi="宋体" w:hint="eastAsia"/>
          <w:kern w:val="2"/>
          <w:sz w:val="21"/>
          <w:lang w:eastAsia="zh-CN"/>
        </w:rPr>
        <w:t>（</w:t>
      </w:r>
      <w:r>
        <w:rPr>
          <w:rFonts w:ascii="宋体" w:eastAsia="宋体" w:hAnsi="宋体" w:hint="eastAsia"/>
          <w:kern w:val="2"/>
          <w:sz w:val="21"/>
          <w:lang w:eastAsia="zh-CN"/>
        </w:rPr>
        <w:t>五</w:t>
      </w:r>
      <w:r>
        <w:rPr>
          <w:rFonts w:ascii="宋体" w:eastAsia="宋体" w:hAnsi="宋体" w:hint="eastAsia"/>
          <w:kern w:val="2"/>
          <w:sz w:val="21"/>
          <w:lang w:eastAsia="zh-CN"/>
        </w:rPr>
        <w:t>）</w:t>
      </w:r>
      <w:r>
        <w:rPr>
          <w:rFonts w:ascii="宋体" w:eastAsia="宋体" w:hAnsi="宋体" w:hint="eastAsia"/>
          <w:kern w:val="2"/>
          <w:sz w:val="21"/>
          <w:lang w:eastAsia="zh-CN"/>
        </w:rPr>
        <w:t>★</w:t>
      </w:r>
      <w:r>
        <w:rPr>
          <w:rFonts w:ascii="宋体" w:eastAsia="宋体" w:hAnsi="宋体" w:hint="eastAsia"/>
          <w:b/>
          <w:kern w:val="2"/>
          <w:sz w:val="21"/>
          <w:lang w:eastAsia="zh-CN"/>
        </w:rPr>
        <w:t>验收要求：</w:t>
      </w:r>
    </w:p>
    <w:p>
      <w:pPr>
        <w:widowControl w:val="0"/>
        <w:ind w:firstLine="420"/>
        <w:jc w:val="both"/>
        <w:rPr>
          <w:rFonts w:eastAsia="宋体" w:hint="eastAsia"/>
          <w:kern w:val="2"/>
          <w:sz w:val="21"/>
          <w:lang w:eastAsia="zh-CN"/>
        </w:rPr>
      </w:pPr>
      <w:r>
        <w:rPr>
          <w:rFonts w:eastAsia="宋体" w:hint="eastAsia"/>
          <w:kern w:val="2"/>
          <w:sz w:val="21"/>
          <w:lang w:eastAsia="zh-CN"/>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pPr>
        <w:widowControl w:val="0"/>
        <w:ind w:firstLine="420"/>
        <w:jc w:val="both"/>
        <w:rPr>
          <w:rFonts w:eastAsia="宋体" w:hint="eastAsia"/>
          <w:kern w:val="2"/>
          <w:sz w:val="21"/>
          <w:lang w:eastAsia="zh-CN"/>
        </w:rPr>
      </w:pPr>
      <w:r>
        <w:rPr>
          <w:rFonts w:eastAsia="宋体" w:hint="eastAsia"/>
          <w:kern w:val="2"/>
          <w:sz w:val="21"/>
          <w:lang w:eastAsia="zh-CN"/>
        </w:rPr>
        <w:t>投标人承诺无条件接受采购人有权聘请第三方检测机构协助采购人进行本项目履约检查，检查结果将作为项目阶段性验收或总验收以及采购人付款的重要依据</w:t>
      </w:r>
    </w:p>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w:t>
      </w:r>
      <w:r>
        <w:rPr>
          <w:rFonts w:ascii="宋体" w:eastAsia="宋体" w:hAnsi="宋体" w:hint="eastAsia"/>
          <w:kern w:val="2"/>
          <w:sz w:val="21"/>
          <w:lang w:eastAsia="zh-CN"/>
        </w:rPr>
        <w:t>六</w:t>
      </w:r>
      <w:r>
        <w:rPr>
          <w:rFonts w:ascii="宋体" w:eastAsia="宋体" w:hAnsi="宋体" w:hint="eastAsia"/>
          <w:kern w:val="2"/>
          <w:sz w:val="21"/>
          <w:lang w:eastAsia="zh-CN"/>
        </w:rPr>
        <w:t>）</w:t>
      </w:r>
      <w:r>
        <w:rPr>
          <w:rFonts w:ascii="宋体" w:eastAsia="宋体" w:hAnsi="宋体" w:hint="eastAsia"/>
          <w:kern w:val="2"/>
          <w:sz w:val="21"/>
          <w:lang w:eastAsia="zh-CN"/>
        </w:rPr>
        <w:t>★</w:t>
      </w:r>
      <w:r>
        <w:rPr>
          <w:rFonts w:ascii="宋体" w:eastAsia="宋体" w:hAnsi="宋体" w:hint="eastAsia"/>
          <w:b/>
          <w:kern w:val="2"/>
          <w:sz w:val="21"/>
          <w:lang w:eastAsia="zh-CN"/>
        </w:rPr>
        <w:t>考核与处罚：</w:t>
      </w:r>
    </w:p>
    <w:p>
      <w:pPr>
        <w:widowControl w:val="0"/>
        <w:ind w:firstLine="420" w:firstLineChars="200"/>
        <w:jc w:val="both"/>
        <w:rPr>
          <w:rFonts w:eastAsia="宋体"/>
          <w:kern w:val="2"/>
          <w:sz w:val="21"/>
          <w:lang w:eastAsia="zh-CN"/>
        </w:rPr>
      </w:pPr>
      <w:r>
        <w:rPr>
          <w:rFonts w:eastAsia="宋体" w:hint="eastAsia"/>
          <w:kern w:val="2"/>
          <w:sz w:val="21"/>
          <w:lang w:eastAsia="zh-CN"/>
        </w:rPr>
        <w:t>1.投标人中标签订合同后应按照本项目招标文件和合同约定的要求提供各项服务，因乙方不具备履行服务能力或者不服从甲方管理规定或乙方违约等情况，甲方有权单方解除合同、终止与乙方的服务合作，乙方应无条件退还已支付的全部合同款项，甲方有权不支付余下的款项。因乙方原因造成甲方经济损失及不良社会影响的，乙方按照造成直接和间接经济损失进行全部赔偿，由此造成违法犯罪的，乙方承担相应的民事责任或刑事责任。</w:t>
      </w:r>
    </w:p>
    <w:p>
      <w:pPr>
        <w:widowControl w:val="0"/>
        <w:ind w:firstLine="420" w:firstLineChars="200"/>
        <w:jc w:val="both"/>
        <w:rPr>
          <w:rFonts w:ascii="宋体" w:eastAsia="宋体" w:hAnsi="宋体" w:cs="宋体" w:hint="eastAsia"/>
          <w:sz w:val="21"/>
          <w:lang w:eastAsia="zh-CN"/>
        </w:rPr>
      </w:pPr>
      <w:r>
        <w:rPr>
          <w:rFonts w:ascii="宋体" w:eastAsia="宋体" w:hAnsi="宋体" w:cs="宋体" w:hint="eastAsia"/>
          <w:sz w:val="21"/>
          <w:lang w:eastAsia="zh-CN"/>
        </w:rPr>
        <w:t>2.乙方有责任按时按质按量完成本合同约定的开发工作并按时向甲方交付成果，如因乙方自身原因，未能按时按质按量交付，则每延期一天，乙方应按本项目总费用的3‰向甲方支付违约金并赔偿损失。若乙方逾期超过10天的，甲方有权单方解除本合同。如确因甲方需求原因或接口不及时等原因导致乙方不能，并能提供相应的证据，则不承担违约责任。</w:t>
      </w:r>
    </w:p>
    <w:p>
      <w:pPr>
        <w:widowControl w:val="0"/>
        <w:ind w:firstLine="420" w:firstLineChars="200"/>
        <w:jc w:val="both"/>
        <w:rPr>
          <w:rFonts w:ascii="宋体" w:eastAsia="宋体" w:hAnsi="宋体" w:cs="宋体" w:hint="eastAsia"/>
          <w:sz w:val="21"/>
          <w:lang w:eastAsia="zh-CN"/>
        </w:rPr>
      </w:pPr>
      <w:r>
        <w:rPr>
          <w:rFonts w:ascii="宋体" w:eastAsia="宋体" w:hAnsi="宋体" w:cs="宋体" w:hint="eastAsia"/>
          <w:sz w:val="21"/>
          <w:lang w:eastAsia="zh-CN"/>
        </w:rPr>
        <w:t>3.乙方不得直接或变相地将本项目分包、转包给任何第三方，否则甲方有权单方解除本合同。</w:t>
      </w:r>
    </w:p>
    <w:p>
      <w:pPr>
        <w:widowControl w:val="0"/>
        <w:ind w:firstLine="420" w:firstLineChars="200"/>
        <w:jc w:val="both"/>
        <w:rPr>
          <w:rFonts w:ascii="宋体" w:eastAsia="宋体" w:hAnsi="宋体" w:cs="宋体" w:hint="eastAsia"/>
          <w:sz w:val="21"/>
          <w:lang w:eastAsia="zh-CN"/>
        </w:rPr>
      </w:pPr>
      <w:r>
        <w:rPr>
          <w:rFonts w:ascii="宋体" w:eastAsia="宋体" w:hAnsi="宋体" w:cs="宋体" w:hint="eastAsia"/>
          <w:sz w:val="21"/>
          <w:lang w:eastAsia="zh-CN"/>
        </w:rPr>
        <w:t>4.合同签订后，若乙方单方解除本合同，或因乙方违约导致甲方解除本合同的，乙方应退还甲方已付的全部合同价款，并按本合同总价款的20%支付甲方违约金并赔偿损失。</w:t>
      </w:r>
    </w:p>
    <w:p>
      <w:pPr>
        <w:widowControl w:val="0"/>
        <w:ind w:firstLine="420" w:firstLineChars="200"/>
        <w:jc w:val="both"/>
        <w:rPr>
          <w:rFonts w:ascii="宋体" w:eastAsia="宋体" w:hAnsi="宋体" w:cs="宋体" w:hint="eastAsia"/>
          <w:sz w:val="21"/>
          <w:lang w:eastAsia="zh-CN"/>
        </w:rPr>
      </w:pPr>
      <w:r>
        <w:rPr>
          <w:rFonts w:ascii="宋体" w:eastAsia="宋体" w:hAnsi="宋体" w:cs="宋体" w:hint="eastAsia"/>
          <w:sz w:val="21"/>
          <w:lang w:eastAsia="zh-CN"/>
        </w:rPr>
        <w:t>5.乙方所交付的系统功能、性能、服务等不符合合同规定的，甲方有权拒收。甲方拒收的，乙方应向甲方支付合同总价款5%的违约金。</w:t>
      </w:r>
    </w:p>
    <w:p>
      <w:pPr>
        <w:widowControl w:val="0"/>
        <w:ind w:firstLine="420" w:firstLineChars="200"/>
        <w:jc w:val="both"/>
        <w:rPr>
          <w:rFonts w:ascii="宋体" w:eastAsia="宋体" w:hAnsi="宋体" w:cs="宋体" w:hint="eastAsia"/>
          <w:sz w:val="21"/>
          <w:lang w:eastAsia="zh-CN"/>
        </w:rPr>
      </w:pPr>
      <w:r>
        <w:rPr>
          <w:rFonts w:ascii="宋体" w:eastAsia="宋体" w:hAnsi="宋体" w:cs="宋体" w:hint="eastAsia"/>
          <w:sz w:val="21"/>
          <w:lang w:eastAsia="zh-CN"/>
        </w:rPr>
        <w:t>6.偿甲方损失。若乙方逾期完成安装调试超过10天的，甲方有权单方解除本合同。</w:t>
      </w:r>
    </w:p>
    <w:p>
      <w:pPr>
        <w:widowControl w:val="0"/>
        <w:ind w:firstLine="420" w:firstLineChars="200"/>
        <w:jc w:val="both"/>
        <w:rPr>
          <w:rFonts w:ascii="宋体" w:eastAsia="宋体" w:hAnsi="宋体" w:cs="宋体" w:hint="eastAsia"/>
          <w:sz w:val="21"/>
          <w:lang w:eastAsia="zh-CN"/>
        </w:rPr>
      </w:pPr>
      <w:r>
        <w:rPr>
          <w:rFonts w:ascii="宋体" w:eastAsia="宋体" w:hAnsi="宋体" w:cs="宋体" w:hint="eastAsia"/>
          <w:sz w:val="21"/>
          <w:lang w:eastAsia="zh-CN"/>
        </w:rPr>
        <w:t>7.任何一方违反本合同规定的保密义务，违约方应当向守约方支付合同总价款1</w:t>
      </w:r>
      <w:r>
        <w:rPr>
          <w:rFonts w:ascii="宋体" w:eastAsia="宋体" w:hAnsi="宋体" w:cs="宋体"/>
          <w:sz w:val="21"/>
          <w:lang w:eastAsia="zh-CN"/>
        </w:rPr>
        <w:t>0</w:t>
      </w:r>
      <w:r>
        <w:rPr>
          <w:rFonts w:ascii="宋体" w:eastAsia="宋体" w:hAnsi="宋体" w:cs="宋体" w:hint="eastAsia"/>
          <w:sz w:val="21"/>
          <w:lang w:eastAsia="zh-CN"/>
        </w:rPr>
        <w:t>%的违约金并赔偿守约方的经济损失。</w:t>
      </w:r>
    </w:p>
    <w:p>
      <w:pPr>
        <w:widowControl w:val="0"/>
        <w:jc w:val="both"/>
        <w:rPr>
          <w:rFonts w:ascii="宋体" w:eastAsia="宋体" w:hAnsi="宋体" w:hint="eastAsia"/>
          <w:b/>
          <w:kern w:val="2"/>
          <w:sz w:val="21"/>
          <w:lang w:eastAsia="zh-CN"/>
        </w:rPr>
      </w:pPr>
      <w:r>
        <w:rPr>
          <w:rFonts w:ascii="宋体" w:eastAsia="宋体" w:hAnsi="宋体" w:hint="eastAsia"/>
          <w:b/>
          <w:bCs/>
          <w:kern w:val="2"/>
          <w:sz w:val="21"/>
          <w:lang w:eastAsia="zh-CN"/>
        </w:rPr>
        <w:t>（</w:t>
      </w:r>
      <w:r>
        <w:rPr>
          <w:rFonts w:ascii="宋体" w:eastAsia="宋体" w:hAnsi="宋体" w:hint="eastAsia"/>
          <w:b/>
          <w:bCs/>
          <w:kern w:val="2"/>
          <w:sz w:val="21"/>
          <w:lang w:eastAsia="zh-CN"/>
        </w:rPr>
        <w:t>七</w:t>
      </w:r>
      <w:r>
        <w:rPr>
          <w:rFonts w:ascii="宋体" w:eastAsia="宋体" w:hAnsi="宋体" w:hint="eastAsia"/>
          <w:b/>
          <w:bCs/>
          <w:kern w:val="2"/>
          <w:sz w:val="21"/>
          <w:lang w:eastAsia="zh-CN"/>
        </w:rPr>
        <w:t>）</w:t>
      </w:r>
      <w:r>
        <w:rPr>
          <w:rFonts w:ascii="宋体" w:eastAsia="宋体" w:hAnsi="宋体" w:hint="eastAsia"/>
          <w:b/>
          <w:bCs/>
          <w:kern w:val="2"/>
          <w:sz w:val="21"/>
          <w:lang w:eastAsia="zh-CN"/>
        </w:rPr>
        <w:t>团队要求</w:t>
      </w:r>
      <w:r>
        <w:rPr>
          <w:rFonts w:ascii="宋体" w:eastAsia="宋体" w:hAnsi="宋体" w:hint="eastAsia"/>
          <w:b/>
          <w:kern w:val="2"/>
          <w:sz w:val="21"/>
          <w:lang w:eastAsia="zh-CN"/>
        </w:rPr>
        <w:t>：</w:t>
      </w:r>
    </w:p>
    <w:p>
      <w:pPr>
        <w:widowControl w:val="0"/>
        <w:jc w:val="both"/>
        <w:rPr>
          <w:rFonts w:ascii="宋体" w:eastAsia="宋体" w:hAnsi="宋体" w:hint="eastAsia"/>
          <w:kern w:val="2"/>
          <w:sz w:val="21"/>
          <w:lang w:eastAsia="zh-CN"/>
        </w:rPr>
      </w:pPr>
      <w:r>
        <w:rPr>
          <w:rFonts w:ascii="宋体" w:eastAsia="宋体" w:hAnsi="宋体" w:cs="宋体" w:hint="eastAsia"/>
          <w:sz w:val="21"/>
          <w:lang w:eastAsia="zh-CN"/>
        </w:rPr>
        <w:t>中标人应指派固定的团队为本项目提供专业服务，服务团队成员（含项目负责人）≥6人。如须调整服务团队成员，须书面向采购人提出申请，说明申请理由，经采购人书面同意方可调整团队人员，调入人员的资历和从业经验不低于调出人员，否则视为违约行为，采购人有权终止服务合同。</w:t>
      </w:r>
    </w:p>
    <w:p>
      <w:pPr>
        <w:widowControl w:val="0"/>
        <w:ind w:firstLine="480" w:firstLineChars="200"/>
        <w:jc w:val="both"/>
        <w:rPr>
          <w:rFonts w:ascii="宋体" w:eastAsia="宋体" w:hAnsi="宋体" w:hint="eastAsia"/>
          <w:b/>
          <w:bCs/>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bookmarkStart w:id="35" w:name="_Hlk72167863"/>
      <w:r>
        <w:rPr>
          <w:rFonts w:ascii="宋体" w:eastAsia="宋体" w:hAnsi="宋体" w:hint="eastAsia"/>
          <w:b/>
          <w:bCs/>
          <w:lang w:eastAsia="zh-CN"/>
        </w:rPr>
        <w:t>七、</w:t>
      </w:r>
      <w:bookmarkEnd w:id="35"/>
      <w:r>
        <w:rPr>
          <w:rFonts w:ascii="宋体" w:eastAsia="宋体" w:hAnsi="宋体" w:hint="eastAsia"/>
          <w:b/>
          <w:bCs/>
          <w:lang w:eastAsia="zh-CN"/>
        </w:rPr>
        <w:t>其他重要条款</w:t>
      </w:r>
    </w:p>
    <w:p>
      <w:pPr>
        <w:widowControl w:val="0"/>
        <w:ind w:firstLine="420" w:firstLineChars="200"/>
        <w:jc w:val="both"/>
        <w:rPr>
          <w:rFonts w:eastAsia="宋体"/>
          <w:bCs/>
          <w:kern w:val="2"/>
          <w:sz w:val="21"/>
          <w:szCs w:val="21"/>
          <w:lang w:eastAsia="zh-CN"/>
        </w:rPr>
      </w:pPr>
      <w:bookmarkStart w:id="36" w:name="_Hlk72257111"/>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hint="eastAsia"/>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、投标人应充分了解项目的位置、情况、道路及任何其他足以影响投标报价的情况，任何因忽视或误解项目情况而导致的索赔或服务期限延长申请将不获批准。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ascii="宋体" w:eastAsia="宋体" w:hAnsi="宋体" w:hint="eastAsia"/>
          <w:b/>
          <w:bCs/>
          <w:kern w:val="2"/>
          <w:szCs w:val="20"/>
          <w:lang w:eastAsia="zh-CN"/>
        </w:rPr>
      </w:pPr>
      <w:r>
        <w:rPr>
          <w:rFonts w:eastAsia="宋体"/>
          <w:bCs/>
          <w:kern w:val="2"/>
          <w:sz w:val="21"/>
          <w:szCs w:val="21"/>
          <w:lang w:eastAsia="zh-CN"/>
        </w:rPr>
        <w:t>5</w:t>
      </w:r>
      <w:r>
        <w:rPr>
          <w:rFonts w:eastAsia="宋体" w:hint="eastAsia"/>
          <w:bCs/>
          <w:kern w:val="2"/>
          <w:sz w:val="21"/>
          <w:szCs w:val="21"/>
          <w:lang w:eastAsia="zh-CN"/>
        </w:rPr>
        <w:t>、除采购合同继续履行将损害国家利益和社会公共利益外，双方当事人不得擅自变更、中止或者终止合同。</w:t>
      </w:r>
      <w:bookmarkEnd w:id="36"/>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 投标文件组成要求及格式</w:t>
      </w:r>
    </w:p>
    <w:p>
      <w:pPr>
        <w:widowControl/>
        <w:jc w:val="left"/>
        <w:rPr>
          <w:rFonts w:ascii="宋体" w:eastAsia="宋体" w:hAnsi="宋体" w:hint="eastAsia"/>
          <w:kern w:val="2"/>
          <w:lang w:eastAsia="zh-CN"/>
        </w:rPr>
      </w:pPr>
    </w:p>
    <w:p>
      <w:pPr>
        <w:widowControl w:val="0"/>
        <w:jc w:val="both"/>
        <w:rPr>
          <w:rFonts w:ascii="宋体" w:eastAsia="宋体" w:hAnsi="宋体" w:hint="eastAsia"/>
          <w:b/>
          <w:bCs/>
          <w:kern w:val="2"/>
          <w:lang w:eastAsia="zh-CN"/>
        </w:rPr>
      </w:pPr>
      <w:r>
        <w:rPr>
          <w:rFonts w:ascii="宋体" w:eastAsia="宋体" w:hAnsi="宋体" w:hint="eastAsia"/>
          <w:b/>
          <w:bCs/>
          <w:kern w:val="2"/>
          <w:lang w:eastAsia="zh-CN"/>
        </w:rPr>
        <w:t>投标文件组成主要包括以下内容：</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w:t>
      </w:r>
      <w:bookmarkStart w:id="37" w:name="_Hlk72070784"/>
      <w:r>
        <w:rPr>
          <w:rFonts w:eastAsia="宋体" w:hint="eastAsia"/>
          <w:kern w:val="2"/>
          <w:sz w:val="21"/>
          <w:szCs w:val="21"/>
          <w:lang w:eastAsia="zh-CN"/>
        </w:rPr>
        <w:t>投标函</w:t>
      </w:r>
      <w:bookmarkEnd w:id="37"/>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（2）采购投标及履约承诺函</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firstLine="420" w:firstLineChars="200"/>
        <w:jc w:val="both"/>
        <w:rPr>
          <w:rFonts w:eastAsia="宋体"/>
          <w:kern w:val="2"/>
          <w:sz w:val="21"/>
          <w:szCs w:val="21"/>
          <w:lang w:eastAsia="zh-CN"/>
        </w:rPr>
      </w:pPr>
      <w:bookmarkStart w:id="38"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）项目详细报价</w:t>
      </w:r>
      <w:bookmarkEnd w:id="38"/>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（5）法定代表人（负责人）证明书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（6）投标文件签署授权委托书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（7）实质性条款响应情况表</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（8）实施方案（格式自定）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（9）项目重点难点分析、应对措施及相关的合理化建议（格式自定）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（10）质量（完成时间、安全、环保）保障措施及方案（格式自定）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（11）项目完成（服务期满）后的服务承诺（格式自定）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（12）违约承诺（格式自定）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（13）拟安排的项目负责人情况（仅限一人）（格式自定）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（14）拟安排的项目主要团队成员（主要技术人员）情况（项目负责人除外）（格式自定）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（15）技术要求偏离情况</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（16）供应商认证情况（格式自定）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（17）供应商同类项目业绩情况（格式自定）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（18）供应商获奖情况（格式自定）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（19）供应商自主知识产权产品（创新、设计）情况（格式自定）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（20）投标人认为需要加以说明的其他内容（格式自定）</w:t>
      </w:r>
    </w:p>
    <w:p>
      <w:pPr>
        <w:widowControl w:val="0"/>
        <w:jc w:val="both"/>
        <w:rPr>
          <w:rFonts w:ascii="仿宋_GB2312" w:eastAsia="仿宋_GB2312"/>
          <w:kern w:val="2"/>
          <w:lang w:eastAsia="zh-CN"/>
        </w:rPr>
      </w:pP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1.本项目为网上电子投标项目，投标文件不需法人或授权委托人另行签字，无需加盖单位公章，招标文件专用条款另有规定的除外。</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spacing w:line="360" w:lineRule="auto"/>
        <w:jc w:val="both"/>
        <w:rPr>
          <w:rFonts w:eastAsia="宋体"/>
          <w:b/>
          <w:bCs/>
          <w:kern w:val="2"/>
          <w:lang w:eastAsia="zh-CN"/>
        </w:rPr>
      </w:pPr>
      <w:r>
        <w:rPr>
          <w:rFonts w:eastAsia="宋体" w:hint="eastAsia"/>
          <w:b/>
          <w:bCs/>
          <w:kern w:val="2"/>
          <w:lang w:eastAsia="zh-CN"/>
        </w:rPr>
        <w:br w:type="page"/>
      </w: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hint="eastAsia"/>
          <w:color w:val="000000"/>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w:t>
      </w:r>
      <w:r>
        <w:rPr>
          <w:rFonts w:ascii="宋体" w:eastAsia="宋体" w:hAnsi="宋体" w:hint="eastAsia"/>
          <w:color w:val="000000"/>
          <w:kern w:val="2"/>
          <w:sz w:val="21"/>
          <w:szCs w:val="21"/>
          <w:u w:val="single"/>
          <w:lang w:eastAsia="zh-CN"/>
        </w:rPr>
        <w:t xml:space="preserve"> 深圳公共资源交易中心  </w:t>
      </w:r>
    </w:p>
    <w:p>
      <w:pPr>
        <w:widowControl w:val="0"/>
        <w:ind w:firstLine="420" w:firstLineChars="200"/>
        <w:jc w:val="both"/>
        <w:rPr>
          <w:rFonts w:ascii="宋体" w:eastAsia="宋体" w:hAnsi="宋体" w:hint="eastAsia"/>
          <w:kern w:val="2"/>
          <w:sz w:val="21"/>
          <w:szCs w:val="21"/>
          <w:lang w:eastAsia="zh-CN"/>
        </w:rPr>
      </w:pPr>
      <w:bookmarkStart w:id="39" w:name="_Hlk73818812"/>
      <w:r>
        <w:rPr>
          <w:rFonts w:eastAsia="宋体" w:hint="eastAsia"/>
          <w:kern w:val="2"/>
          <w:sz w:val="21"/>
          <w:szCs w:val="21"/>
          <w:lang w:eastAsia="zh-CN"/>
        </w:rPr>
        <w:t>1、根据已收到贵单位的项目编号为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0" w:name="_Hlk72263588"/>
      <w:r>
        <w:rPr>
          <w:rFonts w:eastAsia="宋体" w:hint="eastAsia"/>
          <w:kern w:val="2"/>
          <w:sz w:val="21"/>
          <w:szCs w:val="21"/>
          <w:lang w:eastAsia="zh-CN"/>
        </w:rPr>
        <w:t>愿意按照招标文件要求承包上述项目并修补其任何缺陷。</w:t>
      </w:r>
      <w:bookmarkEnd w:id="40"/>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3、如果我单位中标，我单位将按照招标文件的要求提交履约担保。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left="585" w:hanging="105" w:leftChars="200" w:hangingChars="5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6、我单位理解贵单位将不受必须接受所收到的最低报价或其他任何投标文件的约束。</w:t>
      </w:r>
      <w:bookmarkEnd w:id="39"/>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7、如我单位按项目要求提供样品，且未在规定时间内取回样品的，视同放弃取回，同意深圳公共资源交易中心对样品进行清理。</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投标人：</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单位地址：</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法定代表人（负责人）或其委托代理人：</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邮政编码：</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电话：</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邮箱：</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开户银行账号：</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开户银行电话：</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firstLine="540" w:firstLineChars="257"/>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hint="eastAsia"/>
          <w:kern w:val="2"/>
          <w:sz w:val="21"/>
          <w:lang w:eastAsia="zh-CN"/>
        </w:rPr>
      </w:pPr>
    </w:p>
    <w:p>
      <w:pPr>
        <w:widowControl w:val="0"/>
        <w:jc w:val="both"/>
        <w:rPr>
          <w:rFonts w:ascii="黑体" w:eastAsia="黑体" w:hAnsi="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hint="eastAsia"/>
          <w:kern w:val="2"/>
          <w:lang w:eastAsia="zh-CN"/>
        </w:rPr>
      </w:pPr>
    </w:p>
    <w:p>
      <w:pPr>
        <w:widowControl w:val="0"/>
        <w:jc w:val="both"/>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致：</w:t>
      </w:r>
      <w:r>
        <w:rPr>
          <w:rFonts w:ascii="宋体" w:eastAsia="宋体" w:hAnsi="宋体" w:hint="eastAsia"/>
          <w:color w:val="000000"/>
          <w:kern w:val="2"/>
          <w:sz w:val="21"/>
          <w:szCs w:val="21"/>
          <w:u w:val="single"/>
          <w:lang w:eastAsia="zh-CN"/>
        </w:rPr>
        <w:t>深圳公共资源交易中心</w:t>
      </w:r>
    </w:p>
    <w:p>
      <w:pPr>
        <w:widowControl w:val="0"/>
        <w:ind w:right="-815"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1.我单位参与本项目</w:t>
      </w:r>
      <w:r>
        <w:rPr>
          <w:rFonts w:ascii="宋体" w:eastAsia="宋体" w:hAnsi="宋体" w:hint="eastAsia"/>
          <w:kern w:val="2"/>
          <w:sz w:val="21"/>
          <w:lang w:eastAsia="zh-CN"/>
        </w:rPr>
        <w:t>所投标（响应）的货物、工程或服务，不存在侵犯知识产权的情况。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采购活动时不存在被有关部门禁止参与政府采购活动且在有效期内的情况。符合招标文件关于联合体及进口产品的相关资格要求。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3.我单位具备《中华人民共和国政府采购法》第二十二条第一款的条件。</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hint="eastAsia"/>
          <w:color w:val="FF0000"/>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9.我单位承诺中标后项目不转包，未经采购人同意不进行分包。</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hint="eastAsia"/>
          <w:b/>
          <w:sz w:val="21"/>
          <w:szCs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财政部生态环境部关于印发节能产品政府采购品目清单的通知》（财库〔20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号）列明的政府采购强制产品，则所投该产品符合节能产品的认证要求。若所投产品包括数据中心相关设备的，应满足</w:t>
      </w:r>
      <w:r>
        <w:rPr>
          <w:rFonts w:eastAsia="宋体" w:hint="eastAsia"/>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hint="eastAsia"/>
          <w:bCs/>
          <w:kern w:val="2"/>
          <w:sz w:val="21"/>
          <w:lang w:eastAsia="zh-CN"/>
        </w:rPr>
      </w:pPr>
      <w:r>
        <w:rPr>
          <w:rFonts w:ascii="宋体" w:eastAsia="宋体" w:hAnsi="宋体" w:cs="宋体" w:hint="eastAsia"/>
          <w:bCs/>
          <w:sz w:val="21"/>
          <w:szCs w:val="21"/>
          <w:lang w:eastAsia="zh-CN"/>
        </w:rPr>
        <w:t>12.</w:t>
      </w:r>
      <w:r>
        <w:rPr>
          <w:rFonts w:ascii="宋体" w:eastAsia="宋体" w:hAnsi="宋体" w:hint="eastAsia"/>
          <w:bCs/>
          <w:kern w:val="2"/>
          <w:sz w:val="21"/>
          <w:lang w:eastAsia="zh-CN"/>
        </w:rPr>
        <w:t>我单位已知悉并同意中标（成交）结果信息公示的内容。</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ascii="宋体" w:eastAsia="宋体" w:hAnsi="宋体" w:hint="eastAsia"/>
          <w:bCs/>
          <w:color w:val="FF0000"/>
          <w:kern w:val="2"/>
          <w:sz w:val="21"/>
          <w:lang w:eastAsia="zh-CN"/>
        </w:rPr>
        <w:t>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ind w:firstLine="420" w:firstLineChars="200"/>
        <w:jc w:val="both"/>
        <w:rPr>
          <w:rFonts w:ascii="宋体" w:eastAsia="宋体" w:hAnsi="宋体" w:hint="eastAsia"/>
          <w:kern w:val="2"/>
          <w:sz w:val="21"/>
          <w:szCs w:val="21"/>
          <w:lang w:eastAsia="zh-CN"/>
        </w:rPr>
      </w:pPr>
    </w:p>
    <w:p>
      <w:pPr>
        <w:widowControl w:val="0"/>
        <w:spacing w:before="60" w:beforeLines="25" w:after="60" w:afterLines="25"/>
        <w:ind w:firstLine="5460" w:firstLineChars="26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p>
    <w:p>
      <w:pPr>
        <w:widowControl w:val="0"/>
        <w:spacing w:before="60" w:beforeLines="25" w:after="60" w:afterLines="25"/>
        <w:ind w:firstLine="5460" w:firstLineChars="2600"/>
        <w:jc w:val="both"/>
        <w:rPr>
          <w:rFonts w:eastAsia="宋体"/>
          <w:color w:val="000000"/>
          <w:kern w:val="2"/>
          <w:sz w:val="21"/>
          <w:lang w:eastAsia="zh-CN"/>
        </w:rPr>
      </w:pPr>
      <w:r>
        <w:rPr>
          <w:rFonts w:eastAsia="宋体" w:hint="eastAsia"/>
          <w:color w:val="000000"/>
          <w:kern w:val="2"/>
          <w:sz w:val="21"/>
          <w:szCs w:val="21"/>
          <w:lang w:eastAsia="zh-CN"/>
        </w:rPr>
        <w:t>投标人：</w:t>
      </w:r>
      <w:r>
        <w:rPr>
          <w:rFonts w:eastAsia="宋体" w:hint="eastAsia"/>
          <w:color w:val="000000"/>
          <w:kern w:val="2"/>
          <w:sz w:val="21"/>
          <w:szCs w:val="21"/>
          <w:u w:val="single"/>
          <w:lang w:eastAsia="zh-CN"/>
        </w:rPr>
        <w:t xml:space="preserve">              </w:t>
      </w:r>
    </w:p>
    <w:p>
      <w:pPr>
        <w:widowControl w:val="0"/>
        <w:ind w:firstLine="645"/>
        <w:jc w:val="both"/>
        <w:rPr>
          <w:rFonts w:ascii="宋体" w:eastAsia="宋体" w:hAnsi="宋体" w:hint="eastAsia"/>
          <w:color w:val="000000"/>
          <w:kern w:val="2"/>
          <w:sz w:val="21"/>
          <w:szCs w:val="21"/>
          <w:lang w:eastAsia="zh-CN"/>
        </w:rPr>
      </w:pPr>
      <w:r>
        <w:rPr>
          <w:rFonts w:ascii="宋体" w:eastAsia="宋体" w:hAnsi="宋体" w:hint="eastAsia"/>
          <w:color w:val="000000"/>
          <w:kern w:val="2"/>
          <w:sz w:val="21"/>
          <w:szCs w:val="21"/>
          <w:lang w:eastAsia="zh-CN"/>
        </w:rPr>
        <w:t xml:space="preserve">                                              日期：</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年</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月</w:t>
      </w:r>
      <w:r>
        <w:rPr>
          <w:rFonts w:ascii="宋体" w:eastAsia="宋体" w:hAnsi="宋体" w:hint="eastAsia"/>
          <w:color w:val="000000"/>
          <w:kern w:val="2"/>
          <w:sz w:val="21"/>
          <w:szCs w:val="21"/>
          <w:u w:val="single"/>
          <w:lang w:eastAsia="zh-CN"/>
        </w:rPr>
        <w:t xml:space="preserve">   </w:t>
      </w:r>
      <w:r>
        <w:rPr>
          <w:rFonts w:ascii="宋体" w:eastAsia="宋体" w:hAnsi="宋体" w:hint="eastAsia"/>
          <w:color w:val="000000"/>
          <w:kern w:val="2"/>
          <w:sz w:val="21"/>
          <w:szCs w:val="21"/>
          <w:lang w:eastAsia="zh-CN"/>
        </w:rPr>
        <w:t>日</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spacing w:before="120" w:after="12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三、投标人情况及资格证明文件</w:t>
      </w: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widowControl w:val="0"/>
        <w:jc w:val="both"/>
        <w:rPr>
          <w:rFonts w:eastAsia="宋体"/>
          <w:kern w:val="2"/>
          <w:sz w:val="21"/>
          <w:lang w:eastAsia="zh-CN"/>
        </w:rPr>
      </w:pP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ind w:firstLine="420" w:firstLineChars="200"/>
        <w:jc w:val="both"/>
        <w:rPr>
          <w:rFonts w:ascii="黑体" w:eastAsia="黑体" w:hAnsi="黑体" w:cs="黑体" w:hint="eastAsia"/>
          <w:color w:val="FF0000"/>
          <w:kern w:val="2"/>
          <w:sz w:val="21"/>
          <w:lang w:eastAsia="zh-CN"/>
        </w:rPr>
      </w:pPr>
      <w:r>
        <w:rPr>
          <w:rFonts w:ascii="黑体" w:eastAsia="黑体" w:hAnsi="黑体" w:cs="黑体" w:hint="eastAsia"/>
          <w:color w:val="FF0000"/>
          <w:kern w:val="2"/>
          <w:sz w:val="21"/>
          <w:lang w:eastAsia="zh-CN"/>
        </w:rPr>
        <w:t>填写指引：</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1、该部分内容由供应商根据自身实际情况填写，投标（响应）供应商对《中小企业声明函》的真实性负责。投标（响应）供应商应</w:t>
      </w:r>
      <w:r>
        <w:rPr>
          <w:rFonts w:ascii="黑体" w:eastAsia="黑体" w:hAnsi="宋体" w:hint="eastAsia"/>
          <w:bCs/>
          <w:color w:val="FF0000"/>
          <w:sz w:val="21"/>
          <w:szCs w:val="21"/>
          <w:lang w:eastAsia="zh-CN"/>
        </w:rPr>
        <w:t>当核实投标（响应）的服务承接商的相关信</w:t>
      </w:r>
      <w:r>
        <w:rPr>
          <w:rFonts w:ascii="黑体" w:eastAsia="黑体" w:hAnsi="宋体" w:hint="eastAsia"/>
          <w:bCs/>
          <w:color w:val="FF0000"/>
          <w:sz w:val="21"/>
          <w:szCs w:val="21"/>
          <w:lang w:eastAsia="zh-CN"/>
        </w:rPr>
        <w:t>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2、该部分内容填写需要参考的相关文件：</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(1)财政部《政府采购促进中小企业发展管理办法》（财库〔2020〕46号）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(2)《工业和信息化部、国家统计局、国家发展和改革委员会、财政部关于印发中小企业划型标准规定的通知》（工信部联企业〔2011〕300 号，以下简称300号文）</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(3)《统计上大中小微型企业划分办法(2017)》（国统字〔2017〕213 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(4)《关于促进残疾人就业政府采购政策的通知》（财库〔2017〕141号）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(5)《关于政府采购支持监狱企业发展有关问题的通知》（财库〔2014〕68号）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3、请依照提供的格式和内容填写声明函，不要随意变更格式；声明函不需要盖章或签字；满足多项优惠政策的投标人，不重复享受多项价格扣除政策。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第三处，在“标的名称”下划线处填写所采购标的具体名称（以</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文件第一册第三章用户需求书“</w:t>
      </w:r>
      <w:r>
        <w:rPr>
          <w:rFonts w:ascii="黑体" w:eastAsia="黑体" w:hAnsi="宋体" w:hint="eastAsia"/>
          <w:bCs/>
          <w:color w:val="FF0000"/>
          <w:sz w:val="21"/>
          <w:szCs w:val="21"/>
          <w:lang w:eastAsia="zh-CN"/>
        </w:rPr>
        <w:t>服务需求明细”的“服务需求名称（标的名称）”一栏为准）；如果涉及多项服务（标的）为同一企业承接的，“标的名称”下划线处可以如实填写多项服务；对于分包方式面向中小企业采购的项目，“</w:t>
      </w:r>
      <w:r>
        <w:rPr>
          <w:rFonts w:ascii="黑体" w:eastAsia="黑体" w:hAnsi="宋体" w:hint="eastAsia"/>
          <w:bCs/>
          <w:color w:val="FF0000"/>
          <w:sz w:val="21"/>
          <w:szCs w:val="21"/>
          <w:lang w:eastAsia="zh-CN"/>
        </w:rPr>
        <w:t>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第四处，在</w:t>
      </w:r>
      <w:r>
        <w:rPr>
          <w:rFonts w:ascii="黑体" w:eastAsia="黑体" w:hAnsi="宋体" w:hint="eastAsia"/>
          <w:bCs/>
          <w:color w:val="FF0000"/>
          <w:sz w:val="21"/>
          <w:szCs w:val="21"/>
          <w:lang w:eastAsia="zh-CN"/>
        </w:rPr>
        <w:t>“采购文件中明确的所属行业”下划线处填写采购标的对应的中小企业划分标准所属行业（所属行业以</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w:t>
      </w:r>
      <w:r>
        <w:rPr>
          <w:rFonts w:ascii="黑体" w:eastAsia="黑体" w:hAnsi="宋体" w:hint="eastAsia"/>
          <w:bCs/>
          <w:color w:val="FF0000"/>
          <w:sz w:val="21"/>
          <w:szCs w:val="21"/>
          <w:lang w:eastAsia="zh-CN"/>
        </w:rPr>
        <w:t>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w:t>
      </w:r>
      <w:r>
        <w:rPr>
          <w:rFonts w:ascii="黑体" w:eastAsia="黑体" w:hAnsi="宋体" w:hint="eastAsia"/>
          <w:bCs/>
          <w:color w:val="FF0000"/>
          <w:sz w:val="21"/>
          <w:szCs w:val="21"/>
          <w:lang w:eastAsia="zh-CN"/>
        </w:rPr>
        <w:t>本项目属于服务类项目，相关服务承接商应当为中小企业或残疾人福利性单位或监狱企业，如包含硬件设备、产品等货物采购</w:t>
      </w:r>
      <w:r>
        <w:rPr>
          <w:rFonts w:ascii="黑体" w:eastAsia="黑体" w:hAnsi="宋体" w:hint="eastAsia"/>
          <w:bCs/>
          <w:color w:val="FF0000"/>
          <w:sz w:val="21"/>
          <w:szCs w:val="21"/>
          <w:lang w:eastAsia="zh-CN"/>
        </w:rPr>
        <w:t>及安装工程等工程内容</w:t>
      </w:r>
      <w:r>
        <w:rPr>
          <w:rFonts w:ascii="黑体" w:eastAsia="黑体" w:hAnsi="宋体" w:hint="eastAsia"/>
          <w:bCs/>
          <w:color w:val="FF0000"/>
          <w:sz w:val="21"/>
          <w:szCs w:val="21"/>
          <w:lang w:eastAsia="zh-CN"/>
        </w:rPr>
        <w:t>的，不再对其中涉及的货物制造商</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工程承接商</w:t>
      </w:r>
      <w:r>
        <w:rPr>
          <w:rFonts w:ascii="黑体" w:eastAsia="黑体" w:hAnsi="宋体" w:hint="eastAsia"/>
          <w:bCs/>
          <w:color w:val="FF0000"/>
          <w:sz w:val="21"/>
          <w:szCs w:val="21"/>
          <w:lang w:eastAsia="zh-CN"/>
        </w:rPr>
        <w:t>作出要求</w:t>
      </w:r>
      <w:r>
        <w:rPr>
          <w:rFonts w:ascii="黑体" w:eastAsia="黑体" w:hAnsi="宋体" w:hint="eastAsia"/>
          <w:bCs/>
          <w:color w:val="FF0000"/>
          <w:sz w:val="21"/>
          <w:szCs w:val="21"/>
          <w:lang w:eastAsia="zh-CN"/>
        </w:rPr>
        <w:t>。</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eastAsia="宋体"/>
          <w:kern w:val="2"/>
          <w:sz w:val="21"/>
          <w:lang w:eastAsia="zh-CN"/>
        </w:rPr>
      </w:pPr>
      <w:r>
        <w:rPr>
          <w:rFonts w:ascii="黑体" w:eastAsia="黑体" w:hAnsi="宋体" w:hint="eastAsia"/>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黑体" w:eastAsia="黑体" w:hAnsi="黑体" w:cs="黑体" w:hint="eastAsia"/>
          <w:color w:val="FF0000"/>
          <w:kern w:val="2"/>
          <w:sz w:val="21"/>
          <w:lang w:eastAsia="zh-CN"/>
        </w:rPr>
      </w:pPr>
    </w:p>
    <w:p>
      <w:pPr>
        <w:widowControl w:val="0"/>
        <w:ind w:firstLine="420" w:firstLineChars="200"/>
        <w:jc w:val="both"/>
        <w:rPr>
          <w:rFonts w:ascii="黑体" w:eastAsia="黑体" w:hAnsi="黑体" w:cs="黑体" w:hint="eastAsia"/>
          <w:color w:val="FF0000"/>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1、</w:t>
      </w:r>
      <w:r>
        <w:rPr>
          <w:rFonts w:eastAsia="宋体"/>
          <w:b/>
          <w:kern w:val="2"/>
          <w:lang w:eastAsia="zh-CN"/>
        </w:rPr>
        <w:t>中小企业声明函（</w:t>
      </w:r>
      <w:r>
        <w:rPr>
          <w:rFonts w:eastAsia="宋体" w:hint="eastAsia"/>
          <w:b/>
          <w:kern w:val="2"/>
          <w:lang w:eastAsia="zh-CN"/>
        </w:rPr>
        <w:t>服务</w:t>
      </w:r>
      <w:r>
        <w:rPr>
          <w:rFonts w:eastAsia="宋体"/>
          <w:b/>
          <w:kern w:val="2"/>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（标的名称）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（采购文件中明确的所属行业）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widowControl w:val="0"/>
        <w:ind w:firstLine="420" w:firstLineChars="200"/>
        <w:jc w:val="both"/>
        <w:rPr>
          <w:rFonts w:ascii="宋体" w:eastAsia="宋体" w:hAnsi="宋体" w:cs="宋体" w:hint="eastAsia"/>
          <w:kern w:val="2"/>
          <w:sz w:val="21"/>
          <w:szCs w:val="21"/>
          <w:lang w:eastAsia="zh-CN"/>
        </w:rPr>
      </w:pPr>
      <w:bookmarkStart w:id="41"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2、残疾人福利性单位声明函（服务类）</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outlineLvl w:val="3"/>
        <w:rPr>
          <w:rFonts w:eastAsia="宋体"/>
          <w:b/>
          <w:kern w:val="2"/>
          <w:lang w:eastAsia="zh-CN"/>
        </w:rPr>
      </w:pPr>
      <w:r>
        <w:rPr>
          <w:rFonts w:eastAsia="宋体" w:hint="eastAsia"/>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采购活动，</w:t>
      </w:r>
      <w:r>
        <w:rPr>
          <w:rFonts w:ascii="宋体" w:eastAsia="宋体" w:hAnsi="宋体" w:hint="eastAsia"/>
          <w:kern w:val="2"/>
          <w:sz w:val="21"/>
          <w:szCs w:val="21"/>
          <w:lang w:eastAsia="zh-CN"/>
        </w:rPr>
        <w:t>服务</w:t>
      </w:r>
      <w:r>
        <w:rPr>
          <w:rFonts w:ascii="宋体" w:eastAsia="宋体" w:hAnsi="宋体"/>
          <w:kern w:val="2"/>
          <w:sz w:val="21"/>
          <w:szCs w:val="21"/>
          <w:lang w:eastAsia="zh-CN"/>
        </w:rPr>
        <w:t>全部由符合政策要求的</w:t>
      </w:r>
      <w:r>
        <w:rPr>
          <w:rFonts w:ascii="宋体" w:eastAsia="宋体" w:hAnsi="宋体" w:hint="eastAsia"/>
          <w:kern w:val="2"/>
          <w:sz w:val="21"/>
          <w:szCs w:val="21"/>
          <w:lang w:eastAsia="zh-CN"/>
        </w:rPr>
        <w:t>监狱企业承接</w:t>
      </w:r>
      <w:r>
        <w:rPr>
          <w:rFonts w:ascii="宋体" w:eastAsia="宋体" w:hAnsi="宋体"/>
          <w:kern w:val="2"/>
          <w:sz w:val="21"/>
          <w:szCs w:val="21"/>
          <w:lang w:eastAsia="zh-CN"/>
        </w:rPr>
        <w:t>。相关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b/>
          <w:bCs/>
          <w:kern w:val="2"/>
          <w:sz w:val="21"/>
          <w:szCs w:val="21"/>
          <w:u w:val="single"/>
          <w:lang w:eastAsia="zh-CN"/>
        </w:rPr>
        <w:t>）</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i/>
          <w:iCs/>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（三）《供应商基本情况表》</w:t>
      </w:r>
    </w:p>
    <w:p>
      <w:pPr>
        <w:widowControl w:val="0"/>
        <w:jc w:val="left"/>
        <w:rPr>
          <w:rFonts w:eastAsia="宋体"/>
          <w:kern w:val="2"/>
          <w:sz w:val="21"/>
          <w:szCs w:val="21"/>
          <w:lang w:eastAsia="zh-CN"/>
        </w:rPr>
      </w:pPr>
    </w:p>
    <w:p>
      <w:pPr>
        <w:widowControl w:val="0"/>
        <w:jc w:val="left"/>
        <w:rPr>
          <w:rFonts w:eastAsia="宋体"/>
          <w:kern w:val="2"/>
          <w:sz w:val="21"/>
          <w:szCs w:val="21"/>
          <w:lang w:eastAsia="zh-CN"/>
        </w:rPr>
      </w:pPr>
      <w:r>
        <w:rPr>
          <w:rFonts w:eastAsia="宋体" w:hint="eastAsia"/>
          <w:kern w:val="2"/>
          <w:sz w:val="21"/>
          <w:szCs w:val="21"/>
          <w:lang w:eastAsia="zh-CN"/>
        </w:rPr>
        <w:t>填表单位：</w:t>
      </w:r>
    </w:p>
    <w:p>
      <w:pPr>
        <w:widowControl w:val="0"/>
        <w:jc w:val="left"/>
        <w:rPr>
          <w:rFonts w:eastAsia="宋体"/>
          <w:kern w:val="2"/>
          <w:sz w:val="21"/>
          <w:szCs w:val="21"/>
          <w:lang w:eastAsia="zh-CN"/>
        </w:rPr>
      </w:pPr>
      <w:r>
        <w:rPr>
          <w:rFonts w:eastAsia="宋体" w:hint="eastAsia"/>
          <w:kern w:val="2"/>
          <w:sz w:val="21"/>
          <w:szCs w:val="21"/>
          <w:lang w:eastAsia="zh-CN"/>
        </w:rPr>
        <w:t>填表日期：        年     月      日</w:t>
      </w:r>
    </w:p>
    <w:p>
      <w:pPr>
        <w:widowControl w:val="0"/>
        <w:spacing w:line="75" w:lineRule="exact"/>
        <w:jc w:val="both"/>
        <w:rPr>
          <w:rFonts w:ascii="宋体" w:eastAsia="宋体" w:hAnsi="宋体" w:cs="宋体" w:hint="eastAsia"/>
          <w:kern w:val="2"/>
          <w:sz w:val="21"/>
          <w:szCs w:val="21"/>
          <w:lang w:eastAsia="zh-CN"/>
        </w:rPr>
      </w:pPr>
    </w:p>
    <w:tbl>
      <w:tblPr>
        <w:tblStyle w:val="TableNormal0"/>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tblPrEx>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33"/>
        </w:trPr>
        <w:tc>
          <w:tcPr>
            <w:tcW w:w="789" w:type="pct"/>
            <w:gridSpan w:val="2"/>
            <w:vAlign w:val="center"/>
          </w:tcPr>
          <w:p>
            <w:pPr>
              <w:widowControl w:val="0"/>
              <w:spacing w:line="203" w:lineRule="auto"/>
              <w:jc w:val="center"/>
              <w:rPr>
                <w:rFonts w:ascii="宋体" w:hAnsi="宋体" w:cs="宋体" w:hint="eastAsia"/>
                <w:b/>
                <w:bCs/>
                <w:color w:val="000000"/>
                <w:spacing w:val="-4"/>
                <w:kern w:val="2"/>
                <w:sz w:val="21"/>
                <w:szCs w:val="21"/>
                <w:lang w:eastAsia="zh-CN"/>
              </w:rPr>
            </w:pPr>
            <w:r>
              <w:rPr>
                <w:rFonts w:ascii="宋体" w:hAnsi="宋体" w:cs="宋体" w:hint="eastAsia"/>
                <w:b/>
                <w:bCs/>
                <w:color w:val="000000"/>
                <w:spacing w:val="-4"/>
                <w:kern w:val="2"/>
                <w:sz w:val="21"/>
                <w:szCs w:val="21"/>
              </w:rPr>
              <w:t>采购人</w:t>
            </w:r>
          </w:p>
        </w:tc>
        <w:tc>
          <w:tcPr>
            <w:tcW w:w="1422" w:type="pct"/>
            <w:gridSpan w:val="2"/>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spacing w:line="203" w:lineRule="auto"/>
              <w:jc w:val="center"/>
              <w:rPr>
                <w:rFonts w:ascii="宋体" w:hAnsi="宋体" w:cs="宋体" w:hint="eastAsia"/>
                <w:b/>
                <w:bCs/>
                <w:color w:val="000000"/>
                <w:spacing w:val="-4"/>
                <w:kern w:val="2"/>
                <w:sz w:val="21"/>
                <w:szCs w:val="21"/>
                <w:lang w:eastAsia="zh-CN"/>
              </w:rPr>
            </w:pPr>
            <w:r>
              <w:rPr>
                <w:rFonts w:ascii="宋体" w:hAnsi="宋体" w:cs="宋体" w:hint="eastAsia"/>
                <w:b/>
                <w:bCs/>
                <w:color w:val="000000"/>
                <w:spacing w:val="-4"/>
                <w:kern w:val="2"/>
                <w:sz w:val="21"/>
                <w:szCs w:val="21"/>
              </w:rPr>
              <w:t>项目名称</w:t>
            </w:r>
          </w:p>
        </w:tc>
        <w:tc>
          <w:tcPr>
            <w:tcW w:w="1678" w:type="pct"/>
            <w:gridSpan w:val="2"/>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35"/>
        </w:trPr>
        <w:tc>
          <w:tcPr>
            <w:tcW w:w="789" w:type="pct"/>
            <w:gridSpan w:val="2"/>
            <w:vAlign w:val="center"/>
          </w:tcPr>
          <w:p>
            <w:pPr>
              <w:widowControl w:val="0"/>
              <w:spacing w:line="203" w:lineRule="auto"/>
              <w:jc w:val="center"/>
              <w:rPr>
                <w:rFonts w:ascii="宋体" w:hAnsi="宋体" w:cs="宋体" w:hint="eastAsia"/>
                <w:b/>
                <w:bCs/>
                <w:color w:val="000000"/>
                <w:spacing w:val="-4"/>
                <w:kern w:val="2"/>
                <w:sz w:val="21"/>
                <w:szCs w:val="21"/>
                <w:lang w:eastAsia="zh-CN"/>
              </w:rPr>
            </w:pPr>
            <w:r>
              <w:rPr>
                <w:rFonts w:ascii="宋体" w:hAnsi="宋体" w:cs="宋体" w:hint="eastAsia"/>
                <w:b/>
                <w:bCs/>
                <w:color w:val="000000"/>
                <w:spacing w:val="-4"/>
                <w:kern w:val="2"/>
                <w:sz w:val="21"/>
                <w:szCs w:val="21"/>
                <w:lang w:eastAsia="zh-CN"/>
              </w:rPr>
              <w:t>投标（响应）供应商</w:t>
            </w:r>
          </w:p>
        </w:tc>
        <w:tc>
          <w:tcPr>
            <w:tcW w:w="1422" w:type="pct"/>
            <w:gridSpan w:val="2"/>
            <w:vAlign w:val="center"/>
          </w:tcPr>
          <w:p>
            <w:pPr>
              <w:widowControl w:val="0"/>
              <w:jc w:val="both"/>
              <w:rPr>
                <w:rFonts w:ascii="宋体" w:hAnsi="宋体" w:cs="宋体" w:hint="eastAsia"/>
                <w:color w:val="000000"/>
                <w:kern w:val="2"/>
                <w:sz w:val="21"/>
                <w:szCs w:val="21"/>
                <w:lang w:eastAsia="zh-CN"/>
              </w:rPr>
            </w:pPr>
          </w:p>
        </w:tc>
        <w:tc>
          <w:tcPr>
            <w:tcW w:w="1109" w:type="pct"/>
            <w:gridSpan w:val="2"/>
            <w:vAlign w:val="center"/>
          </w:tcPr>
          <w:p>
            <w:pPr>
              <w:widowControl w:val="0"/>
              <w:spacing w:line="203" w:lineRule="auto"/>
              <w:jc w:val="center"/>
              <w:rPr>
                <w:rFonts w:ascii="宋体" w:hAnsi="宋体" w:cs="宋体" w:hint="eastAsia"/>
                <w:b/>
                <w:bCs/>
                <w:color w:val="000000"/>
                <w:spacing w:val="-4"/>
                <w:kern w:val="2"/>
                <w:sz w:val="21"/>
                <w:szCs w:val="21"/>
                <w:lang w:eastAsia="zh-CN"/>
              </w:rPr>
            </w:pPr>
            <w:r>
              <w:rPr>
                <w:rFonts w:ascii="宋体" w:hAnsi="宋体" w:cs="宋体" w:hint="eastAsia"/>
                <w:b/>
                <w:bCs/>
                <w:color w:val="000000"/>
                <w:spacing w:val="-4"/>
                <w:kern w:val="2"/>
                <w:sz w:val="21"/>
                <w:szCs w:val="21"/>
                <w:lang w:eastAsia="zh-CN"/>
              </w:rPr>
              <w:t>供应商统一社会信用代码</w:t>
            </w:r>
          </w:p>
        </w:tc>
        <w:tc>
          <w:tcPr>
            <w:tcW w:w="1678" w:type="pct"/>
            <w:gridSpan w:val="2"/>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202" w:lineRule="auto"/>
              <w:ind w:left="145"/>
              <w:jc w:val="both"/>
              <w:rPr>
                <w:rFonts w:ascii="宋体" w:hAnsi="宋体" w:cs="宋体" w:hint="eastAsia"/>
                <w:spacing w:val="-5"/>
                <w:kern w:val="2"/>
                <w:sz w:val="21"/>
                <w:szCs w:val="21"/>
                <w:lang w:eastAsia="zh-CN"/>
              </w:rPr>
            </w:pPr>
            <w:r>
              <w:rPr>
                <w:rFonts w:ascii="宋体" w:hAnsi="宋体" w:cs="宋体" w:hint="eastAsia"/>
                <w:spacing w:val="-5"/>
                <w:kern w:val="2"/>
                <w:sz w:val="21"/>
                <w:szCs w:val="21"/>
                <w:lang w:eastAsia="zh-CN"/>
              </w:rPr>
              <w:t>序号</w:t>
            </w:r>
          </w:p>
        </w:tc>
        <w:tc>
          <w:tcPr>
            <w:tcW w:w="1272" w:type="pct"/>
            <w:gridSpan w:val="2"/>
            <w:vAlign w:val="center"/>
          </w:tcPr>
          <w:p>
            <w:pPr>
              <w:widowControl w:val="0"/>
              <w:spacing w:line="202" w:lineRule="auto"/>
              <w:ind w:left="916"/>
              <w:jc w:val="both"/>
              <w:rPr>
                <w:rFonts w:ascii="宋体" w:hAnsi="宋体" w:cs="宋体" w:hint="eastAsia"/>
                <w:spacing w:val="-6"/>
                <w:kern w:val="2"/>
                <w:sz w:val="21"/>
                <w:szCs w:val="21"/>
                <w:lang w:eastAsia="zh-CN"/>
              </w:rPr>
            </w:pPr>
            <w:r>
              <w:rPr>
                <w:rFonts w:ascii="宋体" w:hAnsi="宋体" w:cs="宋体" w:hint="eastAsia"/>
                <w:spacing w:val="-6"/>
                <w:kern w:val="2"/>
                <w:sz w:val="21"/>
                <w:szCs w:val="21"/>
                <w:lang w:eastAsia="zh-CN"/>
              </w:rPr>
              <w:t>职务</w:t>
            </w:r>
          </w:p>
        </w:tc>
        <w:tc>
          <w:tcPr>
            <w:tcW w:w="528" w:type="pct"/>
            <w:vAlign w:val="center"/>
          </w:tcPr>
          <w:p>
            <w:pPr>
              <w:widowControl w:val="0"/>
              <w:spacing w:line="203" w:lineRule="auto"/>
              <w:ind w:left="245"/>
              <w:jc w:val="both"/>
              <w:rPr>
                <w:rFonts w:ascii="宋体" w:hAnsi="宋体" w:cs="宋体" w:hint="eastAsia"/>
                <w:spacing w:val="-4"/>
                <w:kern w:val="2"/>
                <w:sz w:val="21"/>
                <w:szCs w:val="21"/>
                <w:lang w:eastAsia="zh-CN"/>
              </w:rPr>
            </w:pPr>
            <w:r>
              <w:rPr>
                <w:rFonts w:ascii="宋体" w:hAnsi="宋体" w:cs="宋体" w:hint="eastAsia"/>
                <w:spacing w:val="-4"/>
                <w:kern w:val="2"/>
                <w:sz w:val="21"/>
                <w:szCs w:val="21"/>
                <w:lang w:eastAsia="zh-CN"/>
              </w:rPr>
              <w:t>姓名</w:t>
            </w:r>
          </w:p>
        </w:tc>
        <w:tc>
          <w:tcPr>
            <w:tcW w:w="1109" w:type="pct"/>
            <w:gridSpan w:val="2"/>
            <w:vAlign w:val="center"/>
          </w:tcPr>
          <w:p>
            <w:pPr>
              <w:widowControl w:val="0"/>
              <w:spacing w:line="203" w:lineRule="auto"/>
              <w:ind w:left="410"/>
              <w:jc w:val="both"/>
              <w:rPr>
                <w:rFonts w:ascii="宋体" w:hAnsi="宋体" w:cs="宋体" w:hint="eastAsia"/>
                <w:spacing w:val="-3"/>
                <w:kern w:val="2"/>
                <w:sz w:val="21"/>
                <w:szCs w:val="21"/>
                <w:lang w:eastAsia="zh-CN"/>
              </w:rPr>
            </w:pPr>
            <w:r>
              <w:rPr>
                <w:rFonts w:ascii="宋体" w:hAnsi="宋体" w:cs="宋体" w:hint="eastAsia"/>
                <w:spacing w:val="-3"/>
                <w:kern w:val="2"/>
                <w:sz w:val="21"/>
                <w:szCs w:val="21"/>
                <w:lang w:eastAsia="zh-CN"/>
              </w:rPr>
              <w:t>身份证号码</w:t>
            </w:r>
          </w:p>
        </w:tc>
        <w:tc>
          <w:tcPr>
            <w:tcW w:w="837" w:type="pct"/>
            <w:vAlign w:val="center"/>
          </w:tcPr>
          <w:p>
            <w:pPr>
              <w:widowControl w:val="0"/>
              <w:spacing w:line="191" w:lineRule="auto"/>
              <w:ind w:left="288" w:right="266" w:firstLine="5"/>
              <w:jc w:val="both"/>
              <w:rPr>
                <w:rFonts w:ascii="宋体" w:hAnsi="宋体" w:cs="宋体" w:hint="eastAsia"/>
                <w:spacing w:val="-7"/>
                <w:kern w:val="2"/>
                <w:sz w:val="21"/>
                <w:szCs w:val="21"/>
                <w:lang w:eastAsia="zh-CN"/>
              </w:rPr>
            </w:pPr>
            <w:r>
              <w:rPr>
                <w:rFonts w:ascii="宋体" w:hAnsi="宋体" w:cs="宋体" w:hint="eastAsia"/>
                <w:spacing w:val="-7"/>
                <w:kern w:val="2"/>
                <w:sz w:val="21"/>
                <w:szCs w:val="21"/>
                <w:lang w:eastAsia="zh-CN"/>
              </w:rPr>
              <w:t>劳动合同</w:t>
            </w:r>
          </w:p>
          <w:p>
            <w:pPr>
              <w:widowControl w:val="0"/>
              <w:spacing w:line="191" w:lineRule="auto"/>
              <w:ind w:left="288" w:right="266" w:firstLine="5"/>
              <w:jc w:val="both"/>
              <w:rPr>
                <w:rFonts w:ascii="宋体" w:hAnsi="宋体" w:cs="宋体" w:hint="eastAsia"/>
                <w:spacing w:val="-7"/>
                <w:kern w:val="2"/>
                <w:sz w:val="21"/>
                <w:szCs w:val="21"/>
                <w:lang w:eastAsia="zh-CN"/>
              </w:rPr>
            </w:pPr>
            <w:r>
              <w:rPr>
                <w:rFonts w:ascii="宋体" w:hAnsi="宋体" w:cs="宋体" w:hint="eastAsia"/>
                <w:spacing w:val="-7"/>
                <w:kern w:val="2"/>
                <w:sz w:val="21"/>
                <w:szCs w:val="21"/>
                <w:lang w:eastAsia="zh-CN"/>
              </w:rPr>
              <w:t>关系单位</w:t>
            </w:r>
          </w:p>
        </w:tc>
        <w:tc>
          <w:tcPr>
            <w:tcW w:w="840" w:type="pct"/>
            <w:vAlign w:val="center"/>
          </w:tcPr>
          <w:p>
            <w:pPr>
              <w:widowControl w:val="0"/>
              <w:spacing w:line="191" w:lineRule="auto"/>
              <w:ind w:left="271" w:right="262" w:firstLine="8"/>
              <w:jc w:val="both"/>
              <w:rPr>
                <w:rFonts w:ascii="宋体" w:hAnsi="宋体" w:cs="宋体" w:hint="eastAsia"/>
                <w:spacing w:val="-5"/>
                <w:kern w:val="2"/>
                <w:sz w:val="21"/>
                <w:szCs w:val="21"/>
                <w:lang w:eastAsia="zh-CN"/>
              </w:rPr>
            </w:pPr>
            <w:r>
              <w:rPr>
                <w:rFonts w:ascii="宋体" w:hAnsi="宋体" w:cs="宋体" w:hint="eastAsia"/>
                <w:spacing w:val="-7"/>
                <w:kern w:val="2"/>
                <w:sz w:val="21"/>
                <w:szCs w:val="21"/>
                <w:lang w:eastAsia="zh-CN"/>
              </w:rPr>
              <w:t>缴纳社会保险单位</w:t>
            </w:r>
          </w:p>
        </w:tc>
      </w:tr>
      <w:tr>
        <w:tblPrEx>
          <w:tblW w:w="5000" w:type="pct"/>
          <w:tblInd w:w="0" w:type="dxa"/>
          <w:tblLayout w:type="fixed"/>
          <w:tblCellMar>
            <w:top w:w="0" w:type="dxa"/>
            <w:left w:w="0" w:type="dxa"/>
            <w:bottom w:w="0" w:type="dxa"/>
            <w:right w:w="0" w:type="dxa"/>
          </w:tblCellMar>
        </w:tblPrEx>
        <w:trPr>
          <w:trHeight w:val="924"/>
        </w:trPr>
        <w:tc>
          <w:tcPr>
            <w:tcW w:w="411" w:type="pct"/>
            <w:vAlign w:val="center"/>
          </w:tcPr>
          <w:p>
            <w:pPr>
              <w:widowControl w:val="0"/>
              <w:spacing w:line="169" w:lineRule="auto"/>
              <w:ind w:left="321"/>
              <w:jc w:val="both"/>
              <w:rPr>
                <w:rFonts w:ascii="宋体" w:hAnsi="宋体" w:cs="宋体" w:hint="eastAsia"/>
                <w:kern w:val="2"/>
                <w:sz w:val="21"/>
                <w:szCs w:val="21"/>
              </w:rPr>
            </w:pPr>
            <w:r>
              <w:rPr>
                <w:rFonts w:ascii="宋体" w:hAnsi="宋体" w:cs="宋体" w:hint="eastAsia"/>
                <w:kern w:val="2"/>
                <w:sz w:val="21"/>
                <w:szCs w:val="21"/>
              </w:rPr>
              <w:t>1</w:t>
            </w:r>
          </w:p>
        </w:tc>
        <w:tc>
          <w:tcPr>
            <w:tcW w:w="1272"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法定代表人/单位负责人/主要经营负责人</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22"/>
              <w:jc w:val="both"/>
              <w:rPr>
                <w:rFonts w:ascii="宋体" w:hAnsi="宋体" w:cs="宋体" w:hint="eastAsia"/>
                <w:kern w:val="2"/>
                <w:sz w:val="21"/>
                <w:szCs w:val="21"/>
              </w:rPr>
            </w:pPr>
            <w:r>
              <w:rPr>
                <w:rFonts w:ascii="宋体" w:hAnsi="宋体" w:cs="宋体" w:hint="eastAsia"/>
                <w:kern w:val="2"/>
                <w:sz w:val="21"/>
                <w:szCs w:val="21"/>
              </w:rPr>
              <w:t>2</w:t>
            </w:r>
          </w:p>
        </w:tc>
        <w:tc>
          <w:tcPr>
            <w:tcW w:w="1272" w:type="pct"/>
            <w:gridSpan w:val="2"/>
            <w:vAlign w:val="center"/>
          </w:tcPr>
          <w:p>
            <w:pPr>
              <w:widowControl w:val="0"/>
              <w:spacing w:line="203" w:lineRule="auto"/>
              <w:jc w:val="center"/>
              <w:rPr>
                <w:rFonts w:ascii="宋体" w:hAnsi="宋体" w:cs="宋体" w:hint="eastAsia"/>
                <w:color w:val="000000"/>
                <w:spacing w:val="-4"/>
                <w:kern w:val="2"/>
                <w:sz w:val="21"/>
                <w:szCs w:val="21"/>
                <w:lang w:eastAsia="zh-CN"/>
              </w:rPr>
            </w:pPr>
            <w:r>
              <w:rPr>
                <w:rFonts w:ascii="宋体" w:hAnsi="宋体" w:cs="宋体" w:hint="eastAsia"/>
                <w:color w:val="000000"/>
                <w:spacing w:val="-4"/>
                <w:kern w:val="2"/>
                <w:sz w:val="21"/>
                <w:szCs w:val="21"/>
                <w:lang w:eastAsia="zh-CN"/>
              </w:rPr>
              <w:t>项目投标授权代表人</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7" w:lineRule="auto"/>
              <w:ind w:left="321"/>
              <w:jc w:val="both"/>
              <w:rPr>
                <w:rFonts w:ascii="宋体" w:hAnsi="宋体" w:cs="宋体" w:hint="eastAsia"/>
                <w:kern w:val="2"/>
                <w:sz w:val="21"/>
                <w:szCs w:val="21"/>
              </w:rPr>
            </w:pPr>
            <w:r>
              <w:rPr>
                <w:rFonts w:ascii="宋体" w:hAnsi="宋体" w:cs="宋体" w:hint="eastAsia"/>
                <w:kern w:val="2"/>
                <w:sz w:val="21"/>
                <w:szCs w:val="21"/>
              </w:rPr>
              <w:t>3</w:t>
            </w:r>
          </w:p>
        </w:tc>
        <w:tc>
          <w:tcPr>
            <w:tcW w:w="1272" w:type="pct"/>
            <w:gridSpan w:val="2"/>
            <w:vAlign w:val="center"/>
          </w:tcPr>
          <w:p>
            <w:pPr>
              <w:widowControl w:val="0"/>
              <w:spacing w:line="201" w:lineRule="auto"/>
              <w:jc w:val="center"/>
              <w:rPr>
                <w:rFonts w:ascii="宋体" w:hAnsi="宋体" w:cs="宋体" w:hint="eastAsia"/>
                <w:color w:val="000000"/>
                <w:kern w:val="2"/>
                <w:sz w:val="21"/>
                <w:szCs w:val="21"/>
                <w:lang w:eastAsia="zh-CN"/>
              </w:rPr>
            </w:pPr>
            <w:r>
              <w:rPr>
                <w:rFonts w:ascii="宋体" w:hAnsi="宋体" w:cs="宋体" w:hint="eastAsia"/>
                <w:color w:val="000000"/>
                <w:spacing w:val="-3"/>
                <w:kern w:val="2"/>
                <w:sz w:val="21"/>
                <w:szCs w:val="21"/>
                <w:lang w:eastAsia="zh-CN"/>
              </w:rPr>
              <w:t>项目负责人</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14"/>
              <w:jc w:val="both"/>
              <w:rPr>
                <w:rFonts w:ascii="宋体" w:hAnsi="宋体" w:cs="宋体" w:hint="eastAsia"/>
                <w:kern w:val="2"/>
                <w:sz w:val="21"/>
                <w:szCs w:val="21"/>
              </w:rPr>
            </w:pPr>
            <w:r>
              <w:rPr>
                <w:rFonts w:ascii="宋体" w:hAnsi="宋体" w:cs="宋体" w:hint="eastAsia"/>
                <w:kern w:val="2"/>
                <w:sz w:val="21"/>
                <w:szCs w:val="21"/>
              </w:rPr>
              <w:t>4</w:t>
            </w:r>
          </w:p>
        </w:tc>
        <w:tc>
          <w:tcPr>
            <w:tcW w:w="1272" w:type="pct"/>
            <w:gridSpan w:val="2"/>
            <w:vAlign w:val="center"/>
          </w:tcPr>
          <w:p>
            <w:pPr>
              <w:widowControl w:val="0"/>
              <w:spacing w:line="202" w:lineRule="auto"/>
              <w:jc w:val="center"/>
              <w:rPr>
                <w:rFonts w:ascii="宋体" w:hAnsi="宋体" w:cs="宋体" w:hint="eastAsia"/>
                <w:color w:val="000000"/>
                <w:kern w:val="2"/>
                <w:sz w:val="21"/>
                <w:szCs w:val="21"/>
                <w:lang w:eastAsia="zh-CN"/>
              </w:rPr>
            </w:pPr>
            <w:r>
              <w:rPr>
                <w:rFonts w:ascii="宋体" w:hAnsi="宋体" w:cs="宋体" w:hint="eastAsia"/>
                <w:color w:val="000000"/>
                <w:spacing w:val="-4"/>
                <w:kern w:val="2"/>
                <w:sz w:val="21"/>
                <w:szCs w:val="21"/>
                <w:lang w:eastAsia="zh-CN"/>
              </w:rPr>
              <w:t>主要技术人员</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5" w:lineRule="auto"/>
              <w:ind w:left="325"/>
              <w:jc w:val="both"/>
              <w:rPr>
                <w:rFonts w:ascii="宋体" w:hAnsi="宋体" w:cs="宋体" w:hint="eastAsia"/>
                <w:kern w:val="2"/>
                <w:sz w:val="21"/>
                <w:szCs w:val="21"/>
              </w:rPr>
            </w:pPr>
            <w:r>
              <w:rPr>
                <w:rFonts w:ascii="宋体" w:hAnsi="宋体" w:cs="宋体" w:hint="eastAsia"/>
                <w:kern w:val="2"/>
                <w:sz w:val="21"/>
                <w:szCs w:val="21"/>
              </w:rPr>
              <w:t>5</w:t>
            </w:r>
          </w:p>
        </w:tc>
        <w:tc>
          <w:tcPr>
            <w:tcW w:w="1272" w:type="pct"/>
            <w:gridSpan w:val="2"/>
            <w:vAlign w:val="center"/>
          </w:tcPr>
          <w:p>
            <w:pPr>
              <w:widowControl w:val="0"/>
              <w:spacing w:line="202" w:lineRule="auto"/>
              <w:jc w:val="center"/>
              <w:rPr>
                <w:rFonts w:ascii="宋体" w:hAnsi="宋体" w:cs="宋体" w:hint="eastAsia"/>
                <w:color w:val="000000"/>
                <w:kern w:val="2"/>
                <w:sz w:val="21"/>
                <w:szCs w:val="21"/>
                <w:lang w:eastAsia="zh-CN"/>
              </w:rPr>
            </w:pPr>
            <w:r>
              <w:rPr>
                <w:rFonts w:ascii="宋体" w:hAnsi="宋体" w:cs="宋体" w:hint="eastAsia"/>
                <w:color w:val="000000"/>
                <w:spacing w:val="-4"/>
                <w:kern w:val="2"/>
                <w:sz w:val="21"/>
                <w:szCs w:val="21"/>
                <w:lang w:eastAsia="zh-CN"/>
              </w:rPr>
              <w:t>投标文件编制人员</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120"/>
              <w:jc w:val="both"/>
              <w:rPr>
                <w:rFonts w:ascii="宋体" w:hAnsi="宋体" w:cs="宋体" w:hint="eastAsia"/>
                <w:b/>
                <w:bCs/>
                <w:spacing w:val="-1"/>
                <w:kern w:val="2"/>
                <w:sz w:val="21"/>
                <w:szCs w:val="21"/>
                <w:lang w:eastAsia="zh-CN"/>
              </w:rPr>
            </w:pPr>
            <w:r>
              <w:rPr>
                <w:rFonts w:ascii="宋体" w:hAnsi="宋体" w:cs="宋体" w:hint="eastAsia"/>
                <w:b/>
                <w:bCs/>
                <w:spacing w:val="-1"/>
                <w:kern w:val="2"/>
                <w:sz w:val="21"/>
                <w:szCs w:val="21"/>
                <w:lang w:eastAsia="zh-CN"/>
              </w:rPr>
              <w:t>说明：</w:t>
            </w:r>
          </w:p>
          <w:p>
            <w:pPr>
              <w:widowControl w:val="0"/>
              <w:spacing w:line="198" w:lineRule="auto"/>
              <w:ind w:left="120"/>
              <w:jc w:val="both"/>
              <w:rPr>
                <w:rFonts w:ascii="宋体" w:hAnsi="宋体" w:cs="宋体" w:hint="eastAsia"/>
                <w:kern w:val="2"/>
                <w:sz w:val="21"/>
                <w:szCs w:val="21"/>
                <w:lang w:eastAsia="zh-CN"/>
              </w:rPr>
            </w:pPr>
            <w:r>
              <w:rPr>
                <w:rFonts w:ascii="宋体" w:hAnsi="宋体" w:cs="宋体" w:hint="eastAsia"/>
                <w:b/>
                <w:bCs/>
                <w:spacing w:val="-1"/>
                <w:kern w:val="2"/>
                <w:sz w:val="21"/>
                <w:szCs w:val="21"/>
                <w:lang w:eastAsia="zh-CN"/>
              </w:rPr>
              <w:t>1.同一职务有多人担任（如主要技术人员</w:t>
            </w:r>
            <w:r>
              <w:rPr>
                <w:rFonts w:ascii="宋体" w:hAnsi="宋体" w:cs="宋体" w:hint="eastAsia"/>
                <w:b/>
                <w:bCs/>
                <w:spacing w:val="-42"/>
                <w:w w:val="95"/>
                <w:kern w:val="2"/>
                <w:sz w:val="21"/>
                <w:szCs w:val="21"/>
                <w:lang w:eastAsia="zh-CN"/>
              </w:rPr>
              <w:t>），</w:t>
            </w:r>
            <w:r>
              <w:rPr>
                <w:rFonts w:ascii="宋体" w:hAnsi="宋体" w:cs="宋体" w:hint="eastAsia"/>
                <w:b/>
                <w:bCs/>
                <w:spacing w:val="-1"/>
                <w:kern w:val="2"/>
                <w:sz w:val="21"/>
                <w:szCs w:val="21"/>
                <w:lang w:eastAsia="zh-CN"/>
              </w:rPr>
              <w:t>应分行填写。</w:t>
            </w: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202" w:lineRule="auto"/>
              <w:ind w:left="145"/>
              <w:jc w:val="both"/>
              <w:rPr>
                <w:rFonts w:ascii="宋体" w:hAnsi="宋体" w:cs="宋体" w:hint="eastAsia"/>
                <w:kern w:val="2"/>
                <w:sz w:val="21"/>
                <w:szCs w:val="21"/>
              </w:rPr>
            </w:pPr>
            <w:r>
              <w:rPr>
                <w:rFonts w:ascii="宋体" w:hAnsi="宋体" w:cs="宋体" w:hint="eastAsia"/>
                <w:spacing w:val="-5"/>
                <w:kern w:val="2"/>
                <w:sz w:val="21"/>
                <w:szCs w:val="21"/>
              </w:rPr>
              <w:t>序号</w:t>
            </w:r>
          </w:p>
        </w:tc>
        <w:tc>
          <w:tcPr>
            <w:tcW w:w="1272" w:type="pct"/>
            <w:gridSpan w:val="2"/>
            <w:vAlign w:val="center"/>
          </w:tcPr>
          <w:p>
            <w:pPr>
              <w:widowControl w:val="0"/>
              <w:spacing w:line="202" w:lineRule="auto"/>
              <w:ind w:left="436"/>
              <w:jc w:val="both"/>
              <w:rPr>
                <w:rFonts w:ascii="宋体" w:hAnsi="宋体" w:cs="宋体" w:hint="eastAsia"/>
                <w:kern w:val="2"/>
                <w:sz w:val="21"/>
                <w:szCs w:val="21"/>
              </w:rPr>
            </w:pPr>
            <w:r>
              <w:rPr>
                <w:rFonts w:ascii="宋体" w:hAnsi="宋体" w:cs="宋体" w:hint="eastAsia"/>
                <w:spacing w:val="-3"/>
                <w:kern w:val="2"/>
                <w:sz w:val="21"/>
                <w:szCs w:val="21"/>
              </w:rPr>
              <w:t>关联关系类型</w:t>
            </w:r>
          </w:p>
        </w:tc>
        <w:tc>
          <w:tcPr>
            <w:tcW w:w="970" w:type="pct"/>
            <w:gridSpan w:val="2"/>
            <w:vAlign w:val="center"/>
          </w:tcPr>
          <w:p>
            <w:pPr>
              <w:widowControl w:val="0"/>
              <w:spacing w:line="203" w:lineRule="auto"/>
              <w:ind w:left="166"/>
              <w:jc w:val="both"/>
              <w:rPr>
                <w:rFonts w:ascii="宋体" w:hAnsi="宋体" w:cs="宋体" w:hint="eastAsia"/>
                <w:kern w:val="2"/>
                <w:sz w:val="21"/>
                <w:szCs w:val="21"/>
              </w:rPr>
            </w:pPr>
            <w:r>
              <w:rPr>
                <w:rFonts w:ascii="宋体" w:hAnsi="宋体" w:cs="宋体" w:hint="eastAsia"/>
                <w:spacing w:val="-3"/>
                <w:kern w:val="2"/>
                <w:sz w:val="21"/>
                <w:szCs w:val="21"/>
              </w:rPr>
              <w:t>关联主体名称</w:t>
            </w:r>
          </w:p>
        </w:tc>
        <w:tc>
          <w:tcPr>
            <w:tcW w:w="2346" w:type="pct"/>
            <w:gridSpan w:val="3"/>
            <w:vAlign w:val="center"/>
          </w:tcPr>
          <w:p>
            <w:pPr>
              <w:widowControl w:val="0"/>
              <w:spacing w:line="204" w:lineRule="auto"/>
              <w:ind w:left="1862"/>
              <w:jc w:val="both"/>
              <w:rPr>
                <w:rFonts w:ascii="宋体" w:hAnsi="宋体" w:cs="宋体" w:hint="eastAsia"/>
                <w:kern w:val="2"/>
                <w:sz w:val="21"/>
                <w:szCs w:val="21"/>
              </w:rPr>
            </w:pPr>
            <w:r>
              <w:rPr>
                <w:rFonts w:ascii="宋体" w:hAnsi="宋体" w:cs="宋体" w:hint="eastAsia"/>
                <w:spacing w:val="-4"/>
                <w:kern w:val="2"/>
                <w:sz w:val="21"/>
                <w:szCs w:val="21"/>
              </w:rPr>
              <w:t>备注</w:t>
            </w:r>
          </w:p>
        </w:tc>
      </w:tr>
      <w:tr>
        <w:tblPrEx>
          <w:tblW w:w="5000" w:type="pct"/>
          <w:tblInd w:w="0" w:type="dxa"/>
          <w:tblLayout w:type="fixed"/>
          <w:tblCellMar>
            <w:top w:w="0" w:type="dxa"/>
            <w:left w:w="0" w:type="dxa"/>
            <w:bottom w:w="0" w:type="dxa"/>
            <w:right w:w="0" w:type="dxa"/>
          </w:tblCellMar>
        </w:tblPrEx>
        <w:trPr>
          <w:trHeight w:val="1582"/>
        </w:trPr>
        <w:tc>
          <w:tcPr>
            <w:tcW w:w="411" w:type="pct"/>
            <w:vAlign w:val="center"/>
          </w:tcPr>
          <w:p>
            <w:pPr>
              <w:widowControl w:val="0"/>
              <w:spacing w:line="169" w:lineRule="auto"/>
              <w:ind w:left="321"/>
              <w:jc w:val="both"/>
              <w:rPr>
                <w:rFonts w:ascii="宋体" w:hAnsi="宋体" w:cs="宋体" w:hint="eastAsia"/>
                <w:kern w:val="2"/>
                <w:sz w:val="21"/>
                <w:szCs w:val="21"/>
              </w:rPr>
            </w:pPr>
            <w:r>
              <w:rPr>
                <w:rFonts w:ascii="宋体" w:hAnsi="宋体" w:cs="宋体" w:hint="eastAsia"/>
                <w:kern w:val="2"/>
                <w:sz w:val="21"/>
                <w:szCs w:val="21"/>
              </w:rPr>
              <w:t>1</w:t>
            </w:r>
          </w:p>
        </w:tc>
        <w:tc>
          <w:tcPr>
            <w:tcW w:w="1272" w:type="pct"/>
            <w:gridSpan w:val="2"/>
            <w:vAlign w:val="center"/>
          </w:tcPr>
          <w:p>
            <w:pPr>
              <w:widowControl w:val="0"/>
              <w:spacing w:line="203" w:lineRule="auto"/>
              <w:jc w:val="center"/>
              <w:rPr>
                <w:rFonts w:ascii="宋体" w:hAnsi="宋体" w:cs="宋体" w:hint="eastAsia"/>
                <w:kern w:val="2"/>
                <w:sz w:val="21"/>
                <w:szCs w:val="21"/>
              </w:rPr>
            </w:pPr>
            <w:r>
              <w:rPr>
                <w:rFonts w:ascii="宋体" w:hAnsi="宋体" w:cs="宋体" w:hint="eastAsia"/>
                <w:spacing w:val="-5"/>
                <w:kern w:val="2"/>
                <w:sz w:val="21"/>
                <w:szCs w:val="21"/>
                <w:lang w:eastAsia="zh-CN"/>
              </w:rPr>
              <w:t>控股股东</w:t>
            </w:r>
          </w:p>
        </w:tc>
        <w:tc>
          <w:tcPr>
            <w:tcW w:w="970" w:type="pct"/>
            <w:gridSpan w:val="2"/>
            <w:vAlign w:val="center"/>
          </w:tcPr>
          <w:p>
            <w:pPr>
              <w:widowControl w:val="0"/>
              <w:jc w:val="both"/>
              <w:rPr>
                <w:rFonts w:ascii="宋体" w:hAnsi="宋体" w:cs="宋体" w:hint="eastAsia"/>
                <w:kern w:val="2"/>
                <w:sz w:val="21"/>
                <w:szCs w:val="21"/>
                <w:lang w:eastAsia="zh-CN"/>
              </w:rPr>
            </w:pPr>
          </w:p>
        </w:tc>
        <w:tc>
          <w:tcPr>
            <w:tcW w:w="2346" w:type="pct"/>
            <w:gridSpan w:val="3"/>
            <w:vAlign w:val="center"/>
          </w:tcPr>
          <w:p>
            <w:pPr>
              <w:widowControl w:val="0"/>
              <w:jc w:val="both"/>
              <w:rPr>
                <w:rFonts w:ascii="宋体" w:hAnsi="宋体" w:cs="宋体" w:hint="eastAsia"/>
                <w:kern w:val="2"/>
                <w:sz w:val="21"/>
                <w:szCs w:val="21"/>
                <w:lang w:eastAsia="zh-CN"/>
              </w:rPr>
            </w:pPr>
            <w:r>
              <w:rPr>
                <w:rFonts w:ascii="宋体" w:hAnsi="宋体" w:cs="宋体" w:hint="eastAsia"/>
                <w:spacing w:val="-1"/>
                <w:kern w:val="2"/>
                <w:sz w:val="21"/>
                <w:szCs w:val="21"/>
                <w:lang w:eastAsia="zh-CN"/>
              </w:rPr>
              <w:t>指出资额（或持有股份）占投标（响应）供应商资</w:t>
            </w:r>
            <w:r>
              <w:rPr>
                <w:rFonts w:ascii="宋体" w:hAnsi="宋体" w:cs="宋体" w:hint="eastAsia"/>
                <w:spacing w:val="-8"/>
                <w:kern w:val="2"/>
                <w:sz w:val="21"/>
                <w:szCs w:val="21"/>
                <w:lang w:eastAsia="zh-CN"/>
              </w:rPr>
              <w:t>本总额（或股本总额）50%以上的股东，以及出资额</w:t>
            </w:r>
            <w:r>
              <w:rPr>
                <w:rFonts w:ascii="宋体" w:hAnsi="宋体" w:cs="宋体" w:hint="eastAsia"/>
                <w:spacing w:val="-5"/>
                <w:kern w:val="2"/>
                <w:sz w:val="21"/>
                <w:szCs w:val="21"/>
                <w:lang w:eastAsia="zh-CN"/>
              </w:rPr>
              <w:t>（或持有股份）的比例虽然不足50%，但依</w:t>
            </w:r>
            <w:r>
              <w:rPr>
                <w:rFonts w:ascii="宋体" w:hAnsi="宋体" w:cs="宋体" w:hint="eastAsia"/>
                <w:spacing w:val="-6"/>
                <w:kern w:val="2"/>
                <w:sz w:val="21"/>
                <w:szCs w:val="21"/>
                <w:lang w:eastAsia="zh-CN"/>
              </w:rPr>
              <w:t>其出资</w:t>
            </w:r>
            <w:r>
              <w:rPr>
                <w:rFonts w:ascii="宋体" w:hAnsi="宋体" w:cs="宋体" w:hint="eastAsia"/>
                <w:spacing w:val="-9"/>
                <w:kern w:val="2"/>
                <w:sz w:val="21"/>
                <w:szCs w:val="21"/>
                <w:lang w:eastAsia="zh-CN"/>
              </w:rPr>
              <w:t>额（或持有股份）所享有的表决权已足以对投标（响</w:t>
            </w:r>
            <w:r>
              <w:rPr>
                <w:rFonts w:ascii="宋体" w:hAnsi="宋体" w:cs="宋体" w:hint="eastAsia"/>
                <w:kern w:val="2"/>
                <w:sz w:val="21"/>
                <w:szCs w:val="21"/>
                <w:lang w:eastAsia="zh-CN"/>
              </w:rPr>
              <w:t>应）供应商股东会（或股东大会）的决议产生重要</w:t>
            </w:r>
            <w:r>
              <w:rPr>
                <w:rFonts w:ascii="宋体" w:hAnsi="宋体" w:cs="宋体" w:hint="eastAsia"/>
                <w:spacing w:val="6"/>
                <w:kern w:val="2"/>
                <w:sz w:val="21"/>
                <w:szCs w:val="21"/>
                <w:lang w:eastAsia="zh-CN"/>
              </w:rPr>
              <w:t xml:space="preserve"> </w:t>
            </w:r>
            <w:r>
              <w:rPr>
                <w:rFonts w:ascii="宋体" w:hAnsi="宋体" w:cs="宋体" w:hint="eastAsia"/>
                <w:spacing w:val="-2"/>
                <w:kern w:val="2"/>
                <w:sz w:val="21"/>
                <w:szCs w:val="21"/>
                <w:lang w:eastAsia="zh-CN"/>
              </w:rPr>
              <w:t>影响的股东。</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168" w:lineRule="auto"/>
              <w:ind w:left="322"/>
              <w:jc w:val="both"/>
              <w:rPr>
                <w:rFonts w:ascii="宋体" w:hAnsi="宋体" w:cs="宋体" w:hint="eastAsia"/>
                <w:kern w:val="2"/>
                <w:sz w:val="21"/>
                <w:szCs w:val="21"/>
              </w:rPr>
            </w:pPr>
            <w:r>
              <w:rPr>
                <w:rFonts w:ascii="宋体" w:hAnsi="宋体" w:cs="宋体" w:hint="eastAsia"/>
                <w:kern w:val="2"/>
                <w:sz w:val="21"/>
                <w:szCs w:val="21"/>
              </w:rPr>
              <w:t>2</w:t>
            </w:r>
          </w:p>
        </w:tc>
        <w:tc>
          <w:tcPr>
            <w:tcW w:w="1272" w:type="pct"/>
            <w:gridSpan w:val="2"/>
            <w:vAlign w:val="center"/>
          </w:tcPr>
          <w:p>
            <w:pPr>
              <w:widowControl w:val="0"/>
              <w:spacing w:line="203" w:lineRule="auto"/>
              <w:jc w:val="center"/>
              <w:rPr>
                <w:rFonts w:ascii="宋体" w:hAnsi="宋体" w:cs="宋体" w:hint="eastAsia"/>
                <w:kern w:val="2"/>
                <w:sz w:val="21"/>
                <w:szCs w:val="21"/>
                <w:lang w:eastAsia="zh-CN"/>
              </w:rPr>
            </w:pPr>
            <w:r>
              <w:rPr>
                <w:rFonts w:ascii="宋体" w:hAnsi="宋体" w:cs="宋体" w:hint="eastAsia"/>
                <w:spacing w:val="-5"/>
                <w:kern w:val="2"/>
                <w:sz w:val="21"/>
                <w:szCs w:val="21"/>
                <w:lang w:eastAsia="zh-CN"/>
              </w:rPr>
              <w:t>管理关系</w:t>
            </w:r>
          </w:p>
        </w:tc>
        <w:tc>
          <w:tcPr>
            <w:tcW w:w="970" w:type="pct"/>
            <w:gridSpan w:val="2"/>
            <w:vAlign w:val="center"/>
          </w:tcPr>
          <w:p>
            <w:pPr>
              <w:widowControl w:val="0"/>
              <w:jc w:val="both"/>
              <w:rPr>
                <w:rFonts w:ascii="宋体" w:hAnsi="宋体" w:cs="宋体" w:hint="eastAsia"/>
                <w:kern w:val="2"/>
                <w:sz w:val="21"/>
                <w:szCs w:val="21"/>
                <w:lang w:eastAsia="zh-CN"/>
              </w:rPr>
            </w:pPr>
          </w:p>
        </w:tc>
        <w:tc>
          <w:tcPr>
            <w:tcW w:w="2346" w:type="pct"/>
            <w:gridSpan w:val="3"/>
            <w:vAlign w:val="center"/>
          </w:tcPr>
          <w:p>
            <w:pPr>
              <w:widowControl w:val="0"/>
              <w:spacing w:line="190" w:lineRule="auto"/>
              <w:ind w:left="120" w:right="24"/>
              <w:jc w:val="both"/>
              <w:rPr>
                <w:rFonts w:ascii="宋体" w:hAnsi="宋体" w:cs="宋体" w:hint="eastAsia"/>
                <w:kern w:val="2"/>
                <w:sz w:val="21"/>
                <w:szCs w:val="21"/>
                <w:lang w:eastAsia="zh-CN"/>
              </w:rPr>
            </w:pPr>
            <w:r>
              <w:rPr>
                <w:rFonts w:ascii="宋体" w:hAnsi="宋体" w:cs="宋体" w:hint="eastAsia"/>
                <w:spacing w:val="-8"/>
                <w:kern w:val="2"/>
                <w:sz w:val="21"/>
                <w:szCs w:val="21"/>
                <w:lang w:eastAsia="zh-CN"/>
              </w:rPr>
              <w:t>指对投标（响应）供应商不具有出资持</w:t>
            </w:r>
            <w:r>
              <w:rPr>
                <w:rFonts w:ascii="宋体" w:hAnsi="宋体" w:cs="宋体" w:hint="eastAsia"/>
                <w:spacing w:val="-3"/>
                <w:kern w:val="2"/>
                <w:sz w:val="21"/>
                <w:szCs w:val="21"/>
                <w:lang w:eastAsia="zh-CN"/>
              </w:rPr>
              <w:t>股关系，但对其存在管理关系的主体。</w:t>
            </w:r>
          </w:p>
        </w:tc>
      </w:tr>
      <w:tr>
        <w:tblPrEx>
          <w:tblW w:w="5000" w:type="pct"/>
          <w:tblInd w:w="0" w:type="dxa"/>
          <w:tblLayout w:type="fixed"/>
          <w:tblCellMar>
            <w:top w:w="0" w:type="dxa"/>
            <w:left w:w="0" w:type="dxa"/>
            <w:bottom w:w="0" w:type="dxa"/>
            <w:right w:w="0" w:type="dxa"/>
          </w:tblCellMar>
        </w:tblPrEx>
        <w:trPr>
          <w:trHeight w:val="519"/>
        </w:trPr>
        <w:tc>
          <w:tcPr>
            <w:tcW w:w="5000" w:type="pct"/>
            <w:gridSpan w:val="8"/>
            <w:vAlign w:val="center"/>
          </w:tcPr>
          <w:p>
            <w:pPr>
              <w:widowControl w:val="0"/>
              <w:spacing w:line="180" w:lineRule="auto"/>
              <w:ind w:left="120"/>
              <w:jc w:val="both"/>
              <w:rPr>
                <w:rFonts w:ascii="宋体" w:hAnsi="宋体" w:cs="宋体" w:hint="eastAsia"/>
                <w:kern w:val="2"/>
                <w:sz w:val="21"/>
                <w:szCs w:val="21"/>
                <w:lang w:eastAsia="zh-CN"/>
              </w:rPr>
            </w:pPr>
            <w:r>
              <w:rPr>
                <w:rFonts w:ascii="宋体" w:hAnsi="宋体" w:cs="宋体" w:hint="eastAsia"/>
                <w:b/>
                <w:bCs/>
                <w:spacing w:val="-1"/>
                <w:kern w:val="2"/>
                <w:sz w:val="21"/>
                <w:szCs w:val="21"/>
                <w:lang w:eastAsia="zh-CN"/>
              </w:rPr>
              <w:t>说明：同一关联关系类型有多个主体的，应分行填写。</w:t>
            </w:r>
          </w:p>
        </w:tc>
      </w:tr>
    </w:tbl>
    <w:p>
      <w:pPr>
        <w:widowControl w:val="0"/>
        <w:ind w:left="720" w:hanging="720" w:hangingChars="300"/>
        <w:jc w:val="both"/>
        <w:rPr>
          <w:rFonts w:eastAsia="宋体"/>
          <w:b/>
          <w:kern w:val="2"/>
          <w:lang w:eastAsia="zh-CN"/>
        </w:rPr>
      </w:pPr>
    </w:p>
    <w:p>
      <w:pPr>
        <w:keepNext/>
        <w:keepLines/>
        <w:widowControl w:val="0"/>
        <w:spacing w:before="260" w:after="260" w:line="240" w:lineRule="auto"/>
        <w:jc w:val="center"/>
        <w:outlineLvl w:val="2"/>
        <w:rPr>
          <w:rFonts w:ascii="宋体" w:eastAsia="宋体" w:hAnsi="宋体"/>
          <w:b/>
          <w:bCs/>
          <w:kern w:val="2"/>
          <w:sz w:val="28"/>
          <w:szCs w:val="32"/>
          <w:lang w:eastAsia="zh-CN"/>
        </w:rPr>
      </w:pPr>
      <w:r>
        <w:rPr>
          <w:rFonts w:ascii="黑体" w:eastAsia="黑体" w:hAnsi="宋体" w:hint="eastAsia"/>
          <w:bCs/>
          <w:kern w:val="2"/>
          <w:lang w:eastAsia="zh-CN"/>
        </w:rPr>
        <w:t>四、项目详细报价</w:t>
      </w:r>
    </w:p>
    <w:p>
      <w:pPr>
        <w:widowControl w:val="0"/>
        <w:spacing w:line="360" w:lineRule="auto"/>
        <w:jc w:val="center"/>
        <w:rPr>
          <w:rFonts w:eastAsia="宋体"/>
          <w:kern w:val="2"/>
          <w:lang w:eastAsia="zh-CN"/>
        </w:rPr>
      </w:pPr>
      <w:r>
        <w:rPr>
          <w:rFonts w:eastAsia="宋体" w:hint="eastAsia"/>
          <w:b/>
          <w:bCs/>
          <w:kern w:val="2"/>
          <w:lang w:eastAsia="zh-CN"/>
        </w:rPr>
        <w:t>（一）</w:t>
      </w:r>
      <w:r>
        <w:rPr>
          <w:rFonts w:eastAsia="宋体" w:hint="eastAsia"/>
          <w:b/>
          <w:kern w:val="2"/>
          <w:lang w:eastAsia="zh-CN"/>
        </w:rPr>
        <w:t>分项报价表</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02"/>
        <w:gridCol w:w="2832"/>
        <w:gridCol w:w="2195"/>
      </w:tblGrid>
      <w:tr>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720"/>
          <w:jc w:val="center"/>
        </w:trPr>
        <w:tc>
          <w:tcPr>
            <w:tcW w:w="3246"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项目名称</w:t>
            </w:r>
          </w:p>
        </w:tc>
        <w:tc>
          <w:tcPr>
            <w:tcW w:w="2625"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投标报价（元）</w:t>
            </w:r>
          </w:p>
        </w:tc>
        <w:tc>
          <w:tcPr>
            <w:tcW w:w="2034"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备注</w:t>
            </w:r>
          </w:p>
        </w:tc>
      </w:tr>
      <w:tr>
        <w:tblPrEx>
          <w:tblW w:w="5000" w:type="pct"/>
          <w:jc w:val="center"/>
          <w:tblLayout w:type="fixed"/>
          <w:tblCellMar>
            <w:top w:w="0" w:type="dxa"/>
            <w:left w:w="108" w:type="dxa"/>
            <w:bottom w:w="0" w:type="dxa"/>
            <w:right w:w="108" w:type="dxa"/>
          </w:tblCellMar>
        </w:tblPrEx>
        <w:trPr>
          <w:cantSplit/>
          <w:trHeight w:val="738"/>
          <w:jc w:val="center"/>
        </w:trPr>
        <w:tc>
          <w:tcPr>
            <w:tcW w:w="3246" w:type="dxa"/>
            <w:tcBorders>
              <w:top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u w:val="single"/>
                <w:lang w:eastAsia="zh-CN"/>
              </w:rPr>
            </w:pPr>
            <w:r>
              <w:rPr>
                <w:rFonts w:ascii="宋体" w:eastAsia="宋体" w:hAnsi="宋体" w:hint="eastAsia"/>
                <w:snapToGrid w:val="0"/>
                <w:szCs w:val="21"/>
                <w:u w:val="single"/>
                <w:lang w:eastAsia="zh-CN"/>
              </w:rPr>
              <w:t xml:space="preserve">                 项目</w:t>
            </w:r>
          </w:p>
        </w:tc>
        <w:tc>
          <w:tcPr>
            <w:tcW w:w="2625" w:type="dxa"/>
            <w:tcBorders>
              <w:top w:val="single" w:sz="4" w:space="0" w:color="auto"/>
            </w:tcBorders>
            <w:vAlign w:val="center"/>
          </w:tcPr>
          <w:p>
            <w:pPr>
              <w:widowControl/>
              <w:adjustRightInd w:val="0"/>
              <w:snapToGrid w:val="0"/>
              <w:spacing w:line="300" w:lineRule="auto"/>
              <w:jc w:val="left"/>
              <w:rPr>
                <w:rFonts w:ascii="宋体" w:eastAsia="宋体" w:hAnsi="宋体" w:hint="eastAsia"/>
                <w:snapToGrid w:val="0"/>
                <w:szCs w:val="21"/>
                <w:lang w:eastAsia="zh-CN"/>
              </w:rPr>
            </w:pPr>
            <w:r>
              <w:rPr>
                <w:rFonts w:ascii="宋体" w:eastAsia="宋体" w:hAnsi="宋体" w:hint="eastAsia"/>
                <w:snapToGrid w:val="0"/>
                <w:szCs w:val="21"/>
                <w:lang w:eastAsia="zh-CN"/>
              </w:rPr>
              <w:t>大写：</w:t>
            </w:r>
          </w:p>
          <w:p>
            <w:pPr>
              <w:widowControl/>
              <w:adjustRightInd w:val="0"/>
              <w:snapToGrid w:val="0"/>
              <w:spacing w:line="300" w:lineRule="auto"/>
              <w:jc w:val="left"/>
              <w:rPr>
                <w:rFonts w:eastAsia="宋体"/>
                <w:kern w:val="2"/>
                <w:sz w:val="21"/>
                <w:lang w:eastAsia="zh-CN"/>
              </w:rPr>
            </w:pPr>
            <w:r>
              <w:rPr>
                <w:rFonts w:ascii="宋体" w:eastAsia="宋体" w:hAnsi="宋体" w:hint="eastAsia"/>
                <w:snapToGrid w:val="0"/>
                <w:szCs w:val="21"/>
                <w:lang w:eastAsia="zh-CN"/>
              </w:rPr>
              <w:t>小写：</w:t>
            </w:r>
          </w:p>
        </w:tc>
        <w:tc>
          <w:tcPr>
            <w:tcW w:w="2034" w:type="dxa"/>
            <w:tcBorders>
              <w:top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p>
        </w:tc>
      </w:tr>
    </w:tbl>
    <w:p>
      <w:pPr>
        <w:widowControl w:val="0"/>
        <w:ind w:left="630" w:hanging="630" w:hangingChars="300"/>
        <w:jc w:val="both"/>
        <w:rPr>
          <w:rFonts w:eastAsia="宋体"/>
          <w:b/>
          <w:color w:val="0000FF"/>
          <w:kern w:val="2"/>
          <w:sz w:val="21"/>
          <w:szCs w:val="21"/>
          <w:lang w:eastAsia="zh-CN"/>
        </w:rPr>
      </w:pPr>
      <w:r>
        <w:rPr>
          <w:rFonts w:eastAsia="宋体" w:hint="eastAsia"/>
          <w:b/>
          <w:color w:val="0000FF"/>
          <w:kern w:val="2"/>
          <w:sz w:val="21"/>
          <w:szCs w:val="21"/>
          <w:lang w:eastAsia="zh-CN"/>
        </w:rPr>
        <w:t>注：</w:t>
      </w:r>
    </w:p>
    <w:p>
      <w:pPr>
        <w:widowControl/>
        <w:snapToGrid w:val="0"/>
        <w:ind w:firstLine="420" w:firstLineChars="200"/>
        <w:jc w:val="left"/>
        <w:rPr>
          <w:rFonts w:ascii="宋体" w:eastAsia="宋体" w:hAnsi="宋体" w:hint="eastAsia"/>
          <w:color w:val="0000FF"/>
          <w:sz w:val="21"/>
          <w:szCs w:val="21"/>
          <w:lang w:eastAsia="zh-CN"/>
        </w:rPr>
      </w:pPr>
      <w:r>
        <w:rPr>
          <w:rFonts w:ascii="宋体" w:eastAsia="宋体" w:hAnsi="宋体" w:hint="eastAsia"/>
          <w:color w:val="0000FF"/>
          <w:sz w:val="21"/>
          <w:szCs w:val="21"/>
          <w:lang w:eastAsia="zh-CN"/>
        </w:rPr>
        <w:t>1、投标人的投标报价不得超过预算金额，否则将导致投标无效。</w:t>
      </w: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w:t>
      </w:r>
      <w:bookmarkStart w:id="42" w:name="_Hlk72073235"/>
      <w:r>
        <w:rPr>
          <w:rFonts w:eastAsia="宋体" w:hint="eastAsia"/>
          <w:b/>
          <w:kern w:val="2"/>
          <w:lang w:eastAsia="zh-CN"/>
        </w:rPr>
        <w:t>投标人认为需要涉及的其他内容报价清单</w:t>
      </w:r>
      <w:bookmarkEnd w:id="42"/>
    </w:p>
    <w:p>
      <w:pPr>
        <w:widowControl w:val="0"/>
        <w:jc w:val="both"/>
        <w:rPr>
          <w:rFonts w:eastAsia="宋体"/>
          <w:b/>
          <w:bCs/>
          <w:kern w:val="2"/>
          <w:sz w:val="21"/>
          <w:lang w:eastAsia="zh-CN"/>
        </w:rPr>
      </w:pP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五、</w:t>
      </w:r>
      <w:bookmarkStart w:id="43" w:name="_Hlk72092499"/>
      <w:r>
        <w:rPr>
          <w:rFonts w:ascii="黑体" w:eastAsia="黑体" w:hAnsi="宋体" w:hint="eastAsia"/>
          <w:bCs/>
          <w:kern w:val="2"/>
          <w:szCs w:val="32"/>
          <w:lang w:eastAsia="zh-CN"/>
        </w:rPr>
        <w:t>法定代表人（负责人）证明书</w:t>
      </w:r>
      <w:bookmarkEnd w:id="43"/>
    </w:p>
    <w:p>
      <w:pPr>
        <w:widowControl w:val="0"/>
        <w:jc w:val="both"/>
        <w:rPr>
          <w:rFonts w:eastAsia="宋体"/>
          <w:kern w:val="2"/>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9"/>
        </w:numPr>
        <w:ind w:left="420" w:firstLine="420" w:firstLineChars="200"/>
        <w:jc w:val="both"/>
        <w:rPr>
          <w:rFonts w:eastAsia="宋体"/>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9"/>
        </w:numPr>
        <w:ind w:left="420"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9"/>
        </w:numPr>
        <w:ind w:left="420"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ind w:firstLine="480" w:firstLineChars="20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六、投标文件签署授权委托书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ind w:firstLine="420" w:firstLineChars="200"/>
        <w:jc w:val="both"/>
        <w:rPr>
          <w:rFonts w:eastAsia="宋体"/>
          <w:b/>
          <w:color w:val="FF0000"/>
          <w:kern w:val="2"/>
          <w:sz w:val="21"/>
          <w:szCs w:val="21"/>
          <w:lang w:eastAsia="zh-CN"/>
        </w:rPr>
      </w:pPr>
      <w:r>
        <w:rPr>
          <w:rFonts w:eastAsia="宋体" w:hint="eastAsia"/>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keepNext/>
        <w:keepLines/>
        <w:widowControl w:val="0"/>
        <w:spacing w:before="260" w:after="260" w:line="240" w:lineRule="auto"/>
        <w:jc w:val="center"/>
        <w:outlineLvl w:val="2"/>
        <w:rPr>
          <w:rFonts w:ascii="黑体" w:eastAsia="黑体" w:hAnsi="宋体" w:hint="eastAsia"/>
          <w:bCs/>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七、</w:t>
      </w:r>
      <w:bookmarkStart w:id="44" w:name="_Hlk72092634"/>
      <w:r>
        <w:rPr>
          <w:rFonts w:ascii="黑体" w:eastAsia="黑体" w:hAnsi="宋体" w:hint="eastAsia"/>
          <w:bCs/>
          <w:lang w:eastAsia="zh-CN"/>
        </w:rPr>
        <w:t>实质性条款响应情况表</w:t>
      </w:r>
      <w:bookmarkEnd w:id="44"/>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3"/>
        <w:gridCol w:w="3647"/>
        <w:gridCol w:w="1618"/>
        <w:gridCol w:w="1324"/>
        <w:gridCol w:w="120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bookmarkStart w:id="45" w:name="_Hlk72092651"/>
            <w:r>
              <w:rPr>
                <w:rFonts w:ascii="宋体" w:eastAsia="宋体" w:hAnsi="宋体" w:hint="eastAsia"/>
                <w:sz w:val="21"/>
                <w:szCs w:val="21"/>
                <w:lang w:eastAsia="zh-CN"/>
              </w:rPr>
              <w:t>序号</w:t>
            </w:r>
          </w:p>
        </w:tc>
        <w:tc>
          <w:tcPr>
            <w:tcW w:w="3514"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c>
          <w:tcPr>
            <w:tcW w:w="1559"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投标响应</w:t>
            </w:r>
          </w:p>
        </w:tc>
        <w:tc>
          <w:tcPr>
            <w:tcW w:w="1276"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偏离情况</w:t>
            </w:r>
          </w:p>
        </w:tc>
        <w:tc>
          <w:tcPr>
            <w:tcW w:w="1163"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说明</w:t>
            </w:r>
          </w:p>
        </w:tc>
      </w:tr>
      <w:bookmarkEnd w:id="45"/>
      <w:tr>
        <w:tblPrEx>
          <w:tblW w:w="5000" w:type="pct"/>
          <w:tblInd w:w="0" w:type="dxa"/>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1</w:t>
            </w:r>
          </w:p>
        </w:tc>
        <w:tc>
          <w:tcPr>
            <w:tcW w:w="3514" w:type="dxa"/>
          </w:tcPr>
          <w:p>
            <w:pPr>
              <w:widowControl w:val="0"/>
              <w:adjustRightInd w:val="0"/>
              <w:snapToGrid w:val="0"/>
              <w:spacing w:line="360" w:lineRule="auto"/>
              <w:jc w:val="left"/>
              <w:rPr>
                <w:rFonts w:eastAsia="宋体" w:hAnsi="宋体" w:hint="eastAsia"/>
                <w:sz w:val="21"/>
                <w:szCs w:val="21"/>
                <w:lang w:eastAsia="zh-CN"/>
              </w:rPr>
            </w:pPr>
            <w:r>
              <w:rPr>
                <w:rFonts w:eastAsia="宋体" w:hint="eastAsia"/>
                <w:kern w:val="2"/>
                <w:sz w:val="21"/>
                <w:lang w:eastAsia="zh-CN"/>
              </w:rPr>
              <w:t>满足本项目标★的条款要求</w:t>
            </w:r>
          </w:p>
        </w:tc>
        <w:tc>
          <w:tcPr>
            <w:tcW w:w="1559" w:type="dxa"/>
          </w:tcPr>
          <w:p>
            <w:pPr>
              <w:widowControl w:val="0"/>
              <w:adjustRightInd w:val="0"/>
              <w:snapToGrid w:val="0"/>
              <w:spacing w:line="360" w:lineRule="auto"/>
              <w:jc w:val="both"/>
              <w:rPr>
                <w:rFonts w:ascii="宋体" w:eastAsia="宋体" w:hAnsi="宋体" w:hint="eastAsia"/>
                <w:sz w:val="21"/>
                <w:szCs w:val="21"/>
                <w:lang w:eastAsia="zh-CN"/>
              </w:rPr>
            </w:pPr>
          </w:p>
        </w:tc>
        <w:tc>
          <w:tcPr>
            <w:tcW w:w="1276" w:type="dxa"/>
          </w:tcPr>
          <w:p>
            <w:pPr>
              <w:widowControl w:val="0"/>
              <w:adjustRightInd w:val="0"/>
              <w:snapToGrid w:val="0"/>
              <w:spacing w:line="360" w:lineRule="auto"/>
              <w:jc w:val="both"/>
              <w:rPr>
                <w:rFonts w:ascii="宋体" w:eastAsia="宋体" w:hAnsi="宋体" w:hint="eastAsia"/>
                <w:sz w:val="21"/>
                <w:szCs w:val="21"/>
                <w:lang w:eastAsia="zh-CN"/>
              </w:rPr>
            </w:pPr>
          </w:p>
        </w:tc>
        <w:tc>
          <w:tcPr>
            <w:tcW w:w="1163" w:type="dxa"/>
          </w:tcPr>
          <w:p>
            <w:pPr>
              <w:widowControl w:val="0"/>
              <w:adjustRightInd w:val="0"/>
              <w:snapToGrid w:val="0"/>
              <w:spacing w:line="360" w:lineRule="auto"/>
              <w:jc w:val="both"/>
              <w:rPr>
                <w:rFonts w:ascii="宋体" w:eastAsia="宋体" w:hAnsi="宋体" w:hint="eastAsia"/>
                <w:sz w:val="21"/>
                <w:szCs w:val="21"/>
                <w:lang w:eastAsia="zh-CN"/>
              </w:rPr>
            </w:pPr>
          </w:p>
        </w:tc>
      </w:tr>
    </w:tbl>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szCs w:val="22"/>
          <w:lang w:eastAsia="zh-CN"/>
        </w:rPr>
      </w:pPr>
      <w:r>
        <w:rPr>
          <w:rFonts w:eastAsia="宋体" w:hint="eastAsia"/>
          <w:b/>
          <w:kern w:val="2"/>
          <w:szCs w:val="22"/>
          <w:lang w:eastAsia="zh-CN"/>
        </w:rPr>
        <w:t>4.评审委员会有权对投标响应情况作出判断（作出评审结论）。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hint="eastAsia"/>
          <w:b/>
          <w:kern w:val="2"/>
          <w:szCs w:val="22"/>
          <w:lang w:eastAsia="zh-CN"/>
        </w:rPr>
        <w:t>5.实质性响应条款“投标响应情况”与投标文件其他内容冲突的，以实质性响应条款“投标响应情况”为准。</w:t>
      </w:r>
    </w:p>
    <w:p>
      <w:pPr>
        <w:widowControl w:val="0"/>
        <w:ind w:firstLine="480" w:firstLineChars="200"/>
        <w:jc w:val="both"/>
        <w:rPr>
          <w:rFonts w:eastAsia="宋体"/>
          <w:b/>
          <w:kern w:val="2"/>
          <w:lang w:eastAsia="zh-CN"/>
        </w:rPr>
      </w:pPr>
      <w:r>
        <w:rPr>
          <w:rFonts w:eastAsia="宋体" w:hint="eastAsia"/>
          <w:b/>
          <w:kern w:val="2"/>
          <w:szCs w:val="22"/>
          <w:lang w:eastAsia="zh-CN"/>
        </w:rPr>
        <w:t>6.要求提供证明资料，在“说明”一栏中列明证明资料的位置,以便评审；未要求提供证明材料的，投标人可以不提供</w:t>
      </w:r>
      <w:r>
        <w:rPr>
          <w:rFonts w:eastAsia="宋体" w:hint="eastAsia"/>
          <w:b/>
          <w:kern w:val="2"/>
          <w:lang w:eastAsia="zh-CN"/>
        </w:rPr>
        <w:t>。</w:t>
      </w:r>
    </w:p>
    <w:p>
      <w:pPr>
        <w:widowControl w:val="0"/>
        <w:jc w:val="both"/>
        <w:rPr>
          <w:rFonts w:eastAsia="宋体"/>
          <w:b/>
          <w:bCs/>
          <w:kern w:val="2"/>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八、实施方案（格式自定）</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九、项目重点难点分析、应对措施及相关的合理化建议（格式自定）</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
          <w:bCs/>
          <w:kern w:val="2"/>
          <w:szCs w:val="32"/>
          <w:lang w:eastAsia="zh-CN"/>
        </w:rPr>
      </w:pPr>
      <w:r>
        <w:rPr>
          <w:rFonts w:ascii="黑体" w:eastAsia="黑体" w:hAnsi="宋体" w:hint="eastAsia"/>
          <w:bCs/>
          <w:lang w:eastAsia="zh-CN"/>
        </w:rPr>
        <w:t>十、质量（完成时间、安全、环保）保障措施及方案（格式自定）</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十一、项目完成（服务期满）后的服务承诺（格式自定）</w:t>
      </w:r>
    </w:p>
    <w:p>
      <w:pPr>
        <w:widowControl w:val="0"/>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十二、违约承诺（格式自定）</w:t>
      </w:r>
    </w:p>
    <w:p>
      <w:pPr>
        <w:widowControl w:val="0"/>
        <w:spacing w:before="60" w:beforeLines="25" w:after="60" w:afterLines="25"/>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十三、拟安排的项目负责人情况（仅限一人）（格式自定）</w:t>
      </w:r>
    </w:p>
    <w:p>
      <w:pPr>
        <w:widowControl w:val="0"/>
        <w:spacing w:before="60" w:beforeLines="25" w:after="60" w:afterLines="25"/>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十四、拟安排的项目主要团队成员（主要技术人员）情况（项目负责人除外）（格式自定）</w:t>
      </w:r>
    </w:p>
    <w:p>
      <w:pPr>
        <w:widowControl w:val="0"/>
        <w:spacing w:before="60" w:beforeLines="25" w:after="60" w:afterLines="25"/>
        <w:ind w:firstLine="0"/>
        <w:jc w:val="both"/>
        <w:rPr>
          <w:rFonts w:ascii="宋体" w:eastAsia="宋体" w:hAnsi="宋体" w:cs="宋体" w:hint="eastAsia"/>
          <w:color w:val="FF0000"/>
          <w:kern w:val="2"/>
          <w:szCs w:val="20"/>
          <w:lang w:eastAsia="zh-CN"/>
        </w:rPr>
      </w:pPr>
      <w:r>
        <w:rPr>
          <w:rFonts w:ascii="宋体" w:eastAsia="宋体" w:hAnsi="宋体" w:cs="宋体" w:hint="eastAsia"/>
          <w:color w:val="FF0000"/>
          <w:kern w:val="2"/>
          <w:szCs w:val="20"/>
          <w:lang w:eastAsia="zh-CN"/>
        </w:rPr>
        <w:t>（特别提示：投标人须按本招标文件评标信息中这一评审因素要求，提供证明资料）</w:t>
      </w:r>
    </w:p>
    <w:p>
      <w:pPr>
        <w:widowControl w:val="0"/>
        <w:spacing w:before="60" w:beforeLines="25" w:after="60" w:afterLines="25"/>
        <w:ind w:firstLine="0"/>
        <w:jc w:val="both"/>
        <w:rPr>
          <w:rFonts w:ascii="宋体" w:eastAsia="宋体" w:hAnsi="宋体" w:cs="宋体" w:hint="eastAsia"/>
          <w:kern w:val="2"/>
          <w:szCs w:val="20"/>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十五、技术要求偏离情况</w:t>
      </w:r>
    </w:p>
    <w:tbl>
      <w:tblPr>
        <w:tblStyle w:val="TableNormal"/>
        <w:tblW w:w="5000"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
        <w:gridCol w:w="657"/>
        <w:gridCol w:w="3511"/>
        <w:gridCol w:w="1347"/>
        <w:gridCol w:w="1347"/>
        <w:gridCol w:w="1347"/>
      </w:tblGrid>
      <w:tr>
        <w:tblPrEx>
          <w:tblW w:w="5000" w:type="pct"/>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trPr>
        <w:tc>
          <w:tcPr>
            <w:tcW w:w="324" w:type="dxa"/>
            <w:tcBorders>
              <w:top w:val="single" w:sz="4" w:space="0" w:color="auto"/>
              <w:left w:val="single" w:sz="4" w:space="0" w:color="auto"/>
              <w:bottom w:val="single" w:sz="4" w:space="0" w:color="auto"/>
              <w:right w:val="single" w:sz="4" w:space="0" w:color="auto"/>
            </w:tcBorders>
            <w:shd w:val="clear" w:color="auto" w:fill="D9D9D9"/>
            <w:noWrap/>
            <w:vAlign w:val="center"/>
          </w:tcPr>
          <w:p>
            <w:pPr>
              <w:widowControl w:val="0"/>
              <w:adjustRightInd w:val="0"/>
              <w:snapToGrid w:val="0"/>
              <w:spacing w:line="240" w:lineRule="exact"/>
              <w:jc w:val="both"/>
              <w:rPr>
                <w:rFonts w:ascii="宋体" w:eastAsia="宋体" w:hAnsi="宋体"/>
                <w:b/>
                <w:bCs/>
                <w:color w:val="000000"/>
                <w:kern w:val="2"/>
                <w:sz w:val="21"/>
                <w:lang w:eastAsia="zh-CN"/>
              </w:rPr>
            </w:pPr>
            <w:r>
              <w:rPr>
                <w:rFonts w:ascii="宋体" w:eastAsia="宋体" w:hAnsi="宋体" w:hint="eastAsia"/>
                <w:b/>
                <w:bCs/>
                <w:color w:val="000000"/>
                <w:kern w:val="2"/>
                <w:sz w:val="21"/>
                <w:lang w:eastAsia="zh-CN"/>
              </w:rPr>
              <w:t>序号</w:t>
            </w:r>
          </w:p>
        </w:tc>
        <w:tc>
          <w:tcPr>
            <w:tcW w:w="672" w:type="dxa"/>
            <w:tcBorders>
              <w:top w:val="single" w:sz="4" w:space="0" w:color="auto"/>
              <w:left w:val="single" w:sz="4" w:space="0" w:color="auto"/>
              <w:bottom w:val="single" w:sz="4" w:space="0" w:color="auto"/>
              <w:right w:val="single" w:sz="4" w:space="0" w:color="auto"/>
            </w:tcBorders>
            <w:shd w:val="clear" w:color="auto" w:fill="D9D9D9"/>
            <w:noWrap/>
            <w:vAlign w:val="center"/>
          </w:tcPr>
          <w:p>
            <w:pPr>
              <w:widowControl w:val="0"/>
              <w:adjustRightInd w:val="0"/>
              <w:snapToGrid w:val="0"/>
              <w:spacing w:line="240" w:lineRule="exact"/>
              <w:jc w:val="both"/>
              <w:rPr>
                <w:rFonts w:ascii="宋体" w:eastAsia="宋体" w:hAnsi="宋体" w:hint="eastAsia"/>
                <w:b/>
                <w:bCs/>
                <w:color w:val="000000"/>
                <w:kern w:val="2"/>
                <w:sz w:val="21"/>
                <w:lang w:eastAsia="zh-CN"/>
              </w:rPr>
            </w:pPr>
            <w:r>
              <w:rPr>
                <w:rFonts w:ascii="宋体" w:eastAsia="宋体" w:hAnsi="宋体" w:hint="eastAsia"/>
                <w:b/>
                <w:bCs/>
                <w:color w:val="000000"/>
                <w:kern w:val="2"/>
                <w:sz w:val="21"/>
                <w:lang w:eastAsia="zh-CN"/>
              </w:rPr>
              <w:t>工具名称</w:t>
            </w:r>
          </w:p>
        </w:tc>
        <w:tc>
          <w:tcPr>
            <w:tcW w:w="3627" w:type="dxa"/>
            <w:tcBorders>
              <w:top w:val="single" w:sz="4" w:space="0" w:color="auto"/>
              <w:left w:val="single" w:sz="4" w:space="0" w:color="auto"/>
              <w:bottom w:val="single" w:sz="4" w:space="0" w:color="auto"/>
              <w:right w:val="single" w:sz="4" w:space="0" w:color="auto"/>
            </w:tcBorders>
            <w:shd w:val="clear" w:color="auto" w:fill="D9D9D9"/>
            <w:noWrap w:val="0"/>
            <w:vAlign w:val="center"/>
          </w:tcPr>
          <w:p>
            <w:pPr>
              <w:widowControl w:val="0"/>
              <w:adjustRightInd w:val="0"/>
              <w:snapToGrid w:val="0"/>
              <w:spacing w:line="240" w:lineRule="exact"/>
              <w:jc w:val="both"/>
              <w:rPr>
                <w:rFonts w:ascii="宋体" w:eastAsia="宋体" w:hAnsi="宋体" w:hint="eastAsia"/>
                <w:b/>
                <w:bCs/>
                <w:color w:val="000000"/>
                <w:kern w:val="2"/>
                <w:sz w:val="21"/>
                <w:lang w:eastAsia="zh-CN"/>
              </w:rPr>
            </w:pPr>
            <w:r>
              <w:rPr>
                <w:rFonts w:ascii="宋体" w:eastAsia="宋体" w:hAnsi="宋体" w:hint="eastAsia"/>
                <w:b/>
                <w:bCs/>
                <w:color w:val="000000"/>
                <w:kern w:val="2"/>
                <w:sz w:val="21"/>
                <w:lang w:eastAsia="zh-CN"/>
              </w:rPr>
              <w:t>招标技术参数要求</w:t>
            </w:r>
          </w:p>
        </w:tc>
        <w:tc>
          <w:tcPr>
            <w:tcW w:w="1386" w:type="dxa"/>
            <w:tcBorders>
              <w:top w:val="single" w:sz="4" w:space="0" w:color="auto"/>
              <w:left w:val="single" w:sz="4" w:space="0" w:color="auto"/>
              <w:bottom w:val="single" w:sz="4" w:space="0" w:color="auto"/>
              <w:right w:val="single" w:sz="4" w:space="0" w:color="auto"/>
            </w:tcBorders>
            <w:shd w:val="clear" w:color="auto" w:fill="D9D9D9"/>
            <w:noWrap w:val="0"/>
            <w:vAlign w:val="center"/>
          </w:tcPr>
          <w:p>
            <w:pPr>
              <w:widowControl w:val="0"/>
              <w:jc w:val="center"/>
              <w:rPr>
                <w:rFonts w:ascii="宋体" w:eastAsia="宋体" w:hAnsi="宋体" w:hint="eastAsia"/>
                <w:b/>
                <w:bCs/>
                <w:color w:val="000000"/>
                <w:kern w:val="2"/>
                <w:sz w:val="21"/>
                <w:lang w:eastAsia="zh-CN"/>
              </w:rPr>
            </w:pPr>
            <w:r>
              <w:rPr>
                <w:rFonts w:eastAsia="宋体" w:hint="eastAsia"/>
                <w:kern w:val="2"/>
                <w:lang w:eastAsia="zh-CN"/>
              </w:rPr>
              <w:t>投标技术响应</w:t>
            </w:r>
          </w:p>
        </w:tc>
        <w:tc>
          <w:tcPr>
            <w:tcW w:w="1386" w:type="dxa"/>
            <w:tcBorders>
              <w:top w:val="single" w:sz="4" w:space="0" w:color="auto"/>
              <w:left w:val="single" w:sz="4" w:space="0" w:color="auto"/>
              <w:bottom w:val="single" w:sz="4" w:space="0" w:color="auto"/>
              <w:right w:val="single" w:sz="4" w:space="0" w:color="auto"/>
            </w:tcBorders>
            <w:shd w:val="clear" w:color="auto" w:fill="D9D9D9"/>
            <w:noWrap w:val="0"/>
            <w:vAlign w:val="center"/>
          </w:tcPr>
          <w:p>
            <w:pPr>
              <w:widowControl w:val="0"/>
              <w:jc w:val="center"/>
              <w:rPr>
                <w:rFonts w:ascii="宋体" w:eastAsia="宋体" w:hAnsi="宋体" w:hint="eastAsia"/>
                <w:b/>
                <w:bCs/>
                <w:color w:val="000000"/>
                <w:kern w:val="2"/>
                <w:sz w:val="21"/>
                <w:lang w:eastAsia="zh-CN"/>
              </w:rPr>
            </w:pPr>
            <w:r>
              <w:rPr>
                <w:rFonts w:eastAsia="宋体" w:hint="eastAsia"/>
                <w:kern w:val="2"/>
                <w:lang w:eastAsia="zh-CN"/>
              </w:rPr>
              <w:t>偏离情况</w:t>
            </w:r>
          </w:p>
        </w:tc>
        <w:tc>
          <w:tcPr>
            <w:tcW w:w="1386" w:type="dxa"/>
            <w:tcBorders>
              <w:top w:val="single" w:sz="4" w:space="0" w:color="auto"/>
              <w:left w:val="single" w:sz="4" w:space="0" w:color="auto"/>
              <w:bottom w:val="single" w:sz="4" w:space="0" w:color="auto"/>
              <w:right w:val="single" w:sz="4" w:space="0" w:color="auto"/>
            </w:tcBorders>
            <w:shd w:val="clear" w:color="auto" w:fill="D9D9D9"/>
            <w:noWrap w:val="0"/>
            <w:vAlign w:val="center"/>
          </w:tcPr>
          <w:p>
            <w:pPr>
              <w:widowControl w:val="0"/>
              <w:jc w:val="center"/>
              <w:rPr>
                <w:rFonts w:ascii="宋体" w:eastAsia="宋体" w:hAnsi="宋体" w:hint="eastAsia"/>
                <w:b/>
                <w:bCs/>
                <w:color w:val="000000"/>
                <w:kern w:val="2"/>
                <w:sz w:val="21"/>
                <w:lang w:eastAsia="zh-CN"/>
              </w:rPr>
            </w:pPr>
            <w:r>
              <w:rPr>
                <w:rFonts w:eastAsia="宋体" w:hint="eastAsia"/>
                <w:kern w:val="2"/>
                <w:lang w:eastAsia="zh-CN"/>
              </w:rPr>
              <w:t>说明</w:t>
            </w:r>
          </w:p>
        </w:tc>
      </w:tr>
      <w:tr>
        <w:tblPrEx>
          <w:tblW w:w="5000" w:type="pct"/>
          <w:tblInd w:w="-244" w:type="dxa"/>
          <w:tblLayout w:type="fixed"/>
          <w:tblCellMar>
            <w:top w:w="0" w:type="dxa"/>
            <w:left w:w="108" w:type="dxa"/>
            <w:bottom w:w="0" w:type="dxa"/>
            <w:right w:w="108" w:type="dxa"/>
          </w:tblCellMar>
        </w:tblPrEx>
        <w:trPr>
          <w:trHeight w:val="20"/>
        </w:trPr>
        <w:tc>
          <w:tcPr>
            <w:tcW w:w="324" w:type="dxa"/>
            <w:vMerge w:val="restart"/>
            <w:tcBorders>
              <w:top w:val="nil"/>
              <w:left w:val="single" w:sz="4" w:space="0" w:color="auto"/>
              <w:bottom w:val="single" w:sz="4" w:space="0" w:color="auto"/>
              <w:right w:val="single" w:sz="4" w:space="0" w:color="auto"/>
            </w:tcBorders>
            <w:noWrap/>
            <w:vAlign w:val="center"/>
          </w:tcPr>
          <w:p>
            <w:pPr>
              <w:widowControl w:val="0"/>
              <w:adjustRightInd w:val="0"/>
              <w:snapToGrid w:val="0"/>
              <w:spacing w:line="240" w:lineRule="exact"/>
              <w:jc w:val="both"/>
              <w:rPr>
                <w:rFonts w:ascii="宋体" w:eastAsia="宋体" w:hAnsi="宋体" w:hint="eastAsia"/>
                <w:color w:val="000000"/>
                <w:kern w:val="2"/>
                <w:sz w:val="21"/>
                <w:lang w:eastAsia="zh-CN"/>
              </w:rPr>
            </w:pPr>
            <w:r>
              <w:rPr>
                <w:rFonts w:ascii="宋体" w:eastAsia="宋体" w:hAnsi="宋体" w:hint="eastAsia"/>
                <w:color w:val="000000"/>
                <w:kern w:val="2"/>
                <w:sz w:val="21"/>
                <w:lang w:eastAsia="zh-CN"/>
              </w:rPr>
              <w:t>1</w:t>
            </w:r>
          </w:p>
        </w:tc>
        <w:tc>
          <w:tcPr>
            <w:tcW w:w="672" w:type="dxa"/>
            <w:vMerge w:val="restart"/>
            <w:tcBorders>
              <w:top w:val="nil"/>
              <w:left w:val="single" w:sz="4" w:space="0" w:color="auto"/>
              <w:bottom w:val="single" w:sz="4" w:space="0" w:color="auto"/>
              <w:right w:val="single" w:sz="4" w:space="0" w:color="auto"/>
            </w:tcBorders>
            <w:noWrap/>
            <w:vAlign w:val="center"/>
          </w:tcPr>
          <w:p>
            <w:pPr>
              <w:widowControl w:val="0"/>
              <w:adjustRightInd w:val="0"/>
              <w:snapToGrid w:val="0"/>
              <w:spacing w:line="240" w:lineRule="exact"/>
              <w:jc w:val="both"/>
              <w:rPr>
                <w:rFonts w:ascii="宋体" w:eastAsia="宋体" w:hAnsi="宋体"/>
                <w:sz w:val="21"/>
                <w:lang w:eastAsia="zh-CN"/>
              </w:rPr>
            </w:pPr>
            <w:r>
              <w:rPr>
                <w:rFonts w:ascii="宋体" w:eastAsia="宋体" w:hAnsi="宋体" w:hint="eastAsia"/>
                <w:sz w:val="21"/>
                <w:lang w:eastAsia="zh-CN"/>
              </w:rPr>
              <w:t>系统</w:t>
            </w:r>
          </w:p>
          <w:p>
            <w:pPr>
              <w:widowControl w:val="0"/>
              <w:adjustRightInd w:val="0"/>
              <w:snapToGrid w:val="0"/>
              <w:spacing w:line="240" w:lineRule="exact"/>
              <w:jc w:val="both"/>
              <w:rPr>
                <w:rFonts w:ascii="宋体" w:eastAsia="宋体" w:hAnsi="宋体"/>
                <w:sz w:val="21"/>
                <w:lang w:eastAsia="zh-CN"/>
              </w:rPr>
            </w:pPr>
            <w:r>
              <w:rPr>
                <w:rFonts w:ascii="宋体" w:eastAsia="宋体" w:hAnsi="宋体" w:hint="eastAsia"/>
                <w:sz w:val="21"/>
                <w:lang w:eastAsia="zh-CN"/>
              </w:rPr>
              <w:t>安全</w:t>
            </w:r>
          </w:p>
          <w:p>
            <w:pPr>
              <w:widowControl w:val="0"/>
              <w:adjustRightInd w:val="0"/>
              <w:snapToGrid w:val="0"/>
              <w:spacing w:line="240" w:lineRule="exact"/>
              <w:jc w:val="both"/>
              <w:rPr>
                <w:rFonts w:ascii="宋体" w:eastAsia="宋体" w:hAnsi="宋体"/>
                <w:sz w:val="21"/>
                <w:lang w:eastAsia="zh-CN"/>
              </w:rPr>
            </w:pPr>
            <w:r>
              <w:rPr>
                <w:rFonts w:ascii="宋体" w:eastAsia="宋体" w:hAnsi="宋体" w:hint="eastAsia"/>
                <w:sz w:val="21"/>
                <w:lang w:eastAsia="zh-CN"/>
              </w:rPr>
              <w:t>监测</w:t>
            </w:r>
          </w:p>
          <w:p>
            <w:pPr>
              <w:widowControl w:val="0"/>
              <w:adjustRightInd w:val="0"/>
              <w:snapToGrid w:val="0"/>
              <w:spacing w:line="240" w:lineRule="exact"/>
              <w:jc w:val="both"/>
              <w:rPr>
                <w:rFonts w:ascii="宋体" w:eastAsia="宋体" w:hAnsi="宋体" w:hint="eastAsia"/>
                <w:color w:val="000000"/>
                <w:kern w:val="2"/>
                <w:sz w:val="21"/>
                <w:lang w:eastAsia="zh-CN"/>
              </w:rPr>
            </w:pPr>
            <w:r>
              <w:rPr>
                <w:rFonts w:ascii="宋体" w:eastAsia="宋体" w:hAnsi="宋体" w:hint="eastAsia"/>
                <w:sz w:val="21"/>
                <w:lang w:eastAsia="zh-CN"/>
              </w:rPr>
              <w:t>工具</w:t>
            </w:r>
          </w:p>
        </w:tc>
        <w:tc>
          <w:tcPr>
            <w:tcW w:w="3627"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sz w:val="21"/>
                <w:lang w:eastAsia="zh-CN"/>
              </w:rPr>
            </w:pPr>
            <w:r>
              <w:rPr>
                <w:rFonts w:ascii="宋体" w:eastAsia="宋体" w:hAnsi="宋体" w:hint="eastAsia"/>
                <w:sz w:val="21"/>
                <w:lang w:eastAsia="zh-CN"/>
              </w:rPr>
              <w:t>系统基于云化SaaS架构，无需消耗虚拟机资源或本地物理资源，通过云端平台完成站点管理和数据查阅。集成AI引擎，辅助判断漏洞真实性，对高可靠结果做加V标记，向用户推送精准监测结果。</w:t>
            </w: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sz w:val="21"/>
                <w:lang w:eastAsia="zh-CN"/>
              </w:rPr>
            </w:pP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672"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3627"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r>
              <w:rPr>
                <w:rFonts w:ascii="宋体" w:eastAsia="宋体" w:hAnsi="宋体" w:hint="eastAsia"/>
                <w:b/>
                <w:bCs/>
                <w:color w:val="EE0000"/>
                <w:sz w:val="21"/>
                <w:lang w:eastAsia="zh-CN"/>
              </w:rPr>
              <w:t>▲支持监测网站安全事件，最大扫描深度可达100层，可监测事件类型包括暗链、外链、坏链、黑页、JS挖矿脚本、网页挂马。（提供功能界面截图）</w:t>
            </w: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672"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3627"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sz w:val="21"/>
                <w:lang w:eastAsia="zh-CN"/>
              </w:rPr>
            </w:pPr>
            <w:r>
              <w:rPr>
                <w:rFonts w:ascii="宋体" w:eastAsia="宋体" w:hAnsi="宋体" w:hint="eastAsia"/>
                <w:b/>
                <w:bCs/>
                <w:color w:val="EE0000"/>
                <w:sz w:val="21"/>
                <w:lang w:eastAsia="zh-CN"/>
              </w:rPr>
              <w:t>▲支持提供Web漏洞扫描服务，支持发现SQL注入漏洞、跨站脚本漏洞、命令执行漏洞、敏感信息泄露漏洞、文件包含漏洞、反序列化漏洞等漏洞。（提供功能界面截图）</w:t>
            </w: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672"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3627"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sz w:val="21"/>
                <w:lang w:eastAsia="zh-CN"/>
              </w:rPr>
            </w:pPr>
            <w:r>
              <w:rPr>
                <w:rFonts w:ascii="宋体" w:eastAsia="宋体" w:hAnsi="宋体" w:hint="eastAsia"/>
                <w:sz w:val="21"/>
                <w:lang w:eastAsia="zh-CN"/>
              </w:rPr>
              <w:t>支持基于时间、风险等级、域名维度检索漏洞扫描结果，展示站点标题、URL详情、漏洞名称、漏洞等级、专家审核时间、取证POC、修复状态。</w:t>
            </w: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sz w:val="21"/>
                <w:lang w:eastAsia="zh-CN"/>
              </w:rPr>
            </w:pP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672"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3627"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sz w:val="21"/>
                <w:lang w:eastAsia="zh-CN"/>
              </w:rPr>
            </w:pPr>
            <w:r>
              <w:rPr>
                <w:rFonts w:ascii="宋体" w:eastAsia="宋体" w:hAnsi="宋体" w:hint="eastAsia"/>
                <w:b/>
                <w:bCs/>
                <w:color w:val="EE0000"/>
                <w:sz w:val="21"/>
                <w:lang w:eastAsia="zh-CN"/>
              </w:rPr>
              <w:t>▲支持记录站点断网信息，基于站点、地址、时间维度进行检索，展示站点名称、站点地址、断网时间、持续时长、站点当前状态、恢复时间，支持查看断网事件深层数据，包括使用的探测节点信息、请求状态码、请求连接时间、DNS解析时间、页面下载时间。（提供功能界面截图）</w:t>
            </w: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672" w:type="dxa"/>
            <w:vMerge/>
            <w:tcBorders>
              <w:top w:val="nil"/>
              <w:left w:val="single" w:sz="4" w:space="0" w:color="auto"/>
              <w:bottom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3627"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r>
              <w:rPr>
                <w:rFonts w:ascii="宋体" w:eastAsia="宋体" w:hAnsi="宋体" w:hint="eastAsia"/>
                <w:b/>
                <w:bCs/>
                <w:color w:val="EE0000"/>
                <w:sz w:val="21"/>
                <w:lang w:eastAsia="zh-CN"/>
              </w:rPr>
              <w:t xml:space="preserve">▲为保障网站监测结果的隐私保障以及数据安全性，系统安全监测工具所在的云服务平台所涉及的数据处理活动应符合GB/ T 41479-2022《信息安全技术 </w:t>
            </w:r>
            <w:r>
              <w:rPr>
                <w:rFonts w:ascii="微软雅黑" w:eastAsia="微软雅黑" w:hAnsi="微软雅黑" w:cs="微软雅黑" w:hint="eastAsia"/>
                <w:b/>
                <w:bCs/>
                <w:color w:val="EE0000"/>
                <w:sz w:val="21"/>
                <w:lang w:eastAsia="zh-CN"/>
              </w:rPr>
              <w:t>⽹</w:t>
            </w:r>
            <w:r>
              <w:rPr>
                <w:rFonts w:ascii="宋体" w:eastAsia="宋体" w:hAnsi="宋体" w:hint="eastAsia"/>
                <w:b/>
                <w:bCs/>
                <w:color w:val="EE0000"/>
                <w:sz w:val="21"/>
                <w:lang w:eastAsia="zh-CN"/>
              </w:rPr>
              <w:t>络数据处理安全要求》，应具备中国网络安全审查技术与认证中心颁发的《数据安全管理认证证书》。（提供相关认证证书扫描件）</w:t>
            </w: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r>
      <w:tr>
        <w:tblPrEx>
          <w:tblW w:w="5000" w:type="pct"/>
          <w:tblInd w:w="-244" w:type="dxa"/>
          <w:tblLayout w:type="fixed"/>
          <w:tblCellMar>
            <w:top w:w="0" w:type="dxa"/>
            <w:left w:w="108" w:type="dxa"/>
            <w:bottom w:w="0" w:type="dxa"/>
            <w:right w:w="108" w:type="dxa"/>
          </w:tblCellMar>
        </w:tblPrEx>
        <w:trPr>
          <w:trHeight w:val="20"/>
        </w:trPr>
        <w:tc>
          <w:tcPr>
            <w:tcW w:w="324" w:type="dxa"/>
            <w:vMerge w:val="restart"/>
            <w:tcBorders>
              <w:top w:val="single" w:sz="4" w:space="0" w:color="auto"/>
              <w:left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hint="eastAsia"/>
                <w:color w:val="000000"/>
                <w:kern w:val="2"/>
                <w:sz w:val="21"/>
                <w:lang w:eastAsia="zh-CN"/>
              </w:rPr>
            </w:pPr>
            <w:r>
              <w:rPr>
                <w:rFonts w:ascii="宋体" w:eastAsia="宋体" w:hAnsi="宋体" w:hint="eastAsia"/>
                <w:color w:val="000000"/>
                <w:kern w:val="2"/>
                <w:sz w:val="21"/>
                <w:lang w:eastAsia="zh-CN"/>
              </w:rPr>
              <w:t>2</w:t>
            </w:r>
          </w:p>
        </w:tc>
        <w:tc>
          <w:tcPr>
            <w:tcW w:w="672" w:type="dxa"/>
            <w:vMerge w:val="restart"/>
            <w:tcBorders>
              <w:top w:val="single" w:sz="4" w:space="0" w:color="auto"/>
              <w:left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sz w:val="21"/>
                <w:lang w:eastAsia="zh-CN"/>
              </w:rPr>
            </w:pPr>
            <w:r>
              <w:rPr>
                <w:rFonts w:ascii="宋体" w:eastAsia="宋体" w:hAnsi="宋体" w:hint="eastAsia"/>
                <w:color w:val="000000"/>
                <w:sz w:val="21"/>
                <w:lang w:eastAsia="zh-CN"/>
              </w:rPr>
              <w:t>安全</w:t>
            </w:r>
          </w:p>
          <w:p>
            <w:pPr>
              <w:widowControl/>
              <w:adjustRightInd w:val="0"/>
              <w:snapToGrid w:val="0"/>
              <w:spacing w:line="240" w:lineRule="exact"/>
              <w:jc w:val="both"/>
              <w:rPr>
                <w:rFonts w:ascii="宋体" w:eastAsia="宋体" w:hAnsi="宋体"/>
                <w:color w:val="000000"/>
                <w:sz w:val="21"/>
                <w:lang w:eastAsia="zh-CN"/>
              </w:rPr>
            </w:pPr>
            <w:r>
              <w:rPr>
                <w:rFonts w:ascii="宋体" w:eastAsia="宋体" w:hAnsi="宋体" w:hint="eastAsia"/>
                <w:color w:val="000000"/>
                <w:sz w:val="21"/>
                <w:lang w:eastAsia="zh-CN"/>
              </w:rPr>
              <w:t>托管</w:t>
            </w:r>
          </w:p>
          <w:p>
            <w:pPr>
              <w:widowControl/>
              <w:adjustRightInd w:val="0"/>
              <w:snapToGrid w:val="0"/>
              <w:spacing w:line="240" w:lineRule="exact"/>
              <w:jc w:val="both"/>
              <w:rPr>
                <w:rFonts w:ascii="宋体" w:eastAsia="宋体" w:hAnsi="宋体"/>
                <w:color w:val="000000"/>
                <w:sz w:val="21"/>
                <w:lang w:eastAsia="zh-CN"/>
              </w:rPr>
            </w:pPr>
            <w:r>
              <w:rPr>
                <w:rFonts w:ascii="宋体" w:eastAsia="宋体" w:hAnsi="宋体" w:hint="eastAsia"/>
                <w:color w:val="000000"/>
                <w:sz w:val="21"/>
                <w:lang w:eastAsia="zh-CN"/>
              </w:rPr>
              <w:t>运营</w:t>
            </w:r>
          </w:p>
          <w:p>
            <w:pPr>
              <w:widowControl/>
              <w:adjustRightInd w:val="0"/>
              <w:snapToGrid w:val="0"/>
              <w:spacing w:line="240" w:lineRule="exact"/>
              <w:jc w:val="both"/>
              <w:rPr>
                <w:rFonts w:ascii="宋体" w:eastAsia="宋体" w:hAnsi="宋体"/>
                <w:color w:val="000000"/>
                <w:sz w:val="21"/>
                <w:lang w:eastAsia="zh-CN"/>
              </w:rPr>
            </w:pPr>
            <w:r>
              <w:rPr>
                <w:rFonts w:ascii="宋体" w:eastAsia="宋体" w:hAnsi="宋体" w:hint="eastAsia"/>
                <w:color w:val="000000"/>
                <w:sz w:val="21"/>
                <w:lang w:eastAsia="zh-CN"/>
              </w:rPr>
              <w:t>服务</w:t>
            </w:r>
          </w:p>
          <w:p>
            <w:pPr>
              <w:widowControl/>
              <w:adjustRightInd w:val="0"/>
              <w:snapToGrid w:val="0"/>
              <w:spacing w:line="240" w:lineRule="exact"/>
              <w:jc w:val="both"/>
              <w:rPr>
                <w:rFonts w:ascii="宋体" w:eastAsia="宋体" w:hAnsi="宋体"/>
                <w:color w:val="000000"/>
                <w:kern w:val="2"/>
                <w:sz w:val="21"/>
                <w:lang w:eastAsia="zh-CN"/>
              </w:rPr>
            </w:pPr>
            <w:r>
              <w:rPr>
                <w:rFonts w:ascii="宋体" w:eastAsia="宋体" w:hAnsi="宋体" w:hint="eastAsia"/>
                <w:color w:val="000000"/>
                <w:sz w:val="21"/>
                <w:lang w:eastAsia="zh-CN"/>
              </w:rPr>
              <w:t>工具</w:t>
            </w:r>
          </w:p>
        </w:tc>
        <w:tc>
          <w:tcPr>
            <w:tcW w:w="3627" w:type="dxa"/>
            <w:tcBorders>
              <w:top w:val="single" w:sz="4" w:space="0" w:color="auto"/>
              <w:left w:val="single" w:sz="4" w:space="0" w:color="auto"/>
              <w:bottom w:val="single" w:sz="4" w:space="0" w:color="auto"/>
              <w:right w:val="single" w:sz="4" w:space="0" w:color="auto"/>
            </w:tcBorders>
            <w:noWrap w:val="0"/>
            <w:vAlign w:val="center"/>
          </w:tcPr>
          <w:p>
            <w:pPr>
              <w:widowControl w:val="0"/>
              <w:snapToGrid w:val="0"/>
              <w:spacing w:line="240" w:lineRule="exact"/>
              <w:jc w:val="both"/>
              <w:rPr>
                <w:rFonts w:ascii="Calibri" w:eastAsia="宋体" w:hAnsi="Calibri" w:hint="eastAsia"/>
                <w:kern w:val="2"/>
                <w:sz w:val="21"/>
                <w:lang w:eastAsia="zh-CN"/>
              </w:rPr>
            </w:pPr>
            <w:r>
              <w:rPr>
                <w:rFonts w:ascii="宋体" w:eastAsia="宋体" w:hAnsi="宋体" w:hint="eastAsia"/>
                <w:b/>
                <w:bCs/>
                <w:color w:val="EE0000"/>
                <w:kern w:val="2"/>
                <w:sz w:val="21"/>
                <w:lang w:eastAsia="zh-CN"/>
              </w:rPr>
              <w:t>▲安全托管运营服务工具支持自定义配置安全规则，以满足日益复杂的安全趋势所带来的安全监测需求；支持完善的流程编排引擎，能够灵活编排、定义服务流程（提供功能界面截图）。</w:t>
            </w: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snapToGrid w:val="0"/>
              <w:spacing w:line="240" w:lineRule="exact"/>
              <w:jc w:val="both"/>
              <w:rPr>
                <w:rFonts w:ascii="宋体" w:eastAsia="宋体" w:hAnsi="宋体" w:hint="eastAsia"/>
                <w:b/>
                <w:bCs/>
                <w:color w:val="EE0000"/>
                <w:kern w:val="2"/>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snapToGrid w:val="0"/>
              <w:spacing w:line="240" w:lineRule="exact"/>
              <w:jc w:val="both"/>
              <w:rPr>
                <w:rFonts w:ascii="宋体" w:eastAsia="宋体" w:hAnsi="宋体" w:hint="eastAsia"/>
                <w:b/>
                <w:bCs/>
                <w:color w:val="EE0000"/>
                <w:kern w:val="2"/>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snapToGrid w:val="0"/>
              <w:spacing w:line="240" w:lineRule="exact"/>
              <w:jc w:val="both"/>
              <w:rPr>
                <w:rFonts w:ascii="宋体" w:eastAsia="宋体" w:hAnsi="宋体" w:hint="eastAsia"/>
                <w:b/>
                <w:bCs/>
                <w:color w:val="EE0000"/>
                <w:kern w:val="2"/>
                <w:sz w:val="21"/>
                <w:lang w:eastAsia="zh-CN"/>
              </w:rPr>
            </w:pP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left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672" w:type="dxa"/>
            <w:vMerge/>
            <w:tcBorders>
              <w:left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3627"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r>
              <w:rPr>
                <w:rFonts w:ascii="宋体" w:eastAsia="宋体" w:hAnsi="宋体" w:hint="eastAsia"/>
                <w:b/>
                <w:bCs/>
                <w:color w:val="EE0000"/>
                <w:sz w:val="21"/>
                <w:lang w:eastAsia="zh-CN"/>
              </w:rPr>
              <w:t>▲安全托管运营服务</w:t>
            </w:r>
            <w:r>
              <w:rPr>
                <w:rFonts w:ascii="宋体" w:eastAsia="宋体" w:hAnsi="宋体" w:hint="eastAsia"/>
                <w:b/>
                <w:bCs/>
                <w:color w:val="EE0000"/>
                <w:kern w:val="2"/>
                <w:sz w:val="21"/>
                <w:lang w:eastAsia="zh-CN"/>
              </w:rPr>
              <w:t>工具</w:t>
            </w:r>
            <w:r>
              <w:rPr>
                <w:rFonts w:ascii="宋体" w:eastAsia="宋体" w:hAnsi="宋体" w:hint="eastAsia"/>
                <w:b/>
                <w:bCs/>
                <w:color w:val="EE0000"/>
                <w:sz w:val="21"/>
                <w:lang w:eastAsia="zh-CN"/>
              </w:rPr>
              <w:t>应具备GPT（安全大模型）服务</w:t>
            </w:r>
            <w:r>
              <w:rPr>
                <w:rFonts w:ascii="宋体" w:eastAsia="宋体" w:hAnsi="宋体" w:hint="eastAsia"/>
                <w:b/>
                <w:bCs/>
                <w:color w:val="EE0000"/>
                <w:kern w:val="2"/>
                <w:sz w:val="21"/>
                <w:lang w:eastAsia="zh-CN"/>
              </w:rPr>
              <w:t>能力</w:t>
            </w:r>
            <w:r>
              <w:rPr>
                <w:rFonts w:ascii="宋体" w:eastAsia="宋体" w:hAnsi="宋体" w:hint="eastAsia"/>
                <w:b/>
                <w:bCs/>
                <w:color w:val="EE0000"/>
                <w:sz w:val="21"/>
                <w:lang w:eastAsia="zh-CN"/>
              </w:rPr>
              <w:t>，支持集成在服务微信群、服务工作台，支持告警数据包研判、情报查询分析、Payload解码、事件研判定性、自动调用安全设备遏制（IP、域名封堵）、事件调查溯源、运营数据统计（支持在线统计、分析并下载数据）等。</w:t>
            </w:r>
            <w:r>
              <w:rPr>
                <w:rFonts w:ascii="宋体" w:eastAsia="宋体" w:hAnsi="宋体" w:hint="eastAsia"/>
                <w:b/>
                <w:bCs/>
                <w:color w:val="EE0000"/>
                <w:kern w:val="2"/>
                <w:sz w:val="21"/>
                <w:lang w:eastAsia="zh-CN"/>
              </w:rPr>
              <w:t>（提供功能界面截图）</w:t>
            </w: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left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672" w:type="dxa"/>
            <w:vMerge/>
            <w:tcBorders>
              <w:left w:val="single" w:sz="4" w:space="0" w:color="auto"/>
              <w:right w:val="single" w:sz="4" w:space="0" w:color="auto"/>
            </w:tcBorders>
            <w:noWrap w:val="0"/>
            <w:vAlign w:val="center"/>
          </w:tcPr>
          <w:p>
            <w:pPr>
              <w:widowControl/>
              <w:adjustRightInd w:val="0"/>
              <w:snapToGrid w:val="0"/>
              <w:spacing w:line="240" w:lineRule="exact"/>
              <w:jc w:val="both"/>
              <w:rPr>
                <w:rFonts w:ascii="宋体" w:eastAsia="宋体" w:hAnsi="宋体"/>
                <w:color w:val="000000"/>
                <w:kern w:val="2"/>
                <w:sz w:val="21"/>
                <w:lang w:eastAsia="zh-CN"/>
              </w:rPr>
            </w:pPr>
          </w:p>
        </w:tc>
        <w:tc>
          <w:tcPr>
            <w:tcW w:w="3627"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color w:val="000000"/>
                <w:sz w:val="21"/>
                <w:lang w:eastAsia="zh-CN"/>
              </w:rPr>
            </w:pPr>
            <w:r>
              <w:rPr>
                <w:rFonts w:ascii="宋体" w:eastAsia="宋体" w:hAnsi="宋体" w:hint="eastAsia"/>
                <w:color w:val="000000"/>
                <w:sz w:val="21"/>
                <w:lang w:eastAsia="zh-CN"/>
              </w:rPr>
              <w:t>安全托管运营服务工具提供移动端服务成果展示门户（移动端Portal），支持直观地管理服务过程中安全运营结果，以“资产、威胁、漏洞、事件四大抓手”为维度，呈现服务后业务实时的安全情况和运营结果。</w:t>
            </w: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color w:val="00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color w:val="00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color w:val="000000"/>
                <w:sz w:val="21"/>
                <w:lang w:eastAsia="zh-CN"/>
              </w:rPr>
            </w:pP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left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b/>
                <w:bCs/>
                <w:color w:val="EE0000"/>
                <w:sz w:val="21"/>
                <w:lang w:eastAsia="zh-CN"/>
              </w:rPr>
            </w:pPr>
          </w:p>
        </w:tc>
        <w:tc>
          <w:tcPr>
            <w:tcW w:w="672" w:type="dxa"/>
            <w:vMerge/>
            <w:tcBorders>
              <w:left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b/>
                <w:bCs/>
                <w:color w:val="EE0000"/>
                <w:sz w:val="21"/>
                <w:lang w:eastAsia="zh-CN"/>
              </w:rPr>
            </w:pPr>
          </w:p>
        </w:tc>
        <w:tc>
          <w:tcPr>
            <w:tcW w:w="3627"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r>
              <w:rPr>
                <w:rFonts w:ascii="宋体" w:eastAsia="宋体" w:hAnsi="宋体" w:hint="eastAsia"/>
                <w:b/>
                <w:bCs/>
                <w:color w:val="EE0000"/>
                <w:sz w:val="21"/>
                <w:lang w:eastAsia="zh-CN"/>
              </w:rPr>
              <w:t>▲安全托管运营服务</w:t>
            </w:r>
            <w:r>
              <w:rPr>
                <w:rFonts w:ascii="宋体" w:eastAsia="宋体" w:hAnsi="宋体" w:hint="eastAsia"/>
                <w:b/>
                <w:bCs/>
                <w:color w:val="EE0000"/>
                <w:kern w:val="2"/>
                <w:sz w:val="21"/>
                <w:lang w:eastAsia="zh-CN"/>
              </w:rPr>
              <w:t>工具</w:t>
            </w:r>
            <w:r>
              <w:rPr>
                <w:rFonts w:ascii="宋体" w:eastAsia="宋体" w:hAnsi="宋体" w:hint="eastAsia"/>
                <w:b/>
                <w:bCs/>
                <w:color w:val="EE0000"/>
                <w:sz w:val="21"/>
                <w:lang w:eastAsia="zh-CN"/>
              </w:rPr>
              <w:t>应</w:t>
            </w:r>
            <w:r>
              <w:rPr>
                <w:rFonts w:ascii="宋体" w:eastAsia="宋体" w:hAnsi="宋体" w:hint="eastAsia"/>
                <w:b/>
                <w:bCs/>
                <w:color w:val="EE0000"/>
                <w:kern w:val="2"/>
                <w:sz w:val="21"/>
                <w:lang w:eastAsia="zh-CN"/>
              </w:rPr>
              <w:t>支持</w:t>
            </w:r>
            <w:r>
              <w:rPr>
                <w:rFonts w:ascii="宋体" w:eastAsia="宋体" w:hAnsi="宋体" w:hint="eastAsia"/>
                <w:b/>
                <w:bCs/>
                <w:color w:val="EE0000"/>
                <w:sz w:val="21"/>
                <w:lang w:eastAsia="zh-CN"/>
              </w:rPr>
              <w:t>不少于40种策略检查工具，支持排查安全设备防护策略配置的合理性。</w:t>
            </w:r>
            <w:r>
              <w:rPr>
                <w:rFonts w:ascii="宋体" w:eastAsia="宋体" w:hAnsi="宋体" w:hint="eastAsia"/>
                <w:b/>
                <w:bCs/>
                <w:color w:val="EE0000"/>
                <w:kern w:val="2"/>
                <w:sz w:val="21"/>
                <w:lang w:eastAsia="zh-CN"/>
              </w:rPr>
              <w:t>（提供功能界面截图）</w:t>
            </w: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left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b/>
                <w:bCs/>
                <w:color w:val="EE0000"/>
                <w:sz w:val="21"/>
                <w:lang w:eastAsia="zh-CN"/>
              </w:rPr>
            </w:pPr>
          </w:p>
        </w:tc>
        <w:tc>
          <w:tcPr>
            <w:tcW w:w="672" w:type="dxa"/>
            <w:vMerge/>
            <w:tcBorders>
              <w:left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b/>
                <w:bCs/>
                <w:color w:val="EE0000"/>
                <w:sz w:val="21"/>
                <w:lang w:eastAsia="zh-CN"/>
              </w:rPr>
            </w:pPr>
          </w:p>
        </w:tc>
        <w:tc>
          <w:tcPr>
            <w:tcW w:w="3627"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b/>
                <w:bCs/>
                <w:color w:val="EE0000"/>
                <w:sz w:val="21"/>
                <w:lang w:eastAsia="zh-CN"/>
              </w:rPr>
            </w:pPr>
            <w:r>
              <w:rPr>
                <w:rFonts w:ascii="宋体" w:eastAsia="宋体" w:hAnsi="宋体" w:hint="eastAsia"/>
                <w:color w:val="000000"/>
                <w:kern w:val="2"/>
                <w:sz w:val="21"/>
                <w:lang w:eastAsia="zh-CN"/>
              </w:rPr>
              <w:t>安全托管运营服务工具提供移动端服务过程展示门户（移动端Portal），支持直观地查阅服务推送的各种安全事件/威胁的详细专家审核研判过程。</w:t>
            </w:r>
            <w:r>
              <w:rPr>
                <w:rFonts w:ascii="宋体" w:eastAsia="宋体" w:hAnsi="宋体" w:hint="eastAsia"/>
                <w:color w:val="000000"/>
                <w:sz w:val="21"/>
                <w:lang w:eastAsia="zh-CN"/>
              </w:rPr>
              <w:t>安全托管运营服务工具提供的服务监控门户（或用户portal）应具备服务质量可视化展示，至少包括威胁闭环率、威胁平均分析研判时效、威胁平均遏制时效、事件闭环率、事件平均闭环时效。</w:t>
            </w: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color w:val="000000"/>
                <w:kern w:val="2"/>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color w:val="000000"/>
                <w:kern w:val="2"/>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hint="eastAsia"/>
                <w:color w:val="000000"/>
                <w:kern w:val="2"/>
                <w:sz w:val="21"/>
                <w:lang w:eastAsia="zh-CN"/>
              </w:rPr>
            </w:pPr>
          </w:p>
        </w:tc>
      </w:tr>
      <w:tr>
        <w:tblPrEx>
          <w:tblW w:w="5000" w:type="pct"/>
          <w:tblInd w:w="-244" w:type="dxa"/>
          <w:tblLayout w:type="fixed"/>
          <w:tblCellMar>
            <w:top w:w="0" w:type="dxa"/>
            <w:left w:w="108" w:type="dxa"/>
            <w:bottom w:w="0" w:type="dxa"/>
            <w:right w:w="108" w:type="dxa"/>
          </w:tblCellMar>
        </w:tblPrEx>
        <w:trPr>
          <w:trHeight w:val="20"/>
        </w:trPr>
        <w:tc>
          <w:tcPr>
            <w:tcW w:w="324" w:type="dxa"/>
            <w:vMerge/>
            <w:tcBorders>
              <w:left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b/>
                <w:bCs/>
                <w:color w:val="EE0000"/>
                <w:sz w:val="21"/>
                <w:lang w:eastAsia="zh-CN"/>
              </w:rPr>
            </w:pPr>
          </w:p>
        </w:tc>
        <w:tc>
          <w:tcPr>
            <w:tcW w:w="672" w:type="dxa"/>
            <w:vMerge/>
            <w:tcBorders>
              <w:left w:val="single" w:sz="4" w:space="0" w:color="auto"/>
              <w:right w:val="single" w:sz="4" w:space="0" w:color="auto"/>
            </w:tcBorders>
            <w:noWrap w:val="0"/>
            <w:vAlign w:val="center"/>
          </w:tcPr>
          <w:p>
            <w:pPr>
              <w:widowControl w:val="0"/>
              <w:adjustRightInd w:val="0"/>
              <w:snapToGrid w:val="0"/>
              <w:spacing w:line="240" w:lineRule="exact"/>
              <w:jc w:val="both"/>
              <w:rPr>
                <w:rFonts w:ascii="宋体" w:eastAsia="宋体" w:hAnsi="宋体"/>
                <w:b/>
                <w:bCs/>
                <w:color w:val="EE0000"/>
                <w:sz w:val="21"/>
                <w:lang w:eastAsia="zh-CN"/>
              </w:rPr>
            </w:pPr>
          </w:p>
        </w:tc>
        <w:tc>
          <w:tcPr>
            <w:tcW w:w="3627" w:type="dxa"/>
            <w:tcBorders>
              <w:top w:val="single" w:sz="4" w:space="0" w:color="auto"/>
              <w:left w:val="single" w:sz="4" w:space="0" w:color="auto"/>
              <w:bottom w:val="single" w:sz="4" w:space="0" w:color="auto"/>
              <w:right w:val="single" w:sz="4" w:space="0" w:color="auto"/>
            </w:tcBorders>
            <w:noWrap w:val="0"/>
            <w:vAlign w:val="center"/>
          </w:tcPr>
          <w:p>
            <w:pPr>
              <w:widowControl w:val="0"/>
              <w:snapToGrid w:val="0"/>
              <w:spacing w:line="240" w:lineRule="exact"/>
              <w:jc w:val="both"/>
              <w:rPr>
                <w:rFonts w:ascii="宋体" w:eastAsia="宋体" w:hAnsi="宋体" w:hint="eastAsia"/>
                <w:b/>
                <w:bCs/>
                <w:color w:val="EE0000"/>
                <w:sz w:val="21"/>
                <w:lang w:eastAsia="zh-CN"/>
              </w:rPr>
            </w:pPr>
            <w:r>
              <w:rPr>
                <w:rFonts w:ascii="宋体" w:eastAsia="宋体" w:hAnsi="宋体" w:hint="eastAsia"/>
                <w:b/>
                <w:bCs/>
                <w:color w:val="FF0000"/>
                <w:sz w:val="21"/>
                <w:lang w:eastAsia="zh-CN"/>
              </w:rPr>
              <w:t>▲为了保障安全托管运营服务工具的安全性，该工具需入选中央网络安全和信息化委员会办公室、国家互联网信息办公室官方网站发布的《通过云计算服务安全评估的云平台》，提供入选证明材料。</w:t>
            </w: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snapToGrid w:val="0"/>
              <w:spacing w:line="240" w:lineRule="exact"/>
              <w:jc w:val="both"/>
              <w:rPr>
                <w:rFonts w:ascii="宋体" w:eastAsia="宋体" w:hAnsi="宋体" w:hint="eastAsia"/>
                <w:b/>
                <w:bCs/>
                <w:color w:val="FF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snapToGrid w:val="0"/>
              <w:spacing w:line="240" w:lineRule="exact"/>
              <w:jc w:val="both"/>
              <w:rPr>
                <w:rFonts w:ascii="宋体" w:eastAsia="宋体" w:hAnsi="宋体" w:hint="eastAsia"/>
                <w:b/>
                <w:bCs/>
                <w:color w:val="FF0000"/>
                <w:sz w:val="21"/>
                <w:lang w:eastAsia="zh-CN"/>
              </w:rPr>
            </w:pPr>
          </w:p>
        </w:tc>
        <w:tc>
          <w:tcPr>
            <w:tcW w:w="1386" w:type="dxa"/>
            <w:tcBorders>
              <w:top w:val="single" w:sz="4" w:space="0" w:color="auto"/>
              <w:left w:val="single" w:sz="4" w:space="0" w:color="auto"/>
              <w:bottom w:val="single" w:sz="4" w:space="0" w:color="auto"/>
              <w:right w:val="single" w:sz="4" w:space="0" w:color="auto"/>
            </w:tcBorders>
            <w:noWrap w:val="0"/>
            <w:vAlign w:val="center"/>
          </w:tcPr>
          <w:p>
            <w:pPr>
              <w:widowControl w:val="0"/>
              <w:snapToGrid w:val="0"/>
              <w:spacing w:line="240" w:lineRule="exact"/>
              <w:jc w:val="both"/>
              <w:rPr>
                <w:rFonts w:ascii="宋体" w:eastAsia="宋体" w:hAnsi="宋体" w:hint="eastAsia"/>
                <w:b/>
                <w:bCs/>
                <w:color w:val="FF0000"/>
                <w:sz w:val="21"/>
                <w:lang w:eastAsia="zh-CN"/>
              </w:rPr>
            </w:pPr>
          </w:p>
        </w:tc>
      </w:tr>
    </w:tbl>
    <w:p>
      <w:pPr>
        <w:widowControl w:val="0"/>
        <w:jc w:val="both"/>
        <w:rPr>
          <w:rFonts w:eastAsia="宋体"/>
          <w:kern w:val="2"/>
          <w:sz w:val="21"/>
          <w:szCs w:val="21"/>
          <w:lang w:eastAsia="zh-CN"/>
        </w:rPr>
      </w:pPr>
      <w:bookmarkStart w:id="46" w:name="_Hlk72095977"/>
      <w:r>
        <w:rPr>
          <w:rFonts w:eastAsia="宋体" w:hint="eastAsia"/>
          <w:kern w:val="2"/>
          <w:sz w:val="21"/>
          <w:szCs w:val="21"/>
          <w:lang w:eastAsia="zh-CN"/>
        </w:rPr>
        <w:t>证明资料【如有的话，提供的证明资料应统一编号（排序），格式自定】</w:t>
      </w:r>
      <w:bookmarkEnd w:id="46"/>
      <w:r>
        <w:rPr>
          <w:rFonts w:eastAsia="宋体" w:hint="eastAsia"/>
          <w:kern w:val="2"/>
          <w:sz w:val="21"/>
          <w:szCs w:val="21"/>
          <w:lang w:eastAsia="zh-CN"/>
        </w:rPr>
        <w:t>：</w:t>
      </w:r>
    </w:p>
    <w:p>
      <w:pPr>
        <w:widowControl w:val="0"/>
        <w:ind w:firstLine="420" w:firstLineChars="200"/>
        <w:jc w:val="both"/>
        <w:rPr>
          <w:rFonts w:eastAsia="宋体"/>
          <w:b/>
          <w:kern w:val="2"/>
          <w:sz w:val="21"/>
          <w:szCs w:val="21"/>
          <w:lang w:eastAsia="zh-CN"/>
        </w:rPr>
      </w:pPr>
    </w:p>
    <w:p>
      <w:pPr>
        <w:widowControl w:val="0"/>
        <w:ind w:firstLine="420" w:firstLineChars="200"/>
        <w:jc w:val="both"/>
        <w:rPr>
          <w:rFonts w:eastAsia="宋体"/>
          <w:b/>
          <w:kern w:val="2"/>
          <w:sz w:val="21"/>
          <w:szCs w:val="21"/>
          <w:lang w:eastAsia="zh-CN"/>
        </w:rPr>
      </w:pP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《技术要求偏离表》编制指引：</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1、技术要求偏离表的序号、货物名称、招标技术要求等栏目</w:t>
      </w:r>
      <w:bookmarkStart w:id="47" w:name="_Hlk72094407"/>
      <w:r>
        <w:rPr>
          <w:rFonts w:eastAsia="宋体" w:hint="eastAsia"/>
          <w:bCs/>
          <w:kern w:val="2"/>
          <w:sz w:val="21"/>
          <w:szCs w:val="21"/>
          <w:lang w:eastAsia="zh-CN"/>
        </w:rPr>
        <w:t>对应“用户需求书”中的“技术要求”章节</w:t>
      </w:r>
      <w:bookmarkEnd w:id="47"/>
      <w:r>
        <w:rPr>
          <w:rFonts w:eastAsia="宋体" w:hint="eastAsia"/>
          <w:bCs/>
          <w:kern w:val="2"/>
          <w:sz w:val="21"/>
          <w:szCs w:val="21"/>
          <w:lang w:eastAsia="zh-CN"/>
        </w:rPr>
        <w:t>相关内容。</w:t>
      </w:r>
    </w:p>
    <w:p>
      <w:pPr>
        <w:widowControl/>
        <w:spacing w:beforeAutospacing="0" w:afterAutospacing="0"/>
        <w:ind w:firstLine="420" w:firstLineChars="200"/>
        <w:jc w:val="both"/>
        <w:outlineLvl w:val="1"/>
        <w:rPr>
          <w:rFonts w:eastAsia="宋体"/>
          <w:bCs/>
          <w:color w:val="FF0000"/>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eastAsia="宋体" w:hint="eastAsia"/>
          <w:bCs/>
          <w:color w:val="FF0000"/>
          <w:kern w:val="2"/>
          <w:sz w:val="21"/>
          <w:szCs w:val="21"/>
          <w:lang w:eastAsia="zh-CN"/>
        </w:rPr>
        <w:t>“投标技术响应”必须与所投产品客观实际保持一致，响应不实且情节严重的，经查实，将依法记入供应商诚信档案或受到行政处罚。</w:t>
      </w:r>
    </w:p>
    <w:p>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w:t>
      </w:r>
      <w:bookmarkStart w:id="48" w:name="_Hlk72158270"/>
      <w:r>
        <w:rPr>
          <w:rFonts w:eastAsia="宋体" w:hint="eastAsia"/>
          <w:bCs/>
          <w:kern w:val="2"/>
          <w:sz w:val="21"/>
          <w:szCs w:val="21"/>
          <w:lang w:eastAsia="zh-CN"/>
        </w:rPr>
        <w:t>“偏离情况”</w:t>
      </w:r>
      <w:bookmarkEnd w:id="48"/>
      <w:r>
        <w:rPr>
          <w:rFonts w:eastAsia="宋体" w:hint="eastAsia"/>
          <w:bCs/>
          <w:kern w:val="2"/>
          <w:sz w:val="21"/>
          <w:szCs w:val="21"/>
          <w:lang w:eastAsia="zh-CN"/>
        </w:rPr>
        <w:t>一栏填写如实填写“正偏离”、“负偏离”或“无偏离”，其中：</w:t>
      </w:r>
      <w:bookmarkStart w:id="49" w:name="_Hlk72093866"/>
      <w:r>
        <w:rPr>
          <w:rFonts w:eastAsia="宋体" w:hint="eastAsia"/>
          <w:bCs/>
          <w:kern w:val="2"/>
          <w:sz w:val="21"/>
          <w:szCs w:val="21"/>
          <w:lang w:eastAsia="zh-CN"/>
        </w:rPr>
        <w:t>“正偏离”表示“投标响应优于招标技术要求”，“负偏离”表示“投标响应不满足招标技术要求”，“无偏离”表示“投标响应与招标技术要求一致”</w:t>
      </w:r>
      <w:bookmarkEnd w:id="49"/>
      <w:r>
        <w:rPr>
          <w:rFonts w:eastAsia="宋体" w:hint="eastAsia"/>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eastAsia="宋体" w:hint="eastAsia"/>
          <w:bCs/>
          <w:color w:val="FF0000"/>
          <w:kern w:val="2"/>
          <w:sz w:val="21"/>
          <w:szCs w:val="21"/>
          <w:lang w:eastAsia="zh-CN"/>
        </w:rPr>
        <w:t>“偏离情况”必须与所投产品客观实际保持一致，响应不实且情节严重的，经查实，将依法记入供应商诚信档案或受到行政处罚。</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、未要求提供证明资料的招标技术要求，可以不提供证明资料（如实响应即可）。</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5、</w:t>
      </w:r>
      <w:bookmarkStart w:id="50" w:name="_Hlk72096106"/>
      <w:r>
        <w:rPr>
          <w:rFonts w:eastAsia="宋体" w:hint="eastAsia"/>
          <w:bCs/>
          <w:kern w:val="2"/>
          <w:sz w:val="21"/>
          <w:szCs w:val="21"/>
          <w:lang w:eastAsia="zh-CN"/>
        </w:rPr>
        <w:t>证明资料条款响应要求</w:t>
      </w:r>
      <w:bookmarkEnd w:id="50"/>
      <w:r>
        <w:rPr>
          <w:rFonts w:eastAsia="宋体" w:hint="eastAsia"/>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1" w:name="_Hlk73558782"/>
      <w:r>
        <w:rPr>
          <w:rFonts w:eastAsia="宋体" w:hint="eastAsia"/>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2" w:name="_Hlk73558164"/>
      <w:r>
        <w:rPr>
          <w:rFonts w:eastAsia="宋体" w:hint="eastAsia"/>
          <w:bCs/>
          <w:kern w:val="2"/>
          <w:sz w:val="21"/>
          <w:szCs w:val="21"/>
          <w:lang w:eastAsia="zh-CN"/>
        </w:rPr>
        <w:t>且投标人在“偏离情况”一栏响应为“正偏离”或“无偏离”的，经评审委员会认定，将判定为负偏离。</w:t>
      </w:r>
      <w:bookmarkEnd w:id="51"/>
      <w:bookmarkEnd w:id="52"/>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6、</w:t>
      </w:r>
      <w:bookmarkStart w:id="53" w:name="_Hlk72096137"/>
      <w:r>
        <w:rPr>
          <w:rFonts w:eastAsia="宋体" w:hint="eastAsia"/>
          <w:bCs/>
          <w:kern w:val="2"/>
          <w:sz w:val="21"/>
          <w:szCs w:val="21"/>
          <w:lang w:eastAsia="zh-CN"/>
        </w:rPr>
        <w:t>表后“证明资料”部分内容的编制</w:t>
      </w:r>
      <w:bookmarkEnd w:id="53"/>
      <w:r>
        <w:rPr>
          <w:rFonts w:eastAsia="宋体" w:hint="eastAsia"/>
          <w:bCs/>
          <w:kern w:val="2"/>
          <w:sz w:val="21"/>
          <w:szCs w:val="21"/>
          <w:lang w:eastAsia="zh-CN"/>
        </w:rPr>
        <w:t>：提供的所有证明资料应当统一编号（排序），且证明资料的编号（顺序）、数量和名称（形式）均应与“说明”一栏所填内容保持一致（一一对应），以便评审委员会查看。</w:t>
      </w:r>
      <w:bookmarkStart w:id="54" w:name="_Hlk73558180"/>
      <w:r>
        <w:rPr>
          <w:rFonts w:eastAsia="宋体" w:hint="eastAsia"/>
          <w:bCs/>
          <w:kern w:val="2"/>
          <w:sz w:val="21"/>
          <w:szCs w:val="21"/>
          <w:lang w:eastAsia="zh-CN"/>
        </w:rPr>
        <w:t>未按照招标文件要求在表后放置证明材料的供应商将承担不利后果，经评审委员会认定，相关技术要求将判定为负偏离。</w:t>
      </w:r>
      <w:bookmarkEnd w:id="54"/>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7、</w:t>
      </w:r>
      <w:bookmarkStart w:id="55" w:name="_Hlk72096176"/>
      <w:r>
        <w:rPr>
          <w:rFonts w:eastAsia="宋体" w:hint="eastAsia"/>
          <w:bCs/>
          <w:kern w:val="2"/>
          <w:sz w:val="21"/>
          <w:szCs w:val="21"/>
          <w:lang w:eastAsia="zh-CN"/>
        </w:rPr>
        <w:t>证明资料的形式及其它具体要求</w:t>
      </w:r>
      <w:bookmarkEnd w:id="55"/>
      <w:r>
        <w:rPr>
          <w:rFonts w:eastAsia="宋体" w:hint="eastAsia"/>
          <w:bCs/>
          <w:kern w:val="2"/>
          <w:sz w:val="21"/>
          <w:szCs w:val="21"/>
          <w:lang w:eastAsia="zh-CN"/>
        </w:rPr>
        <w:t>：</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（1）除照片、图片（截图）及不需加盖公章的文字说明（技术说明）外，其它证明资料均要求为原件扫描件；</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其它证明资料的形式要求参照以上要求执行；</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8、其它注意事项：</w:t>
      </w:r>
    </w:p>
    <w:p>
      <w:pPr>
        <w:widowControl w:val="0"/>
        <w:ind w:firstLine="420" w:firstLineChars="200"/>
        <w:jc w:val="both"/>
        <w:rPr>
          <w:rFonts w:eastAsia="宋体"/>
          <w:bCs/>
          <w:kern w:val="2"/>
          <w:sz w:val="21"/>
          <w:szCs w:val="21"/>
          <w:lang w:eastAsia="zh-CN"/>
        </w:rPr>
      </w:pPr>
      <w:r>
        <w:rPr>
          <w:rFonts w:eastAsia="宋体" w:hint="eastAsia"/>
          <w:bCs/>
          <w:kern w:val="2"/>
          <w:sz w:val="21"/>
          <w:szCs w:val="21"/>
          <w:lang w:eastAsia="zh-CN"/>
        </w:rPr>
        <w:t>（1）评审委员会有权对投标人的响应情况作出判断（评审结论）；</w:t>
      </w:r>
    </w:p>
    <w:p>
      <w:pPr>
        <w:widowControl w:val="0"/>
        <w:spacing w:line="360" w:lineRule="auto"/>
        <w:jc w:val="both"/>
        <w:rPr>
          <w:rFonts w:eastAsia="宋体"/>
          <w:b/>
          <w:bCs/>
          <w:kern w:val="2"/>
          <w:lang w:eastAsia="zh-CN"/>
        </w:rPr>
      </w:pPr>
      <w:r>
        <w:rPr>
          <w:rFonts w:eastAsia="宋体" w:hint="eastAsia"/>
          <w:b/>
          <w:bCs/>
          <w:kern w:val="2"/>
          <w:szCs w:val="21"/>
          <w:lang w:eastAsia="zh-CN"/>
        </w:rPr>
        <w:t>（2）</w:t>
      </w:r>
      <w:bookmarkStart w:id="56" w:name="_Hlk72158213"/>
      <w:r>
        <w:rPr>
          <w:rFonts w:eastAsia="宋体" w:hint="eastAsia"/>
          <w:b/>
          <w:bCs/>
          <w:kern w:val="2"/>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56"/>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十六、供应商认证情况（格式自定）</w:t>
      </w:r>
    </w:p>
    <w:p>
      <w:pPr>
        <w:widowControl w:val="0"/>
        <w:spacing w:line="360" w:lineRule="auto"/>
        <w:jc w:val="both"/>
        <w:rPr>
          <w:rFonts w:eastAsia="宋体"/>
          <w:kern w:val="2"/>
          <w:lang w:eastAsia="zh-CN"/>
        </w:rPr>
      </w:pPr>
      <w:r>
        <w:rPr>
          <w:rFonts w:eastAsia="宋体" w:hint="eastAsia"/>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w:t>
      </w:r>
      <w:r>
        <w:rPr>
          <w:rFonts w:ascii="黑体" w:eastAsia="黑体" w:hAnsi="宋体" w:hint="eastAsia"/>
          <w:bCs/>
          <w:lang w:eastAsia="zh-CN"/>
        </w:rPr>
        <w:t>七</w:t>
      </w:r>
      <w:r>
        <w:rPr>
          <w:rFonts w:ascii="黑体" w:eastAsia="黑体" w:hAnsi="宋体" w:hint="eastAsia"/>
          <w:bCs/>
          <w:lang w:eastAsia="zh-CN"/>
        </w:rPr>
        <w:t>、供应商同类项目业绩情况（格式自定）</w:t>
      </w:r>
    </w:p>
    <w:p>
      <w:pPr>
        <w:widowControl w:val="0"/>
        <w:spacing w:line="360" w:lineRule="auto"/>
        <w:jc w:val="both"/>
        <w:rPr>
          <w:rFonts w:eastAsia="宋体"/>
          <w:kern w:val="2"/>
          <w:lang w:eastAsia="zh-CN"/>
        </w:rPr>
      </w:pPr>
      <w:r>
        <w:rPr>
          <w:rFonts w:eastAsia="宋体" w:hint="eastAsia"/>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十八</w:t>
      </w:r>
      <w:r>
        <w:rPr>
          <w:rFonts w:ascii="黑体" w:eastAsia="黑体" w:hAnsi="宋体" w:hint="eastAsia"/>
          <w:bCs/>
          <w:lang w:eastAsia="zh-CN"/>
        </w:rPr>
        <w:t>、供应商获奖情况（格式自定）</w:t>
      </w:r>
    </w:p>
    <w:p>
      <w:pPr>
        <w:widowControl w:val="0"/>
        <w:spacing w:line="360" w:lineRule="auto"/>
        <w:jc w:val="both"/>
        <w:rPr>
          <w:rFonts w:eastAsia="宋体"/>
          <w:kern w:val="2"/>
          <w:lang w:eastAsia="zh-CN"/>
        </w:rPr>
      </w:pPr>
      <w:r>
        <w:rPr>
          <w:rFonts w:eastAsia="宋体" w:hint="eastAsia"/>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十九</w:t>
      </w:r>
      <w:r>
        <w:rPr>
          <w:rFonts w:ascii="黑体" w:eastAsia="黑体" w:hAnsi="宋体" w:hint="eastAsia"/>
          <w:bCs/>
          <w:lang w:eastAsia="zh-CN"/>
        </w:rPr>
        <w:t>、供应商自主知识产权产品（创新、设计）情况（格式自定）</w:t>
      </w:r>
    </w:p>
    <w:p>
      <w:pPr>
        <w:widowControl w:val="0"/>
        <w:spacing w:line="360" w:lineRule="auto"/>
        <w:jc w:val="both"/>
        <w:rPr>
          <w:rFonts w:eastAsia="宋体"/>
          <w:kern w:val="2"/>
          <w:lang w:eastAsia="zh-CN"/>
        </w:rPr>
      </w:pPr>
      <w:r>
        <w:rPr>
          <w:rFonts w:eastAsia="宋体" w:hint="eastAsia"/>
          <w:kern w:val="2"/>
          <w:lang w:eastAsia="zh-CN"/>
        </w:rPr>
        <w:t>（特别提示：投标人须按本招标文件评标信息中这一评审因素要求，提供证明资料）</w:t>
      </w: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二十、投标人认为需要加以说明的其他内容（格式自定）</w:t>
      </w:r>
    </w:p>
    <w:p>
      <w:pPr>
        <w:widowControl w:val="0"/>
        <w:spacing w:line="360" w:lineRule="auto"/>
        <w:jc w:val="both"/>
        <w:rPr>
          <w:rFonts w:eastAsia="宋体"/>
          <w:b/>
          <w:bCs/>
          <w:kern w:val="2"/>
          <w:lang w:eastAsia="zh-CN"/>
        </w:rPr>
      </w:pPr>
    </w:p>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hint="eastAsia"/>
          <w:szCs w:val="20"/>
          <w:lang w:eastAsia="zh-CN"/>
        </w:rPr>
      </w:pPr>
    </w:p>
    <w:p>
      <w:pPr>
        <w:widowControl w:val="0"/>
        <w:spacing w:before="0" w:beforeLines="0" w:after="157" w:afterLines="50" w:line="360" w:lineRule="exact"/>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我</w:t>
      </w:r>
      <w:r>
        <w:rPr>
          <w:rFonts w:ascii="宋体" w:eastAsia="宋体" w:hAnsi="宋体" w:cs="宋体" w:hint="eastAsia"/>
          <w:b/>
          <w:bCs/>
          <w:kern w:val="2"/>
          <w:sz w:val="21"/>
          <w:szCs w:val="21"/>
          <w:lang w:eastAsia="zh-CN"/>
        </w:rPr>
        <w:t>单位</w:t>
      </w:r>
      <w:r>
        <w:rPr>
          <w:rFonts w:ascii="宋体" w:eastAsia="宋体" w:hAnsi="宋体" w:cs="宋体" w:hint="eastAsia"/>
          <w:b/>
          <w:bCs/>
          <w:kern w:val="2"/>
          <w:sz w:val="21"/>
          <w:szCs w:val="21"/>
          <w:lang w:eastAsia="zh-CN"/>
        </w:rPr>
        <w:t>在投标前已充分知悉以下情形为参与采购活动时的重大风险事项，并承诺已对下述风险提示事项重点排查，</w:t>
      </w:r>
      <w:r>
        <w:rPr>
          <w:rFonts w:ascii="宋体" w:eastAsia="宋体" w:hAnsi="宋体" w:cs="宋体" w:hint="eastAsia"/>
          <w:b/>
          <w:bCs/>
          <w:kern w:val="2"/>
          <w:sz w:val="21"/>
          <w:szCs w:val="21"/>
          <w:lang w:eastAsia="zh-CN"/>
        </w:rPr>
        <w:t>若存在下述情况，我单位愿意依法承担被记入供应商诚信档案、罚款、取消参与采购资格、吊销营业执照等处罚；构成犯罪的，依法承担刑事责任。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b/>
                <w:bCs/>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与其他投标供应商的法定代表人、主要经营负责人、投标授权代表人、项目负责人、主要技术人员为</w:t>
            </w:r>
            <w:r>
              <w:rPr>
                <w:rFonts w:ascii="宋体" w:hAnsi="宋体" w:cs="宋体" w:hint="eastAsia"/>
                <w:b/>
                <w:bCs/>
                <w:kern w:val="2"/>
                <w:sz w:val="21"/>
                <w:szCs w:val="21"/>
                <w:lang w:eastAsia="zh-CN"/>
              </w:rPr>
              <w:t>同一人、属同一单位或者在同一单位缴纳社会保险</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参与本项目政府采购活动时，与其他投标供应商存在单位负责人为</w:t>
            </w:r>
            <w:r>
              <w:rPr>
                <w:rFonts w:ascii="宋体" w:hAnsi="宋体" w:cs="宋体" w:hint="eastAsia"/>
                <w:b/>
                <w:bCs/>
                <w:kern w:val="2"/>
                <w:sz w:val="21"/>
                <w:szCs w:val="21"/>
                <w:lang w:eastAsia="zh-CN"/>
              </w:rPr>
              <w:t>同一人或直接控股、管理关系</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与其他投标供应商的投标文件或部分投标文件</w:t>
            </w:r>
            <w:r>
              <w:rPr>
                <w:rFonts w:ascii="宋体" w:hAnsi="宋体" w:cs="宋体" w:hint="eastAsia"/>
                <w:b/>
                <w:bCs/>
                <w:kern w:val="2"/>
                <w:sz w:val="21"/>
                <w:szCs w:val="21"/>
                <w:lang w:eastAsia="zh-CN"/>
              </w:rPr>
              <w:t>相互混装或存在非正常一致</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与其他投标供应商的投标文件由</w:t>
            </w:r>
            <w:r>
              <w:rPr>
                <w:rFonts w:ascii="宋体" w:hAnsi="宋体" w:cs="宋体" w:hint="eastAsia"/>
                <w:b/>
                <w:bCs/>
                <w:kern w:val="2"/>
                <w:sz w:val="21"/>
                <w:szCs w:val="21"/>
                <w:lang w:eastAsia="zh-CN"/>
              </w:rPr>
              <w:t>同一单位或者同一人编制</w:t>
            </w:r>
            <w:r>
              <w:rPr>
                <w:rFonts w:ascii="宋体" w:hAnsi="宋体" w:cs="宋体" w:hint="eastAsia"/>
                <w:kern w:val="2"/>
                <w:sz w:val="21"/>
                <w:szCs w:val="21"/>
                <w:lang w:eastAsia="zh-CN"/>
              </w:rPr>
              <w:t>，或者使用</w:t>
            </w:r>
            <w:r>
              <w:rPr>
                <w:rFonts w:ascii="宋体" w:hAnsi="宋体" w:cs="宋体" w:hint="eastAsia"/>
                <w:b/>
                <w:bCs/>
                <w:kern w:val="2"/>
                <w:sz w:val="21"/>
                <w:szCs w:val="21"/>
                <w:lang w:eastAsia="zh-CN"/>
              </w:rPr>
              <w:t>同一设备编制</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提供</w:t>
            </w:r>
            <w:r>
              <w:rPr>
                <w:rFonts w:ascii="宋体" w:hAnsi="宋体" w:cs="宋体" w:hint="eastAsia"/>
                <w:b/>
                <w:bCs/>
                <w:kern w:val="2"/>
                <w:sz w:val="21"/>
                <w:szCs w:val="21"/>
                <w:lang w:eastAsia="zh-CN"/>
              </w:rPr>
              <w:t>未经出具机构核实</w:t>
            </w:r>
            <w:r>
              <w:rPr>
                <w:rFonts w:ascii="宋体" w:hAnsi="宋体" w:cs="宋体" w:hint="eastAsia"/>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擅自将投标密钥出借他人使用或未妥善保管。</w:t>
            </w:r>
          </w:p>
        </w:tc>
      </w:tr>
    </w:tbl>
    <w:p>
      <w:pPr>
        <w:widowControl w:val="0"/>
        <w:spacing w:before="157" w:beforeLines="5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已充分知悉“隐瞒真实情况，提供虚假资料”的法定情形，包括但不限于：</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r>
        <w:rPr>
          <w:rFonts w:ascii="宋体" w:eastAsia="宋体" w:hAnsi="宋体" w:cs="宋体" w:hint="eastAsia"/>
          <w:kern w:val="2"/>
          <w:sz w:val="21"/>
          <w:szCs w:val="21"/>
          <w:lang w:eastAsia="zh-CN"/>
        </w:rPr>
        <w:t>。</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（五）其他隐瞒真实情况、提供虚假资料的行为。</w:t>
      </w:r>
    </w:p>
    <w:p>
      <w:pPr>
        <w:widowControl w:val="0"/>
        <w:spacing w:beforeLines="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已充分知悉“与其他采购参加人串通投标”的法定情形，包括但不限于：</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（七）不同投标人的投标报价呈规律性差异。</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（九）主管部门依照法律、法规认定的其他情形。</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三、</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已充分知悉下列情形</w:t>
      </w:r>
      <w:r>
        <w:rPr>
          <w:rFonts w:ascii="宋体" w:eastAsia="宋体" w:hAnsi="宋体" w:cs="宋体" w:hint="eastAsia"/>
          <w:b/>
          <w:kern w:val="2"/>
          <w:sz w:val="21"/>
          <w:szCs w:val="21"/>
          <w:lang w:eastAsia="zh-CN"/>
        </w:rPr>
        <w:t>存在</w:t>
      </w:r>
      <w:r>
        <w:rPr>
          <w:rFonts w:ascii="宋体" w:eastAsia="宋体" w:hAnsi="宋体" w:cs="宋体" w:hint="eastAsia"/>
          <w:b/>
          <w:kern w:val="2"/>
          <w:sz w:val="21"/>
          <w:szCs w:val="21"/>
          <w:lang w:eastAsia="zh-CN"/>
        </w:rPr>
        <w:t>法律风险，在投标前已对相关风险事项进行排</w:t>
      </w:r>
      <w:r>
        <w:rPr>
          <w:rFonts w:ascii="宋体" w:eastAsia="宋体" w:hAnsi="宋体" w:cs="宋体" w:hint="eastAsia"/>
          <w:b/>
          <w:kern w:val="2"/>
          <w:sz w:val="21"/>
          <w:szCs w:val="21"/>
          <w:lang w:eastAsia="zh-CN"/>
        </w:rPr>
        <w:t>查。</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（一）对于从其他主体获取的投标资料，</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应审慎核查，确保</w:t>
      </w:r>
      <w:r>
        <w:rPr>
          <w:rFonts w:ascii="宋体" w:eastAsia="宋体" w:hAnsi="宋体" w:cs="宋体" w:hint="eastAsia"/>
          <w:kern w:val="2"/>
          <w:sz w:val="21"/>
          <w:szCs w:val="21"/>
          <w:lang w:eastAsia="zh-CN"/>
        </w:rPr>
        <w:t>其</w:t>
      </w:r>
      <w:r>
        <w:rPr>
          <w:rFonts w:ascii="宋体" w:eastAsia="宋体" w:hAnsi="宋体" w:cs="宋体" w:hint="eastAsia"/>
          <w:kern w:val="2"/>
          <w:sz w:val="21"/>
          <w:szCs w:val="21"/>
          <w:lang w:eastAsia="zh-CN"/>
        </w:rPr>
        <w:t>真实性。</w:t>
      </w:r>
      <w:r>
        <w:rPr>
          <w:rFonts w:ascii="宋体" w:eastAsia="宋体" w:hAnsi="宋体" w:cs="宋体" w:hint="eastAsia"/>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kern w:val="2"/>
          <w:sz w:val="21"/>
          <w:szCs w:val="21"/>
          <w:lang w:eastAsia="zh-CN"/>
        </w:rPr>
        <w:t>处理</w:t>
      </w:r>
      <w:r>
        <w:rPr>
          <w:rFonts w:ascii="宋体" w:eastAsia="宋体" w:hAnsi="宋体" w:cs="宋体" w:hint="eastAsia"/>
          <w:kern w:val="2"/>
          <w:sz w:val="21"/>
          <w:szCs w:val="21"/>
          <w:lang w:eastAsia="zh-CN"/>
        </w:rPr>
        <w:t>。</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三</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对投标电子密钥负有妥善保管、及时变更和续期等主体责任</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使用电子密钥在</w:t>
      </w:r>
      <w:r>
        <w:rPr>
          <w:rFonts w:ascii="宋体" w:eastAsia="宋体" w:hAnsi="宋体" w:cs="宋体" w:hint="eastAsia"/>
          <w:kern w:val="2"/>
          <w:sz w:val="21"/>
          <w:szCs w:val="21"/>
          <w:lang w:eastAsia="zh-CN"/>
        </w:rPr>
        <w:t>自行</w:t>
      </w:r>
      <w:r>
        <w:rPr>
          <w:rFonts w:ascii="宋体" w:eastAsia="宋体" w:hAnsi="宋体" w:cs="宋体" w:hint="eastAsia"/>
          <w:kern w:val="2"/>
          <w:sz w:val="21"/>
          <w:szCs w:val="21"/>
          <w:lang w:eastAsia="zh-CN"/>
        </w:rPr>
        <w:t>采购网站进行的活动，均具有法律效力，须承担相应的法律后果。</w:t>
      </w:r>
      <w:r>
        <w:rPr>
          <w:rFonts w:ascii="宋体" w:eastAsia="宋体" w:hAnsi="宋体" w:cs="宋体" w:hint="eastAsia"/>
          <w:kern w:val="2"/>
          <w:sz w:val="21"/>
          <w:szCs w:val="21"/>
          <w:lang w:eastAsia="zh-CN"/>
        </w:rPr>
        <w:t>若</w:t>
      </w:r>
      <w:r>
        <w:rPr>
          <w:rFonts w:ascii="宋体" w:eastAsia="宋体" w:hAnsi="宋体" w:cs="宋体" w:hint="eastAsia"/>
          <w:b/>
          <w:bCs/>
          <w:kern w:val="2"/>
          <w:sz w:val="21"/>
          <w:szCs w:val="21"/>
          <w:lang w:eastAsia="zh-CN"/>
        </w:rPr>
        <w:t>擅自将投标密钥出借他人使用所造成的法律后果，由</w:t>
      </w:r>
      <w:r>
        <w:rPr>
          <w:rFonts w:ascii="宋体" w:eastAsia="宋体" w:hAnsi="宋体" w:cs="宋体" w:hint="eastAsia"/>
          <w:b/>
          <w:bCs/>
          <w:kern w:val="2"/>
          <w:sz w:val="21"/>
          <w:szCs w:val="21"/>
          <w:lang w:eastAsia="zh-CN"/>
        </w:rPr>
        <w:t>我</w:t>
      </w:r>
      <w:r>
        <w:rPr>
          <w:rFonts w:ascii="宋体" w:eastAsia="宋体" w:hAnsi="宋体" w:cs="宋体" w:hint="eastAsia"/>
          <w:b/>
          <w:bCs/>
          <w:kern w:val="2"/>
          <w:sz w:val="21"/>
          <w:szCs w:val="21"/>
          <w:lang w:eastAsia="zh-CN"/>
        </w:rPr>
        <w:t>单位</w:t>
      </w:r>
      <w:r>
        <w:rPr>
          <w:rFonts w:ascii="宋体" w:eastAsia="宋体" w:hAnsi="宋体" w:cs="宋体" w:hint="eastAsia"/>
          <w:b/>
          <w:bCs/>
          <w:kern w:val="2"/>
          <w:sz w:val="21"/>
          <w:szCs w:val="21"/>
          <w:lang w:eastAsia="zh-CN"/>
        </w:rPr>
        <w:t>自行承担</w:t>
      </w:r>
      <w:r>
        <w:rPr>
          <w:rFonts w:ascii="宋体" w:eastAsia="宋体" w:hAnsi="宋体" w:cs="宋体" w:hint="eastAsia"/>
          <w:kern w:val="2"/>
          <w:sz w:val="21"/>
          <w:szCs w:val="21"/>
          <w:lang w:eastAsia="zh-CN"/>
        </w:rPr>
        <w:t>。</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四、</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已充分知悉政府采购违法、违规行为的法律</w:t>
      </w:r>
      <w:r>
        <w:rPr>
          <w:rFonts w:ascii="宋体" w:eastAsia="宋体" w:hAnsi="宋体" w:cs="宋体" w:hint="eastAsia"/>
          <w:b/>
          <w:kern w:val="2"/>
          <w:sz w:val="21"/>
          <w:szCs w:val="21"/>
          <w:lang w:eastAsia="zh-CN"/>
        </w:rPr>
        <w:t>后果。</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经查实，若</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w:t>
      </w:r>
      <w:bookmarkStart w:id="57" w:name="_GoBack"/>
      <w:bookmarkEnd w:id="57"/>
      <w:r>
        <w:rPr>
          <w:rFonts w:ascii="宋体" w:eastAsia="宋体" w:hAnsi="宋体" w:cs="宋体" w:hint="eastAsia"/>
          <w:kern w:val="2"/>
          <w:sz w:val="21"/>
          <w:szCs w:val="21"/>
          <w:lang w:eastAsia="zh-CN"/>
        </w:rPr>
        <w:t>资格，处采购金额千</w:t>
      </w:r>
      <w:r>
        <w:rPr>
          <w:rFonts w:ascii="宋体" w:eastAsia="宋体" w:hAnsi="宋体" w:cs="宋体" w:hint="eastAsia"/>
          <w:kern w:val="2"/>
          <w:sz w:val="21"/>
          <w:szCs w:val="21"/>
          <w:lang w:eastAsia="zh-CN"/>
        </w:rPr>
        <w:t>分之二十以上千分之三十以下罚款，由市场监管部门依法吊销营业执照。</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以下文字请投标供应商抄写并确认：“</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已仔细阅读《采购违法行为风险知悉确认书》，充分知悉违法行为的法律后果，并承诺将严谨、诚信、依法依规参与采购活动”。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lang w:eastAsia="zh-CN"/>
        </w:rPr>
      </w:pPr>
    </w:p>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单位</w:t>
      </w:r>
      <w:r>
        <w:rPr>
          <w:rFonts w:ascii="宋体" w:eastAsia="宋体" w:hAnsi="宋体" w:cs="宋体" w:hint="eastAsia"/>
          <w:spacing w:val="-4"/>
          <w:sz w:val="21"/>
          <w:szCs w:val="21"/>
          <w:lang w:eastAsia="zh-CN"/>
        </w:rPr>
        <w:t>负责人签名：</w:t>
      </w:r>
      <w:r>
        <w:rPr>
          <w:rFonts w:ascii="宋体" w:eastAsia="宋体" w:hAnsi="宋体" w:cs="宋体"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w:t>
      </w:r>
      <w:r>
        <w:rPr>
          <w:rFonts w:ascii="宋体" w:eastAsia="宋体" w:hAnsi="宋体" w:cs="宋体" w:hint="eastAsia"/>
          <w:spacing w:val="-4"/>
          <w:sz w:val="21"/>
          <w:szCs w:val="21"/>
          <w:lang w:eastAsia="zh-CN"/>
        </w:rPr>
        <w:t>（加盖</w:t>
      </w:r>
      <w:r>
        <w:rPr>
          <w:rFonts w:ascii="宋体" w:eastAsia="宋体" w:hAnsi="宋体" w:cs="宋体" w:hint="eastAsia"/>
          <w:spacing w:val="-4"/>
          <w:sz w:val="21"/>
          <w:szCs w:val="21"/>
          <w:lang w:eastAsia="zh-CN"/>
        </w:rPr>
        <w:t>公章</w:t>
      </w:r>
      <w:r>
        <w:rPr>
          <w:rFonts w:ascii="宋体" w:eastAsia="宋体" w:hAnsi="宋体" w:cs="宋体" w:hint="eastAsia"/>
          <w:spacing w:val="-4"/>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cs="宋体" w:hint="eastAsia"/>
          <w:b/>
          <w:bCs/>
          <w:spacing w:val="-4"/>
          <w:sz w:val="21"/>
          <w:szCs w:val="21"/>
          <w:lang w:eastAsia="zh-CN"/>
        </w:rPr>
      </w:pP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color w:val="FF0000"/>
          <w:spacing w:val="-4"/>
          <w:sz w:val="21"/>
          <w:szCs w:val="21"/>
          <w:lang w:eastAsia="zh-CN"/>
        </w:rPr>
      </w:pPr>
      <w:r>
        <w:rPr>
          <w:rFonts w:ascii="宋体" w:eastAsia="宋体" w:hAnsi="宋体" w:hint="eastAsia"/>
          <w:b/>
          <w:bCs/>
          <w:color w:val="FF0000"/>
          <w:spacing w:val="-4"/>
          <w:sz w:val="21"/>
          <w:szCs w:val="21"/>
          <w:lang w:eastAsia="zh-CN"/>
        </w:rPr>
        <w:t>1.</w:t>
      </w:r>
      <w:r>
        <w:rPr>
          <w:rFonts w:eastAsia="宋体" w:hint="eastAsia"/>
          <w:kern w:val="2"/>
          <w:sz w:val="21"/>
          <w:lang w:eastAsia="zh-CN"/>
        </w:rPr>
        <w:t xml:space="preserve"> </w:t>
      </w:r>
      <w:r>
        <w:rPr>
          <w:rFonts w:ascii="宋体" w:eastAsia="宋体" w:hAnsi="宋体" w:hint="eastAsia"/>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color w:val="FF0000"/>
          <w:spacing w:val="-4"/>
          <w:sz w:val="21"/>
          <w:szCs w:val="21"/>
          <w:lang w:eastAsia="zh-CN"/>
        </w:rPr>
      </w:pPr>
      <w:r>
        <w:rPr>
          <w:rFonts w:ascii="宋体" w:eastAsia="宋体" w:hAnsi="宋体" w:hint="eastAsia"/>
          <w:b/>
          <w:bCs/>
          <w:color w:val="FF0000"/>
          <w:spacing w:val="-4"/>
          <w:sz w:val="21"/>
          <w:szCs w:val="21"/>
          <w:lang w:eastAsia="zh-CN"/>
        </w:rPr>
        <w:t>2.投标供应商负责人或投标授权代表签字并加盖单位公章后，扫描上传至投标文件一并提交。</w:t>
      </w:r>
    </w:p>
    <w:p>
      <w:pPr>
        <w:widowControl/>
        <w:spacing w:line="360" w:lineRule="auto"/>
        <w:jc w:val="left"/>
        <w:rPr>
          <w:rFonts w:eastAsia="宋体"/>
          <w:b/>
          <w:bCs/>
          <w:lang w:eastAsia="zh-CN"/>
        </w:rPr>
      </w:pPr>
    </w:p>
    <w:p>
      <w:pPr>
        <w:widowControl w:val="0"/>
        <w:spacing w:line="360" w:lineRule="auto"/>
        <w:jc w:val="both"/>
        <w:rPr>
          <w:rFonts w:eastAsia="宋体"/>
          <w:b/>
          <w:bCs/>
          <w:kern w:val="2"/>
          <w:lang w:eastAsia="zh-CN"/>
        </w:rPr>
      </w:pPr>
      <w:r>
        <w:rPr>
          <w:rFonts w:ascii="黑体" w:eastAsia="黑体" w:hAnsi="宋体" w:hint="eastAsia"/>
          <w:b/>
          <w:bCs/>
          <w:szCs w:val="20"/>
          <w:lang w:eastAsia="zh-CN"/>
        </w:rPr>
        <w:t>（二）投标人认为需要加以说明的其他内容（格式自定）</w:t>
      </w:r>
    </w:p>
    <w:p>
      <w:pPr>
        <w:widowControl w:val="0"/>
        <w:spacing w:line="360" w:lineRule="auto"/>
        <w:jc w:val="both"/>
        <w:rPr>
          <w:rFonts w:eastAsia="宋体"/>
          <w:kern w:val="2"/>
          <w:lang w:eastAsia="zh-CN"/>
        </w:rPr>
      </w:pPr>
    </w:p>
    <w:p>
      <w:pPr>
        <w:widowControl/>
        <w:jc w:val="left"/>
        <w:rPr>
          <w:rFonts w:ascii="宋体" w:eastAsia="宋体" w:hAnsi="宋体" w:hint="eastAsia"/>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pPr>
        <w:widowControl w:val="0"/>
        <w:jc w:val="center"/>
        <w:outlineLvl w:val="0"/>
        <w:rPr>
          <w:rFonts w:eastAsia="宋体"/>
          <w:kern w:val="2"/>
          <w:sz w:val="21"/>
          <w:lang w:eastAsia="zh-CN"/>
        </w:rPr>
      </w:pPr>
      <w:r>
        <w:rPr>
          <w:rFonts w:eastAsia="宋体" w:hint="eastAsia"/>
          <w:b/>
          <w:kern w:val="2"/>
          <w:lang w:eastAsia="zh-CN"/>
        </w:rPr>
        <w:t>（仅供参考，具体以项目需求及实际签订为准）</w:t>
      </w:r>
    </w:p>
    <w:p>
      <w:pPr>
        <w:widowControl w:val="0"/>
        <w:ind w:firstLine="412" w:firstLineChars="196"/>
        <w:jc w:val="both"/>
        <w:rPr>
          <w:rFonts w:eastAsia="宋体"/>
          <w:kern w:val="2"/>
          <w:sz w:val="21"/>
          <w:lang w:eastAsia="zh-CN"/>
        </w:rPr>
      </w:pPr>
    </w:p>
    <w:p>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甲方：</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hint="eastAsia"/>
          <w:b/>
          <w:bCs/>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r>
        <w:rPr>
          <w:rFonts w:ascii="宋体" w:eastAsia="宋体" w:hAnsi="宋体"/>
          <w:b/>
          <w:bCs/>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乙方：</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hint="eastAsia"/>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p>
    <w:p>
      <w:pPr>
        <w:widowControl w:val="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根据深圳公共资源交易中心（深圳交易集团有限公司政府采购业务分公司）*</w:t>
      </w:r>
      <w:r>
        <w:rPr>
          <w:rFonts w:ascii="宋体" w:eastAsia="宋体" w:hAnsi="宋体"/>
          <w:kern w:val="2"/>
          <w:sz w:val="21"/>
          <w:szCs w:val="21"/>
          <w:lang w:eastAsia="zh-CN"/>
        </w:rPr>
        <w:t>**</w:t>
      </w:r>
      <w:r>
        <w:rPr>
          <w:rFonts w:ascii="宋体" w:eastAsia="宋体" w:hAnsi="宋体" w:hint="eastAsia"/>
          <w:kern w:val="2"/>
          <w:sz w:val="21"/>
          <w:szCs w:val="21"/>
          <w:lang w:eastAsia="zh-CN"/>
        </w:rPr>
        <w:t>号项目结果，*</w:t>
      </w:r>
      <w:r>
        <w:rPr>
          <w:rFonts w:ascii="宋体" w:eastAsia="宋体" w:hAnsi="宋体"/>
          <w:kern w:val="2"/>
          <w:sz w:val="21"/>
          <w:szCs w:val="21"/>
          <w:lang w:eastAsia="zh-CN"/>
        </w:rPr>
        <w:t>**</w:t>
      </w:r>
      <w:r>
        <w:rPr>
          <w:rFonts w:ascii="宋体" w:eastAsia="宋体" w:hAnsi="宋体" w:hint="eastAsia"/>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ascii="宋体" w:eastAsia="宋体" w:hAnsi="宋体" w:hint="eastAsia"/>
          <w:b/>
          <w:bCs/>
          <w:snapToGrid w:val="0"/>
          <w:sz w:val="21"/>
          <w:szCs w:val="21"/>
          <w:u w:val="single"/>
          <w:lang w:val="zh-CN" w:eastAsia="zh-CN"/>
        </w:rPr>
        <w:t xml:space="preserve">                      服务项目</w:t>
      </w:r>
      <w:r>
        <w:rPr>
          <w:rFonts w:ascii="宋体" w:eastAsia="宋体" w:hAnsi="宋体" w:hint="eastAsia"/>
          <w:kern w:val="2"/>
          <w:sz w:val="21"/>
          <w:szCs w:val="21"/>
          <w:lang w:eastAsia="zh-CN"/>
        </w:rPr>
        <w:t>，达成以下合同条款：</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第一条　项目概况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项目名称：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项目内容：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服务时间：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合同价款：合同总价为元，含一切税费。</w:t>
      </w:r>
      <w:r>
        <w:rPr>
          <w:rFonts w:eastAsia="宋体"/>
          <w:kern w:val="2"/>
          <w:sz w:val="21"/>
          <w:lang w:eastAsia="zh-CN"/>
        </w:rPr>
        <w:t>本合同总价包括</w:t>
      </w:r>
      <w:r>
        <w:rPr>
          <w:rFonts w:ascii="宋体" w:eastAsia="宋体" w:hAnsi="宋体" w:hint="eastAsia"/>
          <w:kern w:val="2"/>
          <w:sz w:val="21"/>
          <w:szCs w:val="21"/>
          <w:lang w:eastAsia="zh-CN"/>
        </w:rPr>
        <w:t>乙方为实施本项目*</w:t>
      </w:r>
      <w:r>
        <w:rPr>
          <w:rFonts w:ascii="宋体" w:eastAsia="宋体" w:hAnsi="宋体"/>
          <w:kern w:val="2"/>
          <w:sz w:val="21"/>
          <w:szCs w:val="21"/>
          <w:lang w:eastAsia="zh-CN"/>
        </w:rPr>
        <w:t>**</w:t>
      </w:r>
      <w:r>
        <w:rPr>
          <w:rFonts w:ascii="宋体" w:eastAsia="宋体" w:hAnsi="宋体" w:hint="eastAsia"/>
          <w:kern w:val="2"/>
          <w:sz w:val="21"/>
          <w:szCs w:val="21"/>
          <w:lang w:eastAsia="zh-CN"/>
        </w:rPr>
        <w:t>所需的设备仪器费、车辆租赁费、</w:t>
      </w:r>
      <w:r>
        <w:rPr>
          <w:rFonts w:eastAsia="宋体"/>
          <w:kern w:val="2"/>
          <w:sz w:val="21"/>
          <w:lang w:eastAsia="zh-CN"/>
        </w:rPr>
        <w:t>服务</w:t>
      </w:r>
      <w:r>
        <w:rPr>
          <w:rFonts w:eastAsia="宋体" w:hint="eastAsia"/>
          <w:kern w:val="2"/>
          <w:sz w:val="21"/>
          <w:lang w:eastAsia="zh-CN"/>
        </w:rPr>
        <w:t>和</w:t>
      </w:r>
      <w:r>
        <w:rPr>
          <w:rFonts w:eastAsia="宋体"/>
          <w:kern w:val="2"/>
          <w:sz w:val="21"/>
          <w:lang w:eastAsia="zh-CN"/>
        </w:rPr>
        <w:t>技术费用</w:t>
      </w:r>
      <w:r>
        <w:rPr>
          <w:rFonts w:eastAsia="宋体" w:hint="eastAsia"/>
          <w:kern w:val="2"/>
          <w:sz w:val="21"/>
          <w:lang w:eastAsia="zh-CN"/>
        </w:rPr>
        <w:t>等</w:t>
      </w:r>
      <w:r>
        <w:rPr>
          <w:rFonts w:eastAsia="宋体"/>
          <w:kern w:val="2"/>
          <w:sz w:val="21"/>
          <w:lang w:eastAsia="zh-CN"/>
        </w:rPr>
        <w:t>，为固定不变价格，且不随通货膨胀的影响而波动。合同总价包括</w:t>
      </w:r>
      <w:r>
        <w:rPr>
          <w:rFonts w:ascii="宋体" w:eastAsia="宋体" w:hAnsi="宋体" w:hint="eastAsia"/>
          <w:kern w:val="2"/>
          <w:sz w:val="21"/>
          <w:szCs w:val="21"/>
          <w:lang w:eastAsia="zh-CN"/>
        </w:rPr>
        <w:t>乙方</w:t>
      </w:r>
      <w:r>
        <w:rPr>
          <w:rFonts w:eastAsia="宋体"/>
          <w:kern w:val="2"/>
          <w:sz w:val="21"/>
          <w:lang w:eastAsia="zh-CN"/>
        </w:rPr>
        <w:t>履行本合同义务所发生的一切费用和支出和以各种方式寄送技术资料到</w:t>
      </w:r>
      <w:r>
        <w:rPr>
          <w:rFonts w:eastAsia="宋体" w:hint="eastAsia"/>
          <w:kern w:val="2"/>
          <w:sz w:val="21"/>
          <w:lang w:eastAsia="zh-CN"/>
        </w:rPr>
        <w:t>甲</w:t>
      </w:r>
      <w:r>
        <w:rPr>
          <w:rFonts w:eastAsia="宋体"/>
          <w:kern w:val="2"/>
          <w:sz w:val="21"/>
          <w:lang w:eastAsia="zh-CN"/>
        </w:rPr>
        <w:t>方办公室所发生的费用。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支付方式：分期支付。</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第二条  服务范围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1、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3、其他合同未明示的相关工作。</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第三条  时间要求及阶段成果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1、合同签订天内完成项目实施的准备工作，包括工作大纲和细则的编制；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2、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第四条  咨询服务资料归属</w:t>
      </w:r>
    </w:p>
    <w:p>
      <w:pPr>
        <w:widowControl w:val="0"/>
        <w:ind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w:t>
      </w:r>
      <w:r>
        <w:rPr>
          <w:rFonts w:eastAsia="宋体"/>
          <w:kern w:val="2"/>
          <w:sz w:val="21"/>
          <w:lang w:eastAsia="zh-CN"/>
        </w:rPr>
        <w:t>所有提交给</w:t>
      </w:r>
      <w:r>
        <w:rPr>
          <w:rFonts w:eastAsia="宋体" w:hint="eastAsia"/>
          <w:kern w:val="2"/>
          <w:sz w:val="21"/>
          <w:lang w:eastAsia="zh-CN"/>
        </w:rPr>
        <w:t>甲</w:t>
      </w:r>
      <w:r>
        <w:rPr>
          <w:rFonts w:eastAsia="宋体"/>
          <w:kern w:val="2"/>
          <w:sz w:val="21"/>
          <w:lang w:eastAsia="zh-CN"/>
        </w:rPr>
        <w:t>方的服务</w:t>
      </w:r>
      <w:r>
        <w:rPr>
          <w:rFonts w:eastAsia="宋体" w:hint="eastAsia"/>
          <w:kern w:val="2"/>
          <w:sz w:val="21"/>
          <w:lang w:eastAsia="zh-CN"/>
        </w:rPr>
        <w:t>文件</w:t>
      </w:r>
      <w:r>
        <w:rPr>
          <w:rFonts w:eastAsia="宋体"/>
          <w:kern w:val="2"/>
          <w:sz w:val="21"/>
          <w:lang w:eastAsia="zh-CN"/>
        </w:rPr>
        <w:t>及相关的资料的最后文本，包括为履行技术服务范围所编制的计划和证明资料等，都属于</w:t>
      </w:r>
      <w:r>
        <w:rPr>
          <w:rFonts w:eastAsia="宋体" w:hint="eastAsia"/>
          <w:kern w:val="2"/>
          <w:sz w:val="21"/>
          <w:lang w:eastAsia="zh-CN"/>
        </w:rPr>
        <w:t>甲</w:t>
      </w:r>
      <w:r>
        <w:rPr>
          <w:rFonts w:eastAsia="宋体"/>
          <w:kern w:val="2"/>
          <w:sz w:val="21"/>
          <w:lang w:eastAsia="zh-CN"/>
        </w:rPr>
        <w:t>方的财产，</w:t>
      </w:r>
      <w:r>
        <w:rPr>
          <w:rFonts w:ascii="宋体" w:eastAsia="宋体" w:hAnsi="宋体" w:hint="eastAsia"/>
          <w:kern w:val="2"/>
          <w:sz w:val="21"/>
          <w:szCs w:val="21"/>
          <w:lang w:eastAsia="zh-CN"/>
        </w:rPr>
        <w:t>乙</w:t>
      </w:r>
      <w:r>
        <w:rPr>
          <w:rFonts w:eastAsia="宋体"/>
          <w:kern w:val="2"/>
          <w:sz w:val="21"/>
          <w:lang w:eastAsia="zh-CN"/>
        </w:rPr>
        <w:t>方在提交给</w:t>
      </w:r>
      <w:r>
        <w:rPr>
          <w:rFonts w:eastAsia="宋体" w:hint="eastAsia"/>
          <w:kern w:val="2"/>
          <w:sz w:val="21"/>
          <w:lang w:eastAsia="zh-CN"/>
        </w:rPr>
        <w:t>甲</w:t>
      </w:r>
      <w:r>
        <w:rPr>
          <w:rFonts w:eastAsia="宋体"/>
          <w:kern w:val="2"/>
          <w:sz w:val="21"/>
          <w:lang w:eastAsia="zh-CN"/>
        </w:rPr>
        <w:t>方之前应将上述资料进行整理归类和编制索引</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方未经</w:t>
      </w:r>
      <w:r>
        <w:rPr>
          <w:rFonts w:eastAsia="宋体" w:hint="eastAsia"/>
          <w:kern w:val="2"/>
          <w:sz w:val="21"/>
          <w:lang w:eastAsia="zh-CN"/>
        </w:rPr>
        <w:t>甲</w:t>
      </w:r>
      <w:r>
        <w:rPr>
          <w:rFonts w:eastAsia="宋体"/>
          <w:kern w:val="2"/>
          <w:sz w:val="21"/>
          <w:lang w:eastAsia="zh-CN"/>
        </w:rPr>
        <w:t>方的书面同意，不得将上述资料用于与本服务项目之外的任何项目</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合同履行</w:t>
      </w:r>
      <w:r>
        <w:rPr>
          <w:rFonts w:eastAsia="宋体" w:hint="eastAsia"/>
          <w:kern w:val="2"/>
          <w:sz w:val="21"/>
          <w:lang w:eastAsia="zh-CN"/>
        </w:rPr>
        <w:t>完毕，</w:t>
      </w:r>
      <w:r>
        <w:rPr>
          <w:rFonts w:eastAsia="宋体"/>
          <w:kern w:val="2"/>
          <w:sz w:val="21"/>
          <w:lang w:eastAsia="zh-CN"/>
        </w:rPr>
        <w:t>未经</w:t>
      </w:r>
      <w:r>
        <w:rPr>
          <w:rFonts w:eastAsia="宋体" w:hint="eastAsia"/>
          <w:kern w:val="2"/>
          <w:sz w:val="21"/>
          <w:lang w:eastAsia="zh-CN"/>
        </w:rPr>
        <w:t>甲</w:t>
      </w:r>
      <w:r>
        <w:rPr>
          <w:rFonts w:eastAsia="宋体"/>
          <w:kern w:val="2"/>
          <w:sz w:val="21"/>
          <w:lang w:eastAsia="zh-CN"/>
        </w:rPr>
        <w:t>方的书面同意</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w:t>
      </w:r>
      <w:r>
        <w:rPr>
          <w:rFonts w:eastAsia="宋体" w:hint="eastAsia"/>
          <w:kern w:val="2"/>
          <w:sz w:val="21"/>
          <w:lang w:eastAsia="zh-CN"/>
        </w:rPr>
        <w:t>不得保存在</w:t>
      </w:r>
      <w:r>
        <w:rPr>
          <w:rFonts w:eastAsia="宋体"/>
          <w:kern w:val="2"/>
          <w:sz w:val="21"/>
          <w:lang w:eastAsia="zh-CN"/>
        </w:rPr>
        <w:t>履行合同过程中所获得或接触到的任何</w:t>
      </w:r>
      <w:r>
        <w:rPr>
          <w:rFonts w:ascii="宋体" w:eastAsia="宋体" w:hAnsi="宋体" w:hint="eastAsia"/>
          <w:kern w:val="2"/>
          <w:sz w:val="21"/>
          <w:szCs w:val="21"/>
          <w:lang w:eastAsia="zh-CN"/>
        </w:rPr>
        <w:t>内部数据资料。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第五条  甲方的义务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1、负责与本服务项目有关的第三方的协调，提供开展服务工作的外部条件。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2、向乙方提供与本项目服务工作有关的资料。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3、负责组织有关专家对项目成果报告的评审。</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第七条　乙方的义务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１、应按照招标文件、投标文件要求按期完成本项目服务工作。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2、负责组织项目的实施，保证进度和工作质量，并满足验收相关标准。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hint="eastAsia"/>
          <w:kern w:val="2"/>
          <w:sz w:val="21"/>
          <w:lang w:eastAsia="zh-CN"/>
        </w:rPr>
        <w:t>向甲方提交资料等各套，一套电子版文件。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4、在履行合同期间或合同规定期限内，不得泄露与本合同规定业务活动有关的保密资料。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第八条  甲方的权利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、有权向乙方询问工作进展情况及相关的内容。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、有权阐述对具体问题的意见和建议。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、当甲方认定乙方人员不按合同履行其职责，或与第三人串通给甲方造成经济损失的，甲方有权要求更换人员，直至终止合同并要求乙方承担相应的赔偿责任。</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第九条  乙方的权利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、乙方在本项目服务过程中，如甲方提供的资料不明确时可向甲方提出书面报告。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、乙方在本项目服务过程中，有权对第三方提出与本咨询服务业务有关的问题进行核对或查问。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、乙方在本项目服务过程中，有到现场勘察的权利。</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第十条  甲方的责任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1、应当履行本合同约定的义务，如有违反则应当承担违约责任，赔偿给乙方造成的损失。</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2、甲方向乙方提出赔偿要求不能成立时，则应补偿由于该赔偿或其他要求所导致乙方的各种费用的支出。</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第十一条  乙方的责任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1、乙方的责任期即本合同有效期。如因非乙方的责任造成进度的推迟或延误而超过约定的日期，双方应进一步约定相应延长合同有效期。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2、乙方的责任期内，应当履行本合同中约定的义务，因乙方的单方过失造成的经济损失，应当向甲方进行赔偿。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3、乙方对甲方或第三方所提出的问题不能及时核对或答复，导致合同不能全部或部分履行，乙方应承担责任。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4、乙方向甲方提出赔偿要求不能成立时，则应补偿由于该赔偿或其他要求所导致甲方的各种费用的支出。</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第十二条  人员要求</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2.执行项目的档案整理员具备良好的沟通能力，能熟练操作计算机、办公室软件、档案管理系统软件。</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3.执行项目的档案整理员政治历史和社会关系清楚，无犯罪记录。</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4.执行项目的档案整理员应当遵守甲方相关工作纪律，接受甲方的管理。</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5.如遇特殊情况需要加班或增加工作人员的，乙方需无条件进行保障。</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第十三条  乙方服务工具要求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1、乙方应配备中标项目所需的足够数量的仪器、仪表以及工具等设备。用户不需向乙方提供施工工具和仪器、仪表。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2、乙方在提供服务过程中应自备车辆。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第十四条  保密要求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乙方在履行合同过程中所获得或接触到的任何</w:t>
      </w:r>
      <w:r>
        <w:rPr>
          <w:rFonts w:ascii="宋体" w:eastAsia="宋体" w:hAnsi="宋体" w:hint="eastAsia"/>
          <w:kern w:val="2"/>
          <w:sz w:val="21"/>
          <w:szCs w:val="21"/>
          <w:lang w:eastAsia="zh-CN"/>
        </w:rPr>
        <w:t>内部数据资料，未经甲方同意，不得向第三方透露。</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乙方</w:t>
      </w:r>
      <w:r>
        <w:rPr>
          <w:rFonts w:ascii="宋体" w:eastAsia="宋体" w:hAnsi="宋体" w:hint="eastAsia"/>
          <w:kern w:val="2"/>
          <w:sz w:val="21"/>
          <w:szCs w:val="21"/>
          <w:lang w:eastAsia="zh-CN"/>
        </w:rPr>
        <w:t>实施项目的一切程序都应符合国家安全、保密的有关规定和标准。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r>
        <w:rPr>
          <w:rFonts w:ascii="宋体" w:eastAsia="宋体" w:hAnsi="宋体"/>
          <w:kern w:val="2"/>
          <w:sz w:val="21"/>
          <w:szCs w:val="21"/>
          <w:lang w:eastAsia="zh-CN"/>
        </w:rPr>
        <w:t>乙方</w:t>
      </w:r>
      <w:r>
        <w:rPr>
          <w:rFonts w:ascii="宋体" w:eastAsia="宋体" w:hAnsi="宋体" w:hint="eastAsia"/>
          <w:kern w:val="2"/>
          <w:sz w:val="21"/>
          <w:szCs w:val="21"/>
          <w:lang w:eastAsia="zh-CN"/>
        </w:rPr>
        <w:t>参加项目的有关人员均需同甲方签订保密协议。</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第十五条  验收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1、下列文件的验收分为</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个阶段: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2、其余文件和工作由用户组织有关技术人员根据国家和行业有关规范、规程、标准和用户需求直接验收。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3、验收依据为招标文件、投标文件，国家和行业有关规范、规程和标准。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第十六条  付款方式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1.该项目以人民币结算，合同签定后，甲方收到乙方提供的等额税务发票后15日内，支付合同总价款50%的款项；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2.在合同履行满5个月后，乙方依约履行合同义务并通过甲方中期验收，甲方收到发票后15日内向乙方支付合同金额的40%；</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3.在乙方依约完成全部项目内容，乙方向甲方申请终期验收，经甲方确认验收合格，甲方收到乙方提供的等额税务发票后15日内支付剩余10%项目尾款经费。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第十七条  争议解决办法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执行本合同发生的争议，由甲乙双方协商解决，如协商不成的，应提交甲方所在地人民法院诉讼解决。</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第十八条  风险责任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１、乙方应完全地按照招标文件的要求和乙方投标文件的承诺完成本项目，出于自身财务、技术、人力等原因导致项目失败的，应承担全部责任。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2、乙方在实施过程中应对自身的安全生产负责，若非因甲方原因发生的各种事故甲方不承担任何责任。</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第十九条  违约责任</w:t>
      </w:r>
    </w:p>
    <w:p>
      <w:pPr>
        <w:widowControl w:val="0"/>
        <w:spacing w:line="24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１、因乙方原因，未能按规定时间完成有关工作的，每延误一天，甲方可在支付合同余款中扣除合同价款千分之一。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2、由于乙方原因造成成果质量低劣，不能满足要求时，应继续完善工作，其费用由乙方承担。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第二十条  其他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1、本合同与招标文件、乙方投标文件如有抵触之处，以本合同条款为准。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2、下列文件均为本合同的组成部分：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（1）号招标文件、答疑及补充通知；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（3）本合同执行中共同签署的补充与修正文件。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本合同一式份，甲、乙方双方各执份，具有同等法律效力。本合同自双方法人代表签字（盖章）认可之日起生效。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本合同未尽事宜，双方友好协商，达成解决方案，经双方签字后，可作为本合同的有效附件。</w:t>
      </w:r>
    </w:p>
    <w:p>
      <w:pPr>
        <w:widowControl w:val="0"/>
        <w:ind w:firstLine="420" w:firstLineChars="200"/>
        <w:jc w:val="both"/>
        <w:rPr>
          <w:rFonts w:ascii="宋体" w:eastAsia="宋体" w:hAnsi="宋体" w:hint="eastAsia"/>
          <w:kern w:val="2"/>
          <w:sz w:val="21"/>
          <w:szCs w:val="21"/>
          <w:lang w:eastAsia="zh-CN"/>
        </w:rPr>
      </w:pP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甲方（采购人）：   （盖章）       乙方（供应商）：    （盖章）</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法定代表人：                     法定代表人： </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委托代理人：                     委托代理人：</w:t>
      </w:r>
    </w:p>
    <w:p>
      <w:pPr>
        <w:widowControl/>
        <w:jc w:val="left"/>
        <w:rPr>
          <w:rFonts w:ascii="宋体" w:eastAsia="宋体" w:hAnsi="宋体" w:hint="eastAsia"/>
          <w:kern w:val="2"/>
          <w:sz w:val="21"/>
          <w:szCs w:val="21"/>
          <w:lang w:eastAsia="zh-CN"/>
        </w:rPr>
      </w:pPr>
      <w:r>
        <w:rPr>
          <w:rFonts w:ascii="宋体" w:eastAsia="宋体" w:hAnsi="宋体"/>
          <w:kern w:val="2"/>
          <w:sz w:val="21"/>
          <w:szCs w:val="21"/>
          <w:lang w:eastAsia="zh-CN"/>
        </w:rPr>
        <w:br w:type="page"/>
      </w: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第二册  通用条款（</w:t>
      </w:r>
      <w:r>
        <w:rPr>
          <w:rFonts w:ascii="宋体" w:eastAsia="宋体" w:hAnsi="宋体" w:hint="eastAsia"/>
          <w:b/>
          <w:bCs/>
          <w:sz w:val="28"/>
          <w:szCs w:val="28"/>
          <w:lang w:eastAsia="zh-CN"/>
        </w:rPr>
        <w:t>公开征集</w:t>
      </w:r>
      <w:r>
        <w:rPr>
          <w:rFonts w:ascii="宋体" w:eastAsia="宋体" w:hAnsi="宋体" w:hint="eastAsia"/>
          <w:b/>
          <w:bCs/>
          <w:sz w:val="28"/>
          <w:szCs w:val="28"/>
          <w:lang w:eastAsia="zh-CN"/>
        </w:rPr>
        <w:t>）</w:t>
      </w: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58" w:name="_Hlk72399513"/>
      <w:bookmarkStart w:id="59" w:name="_Hlk72439706"/>
      <w:r>
        <w:rPr>
          <w:rFonts w:ascii="Cambria" w:eastAsia="宋体" w:hAnsi="Cambria" w:cstheme="majorBidi" w:hint="eastAsia"/>
          <w:b/>
          <w:bCs/>
          <w:kern w:val="2"/>
          <w:sz w:val="28"/>
          <w:szCs w:val="28"/>
          <w:lang w:eastAsia="zh-CN"/>
        </w:rPr>
        <w:t>总则</w:t>
      </w:r>
    </w:p>
    <w:bookmarkEnd w:id="58"/>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60" w:name="_Hlk72399729"/>
      <w:r>
        <w:rPr>
          <w:rFonts w:ascii="宋体" w:eastAsia="宋体" w:hAnsi="宋体" w:hint="eastAsia"/>
          <w:kern w:val="2"/>
          <w:sz w:val="21"/>
          <w:szCs w:val="21"/>
          <w:lang w:eastAsia="zh-CN"/>
        </w:rPr>
        <w:t>如有需要，政府集中采购机构可以对通用条款的内容进行补充。</w:t>
      </w:r>
      <w:bookmarkEnd w:id="60"/>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1.4“通用条款”是适用于自行采购</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项目的基础性条款，具有普遍性和通用性。</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w:t>
      </w:r>
      <w:r>
        <w:rPr>
          <w:rFonts w:ascii="黑体" w:eastAsia="黑体" w:hAnsi="宋体"/>
          <w:kern w:val="2"/>
          <w:sz w:val="21"/>
          <w:szCs w:val="21"/>
          <w:lang w:eastAsia="zh-CN"/>
        </w:rPr>
        <w:t>．</w:t>
      </w:r>
      <w:r>
        <w:rPr>
          <w:rFonts w:ascii="黑体" w:eastAsia="黑体" w:hAnsi="宋体" w:hint="eastAsia"/>
          <w:kern w:val="2"/>
          <w:sz w:val="21"/>
          <w:szCs w:val="21"/>
          <w:lang w:eastAsia="zh-CN"/>
        </w:rPr>
        <w:t>招标说明</w:t>
      </w:r>
    </w:p>
    <w:p>
      <w:pPr>
        <w:widowControl w:val="0"/>
        <w:ind w:firstLine="420" w:firstLineChars="200"/>
        <w:jc w:val="both"/>
        <w:rPr>
          <w:rFonts w:ascii="宋体" w:eastAsia="宋体" w:hAnsi="宋体" w:hint="eastAsia"/>
          <w:b/>
          <w:bCs/>
          <w:color w:val="FF0000"/>
          <w:kern w:val="2"/>
          <w:sz w:val="21"/>
          <w:szCs w:val="21"/>
          <w:lang w:eastAsia="zh-CN"/>
        </w:rPr>
      </w:pPr>
      <w:r>
        <w:rPr>
          <w:rFonts w:ascii="宋体" w:eastAsia="宋体" w:hAnsi="宋体" w:hint="eastAsia"/>
          <w:b/>
          <w:bCs/>
          <w:color w:val="FF0000"/>
          <w:kern w:val="2"/>
          <w:sz w:val="21"/>
          <w:szCs w:val="21"/>
          <w:lang w:eastAsia="zh-CN"/>
        </w:rPr>
        <w:t>本项目为自行采购项目，参照《深圳经济特区政府采购条例》、《深圳经济特区政府采购条例实施细则》及政府采购其他法律法规，通过</w:t>
      </w:r>
      <w:r>
        <w:rPr>
          <w:rFonts w:ascii="宋体" w:eastAsia="宋体" w:hAnsi="宋体" w:hint="eastAsia"/>
          <w:b/>
          <w:bCs/>
          <w:color w:val="FF0000"/>
          <w:kern w:val="2"/>
          <w:sz w:val="21"/>
          <w:szCs w:val="21"/>
          <w:lang w:eastAsia="zh-CN"/>
        </w:rPr>
        <w:t>公开征集</w:t>
      </w:r>
      <w:r>
        <w:rPr>
          <w:rFonts w:ascii="宋体" w:eastAsia="宋体" w:hAnsi="宋体" w:hint="eastAsia"/>
          <w:b/>
          <w:bCs/>
          <w:color w:val="FF0000"/>
          <w:kern w:val="2"/>
          <w:sz w:val="21"/>
          <w:szCs w:val="21"/>
          <w:lang w:eastAsia="zh-CN"/>
        </w:rPr>
        <w:t>方式确定中标供应商。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3．定义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w:t>
      </w:r>
      <w:r>
        <w:rPr>
          <w:rFonts w:ascii="宋体" w:eastAsia="宋体" w:hAnsi="宋体"/>
          <w:kern w:val="2"/>
          <w:sz w:val="21"/>
          <w:szCs w:val="21"/>
          <w:lang w:eastAsia="zh-CN"/>
        </w:rPr>
        <w:t>文件中下列术语应解释为：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color w:val="FF0000"/>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color w:val="FF0000"/>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 xml:space="preserve">4. </w:t>
      </w:r>
      <w:bookmarkStart w:id="61" w:name="_Hlk72398643"/>
      <w:r>
        <w:rPr>
          <w:rFonts w:ascii="黑体" w:eastAsia="黑体" w:hAnsi="宋体" w:hint="eastAsia"/>
          <w:kern w:val="2"/>
          <w:sz w:val="21"/>
          <w:szCs w:val="21"/>
          <w:lang w:eastAsia="zh-CN"/>
        </w:rPr>
        <w:t>自行采购供应商责任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5．投标人参加自行采购的条件</w:t>
      </w:r>
    </w:p>
    <w:p>
      <w:pPr>
        <w:widowControl w:val="0"/>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深圳政府采购自行采购系统（具体在深圳交易集团有限公司政府采购业务分公司进行办理）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5.2投标人资格要求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5.3联合体投标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（1）投标联合体各方参加采购活动应当具备下列条件：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1、具有独立承担民事责任的能力；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2、有良好的商业信誉和健全的财务会计制度；</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3、具有履行合同所必需的设备和专业技术能力；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4、有依法缴纳税收和社会保障资金的良好记录；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5、参加采购活动前三年内，在经营活动中没有重大违法记录；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6、法律、行政法规规定的其他条件。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color w:val="FF0000"/>
          <w:kern w:val="2"/>
          <w:sz w:val="21"/>
          <w:szCs w:val="21"/>
          <w:lang w:eastAsia="zh-CN"/>
        </w:rPr>
        <w:t>深圳政府采购自行采购系统</w:t>
      </w:r>
      <w:r>
        <w:rPr>
          <w:rFonts w:ascii="宋体" w:eastAsia="宋体" w:hAnsi="宋体" w:hint="eastAsia"/>
          <w:kern w:val="2"/>
          <w:sz w:val="21"/>
          <w:szCs w:val="21"/>
          <w:lang w:eastAsia="zh-CN"/>
        </w:rPr>
        <w:t>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6．政策导向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6.1</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投标人</w:t>
      </w:r>
      <w:bookmarkStart w:id="62"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2"/>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8．投标费用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9．踏勘现场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0</w:t>
      </w:r>
      <w:r>
        <w:rPr>
          <w:rFonts w:ascii="黑体" w:eastAsia="黑体" w:hAnsi="宋体" w:hint="eastAsia"/>
          <w:kern w:val="2"/>
          <w:sz w:val="21"/>
          <w:szCs w:val="21"/>
          <w:lang w:eastAsia="zh-CN"/>
        </w:rPr>
        <w:t>．标前会议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10</w:t>
      </w:r>
      <w:r>
        <w:rPr>
          <w:rFonts w:ascii="宋体" w:eastAsia="宋体" w:hAnsi="宋体" w:hint="eastAsia"/>
          <w:kern w:val="2"/>
          <w:sz w:val="21"/>
          <w:szCs w:val="21"/>
          <w:lang w:eastAsia="zh-CN"/>
        </w:rPr>
        <w:t>.</w:t>
      </w:r>
      <w:r>
        <w:rPr>
          <w:rFonts w:ascii="宋体" w:eastAsia="宋体" w:hAnsi="宋体"/>
          <w:kern w:val="2"/>
          <w:sz w:val="21"/>
          <w:szCs w:val="21"/>
          <w:lang w:eastAsia="zh-CN"/>
        </w:rPr>
        <w:t>2</w:t>
      </w:r>
      <w:r>
        <w:rPr>
          <w:rFonts w:ascii="宋体" w:eastAsia="宋体" w:hAnsi="宋体"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61"/>
    <w:p>
      <w:pPr>
        <w:widowControl w:val="0"/>
        <w:ind w:firstLine="412" w:firstLineChars="196"/>
        <w:jc w:val="both"/>
        <w:rPr>
          <w:rFonts w:ascii="宋体" w:eastAsia="宋体" w:hAnsi="宋体" w:hint="eastAsia"/>
          <w:kern w:val="2"/>
          <w:sz w:val="21"/>
          <w:lang w:eastAsia="zh-CN"/>
        </w:rPr>
      </w:pP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1</w:t>
      </w:r>
      <w:r>
        <w:rPr>
          <w:rFonts w:ascii="黑体" w:eastAsia="黑体" w:hAnsi="宋体" w:hint="eastAsia"/>
          <w:kern w:val="2"/>
          <w:sz w:val="21"/>
          <w:szCs w:val="21"/>
          <w:lang w:eastAsia="zh-CN"/>
        </w:rPr>
        <w:t>．</w:t>
      </w:r>
      <w:bookmarkStart w:id="63" w:name="_Hlk72399819"/>
      <w:r>
        <w:rPr>
          <w:rFonts w:ascii="黑体" w:eastAsia="黑体" w:hAnsi="宋体" w:hint="eastAsia"/>
          <w:kern w:val="2"/>
          <w:sz w:val="21"/>
          <w:szCs w:val="21"/>
          <w:lang w:eastAsia="zh-CN"/>
        </w:rPr>
        <w:t>招标文件的编制与组成</w:t>
      </w:r>
    </w:p>
    <w:p>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招标文件包括下列内容：</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第一册  专用条款</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用户需求书</w:t>
      </w:r>
    </w:p>
    <w:p>
      <w:pPr>
        <w:widowControl w:val="0"/>
        <w:ind w:firstLine="420" w:firstLineChars="200"/>
        <w:jc w:val="both"/>
        <w:rPr>
          <w:rFonts w:ascii="宋体" w:eastAsia="宋体" w:hAnsi="宋体" w:hint="eastAsia"/>
          <w:kern w:val="2"/>
          <w:sz w:val="21"/>
          <w:szCs w:val="21"/>
          <w:lang w:eastAsia="zh-CN"/>
        </w:rPr>
      </w:pPr>
      <w:r>
        <w:rPr>
          <w:rFonts w:eastAsia="宋体" w:hint="eastAsia"/>
          <w:kern w:val="2"/>
          <w:sz w:val="21"/>
          <w:szCs w:val="21"/>
          <w:lang w:eastAsia="zh-CN"/>
        </w:rPr>
        <w:t xml:space="preserve">第四章 </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第二册  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第九章  </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失败的后续处理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2</w:t>
      </w:r>
      <w:r>
        <w:rPr>
          <w:rFonts w:ascii="黑体" w:eastAsia="黑体" w:hAnsi="宋体" w:hint="eastAsia"/>
          <w:kern w:val="2"/>
          <w:sz w:val="21"/>
          <w:szCs w:val="21"/>
          <w:lang w:eastAsia="zh-CN"/>
        </w:rPr>
        <w:t>．招标文件的澄清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color w:val="FF0000"/>
          <w:kern w:val="2"/>
          <w:sz w:val="21"/>
          <w:szCs w:val="21"/>
          <w:lang w:eastAsia="zh-CN"/>
        </w:rPr>
        <w:t>1</w:t>
      </w:r>
      <w:r>
        <w:rPr>
          <w:rFonts w:ascii="宋体" w:eastAsia="宋体" w:hAnsi="宋体"/>
          <w:color w:val="FF0000"/>
          <w:kern w:val="2"/>
          <w:sz w:val="21"/>
          <w:szCs w:val="21"/>
          <w:lang w:eastAsia="zh-CN"/>
        </w:rPr>
        <w:t>2</w:t>
      </w:r>
      <w:r>
        <w:rPr>
          <w:rFonts w:ascii="宋体" w:eastAsia="宋体" w:hAnsi="宋体" w:hint="eastAsia"/>
          <w:color w:val="FF0000"/>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w:t>
      </w:r>
      <w:r>
        <w:rPr>
          <w:rFonts w:ascii="黑体" w:eastAsia="黑体" w:hAnsi="宋体" w:hint="eastAsia"/>
          <w:kern w:val="2"/>
          <w:sz w:val="21"/>
          <w:szCs w:val="21"/>
          <w:lang w:eastAsia="zh-CN"/>
        </w:rPr>
        <w:t>3．招标文件的修改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3"/>
    </w:p>
    <w:p>
      <w:pPr>
        <w:widowControl w:val="0"/>
        <w:jc w:val="both"/>
        <w:rPr>
          <w:rFonts w:ascii="宋体" w:eastAsia="宋体" w:hAnsi="宋体" w:hint="eastAsia"/>
          <w:kern w:val="2"/>
          <w:sz w:val="21"/>
          <w:szCs w:val="21"/>
          <w:lang w:eastAsia="zh-CN"/>
        </w:rPr>
      </w:pP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14．</w:t>
      </w:r>
      <w:bookmarkStart w:id="64" w:name="_Hlk72400236"/>
      <w:r>
        <w:rPr>
          <w:rFonts w:ascii="黑体" w:eastAsia="黑体" w:hAnsi="宋体" w:hint="eastAsia"/>
          <w:kern w:val="2"/>
          <w:sz w:val="21"/>
          <w:szCs w:val="21"/>
          <w:lang w:eastAsia="zh-CN"/>
        </w:rPr>
        <w:t>投标文件的语言及度量单位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64"/>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15．</w:t>
      </w:r>
      <w:bookmarkStart w:id="65" w:name="_Hlk72401567"/>
      <w:r>
        <w:rPr>
          <w:rFonts w:ascii="黑体" w:eastAsia="黑体" w:hAnsi="宋体" w:hint="eastAsia"/>
          <w:kern w:val="2"/>
          <w:sz w:val="21"/>
          <w:szCs w:val="21"/>
          <w:lang w:eastAsia="zh-CN"/>
        </w:rPr>
        <w:t>投标文件的组成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16．投标文件格式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w:t>
      </w:r>
      <w:r>
        <w:rPr>
          <w:rFonts w:ascii="宋体" w:eastAsia="宋体" w:hAnsi="宋体" w:hint="eastAsia"/>
          <w:kern w:val="2"/>
          <w:sz w:val="21"/>
          <w:szCs w:val="21"/>
          <w:lang w:eastAsia="zh-CN"/>
        </w:rPr>
        <w:t>招标</w:t>
      </w:r>
      <w:r>
        <w:rPr>
          <w:rFonts w:ascii="宋体" w:eastAsia="宋体" w:hAnsi="宋体"/>
          <w:kern w:val="2"/>
          <w:sz w:val="21"/>
          <w:szCs w:val="21"/>
          <w:lang w:eastAsia="zh-CN"/>
        </w:rPr>
        <w:t>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17．投标货币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本项目的投标报价应以人民币计。</w:t>
      </w:r>
    </w:p>
    <w:bookmarkEnd w:id="65"/>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18．</w:t>
      </w:r>
      <w:bookmarkStart w:id="66" w:name="_Hlk72401735"/>
      <w:r>
        <w:rPr>
          <w:rFonts w:ascii="黑体" w:eastAsia="黑体" w:hAnsi="宋体"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66"/>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19．</w:t>
      </w:r>
      <w:bookmarkStart w:id="67" w:name="_Hlk72402034"/>
      <w:r>
        <w:rPr>
          <w:rFonts w:ascii="黑体" w:eastAsia="黑体" w:hAnsi="宋体" w:hint="eastAsia"/>
          <w:kern w:val="2"/>
          <w:sz w:val="21"/>
          <w:szCs w:val="21"/>
          <w:lang w:eastAsia="zh-CN"/>
        </w:rPr>
        <w:t>投标文件其他证明文件的要求</w:t>
      </w:r>
    </w:p>
    <w:p>
      <w:pPr>
        <w:widowControl w:val="0"/>
        <w:ind w:firstLine="420" w:firstLineChars="200"/>
        <w:jc w:val="both"/>
        <w:rPr>
          <w:rFonts w:ascii="宋体" w:eastAsia="宋体" w:hAnsi="宋体" w:hint="eastAsia"/>
          <w:color w:val="FF0000"/>
          <w:kern w:val="2"/>
          <w:sz w:val="21"/>
          <w:szCs w:val="21"/>
          <w:lang w:eastAsia="zh-CN"/>
        </w:rPr>
      </w:pP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8" w:name="_Hlk71407299"/>
    </w:p>
    <w:bookmarkEnd w:id="68"/>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20．投标有效期</w:t>
      </w:r>
    </w:p>
    <w:bookmarkEnd w:id="67"/>
    <w:p>
      <w:pPr>
        <w:widowControl w:val="0"/>
        <w:ind w:firstLine="420" w:firstLineChars="200"/>
        <w:jc w:val="both"/>
        <w:rPr>
          <w:rFonts w:ascii="宋体" w:eastAsia="宋体" w:hAnsi="宋体" w:hint="eastAsia"/>
          <w:kern w:val="2"/>
          <w:sz w:val="21"/>
          <w:szCs w:val="21"/>
          <w:lang w:eastAsia="zh-CN"/>
        </w:rPr>
      </w:pPr>
      <w:bookmarkStart w:id="69"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69"/>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21．</w:t>
      </w:r>
      <w:bookmarkStart w:id="70" w:name="_Hlk72402325"/>
      <w:r>
        <w:rPr>
          <w:rFonts w:ascii="黑体" w:eastAsia="黑体" w:hAnsi="宋体" w:hint="eastAsia"/>
          <w:kern w:val="2"/>
          <w:sz w:val="21"/>
          <w:szCs w:val="21"/>
          <w:lang w:eastAsia="zh-CN"/>
        </w:rPr>
        <w:t xml:space="preserve">关于投标保证金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22．投标人的替代方案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70"/>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23．</w:t>
      </w:r>
      <w:bookmarkStart w:id="71" w:name="_Hlk72402860"/>
      <w:r>
        <w:rPr>
          <w:rFonts w:ascii="黑体" w:eastAsia="黑体" w:hAnsi="宋体"/>
          <w:kern w:val="2"/>
          <w:sz w:val="21"/>
          <w:szCs w:val="21"/>
          <w:lang w:eastAsia="zh-CN"/>
        </w:rPr>
        <w:t>投标文件的</w:t>
      </w:r>
      <w:r>
        <w:rPr>
          <w:rFonts w:ascii="黑体" w:eastAsia="黑体" w:hAnsi="宋体" w:hint="eastAsia"/>
          <w:kern w:val="2"/>
          <w:sz w:val="21"/>
          <w:szCs w:val="21"/>
          <w:lang w:eastAsia="zh-CN"/>
        </w:rPr>
        <w:t>制作</w:t>
      </w:r>
      <w:r>
        <w:rPr>
          <w:rFonts w:ascii="黑体" w:eastAsia="黑体" w:hAnsi="宋体"/>
          <w:kern w:val="2"/>
          <w:sz w:val="21"/>
          <w:szCs w:val="21"/>
          <w:lang w:eastAsia="zh-CN"/>
        </w:rPr>
        <w:t>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23.2.5投标人在编辑投标文件时，</w:t>
      </w:r>
      <w:r>
        <w:rPr>
          <w:rFonts w:ascii="宋体" w:eastAsia="宋体" w:hAnsi="宋体" w:hint="eastAsia"/>
          <w:b/>
          <w:kern w:val="2"/>
          <w:sz w:val="21"/>
          <w:szCs w:val="21"/>
          <w:lang w:eastAsia="zh-CN"/>
        </w:rPr>
        <w:t>在投标文件目录中属于本节点内容的必须在本节点中填写，填写到其他节点或附件，</w:t>
      </w:r>
      <w:r>
        <w:rPr>
          <w:rFonts w:ascii="宋体" w:eastAsia="宋体" w:hAnsi="宋体" w:hint="eastAsia"/>
          <w:kern w:val="2"/>
          <w:sz w:val="21"/>
          <w:szCs w:val="21"/>
          <w:lang w:eastAsia="zh-CN"/>
        </w:rPr>
        <w:t>一切后果由供应商自行承担。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23.4全流程线上投标的投标文件无须盖章或签字，</w:t>
      </w:r>
      <w:r>
        <w:rPr>
          <w:rFonts w:ascii="宋体" w:eastAsia="宋体" w:hAnsi="宋体" w:hint="eastAsia"/>
          <w:kern w:val="2"/>
          <w:sz w:val="21"/>
          <w:szCs w:val="21"/>
          <w:lang w:eastAsia="zh-CN"/>
        </w:rPr>
        <w:t>专用条款另有要求的除外。</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71"/>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hint="eastAsia"/>
          <w:kern w:val="2"/>
          <w:sz w:val="21"/>
          <w:szCs w:val="21"/>
          <w:lang w:eastAsia="zh-CN"/>
        </w:rPr>
      </w:pPr>
      <w:bookmarkStart w:id="72" w:name="_Hlk72405459"/>
      <w:r>
        <w:rPr>
          <w:rFonts w:ascii="黑体" w:eastAsia="黑体" w:hAnsi="宋体" w:hint="eastAsia"/>
          <w:kern w:val="2"/>
          <w:sz w:val="21"/>
          <w:szCs w:val="21"/>
          <w:lang w:eastAsia="zh-CN"/>
        </w:rPr>
        <w:t>24．投标文件的保密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ind w:firstLine="420" w:firstLineChars="200"/>
        <w:jc w:val="both"/>
        <w:rPr>
          <w:rFonts w:ascii="黑体" w:eastAsia="黑体" w:hAnsi="宋体" w:hint="eastAsia"/>
          <w:b/>
          <w:kern w:val="2"/>
          <w:sz w:val="21"/>
          <w:szCs w:val="21"/>
          <w:lang w:eastAsia="zh-CN"/>
        </w:rPr>
      </w:pPr>
      <w:r>
        <w:rPr>
          <w:rFonts w:ascii="宋体" w:eastAsia="宋体" w:hAnsi="宋体"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1实行网上投标，</w:t>
      </w:r>
      <w:r>
        <w:rPr>
          <w:rFonts w:ascii="宋体" w:eastAsia="宋体" w:hAnsi="宋体"/>
          <w:kern w:val="2"/>
          <w:sz w:val="21"/>
          <w:szCs w:val="21"/>
          <w:lang w:eastAsia="zh-CN"/>
        </w:rPr>
        <w:t>投标人必须</w:t>
      </w:r>
      <w:r>
        <w:rPr>
          <w:rFonts w:ascii="宋体" w:eastAsia="宋体" w:hAnsi="宋体" w:hint="eastAsia"/>
          <w:kern w:val="2"/>
          <w:sz w:val="21"/>
          <w:szCs w:val="21"/>
          <w:lang w:eastAsia="zh-CN"/>
        </w:rPr>
        <w:t>在招标</w:t>
      </w:r>
      <w:r>
        <w:rPr>
          <w:rFonts w:ascii="宋体" w:eastAsia="宋体" w:hAnsi="宋体"/>
          <w:kern w:val="2"/>
          <w:sz w:val="21"/>
          <w:szCs w:val="21"/>
          <w:lang w:eastAsia="zh-CN"/>
        </w:rPr>
        <w:t>文件规定的投标截止时间前</w:t>
      </w:r>
      <w:r>
        <w:rPr>
          <w:rFonts w:ascii="宋体" w:eastAsia="宋体" w:hAnsi="宋体" w:hint="eastAsia"/>
          <w:kern w:val="2"/>
          <w:sz w:val="21"/>
          <w:szCs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eastAsia="宋体" w:hAnsi="宋体"/>
          <w:b/>
          <w:bCs/>
          <w:kern w:val="2"/>
          <w:sz w:val="21"/>
          <w:szCs w:val="21"/>
          <w:lang w:eastAsia="zh-CN"/>
        </w:rPr>
        <w:t>协助上传</w:t>
      </w:r>
      <w:r>
        <w:rPr>
          <w:rFonts w:ascii="宋体" w:eastAsia="宋体" w:hAnsi="宋体" w:hint="eastAsia"/>
          <w:b/>
          <w:bCs/>
          <w:kern w:val="2"/>
          <w:sz w:val="21"/>
          <w:szCs w:val="21"/>
          <w:lang w:eastAsia="zh-CN"/>
        </w:rPr>
        <w:t>，</w:t>
      </w:r>
      <w:r>
        <w:rPr>
          <w:rFonts w:ascii="宋体" w:eastAsia="宋体" w:hAnsi="宋体"/>
          <w:b/>
          <w:bCs/>
          <w:kern w:val="2"/>
          <w:sz w:val="21"/>
          <w:szCs w:val="21"/>
          <w:lang w:eastAsia="zh-CN"/>
        </w:rPr>
        <w:t>但上传过程</w:t>
      </w:r>
      <w:r>
        <w:rPr>
          <w:rFonts w:ascii="宋体" w:eastAsia="宋体" w:hAnsi="宋体" w:hint="eastAsia"/>
          <w:b/>
          <w:bCs/>
          <w:kern w:val="2"/>
          <w:sz w:val="21"/>
          <w:szCs w:val="21"/>
          <w:lang w:eastAsia="zh-CN"/>
        </w:rPr>
        <w:t>中</w:t>
      </w:r>
      <w:r>
        <w:rPr>
          <w:rFonts w:ascii="宋体" w:eastAsia="宋体" w:hAnsi="宋体"/>
          <w:b/>
          <w:bCs/>
          <w:kern w:val="2"/>
          <w:sz w:val="21"/>
          <w:szCs w:val="21"/>
          <w:lang w:eastAsia="zh-CN"/>
        </w:rPr>
        <w:t>投标截止时间到达仍无法上传成功的，由投标人自行负责</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3投标截止时间以后不得上传投标文件。</w:t>
      </w:r>
    </w:p>
    <w:bookmarkEnd w:id="72"/>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26. 样品、现场演示、方案讲解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hint="eastAsia"/>
          <w:kern w:val="2"/>
          <w:sz w:val="21"/>
          <w:szCs w:val="21"/>
          <w:lang w:eastAsia="zh-CN"/>
        </w:rPr>
      </w:pPr>
      <w:bookmarkStart w:id="73" w:name="_Hlk72428346"/>
      <w:r>
        <w:rPr>
          <w:rFonts w:ascii="黑体" w:eastAsia="黑体" w:hAnsi="宋体"/>
          <w:kern w:val="2"/>
          <w:sz w:val="21"/>
          <w:szCs w:val="21"/>
          <w:lang w:eastAsia="zh-CN"/>
        </w:rPr>
        <w:t>2</w:t>
      </w:r>
      <w:r>
        <w:rPr>
          <w:rFonts w:ascii="黑体" w:eastAsia="黑体" w:hAnsi="宋体" w:hint="eastAsia"/>
          <w:kern w:val="2"/>
          <w:sz w:val="21"/>
          <w:szCs w:val="21"/>
          <w:lang w:eastAsia="zh-CN"/>
        </w:rPr>
        <w:t>7．</w:t>
      </w:r>
      <w:r>
        <w:rPr>
          <w:rFonts w:ascii="黑体" w:eastAsia="黑体" w:hAnsi="宋体"/>
          <w:kern w:val="2"/>
          <w:sz w:val="21"/>
          <w:szCs w:val="21"/>
          <w:lang w:eastAsia="zh-CN"/>
        </w:rPr>
        <w:t>投标文件的修改和撤销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ascii="宋体" w:eastAsia="宋体" w:hAnsi="宋体"/>
          <w:kern w:val="2"/>
          <w:sz w:val="21"/>
          <w:szCs w:val="21"/>
          <w:lang w:eastAsia="zh-CN"/>
        </w:rPr>
        <w:t>投标方在提交投标文件后可对其投标文件进行修改</w:t>
      </w:r>
      <w:r>
        <w:rPr>
          <w:rFonts w:ascii="宋体" w:eastAsia="宋体" w:hAnsi="宋体" w:hint="eastAsia"/>
          <w:kern w:val="2"/>
          <w:sz w:val="21"/>
          <w:szCs w:val="21"/>
          <w:lang w:eastAsia="zh-CN"/>
        </w:rPr>
        <w:t>并重新上传投标文件</w:t>
      </w:r>
      <w:r>
        <w:rPr>
          <w:rFonts w:ascii="宋体" w:eastAsia="宋体" w:hAnsi="宋体"/>
          <w:kern w:val="2"/>
          <w:sz w:val="21"/>
          <w:szCs w:val="21"/>
          <w:lang w:eastAsia="zh-CN"/>
        </w:rPr>
        <w:t>或</w:t>
      </w:r>
      <w:r>
        <w:rPr>
          <w:rFonts w:ascii="宋体" w:eastAsia="宋体" w:hAnsi="宋体" w:hint="eastAsia"/>
          <w:kern w:val="2"/>
          <w:sz w:val="21"/>
          <w:szCs w:val="21"/>
          <w:lang w:eastAsia="zh-CN"/>
        </w:rPr>
        <w:t>在网上进行</w:t>
      </w:r>
      <w:r>
        <w:rPr>
          <w:rFonts w:ascii="宋体" w:eastAsia="宋体" w:hAnsi="宋体"/>
          <w:kern w:val="2"/>
          <w:sz w:val="21"/>
          <w:szCs w:val="21"/>
          <w:lang w:eastAsia="zh-CN"/>
        </w:rPr>
        <w:t>撤销</w:t>
      </w:r>
      <w:r>
        <w:rPr>
          <w:rFonts w:ascii="宋体" w:eastAsia="宋体" w:hAnsi="宋体" w:hint="eastAsia"/>
          <w:kern w:val="2"/>
          <w:sz w:val="21"/>
          <w:szCs w:val="21"/>
          <w:lang w:eastAsia="zh-CN"/>
        </w:rPr>
        <w:t>投标的操作</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投标截止时间以后不得修改投标文件。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73"/>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28．开标</w:t>
      </w:r>
    </w:p>
    <w:p>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hint="eastAsia"/>
          <w:kern w:val="2"/>
          <w:sz w:val="21"/>
          <w:szCs w:val="21"/>
          <w:lang w:eastAsia="zh-CN"/>
        </w:rPr>
      </w:pP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29．评审委员会组成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hint="eastAsia"/>
          <w:kern w:val="2"/>
          <w:sz w:val="21"/>
          <w:szCs w:val="21"/>
          <w:lang w:eastAsia="zh-CN"/>
        </w:rPr>
      </w:pPr>
      <w:bookmarkStart w:id="74"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74"/>
      <w:r>
        <w:rPr>
          <w:rFonts w:ascii="宋体" w:eastAsia="宋体" w:hAnsi="宋体" w:hint="eastAsia"/>
          <w:kern w:val="2"/>
          <w:sz w:val="21"/>
          <w:szCs w:val="21"/>
          <w:lang w:eastAsia="zh-CN"/>
        </w:rPr>
        <w:t>评定</w:t>
      </w:r>
      <w:r>
        <w:rPr>
          <w:rFonts w:eastAsia="宋体" w:hint="eastAsia"/>
          <w:kern w:val="2"/>
          <w:sz w:val="21"/>
          <w:szCs w:val="21"/>
          <w:lang w:eastAsia="zh-CN"/>
        </w:rPr>
        <w:t>分离项目</w:t>
      </w:r>
      <w:r>
        <w:rPr>
          <w:rFonts w:eastAsia="宋体"/>
          <w:kern w:val="2"/>
          <w:sz w:val="21"/>
          <w:szCs w:val="21"/>
          <w:lang w:eastAsia="zh-CN"/>
        </w:rPr>
        <w:t>评审专家</w:t>
      </w:r>
      <w:r>
        <w:rPr>
          <w:rFonts w:eastAsia="宋体" w:hint="eastAsia"/>
          <w:kern w:val="2"/>
          <w:sz w:val="21"/>
          <w:szCs w:val="21"/>
          <w:lang w:eastAsia="zh-CN"/>
        </w:rPr>
        <w:t>均</w:t>
      </w:r>
      <w:r>
        <w:rPr>
          <w:rFonts w:eastAsia="宋体"/>
          <w:kern w:val="2"/>
          <w:sz w:val="21"/>
          <w:szCs w:val="21"/>
          <w:lang w:eastAsia="zh-CN"/>
        </w:rPr>
        <w:t>由</w:t>
      </w:r>
      <w:r>
        <w:rPr>
          <w:rFonts w:eastAsia="宋体" w:hint="eastAsia"/>
          <w:kern w:val="2"/>
          <w:sz w:val="21"/>
          <w:szCs w:val="21"/>
          <w:lang w:eastAsia="zh-CN"/>
        </w:rPr>
        <w:t>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30．向评审委员会提供的资料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30.2其他评标必须的资料。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（1）招标的目的；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（2）招标项目需求的范围和性质；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31．独立评审</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w:t>
      </w:r>
      <w:r>
        <w:rPr>
          <w:rFonts w:ascii="宋体" w:eastAsia="宋体" w:hAnsi="宋体"/>
          <w:bCs/>
          <w:kern w:val="2"/>
          <w:sz w:val="21"/>
          <w:szCs w:val="21"/>
          <w:lang w:eastAsia="zh-CN"/>
        </w:rPr>
        <w:t>1</w:t>
      </w:r>
      <w:r>
        <w:rPr>
          <w:rFonts w:ascii="宋体" w:eastAsia="宋体" w:hAnsi="宋体" w:hint="eastAsia"/>
          <w:bCs/>
          <w:kern w:val="2"/>
          <w:sz w:val="21"/>
          <w:szCs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hint="eastAsia"/>
          <w:bCs/>
          <w:kern w:val="2"/>
          <w:sz w:val="21"/>
          <w:szCs w:val="21"/>
          <w:lang w:eastAsia="zh-CN"/>
        </w:rPr>
      </w:pP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32．投标文件初审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32.4.</w:t>
      </w:r>
      <w:r>
        <w:rPr>
          <w:rFonts w:ascii="宋体" w:eastAsia="宋体" w:hAnsi="宋体" w:hint="eastAsia"/>
          <w:kern w:val="2"/>
          <w:sz w:val="21"/>
          <w:szCs w:val="21"/>
          <w:lang w:eastAsia="zh-CN"/>
        </w:rPr>
        <w:t>2</w:t>
      </w:r>
      <w:r>
        <w:rPr>
          <w:rFonts w:eastAsia="宋体"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32.4.5</w:t>
      </w:r>
      <w:r>
        <w:rPr>
          <w:rFonts w:ascii="宋体" w:eastAsia="宋体" w:hAnsi="宋体"/>
          <w:kern w:val="2"/>
          <w:sz w:val="21"/>
          <w:szCs w:val="21"/>
          <w:lang w:eastAsia="zh-CN"/>
        </w:rPr>
        <w:t>不同投标供应商的投标文件或部分投标文件相互混装</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33．澄清有关问题</w:t>
      </w:r>
    </w:p>
    <w:p>
      <w:pPr>
        <w:widowControl w:val="0"/>
        <w:ind w:firstLine="420" w:firstLineChars="200"/>
        <w:jc w:val="both"/>
        <w:rPr>
          <w:rFonts w:ascii="宋体" w:eastAsia="宋体" w:hAnsi="宋体" w:hint="eastAsia"/>
          <w:kern w:val="2"/>
          <w:sz w:val="21"/>
          <w:szCs w:val="21"/>
          <w:lang w:eastAsia="zh-CN"/>
        </w:rPr>
      </w:pPr>
      <w:bookmarkStart w:id="75" w:name="_Hlk71407321"/>
      <w:r>
        <w:rPr>
          <w:rFonts w:ascii="宋体" w:eastAsia="宋体" w:hAnsi="宋体" w:hint="eastAsia"/>
          <w:kern w:val="2"/>
          <w:sz w:val="21"/>
          <w:szCs w:val="21"/>
          <w:lang w:eastAsia="zh-CN"/>
        </w:rPr>
        <w:t>3</w:t>
      </w:r>
      <w:r>
        <w:rPr>
          <w:rFonts w:ascii="宋体" w:eastAsia="宋体" w:hAnsi="宋体"/>
          <w:kern w:val="2"/>
          <w:sz w:val="21"/>
          <w:szCs w:val="21"/>
          <w:lang w:eastAsia="zh-CN"/>
        </w:rPr>
        <w:t>3.1</w:t>
      </w:r>
      <w:r>
        <w:rPr>
          <w:rFonts w:ascii="宋体" w:eastAsia="宋体" w:hAnsi="宋体" w:hint="eastAsia"/>
          <w:kern w:val="2"/>
          <w:sz w:val="21"/>
          <w:szCs w:val="21"/>
          <w:lang w:eastAsia="zh-CN"/>
        </w:rPr>
        <w:t>对招标文件中描述有歧义或前后不一致的地方（不含</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szCs w:val="21"/>
          <w:lang w:eastAsia="zh-CN"/>
        </w:rPr>
        <w:t>，评审委员会有权进行评判，但对同一条款的评判应适用于每个投标人。</w:t>
      </w:r>
      <w:bookmarkEnd w:id="75"/>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w:t>
      </w:r>
      <w:r>
        <w:rPr>
          <w:rFonts w:eastAsia="宋体" w:hint="eastAsia"/>
          <w:kern w:val="2"/>
          <w:sz w:val="21"/>
          <w:szCs w:val="21"/>
          <w:lang w:eastAsia="zh-CN"/>
        </w:rPr>
        <w:t>招标</w:t>
      </w:r>
      <w:r>
        <w:rPr>
          <w:rFonts w:eastAsia="宋体"/>
          <w:kern w:val="2"/>
          <w:sz w:val="21"/>
          <w:szCs w:val="21"/>
          <w:lang w:eastAsia="zh-CN"/>
        </w:rPr>
        <w:t>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w:t>
      </w:r>
      <w:r>
        <w:rPr>
          <w:rFonts w:eastAsia="宋体" w:hint="eastAsia"/>
          <w:kern w:val="2"/>
          <w:sz w:val="21"/>
          <w:szCs w:val="21"/>
          <w:lang w:eastAsia="zh-CN"/>
        </w:rPr>
        <w:t>招标</w:t>
      </w:r>
      <w:r>
        <w:rPr>
          <w:rFonts w:eastAsia="宋体"/>
          <w:kern w:val="2"/>
          <w:sz w:val="21"/>
          <w:szCs w:val="21"/>
          <w:lang w:eastAsia="zh-CN"/>
        </w:rPr>
        <w:t>文件，重新组织采购活动。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33.3</w:t>
      </w:r>
      <w:r>
        <w:rPr>
          <w:rFonts w:ascii="宋体" w:eastAsia="宋体" w:hAnsi="宋体"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hint="eastAsia"/>
          <w:kern w:val="2"/>
          <w:sz w:val="21"/>
          <w:szCs w:val="21"/>
          <w:lang w:eastAsia="zh-CN"/>
        </w:rPr>
      </w:pPr>
      <w:bookmarkStart w:id="76" w:name="_Toc73521669"/>
      <w:bookmarkStart w:id="77" w:name="_Toc73521581"/>
      <w:bookmarkStart w:id="78" w:name="_Toc73517673"/>
      <w:bookmarkStart w:id="79" w:name="_Toc73518151"/>
      <w:bookmarkStart w:id="80" w:name="_Toc100052400"/>
      <w:r>
        <w:rPr>
          <w:rFonts w:ascii="黑体" w:eastAsia="黑体" w:hAnsi="宋体" w:hint="eastAsia"/>
          <w:kern w:val="2"/>
          <w:sz w:val="21"/>
          <w:szCs w:val="21"/>
          <w:lang w:eastAsia="zh-CN"/>
        </w:rPr>
        <w:t>34．错误的修正</w:t>
      </w:r>
      <w:bookmarkEnd w:id="76"/>
      <w:bookmarkEnd w:id="77"/>
      <w:bookmarkEnd w:id="78"/>
      <w:bookmarkEnd w:id="79"/>
      <w:bookmarkEnd w:id="80"/>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35．投标文件的比较与评价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36. 实地考察或资料查验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37．评审方法</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20" w:firstLineChars="200"/>
        <w:jc w:val="both"/>
        <w:rPr>
          <w:rFonts w:ascii="ˎ̥" w:eastAsia="宋体" w:hAnsi="ˎ̥" w:hint="eastAsia"/>
          <w:kern w:val="2"/>
          <w:sz w:val="21"/>
          <w:szCs w:val="21"/>
          <w:lang w:eastAsia="zh-CN"/>
        </w:rPr>
      </w:pPr>
      <w:bookmarkStart w:id="81" w:name="_Hlk72438142"/>
      <w:r>
        <w:rPr>
          <w:rFonts w:ascii="ˎ̥" w:eastAsia="宋体" w:hAnsi="ˎ̥"/>
          <w:kern w:val="2"/>
          <w:sz w:val="21"/>
          <w:szCs w:val="21"/>
          <w:lang w:eastAsia="zh-CN"/>
        </w:rPr>
        <w:t>最低价法，是指</w:t>
      </w:r>
      <w:r>
        <w:rPr>
          <w:rFonts w:ascii="ˎ̥" w:eastAsia="宋体" w:hAnsi="ˎ̥" w:hint="eastAsia"/>
          <w:kern w:val="2"/>
          <w:sz w:val="21"/>
          <w:szCs w:val="21"/>
          <w:lang w:eastAsia="zh-CN"/>
        </w:rPr>
        <w:t>完全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文件实质性要求，</w:t>
      </w:r>
      <w:r>
        <w:rPr>
          <w:rFonts w:ascii="ˎ̥" w:eastAsia="宋体" w:hAnsi="ˎ̥"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20" w:firstLineChars="200"/>
        <w:jc w:val="both"/>
        <w:rPr>
          <w:rFonts w:ascii="ˎ̥" w:eastAsia="宋体" w:hAnsi="ˎ̥" w:hint="eastAsia"/>
          <w:kern w:val="2"/>
          <w:sz w:val="21"/>
          <w:szCs w:val="21"/>
          <w:lang w:eastAsia="zh-CN"/>
        </w:rPr>
      </w:pPr>
      <w:r>
        <w:rPr>
          <w:rFonts w:ascii="ˎ̥" w:eastAsia="宋体" w:hAnsi="ˎ̥"/>
          <w:kern w:val="2"/>
          <w:sz w:val="21"/>
          <w:szCs w:val="21"/>
          <w:lang w:eastAsia="zh-CN"/>
        </w:rPr>
        <w:t>综合评分法，是指</w:t>
      </w:r>
      <w:r>
        <w:rPr>
          <w:rFonts w:ascii="ˎ̥" w:eastAsia="宋体" w:hAnsi="ˎ̥" w:hint="eastAsia"/>
          <w:kern w:val="2"/>
          <w:sz w:val="21"/>
          <w:szCs w:val="21"/>
          <w:lang w:eastAsia="zh-CN"/>
        </w:rPr>
        <w:t>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w:t>
      </w:r>
      <w:r>
        <w:rPr>
          <w:rFonts w:ascii="ˎ̥" w:eastAsia="宋体" w:hAnsi="ˎ̥" w:hint="eastAsia"/>
          <w:kern w:val="2"/>
          <w:sz w:val="21"/>
          <w:szCs w:val="21"/>
          <w:lang w:eastAsia="zh-CN"/>
        </w:rPr>
        <w:t>的前提下</w:t>
      </w:r>
      <w:r>
        <w:rPr>
          <w:rFonts w:ascii="ˎ̥" w:eastAsia="宋体" w:hAnsi="ˎ̥"/>
          <w:kern w:val="2"/>
          <w:sz w:val="21"/>
          <w:szCs w:val="21"/>
          <w:lang w:eastAsia="zh-CN"/>
        </w:rPr>
        <w:t>，</w:t>
      </w:r>
      <w:r>
        <w:rPr>
          <w:rFonts w:ascii="ˎ̥" w:eastAsia="宋体" w:hAnsi="ˎ̥" w:hint="eastAsia"/>
          <w:kern w:val="2"/>
          <w:sz w:val="21"/>
          <w:szCs w:val="21"/>
          <w:lang w:eastAsia="zh-CN"/>
        </w:rPr>
        <w:t>按照招标文件中规定的各项因素进行综合评审，评审总得分排名前列的投标人，作为推荐的候选中标供应商。</w:t>
      </w:r>
      <w:bookmarkEnd w:id="81"/>
      <w:r>
        <w:rPr>
          <w:rFonts w:ascii="宋体" w:eastAsia="宋体" w:hAnsi="宋体" w:hint="eastAsia"/>
          <w:bCs/>
          <w:color w:val="FF0000"/>
          <w:kern w:val="2"/>
          <w:sz w:val="21"/>
          <w:szCs w:val="21"/>
          <w:lang w:eastAsia="zh-CN"/>
        </w:rPr>
        <w:t xml:space="preserve">  </w:t>
      </w:r>
      <w:r>
        <w:rPr>
          <w:rFonts w:ascii="宋体" w:eastAsia="宋体" w:hAnsi="宋体" w:hint="eastAsia"/>
          <w:bCs/>
          <w:kern w:val="2"/>
          <w:sz w:val="21"/>
          <w:szCs w:val="21"/>
          <w:lang w:eastAsia="zh-CN"/>
        </w:rPr>
        <w:t xml:space="preserve">                                                                                                                                                                                                                                                                                                                                                                                                                                                                                                                                                                                                                                                                                                                                                                                                                                                                                                                                                                                                                                                                                                                                                                                                                                                                                                                                                                                                                                                                                                                                                                                                                                                                                                                                                                                                                                                                                                                                                                                                                                                                                                                                                                                                                                                                                                                                                                                                                                                                                                                                                                                                                                                                                                                                                                                                                                                                                                                                                                                                                           </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38．定标方法</w:t>
      </w:r>
    </w:p>
    <w:p>
      <w:pPr>
        <w:widowControl w:val="0"/>
        <w:ind w:firstLine="420" w:firstLineChars="200"/>
        <w:jc w:val="both"/>
        <w:rPr>
          <w:rFonts w:ascii="宋体" w:eastAsia="宋体" w:hAnsi="宋体" w:hint="eastAsia"/>
          <w:kern w:val="2"/>
          <w:sz w:val="21"/>
          <w:szCs w:val="21"/>
          <w:lang w:eastAsia="zh-CN"/>
        </w:rPr>
      </w:pPr>
      <w:bookmarkStart w:id="82" w:name="_Hlk73782795"/>
      <w:r>
        <w:rPr>
          <w:rFonts w:ascii="宋体" w:eastAsia="宋体" w:hAnsi="宋体" w:hint="eastAsia"/>
          <w:kern w:val="2"/>
          <w:sz w:val="21"/>
          <w:szCs w:val="21"/>
          <w:lang w:eastAsia="zh-CN"/>
        </w:rPr>
        <w:t>38.1非评定分离项目定标方法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szCs w:val="21"/>
          <w:lang w:eastAsia="zh-CN"/>
        </w:rPr>
        <w:t>采用最低价法的，评</w:t>
      </w:r>
      <w:r>
        <w:rPr>
          <w:rFonts w:ascii="ˎ̥" w:eastAsia="宋体" w:hAnsi="ˎ̥" w:hint="eastAsia"/>
          <w:kern w:val="2"/>
          <w:sz w:val="21"/>
          <w:szCs w:val="21"/>
          <w:lang w:eastAsia="zh-CN"/>
        </w:rPr>
        <w:t>审</w:t>
      </w:r>
      <w:r>
        <w:rPr>
          <w:rFonts w:ascii="ˎ̥" w:eastAsia="宋体" w:hAnsi="ˎ̥"/>
          <w:kern w:val="2"/>
          <w:sz w:val="21"/>
          <w:szCs w:val="21"/>
          <w:lang w:eastAsia="zh-CN"/>
        </w:rPr>
        <w:t>结果按投标报价由低到高顺序排列。投标报价相同的并列。投标文件满足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文件全部实质性要求且投标报价最低的</w:t>
      </w:r>
      <w:r>
        <w:rPr>
          <w:rFonts w:ascii="ˎ̥" w:eastAsia="宋体" w:hAnsi="ˎ̥" w:hint="eastAsia"/>
          <w:kern w:val="2"/>
          <w:sz w:val="21"/>
          <w:szCs w:val="21"/>
          <w:lang w:eastAsia="zh-CN"/>
        </w:rPr>
        <w:t>投标人为</w:t>
      </w:r>
      <w:bookmarkStart w:id="83" w:name="_Hlk73821177"/>
      <w:r>
        <w:rPr>
          <w:rFonts w:ascii="ˎ̥" w:eastAsia="宋体" w:hAnsi="ˎ̥" w:hint="eastAsia"/>
          <w:kern w:val="2"/>
          <w:sz w:val="21"/>
          <w:szCs w:val="21"/>
          <w:lang w:eastAsia="zh-CN"/>
        </w:rPr>
        <w:t>唯一候选中标供应商</w:t>
      </w:r>
      <w:bookmarkEnd w:id="83"/>
      <w:r>
        <w:rPr>
          <w:rFonts w:ascii="ˎ̥" w:eastAsia="宋体" w:hAnsi="ˎ̥"/>
          <w:kern w:val="2"/>
          <w:sz w:val="21"/>
          <w:szCs w:val="21"/>
          <w:lang w:eastAsia="zh-CN"/>
        </w:rPr>
        <w:t>。</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文件全部实质性要求，且按照评审因素的量化指标评审得分最高的投标人</w:t>
      </w:r>
      <w:r>
        <w:rPr>
          <w:rFonts w:ascii="ˎ̥" w:eastAsia="宋体" w:hAnsi="ˎ̥" w:hint="eastAsia"/>
          <w:kern w:val="2"/>
          <w:sz w:val="21"/>
          <w:szCs w:val="21"/>
          <w:lang w:eastAsia="zh-CN"/>
        </w:rPr>
        <w:t>为唯一候选中标供应商</w:t>
      </w:r>
      <w:r>
        <w:rPr>
          <w:rFonts w:ascii="ˎ̥" w:eastAsia="宋体" w:hAnsi="ˎ̥"/>
          <w:kern w:val="2"/>
          <w:sz w:val="21"/>
          <w:szCs w:val="21"/>
          <w:lang w:eastAsia="zh-CN"/>
        </w:rPr>
        <w:t>。</w:t>
      </w:r>
      <w:r>
        <w:rPr>
          <w:rFonts w:ascii="ˎ̥" w:eastAsia="宋体" w:hAnsi="ˎ̥" w:hint="eastAsia"/>
          <w:kern w:val="2"/>
          <w:sz w:val="21"/>
          <w:szCs w:val="21"/>
          <w:lang w:eastAsia="zh-CN"/>
        </w:rPr>
        <w:t>出现</w:t>
      </w:r>
      <w:r>
        <w:rPr>
          <w:rFonts w:ascii="ˎ̥" w:eastAsia="宋体" w:hAnsi="ˎ̥"/>
          <w:kern w:val="2"/>
          <w:sz w:val="21"/>
          <w:szCs w:val="21"/>
          <w:lang w:eastAsia="zh-CN"/>
        </w:rPr>
        <w:t>得分且投标报价相同的并列</w:t>
      </w:r>
      <w:r>
        <w:rPr>
          <w:rFonts w:ascii="ˎ̥" w:eastAsia="宋体" w:hAnsi="ˎ̥"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38.2.1评定分离是指在政府集中采购程序中，以</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 xml:space="preserve">38.2.2 </w:t>
      </w:r>
      <w:bookmarkStart w:id="84" w:name="_Hlk71469733"/>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项目，采用综合评分法评</w:t>
      </w:r>
      <w:r>
        <w:rPr>
          <w:rFonts w:eastAsia="宋体" w:hint="eastAsia"/>
          <w:kern w:val="2"/>
          <w:sz w:val="21"/>
          <w:szCs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szCs w:val="21"/>
          <w:lang w:eastAsia="zh-CN"/>
        </w:rPr>
        <w:t>三个合格的候选中标供应商。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38.2.3</w:t>
      </w:r>
      <w:bookmarkStart w:id="85" w:name="_Hlk71469688"/>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84"/>
      <w:bookmarkEnd w:id="85"/>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eastAsia="宋体" w:hint="eastAsia"/>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ascii="宋体" w:eastAsia="宋体" w:hAnsi="宋体" w:hint="eastAsia"/>
          <w:kern w:val="2"/>
          <w:sz w:val="21"/>
          <w:szCs w:val="21"/>
          <w:lang w:eastAsia="zh-CN"/>
        </w:rPr>
        <w:t>〈</w:t>
      </w:r>
      <w:r>
        <w:rPr>
          <w:rFonts w:eastAsia="宋体"/>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kern w:val="2"/>
          <w:sz w:val="21"/>
          <w:szCs w:val="21"/>
          <w:lang w:eastAsia="zh-CN"/>
        </w:rPr>
        <w:t>的通知</w:t>
      </w:r>
      <w:r>
        <w:rPr>
          <w:rFonts w:eastAsia="宋体" w:hint="eastAsia"/>
          <w:kern w:val="2"/>
          <w:sz w:val="21"/>
          <w:szCs w:val="21"/>
          <w:lang w:eastAsia="zh-CN"/>
        </w:rPr>
        <w:t>》（深财规【2</w:t>
      </w:r>
      <w:r>
        <w:rPr>
          <w:rFonts w:eastAsia="宋体"/>
          <w:kern w:val="2"/>
          <w:sz w:val="21"/>
          <w:szCs w:val="21"/>
          <w:lang w:eastAsia="zh-CN"/>
        </w:rPr>
        <w:t>020</w:t>
      </w:r>
      <w:r>
        <w:rPr>
          <w:rFonts w:eastAsia="宋体" w:hint="eastAsia"/>
          <w:kern w:val="2"/>
          <w:sz w:val="21"/>
          <w:szCs w:val="21"/>
          <w:lang w:eastAsia="zh-CN"/>
        </w:rPr>
        <w:t>】1号）执行。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82"/>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39．编写评审报告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40．中标（成交）公告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40.1</w:t>
      </w:r>
      <w:bookmarkStart w:id="86" w:name="_Hlk72438709"/>
      <w:r>
        <w:rPr>
          <w:rFonts w:ascii="宋体" w:eastAsia="宋体" w:hAnsi="宋体"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86"/>
      <w:bookmarkStart w:id="87" w:name="_Hlk72438751"/>
      <w:r>
        <w:rPr>
          <w:rFonts w:ascii="宋体" w:eastAsia="宋体" w:hAnsi="宋体"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 xml:space="preserve">提出。 </w:t>
      </w:r>
      <w:r>
        <w:rPr>
          <w:rFonts w:ascii="宋体" w:eastAsia="宋体" w:hAnsi="宋体" w:hint="eastAsia"/>
          <w:kern w:val="2"/>
          <w:sz w:val="21"/>
          <w:szCs w:val="21"/>
          <w:lang w:eastAsia="zh-CN"/>
        </w:rPr>
        <w:t xml:space="preserve"> 监督电话：0755-86500050</w:t>
      </w:r>
      <w:r>
        <w:rPr>
          <w:rFonts w:ascii="宋体" w:eastAsia="宋体" w:hAnsi="宋体"/>
          <w:kern w:val="2"/>
          <w:sz w:val="21"/>
          <w:szCs w:val="21"/>
          <w:lang w:eastAsia="zh-CN"/>
        </w:rPr>
        <w:t>。</w:t>
      </w:r>
      <w:r>
        <w:rPr>
          <w:rFonts w:ascii="宋体" w:eastAsia="宋体" w:hAnsi="宋体" w:hint="eastAsia"/>
          <w:kern w:val="2"/>
          <w:sz w:val="21"/>
          <w:szCs w:val="21"/>
          <w:lang w:eastAsia="zh-CN"/>
        </w:rPr>
        <w:t>若在公示期内未提出质疑，则视为认同该评审结果。</w:t>
      </w:r>
    </w:p>
    <w:bookmarkEnd w:id="87"/>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41．中标通知书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88"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深圳政府采购自行采购系统（https://trade.szggzy.com/ggzy/center/#/login）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88"/>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20" w:firstLineChars="200"/>
        <w:jc w:val="both"/>
        <w:rPr>
          <w:rFonts w:ascii="宋体" w:eastAsia="宋体" w:hAnsi="宋体" w:hint="eastAsia"/>
          <w:kern w:val="2"/>
          <w:sz w:val="21"/>
          <w:szCs w:val="21"/>
          <w:lang w:eastAsia="zh-CN"/>
        </w:rPr>
      </w:pPr>
      <w:bookmarkStart w:id="89" w:name="_Hlk71407340"/>
      <w:r>
        <w:rPr>
          <w:rFonts w:ascii="宋体" w:eastAsia="宋体" w:hAnsi="宋体" w:hint="eastAsia"/>
          <w:kern w:val="2"/>
          <w:sz w:val="21"/>
          <w:szCs w:val="21"/>
          <w:lang w:eastAsia="zh-CN"/>
        </w:rPr>
        <w:t>41.3因质疑投诉或其他原因导致项目结果变更或采购终止的，政府集中采购机构有权吊销中标通知书。</w:t>
      </w:r>
    </w:p>
    <w:bookmarkEnd w:id="89"/>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公开征集</w:t>
      </w:r>
      <w:r>
        <w:rPr>
          <w:rFonts w:ascii="Cambria" w:eastAsia="宋体" w:hAnsi="Cambria" w:cstheme="majorBidi" w:hint="eastAsia"/>
          <w:b/>
          <w:bCs/>
          <w:kern w:val="2"/>
          <w:sz w:val="28"/>
          <w:szCs w:val="28"/>
          <w:lang w:eastAsia="zh-CN"/>
        </w:rPr>
        <w:t>失败的后续处理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42．</w:t>
      </w:r>
      <w:r>
        <w:rPr>
          <w:rFonts w:ascii="黑体" w:eastAsia="黑体" w:hAnsi="宋体" w:hint="eastAsia"/>
          <w:kern w:val="2"/>
          <w:sz w:val="21"/>
          <w:szCs w:val="21"/>
          <w:lang w:eastAsia="zh-CN"/>
        </w:rPr>
        <w:t>公开征集</w:t>
      </w:r>
      <w:r>
        <w:rPr>
          <w:rFonts w:ascii="黑体" w:eastAsia="黑体" w:hAnsi="宋体" w:hint="eastAsia"/>
          <w:kern w:val="2"/>
          <w:sz w:val="21"/>
          <w:szCs w:val="21"/>
          <w:lang w:eastAsia="zh-CN"/>
        </w:rPr>
        <w:t>失败的处理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42.1本项目</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w:t>
      </w:r>
      <w:r>
        <w:rPr>
          <w:rFonts w:ascii="宋体" w:eastAsia="宋体" w:hAnsi="宋体" w:hint="eastAsia"/>
          <w:kern w:val="2"/>
          <w:sz w:val="21"/>
          <w:lang w:eastAsia="zh-CN"/>
        </w:rPr>
        <w:t>公开征集</w:t>
      </w:r>
      <w:r>
        <w:rPr>
          <w:rFonts w:ascii="宋体" w:eastAsia="宋体" w:hAnsi="宋体" w:hint="eastAsia"/>
          <w:kern w:val="2"/>
          <w:sz w:val="21"/>
          <w:lang w:eastAsia="zh-CN"/>
        </w:rPr>
        <w:t>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42.2对</w:t>
      </w:r>
      <w:r>
        <w:rPr>
          <w:rFonts w:ascii="宋体" w:eastAsia="宋体" w:hAnsi="宋体" w:hint="eastAsia"/>
          <w:kern w:val="2"/>
          <w:sz w:val="21"/>
          <w:szCs w:val="21"/>
          <w:lang w:eastAsia="zh-CN"/>
        </w:rPr>
        <w:t>公开征集</w:t>
      </w:r>
      <w:r>
        <w:rPr>
          <w:rFonts w:ascii="宋体" w:eastAsia="宋体" w:hAnsi="宋体" w:hint="eastAsia"/>
          <w:kern w:val="2"/>
          <w:sz w:val="21"/>
          <w:szCs w:val="21"/>
          <w:lang w:eastAsia="zh-CN"/>
        </w:rPr>
        <w:t>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（1）由政府集中采购机构重新组织</w:t>
      </w:r>
      <w:r>
        <w:rPr>
          <w:rFonts w:ascii="宋体" w:eastAsia="宋体" w:hAnsi="宋体" w:hint="eastAsia"/>
          <w:kern w:val="2"/>
          <w:sz w:val="21"/>
          <w:lang w:eastAsia="zh-CN"/>
        </w:rPr>
        <w:t>公开征集</w:t>
      </w:r>
      <w:r>
        <w:rPr>
          <w:rFonts w:ascii="宋体" w:eastAsia="宋体" w:hAnsi="宋体" w:hint="eastAsia"/>
          <w:kern w:val="2"/>
          <w:sz w:val="21"/>
          <w:lang w:eastAsia="zh-CN"/>
        </w:rPr>
        <w:t>；</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（2）根据实际情况需要向采购人主管部门提出非</w:t>
      </w:r>
      <w:r>
        <w:rPr>
          <w:rFonts w:ascii="宋体" w:eastAsia="宋体" w:hAnsi="宋体" w:hint="eastAsia"/>
          <w:kern w:val="2"/>
          <w:sz w:val="21"/>
          <w:lang w:eastAsia="zh-CN"/>
        </w:rPr>
        <w:t>公开征集</w:t>
      </w:r>
      <w:r>
        <w:rPr>
          <w:rFonts w:ascii="宋体" w:eastAsia="宋体" w:hAnsi="宋体" w:hint="eastAsia"/>
          <w:kern w:val="2"/>
          <w:sz w:val="21"/>
          <w:lang w:eastAsia="zh-CN"/>
        </w:rPr>
        <w:t>方式申请，经采购人主管部门批准，</w:t>
      </w:r>
      <w:r>
        <w:rPr>
          <w:rFonts w:ascii="宋体" w:eastAsia="宋体" w:hAnsi="宋体" w:hint="eastAsia"/>
          <w:kern w:val="2"/>
          <w:sz w:val="21"/>
          <w:lang w:eastAsia="zh-CN"/>
        </w:rPr>
        <w:t>公开征集</w:t>
      </w:r>
      <w:r>
        <w:rPr>
          <w:rFonts w:ascii="宋体" w:eastAsia="宋体" w:hAnsi="宋体" w:hint="eastAsia"/>
          <w:kern w:val="2"/>
          <w:sz w:val="21"/>
          <w:lang w:eastAsia="zh-CN"/>
        </w:rPr>
        <w:t>失败采购项目可转为竞争性谈判或单一来源谈判方式采购。</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42.4</w:t>
      </w:r>
      <w:r>
        <w:rPr>
          <w:rFonts w:ascii="宋体" w:eastAsia="宋体" w:hAnsi="宋体" w:hint="eastAsia"/>
          <w:kern w:val="2"/>
          <w:sz w:val="21"/>
          <w:lang w:eastAsia="zh-CN"/>
        </w:rPr>
        <w:t>公开征集</w:t>
      </w:r>
      <w:r>
        <w:rPr>
          <w:rFonts w:ascii="宋体" w:eastAsia="宋体" w:hAnsi="宋体" w:hint="eastAsia"/>
          <w:kern w:val="2"/>
          <w:sz w:val="21"/>
          <w:lang w:eastAsia="zh-CN"/>
        </w:rPr>
        <w:t>失败的采购项目重新组织</w:t>
      </w:r>
      <w:r>
        <w:rPr>
          <w:rFonts w:ascii="宋体" w:eastAsia="宋体" w:hAnsi="宋体" w:hint="eastAsia"/>
          <w:kern w:val="2"/>
          <w:sz w:val="21"/>
          <w:lang w:eastAsia="zh-CN"/>
        </w:rPr>
        <w:t>公开征集</w:t>
      </w:r>
      <w:r>
        <w:rPr>
          <w:rFonts w:ascii="宋体" w:eastAsia="宋体" w:hAnsi="宋体" w:hint="eastAsia"/>
          <w:kern w:val="2"/>
          <w:sz w:val="21"/>
          <w:lang w:eastAsia="zh-CN"/>
        </w:rPr>
        <w:t>，由政府集中采购机构重新按</w:t>
      </w:r>
      <w:r>
        <w:rPr>
          <w:rFonts w:ascii="宋体" w:eastAsia="宋体" w:hAnsi="宋体" w:hint="eastAsia"/>
          <w:kern w:val="2"/>
          <w:sz w:val="21"/>
          <w:lang w:eastAsia="zh-CN"/>
        </w:rPr>
        <w:t>公开征集</w:t>
      </w:r>
      <w:r>
        <w:rPr>
          <w:rFonts w:ascii="宋体" w:eastAsia="宋体" w:hAnsi="宋体" w:hint="eastAsia"/>
          <w:kern w:val="2"/>
          <w:sz w:val="21"/>
          <w:lang w:eastAsia="zh-CN"/>
        </w:rPr>
        <w:t>流程组织采购活动。</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lang w:eastAsia="zh-CN"/>
        </w:rPr>
        <w:t>42.5</w:t>
      </w:r>
      <w:r>
        <w:rPr>
          <w:rFonts w:ascii="宋体" w:eastAsia="宋体" w:hAnsi="宋体" w:hint="eastAsia"/>
          <w:kern w:val="2"/>
          <w:sz w:val="21"/>
          <w:lang w:eastAsia="zh-CN"/>
        </w:rPr>
        <w:t>公开征集</w:t>
      </w:r>
      <w:r>
        <w:rPr>
          <w:rFonts w:ascii="宋体" w:eastAsia="宋体" w:hAnsi="宋体" w:hint="eastAsia"/>
          <w:kern w:val="2"/>
          <w:sz w:val="21"/>
          <w:lang w:eastAsia="zh-CN"/>
        </w:rPr>
        <w:t>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hint="eastAsia"/>
          <w:kern w:val="2"/>
          <w:sz w:val="21"/>
          <w:szCs w:val="21"/>
          <w:lang w:eastAsia="zh-CN"/>
        </w:rPr>
      </w:pPr>
    </w:p>
    <w:p>
      <w:pPr>
        <w:widowControl w:val="0"/>
        <w:jc w:val="both"/>
        <w:rPr>
          <w:rFonts w:ascii="黑体" w:eastAsia="黑体" w:hAnsi="宋体" w:hint="eastAsia"/>
          <w:kern w:val="2"/>
          <w:lang w:eastAsia="zh-CN"/>
        </w:rPr>
      </w:pP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90" w:name="_Hlk72439043"/>
      <w:r>
        <w:rPr>
          <w:rFonts w:ascii="Cambria" w:eastAsia="宋体" w:hAnsi="Cambria" w:cstheme="majorBidi" w:hint="eastAsia"/>
          <w:b/>
          <w:bCs/>
          <w:kern w:val="2"/>
          <w:sz w:val="28"/>
          <w:szCs w:val="28"/>
          <w:lang w:eastAsia="zh-CN"/>
        </w:rPr>
        <w:t>合同的授予与备案</w:t>
      </w:r>
      <w:bookmarkEnd w:id="90"/>
    </w:p>
    <w:p>
      <w:pPr>
        <w:widowControl w:val="0"/>
        <w:ind w:firstLine="420" w:firstLineChars="200"/>
        <w:jc w:val="both"/>
        <w:rPr>
          <w:rFonts w:ascii="黑体" w:eastAsia="黑体" w:hAnsi="宋体" w:hint="eastAsia"/>
          <w:kern w:val="2"/>
          <w:sz w:val="21"/>
          <w:szCs w:val="21"/>
          <w:lang w:eastAsia="zh-CN"/>
        </w:rPr>
      </w:pPr>
      <w:bookmarkStart w:id="91" w:name="_Toc73521674"/>
      <w:bookmarkStart w:id="92" w:name="_Toc73517679"/>
      <w:bookmarkStart w:id="93" w:name="_Toc73518157"/>
      <w:bookmarkStart w:id="94" w:name="_Toc100052408"/>
      <w:bookmarkStart w:id="95" w:name="_Toc73521586"/>
      <w:bookmarkStart w:id="96" w:name="_Hlk72439088"/>
      <w:r>
        <w:rPr>
          <w:rFonts w:ascii="黑体" w:eastAsia="黑体" w:hAnsi="宋体" w:hint="eastAsia"/>
          <w:kern w:val="2"/>
          <w:sz w:val="21"/>
          <w:szCs w:val="21"/>
          <w:lang w:eastAsia="zh-CN"/>
        </w:rPr>
        <w:t>43．合同授予标准</w:t>
      </w:r>
      <w:bookmarkEnd w:id="91"/>
      <w:bookmarkEnd w:id="92"/>
      <w:bookmarkEnd w:id="93"/>
      <w:bookmarkEnd w:id="94"/>
      <w:bookmarkEnd w:id="95"/>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hint="eastAsia"/>
          <w:kern w:val="2"/>
          <w:sz w:val="21"/>
          <w:szCs w:val="21"/>
          <w:lang w:eastAsia="zh-CN"/>
        </w:rPr>
      </w:pPr>
      <w:bookmarkStart w:id="97" w:name="_Toc73517680"/>
      <w:bookmarkStart w:id="98" w:name="_Toc73521587"/>
      <w:bookmarkStart w:id="99" w:name="_Toc73521675"/>
      <w:bookmarkStart w:id="100" w:name="_Toc73518158"/>
      <w:bookmarkStart w:id="101" w:name="_Toc100052409"/>
      <w:r>
        <w:rPr>
          <w:rFonts w:ascii="黑体" w:eastAsia="黑体" w:hAnsi="宋体" w:hint="eastAsia"/>
          <w:kern w:val="2"/>
          <w:sz w:val="21"/>
          <w:szCs w:val="21"/>
          <w:lang w:eastAsia="zh-CN"/>
        </w:rPr>
        <w:t>44．</w:t>
      </w:r>
      <w:bookmarkEnd w:id="97"/>
      <w:bookmarkEnd w:id="98"/>
      <w:bookmarkEnd w:id="99"/>
      <w:bookmarkEnd w:id="100"/>
      <w:bookmarkEnd w:id="101"/>
      <w:r>
        <w:rPr>
          <w:rFonts w:ascii="黑体" w:eastAsia="黑体" w:hAnsi="宋体" w:hint="eastAsia"/>
          <w:kern w:val="2"/>
          <w:sz w:val="21"/>
          <w:szCs w:val="21"/>
          <w:lang w:eastAsia="zh-CN"/>
        </w:rPr>
        <w:t>接受和拒绝任何或所有投标的权力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hint="eastAsia"/>
          <w:kern w:val="2"/>
          <w:sz w:val="21"/>
          <w:szCs w:val="21"/>
          <w:lang w:eastAsia="zh-CN"/>
        </w:rPr>
      </w:pPr>
      <w:bookmarkStart w:id="102" w:name="_Toc73517682"/>
      <w:bookmarkStart w:id="103" w:name="_Toc73521589"/>
      <w:bookmarkStart w:id="104" w:name="_Toc100052410"/>
      <w:bookmarkStart w:id="105" w:name="_Toc73518160"/>
      <w:bookmarkStart w:id="106" w:name="_Toc73521677"/>
      <w:r>
        <w:rPr>
          <w:rFonts w:ascii="黑体" w:eastAsia="黑体" w:hAnsi="宋体" w:hint="eastAsia"/>
          <w:kern w:val="2"/>
          <w:sz w:val="21"/>
          <w:szCs w:val="21"/>
          <w:lang w:eastAsia="zh-CN"/>
        </w:rPr>
        <w:t>45．合同的签订</w:t>
      </w:r>
      <w:bookmarkEnd w:id="102"/>
      <w:bookmarkEnd w:id="103"/>
      <w:bookmarkEnd w:id="104"/>
      <w:bookmarkEnd w:id="105"/>
      <w:bookmarkEnd w:id="106"/>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hint="eastAsia"/>
          <w:kern w:val="2"/>
          <w:sz w:val="21"/>
          <w:szCs w:val="21"/>
          <w:lang w:eastAsia="zh-CN"/>
        </w:rPr>
      </w:pPr>
      <w:bookmarkStart w:id="107" w:name="_Toc73517683"/>
      <w:bookmarkStart w:id="108" w:name="_Toc73521678"/>
      <w:bookmarkStart w:id="109" w:name="_Toc100052411"/>
      <w:bookmarkStart w:id="110" w:name="_Toc73518161"/>
      <w:bookmarkStart w:id="111" w:name="_Toc73521590"/>
      <w:r>
        <w:rPr>
          <w:rFonts w:ascii="黑体" w:eastAsia="黑体" w:hAnsi="宋体" w:hint="eastAsia"/>
          <w:kern w:val="2"/>
          <w:sz w:val="21"/>
          <w:szCs w:val="21"/>
          <w:lang w:eastAsia="zh-CN"/>
        </w:rPr>
        <w:t>46．履约担保</w:t>
      </w:r>
      <w:bookmarkEnd w:id="107"/>
      <w:bookmarkEnd w:id="108"/>
      <w:bookmarkEnd w:id="109"/>
      <w:bookmarkEnd w:id="110"/>
      <w:bookmarkEnd w:id="111"/>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eastAsia="宋体" w:hint="eastAsia"/>
          <w:kern w:val="2"/>
          <w:sz w:val="21"/>
          <w:szCs w:val="21"/>
          <w:lang w:eastAsia="zh-CN"/>
        </w:rPr>
        <w:t>人</w:t>
      </w:r>
      <w:r>
        <w:rPr>
          <w:rFonts w:eastAsia="宋体"/>
          <w:kern w:val="2"/>
          <w:sz w:val="21"/>
          <w:szCs w:val="21"/>
          <w:lang w:eastAsia="zh-CN"/>
        </w:rPr>
        <w:t>提交履约</w:t>
      </w:r>
      <w:r>
        <w:rPr>
          <w:rFonts w:eastAsia="宋体" w:hint="eastAsia"/>
          <w:kern w:val="2"/>
          <w:sz w:val="21"/>
          <w:szCs w:val="21"/>
          <w:lang w:eastAsia="zh-CN"/>
        </w:rPr>
        <w:t>担保不是</w:t>
      </w:r>
      <w:r>
        <w:rPr>
          <w:rFonts w:eastAsia="宋体"/>
          <w:kern w:val="2"/>
          <w:sz w:val="21"/>
          <w:szCs w:val="21"/>
          <w:lang w:eastAsia="zh-CN"/>
        </w:rPr>
        <w:t>合同签订的</w:t>
      </w:r>
      <w:r>
        <w:rPr>
          <w:rFonts w:eastAsia="宋体" w:hint="eastAsia"/>
          <w:kern w:val="2"/>
          <w:sz w:val="21"/>
          <w:szCs w:val="21"/>
          <w:lang w:eastAsia="zh-CN"/>
        </w:rPr>
        <w:t>前提</w:t>
      </w:r>
      <w:r>
        <w:rPr>
          <w:rFonts w:eastAsia="宋体"/>
          <w:kern w:val="2"/>
          <w:sz w:val="21"/>
          <w:szCs w:val="21"/>
          <w:lang w:eastAsia="zh-CN"/>
        </w:rPr>
        <w:t>条件，不要求中标</w:t>
      </w:r>
      <w:r>
        <w:rPr>
          <w:rFonts w:eastAsia="宋体" w:hint="eastAsia"/>
          <w:kern w:val="2"/>
          <w:sz w:val="21"/>
          <w:szCs w:val="21"/>
          <w:lang w:eastAsia="zh-CN"/>
        </w:rPr>
        <w:t>人</w:t>
      </w:r>
      <w:r>
        <w:rPr>
          <w:rFonts w:eastAsia="宋体"/>
          <w:kern w:val="2"/>
          <w:sz w:val="21"/>
          <w:szCs w:val="21"/>
          <w:lang w:eastAsia="zh-CN"/>
        </w:rPr>
        <w:t>提供除法律、法规明确规定外的其他担保</w:t>
      </w:r>
      <w:r>
        <w:rPr>
          <w:rFonts w:eastAsia="宋体" w:hint="eastAsia"/>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Hans"/>
        </w:rPr>
        <w:t>采购人与中标供应商自中标通知书发出之日起10个工作日内签订采购合同，</w:t>
      </w:r>
      <w:r>
        <w:rPr>
          <w:rFonts w:ascii="宋体" w:eastAsia="宋体" w:hAnsi="宋体" w:hint="eastAsia"/>
          <w:kern w:val="2"/>
          <w:sz w:val="21"/>
          <w:szCs w:val="21"/>
          <w:lang w:eastAsia="zh-CN"/>
        </w:rPr>
        <w:t>并按采购人内控制度规定提交备案。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48. 合同变更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49. 项目验收</w:t>
      </w:r>
    </w:p>
    <w:p>
      <w:pPr>
        <w:widowControl/>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49.1采购人应当按照招标文件和合同规定的标准和方法，及时组织验收。</w:t>
      </w:r>
      <w:r>
        <w:rPr>
          <w:rFonts w:ascii="宋体" w:eastAsia="宋体" w:hAnsi="宋体"/>
          <w:kern w:val="2"/>
          <w:sz w:val="21"/>
          <w:szCs w:val="21"/>
          <w:lang w:eastAsia="zh-CN"/>
        </w:rPr>
        <w:t xml:space="preserve"> </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50. 宣传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a.名片、宣传册、广告标语等；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b.案例介绍、推广等；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51. 供应商违法责任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（6）恶意投诉的；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12"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12"/>
      <w:r>
        <w:rPr>
          <w:rFonts w:ascii="宋体" w:eastAsia="宋体" w:hAnsi="宋体" w:hint="eastAsia"/>
          <w:kern w:val="2"/>
          <w:sz w:val="21"/>
          <w:szCs w:val="21"/>
          <w:lang w:eastAsia="zh-CN"/>
        </w:rPr>
        <w:t>记入供应商诚信档案，予以通报：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w:t>
      </w:r>
      <w:r>
        <w:rPr>
          <w:rFonts w:ascii="宋体" w:eastAsia="宋体" w:hAnsi="宋体" w:hint="eastAsia"/>
          <w:kern w:val="2"/>
          <w:sz w:val="21"/>
          <w:szCs w:val="21"/>
          <w:lang w:eastAsia="zh-CN"/>
        </w:rPr>
        <w:t>招标</w:t>
      </w:r>
      <w:r>
        <w:rPr>
          <w:rFonts w:ascii="宋体" w:eastAsia="宋体" w:hAnsi="宋体"/>
          <w:kern w:val="2"/>
          <w:sz w:val="21"/>
          <w:szCs w:val="21"/>
          <w:lang w:eastAsia="zh-CN"/>
        </w:rPr>
        <w:t>机构同意，将中标项目分包给他人的；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p>
      <w:pPr>
        <w:widowControl w:val="0"/>
        <w:spacing w:line="360" w:lineRule="auto"/>
        <w:jc w:val="both"/>
        <w:rPr>
          <w:rFonts w:eastAsia="宋体"/>
          <w:b/>
          <w:bCs/>
          <w:kern w:val="2"/>
          <w:lang w:eastAsia="zh-CN"/>
        </w:rPr>
      </w:pPr>
    </w:p>
    <w:bookmarkEnd w:id="96"/>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52.质疑提出与答复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52.1提出质疑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52.2</w:t>
      </w:r>
      <w:r>
        <w:rPr>
          <w:rFonts w:ascii="宋体" w:eastAsia="宋体" w:hAnsi="宋体"/>
          <w:kern w:val="2"/>
          <w:sz w:val="21"/>
          <w:szCs w:val="21"/>
          <w:lang w:eastAsia="zh-CN"/>
        </w:rPr>
        <w:t>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52.3质疑条件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13" w:name="_Hlk75374941"/>
      <w:r>
        <w:rPr>
          <w:rFonts w:ascii="宋体" w:eastAsia="宋体" w:hAnsi="宋体" w:hint="eastAsia"/>
          <w:kern w:val="2"/>
          <w:sz w:val="21"/>
          <w:szCs w:val="21"/>
          <w:lang w:eastAsia="zh-CN"/>
        </w:rPr>
        <w:t>以联合体形式参与的，质疑应当由组成联合体的所有成员共同提出</w:t>
      </w:r>
      <w:bookmarkEnd w:id="113"/>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hint="eastAsia"/>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52.7质疑答复时限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自收文之日起七个工作日内。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52.8争议（投诉）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53. 质疑后续处理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eastAsia="宋体"/>
          <w:kern w:val="2"/>
          <w:sz w:val="21"/>
          <w:lang w:eastAsia="zh-CN"/>
        </w:rPr>
      </w:pPr>
      <w:r>
        <w:rPr>
          <w:rFonts w:eastAsia="宋体"/>
          <w:kern w:val="2"/>
          <w:sz w:val="21"/>
          <w:lang w:eastAsia="zh-CN"/>
        </w:rPr>
        <w:t>---- END ----</w:t>
      </w:r>
      <w:bookmarkEnd w:id="59"/>
    </w:p>
    <w:p>
      <w:pPr>
        <w:widowControl w:val="0"/>
        <w:jc w:val="both"/>
        <w:rPr>
          <w:rFonts w:ascii="宋体" w:eastAsia="宋体" w:hAnsi="宋体" w:hint="eastAsia"/>
          <w:kern w:val="2"/>
          <w:sz w:val="21"/>
          <w:szCs w:val="21"/>
          <w:lang w:eastAsia="zh-CN"/>
        </w:rPr>
        <w:sectPr>
          <w:headerReference w:type="default" r:id="rId4"/>
          <w:footerReference w:type="even" r:id="rId5"/>
          <w:footerReference w:type="default" r:id="rId6"/>
          <w:headerReference w:type="first" r:id="rId7"/>
          <w:pgSz w:w="11907" w:h="16840"/>
          <w:pgMar w:top="1440" w:right="1797" w:bottom="1440" w:left="179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深圳福彩网络安全服务项目-A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政府采购投标及履约承诺函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拟安排的项目主要团队成员（主要技术人员）情况（项目负责人除外）（格式自定）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供应商认证情况（格式自定）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供应商同类项目业绩情况（格式自定）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供应商获奖情况（格式自定）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供应商自主知识产权产品（创新、设计）情况（格式自定）</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投标人认为需要加以说明的其他内容（格式自定）</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SZZXCG-2025-00457-001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深圳福彩网络安全服务项目-A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投标人不符合资格要求，或未提交相应的资格证明资料（详见招标公告投标人资格要求）</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符合性审查</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line="432" w:lineRule="atLeast"/>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实施方案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质量（完成时间、安全、环保）保障措施及方案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项目完成（服务期满）后的服务承诺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违约承诺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拟安排的项目主要团队成员（主要技术人员）情况（项目负责人除外）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供应商自主知识产权产品（创新、设计）情况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供应商获奖情况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swiss"/>
    <w:pitch w:val="default"/>
    <w:sig w:usb0="00000000" w:usb1="00000000" w:usb2="00000000" w:usb3="00000000" w:csb0="2000019F" w:csb1="4F01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Noto Sans SC"/>
    <w:panose1 w:val="00000000000000000000"/>
    <w:charset w:val="00"/>
    <w:family w:val="auto"/>
    <w:pitch w:val="default"/>
    <w:sig w:usb0="00000000" w:usb1="00000000" w:usb2="00000000" w:usb3="00000000" w:csb0="00040001" w:csb1="00000000"/>
  </w:font>
  <w:font w:name="??">
    <w:altName w:val="Noto Sans SC"/>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Noto Sans SC">
    <w:panose1 w:val="020B0200000000000000"/>
    <w:charset w:val="86"/>
    <w:family w:val="auto"/>
    <w:pitch w:val="default"/>
    <w:sig w:usb0="20000083" w:usb1="2ADF3C10" w:usb2="00000016" w:usb3="00000000" w:csb0="60060107"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2</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D8F532"/>
    <w:multiLevelType w:val="singleLevel"/>
    <w:tmpl w:val="9FD8F532"/>
    <w:lvl w:ilvl="0">
      <w:start w:val="1"/>
      <w:numFmt w:val="decimal"/>
      <w:suff w:val="space"/>
      <w:lvlText w:val="%1."/>
      <w:lvlJc w:val="left"/>
    </w:lvl>
  </w:abstractNum>
  <w:abstractNum w:abstractNumId="1">
    <w:nsid w:val="B4F30691"/>
    <w:multiLevelType w:val="singleLevel"/>
    <w:tmpl w:val="B4F30691"/>
    <w:lvl w:ilvl="0">
      <w:start w:val="3"/>
      <w:numFmt w:val="decimal"/>
      <w:suff w:val="nothing"/>
      <w:lvlText w:val="（%1）"/>
      <w:lvlJc w:val="left"/>
    </w:lvl>
  </w:abstractNum>
  <w:abstractNum w:abstractNumId="2">
    <w:nsid w:val="B9358C2E"/>
    <w:multiLevelType w:val="singleLevel"/>
    <w:tmpl w:val="B9358C2E"/>
    <w:lvl w:ilvl="0">
      <w:start w:val="2"/>
      <w:numFmt w:val="decimal"/>
      <w:suff w:val="nothing"/>
      <w:lvlText w:val="%1、"/>
      <w:lvlJc w:val="left"/>
    </w:lvl>
  </w:abstractNum>
  <w:abstractNum w:abstractNumId="3">
    <w:nsid w:val="10BAF357"/>
    <w:multiLevelType w:val="singleLevel"/>
    <w:tmpl w:val="10BAF357"/>
    <w:lvl w:ilvl="0">
      <w:start w:val="1"/>
      <w:numFmt w:val="decimal"/>
      <w:lvlText w:val="%1."/>
      <w:lvlJc w:val="left"/>
      <w:pPr>
        <w:tabs>
          <w:tab w:val="left" w:pos="312"/>
        </w:tabs>
      </w:pPr>
      <w:rPr>
        <w:rFonts w:ascii="宋体" w:eastAsia="宋体" w:hAnsi="宋体" w:cs="宋体" w:hint="default"/>
        <w:sz w:val="21"/>
        <w:szCs w:val="21"/>
      </w:rPr>
    </w:lvl>
  </w:abstractNum>
  <w:abstractNum w:abstractNumId="4">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CC09FBB"/>
    <w:multiLevelType w:val="singleLevel"/>
    <w:tmpl w:val="3CC09FBB"/>
    <w:lvl w:ilvl="0">
      <w:start w:val="1"/>
      <w:numFmt w:val="decimal"/>
      <w:suff w:val="nothing"/>
      <w:lvlText w:val="%1、"/>
      <w:lvlJc w:val="left"/>
    </w:lvl>
  </w:abstractNum>
  <w:abstractNum w:abstractNumId="6">
    <w:nsid w:val="525428F2"/>
    <w:multiLevelType w:val="singleLevel"/>
    <w:tmpl w:val="525428F2"/>
    <w:lvl w:ilvl="0">
      <w:start w:val="1"/>
      <w:numFmt w:val="chineseCounting"/>
      <w:suff w:val="nothing"/>
      <w:lvlText w:val="（%1）"/>
      <w:lvlJc w:val="left"/>
      <w:rPr>
        <w:rFonts w:hint="eastAsia"/>
      </w:rPr>
    </w:lvl>
  </w:abstractNum>
  <w:abstractNum w:abstractNumId="7">
    <w:nsid w:val="5D7F77ED"/>
    <w:multiLevelType w:val="singleLevel"/>
    <w:tmpl w:val="5D7F77ED"/>
    <w:lvl w:ilvl="0">
      <w:start w:val="1"/>
      <w:numFmt w:val="decimal"/>
      <w:suff w:val="nothing"/>
      <w:lvlText w:val="（%1）"/>
      <w:lvlJc w:val="left"/>
    </w:lvl>
  </w:abstractNum>
  <w:abstractNum w:abstractNumId="8">
    <w:nsid w:val="5F2C22C8"/>
    <w:multiLevelType w:val="singleLevel"/>
    <w:tmpl w:val="5F2C22C8"/>
    <w:lvl w:ilvl="0">
      <w:start w:val="1"/>
      <w:numFmt w:val="decimal"/>
      <w:lvlText w:val="%1."/>
      <w:lvlJc w:val="left"/>
      <w:pPr>
        <w:tabs>
          <w:tab w:val="left" w:pos="312"/>
        </w:tabs>
      </w:pPr>
    </w:lvl>
  </w:abstractNum>
  <w:abstractNum w:abstractNumId="9">
    <w:nsid w:val="7B8FAB3F"/>
    <w:multiLevelType w:val="singleLevel"/>
    <w:tmpl w:val="7B8FAB3F"/>
    <w:lvl w:ilvl="0">
      <w:start w:val="1"/>
      <w:numFmt w:val="decimal"/>
      <w:suff w:val="space"/>
      <w:lvlText w:val="%1."/>
      <w:lvlJc w:val="left"/>
      <w:rPr>
        <w:rFonts w:ascii="宋体" w:eastAsia="宋体" w:hAnsi="宋体" w:cs="宋体" w:hint="default"/>
      </w:rPr>
    </w:lvl>
  </w:abstractNum>
  <w:num w:numId="1">
    <w:abstractNumId w:val="5"/>
  </w:num>
  <w:num w:numId="2">
    <w:abstractNumId w:val="6"/>
  </w:num>
  <w:num w:numId="3">
    <w:abstractNumId w:val="1"/>
  </w:num>
  <w:num w:numId="4">
    <w:abstractNumId w:val="3"/>
  </w:num>
  <w:num w:numId="5">
    <w:abstractNumId w:val="8"/>
  </w:num>
  <w:num w:numId="6">
    <w:abstractNumId w:val="9"/>
  </w:num>
  <w:num w:numId="7">
    <w:abstractNumId w:val="7"/>
  </w:num>
  <w:num w:numId="8">
    <w:abstractNumId w:val="0"/>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
    <w:autoRedefine/>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
    <w:autoRedefine/>
    <w:qFormat/>
    <w:pPr>
      <w:adjustRightInd w:val="0"/>
      <w:jc w:val="center"/>
      <w:textAlignment w:val="baseline"/>
      <w:outlineLvl w:val="1"/>
    </w:pPr>
    <w:rPr>
      <w:kern w:val="0"/>
      <w:sz w:val="24"/>
      <w:szCs w:val="20"/>
    </w:rPr>
  </w:style>
  <w:style w:type="paragraph" w:styleId="Heading3">
    <w:name w:val="heading 3"/>
    <w:basedOn w:val="Heading4"/>
    <w:next w:val="Normal"/>
    <w:link w:val="3"/>
    <w:autoRedefine/>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autoRedefine/>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autoRedefine/>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
    <w:name w:val="页眉 字符"/>
    <w:link w:val="Header"/>
    <w:autoRedefine/>
    <w:uiPriority w:val="99"/>
    <w:qFormat/>
    <w:rPr>
      <w:rFonts w:eastAsia="宋体"/>
      <w:kern w:val="2"/>
      <w:sz w:val="18"/>
      <w:szCs w:val="18"/>
      <w:lang w:eastAsia="zh-CN"/>
    </w:rPr>
  </w:style>
  <w:style w:type="paragraph" w:styleId="Footer">
    <w:name w:val="footer"/>
    <w:basedOn w:val="Normal"/>
    <w:link w:val="a0"/>
    <w:autoRedefine/>
    <w:qFormat/>
    <w:pPr>
      <w:widowControl w:val="0"/>
      <w:tabs>
        <w:tab w:val="center" w:pos="4153"/>
        <w:tab w:val="right" w:pos="8306"/>
      </w:tabs>
      <w:snapToGrid w:val="0"/>
    </w:pPr>
    <w:rPr>
      <w:rFonts w:eastAsia="宋体"/>
      <w:kern w:val="2"/>
      <w:sz w:val="18"/>
      <w:szCs w:val="18"/>
      <w:lang w:eastAsia="zh-CN"/>
    </w:rPr>
  </w:style>
  <w:style w:type="character" w:customStyle="1" w:styleId="a0">
    <w:name w:val="页脚 字符"/>
    <w:link w:val="Footer"/>
    <w:autoRedefine/>
    <w:qFormat/>
    <w:rPr>
      <w:rFonts w:eastAsia="宋体"/>
      <w:kern w:val="2"/>
      <w:sz w:val="18"/>
      <w:szCs w:val="18"/>
      <w:lang w:eastAsia="zh-CN"/>
    </w:rPr>
  </w:style>
  <w:style w:type="character" w:styleId="PageNumber">
    <w:name w:val="page number"/>
    <w:basedOn w:val="DefaultParagraphFont"/>
    <w:autoRedefine/>
    <w:qFormat/>
  </w:style>
  <w:style w:type="table" w:styleId="TableGrid">
    <w:name w:val="Table Grid"/>
    <w:basedOn w:val="TableNormal"/>
    <w:autoRedefine/>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a1"/>
    <w:autoRedefine/>
    <w:uiPriority w:val="99"/>
    <w:qFormat/>
    <w:pPr>
      <w:widowControl w:val="0"/>
      <w:jc w:val="both"/>
    </w:pPr>
    <w:rPr>
      <w:rFonts w:eastAsia="宋体"/>
      <w:kern w:val="2"/>
      <w:lang w:eastAsia="zh-CN"/>
    </w:rPr>
  </w:style>
  <w:style w:type="character" w:customStyle="1" w:styleId="a1">
    <w:name w:val="普通(网站) 字符"/>
    <w:link w:val="NormalWeb"/>
    <w:autoRedefine/>
    <w:qFormat/>
    <w:rPr>
      <w:rFonts w:eastAsia="宋体"/>
      <w:kern w:val="2"/>
      <w:sz w:val="24"/>
      <w:szCs w:val="24"/>
    </w:rPr>
  </w:style>
  <w:style w:type="paragraph" w:customStyle="1" w:styleId="TableParagraph">
    <w:name w:val="Table Paragraph"/>
    <w:basedOn w:val="Normal"/>
    <w:autoRedefine/>
    <w:uiPriority w:val="1"/>
    <w:qFormat/>
    <w:pPr>
      <w:autoSpaceDE w:val="0"/>
      <w:autoSpaceDN w:val="0"/>
      <w:adjustRightInd w:val="0"/>
    </w:pPr>
    <w:rPr>
      <w:rFonts w:eastAsia="宋体"/>
      <w:lang w:eastAsia="zh-CN"/>
    </w:rPr>
  </w:style>
  <w:style w:type="paragraph" w:customStyle="1" w:styleId="Normal0">
    <w:name w:val="Normal_0"/>
    <w:autoRedefine/>
    <w:qFormat/>
    <w:pPr>
      <w:jc w:val="both"/>
    </w:pPr>
    <w:rPr>
      <w:rFonts w:ascii="等线" w:eastAsia="宋体" w:hAnsi="等线" w:cs="宋体"/>
      <w:kern w:val="2"/>
      <w:sz w:val="21"/>
      <w:szCs w:val="21"/>
      <w:lang w:eastAsia="zh-CN"/>
    </w:rPr>
  </w:style>
  <w:style w:type="paragraph" w:styleId="NormalIndent">
    <w:name w:val="Normal Indent"/>
    <w:basedOn w:val="Normal"/>
    <w:next w:val="Footer"/>
    <w:link w:val="a2"/>
    <w:autoRedefine/>
    <w:qFormat/>
    <w:pPr>
      <w:widowControl w:val="0"/>
      <w:ind w:firstLine="420"/>
      <w:jc w:val="both"/>
    </w:pPr>
    <w:rPr>
      <w:rFonts w:eastAsia="宋体"/>
      <w:kern w:val="2"/>
      <w:sz w:val="21"/>
      <w:szCs w:val="20"/>
      <w:lang w:eastAsia="zh-CN"/>
    </w:rPr>
  </w:style>
  <w:style w:type="character" w:customStyle="1" w:styleId="a2">
    <w:name w:val="正文缩进 字符"/>
    <w:link w:val="NormalIndent"/>
    <w:autoRedefine/>
    <w:qFormat/>
    <w:rPr>
      <w:rFonts w:eastAsia="宋体"/>
      <w:kern w:val="2"/>
      <w:sz w:val="21"/>
      <w:lang w:eastAsia="zh-CN"/>
    </w:rPr>
  </w:style>
  <w:style w:type="character" w:customStyle="1" w:styleId="4">
    <w:name w:val="标题 4 字符"/>
    <w:link w:val="Heading4"/>
    <w:autoRedefine/>
    <w:uiPriority w:val="9"/>
    <w:qFormat/>
    <w:rPr>
      <w:rFonts w:ascii="Arial" w:eastAsia="黑体" w:hAnsi="Arial"/>
      <w:b/>
      <w:bCs/>
      <w:kern w:val="2"/>
      <w:sz w:val="28"/>
      <w:szCs w:val="28"/>
      <w:lang w:eastAsia="zh-CN"/>
    </w:rPr>
  </w:style>
  <w:style w:type="character" w:customStyle="1" w:styleId="3">
    <w:name w:val="标题 3 字符"/>
    <w:link w:val="Heading3"/>
    <w:autoRedefine/>
    <w:uiPriority w:val="9"/>
    <w:qFormat/>
    <w:rPr>
      <w:rFonts w:ascii="宋体" w:eastAsia="宋体" w:hAnsi="宋体"/>
      <w:b/>
      <w:bCs/>
      <w:kern w:val="2"/>
      <w:sz w:val="28"/>
      <w:szCs w:val="32"/>
      <w:lang w:eastAsia="zh-CN"/>
    </w:rPr>
  </w:style>
  <w:style w:type="character" w:customStyle="1" w:styleId="1">
    <w:name w:val="标题 1 字符"/>
    <w:link w:val="Heading1"/>
    <w:autoRedefine/>
    <w:qFormat/>
    <w:rPr>
      <w:rFonts w:ascii="宋体" w:eastAsia="黑体" w:hAnsi="宋体"/>
      <w:b/>
      <w:bCs/>
      <w:kern w:val="44"/>
      <w:sz w:val="28"/>
      <w:szCs w:val="44"/>
      <w:lang w:eastAsia="zh-CN"/>
    </w:rPr>
  </w:style>
  <w:style w:type="character" w:customStyle="1" w:styleId="2">
    <w:name w:val="标题 2 字符"/>
    <w:link w:val="Heading2"/>
    <w:autoRedefine/>
    <w:qFormat/>
    <w:rPr>
      <w:rFonts w:ascii="宋体" w:eastAsia="宋体" w:hAnsi="宋体"/>
      <w:b/>
      <w:bCs/>
      <w:sz w:val="24"/>
      <w:lang w:eastAsia="zh-CN"/>
    </w:rPr>
  </w:style>
  <w:style w:type="paragraph" w:styleId="BodyText">
    <w:name w:val="Body Text"/>
    <w:basedOn w:val="Normal"/>
    <w:next w:val="BodyText2"/>
    <w:link w:val="a3"/>
    <w:autoRedefine/>
    <w:qFormat/>
    <w:pPr>
      <w:widowControl w:val="0"/>
      <w:spacing w:line="360" w:lineRule="auto"/>
      <w:jc w:val="both"/>
    </w:pPr>
    <w:rPr>
      <w:rFonts w:eastAsia="宋体"/>
      <w:b/>
      <w:bCs/>
      <w:kern w:val="2"/>
      <w:lang w:eastAsia="zh-CN"/>
    </w:rPr>
  </w:style>
  <w:style w:type="paragraph" w:styleId="BodyText2">
    <w:name w:val="Body Text 2"/>
    <w:basedOn w:val="Normal"/>
    <w:link w:val="20"/>
    <w:autoRedefine/>
    <w:qFormat/>
    <w:pPr>
      <w:widowControl w:val="0"/>
      <w:spacing w:line="360" w:lineRule="auto"/>
      <w:jc w:val="both"/>
    </w:pPr>
    <w:rPr>
      <w:rFonts w:eastAsia="宋体"/>
      <w:kern w:val="2"/>
      <w:lang w:eastAsia="zh-CN"/>
    </w:rPr>
  </w:style>
  <w:style w:type="character" w:customStyle="1" w:styleId="20">
    <w:name w:val="正文文本 2 字符"/>
    <w:link w:val="BodyText2"/>
    <w:autoRedefine/>
    <w:qFormat/>
    <w:rPr>
      <w:rFonts w:eastAsia="宋体"/>
      <w:kern w:val="2"/>
      <w:sz w:val="24"/>
      <w:szCs w:val="24"/>
      <w:lang w:eastAsia="zh-CN"/>
    </w:rPr>
  </w:style>
  <w:style w:type="character" w:customStyle="1" w:styleId="a3">
    <w:name w:val="正文文本 字符"/>
    <w:link w:val="BodyText"/>
    <w:autoRedefine/>
    <w:qFormat/>
    <w:rPr>
      <w:rFonts w:eastAsia="宋体"/>
      <w:b/>
      <w:bCs/>
      <w:kern w:val="2"/>
      <w:sz w:val="24"/>
      <w:szCs w:val="24"/>
      <w:lang w:eastAsia="zh-CN"/>
    </w:rPr>
  </w:style>
  <w:style w:type="table" w:customStyle="1" w:styleId="TableNormal0">
    <w:name w:val="Table Normal_0"/>
    <w:autoRedefine/>
    <w:semiHidden/>
    <w:unhideWhenUsed/>
    <w:qFormat/>
    <w:rPr>
      <w:rFonts w:eastAsia="宋体"/>
    </w:rPr>
    <w:tblPr>
      <w:tblCellMar>
        <w:top w:w="0" w:type="dxa"/>
        <w:left w:w="0" w:type="dxa"/>
        <w:bottom w:w="0" w:type="dxa"/>
        <w:right w:w="0" w:type="dxa"/>
      </w:tblCellMar>
    </w:tblPr>
  </w:style>
  <w:style w:type="paragraph" w:customStyle="1" w:styleId="TableText">
    <w:name w:val="Table Text"/>
    <w:basedOn w:val="Normal"/>
    <w:autoRedefine/>
    <w:semiHidden/>
    <w:qFormat/>
    <w:pPr>
      <w:widowControl w:val="0"/>
      <w:jc w:val="both"/>
    </w:pPr>
    <w:rPr>
      <w:rFonts w:ascii="微软雅黑" w:eastAsia="微软雅黑" w:hAnsi="微软雅黑" w:cs="微软雅黑"/>
      <w:kern w:val="2"/>
    </w:rPr>
  </w:style>
  <w:style w:type="paragraph" w:styleId="NoSpacing">
    <w:name w:val="No Spacing"/>
    <w:autoRedefine/>
    <w:uiPriority w:val="1"/>
    <w:qFormat/>
    <w:pPr>
      <w:widowControl w:val="0"/>
      <w:jc w:val="both"/>
    </w:pPr>
    <w:rPr>
      <w:rFonts w:ascii="Calibri" w:eastAsia="宋体" w:hAnsi="Calibri"/>
      <w:kern w:val="2"/>
      <w:sz w:val="21"/>
      <w:szCs w:val="22"/>
      <w:lang w:eastAsia="zh-CN"/>
    </w:rPr>
  </w:style>
  <w:style w:type="table" w:customStyle="1" w:styleId="10">
    <w:name w:val="网格型1"/>
    <w:basedOn w:val="TableNormal"/>
    <w:autoRedefine/>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a4"/>
    <w:autoRedefine/>
    <w:qFormat/>
    <w:pPr>
      <w:widowControl w:val="0"/>
      <w:spacing w:line="360" w:lineRule="auto"/>
      <w:ind w:firstLine="420" w:firstLineChars="200"/>
      <w:jc w:val="both"/>
    </w:pPr>
    <w:rPr>
      <w:rFonts w:eastAsia="宋体"/>
      <w:kern w:val="2"/>
      <w:sz w:val="21"/>
      <w:lang w:eastAsia="zh-CN"/>
    </w:rPr>
  </w:style>
  <w:style w:type="character" w:customStyle="1" w:styleId="a4">
    <w:name w:val="正文文本缩进 字符"/>
    <w:link w:val="BodyTextIndent"/>
    <w:autoRedefine/>
    <w:qFormat/>
    <w:rPr>
      <w:rFonts w:eastAsia="宋体"/>
      <w:kern w:val="2"/>
      <w:sz w:val="21"/>
      <w:szCs w:val="24"/>
      <w:lang w:eastAsia="zh-CN"/>
    </w:rPr>
  </w:style>
  <w:style w:type="paragraph" w:styleId="ListParagraph">
    <w:name w:val="List Paragraph"/>
    <w:basedOn w:val="Normal"/>
    <w:autoRedefine/>
    <w:uiPriority w:val="34"/>
    <w:qFormat/>
    <w:pPr>
      <w:widowControl w:val="0"/>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