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F4F9BA">
      <w:pPr>
        <w:pStyle w:val="3"/>
        <w:pageBreakBefore w:val="0"/>
        <w:kinsoku/>
        <w:overflowPunct/>
        <w:autoSpaceDE/>
        <w:autoSpaceDN/>
        <w:bidi w:val="0"/>
        <w:spacing w:beforeLines="0" w:afterLines="0" w:line="560" w:lineRule="exact"/>
        <w:rPr>
          <w:rFonts w:hint="eastAsia"/>
        </w:rPr>
      </w:pPr>
      <w:bookmarkStart w:id="0" w:name="_Toc2090896541"/>
      <w:r>
        <w:rPr>
          <w:rFonts w:hint="eastAsia"/>
          <w:lang w:val="en-US" w:eastAsia="zh-CN"/>
        </w:rPr>
        <w:t xml:space="preserve">附件3 </w:t>
      </w:r>
      <w:r>
        <w:rPr>
          <w:rFonts w:hint="eastAsia" w:ascii="方正小标宋简体" w:hAnsi="方正小标宋简体" w:eastAsia="方正小标宋简体" w:cs="方正小标宋简体"/>
          <w:color w:val="auto"/>
          <w:kern w:val="2"/>
          <w:sz w:val="36"/>
          <w:szCs w:val="36"/>
          <w:lang w:val="en-US" w:eastAsia="zh-CN" w:bidi="ar-SA"/>
        </w:rPr>
        <w:t>香蜜湖街道</w:t>
      </w:r>
      <w:r>
        <w:rPr>
          <w:rFonts w:hint="eastAsia" w:cs="方正小标宋简体"/>
          <w:color w:val="auto"/>
          <w:kern w:val="2"/>
          <w:sz w:val="36"/>
          <w:szCs w:val="36"/>
          <w:lang w:val="en-US" w:eastAsia="zh-CN" w:bidi="ar-SA"/>
        </w:rPr>
        <w:t>工程</w:t>
      </w:r>
      <w:bookmarkStart w:id="1" w:name="_GoBack"/>
      <w:bookmarkEnd w:id="1"/>
      <w:r>
        <w:rPr>
          <w:rFonts w:hint="eastAsia"/>
        </w:rPr>
        <w:t>类</w:t>
      </w:r>
      <w:r>
        <w:rPr>
          <w:rFonts w:hint="eastAsia"/>
          <w:lang w:eastAsia="zh-CN"/>
        </w:rPr>
        <w:t>项目</w:t>
      </w:r>
      <w:r>
        <w:rPr>
          <w:rFonts w:hint="eastAsia"/>
        </w:rPr>
        <w:t>采购需求</w:t>
      </w:r>
      <w:bookmarkEnd w:id="0"/>
    </w:p>
    <w:p w14:paraId="2549DC67">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一、采购项目概况</w:t>
      </w:r>
    </w:p>
    <w:p w14:paraId="21F6F1A7">
      <w:pPr>
        <w:keepNext w:val="0"/>
        <w:keepLines w:val="0"/>
        <w:pageBreakBefore w:val="0"/>
        <w:widowControl/>
        <w:numPr>
          <w:ilvl w:val="0"/>
          <w:numId w:val="0"/>
        </w:numPr>
        <w:kinsoku/>
        <w:wordWrap/>
        <w:overflowPunct/>
        <w:topLinePunct w:val="0"/>
        <w:autoSpaceDE/>
        <w:autoSpaceDN/>
        <w:bidi w:val="0"/>
        <w:snapToGrid w:val="0"/>
        <w:spacing w:line="560" w:lineRule="exact"/>
        <w:ind w:left="2800" w:leftChars="200" w:hanging="2240" w:hangingChars="800"/>
        <w:textAlignment w:val="auto"/>
        <w:rPr>
          <w:rFonts w:hint="eastAsia" w:ascii="仿宋_GB2312" w:eastAsia="仿宋_GB2312" w:cs="Times New Roman"/>
          <w:bCs/>
          <w:color w:val="auto"/>
          <w:sz w:val="28"/>
          <w:szCs w:val="28"/>
          <w:lang w:val="en-US" w:eastAsia="zh-CN"/>
        </w:rPr>
      </w:pPr>
      <w:r>
        <w:rPr>
          <w:rFonts w:hint="eastAsia" w:ascii="仿宋_GB2312" w:eastAsia="仿宋_GB2312"/>
          <w:b w:val="0"/>
          <w:bCs/>
          <w:color w:val="auto"/>
          <w:sz w:val="28"/>
          <w:szCs w:val="28"/>
          <w:lang w:val="en-US" w:eastAsia="zh-CN"/>
        </w:rPr>
        <w:t>（一）</w:t>
      </w:r>
      <w:r>
        <w:rPr>
          <w:rFonts w:hint="eastAsia" w:ascii="仿宋_GB2312" w:eastAsia="仿宋_GB2312" w:cs="Times New Roman"/>
          <w:bCs/>
          <w:color w:val="auto"/>
          <w:sz w:val="28"/>
          <w:szCs w:val="28"/>
          <w:lang w:val="en-US" w:eastAsia="zh-CN"/>
        </w:rPr>
        <w:t>项目名称：农园社区荔林苑门前绿化带改造儿童游乐空间项目</w:t>
      </w:r>
    </w:p>
    <w:p w14:paraId="2B718204">
      <w:pPr>
        <w:keepNext w:val="0"/>
        <w:keepLines w:val="0"/>
        <w:pageBreakBefore w:val="0"/>
        <w:widowControl/>
        <w:numPr>
          <w:ilvl w:val="0"/>
          <w:numId w:val="0"/>
        </w:numPr>
        <w:kinsoku/>
        <w:wordWrap/>
        <w:overflowPunct/>
        <w:topLinePunct w:val="0"/>
        <w:autoSpaceDE/>
        <w:autoSpaceDN/>
        <w:bidi w:val="0"/>
        <w:snapToGrid w:val="0"/>
        <w:spacing w:line="560" w:lineRule="exact"/>
        <w:ind w:firstLine="560" w:firstLineChars="200"/>
        <w:textAlignment w:val="auto"/>
        <w:rPr>
          <w:rFonts w:hint="default" w:ascii="仿宋_GB2312" w:eastAsia="仿宋_GB2312"/>
          <w:b w:val="0"/>
          <w:bCs/>
          <w:color w:val="auto"/>
          <w:sz w:val="28"/>
          <w:szCs w:val="28"/>
          <w:lang w:val="en-US" w:eastAsia="zh-CN"/>
        </w:rPr>
      </w:pPr>
      <w:r>
        <w:rPr>
          <w:rFonts w:hint="eastAsia" w:ascii="仿宋_GB2312" w:eastAsia="仿宋_GB2312" w:cs="Times New Roman"/>
          <w:bCs/>
          <w:color w:val="auto"/>
          <w:sz w:val="28"/>
          <w:szCs w:val="28"/>
          <w:lang w:val="en-US" w:eastAsia="zh-CN"/>
        </w:rPr>
        <w:t>（二）</w:t>
      </w:r>
      <w:r>
        <w:rPr>
          <w:rFonts w:hint="eastAsia" w:ascii="仿宋_GB2312" w:hAnsi="Calibri" w:eastAsia="仿宋_GB2312" w:cs="Times New Roman"/>
          <w:bCs/>
          <w:color w:val="auto"/>
          <w:sz w:val="28"/>
          <w:szCs w:val="28"/>
          <w:lang w:val="en-US" w:eastAsia="zh-CN"/>
        </w:rPr>
        <w:t>预算</w:t>
      </w:r>
      <w:r>
        <w:rPr>
          <w:rFonts w:hint="eastAsia" w:ascii="仿宋_GB2312" w:eastAsia="仿宋_GB2312" w:cs="Times New Roman"/>
          <w:bCs/>
          <w:color w:val="auto"/>
          <w:sz w:val="28"/>
          <w:szCs w:val="28"/>
          <w:lang w:val="en-US" w:eastAsia="zh-CN"/>
        </w:rPr>
        <w:t>金额</w:t>
      </w:r>
      <w:r>
        <w:rPr>
          <w:rFonts w:hint="eastAsia" w:ascii="仿宋_GB2312" w:hAnsi="Calibri" w:eastAsia="仿宋_GB2312" w:cs="Times New Roman"/>
          <w:bCs/>
          <w:color w:val="auto"/>
          <w:sz w:val="28"/>
          <w:szCs w:val="28"/>
          <w:lang w:val="en-US" w:eastAsia="zh-CN"/>
        </w:rPr>
        <w:t>：</w:t>
      </w:r>
      <w:r>
        <w:rPr>
          <w:rFonts w:hint="eastAsia" w:ascii="仿宋_GB2312" w:cs="Times New Roman"/>
          <w:bCs/>
          <w:color w:val="auto"/>
          <w:sz w:val="28"/>
          <w:szCs w:val="28"/>
          <w:lang w:val="en-US" w:eastAsia="zh-CN"/>
        </w:rPr>
        <w:t>34万元</w:t>
      </w:r>
    </w:p>
    <w:p w14:paraId="5BD504AD">
      <w:pPr>
        <w:keepNext w:val="0"/>
        <w:keepLines w:val="0"/>
        <w:pageBreakBefore w:val="0"/>
        <w:widowControl/>
        <w:numPr>
          <w:ilvl w:val="0"/>
          <w:numId w:val="0"/>
        </w:numPr>
        <w:kinsoku/>
        <w:wordWrap/>
        <w:overflowPunct/>
        <w:topLinePunct w:val="0"/>
        <w:autoSpaceDE/>
        <w:autoSpaceDN/>
        <w:bidi w:val="0"/>
        <w:snapToGrid w:val="0"/>
        <w:spacing w:line="560" w:lineRule="exact"/>
        <w:ind w:firstLine="560" w:firstLineChars="200"/>
        <w:textAlignment w:val="auto"/>
        <w:rPr>
          <w:rFonts w:hint="default" w:ascii="仿宋_GB2312" w:eastAsia="仿宋_GB2312"/>
          <w:b w:val="0"/>
          <w:bCs/>
          <w:color w:val="auto"/>
          <w:sz w:val="28"/>
          <w:szCs w:val="28"/>
          <w:lang w:val="en-US" w:eastAsia="zh-CN"/>
        </w:rPr>
      </w:pPr>
      <w:r>
        <w:rPr>
          <w:rFonts w:hint="eastAsia" w:ascii="仿宋_GB2312" w:eastAsia="仿宋_GB2312"/>
          <w:b w:val="0"/>
          <w:bCs/>
          <w:color w:val="auto"/>
          <w:sz w:val="28"/>
          <w:szCs w:val="28"/>
          <w:lang w:eastAsia="zh-CN"/>
        </w:rPr>
        <w:t>（</w:t>
      </w:r>
      <w:r>
        <w:rPr>
          <w:rFonts w:hint="eastAsia" w:ascii="仿宋_GB2312" w:eastAsia="仿宋_GB2312"/>
          <w:b w:val="0"/>
          <w:bCs/>
          <w:color w:val="auto"/>
          <w:sz w:val="28"/>
          <w:szCs w:val="28"/>
          <w:lang w:val="en-US" w:eastAsia="zh-CN"/>
        </w:rPr>
        <w:t>三）</w:t>
      </w:r>
      <w:r>
        <w:rPr>
          <w:rFonts w:hint="eastAsia" w:ascii="仿宋_GB2312" w:eastAsia="仿宋_GB2312" w:cs="Times New Roman"/>
          <w:bCs/>
          <w:color w:val="auto"/>
          <w:sz w:val="28"/>
          <w:szCs w:val="28"/>
          <w:lang w:val="en-US" w:eastAsia="zh-CN"/>
        </w:rPr>
        <w:t>项目背景/简介:</w:t>
      </w:r>
      <w:r>
        <w:rPr>
          <w:rFonts w:hint="eastAsia" w:ascii="仿宋" w:hAnsi="仿宋" w:eastAsia="仿宋" w:cs="仿宋"/>
          <w:sz w:val="28"/>
          <w:szCs w:val="28"/>
          <w:lang w:eastAsia="zh-CN"/>
        </w:rPr>
        <w:t>为响应国家关于儿童友好型社区建设的号召，提升社区活力与居民幸福感，特开展本改造项目，以“儿童友好、生态自然、社区融合”为核心，将荔林苑门前绿化带改造升级为一个安全、舒适、多彩的童乐空间，新增3套儿童游乐设施和</w:t>
      </w:r>
      <w:r>
        <w:rPr>
          <w:rFonts w:hint="eastAsia" w:ascii="仿宋" w:hAnsi="仿宋" w:eastAsia="仿宋" w:cs="仿宋"/>
          <w:sz w:val="28"/>
          <w:szCs w:val="28"/>
          <w:lang w:val="en-US" w:eastAsia="zh-CN"/>
        </w:rPr>
        <w:t>一套骑行</w:t>
      </w:r>
      <w:r>
        <w:rPr>
          <w:rFonts w:hint="eastAsia" w:ascii="仿宋" w:hAnsi="仿宋" w:eastAsia="仿宋" w:cs="仿宋"/>
          <w:sz w:val="28"/>
          <w:szCs w:val="28"/>
          <w:lang w:eastAsia="zh-CN"/>
        </w:rPr>
        <w:t>设备，并融入自然元素，以绿叶、绿树为原型定制景观灯具、座椅，铺设防滑耐磨的橡胶地垫与错落有致的鹅卵石探索路面，满足社区儿童游戏、社交、探索、学习及亲子互动的多样化需求，提升社区环境品质，营造温馨、活力、友好的社区氛围。</w:t>
      </w:r>
      <w:r>
        <w:rPr>
          <w:rFonts w:hint="eastAsia" w:ascii="仿宋_GB2312" w:cs="Times New Roman"/>
          <w:bCs/>
          <w:color w:val="auto"/>
          <w:sz w:val="28"/>
          <w:szCs w:val="28"/>
          <w:lang w:val="en-US" w:eastAsia="zh-CN"/>
        </w:rPr>
        <w:br w:type="textWrapping"/>
      </w:r>
      <w:r>
        <w:rPr>
          <w:rFonts w:hint="eastAsia" w:ascii="仿宋_GB2312" w:cs="Times New Roman"/>
          <w:bCs/>
          <w:color w:val="auto"/>
          <w:sz w:val="28"/>
          <w:szCs w:val="28"/>
          <w:lang w:val="en-US" w:eastAsia="zh-CN"/>
        </w:rPr>
        <w:t xml:space="preserve">   </w:t>
      </w:r>
      <w:r>
        <w:rPr>
          <w:rFonts w:hint="eastAsia" w:ascii="仿宋_GB2312" w:eastAsia="仿宋_GB2312"/>
          <w:b w:val="0"/>
          <w:bCs/>
          <w:color w:val="auto"/>
          <w:sz w:val="28"/>
          <w:szCs w:val="28"/>
          <w:lang w:eastAsia="zh-CN"/>
        </w:rPr>
        <w:t>（</w:t>
      </w:r>
      <w:r>
        <w:rPr>
          <w:rFonts w:hint="eastAsia" w:ascii="仿宋_GB2312"/>
          <w:b w:val="0"/>
          <w:bCs/>
          <w:color w:val="auto"/>
          <w:sz w:val="28"/>
          <w:szCs w:val="28"/>
          <w:lang w:val="en-US" w:eastAsia="zh-CN"/>
        </w:rPr>
        <w:t>四</w:t>
      </w:r>
      <w:r>
        <w:rPr>
          <w:rFonts w:hint="eastAsia" w:ascii="仿宋_GB2312" w:eastAsia="仿宋_GB2312"/>
          <w:b w:val="0"/>
          <w:bCs/>
          <w:color w:val="auto"/>
          <w:sz w:val="28"/>
          <w:szCs w:val="28"/>
          <w:lang w:val="en-US" w:eastAsia="zh-CN"/>
        </w:rPr>
        <w:t>）</w:t>
      </w:r>
      <w:r>
        <w:rPr>
          <w:rFonts w:hint="eastAsia" w:ascii="仿宋_GB2312"/>
          <w:b w:val="0"/>
          <w:bCs/>
          <w:color w:val="auto"/>
          <w:sz w:val="28"/>
          <w:szCs w:val="28"/>
          <w:lang w:val="en-US" w:eastAsia="zh-CN"/>
        </w:rPr>
        <w:t>实施地点以及要求</w:t>
      </w:r>
    </w:p>
    <w:tbl>
      <w:tblPr>
        <w:tblStyle w:val="5"/>
        <w:tblW w:w="8356" w:type="dxa"/>
        <w:tblInd w:w="0" w:type="dxa"/>
        <w:tblBorders>
          <w:top w:val="single" w:color="DEE0E3" w:sz="6" w:space="0"/>
          <w:left w:val="single" w:color="DEE0E3" w:sz="6" w:space="0"/>
          <w:bottom w:val="single" w:color="DEE0E3" w:sz="6" w:space="0"/>
          <w:right w:val="single" w:color="DEE0E3" w:sz="6" w:space="0"/>
          <w:insideH w:val="none" w:color="auto" w:sz="0" w:space="0"/>
          <w:insideV w:val="none" w:color="auto" w:sz="0" w:space="0"/>
        </w:tblBorders>
        <w:tblLayout w:type="autofit"/>
        <w:tblCellMar>
          <w:top w:w="15" w:type="dxa"/>
          <w:left w:w="15" w:type="dxa"/>
          <w:bottom w:w="15" w:type="dxa"/>
          <w:right w:w="15" w:type="dxa"/>
        </w:tblCellMar>
      </w:tblPr>
      <w:tblGrid>
        <w:gridCol w:w="3000"/>
        <w:gridCol w:w="5356"/>
      </w:tblGrid>
      <w:tr w14:paraId="33D47F2E">
        <w:tblPrEx>
          <w:tblBorders>
            <w:top w:val="single" w:color="DEE0E3" w:sz="6" w:space="0"/>
            <w:left w:val="single" w:color="DEE0E3" w:sz="6" w:space="0"/>
            <w:bottom w:val="single" w:color="DEE0E3" w:sz="6" w:space="0"/>
            <w:right w:val="single" w:color="DEE0E3"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3000" w:type="dxa"/>
            <w:tcBorders>
              <w:top w:val="single" w:color="auto" w:sz="4" w:space="0"/>
              <w:left w:val="single" w:color="auto" w:sz="4" w:space="0"/>
              <w:bottom w:val="single" w:color="DEE0E3" w:sz="6" w:space="0"/>
              <w:right w:val="single" w:color="DEE0E3" w:sz="6" w:space="0"/>
            </w:tcBorders>
            <w:tcMar>
              <w:top w:w="135" w:type="dxa"/>
              <w:left w:w="120" w:type="dxa"/>
              <w:bottom w:w="135" w:type="dxa"/>
              <w:right w:w="120" w:type="dxa"/>
            </w:tcMar>
          </w:tcPr>
          <w:p w14:paraId="3DC02C2E">
            <w:pPr>
              <w:rPr>
                <w:rFonts w:hint="eastAsia"/>
              </w:rPr>
            </w:pPr>
            <w:r>
              <w:t>实施周期</w:t>
            </w:r>
          </w:p>
        </w:tc>
        <w:tc>
          <w:tcPr>
            <w:tcW w:w="5356" w:type="dxa"/>
            <w:tcBorders>
              <w:top w:val="single" w:color="auto" w:sz="4" w:space="0"/>
              <w:left w:val="single" w:color="DEE0E3" w:sz="6" w:space="0"/>
              <w:bottom w:val="single" w:color="DEE0E3" w:sz="6" w:space="0"/>
              <w:right w:val="single" w:color="auto" w:sz="4" w:space="0"/>
            </w:tcBorders>
            <w:tcMar>
              <w:top w:w="135" w:type="dxa"/>
              <w:left w:w="120" w:type="dxa"/>
              <w:bottom w:w="135" w:type="dxa"/>
              <w:right w:w="120" w:type="dxa"/>
            </w:tcMar>
          </w:tcPr>
          <w:p w14:paraId="3B7E8DAC">
            <w:pPr>
              <w:jc w:val="center"/>
              <w:rPr>
                <w:rFonts w:hint="default" w:eastAsia="仿宋_GB2312"/>
                <w:lang w:val="en-US" w:eastAsia="zh-CN"/>
              </w:rPr>
            </w:pPr>
            <w:r>
              <w:rPr>
                <w:rFonts w:hint="eastAsia" w:ascii="方正仿宋_GB2312" w:hAnsi="方正仿宋_GB2312" w:eastAsia="方正仿宋_GB2312" w:cs="方正仿宋_GB2312"/>
                <w:lang w:val="en-US" w:eastAsia="zh-CN"/>
              </w:rPr>
              <w:t>2025年12月-2026年3月</w:t>
            </w:r>
          </w:p>
        </w:tc>
      </w:tr>
      <w:tr w14:paraId="678BDADF">
        <w:tblPrEx>
          <w:tblBorders>
            <w:top w:val="single" w:color="DEE0E3" w:sz="6" w:space="0"/>
            <w:left w:val="single" w:color="DEE0E3" w:sz="6" w:space="0"/>
            <w:bottom w:val="single" w:color="DEE0E3" w:sz="6" w:space="0"/>
            <w:right w:val="single" w:color="DEE0E3"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3000" w:type="dxa"/>
            <w:tcBorders>
              <w:top w:val="single" w:color="DEE0E3" w:sz="6" w:space="0"/>
              <w:left w:val="single" w:color="auto" w:sz="4" w:space="0"/>
              <w:bottom w:val="single" w:color="DEE0E3" w:sz="6" w:space="0"/>
              <w:right w:val="single" w:color="DEE0E3" w:sz="6" w:space="0"/>
            </w:tcBorders>
            <w:tcMar>
              <w:top w:w="135" w:type="dxa"/>
              <w:left w:w="120" w:type="dxa"/>
              <w:bottom w:w="135" w:type="dxa"/>
              <w:right w:w="120" w:type="dxa"/>
            </w:tcMar>
          </w:tcPr>
          <w:p w14:paraId="76919B7D">
            <w:pPr>
              <w:rPr>
                <w:rFonts w:hint="eastAsia" w:eastAsia="仿宋_GB2312"/>
                <w:lang w:eastAsia="zh-CN"/>
              </w:rPr>
            </w:pPr>
            <w:r>
              <w:rPr>
                <w:rFonts w:hint="eastAsia"/>
                <w:lang w:val="en-US" w:eastAsia="zh-CN"/>
              </w:rPr>
              <w:t>实施地点</w:t>
            </w:r>
          </w:p>
        </w:tc>
        <w:tc>
          <w:tcPr>
            <w:tcW w:w="5356" w:type="dxa"/>
            <w:tcBorders>
              <w:top w:val="single" w:color="DEE0E3" w:sz="6" w:space="0"/>
              <w:left w:val="single" w:color="DEE0E3" w:sz="6" w:space="0"/>
              <w:bottom w:val="single" w:color="DEE0E3" w:sz="6" w:space="0"/>
              <w:right w:val="single" w:color="auto" w:sz="4" w:space="0"/>
            </w:tcBorders>
            <w:tcMar>
              <w:top w:w="135" w:type="dxa"/>
              <w:left w:w="120" w:type="dxa"/>
              <w:bottom w:w="135" w:type="dxa"/>
              <w:right w:w="120" w:type="dxa"/>
            </w:tcMar>
          </w:tcPr>
          <w:p w14:paraId="08670721">
            <w:pPr>
              <w:numPr>
                <w:ilvl w:val="0"/>
                <w:numId w:val="0"/>
              </w:numPr>
              <w:jc w:val="center"/>
              <w:rPr>
                <w:rFonts w:hint="default" w:eastAsia="仿宋_GB2312"/>
                <w:lang w:val="en-US" w:eastAsia="zh-CN"/>
              </w:rPr>
            </w:pPr>
            <w:r>
              <w:rPr>
                <w:rFonts w:hint="eastAsia" w:ascii="仿宋_GB2312" w:eastAsia="仿宋_GB2312" w:cs="Times New Roman"/>
                <w:bCs/>
                <w:color w:val="auto"/>
                <w:sz w:val="28"/>
                <w:szCs w:val="28"/>
                <w:lang w:val="en-US" w:eastAsia="zh-CN"/>
              </w:rPr>
              <w:t>荔林苑门前绿化带</w:t>
            </w:r>
          </w:p>
        </w:tc>
      </w:tr>
      <w:tr w14:paraId="47FD2494">
        <w:tblPrEx>
          <w:tblBorders>
            <w:top w:val="single" w:color="DEE0E3" w:sz="6" w:space="0"/>
            <w:left w:val="single" w:color="DEE0E3" w:sz="6" w:space="0"/>
            <w:bottom w:val="single" w:color="DEE0E3" w:sz="6" w:space="0"/>
            <w:right w:val="single" w:color="DEE0E3" w:sz="6"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3000" w:type="dxa"/>
            <w:tcBorders>
              <w:top w:val="single" w:color="DEE0E3" w:sz="6" w:space="0"/>
              <w:left w:val="single" w:color="auto" w:sz="4" w:space="0"/>
              <w:bottom w:val="single" w:color="auto" w:sz="4" w:space="0"/>
              <w:right w:val="single" w:color="DEE0E3" w:sz="6" w:space="0"/>
            </w:tcBorders>
            <w:tcMar>
              <w:top w:w="135" w:type="dxa"/>
              <w:left w:w="120" w:type="dxa"/>
              <w:bottom w:w="135" w:type="dxa"/>
              <w:right w:w="120" w:type="dxa"/>
            </w:tcMar>
          </w:tcPr>
          <w:p w14:paraId="7253E23B">
            <w:pPr>
              <w:rPr>
                <w:rFonts w:hint="default" w:eastAsia="仿宋_GB2312"/>
                <w:lang w:val="en-US" w:eastAsia="zh-CN"/>
              </w:rPr>
            </w:pPr>
            <w:r>
              <w:rPr>
                <w:rFonts w:hint="eastAsia"/>
                <w:lang w:val="en-US" w:eastAsia="zh-CN"/>
              </w:rPr>
              <w:t>实施目标</w:t>
            </w:r>
          </w:p>
        </w:tc>
        <w:tc>
          <w:tcPr>
            <w:tcW w:w="5356" w:type="dxa"/>
            <w:tcBorders>
              <w:top w:val="single" w:color="DEE0E3" w:sz="6" w:space="0"/>
              <w:left w:val="single" w:color="DEE0E3" w:sz="6" w:space="0"/>
              <w:bottom w:val="single" w:color="auto" w:sz="4" w:space="0"/>
              <w:right w:val="single" w:color="auto" w:sz="4" w:space="0"/>
            </w:tcBorders>
            <w:tcMar>
              <w:top w:w="135" w:type="dxa"/>
              <w:left w:w="120" w:type="dxa"/>
              <w:bottom w:w="135" w:type="dxa"/>
              <w:right w:w="120" w:type="dxa"/>
            </w:tcMar>
          </w:tcPr>
          <w:p w14:paraId="5A7C61AD">
            <w:pPr>
              <w:pStyle w:val="2"/>
              <w:numPr>
                <w:ilvl w:val="0"/>
                <w:numId w:val="0"/>
              </w:numPr>
              <w:ind w:leftChars="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新增安装以下设备：</w:t>
            </w:r>
            <w:r>
              <w:rPr>
                <w:rFonts w:hint="eastAsia" w:ascii="仿宋" w:hAnsi="仿宋" w:eastAsia="仿宋" w:cs="仿宋"/>
                <w:b w:val="0"/>
                <w:bCs w:val="0"/>
                <w:sz w:val="28"/>
                <w:szCs w:val="28"/>
                <w:lang w:val="en-US" w:eastAsia="zh-CN"/>
              </w:rPr>
              <w:br w:type="textWrapping"/>
            </w:r>
            <w:r>
              <w:rPr>
                <w:rFonts w:hint="eastAsia" w:ascii="仿宋" w:hAnsi="仿宋" w:eastAsia="仿宋" w:cs="仿宋"/>
                <w:b w:val="0"/>
                <w:bCs w:val="0"/>
                <w:sz w:val="28"/>
                <w:szCs w:val="28"/>
                <w:lang w:val="en-US" w:eastAsia="zh-CN"/>
              </w:rPr>
              <w:t>新增安装:</w:t>
            </w:r>
          </w:p>
          <w:p w14:paraId="36086486">
            <w:pPr>
              <w:pStyle w:val="2"/>
              <w:numPr>
                <w:ilvl w:val="0"/>
                <w:numId w:val="0"/>
              </w:numPr>
              <w:ind w:leftChars="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1、智能骑行竞赛设备一套。</w:t>
            </w:r>
          </w:p>
          <w:p w14:paraId="017396D9">
            <w:pPr>
              <w:pStyle w:val="2"/>
              <w:numPr>
                <w:ilvl w:val="0"/>
                <w:numId w:val="0"/>
              </w:numPr>
              <w:rPr>
                <w:rFonts w:hint="eastAsia" w:ascii="仿宋" w:hAnsi="仿宋" w:eastAsia="仿宋" w:cs="仿宋"/>
                <w:b w:val="0"/>
                <w:bCs w:val="0"/>
                <w:sz w:val="28"/>
                <w:szCs w:val="28"/>
                <w:lang w:val="en-US" w:eastAsia="zh-CN"/>
              </w:rPr>
            </w:pPr>
            <w:r>
              <w:rPr>
                <w:rFonts w:hint="eastAsia" w:ascii="仿宋" w:hAnsi="仿宋" w:eastAsia="仿宋" w:cs="仿宋"/>
                <w:b w:val="0"/>
                <w:bCs w:val="0"/>
                <w:kern w:val="2"/>
                <w:sz w:val="28"/>
                <w:szCs w:val="28"/>
                <w:lang w:val="en-US" w:eastAsia="zh-CN" w:bidi="ar-SA"/>
              </w:rPr>
              <w:t>2、</w:t>
            </w:r>
            <w:r>
              <w:rPr>
                <w:rFonts w:hint="eastAsia" w:ascii="仿宋" w:hAnsi="仿宋" w:eastAsia="仿宋" w:cs="仿宋"/>
                <w:b w:val="0"/>
                <w:bCs w:val="0"/>
                <w:sz w:val="28"/>
                <w:szCs w:val="28"/>
                <w:lang w:val="en-US" w:eastAsia="zh-CN"/>
              </w:rPr>
              <w:t>智能设施杆：1套。</w:t>
            </w:r>
          </w:p>
          <w:p w14:paraId="76008370">
            <w:pPr>
              <w:pStyle w:val="2"/>
              <w:numPr>
                <w:ilvl w:val="0"/>
                <w:numId w:val="0"/>
              </w:numPr>
              <w:rPr>
                <w:rFonts w:hint="default" w:ascii="仿宋" w:hAnsi="仿宋" w:eastAsia="仿宋" w:cs="仿宋"/>
                <w:b w:val="0"/>
                <w:bCs w:val="0"/>
                <w:sz w:val="28"/>
                <w:szCs w:val="28"/>
                <w:lang w:val="en-US" w:eastAsia="zh-CN"/>
              </w:rPr>
            </w:pPr>
            <w:r>
              <w:rPr>
                <w:rFonts w:hint="default" w:ascii="仿宋" w:hAnsi="仿宋" w:eastAsia="仿宋" w:cs="仿宋"/>
                <w:b w:val="0"/>
                <w:bCs w:val="0"/>
                <w:kern w:val="2"/>
                <w:sz w:val="28"/>
                <w:szCs w:val="28"/>
                <w:lang w:val="en-US" w:eastAsia="zh-CN" w:bidi="ar-SA"/>
              </w:rPr>
              <w:t>3、</w:t>
            </w:r>
            <w:r>
              <w:rPr>
                <w:rFonts w:hint="eastAsia" w:ascii="仿宋" w:hAnsi="仿宋" w:eastAsia="仿宋" w:cs="仿宋"/>
                <w:b w:val="0"/>
                <w:bCs w:val="0"/>
                <w:sz w:val="28"/>
                <w:szCs w:val="28"/>
                <w:lang w:val="en-US" w:eastAsia="zh-CN"/>
              </w:rPr>
              <w:t>户外智能座椅1套。</w:t>
            </w:r>
          </w:p>
          <w:p w14:paraId="5B183B46">
            <w:pPr>
              <w:pStyle w:val="2"/>
              <w:numPr>
                <w:ilvl w:val="0"/>
                <w:numId w:val="0"/>
              </w:numPr>
              <w:rPr>
                <w:rFonts w:hint="eastAsia" w:ascii="仿宋" w:hAnsi="仿宋" w:eastAsia="仿宋" w:cs="仿宋"/>
                <w:b w:val="0"/>
                <w:bCs w:val="0"/>
                <w:sz w:val="28"/>
                <w:szCs w:val="28"/>
                <w:lang w:val="en-US" w:eastAsia="zh-CN"/>
              </w:rPr>
            </w:pPr>
            <w:r>
              <w:rPr>
                <w:rFonts w:hint="default" w:ascii="仿宋" w:hAnsi="仿宋" w:eastAsia="仿宋" w:cs="仿宋"/>
                <w:b w:val="0"/>
                <w:bCs w:val="0"/>
                <w:kern w:val="2"/>
                <w:sz w:val="28"/>
                <w:szCs w:val="28"/>
                <w:lang w:val="en-US" w:eastAsia="zh-CN" w:bidi="ar-SA"/>
              </w:rPr>
              <w:t>4、</w:t>
            </w:r>
            <w:r>
              <w:rPr>
                <w:rFonts w:hint="eastAsia" w:ascii="仿宋" w:hAnsi="仿宋" w:eastAsia="仿宋" w:cs="仿宋"/>
                <w:b w:val="0"/>
                <w:bCs w:val="0"/>
                <w:sz w:val="28"/>
                <w:szCs w:val="28"/>
                <w:lang w:val="en-US" w:eastAsia="zh-CN"/>
              </w:rPr>
              <w:t>儿童摇摇马：3套。</w:t>
            </w:r>
          </w:p>
          <w:p w14:paraId="0C77E8DC">
            <w:pPr>
              <w:pStyle w:val="2"/>
              <w:numPr>
                <w:ilvl w:val="0"/>
                <w:numId w:val="0"/>
              </w:numPr>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5</w:t>
            </w:r>
            <w:r>
              <w:rPr>
                <w:rFonts w:hint="default" w:ascii="仿宋" w:hAnsi="仿宋" w:eastAsia="仿宋" w:cs="仿宋"/>
                <w:b w:val="0"/>
                <w:bCs w:val="0"/>
                <w:kern w:val="2"/>
                <w:sz w:val="28"/>
                <w:szCs w:val="28"/>
                <w:lang w:val="en-US" w:eastAsia="zh-CN" w:bidi="ar-SA"/>
              </w:rPr>
              <w:t>、</w:t>
            </w:r>
            <w:r>
              <w:rPr>
                <w:rFonts w:hint="eastAsia" w:ascii="仿宋" w:hAnsi="仿宋" w:eastAsia="仿宋" w:cs="仿宋"/>
                <w:b w:val="0"/>
                <w:bCs w:val="0"/>
                <w:sz w:val="28"/>
                <w:szCs w:val="28"/>
                <w:lang w:val="en-US" w:eastAsia="zh-CN"/>
              </w:rPr>
              <w:t>四人跷跷板：1套。</w:t>
            </w:r>
          </w:p>
          <w:p w14:paraId="65D840BA">
            <w:pPr>
              <w:pStyle w:val="2"/>
              <w:numPr>
                <w:ilvl w:val="0"/>
                <w:numId w:val="0"/>
              </w:numPr>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6、双人跷跷板：2套。</w:t>
            </w:r>
          </w:p>
          <w:p w14:paraId="2020D6A0">
            <w:pPr>
              <w:pStyle w:val="2"/>
              <w:numPr>
                <w:ilvl w:val="0"/>
                <w:numId w:val="0"/>
              </w:numPr>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7、休闲座椅：2套。</w:t>
            </w:r>
          </w:p>
          <w:p w14:paraId="3706E22C">
            <w:pPr>
              <w:pStyle w:val="2"/>
              <w:numPr>
                <w:ilvl w:val="0"/>
                <w:numId w:val="0"/>
              </w:numPr>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8、鹅卵石步道。</w:t>
            </w:r>
          </w:p>
          <w:p w14:paraId="4A35AED1">
            <w:pPr>
              <w:pStyle w:val="2"/>
              <w:numPr>
                <w:ilvl w:val="0"/>
                <w:numId w:val="0"/>
              </w:numP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9、EPDM 地垫。</w:t>
            </w:r>
          </w:p>
          <w:p w14:paraId="127C767D">
            <w:pPr>
              <w:pStyle w:val="2"/>
              <w:numPr>
                <w:ilvl w:val="0"/>
                <w:numId w:val="0"/>
              </w:numPr>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10、入口指引标识牌。</w:t>
            </w:r>
          </w:p>
        </w:tc>
      </w:tr>
    </w:tbl>
    <w:p w14:paraId="3EFED1E4">
      <w:pPr>
        <w:numPr>
          <w:ilvl w:val="0"/>
          <w:numId w:val="0"/>
        </w:numPr>
        <w:ind w:firstLine="560" w:firstLineChars="200"/>
        <w:rPr>
          <w:rFonts w:hint="default"/>
          <w:b/>
          <w:bCs/>
          <w:lang w:val="en-US"/>
        </w:rPr>
      </w:pPr>
      <w:r>
        <w:rPr>
          <w:rFonts w:hint="eastAsia" w:ascii="仿宋_GB2312" w:eastAsia="仿宋_GB2312"/>
          <w:b w:val="0"/>
          <w:bCs/>
          <w:color w:val="auto"/>
          <w:sz w:val="28"/>
          <w:szCs w:val="28"/>
          <w:lang w:eastAsia="zh-CN"/>
        </w:rPr>
        <w:t>（</w:t>
      </w:r>
      <w:r>
        <w:rPr>
          <w:rFonts w:hint="eastAsia" w:ascii="仿宋_GB2312"/>
          <w:b w:val="0"/>
          <w:bCs/>
          <w:color w:val="auto"/>
          <w:sz w:val="28"/>
          <w:szCs w:val="28"/>
          <w:lang w:val="en-US" w:eastAsia="zh-CN"/>
        </w:rPr>
        <w:t>五</w:t>
      </w:r>
      <w:r>
        <w:rPr>
          <w:rFonts w:hint="eastAsia" w:ascii="仿宋_GB2312" w:eastAsia="仿宋_GB2312"/>
          <w:b w:val="0"/>
          <w:bCs/>
          <w:color w:val="auto"/>
          <w:sz w:val="28"/>
          <w:szCs w:val="28"/>
          <w:lang w:val="en-US" w:eastAsia="zh-CN"/>
        </w:rPr>
        <w:t>）</w:t>
      </w:r>
      <w:r>
        <w:rPr>
          <w:rFonts w:hint="eastAsia" w:ascii="仿宋_GB2312"/>
          <w:b w:val="0"/>
          <w:bCs/>
          <w:color w:val="auto"/>
          <w:sz w:val="28"/>
          <w:szCs w:val="28"/>
          <w:lang w:val="en-US" w:eastAsia="zh-CN"/>
        </w:rPr>
        <w:t>安装意向图</w:t>
      </w:r>
    </w:p>
    <w:p w14:paraId="354B9F4F">
      <w:pPr>
        <w:numPr>
          <w:ilvl w:val="0"/>
          <w:numId w:val="0"/>
        </w:numPr>
        <w:ind w:firstLine="560" w:firstLineChars="200"/>
        <w:rPr>
          <w:rFonts w:hint="default"/>
          <w:b/>
          <w:bCs/>
          <w:lang w:val="en-US"/>
        </w:rPr>
      </w:pPr>
      <w:r>
        <w:drawing>
          <wp:anchor distT="0" distB="0" distL="114300" distR="114300" simplePos="0" relativeHeight="251659264" behindDoc="0" locked="0" layoutInCell="1" allowOverlap="1">
            <wp:simplePos x="0" y="0"/>
            <wp:positionH relativeFrom="column">
              <wp:posOffset>-127000</wp:posOffset>
            </wp:positionH>
            <wp:positionV relativeFrom="paragraph">
              <wp:posOffset>27940</wp:posOffset>
            </wp:positionV>
            <wp:extent cx="5259070" cy="4567555"/>
            <wp:effectExtent l="0" t="0" r="17780" b="444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59070" cy="4567555"/>
                    </a:xfrm>
                    <a:prstGeom prst="rect">
                      <a:avLst/>
                    </a:prstGeom>
                    <a:noFill/>
                    <a:ln>
                      <a:noFill/>
                    </a:ln>
                  </pic:spPr>
                </pic:pic>
              </a:graphicData>
            </a:graphic>
          </wp:anchor>
        </w:drawing>
      </w:r>
    </w:p>
    <w:p w14:paraId="6E1540E7">
      <w:pPr>
        <w:keepNext w:val="0"/>
        <w:keepLines w:val="0"/>
        <w:pageBreakBefore w:val="0"/>
        <w:widowControl/>
        <w:numPr>
          <w:ilvl w:val="0"/>
          <w:numId w:val="0"/>
        </w:numPr>
        <w:kinsoku/>
        <w:wordWrap/>
        <w:overflowPunct/>
        <w:topLinePunct w:val="0"/>
        <w:autoSpaceDE/>
        <w:autoSpaceDN/>
        <w:bidi w:val="0"/>
        <w:snapToGrid w:val="0"/>
        <w:spacing w:line="560" w:lineRule="exact"/>
        <w:ind w:firstLine="560" w:firstLineChars="200"/>
        <w:textAlignment w:val="auto"/>
        <w:rPr>
          <w:rFonts w:hint="default" w:ascii="仿宋_GB2312" w:eastAsia="仿宋_GB2312"/>
          <w:b w:val="0"/>
          <w:bCs/>
          <w:color w:val="auto"/>
          <w:sz w:val="28"/>
          <w:szCs w:val="28"/>
          <w:lang w:val="en-US" w:eastAsia="zh-CN"/>
        </w:rPr>
      </w:pPr>
    </w:p>
    <w:p w14:paraId="3647C8CD">
      <w:pPr>
        <w:pStyle w:val="2"/>
        <w:rPr>
          <w:rFonts w:hint="default" w:ascii="仿宋_GB2312" w:eastAsia="仿宋_GB2312"/>
          <w:b w:val="0"/>
          <w:bCs/>
          <w:color w:val="auto"/>
          <w:sz w:val="28"/>
          <w:szCs w:val="28"/>
          <w:lang w:val="en-US" w:eastAsia="zh-CN"/>
        </w:rPr>
      </w:pPr>
    </w:p>
    <w:p w14:paraId="1C3487AD">
      <w:pPr>
        <w:pStyle w:val="2"/>
        <w:rPr>
          <w:rFonts w:hint="default" w:ascii="仿宋_GB2312" w:eastAsia="仿宋_GB2312"/>
          <w:b w:val="0"/>
          <w:bCs/>
          <w:color w:val="auto"/>
          <w:sz w:val="28"/>
          <w:szCs w:val="28"/>
          <w:lang w:val="en-US" w:eastAsia="zh-CN"/>
        </w:rPr>
      </w:pPr>
    </w:p>
    <w:p w14:paraId="30F923FF">
      <w:pPr>
        <w:pStyle w:val="2"/>
        <w:ind w:left="0" w:leftChars="0" w:firstLine="0" w:firstLineChars="0"/>
        <w:rPr>
          <w:rFonts w:hint="default" w:ascii="仿宋_GB2312" w:eastAsia="仿宋_GB2312"/>
          <w:b w:val="0"/>
          <w:bCs/>
          <w:color w:val="auto"/>
          <w:sz w:val="28"/>
          <w:szCs w:val="28"/>
          <w:lang w:val="en-US" w:eastAsia="zh-CN"/>
        </w:rPr>
      </w:pPr>
    </w:p>
    <w:p w14:paraId="0B8D22BB">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rPr>
        <w:t>二、项目</w:t>
      </w:r>
      <w:r>
        <w:rPr>
          <w:rFonts w:hint="eastAsia" w:ascii="黑体" w:hAnsi="黑体" w:eastAsia="黑体" w:cs="黑体"/>
          <w:b w:val="0"/>
          <w:bCs/>
          <w:color w:val="auto"/>
          <w:sz w:val="28"/>
          <w:szCs w:val="28"/>
          <w:lang w:eastAsia="zh-CN"/>
        </w:rPr>
        <w:t>目</w:t>
      </w:r>
      <w:r>
        <w:rPr>
          <w:rFonts w:hint="eastAsia" w:ascii="黑体" w:hAnsi="黑体" w:eastAsia="黑体" w:cs="黑体"/>
          <w:b w:val="0"/>
          <w:bCs/>
          <w:color w:val="auto"/>
          <w:sz w:val="28"/>
          <w:szCs w:val="28"/>
          <w:lang w:val="en-US" w:eastAsia="zh-CN"/>
        </w:rPr>
        <w:t>标</w:t>
      </w:r>
    </w:p>
    <w:p w14:paraId="124F10D4">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Theme="minorEastAsia" w:hAnsiTheme="minorEastAsia" w:eastAsiaTheme="minorEastAsia" w:cstheme="minorEastAsia"/>
          <w:i w:val="0"/>
          <w:iCs w:val="0"/>
          <w:caps w:val="0"/>
          <w:color w:val="0F1115"/>
          <w:spacing w:val="0"/>
          <w:sz w:val="28"/>
          <w:szCs w:val="28"/>
          <w:shd w:val="clear" w:fill="FFFFFF"/>
        </w:rPr>
      </w:pPr>
      <w:r>
        <w:rPr>
          <w:rFonts w:hint="eastAsia" w:asciiTheme="minorEastAsia" w:hAnsiTheme="minorEastAsia" w:eastAsiaTheme="minorEastAsia" w:cstheme="minorEastAsia"/>
          <w:i w:val="0"/>
          <w:iCs w:val="0"/>
          <w:caps w:val="0"/>
          <w:color w:val="0F1115"/>
          <w:spacing w:val="0"/>
          <w:sz w:val="28"/>
          <w:szCs w:val="28"/>
          <w:shd w:val="clear" w:fill="FFFFFF"/>
        </w:rPr>
        <w:t>项目通过物理空间改造+社区赋能，实现“儿童开心、家长省心、社区暖心”三重价值，为儿童营造安全探索、快乐成长的空间，为双职工家庭、祖辈照料者提供“家门口”的放心托管空间，打造成社区“育儿社交枢纽”，成为激活社区活力和凝聚力的“微笑引擎”，提升居民的归属感与幸福感。本项目不仅是一次环境升级，更为城市闲置区域微更新提供一套可复制、可持续的民生实践样板。</w:t>
      </w:r>
    </w:p>
    <w:p w14:paraId="60E5BAF7">
      <w:pPr>
        <w:pStyle w:val="2"/>
        <w:rPr>
          <w:rFonts w:hint="eastAsia"/>
        </w:rPr>
      </w:pPr>
    </w:p>
    <w:p w14:paraId="4F39E913">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三、商务需求</w:t>
      </w:r>
    </w:p>
    <w:p w14:paraId="1482D442">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default" w:ascii="黑体" w:hAnsi="黑体" w:eastAsia="黑体" w:cs="黑体"/>
          <w:b w:val="0"/>
          <w:bCs/>
          <w:color w:val="auto"/>
          <w:sz w:val="28"/>
          <w:szCs w:val="28"/>
          <w:lang w:val="en-US"/>
        </w:rPr>
      </w:pPr>
      <w:r>
        <w:rPr>
          <w:rFonts w:hint="eastAsia" w:ascii="仿宋_GB2312" w:eastAsia="仿宋_GB2312"/>
          <w:b w:val="0"/>
          <w:bCs/>
          <w:color w:val="auto"/>
          <w:sz w:val="28"/>
          <w:szCs w:val="28"/>
          <w:lang w:eastAsia="zh-CN"/>
        </w:rPr>
        <w:t>（一）</w:t>
      </w:r>
      <w:r>
        <w:rPr>
          <w:rFonts w:hint="eastAsia" w:ascii="仿宋_GB2312" w:eastAsia="仿宋_GB2312"/>
          <w:b w:val="0"/>
          <w:bCs/>
          <w:color w:val="auto"/>
          <w:sz w:val="28"/>
          <w:szCs w:val="28"/>
        </w:rPr>
        <w:t>服务期：</w:t>
      </w:r>
      <w:r>
        <w:rPr>
          <w:rFonts w:hint="eastAsia" w:ascii="仿宋_GB2312" w:eastAsia="仿宋_GB2312"/>
          <w:b w:val="0"/>
          <w:bCs/>
          <w:color w:val="auto"/>
          <w:sz w:val="28"/>
          <w:szCs w:val="28"/>
          <w:lang w:eastAsia="zh-CN"/>
        </w:rPr>
        <w:t>（根据具体情况制定）</w:t>
      </w:r>
      <w:r>
        <w:rPr>
          <w:rFonts w:hint="eastAsia" w:ascii="仿宋_GB2312"/>
          <w:b w:val="0"/>
          <w:bCs/>
          <w:color w:val="auto"/>
          <w:sz w:val="28"/>
          <w:szCs w:val="28"/>
          <w:lang w:val="en-US" w:eastAsia="zh-CN"/>
        </w:rPr>
        <w:t>2025年12月--2026年3月</w:t>
      </w:r>
    </w:p>
    <w:p w14:paraId="35AE540E">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eastAsia="zh-CN"/>
        </w:rPr>
        <w:t>（二）</w:t>
      </w:r>
      <w:r>
        <w:rPr>
          <w:rFonts w:hint="eastAsia" w:ascii="仿宋_GB2312" w:eastAsia="仿宋_GB2312"/>
          <w:b w:val="0"/>
          <w:bCs/>
          <w:color w:val="auto"/>
          <w:sz w:val="28"/>
          <w:szCs w:val="28"/>
        </w:rPr>
        <w:t>服务地点：</w:t>
      </w:r>
      <w:r>
        <w:rPr>
          <w:rFonts w:hint="eastAsia" w:ascii="仿宋_GB2312"/>
          <w:b w:val="0"/>
          <w:bCs/>
          <w:color w:val="auto"/>
          <w:sz w:val="28"/>
          <w:szCs w:val="28"/>
          <w:lang w:val="en-US" w:eastAsia="zh-CN"/>
        </w:rPr>
        <w:t>香蜜湖街道</w:t>
      </w:r>
      <w:r>
        <w:rPr>
          <w:rFonts w:hint="eastAsia" w:ascii="仿宋_GB2312" w:eastAsia="仿宋_GB2312"/>
          <w:b w:val="0"/>
          <w:bCs/>
          <w:color w:val="auto"/>
          <w:sz w:val="28"/>
          <w:szCs w:val="28"/>
        </w:rPr>
        <w:t>。</w:t>
      </w:r>
    </w:p>
    <w:p w14:paraId="1B80BF46">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eastAsia="zh-CN"/>
        </w:rPr>
        <w:t>（三）</w:t>
      </w:r>
      <w:r>
        <w:rPr>
          <w:rFonts w:hint="eastAsia" w:ascii="仿宋_GB2312" w:eastAsia="仿宋_GB2312"/>
          <w:b w:val="0"/>
          <w:bCs/>
          <w:color w:val="auto"/>
          <w:sz w:val="28"/>
          <w:szCs w:val="28"/>
        </w:rPr>
        <w:t>报价要求：</w:t>
      </w:r>
    </w:p>
    <w:p w14:paraId="536147DB">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1.</w:t>
      </w:r>
      <w:r>
        <w:rPr>
          <w:rFonts w:hint="eastAsia" w:ascii="仿宋_GB2312" w:eastAsia="仿宋_GB2312"/>
          <w:b w:val="0"/>
          <w:bCs/>
          <w:color w:val="auto"/>
          <w:sz w:val="28"/>
          <w:szCs w:val="28"/>
        </w:rPr>
        <w:t>本项目服务费采用包干制，应包括服务成本、法定税费和企业的利润。由响应人根据采购文件所提供的资料自行测算投标报价；</w:t>
      </w:r>
      <w:r>
        <w:rPr>
          <w:rFonts w:hint="eastAsia" w:ascii="仿宋_GB2312" w:eastAsia="仿宋_GB2312"/>
          <w:b w:val="0"/>
          <w:bCs/>
          <w:color w:val="auto"/>
          <w:sz w:val="28"/>
          <w:szCs w:val="28"/>
          <w:lang w:val="en-US" w:eastAsia="zh-CN"/>
        </w:rPr>
        <w:t>响应人需知悉，合同签订金额以采购人聘请的第三方会计师事务所审核价格为准</w:t>
      </w:r>
      <w:r>
        <w:rPr>
          <w:rFonts w:hint="eastAsia" w:ascii="仿宋_GB2312" w:eastAsia="仿宋_GB2312"/>
          <w:b w:val="0"/>
          <w:bCs/>
          <w:color w:val="auto"/>
          <w:sz w:val="28"/>
          <w:szCs w:val="28"/>
        </w:rPr>
        <w:t>；</w:t>
      </w:r>
    </w:p>
    <w:p w14:paraId="301EFC68">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2.</w:t>
      </w:r>
      <w:r>
        <w:rPr>
          <w:rFonts w:hint="eastAsia" w:ascii="仿宋_GB2312" w:eastAsia="仿宋_GB2312"/>
          <w:b w:val="0"/>
          <w:bCs/>
          <w:color w:val="auto"/>
          <w:sz w:val="28"/>
          <w:szCs w:val="28"/>
        </w:rPr>
        <w:t>响应人应根据本企业的成本自行决定报价，但不得以低于其企业成本的报价投标；</w:t>
      </w:r>
    </w:p>
    <w:p w14:paraId="35E3D89F">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3.</w:t>
      </w:r>
      <w:r>
        <w:rPr>
          <w:rFonts w:hint="eastAsia" w:ascii="仿宋_GB2312" w:eastAsia="仿宋_GB2312"/>
          <w:b w:val="0"/>
          <w:bCs/>
          <w:color w:val="auto"/>
          <w:sz w:val="28"/>
          <w:szCs w:val="28"/>
        </w:rPr>
        <w:t>响应人的报价不得超过</w:t>
      </w:r>
      <w:r>
        <w:rPr>
          <w:rFonts w:hint="eastAsia" w:ascii="仿宋_GB2312" w:eastAsia="仿宋_GB2312"/>
          <w:b w:val="0"/>
          <w:bCs/>
          <w:color w:val="auto"/>
          <w:sz w:val="28"/>
          <w:szCs w:val="28"/>
          <w:lang w:eastAsia="zh-CN"/>
        </w:rPr>
        <w:t>项目</w:t>
      </w:r>
      <w:r>
        <w:rPr>
          <w:rFonts w:hint="eastAsia" w:ascii="仿宋_GB2312" w:eastAsia="仿宋_GB2312"/>
          <w:b w:val="0"/>
          <w:bCs/>
          <w:color w:val="auto"/>
          <w:sz w:val="28"/>
          <w:szCs w:val="28"/>
        </w:rPr>
        <w:t>预算</w:t>
      </w:r>
      <w:r>
        <w:rPr>
          <w:rFonts w:hint="eastAsia" w:ascii="仿宋_GB2312" w:eastAsia="仿宋_GB2312"/>
          <w:b w:val="0"/>
          <w:bCs/>
          <w:color w:val="auto"/>
          <w:sz w:val="28"/>
          <w:szCs w:val="28"/>
          <w:lang w:eastAsia="zh-CN"/>
        </w:rPr>
        <w:t>金额</w:t>
      </w:r>
      <w:r>
        <w:rPr>
          <w:rFonts w:hint="eastAsia" w:ascii="仿宋_GB2312" w:eastAsia="仿宋_GB2312"/>
          <w:b w:val="0"/>
          <w:bCs/>
          <w:color w:val="auto"/>
          <w:sz w:val="28"/>
          <w:szCs w:val="28"/>
        </w:rPr>
        <w:t>；</w:t>
      </w:r>
    </w:p>
    <w:p w14:paraId="5F80AF08">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4.</w:t>
      </w:r>
      <w:r>
        <w:rPr>
          <w:rFonts w:hint="eastAsia" w:ascii="仿宋_GB2312" w:eastAsia="仿宋_GB2312"/>
          <w:b w:val="0"/>
          <w:bCs/>
          <w:color w:val="auto"/>
          <w:sz w:val="28"/>
          <w:szCs w:val="28"/>
        </w:rPr>
        <w:t>响应人的报价，应是本项目采购范围和采购文件及合同条款上所列的各项内容中所述的全部，不得以任何理由予以重复，并以响应人最终提出的综合单价或</w:t>
      </w:r>
      <w:r>
        <w:rPr>
          <w:rFonts w:hint="eastAsia" w:ascii="仿宋_GB2312" w:eastAsia="仿宋_GB2312"/>
          <w:b w:val="0"/>
          <w:bCs/>
          <w:color w:val="auto"/>
          <w:sz w:val="28"/>
          <w:szCs w:val="28"/>
          <w:lang w:eastAsia="zh-CN"/>
        </w:rPr>
        <w:t>者</w:t>
      </w:r>
      <w:r>
        <w:rPr>
          <w:rFonts w:hint="eastAsia" w:ascii="仿宋_GB2312" w:eastAsia="仿宋_GB2312"/>
          <w:b w:val="0"/>
          <w:bCs/>
          <w:color w:val="auto"/>
          <w:sz w:val="28"/>
          <w:szCs w:val="28"/>
        </w:rPr>
        <w:t>总价为依据；</w:t>
      </w:r>
    </w:p>
    <w:p w14:paraId="0C6C4F86">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5.</w:t>
      </w:r>
      <w:r>
        <w:rPr>
          <w:rFonts w:hint="eastAsia" w:ascii="仿宋_GB2312" w:eastAsia="仿宋_GB2312"/>
          <w:b w:val="0"/>
          <w:bCs/>
          <w:color w:val="auto"/>
          <w:sz w:val="28"/>
          <w:szCs w:val="28"/>
        </w:rPr>
        <w:t>除非采购人通过修改采购文件予以更正，否则，响应人应毫无例外地按响应文件所列的清单中项目和数量填报综合单价和合价；</w:t>
      </w:r>
    </w:p>
    <w:p w14:paraId="5B03938D">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6.</w:t>
      </w:r>
      <w:r>
        <w:rPr>
          <w:rFonts w:hint="eastAsia" w:ascii="仿宋_GB2312"/>
          <w:b w:val="0"/>
          <w:bCs/>
          <w:color w:val="auto"/>
          <w:sz w:val="28"/>
          <w:szCs w:val="28"/>
          <w:lang w:val="en-US" w:eastAsia="zh-CN"/>
        </w:rPr>
        <w:t>如有需要，</w:t>
      </w:r>
      <w:r>
        <w:rPr>
          <w:rFonts w:hint="eastAsia" w:ascii="仿宋_GB2312" w:eastAsia="仿宋_GB2312"/>
          <w:b w:val="0"/>
          <w:bCs/>
          <w:color w:val="auto"/>
          <w:sz w:val="28"/>
          <w:szCs w:val="28"/>
        </w:rPr>
        <w:t>响应人应先到项目地点踏勘以充分了解项目的位置、情况、道路及任何其它足以影响投标报价的情况，任何因忽视或</w:t>
      </w:r>
      <w:r>
        <w:rPr>
          <w:rFonts w:hint="eastAsia" w:ascii="仿宋_GB2312" w:eastAsia="仿宋_GB2312"/>
          <w:b w:val="0"/>
          <w:bCs/>
          <w:color w:val="auto"/>
          <w:sz w:val="28"/>
          <w:szCs w:val="28"/>
          <w:lang w:eastAsia="zh-CN"/>
        </w:rPr>
        <w:t>者</w:t>
      </w:r>
      <w:r>
        <w:rPr>
          <w:rFonts w:hint="eastAsia" w:ascii="仿宋_GB2312" w:eastAsia="仿宋_GB2312"/>
          <w:b w:val="0"/>
          <w:bCs/>
          <w:color w:val="auto"/>
          <w:sz w:val="28"/>
          <w:szCs w:val="28"/>
        </w:rPr>
        <w:t>误解项目情况而导致的索赔或</w:t>
      </w:r>
      <w:r>
        <w:rPr>
          <w:rFonts w:hint="eastAsia" w:ascii="仿宋_GB2312" w:eastAsia="仿宋_GB2312"/>
          <w:b w:val="0"/>
          <w:bCs/>
          <w:color w:val="auto"/>
          <w:sz w:val="28"/>
          <w:szCs w:val="28"/>
          <w:lang w:eastAsia="zh-CN"/>
        </w:rPr>
        <w:t>者</w:t>
      </w:r>
      <w:r>
        <w:rPr>
          <w:rFonts w:hint="eastAsia" w:ascii="仿宋_GB2312" w:eastAsia="仿宋_GB2312"/>
          <w:b w:val="0"/>
          <w:bCs/>
          <w:color w:val="auto"/>
          <w:sz w:val="28"/>
          <w:szCs w:val="28"/>
        </w:rPr>
        <w:t>服务期限延长申请将不获批准；</w:t>
      </w:r>
    </w:p>
    <w:p w14:paraId="4CF549B0">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val="en-US" w:eastAsia="zh-CN"/>
        </w:rPr>
        <w:t>7.</w:t>
      </w:r>
      <w:r>
        <w:rPr>
          <w:rFonts w:hint="eastAsia" w:ascii="仿宋_GB2312" w:eastAsia="仿宋_GB2312"/>
          <w:b w:val="0"/>
          <w:bCs/>
          <w:color w:val="auto"/>
          <w:sz w:val="28"/>
          <w:szCs w:val="28"/>
        </w:rPr>
        <w:t>响应人不得期望通过索赔等方式获取</w:t>
      </w:r>
      <w:r>
        <w:rPr>
          <w:rFonts w:hint="eastAsia" w:ascii="仿宋_GB2312" w:eastAsia="仿宋_GB2312"/>
          <w:b w:val="0"/>
          <w:bCs/>
          <w:color w:val="auto"/>
          <w:sz w:val="28"/>
          <w:szCs w:val="28"/>
          <w:lang w:eastAsia="zh-CN"/>
        </w:rPr>
        <w:t>报价</w:t>
      </w:r>
      <w:r>
        <w:rPr>
          <w:rFonts w:hint="eastAsia" w:ascii="仿宋_GB2312" w:eastAsia="仿宋_GB2312"/>
          <w:b w:val="0"/>
          <w:bCs/>
          <w:color w:val="auto"/>
          <w:sz w:val="28"/>
          <w:szCs w:val="28"/>
        </w:rPr>
        <w:t>补偿，否则，除可能遭到拒绝外，还可能将被作为不良行为记录在案，并可能影响其以后参加政府采购的项目投标。各响应人在报价时，应充分考虑报价的风险。</w:t>
      </w:r>
    </w:p>
    <w:p w14:paraId="245C047E">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lang w:eastAsia="zh-CN"/>
        </w:rPr>
      </w:pPr>
      <w:r>
        <w:rPr>
          <w:rFonts w:hint="eastAsia" w:ascii="仿宋_GB2312" w:eastAsia="仿宋_GB2312"/>
          <w:b w:val="0"/>
          <w:bCs/>
          <w:color w:val="auto"/>
          <w:sz w:val="28"/>
          <w:szCs w:val="28"/>
          <w:lang w:eastAsia="zh-CN"/>
        </w:rPr>
        <w:t>（四）</w:t>
      </w:r>
      <w:r>
        <w:rPr>
          <w:rFonts w:hint="eastAsia" w:ascii="仿宋_GB2312" w:eastAsia="仿宋_GB2312"/>
          <w:b w:val="0"/>
          <w:bCs/>
          <w:color w:val="auto"/>
          <w:sz w:val="28"/>
          <w:szCs w:val="28"/>
        </w:rPr>
        <w:t>付款方式：具体以合同内容为准</w:t>
      </w:r>
      <w:r>
        <w:rPr>
          <w:rFonts w:hint="eastAsia" w:ascii="仿宋_GB2312" w:eastAsia="仿宋_GB2312"/>
          <w:b w:val="0"/>
          <w:bCs/>
          <w:color w:val="auto"/>
          <w:sz w:val="28"/>
          <w:szCs w:val="28"/>
          <w:lang w:eastAsia="zh-CN"/>
        </w:rPr>
        <w:t>。</w:t>
      </w:r>
    </w:p>
    <w:p w14:paraId="14FC1155">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eastAsia="zh-CN"/>
        </w:rPr>
        <w:t>（五）验收</w:t>
      </w:r>
      <w:r>
        <w:rPr>
          <w:rFonts w:hint="eastAsia" w:ascii="仿宋_GB2312" w:eastAsia="仿宋_GB2312"/>
          <w:b w:val="0"/>
          <w:bCs/>
          <w:color w:val="auto"/>
          <w:sz w:val="28"/>
          <w:szCs w:val="28"/>
        </w:rPr>
        <w:t>：</w:t>
      </w:r>
      <w:r>
        <w:rPr>
          <w:rFonts w:hint="eastAsia" w:ascii="仿宋_GB2312" w:eastAsia="仿宋_GB2312"/>
          <w:b w:val="0"/>
          <w:bCs/>
          <w:color w:val="auto"/>
          <w:sz w:val="28"/>
          <w:szCs w:val="28"/>
          <w:lang w:eastAsia="zh-CN"/>
        </w:rPr>
        <w:t>采购人</w:t>
      </w:r>
      <w:r>
        <w:rPr>
          <w:rFonts w:hint="eastAsia" w:ascii="仿宋_GB2312" w:eastAsia="仿宋_GB2312"/>
          <w:b w:val="0"/>
          <w:bCs/>
          <w:color w:val="auto"/>
          <w:sz w:val="28"/>
          <w:szCs w:val="28"/>
        </w:rPr>
        <w:t>在项目服务期到期后，将按照合同约定的服务内容对</w:t>
      </w:r>
      <w:r>
        <w:rPr>
          <w:rFonts w:hint="eastAsia" w:ascii="仿宋_GB2312" w:eastAsia="仿宋_GB2312"/>
          <w:b w:val="0"/>
          <w:bCs/>
          <w:color w:val="auto"/>
          <w:sz w:val="28"/>
          <w:szCs w:val="28"/>
          <w:lang w:eastAsia="zh-CN"/>
        </w:rPr>
        <w:t>供应商</w:t>
      </w:r>
      <w:r>
        <w:rPr>
          <w:rFonts w:hint="eastAsia" w:ascii="仿宋_GB2312" w:eastAsia="仿宋_GB2312"/>
          <w:b w:val="0"/>
          <w:bCs/>
          <w:color w:val="auto"/>
          <w:sz w:val="28"/>
          <w:szCs w:val="28"/>
        </w:rPr>
        <w:t>的服务进行逐项验收。项目验收后，双方共同签署验收报告，验收报告内容包括每一项技术、服务、安全标准的验收情况及项目总体评价，验收报告将作为服务费支付的重要依据。</w:t>
      </w:r>
    </w:p>
    <w:p w14:paraId="01B1AC84">
      <w:pPr>
        <w:keepNext w:val="0"/>
        <w:keepLines w:val="0"/>
        <w:pageBreakBefore w:val="0"/>
        <w:numPr>
          <w:ilvl w:val="0"/>
          <w:numId w:val="0"/>
        </w:numPr>
        <w:kinsoku/>
        <w:wordWrap/>
        <w:overflowPunct/>
        <w:topLinePunct w:val="0"/>
        <w:autoSpaceDE/>
        <w:autoSpaceDN/>
        <w:bidi w:val="0"/>
        <w:snapToGrid w:val="0"/>
        <w:spacing w:line="560" w:lineRule="exact"/>
        <w:ind w:firstLine="560" w:firstLineChars="200"/>
        <w:textAlignment w:val="auto"/>
        <w:rPr>
          <w:rFonts w:hint="eastAsia" w:ascii="仿宋_GB2312" w:eastAsia="仿宋_GB2312"/>
          <w:b w:val="0"/>
          <w:bCs/>
          <w:color w:val="auto"/>
          <w:sz w:val="28"/>
          <w:szCs w:val="28"/>
        </w:rPr>
      </w:pPr>
      <w:r>
        <w:rPr>
          <w:rFonts w:hint="eastAsia" w:ascii="仿宋_GB2312" w:eastAsia="仿宋_GB2312"/>
          <w:b w:val="0"/>
          <w:bCs/>
          <w:color w:val="auto"/>
          <w:sz w:val="28"/>
          <w:szCs w:val="28"/>
          <w:lang w:eastAsia="zh-CN"/>
        </w:rPr>
        <w:t>（六）</w:t>
      </w:r>
      <w:r>
        <w:rPr>
          <w:rFonts w:hint="eastAsia" w:ascii="仿宋_GB2312" w:eastAsia="仿宋_GB2312"/>
          <w:b w:val="0"/>
          <w:bCs/>
          <w:color w:val="auto"/>
          <w:sz w:val="28"/>
          <w:szCs w:val="28"/>
        </w:rPr>
        <w:t>违约责任：（</w:t>
      </w:r>
      <w:r>
        <w:rPr>
          <w:rFonts w:hint="eastAsia" w:ascii="仿宋_GB2312" w:eastAsia="仿宋_GB2312"/>
          <w:b w:val="0"/>
          <w:bCs/>
          <w:color w:val="auto"/>
          <w:sz w:val="28"/>
          <w:szCs w:val="28"/>
          <w:lang w:eastAsia="zh-CN"/>
        </w:rPr>
        <w:t>根据</w:t>
      </w:r>
      <w:r>
        <w:rPr>
          <w:rFonts w:hint="eastAsia" w:ascii="仿宋_GB2312"/>
          <w:b w:val="0"/>
          <w:bCs/>
          <w:color w:val="auto"/>
          <w:sz w:val="28"/>
          <w:szCs w:val="28"/>
          <w:lang w:eastAsia="zh-CN"/>
        </w:rPr>
        <w:t>项目</w:t>
      </w:r>
      <w:r>
        <w:rPr>
          <w:rFonts w:hint="eastAsia" w:ascii="仿宋_GB2312" w:eastAsia="仿宋_GB2312"/>
          <w:b w:val="0"/>
          <w:bCs/>
          <w:color w:val="auto"/>
          <w:sz w:val="28"/>
          <w:szCs w:val="28"/>
          <w:lang w:eastAsia="zh-CN"/>
        </w:rPr>
        <w:t>具体情况制定</w:t>
      </w:r>
      <w:r>
        <w:rPr>
          <w:rFonts w:hint="eastAsia" w:ascii="仿宋_GB2312" w:eastAsia="仿宋_GB2312"/>
          <w:b w:val="0"/>
          <w:bCs/>
          <w:color w:val="auto"/>
          <w:sz w:val="28"/>
          <w:szCs w:val="28"/>
        </w:rPr>
        <w:t>）</w:t>
      </w:r>
    </w:p>
    <w:p w14:paraId="0F1123C4">
      <w:pPr>
        <w:pageBreakBefore w:val="0"/>
        <w:numPr>
          <w:ilvl w:val="0"/>
          <w:numId w:val="0"/>
        </w:numPr>
        <w:kinsoku/>
        <w:overflowPunct/>
        <w:autoSpaceDE/>
        <w:autoSpaceDN/>
        <w:bidi w:val="0"/>
        <w:snapToGrid w:val="0"/>
        <w:spacing w:line="560" w:lineRule="exact"/>
        <w:ind w:firstLine="560" w:firstLineChars="200"/>
        <w:rPr>
          <w:rFonts w:hint="eastAsia" w:ascii="仿宋_GB2312" w:eastAsia="仿宋_GB2312"/>
          <w:b w:val="0"/>
          <w:bCs/>
          <w:color w:val="auto"/>
          <w:sz w:val="28"/>
          <w:szCs w:val="28"/>
        </w:rPr>
      </w:pPr>
      <w:r>
        <w:rPr>
          <w:rFonts w:hint="eastAsia" w:ascii="仿宋_GB2312" w:eastAsia="仿宋_GB2312"/>
          <w:b w:val="0"/>
          <w:bCs/>
          <w:color w:val="auto"/>
          <w:sz w:val="28"/>
          <w:szCs w:val="28"/>
          <w:lang w:eastAsia="zh-CN"/>
        </w:rPr>
        <w:t>（七）其他：</w:t>
      </w:r>
      <w:r>
        <w:rPr>
          <w:rFonts w:hint="eastAsia" w:ascii="仿宋_GB2312" w:eastAsia="仿宋_GB2312"/>
          <w:b w:val="0"/>
          <w:bCs/>
          <w:color w:val="auto"/>
          <w:sz w:val="28"/>
          <w:szCs w:val="28"/>
        </w:rPr>
        <w:t>（</w:t>
      </w:r>
      <w:r>
        <w:rPr>
          <w:rFonts w:hint="eastAsia" w:ascii="仿宋_GB2312" w:eastAsia="仿宋_GB2312"/>
          <w:b w:val="0"/>
          <w:bCs/>
          <w:color w:val="auto"/>
          <w:sz w:val="28"/>
          <w:szCs w:val="28"/>
          <w:lang w:eastAsia="zh-CN"/>
        </w:rPr>
        <w:t>根据</w:t>
      </w:r>
      <w:r>
        <w:rPr>
          <w:rFonts w:hint="eastAsia" w:ascii="仿宋_GB2312"/>
          <w:b w:val="0"/>
          <w:bCs/>
          <w:color w:val="auto"/>
          <w:sz w:val="28"/>
          <w:szCs w:val="28"/>
          <w:lang w:eastAsia="zh-CN"/>
        </w:rPr>
        <w:t>项目</w:t>
      </w:r>
      <w:r>
        <w:rPr>
          <w:rFonts w:hint="eastAsia" w:ascii="仿宋_GB2312" w:eastAsia="仿宋_GB2312"/>
          <w:b w:val="0"/>
          <w:bCs/>
          <w:color w:val="auto"/>
          <w:sz w:val="28"/>
          <w:szCs w:val="28"/>
          <w:lang w:eastAsia="zh-CN"/>
        </w:rPr>
        <w:t>具体情况制定</w:t>
      </w:r>
      <w:r>
        <w:rPr>
          <w:rFonts w:hint="eastAsia" w:ascii="仿宋_GB2312" w:eastAsia="仿宋_GB2312"/>
          <w:b w:val="0"/>
          <w:bCs/>
          <w:color w:val="auto"/>
          <w:sz w:val="28"/>
          <w:szCs w:val="28"/>
        </w:rPr>
        <w:t>）</w:t>
      </w:r>
    </w:p>
    <w:p w14:paraId="713E8F9C">
      <w:pPr>
        <w:pageBreakBefore w:val="0"/>
        <w:numPr>
          <w:ilvl w:val="0"/>
          <w:numId w:val="0"/>
        </w:numPr>
        <w:kinsoku/>
        <w:overflowPunct/>
        <w:autoSpaceDE/>
        <w:autoSpaceDN/>
        <w:bidi w:val="0"/>
        <w:snapToGrid w:val="0"/>
        <w:spacing w:line="560" w:lineRule="exact"/>
        <w:ind w:firstLine="560"/>
        <w:rPr>
          <w:rFonts w:hint="eastAsia" w:ascii="黑体" w:hAnsi="黑体" w:eastAsia="黑体" w:cs="黑体"/>
          <w:bCs/>
          <w:color w:val="auto"/>
          <w:sz w:val="28"/>
          <w:szCs w:val="28"/>
          <w:lang w:val="en-US" w:eastAsia="zh-CN"/>
        </w:rPr>
      </w:pPr>
      <w:r>
        <w:rPr>
          <w:rFonts w:hint="eastAsia" w:ascii="黑体" w:hAnsi="黑体" w:eastAsia="黑体" w:cs="黑体"/>
          <w:b w:val="0"/>
          <w:bCs/>
          <w:color w:val="auto"/>
          <w:sz w:val="28"/>
          <w:szCs w:val="28"/>
          <w:lang w:val="en-US" w:eastAsia="zh-CN"/>
        </w:rPr>
        <w:t>四、供应商资格要求</w:t>
      </w:r>
    </w:p>
    <w:p w14:paraId="022B4693">
      <w:pPr>
        <w:keepNext w:val="0"/>
        <w:keepLines w:val="0"/>
        <w:pageBreakBefore w:val="0"/>
        <w:widowControl/>
        <w:numPr>
          <w:ilvl w:val="0"/>
          <w:numId w:val="0"/>
        </w:numPr>
        <w:kinsoku/>
        <w:wordWrap/>
        <w:overflowPunct/>
        <w:topLinePunct w:val="0"/>
        <w:autoSpaceDE/>
        <w:autoSpaceDN/>
        <w:bidi w:val="0"/>
        <w:adjustRightInd/>
        <w:snapToGrid w:val="0"/>
        <w:spacing w:line="560" w:lineRule="exact"/>
        <w:ind w:left="0" w:leftChars="0" w:firstLine="560" w:firstLineChars="0"/>
        <w:textAlignment w:val="auto"/>
        <w:rPr>
          <w:rFonts w:hint="eastAsia" w:ascii="仿宋_GB2312" w:eastAsia="仿宋_GB2312"/>
          <w:b w:val="0"/>
          <w:bCs/>
          <w:color w:val="auto"/>
          <w:sz w:val="28"/>
          <w:szCs w:val="28"/>
          <w:lang w:eastAsia="zh-CN"/>
        </w:rPr>
      </w:pPr>
      <w:r>
        <w:rPr>
          <w:rFonts w:hint="eastAsia" w:ascii="仿宋_GB2312" w:eastAsia="仿宋_GB2312"/>
          <w:b w:val="0"/>
          <w:bCs/>
          <w:color w:val="auto"/>
          <w:sz w:val="28"/>
          <w:szCs w:val="28"/>
          <w:lang w:eastAsia="zh-CN"/>
        </w:rPr>
        <w:t>（</w:t>
      </w:r>
      <w:r>
        <w:rPr>
          <w:rFonts w:hint="eastAsia" w:ascii="仿宋_GB2312" w:eastAsia="仿宋_GB2312"/>
          <w:b w:val="0"/>
          <w:bCs/>
          <w:color w:val="auto"/>
          <w:sz w:val="28"/>
          <w:szCs w:val="28"/>
          <w:lang w:val="en-US" w:eastAsia="zh-CN"/>
        </w:rPr>
        <w:t>一）</w:t>
      </w:r>
      <w:r>
        <w:rPr>
          <w:rFonts w:hint="eastAsia" w:ascii="仿宋_GB2312" w:eastAsia="仿宋_GB2312"/>
          <w:b w:val="0"/>
          <w:bCs/>
          <w:color w:val="auto"/>
          <w:sz w:val="28"/>
          <w:szCs w:val="28"/>
          <w:lang w:eastAsia="zh-CN"/>
        </w:rPr>
        <w:t>具有独立承担民事责任能力的法人或非法人组织(独立法人提供营业执照扫描件或复印件;非法人组织则提供主管部门颁发或批准成立的证书或其他证明文件扫描件或复印件)。</w:t>
      </w:r>
    </w:p>
    <w:p w14:paraId="6F060C78">
      <w:pPr>
        <w:keepNext w:val="0"/>
        <w:keepLines w:val="0"/>
        <w:pageBreakBefore w:val="0"/>
        <w:widowControl/>
        <w:numPr>
          <w:ilvl w:val="0"/>
          <w:numId w:val="0"/>
        </w:numPr>
        <w:kinsoku/>
        <w:wordWrap/>
        <w:overflowPunct/>
        <w:topLinePunct w:val="0"/>
        <w:autoSpaceDE/>
        <w:autoSpaceDN/>
        <w:bidi w:val="0"/>
        <w:adjustRightInd/>
        <w:snapToGrid w:val="0"/>
        <w:spacing w:line="560" w:lineRule="exact"/>
        <w:ind w:left="0" w:leftChars="0" w:firstLine="560" w:firstLineChars="0"/>
        <w:textAlignment w:val="auto"/>
        <w:rPr>
          <w:rFonts w:hint="eastAsia" w:ascii="仿宋_GB2312" w:eastAsia="仿宋_GB2312"/>
          <w:b w:val="0"/>
          <w:bCs/>
          <w:color w:val="auto"/>
          <w:sz w:val="28"/>
          <w:szCs w:val="28"/>
          <w:lang w:eastAsia="zh-CN"/>
        </w:rPr>
      </w:pPr>
      <w:r>
        <w:rPr>
          <w:rFonts w:hint="eastAsia" w:ascii="仿宋_GB2312" w:eastAsia="仿宋_GB2312"/>
          <w:b w:val="0"/>
          <w:bCs/>
          <w:color w:val="auto"/>
          <w:sz w:val="28"/>
          <w:szCs w:val="28"/>
          <w:lang w:eastAsia="zh-CN"/>
        </w:rPr>
        <w:t>（二）满足《中华人民共和国政府采购法》第二十二条规定。</w:t>
      </w:r>
    </w:p>
    <w:p w14:paraId="7B6DAB0D">
      <w:pPr>
        <w:keepNext w:val="0"/>
        <w:keepLines w:val="0"/>
        <w:pageBreakBefore w:val="0"/>
        <w:widowControl/>
        <w:numPr>
          <w:ilvl w:val="0"/>
          <w:numId w:val="0"/>
        </w:numPr>
        <w:kinsoku/>
        <w:wordWrap/>
        <w:overflowPunct/>
        <w:topLinePunct w:val="0"/>
        <w:autoSpaceDE/>
        <w:autoSpaceDN/>
        <w:bidi w:val="0"/>
        <w:adjustRightInd/>
        <w:snapToGrid w:val="0"/>
        <w:spacing w:line="560" w:lineRule="exact"/>
        <w:ind w:left="0" w:leftChars="0" w:firstLine="560" w:firstLineChars="0"/>
        <w:textAlignment w:val="auto"/>
        <w:rPr>
          <w:rFonts w:hint="eastAsia" w:ascii="仿宋_GB2312" w:eastAsia="仿宋_GB2312"/>
          <w:b w:val="0"/>
          <w:bCs/>
          <w:color w:val="auto"/>
          <w:sz w:val="28"/>
          <w:szCs w:val="28"/>
          <w:lang w:eastAsia="zh-CN"/>
        </w:rPr>
      </w:pPr>
      <w:r>
        <w:rPr>
          <w:rFonts w:hint="eastAsia" w:ascii="仿宋_GB2312" w:eastAsia="仿宋_GB2312"/>
          <w:b w:val="0"/>
          <w:bCs/>
          <w:color w:val="auto"/>
          <w:sz w:val="28"/>
          <w:szCs w:val="28"/>
          <w:lang w:eastAsia="zh-CN"/>
        </w:rPr>
        <w:t>（三）分公司投标，须提供其总公司的授权委托书及营业执照（</w:t>
      </w:r>
      <w:r>
        <w:rPr>
          <w:rFonts w:hint="eastAsia" w:ascii="仿宋_GB2312" w:eastAsia="仿宋_GB2312"/>
          <w:b w:val="0"/>
          <w:bCs/>
          <w:color w:val="auto"/>
          <w:sz w:val="28"/>
          <w:szCs w:val="28"/>
          <w:lang w:val="en-US" w:eastAsia="zh-CN"/>
        </w:rPr>
        <w:t>加盖</w:t>
      </w:r>
      <w:r>
        <w:rPr>
          <w:rFonts w:hint="eastAsia" w:ascii="仿宋_GB2312" w:eastAsia="仿宋_GB2312"/>
          <w:b w:val="0"/>
          <w:bCs/>
          <w:color w:val="auto"/>
          <w:sz w:val="28"/>
          <w:szCs w:val="28"/>
          <w:lang w:eastAsia="zh-CN"/>
        </w:rPr>
        <w:t>总公司公章），涉及相关资质的，授权书中应写明总公司知悉分公司使用其资质投标，且愿意承担投标后果及相应法律责任。</w:t>
      </w:r>
    </w:p>
    <w:p w14:paraId="41D4105B">
      <w:pPr>
        <w:keepNext w:val="0"/>
        <w:keepLines w:val="0"/>
        <w:pageBreakBefore w:val="0"/>
        <w:widowControl/>
        <w:numPr>
          <w:ilvl w:val="0"/>
          <w:numId w:val="0"/>
        </w:numPr>
        <w:kinsoku/>
        <w:wordWrap/>
        <w:overflowPunct/>
        <w:topLinePunct w:val="0"/>
        <w:autoSpaceDE/>
        <w:autoSpaceDN/>
        <w:bidi w:val="0"/>
        <w:adjustRightInd/>
        <w:snapToGrid w:val="0"/>
        <w:spacing w:line="560" w:lineRule="exact"/>
        <w:ind w:left="0" w:leftChars="0" w:firstLine="560" w:firstLineChars="0"/>
        <w:textAlignment w:val="auto"/>
        <w:rPr>
          <w:rFonts w:hint="eastAsia" w:ascii="仿宋_GB2312" w:eastAsia="仿宋_GB2312"/>
          <w:b w:val="0"/>
          <w:bCs/>
          <w:color w:val="auto"/>
          <w:sz w:val="28"/>
          <w:szCs w:val="28"/>
          <w:lang w:eastAsia="zh-CN"/>
        </w:rPr>
      </w:pPr>
      <w:r>
        <w:rPr>
          <w:rFonts w:hint="eastAsia" w:ascii="仿宋_GB2312" w:eastAsia="仿宋_GB2312"/>
          <w:b w:val="0"/>
          <w:bCs/>
          <w:color w:val="auto"/>
          <w:sz w:val="28"/>
          <w:szCs w:val="28"/>
          <w:lang w:eastAsia="zh-CN"/>
        </w:rPr>
        <w:t>（四）本项目不接受联合体投标，不允许分包转包，不接受供应商采用进口产品参与投标。</w:t>
      </w:r>
    </w:p>
    <w:p w14:paraId="59A0DFC3">
      <w:pPr>
        <w:keepNext w:val="0"/>
        <w:keepLines w:val="0"/>
        <w:pageBreakBefore w:val="0"/>
        <w:widowControl/>
        <w:numPr>
          <w:ilvl w:val="0"/>
          <w:numId w:val="0"/>
        </w:numPr>
        <w:kinsoku/>
        <w:wordWrap/>
        <w:overflowPunct/>
        <w:topLinePunct w:val="0"/>
        <w:autoSpaceDE/>
        <w:autoSpaceDN/>
        <w:bidi w:val="0"/>
        <w:adjustRightInd/>
        <w:snapToGrid w:val="0"/>
        <w:spacing w:line="560" w:lineRule="exact"/>
        <w:ind w:left="0" w:leftChars="0" w:firstLine="560" w:firstLineChars="0"/>
        <w:textAlignment w:val="auto"/>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五、响应需求</w:t>
      </w:r>
    </w:p>
    <w:p w14:paraId="0EC0DD27">
      <w:pPr>
        <w:pageBreakBefore w:val="0"/>
        <w:widowControl/>
        <w:numPr>
          <w:ilvl w:val="0"/>
          <w:numId w:val="0"/>
        </w:numPr>
        <w:kinsoku/>
        <w:overflowPunct/>
        <w:autoSpaceDE/>
        <w:autoSpaceDN/>
        <w:bidi w:val="0"/>
        <w:snapToGrid w:val="0"/>
        <w:spacing w:line="560" w:lineRule="exact"/>
        <w:ind w:firstLine="560"/>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lang w:val="en-US" w:eastAsia="zh-CN"/>
        </w:rPr>
        <w:t>一）</w:t>
      </w:r>
      <w:r>
        <w:rPr>
          <w:rFonts w:hint="eastAsia" w:ascii="仿宋_GB2312" w:hAnsi="仿宋_GB2312" w:eastAsia="仿宋_GB2312" w:cs="仿宋_GB2312"/>
          <w:bCs/>
          <w:color w:val="auto"/>
          <w:sz w:val="28"/>
          <w:szCs w:val="28"/>
        </w:rPr>
        <w:t>递交响应文件时</w:t>
      </w:r>
      <w:r>
        <w:rPr>
          <w:rFonts w:hint="eastAsia" w:ascii="仿宋_GB2312" w:hAnsi="仿宋_GB2312" w:eastAsia="仿宋_GB2312" w:cs="仿宋_GB2312"/>
          <w:bCs/>
          <w:color w:val="auto"/>
          <w:sz w:val="28"/>
          <w:szCs w:val="28"/>
          <w:lang w:val="en-US" w:eastAsia="zh-CN"/>
        </w:rPr>
        <w:t>应包含以下两部分内容</w:t>
      </w:r>
      <w:r>
        <w:rPr>
          <w:rFonts w:hint="eastAsia" w:ascii="仿宋_GB2312" w:hAnsi="仿宋_GB2312" w:eastAsia="仿宋_GB2312" w:cs="仿宋_GB2312"/>
          <w:bCs/>
          <w:color w:val="auto"/>
          <w:sz w:val="28"/>
          <w:szCs w:val="28"/>
        </w:rPr>
        <w:t>:</w:t>
      </w:r>
    </w:p>
    <w:p w14:paraId="22AFE9B2">
      <w:pPr>
        <w:pageBreakBefore w:val="0"/>
        <w:widowControl/>
        <w:numPr>
          <w:ilvl w:val="0"/>
          <w:numId w:val="0"/>
        </w:numPr>
        <w:kinsoku/>
        <w:overflowPunct/>
        <w:autoSpaceDE/>
        <w:autoSpaceDN/>
        <w:bidi w:val="0"/>
        <w:snapToGrid w:val="0"/>
        <w:spacing w:line="560" w:lineRule="exact"/>
        <w:ind w:firstLine="560"/>
        <w:rPr>
          <w:rFonts w:hint="eastAsia" w:ascii="仿宋_GB2312" w:hAnsi="仿宋_GB2312" w:eastAsia="仿宋_GB2312" w:cs="仿宋_GB2312"/>
          <w:bCs/>
          <w:color w:val="auto"/>
          <w:sz w:val="28"/>
          <w:szCs w:val="28"/>
          <w:lang w:val="en-US" w:eastAsia="zh-CN"/>
        </w:rPr>
      </w:pPr>
      <w:r>
        <w:rPr>
          <w:rFonts w:hint="eastAsia" w:ascii="仿宋_GB2312" w:hAnsi="仿宋_GB2312" w:eastAsia="仿宋_GB2312" w:cs="仿宋_GB2312"/>
          <w:bCs/>
          <w:color w:val="auto"/>
          <w:sz w:val="28"/>
          <w:szCs w:val="28"/>
          <w:lang w:val="en-US" w:eastAsia="zh-CN"/>
        </w:rPr>
        <w:t>第一部分：</w:t>
      </w:r>
      <w:r>
        <w:rPr>
          <w:rFonts w:hint="eastAsia" w:ascii="仿宋_GB2312" w:hAnsi="仿宋_GB2312" w:eastAsia="仿宋_GB2312" w:cs="仿宋_GB2312"/>
          <w:b/>
          <w:bCs w:val="0"/>
          <w:color w:val="auto"/>
          <w:sz w:val="28"/>
          <w:szCs w:val="28"/>
          <w:lang w:val="en-US" w:eastAsia="zh-CN"/>
        </w:rPr>
        <w:t>资质文件</w:t>
      </w:r>
    </w:p>
    <w:p w14:paraId="3FE38A9E">
      <w:pPr>
        <w:pageBreakBefore w:val="0"/>
        <w:widowControl/>
        <w:numPr>
          <w:ilvl w:val="0"/>
          <w:numId w:val="0"/>
        </w:numPr>
        <w:kinsoku/>
        <w:overflowPunct/>
        <w:autoSpaceDE/>
        <w:autoSpaceDN/>
        <w:bidi w:val="0"/>
        <w:snapToGrid w:val="0"/>
        <w:spacing w:line="560" w:lineRule="exact"/>
        <w:ind w:firstLine="840" w:firstLineChars="300"/>
        <w:rPr>
          <w:rFonts w:hint="eastAsia" w:ascii="仿宋_GB2312" w:hAnsi="仿宋_GB2312" w:eastAsia="仿宋_GB2312" w:cs="仿宋_GB2312"/>
          <w:bCs/>
          <w:color w:val="auto"/>
          <w:sz w:val="28"/>
          <w:szCs w:val="28"/>
          <w:lang w:val="en-US" w:eastAsia="zh-CN"/>
        </w:rPr>
      </w:pPr>
      <w:r>
        <w:rPr>
          <w:rFonts w:hint="eastAsia" w:ascii="仿宋_GB2312" w:hAnsi="仿宋_GB2312" w:eastAsia="仿宋_GB2312" w:cs="仿宋_GB2312"/>
          <w:bCs/>
          <w:color w:val="auto"/>
          <w:kern w:val="2"/>
          <w:sz w:val="28"/>
          <w:szCs w:val="28"/>
          <w:lang w:val="en-US" w:eastAsia="zh-CN" w:bidi="ar-SA"/>
        </w:rPr>
        <w:t>1.</w:t>
      </w:r>
      <w:r>
        <w:rPr>
          <w:rFonts w:hint="eastAsia" w:ascii="仿宋_GB2312" w:hAnsi="仿宋_GB2312" w:eastAsia="仿宋_GB2312" w:cs="仿宋_GB2312"/>
          <w:bCs/>
          <w:color w:val="auto"/>
          <w:sz w:val="28"/>
          <w:szCs w:val="28"/>
          <w:lang w:val="en-US" w:eastAsia="zh-CN"/>
        </w:rPr>
        <w:t>供应商基本情况表（详见附件）；</w:t>
      </w:r>
    </w:p>
    <w:p w14:paraId="3131BF5C">
      <w:pPr>
        <w:pageBreakBefore w:val="0"/>
        <w:widowControl/>
        <w:numPr>
          <w:ilvl w:val="0"/>
          <w:numId w:val="0"/>
        </w:numPr>
        <w:kinsoku/>
        <w:overflowPunct/>
        <w:autoSpaceDE/>
        <w:autoSpaceDN/>
        <w:bidi w:val="0"/>
        <w:snapToGrid w:val="0"/>
        <w:spacing w:line="560" w:lineRule="exact"/>
        <w:ind w:firstLine="840" w:firstLineChars="300"/>
        <w:rPr>
          <w:rFonts w:hint="eastAsia" w:ascii="仿宋_GB2312" w:hAnsi="仿宋_GB2312" w:eastAsia="仿宋_GB2312" w:cs="仿宋_GB2312"/>
          <w:bCs/>
          <w:color w:val="auto"/>
          <w:sz w:val="28"/>
          <w:szCs w:val="28"/>
          <w:lang w:val="en-US" w:eastAsia="zh-CN"/>
        </w:rPr>
      </w:pPr>
      <w:r>
        <w:rPr>
          <w:rFonts w:hint="eastAsia" w:ascii="仿宋_GB2312" w:hAnsi="仿宋_GB2312" w:eastAsia="仿宋_GB2312" w:cs="仿宋_GB2312"/>
          <w:bCs/>
          <w:color w:val="auto"/>
          <w:kern w:val="2"/>
          <w:sz w:val="28"/>
          <w:szCs w:val="28"/>
          <w:lang w:val="en-US" w:eastAsia="zh-CN" w:bidi="ar-SA"/>
        </w:rPr>
        <w:t>2.</w:t>
      </w:r>
      <w:r>
        <w:rPr>
          <w:rFonts w:hint="eastAsia" w:ascii="仿宋_GB2312" w:hAnsi="仿宋_GB2312" w:eastAsia="仿宋_GB2312" w:cs="仿宋_GB2312"/>
          <w:bCs/>
          <w:color w:val="auto"/>
          <w:sz w:val="28"/>
          <w:szCs w:val="28"/>
        </w:rPr>
        <w:t>营业执照复印件;</w:t>
      </w:r>
    </w:p>
    <w:p w14:paraId="5533DDD7">
      <w:pPr>
        <w:pageBreakBefore w:val="0"/>
        <w:widowControl/>
        <w:numPr>
          <w:ilvl w:val="0"/>
          <w:numId w:val="0"/>
        </w:numPr>
        <w:kinsoku/>
        <w:overflowPunct/>
        <w:autoSpaceDE/>
        <w:autoSpaceDN/>
        <w:bidi w:val="0"/>
        <w:snapToGrid w:val="0"/>
        <w:spacing w:line="560" w:lineRule="exact"/>
        <w:ind w:firstLine="840" w:firstLineChars="300"/>
        <w:rPr>
          <w:rFonts w:hint="eastAsia" w:ascii="仿宋_GB2312" w:hAnsi="仿宋_GB2312" w:eastAsia="仿宋_GB2312" w:cs="仿宋_GB2312"/>
          <w:bCs/>
          <w:color w:val="auto"/>
          <w:sz w:val="28"/>
          <w:szCs w:val="28"/>
          <w:lang w:val="en-US" w:eastAsia="zh-CN"/>
        </w:rPr>
      </w:pPr>
      <w:r>
        <w:rPr>
          <w:rFonts w:hint="eastAsia" w:ascii="仿宋_GB2312" w:hAnsi="仿宋_GB2312" w:eastAsia="仿宋_GB2312" w:cs="仿宋_GB2312"/>
          <w:bCs/>
          <w:color w:val="auto"/>
          <w:kern w:val="2"/>
          <w:sz w:val="28"/>
          <w:szCs w:val="28"/>
          <w:lang w:val="en-US" w:eastAsia="zh-CN" w:bidi="ar-SA"/>
        </w:rPr>
        <w:t>3.</w:t>
      </w:r>
      <w:r>
        <w:rPr>
          <w:rFonts w:hint="eastAsia" w:ascii="仿宋_GB2312" w:hAnsi="仿宋_GB2312" w:eastAsia="仿宋_GB2312" w:cs="仿宋_GB2312"/>
          <w:bCs/>
          <w:color w:val="auto"/>
          <w:sz w:val="28"/>
          <w:szCs w:val="28"/>
          <w:lang w:val="en-US" w:eastAsia="zh-CN"/>
        </w:rPr>
        <w:t>营业范围相关佐证；</w:t>
      </w:r>
    </w:p>
    <w:p w14:paraId="0B1DE50B">
      <w:pPr>
        <w:pageBreakBefore w:val="0"/>
        <w:widowControl/>
        <w:numPr>
          <w:ilvl w:val="0"/>
          <w:numId w:val="0"/>
        </w:numPr>
        <w:kinsoku/>
        <w:overflowPunct/>
        <w:autoSpaceDE/>
        <w:autoSpaceDN/>
        <w:bidi w:val="0"/>
        <w:snapToGrid w:val="0"/>
        <w:spacing w:line="560" w:lineRule="exact"/>
        <w:ind w:firstLine="840" w:firstLineChars="300"/>
        <w:rPr>
          <w:rFonts w:hint="eastAsia" w:ascii="仿宋_GB2312" w:hAnsi="仿宋_GB2312" w:eastAsia="仿宋_GB2312" w:cs="仿宋_GB2312"/>
          <w:bCs/>
          <w:color w:val="auto"/>
          <w:sz w:val="28"/>
          <w:szCs w:val="28"/>
          <w:lang w:val="en-US" w:eastAsia="zh-CN"/>
        </w:rPr>
      </w:pPr>
      <w:r>
        <w:rPr>
          <w:rFonts w:hint="eastAsia" w:ascii="仿宋_GB2312" w:hAnsi="仿宋_GB2312" w:eastAsia="仿宋_GB2312" w:cs="仿宋_GB2312"/>
          <w:bCs/>
          <w:color w:val="auto"/>
          <w:kern w:val="2"/>
          <w:sz w:val="28"/>
          <w:szCs w:val="28"/>
          <w:lang w:val="en-US" w:eastAsia="zh-CN" w:bidi="ar-SA"/>
        </w:rPr>
        <w:t>4.</w:t>
      </w:r>
      <w:r>
        <w:rPr>
          <w:rFonts w:hint="eastAsia" w:ascii="仿宋_GB2312" w:hAnsi="仿宋_GB2312" w:eastAsia="仿宋_GB2312" w:cs="仿宋_GB2312"/>
          <w:bCs/>
          <w:color w:val="auto"/>
          <w:sz w:val="28"/>
          <w:szCs w:val="28"/>
        </w:rPr>
        <w:t>单位</w:t>
      </w:r>
      <w:r>
        <w:rPr>
          <w:rFonts w:hint="eastAsia" w:ascii="仿宋_GB2312" w:hAnsi="仿宋_GB2312" w:eastAsia="仿宋_GB2312" w:cs="仿宋_GB2312"/>
          <w:bCs/>
          <w:color w:val="auto"/>
          <w:sz w:val="28"/>
          <w:szCs w:val="28"/>
          <w:lang w:eastAsia="zh-CN"/>
        </w:rPr>
        <w:t>法定代表人</w:t>
      </w:r>
      <w:r>
        <w:rPr>
          <w:rFonts w:hint="eastAsia" w:ascii="仿宋_GB2312" w:hAnsi="仿宋_GB2312" w:eastAsia="仿宋_GB2312" w:cs="仿宋_GB2312"/>
          <w:bCs/>
          <w:color w:val="auto"/>
          <w:sz w:val="28"/>
          <w:szCs w:val="28"/>
        </w:rPr>
        <w:t>证明书原件及</w:t>
      </w:r>
      <w:r>
        <w:rPr>
          <w:rFonts w:hint="eastAsia" w:ascii="仿宋_GB2312" w:hAnsi="仿宋_GB2312" w:eastAsia="仿宋_GB2312" w:cs="仿宋_GB2312"/>
          <w:bCs/>
          <w:color w:val="auto"/>
          <w:sz w:val="28"/>
          <w:szCs w:val="28"/>
          <w:lang w:eastAsia="zh-CN"/>
        </w:rPr>
        <w:t>法定代表人</w:t>
      </w:r>
      <w:r>
        <w:rPr>
          <w:rFonts w:hint="eastAsia" w:ascii="仿宋_GB2312" w:hAnsi="仿宋_GB2312" w:eastAsia="仿宋_GB2312" w:cs="仿宋_GB2312"/>
          <w:bCs/>
          <w:color w:val="auto"/>
          <w:sz w:val="28"/>
          <w:szCs w:val="28"/>
        </w:rPr>
        <w:t>身份证复印件、</w:t>
      </w:r>
      <w:r>
        <w:rPr>
          <w:rFonts w:hint="eastAsia" w:ascii="仿宋_GB2312" w:hAnsi="仿宋_GB2312" w:eastAsia="仿宋_GB2312" w:cs="仿宋_GB2312"/>
          <w:bCs/>
          <w:color w:val="auto"/>
          <w:sz w:val="28"/>
          <w:szCs w:val="28"/>
          <w:lang w:val="en-US" w:eastAsia="zh-CN"/>
        </w:rPr>
        <w:t>近三个月</w:t>
      </w:r>
      <w:r>
        <w:rPr>
          <w:rFonts w:hint="eastAsia" w:ascii="仿宋_GB2312" w:hAnsi="仿宋_GB2312" w:eastAsia="仿宋_GB2312" w:cs="仿宋_GB2312"/>
          <w:bCs/>
          <w:color w:val="auto"/>
          <w:sz w:val="28"/>
          <w:szCs w:val="28"/>
          <w:lang w:eastAsia="zh-CN"/>
        </w:rPr>
        <w:t>社保证明；</w:t>
      </w:r>
      <w:r>
        <w:rPr>
          <w:rFonts w:hint="eastAsia" w:ascii="仿宋_GB2312" w:hAnsi="仿宋_GB2312" w:eastAsia="仿宋_GB2312" w:cs="仿宋_GB2312"/>
          <w:bCs/>
          <w:color w:val="auto"/>
          <w:sz w:val="28"/>
          <w:szCs w:val="28"/>
        </w:rPr>
        <w:t>授权委托书原件及被授权人身份证复印件、</w:t>
      </w:r>
      <w:r>
        <w:rPr>
          <w:rFonts w:hint="eastAsia" w:ascii="仿宋_GB2312" w:hAnsi="仿宋_GB2312" w:eastAsia="仿宋_GB2312" w:cs="仿宋_GB2312"/>
          <w:bCs/>
          <w:color w:val="auto"/>
          <w:sz w:val="28"/>
          <w:szCs w:val="28"/>
          <w:lang w:val="en-US" w:eastAsia="zh-CN"/>
        </w:rPr>
        <w:t>近三个月</w:t>
      </w:r>
      <w:r>
        <w:rPr>
          <w:rFonts w:hint="eastAsia" w:ascii="仿宋_GB2312" w:hAnsi="仿宋_GB2312" w:eastAsia="仿宋_GB2312" w:cs="仿宋_GB2312"/>
          <w:bCs/>
          <w:color w:val="auto"/>
          <w:sz w:val="28"/>
          <w:szCs w:val="28"/>
          <w:lang w:eastAsia="zh-CN"/>
        </w:rPr>
        <w:t>社保证明</w:t>
      </w:r>
      <w:r>
        <w:rPr>
          <w:rFonts w:hint="eastAsia" w:ascii="仿宋_GB2312" w:hAnsi="仿宋_GB2312" w:eastAsia="仿宋_GB2312" w:cs="仿宋_GB2312"/>
          <w:bCs/>
          <w:color w:val="auto"/>
          <w:sz w:val="28"/>
          <w:szCs w:val="28"/>
        </w:rPr>
        <w:t>;</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lang w:val="en-US" w:eastAsia="zh-CN"/>
        </w:rPr>
        <w:t>注：法定代表人作为被授权人的，也应由公司出具授权委托书）</w:t>
      </w:r>
    </w:p>
    <w:p w14:paraId="23A0FA8F">
      <w:pPr>
        <w:pageBreakBefore w:val="0"/>
        <w:widowControl/>
        <w:numPr>
          <w:ilvl w:val="0"/>
          <w:numId w:val="0"/>
        </w:numPr>
        <w:kinsoku/>
        <w:overflowPunct/>
        <w:autoSpaceDE/>
        <w:autoSpaceDN/>
        <w:bidi w:val="0"/>
        <w:snapToGrid w:val="0"/>
        <w:spacing w:line="560" w:lineRule="exact"/>
        <w:ind w:firstLine="840" w:firstLineChars="300"/>
        <w:rPr>
          <w:rFonts w:hint="eastAsia" w:ascii="仿宋_GB2312" w:hAnsi="仿宋_GB2312" w:eastAsia="仿宋_GB2312" w:cs="仿宋_GB2312"/>
          <w:bCs/>
          <w:color w:val="auto"/>
          <w:sz w:val="28"/>
          <w:szCs w:val="28"/>
          <w:lang w:val="en-US" w:eastAsia="zh-CN"/>
        </w:rPr>
      </w:pPr>
      <w:r>
        <w:rPr>
          <w:rFonts w:hint="eastAsia" w:ascii="仿宋_GB2312" w:hAnsi="仿宋_GB2312" w:eastAsia="仿宋_GB2312" w:cs="仿宋_GB2312"/>
          <w:bCs/>
          <w:color w:val="auto"/>
          <w:kern w:val="2"/>
          <w:sz w:val="28"/>
          <w:szCs w:val="28"/>
          <w:lang w:val="en-US" w:eastAsia="zh-CN" w:bidi="ar-SA"/>
        </w:rPr>
        <w:t>5.</w:t>
      </w:r>
      <w:r>
        <w:rPr>
          <w:rFonts w:hint="eastAsia" w:ascii="仿宋_GB2312" w:hAnsi="仿宋_GB2312" w:eastAsia="仿宋_GB2312" w:cs="仿宋_GB2312"/>
          <w:bCs/>
          <w:color w:val="auto"/>
          <w:sz w:val="28"/>
          <w:szCs w:val="28"/>
          <w:lang w:val="en-US" w:eastAsia="zh-CN"/>
        </w:rPr>
        <w:t>相关</w:t>
      </w:r>
      <w:r>
        <w:rPr>
          <w:rFonts w:hint="eastAsia" w:ascii="仿宋_GB2312" w:hAnsi="仿宋_GB2312" w:eastAsia="仿宋_GB2312" w:cs="仿宋_GB2312"/>
          <w:bCs/>
          <w:color w:val="auto"/>
          <w:sz w:val="28"/>
          <w:szCs w:val="28"/>
        </w:rPr>
        <w:t>资质证明</w:t>
      </w:r>
      <w:r>
        <w:rPr>
          <w:rFonts w:hint="eastAsia" w:ascii="仿宋_GB2312" w:hAnsi="仿宋_GB2312" w:eastAsia="仿宋_GB2312" w:cs="仿宋_GB2312"/>
          <w:bCs/>
          <w:color w:val="auto"/>
          <w:sz w:val="28"/>
          <w:szCs w:val="28"/>
          <w:lang w:eastAsia="zh-CN"/>
        </w:rPr>
        <w:t>（</w:t>
      </w:r>
      <w:r>
        <w:rPr>
          <w:rFonts w:hint="eastAsia" w:ascii="仿宋_GB2312" w:hAnsi="仿宋_GB2312" w:eastAsia="仿宋_GB2312" w:cs="仿宋_GB2312"/>
          <w:bCs/>
          <w:color w:val="auto"/>
          <w:sz w:val="28"/>
          <w:szCs w:val="28"/>
          <w:lang w:val="en-US" w:eastAsia="zh-CN"/>
        </w:rPr>
        <w:t>根据项目要求，依法须经批准开展该项目的相关资质材料）</w:t>
      </w:r>
    </w:p>
    <w:p w14:paraId="500B7772">
      <w:pPr>
        <w:pageBreakBefore w:val="0"/>
        <w:widowControl/>
        <w:numPr>
          <w:ilvl w:val="0"/>
          <w:numId w:val="0"/>
        </w:numPr>
        <w:kinsoku/>
        <w:overflowPunct/>
        <w:autoSpaceDE/>
        <w:autoSpaceDN/>
        <w:bidi w:val="0"/>
        <w:snapToGrid w:val="0"/>
        <w:spacing w:line="560" w:lineRule="exact"/>
        <w:ind w:firstLine="560" w:firstLineChars="200"/>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lang w:val="en-US" w:eastAsia="zh-CN"/>
        </w:rPr>
        <w:t>第二部分：</w:t>
      </w:r>
      <w:r>
        <w:rPr>
          <w:rFonts w:hint="eastAsia" w:ascii="仿宋_GB2312" w:hAnsi="仿宋_GB2312" w:eastAsia="仿宋_GB2312" w:cs="仿宋_GB2312"/>
          <w:b/>
          <w:bCs w:val="0"/>
          <w:color w:val="auto"/>
          <w:sz w:val="28"/>
          <w:szCs w:val="28"/>
        </w:rPr>
        <w:t>报价文件</w:t>
      </w:r>
    </w:p>
    <w:p w14:paraId="10AC3503">
      <w:pPr>
        <w:pageBreakBefore w:val="0"/>
        <w:widowControl/>
        <w:numPr>
          <w:ilvl w:val="0"/>
          <w:numId w:val="1"/>
        </w:numPr>
        <w:kinsoku/>
        <w:overflowPunct/>
        <w:autoSpaceDE/>
        <w:autoSpaceDN/>
        <w:bidi w:val="0"/>
        <w:snapToGrid w:val="0"/>
        <w:spacing w:line="560" w:lineRule="exact"/>
        <w:ind w:firstLine="840" w:firstLineChars="300"/>
        <w:rPr>
          <w:rFonts w:hint="eastAsia" w:ascii="仿宋_GB2312" w:hAnsi="仿宋_GB2312" w:eastAsia="仿宋_GB2312" w:cs="仿宋_GB2312"/>
          <w:bCs/>
          <w:color w:val="auto"/>
          <w:sz w:val="28"/>
          <w:szCs w:val="28"/>
          <w:lang w:val="en-US" w:eastAsia="zh-CN"/>
        </w:rPr>
      </w:pPr>
      <w:r>
        <w:rPr>
          <w:rFonts w:hint="eastAsia" w:ascii="仿宋_GB2312" w:hAnsi="仿宋_GB2312" w:eastAsia="仿宋_GB2312" w:cs="仿宋_GB2312"/>
          <w:bCs/>
          <w:color w:val="auto"/>
          <w:sz w:val="28"/>
          <w:szCs w:val="28"/>
          <w:lang w:val="en-US" w:eastAsia="zh-CN"/>
        </w:rPr>
        <w:t>报价方案；</w:t>
      </w:r>
    </w:p>
    <w:p w14:paraId="423963E4">
      <w:pPr>
        <w:pageBreakBefore w:val="0"/>
        <w:widowControl/>
        <w:numPr>
          <w:ilvl w:val="0"/>
          <w:numId w:val="1"/>
        </w:numPr>
        <w:kinsoku/>
        <w:overflowPunct/>
        <w:autoSpaceDE/>
        <w:autoSpaceDN/>
        <w:bidi w:val="0"/>
        <w:snapToGrid w:val="0"/>
        <w:spacing w:line="560" w:lineRule="exact"/>
        <w:ind w:firstLine="840" w:firstLineChars="3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Cs/>
          <w:color w:val="auto"/>
          <w:sz w:val="28"/>
          <w:szCs w:val="28"/>
          <w:lang w:val="en-US" w:eastAsia="zh-CN"/>
        </w:rPr>
        <w:t>项目</w:t>
      </w:r>
      <w:r>
        <w:rPr>
          <w:rFonts w:hint="eastAsia" w:ascii="仿宋_GB2312" w:hAnsi="仿宋_GB2312" w:eastAsia="仿宋_GB2312" w:cs="仿宋_GB2312"/>
          <w:bCs/>
          <w:color w:val="auto"/>
          <w:sz w:val="28"/>
          <w:szCs w:val="28"/>
        </w:rPr>
        <w:t>实施方案;</w:t>
      </w:r>
    </w:p>
    <w:p w14:paraId="1A497C06">
      <w:pPr>
        <w:pageBreakBefore w:val="0"/>
        <w:widowControl/>
        <w:numPr>
          <w:ilvl w:val="0"/>
          <w:numId w:val="1"/>
        </w:numPr>
        <w:kinsoku/>
        <w:overflowPunct/>
        <w:autoSpaceDE/>
        <w:autoSpaceDN/>
        <w:bidi w:val="0"/>
        <w:snapToGrid w:val="0"/>
        <w:spacing w:line="560" w:lineRule="exact"/>
        <w:ind w:firstLine="840" w:firstLineChars="3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Cs/>
          <w:color w:val="auto"/>
          <w:sz w:val="28"/>
          <w:szCs w:val="28"/>
        </w:rPr>
        <w:t>人员管理方案</w:t>
      </w:r>
      <w:r>
        <w:rPr>
          <w:rFonts w:hint="eastAsia" w:ascii="仿宋_GB2312" w:hAnsi="仿宋_GB2312" w:eastAsia="仿宋_GB2312" w:cs="仿宋_GB2312"/>
          <w:bCs/>
          <w:color w:val="auto"/>
          <w:sz w:val="28"/>
          <w:szCs w:val="28"/>
          <w:lang w:eastAsia="zh-CN"/>
        </w:rPr>
        <w:t>（如有）</w:t>
      </w:r>
      <w:r>
        <w:rPr>
          <w:rFonts w:hint="eastAsia" w:ascii="仿宋_GB2312" w:hAnsi="仿宋_GB2312" w:eastAsia="仿宋_GB2312" w:cs="仿宋_GB2312"/>
          <w:bCs/>
          <w:color w:val="auto"/>
          <w:sz w:val="28"/>
          <w:szCs w:val="28"/>
        </w:rPr>
        <w:t>;</w:t>
      </w:r>
    </w:p>
    <w:p w14:paraId="160211ED">
      <w:pPr>
        <w:pageBreakBefore w:val="0"/>
        <w:widowControl/>
        <w:numPr>
          <w:ilvl w:val="0"/>
          <w:numId w:val="1"/>
        </w:numPr>
        <w:kinsoku/>
        <w:overflowPunct/>
        <w:autoSpaceDE/>
        <w:autoSpaceDN/>
        <w:bidi w:val="0"/>
        <w:snapToGrid w:val="0"/>
        <w:spacing w:line="560" w:lineRule="exact"/>
        <w:ind w:firstLine="840" w:firstLineChars="3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Cs/>
          <w:color w:val="auto"/>
          <w:sz w:val="28"/>
          <w:szCs w:val="28"/>
        </w:rPr>
        <w:t>独特优势</w:t>
      </w:r>
      <w:r>
        <w:rPr>
          <w:rFonts w:hint="eastAsia" w:ascii="仿宋_GB2312" w:hAnsi="仿宋_GB2312" w:eastAsia="仿宋_GB2312" w:cs="仿宋_GB2312"/>
          <w:bCs/>
          <w:color w:val="auto"/>
          <w:sz w:val="28"/>
          <w:szCs w:val="28"/>
          <w:lang w:eastAsia="zh-CN"/>
        </w:rPr>
        <w:t>（如有）</w:t>
      </w:r>
      <w:r>
        <w:rPr>
          <w:rFonts w:hint="eastAsia" w:ascii="仿宋_GB2312" w:hAnsi="仿宋_GB2312" w:eastAsia="仿宋_GB2312" w:cs="仿宋_GB2312"/>
          <w:bCs/>
          <w:color w:val="auto"/>
          <w:sz w:val="28"/>
          <w:szCs w:val="28"/>
        </w:rPr>
        <w:t>;</w:t>
      </w:r>
    </w:p>
    <w:p w14:paraId="52A546EA">
      <w:pPr>
        <w:pageBreakBefore w:val="0"/>
        <w:widowControl/>
        <w:numPr>
          <w:ilvl w:val="0"/>
          <w:numId w:val="1"/>
        </w:numPr>
        <w:kinsoku/>
        <w:overflowPunct/>
        <w:autoSpaceDE/>
        <w:autoSpaceDN/>
        <w:bidi w:val="0"/>
        <w:snapToGrid w:val="0"/>
        <w:spacing w:line="560" w:lineRule="exact"/>
        <w:ind w:firstLine="840" w:firstLineChars="3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Cs/>
          <w:color w:val="auto"/>
          <w:sz w:val="28"/>
          <w:szCs w:val="28"/>
          <w:lang w:val="en-US" w:eastAsia="zh-CN"/>
        </w:rPr>
        <w:t>同类经验（如有）；</w:t>
      </w:r>
    </w:p>
    <w:p w14:paraId="78B4E4E6">
      <w:pPr>
        <w:pageBreakBefore w:val="0"/>
        <w:widowControl/>
        <w:numPr>
          <w:ilvl w:val="0"/>
          <w:numId w:val="1"/>
        </w:numPr>
        <w:kinsoku/>
        <w:overflowPunct/>
        <w:autoSpaceDE/>
        <w:autoSpaceDN/>
        <w:bidi w:val="0"/>
        <w:snapToGrid w:val="0"/>
        <w:spacing w:line="560" w:lineRule="exact"/>
        <w:ind w:firstLine="840" w:firstLineChars="3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Cs/>
          <w:color w:val="auto"/>
          <w:sz w:val="28"/>
          <w:szCs w:val="28"/>
        </w:rPr>
        <w:t>供应商认为有必要提供的其他资料等</w:t>
      </w:r>
      <w:r>
        <w:rPr>
          <w:rFonts w:hint="eastAsia" w:ascii="仿宋_GB2312" w:hAnsi="仿宋_GB2312" w:eastAsia="仿宋_GB2312" w:cs="仿宋_GB2312"/>
          <w:bCs/>
          <w:color w:val="auto"/>
          <w:sz w:val="28"/>
          <w:szCs w:val="28"/>
          <w:lang w:eastAsia="zh-CN"/>
        </w:rPr>
        <w:t>。</w:t>
      </w:r>
    </w:p>
    <w:p w14:paraId="5AAC0266">
      <w:pPr>
        <w:pageBreakBefore w:val="0"/>
        <w:widowControl/>
        <w:numPr>
          <w:ilvl w:val="0"/>
          <w:numId w:val="0"/>
        </w:numPr>
        <w:kinsoku/>
        <w:overflowPunct/>
        <w:autoSpaceDE/>
        <w:autoSpaceDN/>
        <w:bidi w:val="0"/>
        <w:snapToGrid w:val="0"/>
        <w:spacing w:line="560" w:lineRule="exact"/>
        <w:ind w:firstLine="843" w:firstLineChars="300"/>
        <w:rPr>
          <w:rFonts w:hint="eastAsia" w:ascii="仿宋_GB2312" w:hAnsi="仿宋_GB2312" w:eastAsia="仿宋_GB2312" w:cs="仿宋_GB2312"/>
          <w:bCs/>
          <w:color w:val="auto"/>
          <w:sz w:val="28"/>
          <w:szCs w:val="28"/>
          <w:u w:val="none"/>
          <w:lang w:eastAsia="zh-CN"/>
        </w:rPr>
      </w:pPr>
      <w:r>
        <w:rPr>
          <w:rFonts w:hint="eastAsia" w:ascii="仿宋_GB2312" w:hAnsi="仿宋_GB2312" w:eastAsia="仿宋_GB2312" w:cs="仿宋_GB2312"/>
          <w:b/>
          <w:bCs w:val="0"/>
          <w:color w:val="auto"/>
          <w:sz w:val="28"/>
          <w:szCs w:val="28"/>
          <w:lang w:val="en-US" w:eastAsia="zh-CN"/>
        </w:rPr>
        <w:t>以上材料均需加盖单位公章</w:t>
      </w:r>
    </w:p>
    <w:p w14:paraId="0F2320C5">
      <w:pPr>
        <w:pageBreakBefore w:val="0"/>
        <w:widowControl/>
        <w:numPr>
          <w:ilvl w:val="0"/>
          <w:numId w:val="0"/>
        </w:numPr>
        <w:kinsoku/>
        <w:overflowPunct/>
        <w:autoSpaceDE/>
        <w:autoSpaceDN/>
        <w:bidi w:val="0"/>
        <w:snapToGrid w:val="0"/>
        <w:spacing w:line="560" w:lineRule="exact"/>
        <w:ind w:firstLine="560" w:firstLineChars="200"/>
        <w:rPr>
          <w:rFonts w:hint="eastAsia" w:ascii="仿宋_GB2312" w:hAnsi="仿宋_GB2312" w:eastAsia="仿宋_GB2312" w:cs="仿宋_GB2312"/>
          <w:bCs/>
          <w:color w:val="auto"/>
          <w:sz w:val="28"/>
          <w:szCs w:val="28"/>
          <w:u w:val="none"/>
          <w:lang w:val="en-US" w:eastAsia="zh-CN"/>
        </w:rPr>
      </w:pPr>
      <w:r>
        <w:rPr>
          <w:rFonts w:hint="eastAsia" w:ascii="仿宋_GB2312" w:hAnsi="仿宋_GB2312" w:eastAsia="仿宋_GB2312" w:cs="仿宋_GB2312"/>
          <w:bCs/>
          <w:color w:val="auto"/>
          <w:sz w:val="28"/>
          <w:szCs w:val="28"/>
          <w:u w:val="none"/>
          <w:lang w:eastAsia="zh-CN"/>
        </w:rPr>
        <w:t>（</w:t>
      </w:r>
      <w:r>
        <w:rPr>
          <w:rFonts w:hint="eastAsia" w:ascii="仿宋_GB2312" w:hAnsi="仿宋_GB2312" w:eastAsia="仿宋_GB2312" w:cs="仿宋_GB2312"/>
          <w:bCs/>
          <w:color w:val="auto"/>
          <w:sz w:val="28"/>
          <w:szCs w:val="28"/>
          <w:u w:val="none"/>
          <w:lang w:val="en-US" w:eastAsia="zh-CN"/>
        </w:rPr>
        <w:t>二）提交方式</w:t>
      </w:r>
    </w:p>
    <w:p w14:paraId="35570873">
      <w:pPr>
        <w:pageBreakBefore w:val="0"/>
        <w:widowControl/>
        <w:numPr>
          <w:ilvl w:val="0"/>
          <w:numId w:val="0"/>
        </w:numPr>
        <w:kinsoku/>
        <w:overflowPunct/>
        <w:autoSpaceDE/>
        <w:autoSpaceDN/>
        <w:bidi w:val="0"/>
        <w:snapToGrid w:val="0"/>
        <w:spacing w:line="560" w:lineRule="exact"/>
        <w:ind w:firstLine="560" w:firstLineChars="200"/>
        <w:rPr>
          <w:rFonts w:hint="eastAsia" w:ascii="仿宋_GB2312" w:hAnsi="仿宋_GB2312" w:eastAsia="仿宋_GB2312" w:cs="仿宋_GB2312"/>
          <w:bCs/>
          <w:color w:val="auto"/>
          <w:sz w:val="28"/>
          <w:szCs w:val="28"/>
          <w:u w:val="none"/>
          <w:lang w:val="en-US" w:eastAsia="zh-CN"/>
        </w:rPr>
      </w:pPr>
      <w:r>
        <w:rPr>
          <w:rFonts w:hint="eastAsia" w:ascii="仿宋_GB2312" w:hAnsi="仿宋_GB2312" w:eastAsia="仿宋_GB2312" w:cs="仿宋_GB2312"/>
          <w:bCs/>
          <w:color w:val="auto"/>
          <w:sz w:val="28"/>
          <w:szCs w:val="28"/>
          <w:lang w:val="en-US" w:eastAsia="zh-CN"/>
        </w:rPr>
        <w:t>1.如提交</w:t>
      </w:r>
      <w:r>
        <w:rPr>
          <w:rFonts w:hint="eastAsia" w:ascii="仿宋_GB2312" w:hAnsi="仿宋_GB2312" w:eastAsia="仿宋_GB2312" w:cs="仿宋_GB2312"/>
          <w:bCs/>
          <w:color w:val="auto"/>
          <w:sz w:val="28"/>
          <w:szCs w:val="28"/>
          <w:u w:val="none"/>
        </w:rPr>
        <w:t>电子</w:t>
      </w:r>
      <w:r>
        <w:rPr>
          <w:rFonts w:hint="eastAsia" w:ascii="仿宋_GB2312" w:hAnsi="仿宋_GB2312" w:eastAsia="仿宋_GB2312" w:cs="仿宋_GB2312"/>
          <w:bCs/>
          <w:color w:val="auto"/>
          <w:sz w:val="28"/>
          <w:szCs w:val="28"/>
          <w:u w:val="none"/>
          <w:lang w:val="en-US" w:eastAsia="zh-CN"/>
        </w:rPr>
        <w:t>扫描材料</w:t>
      </w:r>
      <w:r>
        <w:rPr>
          <w:rFonts w:hint="eastAsia" w:ascii="仿宋_GB2312" w:hAnsi="仿宋_GB2312" w:eastAsia="仿宋_GB2312" w:cs="仿宋_GB2312"/>
          <w:bCs/>
          <w:color w:val="auto"/>
          <w:sz w:val="28"/>
          <w:szCs w:val="28"/>
          <w:u w:val="none"/>
          <w:lang w:eastAsia="zh-CN"/>
        </w:rPr>
        <w:t>，</w:t>
      </w:r>
      <w:r>
        <w:rPr>
          <w:rFonts w:hint="eastAsia" w:ascii="仿宋_GB2312" w:hAnsi="仿宋_GB2312" w:eastAsia="仿宋_GB2312" w:cs="仿宋_GB2312"/>
          <w:bCs/>
          <w:color w:val="auto"/>
          <w:sz w:val="28"/>
          <w:szCs w:val="28"/>
          <w:u w:val="none"/>
          <w:lang w:val="en-US" w:eastAsia="zh-CN"/>
        </w:rPr>
        <w:t>需按上述分</w:t>
      </w:r>
      <w:r>
        <w:rPr>
          <w:rFonts w:hint="eastAsia" w:ascii="仿宋_GB2312" w:hAnsi="仿宋_GB2312" w:eastAsia="仿宋_GB2312" w:cs="仿宋_GB2312"/>
          <w:b/>
          <w:bCs w:val="0"/>
          <w:color w:val="auto"/>
          <w:sz w:val="28"/>
          <w:szCs w:val="28"/>
          <w:u w:val="none"/>
          <w:lang w:val="en-US" w:eastAsia="zh-CN"/>
        </w:rPr>
        <w:t>两封</w:t>
      </w:r>
      <w:r>
        <w:rPr>
          <w:rFonts w:hint="eastAsia" w:ascii="仿宋_GB2312" w:hAnsi="仿宋_GB2312" w:eastAsia="仿宋_GB2312" w:cs="仿宋_GB2312"/>
          <w:bCs/>
          <w:color w:val="auto"/>
          <w:sz w:val="28"/>
          <w:szCs w:val="28"/>
          <w:u w:val="none"/>
          <w:lang w:val="en-US" w:eastAsia="zh-CN"/>
        </w:rPr>
        <w:t>邮件分别发送：</w:t>
      </w:r>
    </w:p>
    <w:p w14:paraId="0EB8DAE3">
      <w:pPr>
        <w:pageBreakBefore w:val="0"/>
        <w:widowControl/>
        <w:numPr>
          <w:ilvl w:val="0"/>
          <w:numId w:val="0"/>
        </w:numPr>
        <w:kinsoku/>
        <w:overflowPunct/>
        <w:autoSpaceDE/>
        <w:autoSpaceDN/>
        <w:bidi w:val="0"/>
        <w:snapToGrid w:val="0"/>
        <w:spacing w:line="560" w:lineRule="exact"/>
        <w:ind w:firstLine="560" w:firstLineChars="200"/>
        <w:rPr>
          <w:rFonts w:hint="eastAsia" w:ascii="仿宋_GB2312" w:hAnsi="仿宋_GB2312" w:eastAsia="仿宋_GB2312" w:cs="仿宋_GB2312"/>
          <w:bCs/>
          <w:color w:val="auto"/>
          <w:sz w:val="28"/>
          <w:szCs w:val="28"/>
          <w:u w:val="none"/>
          <w:lang w:val="en-US" w:eastAsia="zh-CN"/>
        </w:rPr>
      </w:pPr>
      <w:r>
        <w:rPr>
          <w:rFonts w:hint="eastAsia" w:ascii="仿宋_GB2312" w:hAnsi="仿宋_GB2312" w:eastAsia="仿宋_GB2312" w:cs="仿宋_GB2312"/>
          <w:bCs/>
          <w:color w:val="auto"/>
          <w:sz w:val="28"/>
          <w:szCs w:val="28"/>
          <w:u w:val="none"/>
          <w:lang w:val="en-US" w:eastAsia="zh-CN"/>
        </w:rPr>
        <w:t>邮件一命名为“（1）资质文件【XX公司XX项目】”；</w:t>
      </w:r>
    </w:p>
    <w:p w14:paraId="389964FF">
      <w:pPr>
        <w:pageBreakBefore w:val="0"/>
        <w:widowControl/>
        <w:numPr>
          <w:ilvl w:val="0"/>
          <w:numId w:val="0"/>
        </w:numPr>
        <w:kinsoku/>
        <w:overflowPunct/>
        <w:autoSpaceDE/>
        <w:autoSpaceDN/>
        <w:bidi w:val="0"/>
        <w:snapToGrid w:val="0"/>
        <w:spacing w:line="560" w:lineRule="exact"/>
        <w:ind w:firstLine="560" w:firstLineChars="200"/>
        <w:rPr>
          <w:rFonts w:hint="eastAsia" w:ascii="仿宋_GB2312" w:hAnsi="仿宋_GB2312" w:eastAsia="仿宋_GB2312" w:cs="仿宋_GB2312"/>
          <w:bCs/>
          <w:color w:val="auto"/>
          <w:sz w:val="28"/>
          <w:szCs w:val="28"/>
          <w:u w:val="none"/>
          <w:lang w:val="en-US" w:eastAsia="zh-CN"/>
        </w:rPr>
      </w:pPr>
      <w:r>
        <w:rPr>
          <w:rFonts w:hint="eastAsia" w:ascii="仿宋_GB2312" w:hAnsi="仿宋_GB2312" w:eastAsia="仿宋_GB2312" w:cs="仿宋_GB2312"/>
          <w:bCs/>
          <w:color w:val="auto"/>
          <w:sz w:val="28"/>
          <w:szCs w:val="28"/>
          <w:u w:val="none"/>
          <w:lang w:val="en-US" w:eastAsia="zh-CN"/>
        </w:rPr>
        <w:t>邮件二命名为“（2）报价文件【XX公司XX项目】”</w:t>
      </w:r>
      <w:r>
        <w:rPr>
          <w:rFonts w:hint="eastAsia" w:ascii="仿宋_GB2312" w:hAnsi="仿宋_GB2312" w:eastAsia="仿宋_GB2312" w:cs="仿宋_GB2312"/>
          <w:bCs/>
          <w:color w:val="auto"/>
          <w:sz w:val="28"/>
          <w:szCs w:val="28"/>
          <w:u w:val="none"/>
        </w:rPr>
        <w:t>；</w:t>
      </w:r>
    </w:p>
    <w:p w14:paraId="762BCA15">
      <w:pPr>
        <w:pageBreakBefore w:val="0"/>
        <w:widowControl/>
        <w:numPr>
          <w:ilvl w:val="0"/>
          <w:numId w:val="2"/>
        </w:numPr>
        <w:kinsoku/>
        <w:overflowPunct/>
        <w:autoSpaceDE/>
        <w:autoSpaceDN/>
        <w:bidi w:val="0"/>
        <w:snapToGrid w:val="0"/>
        <w:spacing w:line="560" w:lineRule="exact"/>
        <w:ind w:firstLine="560" w:firstLineChars="200"/>
        <w:rPr>
          <w:rFonts w:hint="eastAsia" w:ascii="仿宋_GB2312" w:hAnsi="仿宋_GB2312" w:eastAsia="仿宋_GB2312" w:cs="仿宋_GB2312"/>
          <w:bCs/>
          <w:color w:val="auto"/>
          <w:sz w:val="28"/>
          <w:szCs w:val="28"/>
          <w:u w:val="none"/>
          <w:lang w:val="en-US" w:eastAsia="zh-CN"/>
        </w:rPr>
      </w:pPr>
      <w:r>
        <w:rPr>
          <w:rFonts w:hint="eastAsia" w:ascii="仿宋_GB2312" w:hAnsi="仿宋_GB2312" w:eastAsia="仿宋_GB2312" w:cs="仿宋_GB2312"/>
          <w:bCs/>
          <w:color w:val="auto"/>
          <w:sz w:val="28"/>
          <w:szCs w:val="28"/>
          <w:u w:val="none"/>
          <w:lang w:val="en-US" w:eastAsia="zh-CN"/>
        </w:rPr>
        <w:t>如提交</w:t>
      </w:r>
      <w:r>
        <w:rPr>
          <w:rFonts w:hint="eastAsia" w:ascii="仿宋_GB2312" w:hAnsi="仿宋_GB2312" w:eastAsia="仿宋_GB2312" w:cs="仿宋_GB2312"/>
          <w:bCs/>
          <w:color w:val="auto"/>
          <w:sz w:val="28"/>
          <w:szCs w:val="28"/>
          <w:u w:val="none"/>
        </w:rPr>
        <w:t>纸质版</w:t>
      </w:r>
      <w:r>
        <w:rPr>
          <w:rFonts w:hint="eastAsia" w:ascii="仿宋_GB2312" w:hAnsi="仿宋_GB2312" w:eastAsia="仿宋_GB2312" w:cs="仿宋_GB2312"/>
          <w:bCs/>
          <w:color w:val="auto"/>
          <w:sz w:val="28"/>
          <w:szCs w:val="28"/>
          <w:u w:val="none"/>
          <w:lang w:val="en-US" w:eastAsia="zh-CN"/>
        </w:rPr>
        <w:t>材料，需按上述“资质文件”、“报价文件”分</w:t>
      </w:r>
      <w:r>
        <w:rPr>
          <w:rFonts w:hint="eastAsia" w:ascii="仿宋_GB2312" w:hAnsi="仿宋_GB2312" w:eastAsia="仿宋_GB2312" w:cs="仿宋_GB2312"/>
          <w:b/>
          <w:bCs w:val="0"/>
          <w:color w:val="auto"/>
          <w:sz w:val="28"/>
          <w:szCs w:val="28"/>
          <w:u w:val="none"/>
          <w:lang w:val="en-US" w:eastAsia="zh-CN"/>
        </w:rPr>
        <w:t>两封</w:t>
      </w:r>
      <w:r>
        <w:rPr>
          <w:rFonts w:hint="eastAsia" w:ascii="仿宋_GB2312" w:hAnsi="仿宋_GB2312" w:eastAsia="仿宋_GB2312" w:cs="仿宋_GB2312"/>
          <w:bCs/>
          <w:color w:val="auto"/>
          <w:sz w:val="28"/>
          <w:szCs w:val="28"/>
          <w:u w:val="none"/>
          <w:lang w:val="en-US" w:eastAsia="zh-CN"/>
        </w:rPr>
        <w:t>包装，</w:t>
      </w:r>
      <w:r>
        <w:rPr>
          <w:rFonts w:hint="eastAsia" w:ascii="仿宋_GB2312" w:hAnsi="仿宋_GB2312" w:eastAsia="仿宋_GB2312" w:cs="仿宋_GB2312"/>
          <w:bCs/>
          <w:color w:val="auto"/>
          <w:sz w:val="28"/>
          <w:szCs w:val="28"/>
          <w:u w:val="none"/>
        </w:rPr>
        <w:t>均需密封处理，</w:t>
      </w:r>
      <w:r>
        <w:rPr>
          <w:rFonts w:hint="eastAsia" w:ascii="仿宋_GB2312" w:hAnsi="仿宋_GB2312" w:eastAsia="仿宋_GB2312" w:cs="仿宋_GB2312"/>
          <w:bCs/>
          <w:color w:val="auto"/>
          <w:sz w:val="28"/>
          <w:szCs w:val="28"/>
          <w:u w:val="none"/>
          <w:lang w:val="en-US" w:eastAsia="zh-CN"/>
        </w:rPr>
        <w:t>并在密封处加盖公章，</w:t>
      </w:r>
    </w:p>
    <w:p w14:paraId="3F59E365">
      <w:pPr>
        <w:pageBreakBefore w:val="0"/>
        <w:widowControl/>
        <w:numPr>
          <w:ilvl w:val="0"/>
          <w:numId w:val="0"/>
        </w:numPr>
        <w:kinsoku/>
        <w:overflowPunct/>
        <w:autoSpaceDE/>
        <w:autoSpaceDN/>
        <w:bidi w:val="0"/>
        <w:snapToGrid w:val="0"/>
        <w:spacing w:line="560" w:lineRule="exact"/>
        <w:ind w:firstLine="560" w:firstLineChars="200"/>
        <w:rPr>
          <w:rFonts w:hint="eastAsia" w:ascii="仿宋_GB2312" w:hAnsi="仿宋_GB2312" w:eastAsia="仿宋_GB2312" w:cs="仿宋_GB2312"/>
          <w:bCs/>
          <w:color w:val="auto"/>
          <w:sz w:val="28"/>
          <w:szCs w:val="28"/>
          <w:u w:val="none"/>
          <w:lang w:val="en-US" w:eastAsia="zh-CN"/>
        </w:rPr>
      </w:pPr>
      <w:r>
        <w:rPr>
          <w:rFonts w:hint="eastAsia" w:ascii="仿宋_GB2312" w:hAnsi="仿宋_GB2312" w:eastAsia="仿宋_GB2312" w:cs="仿宋_GB2312"/>
          <w:bCs/>
          <w:color w:val="auto"/>
          <w:sz w:val="28"/>
          <w:szCs w:val="28"/>
          <w:u w:val="none"/>
          <w:lang w:val="en-US" w:eastAsia="zh-CN"/>
        </w:rPr>
        <w:t>文件包一：资质文件</w:t>
      </w:r>
    </w:p>
    <w:p w14:paraId="38AF6CA8">
      <w:pPr>
        <w:pageBreakBefore w:val="0"/>
        <w:widowControl/>
        <w:numPr>
          <w:ilvl w:val="0"/>
          <w:numId w:val="0"/>
        </w:numPr>
        <w:kinsoku/>
        <w:overflowPunct/>
        <w:autoSpaceDE/>
        <w:autoSpaceDN/>
        <w:bidi w:val="0"/>
        <w:snapToGrid w:val="0"/>
        <w:spacing w:line="560" w:lineRule="exact"/>
        <w:ind w:firstLine="560" w:firstLineChars="200"/>
        <w:rPr>
          <w:rFonts w:hint="eastAsia" w:ascii="仿宋_GB2312" w:hAnsi="仿宋_GB2312" w:eastAsia="仿宋_GB2312" w:cs="仿宋_GB2312"/>
          <w:bCs/>
          <w:color w:val="auto"/>
          <w:sz w:val="28"/>
          <w:szCs w:val="28"/>
          <w:u w:val="none"/>
          <w:lang w:val="en-US" w:eastAsia="zh-CN"/>
        </w:rPr>
      </w:pPr>
      <w:r>
        <w:rPr>
          <w:rFonts w:hint="eastAsia" w:ascii="仿宋_GB2312" w:hAnsi="仿宋_GB2312" w:eastAsia="仿宋_GB2312" w:cs="仿宋_GB2312"/>
          <w:bCs/>
          <w:color w:val="auto"/>
          <w:sz w:val="28"/>
          <w:szCs w:val="28"/>
          <w:u w:val="none"/>
          <w:lang w:val="en-US" w:eastAsia="zh-CN"/>
        </w:rPr>
        <w:t>文件包二：报价文件</w:t>
      </w:r>
    </w:p>
    <w:p w14:paraId="77121B9C">
      <w:pPr>
        <w:pageBreakBefore w:val="0"/>
        <w:kinsoku/>
        <w:overflowPunct/>
        <w:autoSpaceDE/>
        <w:autoSpaceDN/>
        <w:bidi w:val="0"/>
        <w:spacing w:line="560" w:lineRule="exact"/>
        <w:ind w:left="0" w:leftChars="0" w:firstLine="0" w:firstLineChars="0"/>
      </w:pPr>
      <w:r>
        <w:rPr>
          <w:rFonts w:hint="eastAsia" w:ascii="仿宋_GB2312" w:hAnsi="仿宋_GB2312" w:eastAsia="仿宋_GB2312" w:cs="仿宋_GB2312"/>
          <w:bCs/>
          <w:color w:val="auto"/>
          <w:sz w:val="28"/>
          <w:szCs w:val="28"/>
          <w:u w:val="none"/>
          <w:lang w:val="en-US" w:eastAsia="zh-CN"/>
        </w:rPr>
        <w:t>两份</w:t>
      </w:r>
      <w:r>
        <w:rPr>
          <w:rFonts w:hint="eastAsia" w:ascii="仿宋_GB2312" w:hAnsi="仿宋_GB2312" w:eastAsia="仿宋_GB2312" w:cs="仿宋_GB2312"/>
          <w:bCs/>
          <w:color w:val="auto"/>
          <w:sz w:val="28"/>
          <w:szCs w:val="28"/>
          <w:u w:val="none"/>
        </w:rPr>
        <w:t>文件封面应注明</w:t>
      </w:r>
      <w:r>
        <w:rPr>
          <w:rFonts w:hint="eastAsia" w:ascii="仿宋_GB2312" w:hAnsi="仿宋_GB2312" w:eastAsia="仿宋_GB2312" w:cs="仿宋_GB2312"/>
          <w:bCs/>
          <w:color w:val="auto"/>
          <w:sz w:val="28"/>
          <w:szCs w:val="28"/>
          <w:u w:val="none"/>
          <w:lang w:val="en-US" w:eastAsia="zh-CN"/>
        </w:rPr>
        <w:t>项目名称、</w:t>
      </w:r>
      <w:r>
        <w:rPr>
          <w:rFonts w:hint="eastAsia" w:ascii="仿宋_GB2312" w:hAnsi="仿宋_GB2312" w:eastAsia="仿宋_GB2312" w:cs="仿宋_GB2312"/>
          <w:bCs/>
          <w:color w:val="auto"/>
          <w:sz w:val="28"/>
          <w:szCs w:val="28"/>
          <w:u w:val="none"/>
          <w:lang w:eastAsia="zh-CN"/>
        </w:rPr>
        <w:t>供应商</w:t>
      </w:r>
      <w:r>
        <w:rPr>
          <w:rFonts w:hint="eastAsia" w:ascii="仿宋_GB2312" w:hAnsi="仿宋_GB2312" w:eastAsia="仿宋_GB2312" w:cs="仿宋_GB2312"/>
          <w:bCs/>
          <w:color w:val="auto"/>
          <w:sz w:val="28"/>
          <w:szCs w:val="28"/>
          <w:u w:val="none"/>
        </w:rPr>
        <w:t>名称</w:t>
      </w:r>
      <w:r>
        <w:rPr>
          <w:rFonts w:hint="eastAsia" w:ascii="仿宋_GB2312" w:hAnsi="仿宋_GB2312" w:eastAsia="仿宋_GB2312" w:cs="仿宋_GB2312"/>
          <w:bCs/>
          <w:color w:val="auto"/>
          <w:sz w:val="28"/>
          <w:szCs w:val="28"/>
          <w:u w:val="none"/>
          <w:lang w:eastAsia="zh-CN"/>
        </w:rPr>
        <w:t>、</w:t>
      </w:r>
      <w:r>
        <w:rPr>
          <w:rFonts w:hint="eastAsia" w:ascii="仿宋_GB2312" w:hAnsi="仿宋_GB2312" w:eastAsia="仿宋_GB2312" w:cs="仿宋_GB2312"/>
          <w:bCs/>
          <w:color w:val="auto"/>
          <w:sz w:val="28"/>
          <w:szCs w:val="28"/>
          <w:u w:val="none"/>
          <w:lang w:val="en-US" w:eastAsia="zh-CN"/>
        </w:rPr>
        <w:t>资质文件或报价文件</w:t>
      </w:r>
      <w:r>
        <w:rPr>
          <w:rFonts w:hint="eastAsia" w:ascii="仿宋_GB2312" w:hAnsi="仿宋_GB2312" w:eastAsia="仿宋_GB2312" w:cs="仿宋_GB2312"/>
          <w:bCs/>
          <w:color w:val="auto"/>
          <w:sz w:val="28"/>
          <w:szCs w:val="28"/>
          <w:u w:val="none"/>
        </w:rPr>
        <w:t>、项目负责人及联系电话</w:t>
      </w:r>
      <w:r>
        <w:rPr>
          <w:rFonts w:hint="eastAsia" w:ascii="仿宋_GB2312" w:hAnsi="仿宋_GB2312" w:eastAsia="仿宋_GB2312" w:cs="仿宋_GB2312"/>
          <w:bCs/>
          <w:color w:val="auto"/>
          <w:sz w:val="28"/>
          <w:szCs w:val="28"/>
          <w:u w:val="none"/>
          <w:lang w:eastAsia="zh-CN"/>
        </w:rPr>
        <w:t>、</w:t>
      </w:r>
      <w:r>
        <w:rPr>
          <w:rFonts w:hint="eastAsia" w:ascii="仿宋_GB2312" w:hAnsi="仿宋_GB2312" w:eastAsia="仿宋_GB2312" w:cs="仿宋_GB2312"/>
          <w:bCs/>
          <w:color w:val="auto"/>
          <w:sz w:val="28"/>
          <w:szCs w:val="28"/>
          <w:u w:val="none"/>
          <w:lang w:val="en-US" w:eastAsia="zh-CN"/>
        </w:rPr>
        <w:t>响应日期</w:t>
      </w:r>
      <w:r>
        <w:rPr>
          <w:rFonts w:hint="eastAsia" w:ascii="仿宋_GB2312" w:hAnsi="仿宋_GB2312" w:eastAsia="仿宋_GB2312" w:cs="仿宋_GB2312"/>
          <w:bCs/>
          <w:color w:val="auto"/>
          <w:sz w:val="28"/>
          <w:szCs w:val="28"/>
          <w:u w:val="none"/>
        </w:rPr>
        <w:t>。</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6E12F32-A90A-415F-B8C2-9D4A0B2DB1A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A702A7FF-D03A-43E5-9C16-A4014FAD662B}"/>
  </w:font>
  <w:font w:name="仿宋_GB2312">
    <w:panose1 w:val="02010609030101010101"/>
    <w:charset w:val="86"/>
    <w:family w:val="auto"/>
    <w:pitch w:val="default"/>
    <w:sig w:usb0="00000001" w:usb1="080E0000" w:usb2="00000000" w:usb3="00000000" w:csb0="00040000" w:csb1="00000000"/>
    <w:embedRegular r:id="rId3" w:fontKey="{C4ADA415-94C6-430D-B4C4-E4E33A608183}"/>
  </w:font>
  <w:font w:name="方正小标宋简体">
    <w:panose1 w:val="03000509000000000000"/>
    <w:charset w:val="86"/>
    <w:family w:val="auto"/>
    <w:pitch w:val="default"/>
    <w:sig w:usb0="00000001" w:usb1="080E0000" w:usb2="00000000" w:usb3="00000000" w:csb0="00040000" w:csb1="00000000"/>
    <w:embedRegular r:id="rId4" w:fontKey="{3A106E81-DF1C-4934-B0FF-6EE6FD58EAB2}"/>
  </w:font>
  <w:font w:name="仿宋">
    <w:panose1 w:val="02010609060101010101"/>
    <w:charset w:val="86"/>
    <w:family w:val="auto"/>
    <w:pitch w:val="default"/>
    <w:sig w:usb0="800002BF" w:usb1="38CF7CFA" w:usb2="00000016" w:usb3="00000000" w:csb0="00040001" w:csb1="00000000"/>
    <w:embedRegular r:id="rId5" w:fontKey="{4DF41EE3-6068-4CB5-93C5-E692CF5D2E70}"/>
  </w:font>
  <w:font w:name="方正仿宋_GB2312">
    <w:panose1 w:val="02000000000000000000"/>
    <w:charset w:val="86"/>
    <w:family w:val="auto"/>
    <w:pitch w:val="default"/>
    <w:sig w:usb0="A00002BF" w:usb1="184F6CFA" w:usb2="00000012" w:usb3="00000000" w:csb0="00040001" w:csb1="00000000"/>
    <w:embedRegular r:id="rId6" w:fontKey="{ADA60652-0886-4A25-81F5-E0AF4D7AE357}"/>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3864CD"/>
    <w:multiLevelType w:val="singleLevel"/>
    <w:tmpl w:val="CF3864CD"/>
    <w:lvl w:ilvl="0" w:tentative="0">
      <w:start w:val="2"/>
      <w:numFmt w:val="decimal"/>
      <w:lvlText w:val="%1."/>
      <w:lvlJc w:val="left"/>
      <w:pPr>
        <w:tabs>
          <w:tab w:val="left" w:pos="312"/>
        </w:tabs>
      </w:pPr>
    </w:lvl>
  </w:abstractNum>
  <w:abstractNum w:abstractNumId="1">
    <w:nsid w:val="5A20CF4F"/>
    <w:multiLevelType w:val="singleLevel"/>
    <w:tmpl w:val="5A20CF4F"/>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594505"/>
    <w:rsid w:val="0E6D49C6"/>
    <w:rsid w:val="0F6A6190"/>
    <w:rsid w:val="20F7232E"/>
    <w:rsid w:val="2646792B"/>
    <w:rsid w:val="2D5F046E"/>
    <w:rsid w:val="30BD3F5F"/>
    <w:rsid w:val="3CAF3E49"/>
    <w:rsid w:val="3D427966"/>
    <w:rsid w:val="3EB83D4C"/>
    <w:rsid w:val="4A8851FA"/>
    <w:rsid w:val="4C5E2F58"/>
    <w:rsid w:val="4DE47CD6"/>
    <w:rsid w:val="53243C5E"/>
    <w:rsid w:val="569F1A29"/>
    <w:rsid w:val="591D2FC1"/>
    <w:rsid w:val="59214A57"/>
    <w:rsid w:val="5DD9749A"/>
    <w:rsid w:val="64594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720" w:firstLineChars="200"/>
      <w:jc w:val="both"/>
    </w:pPr>
    <w:rPr>
      <w:rFonts w:ascii="Calibri" w:hAnsi="Calibri" w:eastAsia="仿宋_GB2312" w:cs="Times New Roman"/>
      <w:kern w:val="2"/>
      <w:sz w:val="28"/>
      <w:szCs w:val="22"/>
      <w:lang w:val="en-US" w:eastAsia="zh-CN" w:bidi="ar-SA"/>
    </w:rPr>
  </w:style>
  <w:style w:type="paragraph" w:styleId="3">
    <w:name w:val="heading 2"/>
    <w:basedOn w:val="1"/>
    <w:next w:val="1"/>
    <w:unhideWhenUsed/>
    <w:qFormat/>
    <w:uiPriority w:val="0"/>
    <w:pPr>
      <w:keepNext/>
      <w:keepLines/>
      <w:spacing w:beforeLines="0" w:beforeAutospacing="0" w:afterLines="0" w:afterAutospacing="0" w:line="560" w:lineRule="exact"/>
      <w:ind w:firstLine="0" w:firstLineChars="0"/>
      <w:jc w:val="center"/>
      <w:outlineLvl w:val="1"/>
    </w:pPr>
    <w:rPr>
      <w:rFonts w:ascii="方正小标宋简体" w:hAnsi="方正小标宋简体" w:eastAsia="方正小标宋简体"/>
      <w:sz w:val="36"/>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列出段落1"/>
    <w:basedOn w:val="1"/>
    <w:qFormat/>
    <w:uiPriority w:val="0"/>
    <w:pPr>
      <w:ind w:firstLine="420" w:firstLineChars="200"/>
    </w:pPr>
    <w:rPr>
      <w:szCs w:val="21"/>
    </w:rPr>
  </w:style>
  <w:style w:type="paragraph" w:styleId="4">
    <w:name w:val="Normal Indent"/>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2028</Words>
  <Characters>2067</Characters>
  <Lines>0</Lines>
  <Paragraphs>0</Paragraphs>
  <TotalTime>31</TotalTime>
  <ScaleCrop>false</ScaleCrop>
  <LinksUpToDate>false</LinksUpToDate>
  <CharactersWithSpaces>2072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2024-09-05T06:46:00Z</dcterms:created>
  <dc:creator>采购小组</dc:creator>
  <cp:lastModifiedBy>CJY</cp:lastModifiedBy>
  <dcterms:modified xsi:type="dcterms:W3CDTF">2025-12-08T03:04:10Z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eyJoZGlkIjoiZGI4MTQ0MDlmOTZmZjYxNjMwNGRjNzcwNTAxNzYyMzkiLCJ1c2VySWQiOiIyOTM2OTY3ODgifQ==</vt:lpwstr>
  </property>
  <property fmtid="{D5CDD505-2E9C-101B-9397-08002B2CF9AE}" pid="4" name="ICV">
    <vt:lpwstr>98E25702A75043A1A8F0CF6C73E65EF5_13</vt:lpwstr>
  </property>
</Properties>
</file>