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E9C7A">
      <w:pPr>
        <w:spacing w:line="276" w:lineRule="auto"/>
        <w:jc w:val="center"/>
        <w:rPr>
          <w:rFonts w:ascii="宋体" w:hAnsi="宋体" w:cs="Calibri"/>
          <w:b/>
          <w:color w:val="auto"/>
          <w:sz w:val="44"/>
          <w:highlight w:val="none"/>
          <w:shd w:val="clear" w:color="060000" w:fill="auto"/>
        </w:rPr>
      </w:pPr>
    </w:p>
    <w:p w14:paraId="2388522C">
      <w:pPr>
        <w:spacing w:line="276" w:lineRule="auto"/>
        <w:jc w:val="center"/>
        <w:rPr>
          <w:rFonts w:ascii="宋体" w:hAnsi="宋体" w:cs="Calibri"/>
          <w:b/>
          <w:color w:val="auto"/>
          <w:sz w:val="44"/>
          <w:highlight w:val="none"/>
          <w:shd w:val="clear" w:color="060000" w:fill="auto"/>
        </w:rPr>
      </w:pPr>
    </w:p>
    <w:p w14:paraId="592DF21C">
      <w:pPr>
        <w:spacing w:line="276" w:lineRule="auto"/>
        <w:jc w:val="center"/>
        <w:rPr>
          <w:rFonts w:hint="eastAsia" w:ascii="黑体" w:hAnsi="黑体" w:eastAsia="黑体" w:cs="黑体"/>
          <w:color w:val="auto"/>
          <w:sz w:val="52"/>
          <w:szCs w:val="52"/>
          <w:highlight w:val="none"/>
          <w:shd w:val="clear" w:color="060000" w:fill="auto"/>
          <w:lang w:eastAsia="zh-CN"/>
        </w:rPr>
      </w:pPr>
      <w:r>
        <w:rPr>
          <w:rFonts w:hint="eastAsia" w:ascii="黑体" w:hAnsi="黑体" w:eastAsia="黑体" w:cs="黑体"/>
          <w:color w:val="auto"/>
          <w:sz w:val="52"/>
          <w:szCs w:val="52"/>
          <w:highlight w:val="none"/>
          <w:shd w:val="clear" w:color="060000" w:fill="auto"/>
          <w:lang w:eastAsia="zh-CN"/>
        </w:rPr>
        <w:t>深圳第一亚太物业管理有限公司</w:t>
      </w:r>
    </w:p>
    <w:p w14:paraId="0E16BA23">
      <w:pPr>
        <w:spacing w:line="276" w:lineRule="auto"/>
        <w:jc w:val="center"/>
        <w:rPr>
          <w:rFonts w:hint="eastAsia" w:ascii="黑体" w:hAnsi="黑体" w:eastAsia="黑体" w:cs="黑体"/>
          <w:b/>
          <w:color w:val="auto"/>
          <w:sz w:val="48"/>
          <w:highlight w:val="none"/>
          <w:shd w:val="clear" w:color="060000" w:fill="auto"/>
        </w:rPr>
      </w:pPr>
    </w:p>
    <w:p w14:paraId="580417C6">
      <w:pPr>
        <w:spacing w:line="276" w:lineRule="auto"/>
        <w:jc w:val="center"/>
        <w:rPr>
          <w:rFonts w:hint="eastAsia" w:ascii="黑体" w:hAnsi="黑体" w:eastAsia="黑体" w:cs="黑体"/>
          <w:b/>
          <w:color w:val="auto"/>
          <w:sz w:val="48"/>
          <w:highlight w:val="none"/>
          <w:shd w:val="clear" w:color="060000" w:fill="auto"/>
        </w:rPr>
      </w:pPr>
    </w:p>
    <w:p w14:paraId="4AF3C10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非依法必须招标项目</w:t>
      </w:r>
    </w:p>
    <w:p w14:paraId="565351A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服务类招标文件</w:t>
      </w:r>
    </w:p>
    <w:p w14:paraId="146ECC1B">
      <w:pPr>
        <w:spacing w:line="276" w:lineRule="auto"/>
        <w:jc w:val="center"/>
        <w:rPr>
          <w:rFonts w:ascii="宋体" w:hAnsi="宋体" w:cs="黑体"/>
          <w:b/>
          <w:color w:val="auto"/>
          <w:sz w:val="72"/>
          <w:highlight w:val="none"/>
          <w:shd w:val="clear" w:color="060000" w:fill="auto"/>
        </w:rPr>
      </w:pPr>
    </w:p>
    <w:p w14:paraId="3C175C91">
      <w:pPr>
        <w:spacing w:line="276" w:lineRule="auto"/>
        <w:jc w:val="both"/>
        <w:rPr>
          <w:rFonts w:hint="eastAsia" w:ascii="宋体" w:hAnsi="宋体" w:eastAsia="宋体" w:cs="黑体"/>
          <w:b/>
          <w:color w:val="auto"/>
          <w:sz w:val="72"/>
          <w:highlight w:val="none"/>
          <w:shd w:val="clear" w:color="060000" w:fill="auto"/>
          <w:lang w:eastAsia="zh-CN"/>
        </w:rPr>
      </w:pPr>
    </w:p>
    <w:p w14:paraId="0B5048AC">
      <w:pPr>
        <w:spacing w:line="276" w:lineRule="auto"/>
        <w:ind w:firstLine="31680"/>
        <w:jc w:val="center"/>
        <w:rPr>
          <w:rFonts w:ascii="宋体" w:hAnsi="宋体" w:cs="黑体"/>
          <w:b/>
          <w:color w:val="auto"/>
          <w:sz w:val="44"/>
          <w:highlight w:val="none"/>
          <w:shd w:val="clear" w:color="060000" w:fill="auto"/>
        </w:rPr>
      </w:pPr>
    </w:p>
    <w:p w14:paraId="1DCA8365">
      <w:pPr>
        <w:spacing w:line="276" w:lineRule="auto"/>
        <w:ind w:left="-30076"/>
        <w:rPr>
          <w:rFonts w:ascii="宋体" w:hAnsi="宋体" w:cs="Calibri"/>
          <w:b/>
          <w:color w:val="auto"/>
          <w:sz w:val="44"/>
          <w:highlight w:val="none"/>
          <w:shd w:val="clear" w:color="060000" w:fill="auto"/>
        </w:rPr>
      </w:pPr>
    </w:p>
    <w:p w14:paraId="16210697">
      <w:pPr>
        <w:spacing w:line="560" w:lineRule="exact"/>
        <w:ind w:left="958" w:leftChars="456" w:firstLine="0" w:firstLineChars="0"/>
        <w:jc w:val="left"/>
        <w:rPr>
          <w:rFonts w:hint="eastAsia" w:ascii="黑体" w:hAnsi="黑体" w:eastAsia="仿宋" w:cs="黑体"/>
          <w:color w:val="auto"/>
          <w:sz w:val="32"/>
          <w:szCs w:val="32"/>
          <w:highlight w:val="none"/>
          <w:u w:val="single"/>
          <w:shd w:val="clear" w:color="050000" w:fill="auto"/>
          <w:lang w:val="en-US" w:eastAsia="zh-CN"/>
        </w:rPr>
      </w:pPr>
      <w:r>
        <w:rPr>
          <w:rFonts w:hint="eastAsia" w:ascii="黑体" w:hAnsi="黑体" w:eastAsia="黑体" w:cs="黑体"/>
          <w:color w:val="auto"/>
          <w:sz w:val="32"/>
          <w:szCs w:val="32"/>
          <w:highlight w:val="none"/>
          <w:shd w:val="clear" w:color="050000" w:fill="auto"/>
        </w:rPr>
        <w:t>招标项目名称：</w:t>
      </w:r>
      <w:r>
        <w:rPr>
          <w:rFonts w:hint="eastAsia" w:ascii="仿宋" w:hAnsi="仿宋" w:eastAsia="仿宋" w:cs="仿宋"/>
          <w:color w:val="auto"/>
          <w:sz w:val="32"/>
          <w:szCs w:val="32"/>
          <w:highlight w:val="none"/>
          <w:u w:val="single"/>
          <w:lang w:val="en-US" w:eastAsia="zh-CN"/>
        </w:rPr>
        <w:t>精品34区/会展中心，精品5区、精品6区，招商行政中心(含案场)、巴南华府云邸/明昱阁项目</w:t>
      </w:r>
      <w:r>
        <w:rPr>
          <w:rFonts w:hint="eastAsia" w:ascii="仿宋" w:hAnsi="仿宋" w:eastAsia="仿宋" w:cs="仿宋"/>
          <w:color w:val="auto"/>
          <w:sz w:val="32"/>
          <w:szCs w:val="32"/>
          <w:highlight w:val="none"/>
          <w:u w:val="single"/>
        </w:rPr>
        <w:t>保洁服务</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第二次</w:t>
      </w:r>
      <w:r>
        <w:rPr>
          <w:rFonts w:hint="eastAsia" w:ascii="仿宋" w:hAnsi="仿宋" w:eastAsia="仿宋" w:cs="仿宋"/>
          <w:color w:val="auto"/>
          <w:sz w:val="32"/>
          <w:szCs w:val="32"/>
          <w:highlight w:val="none"/>
          <w:u w:val="single"/>
          <w:lang w:eastAsia="zh-CN"/>
        </w:rPr>
        <w:t>）</w:t>
      </w:r>
    </w:p>
    <w:p w14:paraId="596CE9B2">
      <w:pPr>
        <w:spacing w:line="560" w:lineRule="exact"/>
        <w:ind w:left="958" w:leftChars="456" w:firstLine="0" w:firstLineChars="0"/>
        <w:jc w:val="left"/>
        <w:rPr>
          <w:rFonts w:hint="eastAsia" w:ascii="黑体" w:hAnsi="黑体" w:eastAsia="黑体" w:cs="黑体"/>
          <w:color w:val="auto"/>
          <w:sz w:val="32"/>
          <w:highlight w:val="none"/>
          <w:u w:val="single"/>
          <w:shd w:val="clear" w:color="050000" w:fill="auto"/>
        </w:rPr>
      </w:pPr>
      <w:r>
        <w:rPr>
          <w:rFonts w:hint="eastAsia" w:ascii="黑体" w:hAnsi="黑体" w:eastAsia="黑体" w:cs="黑体"/>
          <w:color w:val="auto"/>
          <w:sz w:val="32"/>
          <w:szCs w:val="32"/>
          <w:highlight w:val="none"/>
          <w:shd w:val="clear" w:color="050000" w:fill="auto"/>
        </w:rPr>
        <w:t>项 目 地 点：</w:t>
      </w:r>
      <w:r>
        <w:rPr>
          <w:rFonts w:hint="eastAsia" w:ascii="仿宋" w:hAnsi="仿宋" w:eastAsia="仿宋" w:cs="仿宋"/>
          <w:color w:val="auto"/>
          <w:sz w:val="32"/>
          <w:szCs w:val="32"/>
          <w:highlight w:val="none"/>
          <w:u w:val="single"/>
          <w:shd w:val="clear" w:color="050000" w:fill="auto"/>
          <w:lang w:eastAsia="zh-CN"/>
        </w:rPr>
        <w:t>重庆市巴南区东城大道8号</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28"/>
          <w:szCs w:val="28"/>
          <w:highlight w:val="none"/>
          <w:u w:val="single"/>
          <w:lang w:val="en-US" w:eastAsia="zh-CN"/>
        </w:rPr>
        <w:t xml:space="preserve"> </w:t>
      </w:r>
    </w:p>
    <w:p w14:paraId="5B43D1EF">
      <w:pPr>
        <w:snapToGrid w:val="0"/>
        <w:spacing w:beforeLines="100" w:afterLines="50" w:line="360" w:lineRule="auto"/>
        <w:ind w:firstLine="960" w:firstLineChars="300"/>
        <w:jc w:val="both"/>
        <w:rPr>
          <w:rFonts w:hint="eastAsia" w:ascii="黑体" w:hAnsi="黑体" w:eastAsia="黑体" w:cs="黑体"/>
          <w:color w:val="auto"/>
          <w:sz w:val="32"/>
          <w:highlight w:val="none"/>
          <w:u w:val="single"/>
          <w:shd w:val="clear" w:color="060000" w:fill="auto"/>
        </w:rPr>
      </w:pPr>
      <w:r>
        <w:rPr>
          <w:rFonts w:hint="eastAsia" w:ascii="黑体" w:hAnsi="黑体" w:eastAsia="黑体" w:cs="黑体"/>
          <w:color w:val="auto"/>
          <w:sz w:val="32"/>
          <w:highlight w:val="none"/>
          <w:shd w:val="clear" w:color="050000" w:fill="auto"/>
        </w:rPr>
        <w:t xml:space="preserve">招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 xml:space="preserve">标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人：</w:t>
      </w:r>
      <w:r>
        <w:rPr>
          <w:rFonts w:hint="eastAsia" w:ascii="仿宋" w:hAnsi="仿宋" w:eastAsia="仿宋" w:cs="仿宋"/>
          <w:color w:val="auto"/>
          <w:sz w:val="32"/>
          <w:szCs w:val="32"/>
          <w:highlight w:val="none"/>
          <w:u w:val="single"/>
          <w:lang w:val="en-US" w:eastAsia="zh-CN"/>
        </w:rPr>
        <w:t>深圳第一亚太物业管理有限公司重庆分公司</w:t>
      </w:r>
    </w:p>
    <w:p w14:paraId="5C815925">
      <w:pPr>
        <w:spacing w:line="360" w:lineRule="auto"/>
        <w:jc w:val="center"/>
        <w:rPr>
          <w:rFonts w:hint="eastAsia" w:ascii="黑体" w:hAnsi="黑体" w:eastAsia="黑体" w:cs="黑体"/>
          <w:color w:val="auto"/>
          <w:sz w:val="32"/>
          <w:highlight w:val="none"/>
          <w:shd w:val="clear" w:color="050000" w:fill="auto"/>
        </w:rPr>
      </w:pPr>
    </w:p>
    <w:p w14:paraId="49CCF3C1">
      <w:pPr>
        <w:pStyle w:val="41"/>
        <w:spacing w:line="360" w:lineRule="auto"/>
        <w:jc w:val="center"/>
        <w:outlineLvl w:val="9"/>
        <w:rPr>
          <w:rFonts w:hint="eastAsia" w:ascii="黑体" w:hAnsi="黑体" w:eastAsia="黑体" w:cs="黑体"/>
          <w:color w:val="auto"/>
          <w:sz w:val="44"/>
          <w:szCs w:val="44"/>
          <w:highlight w:val="none"/>
          <w:shd w:val="clear" w:color="060000" w:fill="auto"/>
        </w:rPr>
      </w:pPr>
      <w:bookmarkStart w:id="0" w:name="_Toc16406"/>
      <w:bookmarkStart w:id="1" w:name="_Toc80800138"/>
      <w:r>
        <w:rPr>
          <w:rFonts w:hint="eastAsia" w:ascii="黑体" w:hAnsi="黑体" w:eastAsia="黑体" w:cs="黑体"/>
          <w:color w:val="auto"/>
          <w:sz w:val="44"/>
          <w:szCs w:val="44"/>
          <w:highlight w:val="none"/>
          <w:shd w:val="clear" w:color="060000" w:fill="auto"/>
        </w:rPr>
        <w:br w:type="page"/>
      </w:r>
    </w:p>
    <w:p w14:paraId="557EAC79">
      <w:pPr>
        <w:pStyle w:val="24"/>
        <w:tabs>
          <w:tab w:val="right" w:leader="dot" w:pos="9071"/>
        </w:tabs>
        <w:jc w:val="center"/>
        <w:rPr>
          <w:rFonts w:hint="eastAsia" w:eastAsia="宋体"/>
          <w:color w:val="auto"/>
          <w:sz w:val="44"/>
          <w:szCs w:val="44"/>
          <w:highlight w:val="none"/>
          <w:lang w:val="en-US" w:eastAsia="zh-CN"/>
        </w:rPr>
      </w:pPr>
      <w:r>
        <w:rPr>
          <w:rFonts w:hint="eastAsia"/>
          <w:color w:val="auto"/>
          <w:sz w:val="44"/>
          <w:szCs w:val="44"/>
          <w:highlight w:val="none"/>
          <w:lang w:val="en-US" w:eastAsia="zh-CN"/>
        </w:rPr>
        <w:t>目录</w:t>
      </w:r>
    </w:p>
    <w:p w14:paraId="21FB9A95">
      <w:pPr>
        <w:pStyle w:val="24"/>
        <w:tabs>
          <w:tab w:val="right" w:leader="dot" w:pos="9071"/>
        </w:tabs>
        <w:rPr>
          <w:rFonts w:hint="eastAsia" w:ascii="黑体" w:hAnsi="黑体" w:eastAsia="黑体" w:cs="黑体"/>
          <w:color w:val="auto"/>
          <w:sz w:val="21"/>
          <w:szCs w:val="21"/>
          <w:highlight w:val="none"/>
        </w:rPr>
      </w:pPr>
    </w:p>
    <w:p w14:paraId="59A9179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TOC \o "1-3" \h  \u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HYPERLINK \l _Toc13202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shd w:val="clear" w:color="060000" w:fill="auto"/>
        </w:rPr>
        <w:t>第一章  致投标人</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_Toc13202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sz w:val="21"/>
          <w:szCs w:val="21"/>
          <w:highlight w:val="none"/>
        </w:rPr>
        <w:fldChar w:fldCharType="end"/>
      </w:r>
    </w:p>
    <w:p w14:paraId="205E32C7">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_Toc25226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第二章 投标须知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_Toc25226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FCBD38D">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_Toc10495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_Toc10495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3043D812">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_Toc24698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（一）投标须知前附表1</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_Toc24698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BC367B3">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_Toc1710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（二）投标须知前附表2</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_Toc1710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6085E3F">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_Toc7583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（三）投标须知前附件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_Toc7583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52E0447C">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_Toc1970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bCs/>
          <w:color w:val="auto"/>
          <w:kern w:val="0"/>
          <w:sz w:val="20"/>
          <w:szCs w:val="20"/>
          <w:highlight w:val="none"/>
        </w:rPr>
        <w:t>二、投标须知</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_Toc1970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25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57327D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_Toc19702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fill="auto"/>
        </w:rPr>
        <w:t xml:space="preserve">第三章 </w:t>
      </w:r>
      <w:r>
        <w:rPr>
          <w:rFonts w:hint="eastAsia" w:ascii="黑体" w:hAnsi="黑体" w:eastAsia="黑体" w:cs="黑体"/>
          <w:color w:val="auto"/>
          <w:sz w:val="21"/>
          <w:szCs w:val="21"/>
          <w:highlight w:val="none"/>
          <w:shd w:val="clear" w:color="060000" w:fill="auto"/>
        </w:rPr>
        <w:t>合同文本及条款</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_Toc19702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1FBB9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保洁服务合同</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DC8E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_Toc25952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服务范围和标准</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_Toc25952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4B97B8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_Toc15943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合同期限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_Toc15943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882BB7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_Toc19177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 xml:space="preserve">第三条 </w:t>
      </w:r>
      <w:r>
        <w:rPr>
          <w:rFonts w:hint="eastAsia" w:ascii="黑体" w:hAnsi="黑体" w:eastAsia="黑体" w:cs="黑体"/>
          <w:bCs/>
          <w:color w:val="auto"/>
          <w:sz w:val="21"/>
          <w:szCs w:val="21"/>
          <w:highlight w:val="none"/>
          <w:lang w:val="en-US" w:eastAsia="zh-CN"/>
        </w:rPr>
        <w:t>人员安排</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_Toc19177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52D46F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_Toc16754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lang w:val="en-US" w:eastAsia="zh-CN"/>
        </w:rPr>
        <w:t xml:space="preserve">第四条 </w:t>
      </w:r>
      <w:r>
        <w:rPr>
          <w:rFonts w:hint="eastAsia" w:ascii="黑体" w:hAnsi="黑体" w:eastAsia="黑体" w:cs="黑体"/>
          <w:bCs w:val="0"/>
          <w:color w:val="auto"/>
          <w:sz w:val="21"/>
          <w:szCs w:val="21"/>
          <w:highlight w:val="none"/>
        </w:rPr>
        <w:t>合同价款及支付方式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_Toc16754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C71CB1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_Toc8506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履约保证金</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_Toc8506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50</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72BE2F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_Toc11685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保洁服务要求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_Toc11685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DED55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_Toc25422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_Toc25422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BEDE6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_Toc22275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八</w:t>
      </w:r>
      <w:r>
        <w:rPr>
          <w:rFonts w:hint="eastAsia" w:ascii="黑体" w:hAnsi="黑体" w:eastAsia="黑体" w:cs="黑体"/>
          <w:bCs/>
          <w:color w:val="auto"/>
          <w:sz w:val="21"/>
          <w:szCs w:val="21"/>
          <w:highlight w:val="none"/>
        </w:rPr>
        <w:t>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_Toc22275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06A876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_Toc3461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九</w:t>
      </w:r>
      <w:r>
        <w:rPr>
          <w:rFonts w:hint="eastAsia" w:ascii="黑体" w:hAnsi="黑体" w:eastAsia="黑体" w:cs="黑体"/>
          <w:bCs/>
          <w:color w:val="auto"/>
          <w:sz w:val="21"/>
          <w:szCs w:val="21"/>
          <w:highlight w:val="none"/>
        </w:rPr>
        <w:t>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_Toc3461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EF9F951">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十</w:t>
      </w:r>
      <w:r>
        <w:rPr>
          <w:rFonts w:hint="eastAsia" w:ascii="黑体" w:hAnsi="黑体" w:eastAsia="黑体" w:cs="黑体"/>
          <w:bCs/>
          <w:color w:val="auto"/>
          <w:sz w:val="21"/>
          <w:szCs w:val="21"/>
          <w:highlight w:val="none"/>
        </w:rPr>
        <w:t>条 合同解除与终止</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04488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_Toc5480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一</w:t>
      </w:r>
      <w:r>
        <w:rPr>
          <w:rFonts w:hint="eastAsia" w:ascii="黑体" w:hAnsi="黑体" w:eastAsia="黑体" w:cs="黑体"/>
          <w:bCs/>
          <w:color w:val="auto"/>
          <w:sz w:val="21"/>
          <w:szCs w:val="21"/>
          <w:highlight w:val="none"/>
        </w:rPr>
        <w:t>条 不可抗力</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_Toc5480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E6EE1A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_Toc21728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二</w:t>
      </w:r>
      <w:r>
        <w:rPr>
          <w:rFonts w:hint="eastAsia" w:ascii="黑体" w:hAnsi="黑体" w:eastAsia="黑体" w:cs="黑体"/>
          <w:bCs/>
          <w:color w:val="auto"/>
          <w:sz w:val="21"/>
          <w:szCs w:val="21"/>
          <w:highlight w:val="none"/>
        </w:rPr>
        <w:t>条 反商业贿赂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_Toc21728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CB2BA3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_Toc1200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三</w:t>
      </w:r>
      <w:r>
        <w:rPr>
          <w:rFonts w:hint="eastAsia" w:ascii="黑体" w:hAnsi="黑体" w:eastAsia="黑体" w:cs="黑体"/>
          <w:bCs/>
          <w:color w:val="auto"/>
          <w:sz w:val="21"/>
          <w:szCs w:val="21"/>
          <w:highlight w:val="none"/>
        </w:rPr>
        <w:t>条 通知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_Toc1200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C04B9F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_Toc18060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四</w:t>
      </w:r>
      <w:r>
        <w:rPr>
          <w:rFonts w:hint="eastAsia" w:ascii="黑体" w:hAnsi="黑体" w:eastAsia="黑体" w:cs="黑体"/>
          <w:bCs/>
          <w:color w:val="auto"/>
          <w:sz w:val="21"/>
          <w:szCs w:val="21"/>
          <w:highlight w:val="none"/>
        </w:rPr>
        <w:t>条 其他</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_Toc18060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66A26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_Toc31040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争议解决</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_Toc31040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823B16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_Toc29626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合同生效及份数</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_Toc29626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724625E">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_Toc6709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附件</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_Toc6709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33922C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_Toc15354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受托物业基本情况</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_Toc15354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01B35C">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_Toc21053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委托管理事项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_Toc21053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1FBEB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_Toc11057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第三条    协议期限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_Toc11057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8DBF4D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_Toc25036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第四条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_Toc25036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FF1994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_Toc31619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第五条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_Toc31619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A81DC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_Toc12276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第六条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_Toc12276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C7D26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_Toc8016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第七条    其他事项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_Toc8016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2E35A1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_Toc14048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lang w:val="en-US" w:eastAsia="zh-CN"/>
        </w:rPr>
        <w:t xml:space="preserve">第四章   </w:t>
      </w:r>
      <w:r>
        <w:rPr>
          <w:rFonts w:hint="eastAsia" w:ascii="黑体" w:hAnsi="黑体" w:eastAsia="黑体" w:cs="黑体"/>
          <w:color w:val="auto"/>
          <w:sz w:val="21"/>
          <w:szCs w:val="21"/>
          <w:highlight w:val="none"/>
          <w:shd w:val="clear" w:color="060000" w:fill="auto"/>
        </w:rPr>
        <w:t>需求任务书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_Toc14048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78</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0BAF1E82">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_Toc23610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第五章 投标文件格式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_Toc23610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82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0CCD2E">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_Toc4417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 xml:space="preserve">一、 </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资格审查文件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_Toc4417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507E5A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_Toc1879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二、</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投标函部分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_Toc1879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7AFF1B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_Toc6207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三、投标文件格式--资信标部分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_Toc6207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995BC32">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_Toc13308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四、投标文件格式--技术标部分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_Toc13308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FDE7C9E">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_Toc15767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五、投标文件格式—商务标部分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_Toc15767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0BCC368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_Toc29118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kern w:val="0"/>
          <w:sz w:val="21"/>
          <w:szCs w:val="21"/>
          <w:highlight w:val="none"/>
        </w:rPr>
        <w:t>第六章 中标通知书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_Toc29118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101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882C03">
      <w:pPr>
        <w:rPr>
          <w:rFonts w:hint="eastAsia"/>
          <w:color w:val="auto"/>
          <w:sz w:val="28"/>
          <w:szCs w:val="28"/>
          <w:highlight w:val="none"/>
        </w:rPr>
        <w:sectPr>
          <w:headerReference r:id="rId4" w:type="first"/>
          <w:footerReference r:id="rId6" w:type="first"/>
          <w:headerReference r:id="rId3" w:type="default"/>
          <w:footerReference r:id="rId5" w:type="default"/>
          <w:pgSz w:w="11907" w:h="16840"/>
          <w:pgMar w:top="1418" w:right="1418" w:bottom="1418" w:left="1418" w:header="851" w:footer="680" w:gutter="0"/>
          <w:cols w:space="720" w:num="1"/>
          <w:titlePg/>
          <w:docGrid w:linePitch="286" w:charSpace="0"/>
        </w:sectPr>
      </w:pPr>
      <w:r>
        <w:rPr>
          <w:rFonts w:hint="eastAsia" w:ascii="黑体" w:hAnsi="黑体" w:eastAsia="黑体" w:cs="黑体"/>
          <w:color w:val="auto"/>
          <w:kern w:val="2"/>
          <w:sz w:val="21"/>
          <w:szCs w:val="21"/>
          <w:highlight w:val="none"/>
          <w:lang w:val="en-US" w:eastAsia="zh-CN" w:bidi="ar-SA"/>
        </w:rPr>
        <w:fldChar w:fldCharType="end"/>
      </w:r>
    </w:p>
    <w:p w14:paraId="33694734">
      <w:pPr>
        <w:pStyle w:val="41"/>
        <w:keepNext/>
        <w:keepLines/>
        <w:widowControl/>
        <w:wordWrap/>
        <w:adjustRightInd/>
        <w:snapToGrid/>
        <w:spacing w:before="480" w:after="0" w:line="360" w:lineRule="auto"/>
        <w:ind w:left="0" w:leftChars="0" w:right="0" w:firstLine="0" w:firstLineChars="0"/>
        <w:jc w:val="center"/>
        <w:textAlignment w:val="auto"/>
        <w:outlineLvl w:val="0"/>
        <w:rPr>
          <w:rFonts w:ascii="仿宋_GB2312" w:hAnsi="宋体" w:eastAsia="仿宋_GB2312"/>
          <w:color w:val="auto"/>
          <w:sz w:val="28"/>
          <w:szCs w:val="28"/>
          <w:highlight w:val="none"/>
        </w:rPr>
      </w:pPr>
      <w:bookmarkStart w:id="2" w:name="_Toc13202"/>
      <w:r>
        <w:rPr>
          <w:rFonts w:hint="eastAsia" w:ascii="黑体" w:hAnsi="黑体" w:eastAsia="黑体" w:cs="黑体"/>
          <w:color w:val="auto"/>
          <w:sz w:val="44"/>
          <w:szCs w:val="44"/>
          <w:highlight w:val="none"/>
          <w:shd w:val="clear" w:color="060000" w:fill="auto"/>
        </w:rPr>
        <w:t>第一章</w:t>
      </w:r>
      <w:r>
        <w:rPr>
          <w:rFonts w:hint="eastAsia" w:ascii="黑体" w:hAnsi="黑体" w:eastAsia="黑体" w:cs="宋体"/>
          <w:color w:val="auto"/>
          <w:sz w:val="44"/>
          <w:szCs w:val="44"/>
          <w:highlight w:val="none"/>
          <w:shd w:val="clear" w:color="060000" w:fill="auto"/>
        </w:rPr>
        <w:t xml:space="preserve">  </w:t>
      </w:r>
      <w:r>
        <w:rPr>
          <w:rFonts w:hint="eastAsia" w:ascii="黑体" w:hAnsi="黑体" w:eastAsia="黑体" w:cs="黑体"/>
          <w:color w:val="auto"/>
          <w:sz w:val="44"/>
          <w:szCs w:val="44"/>
          <w:highlight w:val="none"/>
          <w:shd w:val="clear" w:color="060000" w:fill="auto"/>
        </w:rPr>
        <w:t>致投标人</w:t>
      </w:r>
      <w:bookmarkEnd w:id="0"/>
      <w:bookmarkEnd w:id="1"/>
      <w:bookmarkEnd w:id="2"/>
    </w:p>
    <w:p w14:paraId="2645F6D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一、本招标文件是依据招标投标有关法律、法规、规章和规范性文件，根据本次招标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的特点和需要编制而成。招标文件的编制遵循了公开、公平、公正和诚实信用的原则。招标文件所包含的内容已清楚地反映了本次招标的规模、性质以及资信、商务和技术要求等。我们要求投标人必须完全响应本招标文件的实质性内容。</w:t>
      </w:r>
    </w:p>
    <w:p w14:paraId="1F26CE29">
      <w:pPr>
        <w:widowControl w:val="0"/>
        <w:spacing w:line="560" w:lineRule="exact"/>
        <w:ind w:firstLine="560" w:firstLineChars="200"/>
        <w:rPr>
          <w:rFonts w:ascii="仿宋" w:hAnsi="仿宋" w:eastAsia="仿宋"/>
          <w:color w:val="auto"/>
          <w:sz w:val="28"/>
          <w:szCs w:val="28"/>
          <w:highlight w:val="none"/>
        </w:rPr>
      </w:pPr>
      <w:bookmarkStart w:id="3" w:name="_Toc269970459"/>
      <w:bookmarkStart w:id="4" w:name="_Toc203810203"/>
      <w:bookmarkStart w:id="5" w:name="_Toc130830412"/>
      <w:bookmarkStart w:id="6" w:name="_Toc130835683"/>
      <w:bookmarkStart w:id="7" w:name="_Toc130835209"/>
      <w:bookmarkStart w:id="8" w:name="_Toc203358554"/>
      <w:r>
        <w:rPr>
          <w:rFonts w:hint="eastAsia" w:ascii="仿宋" w:hAnsi="仿宋" w:eastAsia="仿宋"/>
          <w:color w:val="auto"/>
          <w:sz w:val="28"/>
          <w:szCs w:val="28"/>
          <w:highlight w:val="none"/>
        </w:rPr>
        <w:t>二、投标人获取招标文件后，应仔细阅读招标文件及附件的全部内容，招标文件与附件具有同等效力。</w:t>
      </w:r>
    </w:p>
    <w:p w14:paraId="7B00A4DE">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三、投标人在投标截止时间前，应及时收悉有关本次招标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招标文件的答疑、补遗内容。招标文件、答疑、补遗内容不一致时，以最后发出的为准。</w:t>
      </w:r>
    </w:p>
    <w:p w14:paraId="0904E55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四、投标人应在遵循招标文件的各项规定和要求的前提下，编制投标文件。编制投标文件时，应注意：</w:t>
      </w:r>
    </w:p>
    <w:p w14:paraId="37BEEC1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1．投标文件必须满足招标文件中的实质性要求和条件。投标文件的所有否决性条款已在“投标须知前附件一”中汇总明示，若出现其中任何一个情形的，其投标将会被否决。</w:t>
      </w:r>
    </w:p>
    <w:p w14:paraId="7A90E5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2．投标人对招标文件有不同意见或不明之处，应通过书面形式，向招标人质疑，求得彻底澄清。若招标人不接受投标人提出的意见，投标人必须按招标文件办理，而不应在投标文件中加进额外的条件。</w:t>
      </w:r>
    </w:p>
    <w:p w14:paraId="71555EE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五、投标人在提交投标文件时，应注意：</w:t>
      </w:r>
    </w:p>
    <w:p w14:paraId="2A2F9870">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1．投标人应严格按照招标文件的要求进行投标文件的密封和标记。</w:t>
      </w:r>
    </w:p>
    <w:p w14:paraId="47FF68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2．投标人应当在招标文件要求提交投标文件的截止时间前，将投标文件送达指定地址。</w:t>
      </w:r>
    </w:p>
    <w:p w14:paraId="2354092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六、其他应该注意的：</w:t>
      </w:r>
    </w:p>
    <w:p w14:paraId="25C4C24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1、投标人提交投标文件，参加开标会和抽签的必须是投标人的法定代表人或其授权委托代理人，并持身份证明文件。非上述人员不得参加上述投标活动，否则由此产生的不利后果由投标人自行承担。</w:t>
      </w:r>
    </w:p>
    <w:p w14:paraId="51790E6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2、投标人须对投标资料的真实性负责。招标人有权将投标文件的部分或全部内容向外公示，若公示期间收到有关弄虚作假投诉的，招标人将提请有关行政管理部门查处。</w:t>
      </w:r>
    </w:p>
    <w:p w14:paraId="17D4A2F7">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4、若投标人资质证书被暂扣或吊销，但仍参与投标的，招标人将取消其投标或中标资格、没收其投标保证金，并提请有关行政管理部门对其进行行政处罚。</w:t>
      </w:r>
    </w:p>
    <w:bookmarkEnd w:id="3"/>
    <w:bookmarkEnd w:id="4"/>
    <w:bookmarkEnd w:id="5"/>
    <w:bookmarkEnd w:id="6"/>
    <w:bookmarkEnd w:id="7"/>
    <w:bookmarkEnd w:id="8"/>
    <w:p w14:paraId="1395B69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七、本招标文件的解释权归招标人，即</w:t>
      </w:r>
      <w:bookmarkStart w:id="9" w:name="_Toc203358573"/>
      <w:bookmarkStart w:id="10" w:name="_Toc130830430"/>
      <w:bookmarkStart w:id="11" w:name="_Toc203810222"/>
      <w:bookmarkStart w:id="12" w:name="_Toc130835701"/>
      <w:bookmarkStart w:id="13" w:name="_Toc269970479"/>
      <w:bookmarkStart w:id="14" w:name="_Toc130835227"/>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rPr>
        <w:t>。</w:t>
      </w:r>
    </w:p>
    <w:bookmarkEnd w:id="9"/>
    <w:bookmarkEnd w:id="10"/>
    <w:bookmarkEnd w:id="11"/>
    <w:bookmarkEnd w:id="12"/>
    <w:bookmarkEnd w:id="13"/>
    <w:bookmarkEnd w:id="14"/>
    <w:p w14:paraId="19C67318">
      <w:pPr>
        <w:widowControl w:val="0"/>
        <w:spacing w:line="560" w:lineRule="exact"/>
        <w:ind w:firstLine="560" w:firstLineChars="200"/>
        <w:rPr>
          <w:rFonts w:ascii="仿宋" w:hAnsi="仿宋" w:eastAsia="仿宋"/>
          <w:color w:val="auto"/>
          <w:sz w:val="28"/>
          <w:szCs w:val="28"/>
          <w:highlight w:val="none"/>
        </w:rPr>
      </w:pPr>
    </w:p>
    <w:p w14:paraId="4A4C0B3F">
      <w:pPr>
        <w:widowControl w:val="0"/>
        <w:spacing w:line="560" w:lineRule="exact"/>
        <w:ind w:firstLine="560" w:firstLineChars="200"/>
        <w:jc w:val="righ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lang w:val="en-US" w:eastAsia="zh-CN"/>
        </w:rPr>
        <w:t>重庆分公司</w:t>
      </w:r>
    </w:p>
    <w:p w14:paraId="63322D96">
      <w:pPr>
        <w:widowControl w:val="0"/>
        <w:spacing w:line="560" w:lineRule="exact"/>
        <w:ind w:firstLine="560" w:firstLineChars="200"/>
        <w:jc w:val="right"/>
        <w:rPr>
          <w:rFonts w:ascii="仿宋" w:hAnsi="仿宋" w:eastAsia="仿宋"/>
          <w:color w:val="auto"/>
          <w:sz w:val="28"/>
          <w:szCs w:val="28"/>
          <w:highlight w:val="none"/>
        </w:rPr>
        <w:sectPr>
          <w:footerReference r:id="rId8" w:type="first"/>
          <w:footerReference r:id="rId7" w:type="default"/>
          <w:pgSz w:w="11907" w:h="16840"/>
          <w:pgMar w:top="1418" w:right="1418" w:bottom="1418" w:left="1418" w:header="851" w:footer="680" w:gutter="0"/>
          <w:pgNumType w:fmt="decimal" w:start="1"/>
          <w:cols w:space="720" w:num="1"/>
          <w:titlePg/>
          <w:docGrid w:linePitch="286" w:charSpace="0"/>
        </w:sectPr>
      </w:pPr>
      <w:r>
        <w:rPr>
          <w:rFonts w:hint="eastAsia" w:ascii="仿宋" w:hAnsi="仿宋" w:eastAsia="仿宋"/>
          <w:color w:val="auto"/>
          <w:sz w:val="28"/>
          <w:szCs w:val="28"/>
          <w:highlight w:val="none"/>
          <w:u w:val="none"/>
        </w:rPr>
        <w:t>二〇二</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rPr>
        <w:t xml:space="preserve">   </w:t>
      </w:r>
    </w:p>
    <w:p w14:paraId="2E0E4BCC">
      <w:pPr>
        <w:rPr>
          <w:color w:val="auto"/>
          <w:highlight w:val="none"/>
          <w:shd w:val="clear" w:color="060000" w:fill="auto"/>
        </w:rPr>
      </w:pPr>
    </w:p>
    <w:p w14:paraId="6921E763">
      <w:pPr>
        <w:pStyle w:val="2"/>
        <w:keepNext/>
        <w:keepLines/>
        <w:widowControl w:val="0"/>
        <w:wordWrap/>
        <w:adjustRightInd/>
        <w:snapToGrid/>
        <w:spacing w:before="0" w:after="0" w:line="560" w:lineRule="exact"/>
        <w:ind w:left="0" w:leftChars="0" w:right="0" w:firstLine="0" w:firstLineChars="0"/>
        <w:jc w:val="center"/>
        <w:textAlignment w:val="auto"/>
        <w:outlineLvl w:val="0"/>
        <w:rPr>
          <w:rFonts w:ascii="黑体" w:hAnsi="黑体" w:eastAsia="黑体"/>
          <w:color w:val="auto"/>
          <w:sz w:val="48"/>
          <w:szCs w:val="48"/>
          <w:highlight w:val="none"/>
          <w:shd w:val="clear" w:color="060000" w:fill="auto"/>
        </w:rPr>
      </w:pPr>
      <w:bookmarkStart w:id="15" w:name="_Toc80800139"/>
      <w:bookmarkStart w:id="16" w:name="_Toc16109"/>
      <w:bookmarkStart w:id="17" w:name="_Toc25226"/>
      <w:r>
        <w:rPr>
          <w:rFonts w:hint="eastAsia" w:ascii="黑体" w:hAnsi="黑体" w:eastAsia="黑体"/>
          <w:color w:val="auto"/>
          <w:sz w:val="48"/>
          <w:szCs w:val="48"/>
          <w:highlight w:val="none"/>
          <w:shd w:val="clear" w:color="060000" w:fill="auto"/>
        </w:rPr>
        <w:t>第二章 投标须知</w:t>
      </w:r>
      <w:bookmarkEnd w:id="15"/>
      <w:bookmarkEnd w:id="16"/>
      <w:bookmarkEnd w:id="17"/>
    </w:p>
    <w:p w14:paraId="409FDF0E">
      <w:pPr>
        <w:rPr>
          <w:rFonts w:ascii="黑体" w:hAnsi="黑体" w:eastAsia="黑体"/>
          <w:color w:val="auto"/>
          <w:sz w:val="44"/>
          <w:szCs w:val="44"/>
          <w:highlight w:val="none"/>
        </w:rPr>
      </w:pPr>
    </w:p>
    <w:p w14:paraId="2B7C51B8">
      <w:pPr>
        <w:pStyle w:val="3"/>
        <w:spacing w:before="0" w:after="0" w:line="560" w:lineRule="exact"/>
        <w:jc w:val="center"/>
        <w:rPr>
          <w:rFonts w:ascii="黑体" w:hAnsi="黑体"/>
          <w:b w:val="0"/>
          <w:color w:val="auto"/>
          <w:sz w:val="44"/>
          <w:szCs w:val="44"/>
          <w:highlight w:val="none"/>
        </w:rPr>
      </w:pPr>
      <w:bookmarkStart w:id="18" w:name="_Toc80800140"/>
      <w:bookmarkStart w:id="19" w:name="_Toc19302"/>
      <w:bookmarkStart w:id="20" w:name="_Toc10495"/>
      <w:r>
        <w:rPr>
          <w:rFonts w:hint="eastAsia" w:ascii="黑体" w:hAnsi="黑体"/>
          <w:b w:val="0"/>
          <w:color w:val="auto"/>
          <w:sz w:val="44"/>
          <w:szCs w:val="44"/>
          <w:highlight w:val="none"/>
        </w:rPr>
        <w:t>一、投标须知前附件</w:t>
      </w:r>
      <w:bookmarkEnd w:id="18"/>
      <w:bookmarkEnd w:id="19"/>
      <w:bookmarkEnd w:id="20"/>
    </w:p>
    <w:p w14:paraId="5DE2940E">
      <w:pPr>
        <w:rPr>
          <w:color w:val="auto"/>
          <w:highlight w:val="none"/>
        </w:rPr>
      </w:pPr>
    </w:p>
    <w:p w14:paraId="2EBFBEE1">
      <w:pPr>
        <w:pStyle w:val="4"/>
        <w:keepNext/>
        <w:keepLines/>
        <w:widowControl/>
        <w:wordWrap/>
        <w:adjustRightInd/>
        <w:snapToGrid/>
        <w:spacing w:before="0" w:after="0" w:line="560" w:lineRule="exact"/>
        <w:ind w:left="0" w:leftChars="0" w:right="0" w:firstLine="0" w:firstLineChars="0"/>
        <w:jc w:val="center"/>
        <w:textAlignment w:val="auto"/>
        <w:outlineLvl w:val="2"/>
        <w:rPr>
          <w:rFonts w:ascii="黑体" w:hAnsi="黑体" w:eastAsia="黑体"/>
          <w:b w:val="0"/>
          <w:color w:val="auto"/>
          <w:sz w:val="36"/>
          <w:szCs w:val="36"/>
          <w:highlight w:val="none"/>
        </w:rPr>
      </w:pPr>
      <w:bookmarkStart w:id="21" w:name="_Toc6770"/>
      <w:bookmarkStart w:id="22" w:name="_Toc24698"/>
      <w:bookmarkStart w:id="23" w:name="_Toc80800141"/>
      <w:r>
        <w:rPr>
          <w:rFonts w:hint="eastAsia" w:ascii="黑体" w:hAnsi="黑体" w:eastAsia="黑体"/>
          <w:b w:val="0"/>
          <w:color w:val="auto"/>
          <w:sz w:val="36"/>
          <w:szCs w:val="36"/>
          <w:highlight w:val="none"/>
        </w:rPr>
        <w:t>（一）投标须知前附表1</w:t>
      </w:r>
      <w:bookmarkEnd w:id="21"/>
      <w:bookmarkEnd w:id="22"/>
      <w:bookmarkEnd w:id="23"/>
    </w:p>
    <w:p w14:paraId="1293C984">
      <w:pPr>
        <w:rPr>
          <w:color w:val="auto"/>
          <w:highlight w:val="none"/>
          <w:shd w:val="clear" w:color="060000" w:fill="auto"/>
        </w:rPr>
      </w:pPr>
    </w:p>
    <w:tbl>
      <w:tblPr>
        <w:tblStyle w:val="34"/>
        <w:tblW w:w="95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1"/>
        <w:gridCol w:w="1984"/>
        <w:gridCol w:w="6619"/>
      </w:tblGrid>
      <w:tr w14:paraId="170E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6" w:space="0"/>
            </w:tcBorders>
            <w:tcMar>
              <w:left w:w="108" w:type="dxa"/>
              <w:right w:w="108" w:type="dxa"/>
            </w:tcMar>
            <w:vAlign w:val="center"/>
          </w:tcPr>
          <w:p w14:paraId="4165C850">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序号</w:t>
            </w:r>
          </w:p>
        </w:tc>
        <w:tc>
          <w:tcPr>
            <w:tcW w:w="1984" w:type="dxa"/>
            <w:tcBorders>
              <w:top w:val="single" w:color="000000" w:sz="4" w:space="0"/>
              <w:left w:val="single" w:color="000000" w:sz="6" w:space="0"/>
              <w:bottom w:val="single" w:color="000000" w:sz="4" w:space="0"/>
              <w:right w:val="single" w:color="000000" w:sz="6" w:space="0"/>
            </w:tcBorders>
            <w:tcMar>
              <w:left w:w="108" w:type="dxa"/>
              <w:right w:w="108" w:type="dxa"/>
            </w:tcMar>
            <w:vAlign w:val="center"/>
          </w:tcPr>
          <w:p w14:paraId="1C0C0A52">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内 容</w:t>
            </w:r>
          </w:p>
        </w:tc>
        <w:tc>
          <w:tcPr>
            <w:tcW w:w="6619" w:type="dxa"/>
            <w:tcBorders>
              <w:top w:val="single" w:color="000000" w:sz="4" w:space="0"/>
              <w:left w:val="single" w:color="000000" w:sz="6" w:space="0"/>
              <w:bottom w:val="single" w:color="000000" w:sz="4" w:space="0"/>
              <w:right w:val="single" w:color="000000" w:sz="4" w:space="0"/>
            </w:tcBorders>
            <w:tcMar>
              <w:left w:w="108" w:type="dxa"/>
              <w:right w:w="108" w:type="dxa"/>
            </w:tcMar>
            <w:vAlign w:val="center"/>
          </w:tcPr>
          <w:p w14:paraId="1111D9BE">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规   定</w:t>
            </w:r>
          </w:p>
        </w:tc>
      </w:tr>
      <w:tr w14:paraId="56AD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F24A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3A4D6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 标 人</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5F9CFB">
            <w:pPr>
              <w:tabs>
                <w:tab w:val="left" w:pos="51"/>
              </w:tabs>
              <w:snapToGrid w:val="0"/>
              <w:spacing w:line="276" w:lineRule="auto"/>
              <w:jc w:val="left"/>
              <w:rPr>
                <w:rFonts w:hint="eastAsia" w:ascii="仿宋" w:hAnsi="仿宋" w:eastAsia="宋体"/>
                <w:color w:val="auto"/>
                <w:sz w:val="28"/>
                <w:szCs w:val="28"/>
                <w:highlight w:val="none"/>
                <w:lang w:eastAsia="zh-CN"/>
              </w:rPr>
            </w:pPr>
            <w:r>
              <w:rPr>
                <w:rFonts w:hint="eastAsia" w:ascii="仿宋" w:hAnsi="仿宋" w:eastAsia="仿宋" w:cs="Times New Roman"/>
                <w:color w:val="auto"/>
                <w:kern w:val="2"/>
                <w:sz w:val="28"/>
                <w:szCs w:val="28"/>
                <w:highlight w:val="none"/>
                <w:lang w:val="en-US" w:eastAsia="zh-CN" w:bidi="ar-SA"/>
              </w:rPr>
              <w:t>深圳第一亚太物业管理有限公司重庆分公司</w:t>
            </w:r>
          </w:p>
        </w:tc>
      </w:tr>
      <w:tr w14:paraId="688F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826B0F">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23AF5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招标项目名称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C1F081">
            <w:pPr>
              <w:pStyle w:val="46"/>
              <w:widowControl w:val="0"/>
              <w:wordWrap/>
              <w:adjustRightInd/>
              <w:snapToGrid/>
              <w:spacing w:before="0" w:after="0" w:line="400" w:lineRule="exact"/>
              <w:ind w:left="0" w:leftChars="0" w:right="0" w:firstLine="0" w:firstLineChars="0"/>
              <w:jc w:val="left"/>
              <w:textAlignment w:val="auto"/>
              <w:outlineLvl w:val="1"/>
              <w:rPr>
                <w:rFonts w:ascii="仿宋" w:hAnsi="仿宋" w:eastAsia="仿宋"/>
                <w:color w:val="auto"/>
                <w:sz w:val="28"/>
                <w:szCs w:val="28"/>
                <w:highlight w:val="none"/>
              </w:rPr>
            </w:pPr>
            <w:bookmarkStart w:id="24" w:name="_Toc19112"/>
            <w:bookmarkStart w:id="25" w:name="_Toc16551"/>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精品34区/会展中心、精品5区、精品6区，招商行政中心(含案场)、巴南华府云邸/明昱阁项目</w:t>
            </w:r>
            <w:r>
              <w:rPr>
                <w:rFonts w:hint="eastAsia" w:ascii="仿宋" w:hAnsi="仿宋" w:eastAsia="仿宋" w:cs="Times New Roman"/>
                <w:color w:val="auto"/>
                <w:sz w:val="28"/>
                <w:szCs w:val="28"/>
                <w:highlight w:val="none"/>
                <w:u w:val="none"/>
                <w:shd w:val="clear" w:color="auto" w:fill="auto"/>
                <w:lang w:eastAsia="zh-CN"/>
              </w:rPr>
              <w:t>保洁</w:t>
            </w:r>
            <w:r>
              <w:rPr>
                <w:rFonts w:hint="eastAsia" w:ascii="仿宋" w:hAnsi="仿宋" w:eastAsia="仿宋" w:cs="Times New Roman"/>
                <w:color w:val="auto"/>
                <w:sz w:val="28"/>
                <w:szCs w:val="28"/>
                <w:highlight w:val="none"/>
                <w:u w:val="none"/>
                <w:shd w:val="clear" w:color="auto" w:fill="auto"/>
                <w:lang w:val="en-US" w:eastAsia="zh-CN"/>
              </w:rPr>
              <w:t>外包</w:t>
            </w:r>
            <w:r>
              <w:rPr>
                <w:rFonts w:hint="eastAsia" w:ascii="仿宋" w:hAnsi="仿宋" w:eastAsia="仿宋" w:cs="Times New Roman"/>
                <w:color w:val="auto"/>
                <w:sz w:val="28"/>
                <w:szCs w:val="28"/>
                <w:highlight w:val="none"/>
                <w:u w:val="none"/>
                <w:shd w:val="clear" w:color="auto" w:fill="auto"/>
                <w:lang w:eastAsia="zh-CN"/>
              </w:rPr>
              <w:t>服务</w:t>
            </w:r>
            <w:bookmarkEnd w:id="24"/>
            <w:bookmarkEnd w:id="25"/>
            <w:r>
              <w:rPr>
                <w:rFonts w:hint="eastAsia" w:ascii="仿宋" w:hAnsi="仿宋" w:eastAsia="仿宋" w:cs="Times New Roman"/>
                <w:color w:val="auto"/>
                <w:sz w:val="28"/>
                <w:szCs w:val="28"/>
                <w:highlight w:val="none"/>
                <w:u w:val="none"/>
                <w:shd w:val="clear" w:color="auto" w:fill="auto"/>
                <w:lang w:val="en-US" w:eastAsia="zh-CN"/>
              </w:rPr>
              <w:t>（第二次）</w:t>
            </w:r>
          </w:p>
        </w:tc>
      </w:tr>
      <w:tr w14:paraId="59B3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658E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7754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项目地点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FD9D33">
            <w:pPr>
              <w:pStyle w:val="46"/>
              <w:spacing w:line="400" w:lineRule="exact"/>
              <w:ind w:firstLine="0" w:firstLineChars="0"/>
              <w:jc w:val="lef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重庆市巴南区南彭公路物流基地东城大道8号</w:t>
            </w:r>
          </w:p>
        </w:tc>
      </w:tr>
      <w:tr w14:paraId="4A0A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3F906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B369E9">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资金来源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3CDBBB">
            <w:pPr>
              <w:pStyle w:val="46"/>
              <w:spacing w:line="400" w:lineRule="exact"/>
              <w:ind w:left="357" w:hanging="357" w:firstLineChars="0"/>
              <w:rPr>
                <w:rFonts w:ascii="仿宋" w:hAnsi="仿宋" w:eastAsia="仿宋"/>
                <w:color w:val="auto"/>
                <w:sz w:val="28"/>
                <w:szCs w:val="28"/>
                <w:highlight w:val="none"/>
                <w:u w:val="singl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国有资金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其他资金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企业自筹</w:t>
            </w:r>
            <w:r>
              <w:rPr>
                <w:rFonts w:hint="eastAsia" w:ascii="仿宋" w:hAnsi="仿宋" w:eastAsia="仿宋"/>
                <w:color w:val="auto"/>
                <w:sz w:val="28"/>
                <w:szCs w:val="28"/>
                <w:highlight w:val="none"/>
                <w:u w:val="single"/>
                <w:lang w:val="en-US" w:eastAsia="zh-CN"/>
              </w:rPr>
              <w:t>100%</w:t>
            </w:r>
            <w:r>
              <w:rPr>
                <w:rFonts w:hint="eastAsia" w:ascii="仿宋" w:hAnsi="仿宋" w:eastAsia="仿宋"/>
                <w:color w:val="auto"/>
                <w:sz w:val="28"/>
                <w:szCs w:val="28"/>
                <w:highlight w:val="none"/>
                <w:u w:val="single"/>
              </w:rPr>
              <w:t xml:space="preserve">   </w:t>
            </w:r>
          </w:p>
        </w:tc>
      </w:tr>
      <w:tr w14:paraId="7A76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EC833">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A8ABB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总投资额</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DFFC1C">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万元</w:t>
            </w:r>
          </w:p>
        </w:tc>
      </w:tr>
      <w:tr w14:paraId="6875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D79B9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CB25B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招标范围</w:t>
            </w:r>
          </w:p>
          <w:p w14:paraId="4232F39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及内容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C8E959">
            <w:pPr>
              <w:pStyle w:val="46"/>
              <w:spacing w:line="400" w:lineRule="exact"/>
              <w:ind w:firstLine="0" w:firstLineChars="0"/>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w:t>
            </w:r>
            <w:r>
              <w:rPr>
                <w:rFonts w:hint="eastAsia" w:ascii="仿宋" w:hAnsi="仿宋" w:eastAsia="仿宋" w:cs="Times New Roman"/>
                <w:color w:val="auto"/>
                <w:kern w:val="2"/>
                <w:sz w:val="28"/>
                <w:szCs w:val="28"/>
                <w:highlight w:val="none"/>
                <w:lang w:val="en-US" w:eastAsia="zh-CN" w:bidi="ar-SA"/>
              </w:rPr>
              <w:t>红线范围内公共区域及外围区域的日常保洁服务工作。</w:t>
            </w:r>
          </w:p>
        </w:tc>
      </w:tr>
      <w:tr w14:paraId="20BEC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906BE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997E6C">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D8C56D">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公开招标</w:t>
            </w:r>
          </w:p>
          <w:p w14:paraId="00FD2D4E">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邀请招标</w:t>
            </w:r>
          </w:p>
        </w:tc>
      </w:tr>
      <w:tr w14:paraId="5F0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1628B4">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7AC83">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w:t>
            </w:r>
          </w:p>
          <w:p w14:paraId="537497C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94479F">
            <w:p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eastAsia="zh-CN"/>
              </w:rPr>
              <w:t>（一）</w:t>
            </w:r>
            <w:r>
              <w:rPr>
                <w:rFonts w:hint="eastAsia" w:ascii="仿宋" w:hAnsi="仿宋" w:eastAsia="仿宋" w:cs="Times New Roman"/>
                <w:color w:val="auto"/>
                <w:sz w:val="28"/>
                <w:szCs w:val="28"/>
                <w:highlight w:val="none"/>
              </w:rPr>
              <w:t xml:space="preserve">企业资格要求： </w:t>
            </w:r>
          </w:p>
          <w:p w14:paraId="268FF4E4">
            <w:pPr>
              <w:widowControl/>
              <w:wordWrap/>
              <w:adjustRightInd w:val="0"/>
              <w:snapToGrid w:val="0"/>
              <w:spacing w:after="0" w:line="5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必须为中华人民共和国境内注册且合法运作的企业，或法人授权的、合法注册的分支机构，或其他组织</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具有从事</w:t>
            </w:r>
            <w:r>
              <w:rPr>
                <w:rFonts w:hint="eastAsia" w:ascii="仿宋" w:hAnsi="仿宋" w:eastAsia="仿宋" w:cs="Times New Roman"/>
                <w:color w:val="auto"/>
                <w:sz w:val="28"/>
                <w:szCs w:val="28"/>
                <w:highlight w:val="none"/>
                <w:lang w:val="en-US" w:eastAsia="zh-CN"/>
              </w:rPr>
              <w:t>保洁</w:t>
            </w:r>
            <w:r>
              <w:rPr>
                <w:rFonts w:hint="eastAsia" w:ascii="仿宋" w:hAnsi="仿宋" w:eastAsia="仿宋" w:cs="Times New Roman"/>
                <w:color w:val="auto"/>
                <w:sz w:val="28"/>
                <w:szCs w:val="28"/>
                <w:highlight w:val="none"/>
              </w:rPr>
              <w:t>外包服务相关经营范围和能力。</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必须提供营业执照复印件，因新版营业执照未体现营业范围及注册资金，若已更换新版营业执照，</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须同时提供商事主体临时信用信息平台http://www.gsxt.gov.cn/index.html或市场主体信息查询平台中相关备案情况截图</w:t>
            </w:r>
            <w:r>
              <w:rPr>
                <w:rFonts w:hint="eastAsia" w:ascii="仿宋" w:hAnsi="仿宋" w:eastAsia="仿宋" w:cs="Times New Roman"/>
                <w:color w:val="auto"/>
                <w:sz w:val="28"/>
                <w:szCs w:val="28"/>
                <w:highlight w:val="none"/>
                <w:lang w:eastAsia="zh-CN"/>
              </w:rPr>
              <w:t>。</w:t>
            </w:r>
          </w:p>
          <w:p w14:paraId="08240F92">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2</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投标单位注册资金必须为人民币500万元（含）以上，并在工商部门登记成立</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年（含）以上的企业(投标单位必须提供营业执照复印件加盖公章)。</w:t>
            </w:r>
          </w:p>
          <w:p w14:paraId="1FDFD2AD">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3.投标单位在参加本项目投标活动前</w:t>
            </w:r>
            <w:r>
              <w:rPr>
                <w:rFonts w:hint="eastAsia" w:ascii="仿宋" w:hAnsi="仿宋" w:eastAsia="仿宋" w:cs="Times New Roman"/>
                <w:color w:val="auto"/>
                <w:sz w:val="28"/>
                <w:szCs w:val="28"/>
                <w:highlight w:val="none"/>
                <w:lang w:val="en-US" w:eastAsia="zh-CN"/>
              </w:rPr>
              <w:t>三年至今</w:t>
            </w:r>
            <w:r>
              <w:rPr>
                <w:rFonts w:hint="eastAsia" w:ascii="仿宋" w:hAnsi="仿宋" w:eastAsia="仿宋" w:cs="Times New Roman"/>
                <w:color w:val="auto"/>
                <w:sz w:val="28"/>
                <w:szCs w:val="28"/>
                <w:highlight w:val="none"/>
                <w:lang w:eastAsia="zh-CN"/>
              </w:rPr>
              <w:t>，在经营活动中无重大违法记录，无不良业绩、无不良信用记录。（投标单位提供自我承诺和“国家企业信用信息公示系统”中公示的行政处罚信息、列入经营异常名录信息、列入严重违法失信名单（黑名单）信息截图） 。</w:t>
            </w:r>
          </w:p>
          <w:p w14:paraId="0284BCFB">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4.投标单位参加本次招标采购活动，不存在单位负责人为同一人或者存在直接控股、管理关系的其他供应商参与我司同一标段投标或者未划分标段的同一招标项目投标，投标单位提供承诺函（格式自拟）。</w:t>
            </w:r>
          </w:p>
          <w:p w14:paraId="7BF6A2F7">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5.投标单位参加本次招标采购活动，不存在和其他供应商在同一采购项目中，同时委托同一个自然人、同一家庭的人员、同一单位的人员作为代理人的行为，投标单位提供承诺函（格式自拟）。</w:t>
            </w:r>
          </w:p>
          <w:p w14:paraId="09755A9D">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6.投标单位完全接受和满足本项目招标文件中规定的实质性要求，如对招标文件有异议，已在投标截止时间届满前依法进行维权救济，不存在对招标文件有异议的同时又参加投标以求侥幸中标或者为实现其他非法目的的行为，投标单位提供承诺函（格式自拟）。</w:t>
            </w:r>
          </w:p>
          <w:p w14:paraId="356DF3AE">
            <w:pPr>
              <w:numPr>
                <w:ilvl w:val="0"/>
                <w:numId w:val="0"/>
              </w:num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kern w:val="2"/>
                <w:sz w:val="28"/>
                <w:szCs w:val="28"/>
                <w:highlight w:val="none"/>
                <w:lang w:val="en-US" w:eastAsia="zh-CN" w:bidi="ar-SA"/>
              </w:rPr>
              <w:t>（二）</w:t>
            </w:r>
            <w:r>
              <w:rPr>
                <w:rFonts w:hint="eastAsia" w:ascii="仿宋" w:hAnsi="仿宋" w:eastAsia="仿宋" w:cs="Times New Roman"/>
                <w:color w:val="auto"/>
                <w:sz w:val="28"/>
                <w:szCs w:val="28"/>
                <w:highlight w:val="none"/>
              </w:rPr>
              <w:t>业绩要求：</w:t>
            </w:r>
          </w:p>
          <w:p w14:paraId="29A1E506">
            <w:pPr>
              <w:autoSpaceDE w:val="0"/>
              <w:autoSpaceDN w:val="0"/>
              <w:spacing w:after="0" w:line="560" w:lineRule="exact"/>
              <w:ind w:firstLine="560" w:firstLineChars="200"/>
              <w:rPr>
                <w:rFonts w:ascii="仿宋" w:hAnsi="仿宋" w:eastAsia="仿宋"/>
                <w:color w:val="auto"/>
                <w:sz w:val="28"/>
                <w:szCs w:val="28"/>
                <w:highlight w:val="none"/>
              </w:rPr>
            </w:pPr>
            <w:r>
              <w:rPr>
                <w:rFonts w:hint="eastAsia" w:ascii="仿宋" w:hAnsi="仿宋" w:eastAsia="仿宋" w:cs="Times New Roman"/>
                <w:color w:val="auto"/>
                <w:sz w:val="28"/>
                <w:szCs w:val="28"/>
                <w:highlight w:val="none"/>
              </w:rPr>
              <w:t>投标单位</w:t>
            </w:r>
            <w:r>
              <w:rPr>
                <w:rFonts w:hint="eastAsia" w:ascii="仿宋" w:hAnsi="仿宋" w:eastAsia="仿宋" w:cs="Times New Roman"/>
                <w:color w:val="auto"/>
                <w:sz w:val="28"/>
                <w:szCs w:val="28"/>
                <w:highlight w:val="none"/>
                <w:lang w:eastAsia="zh-CN"/>
              </w:rPr>
              <w:t>在</w:t>
            </w:r>
            <w:r>
              <w:rPr>
                <w:rFonts w:hint="eastAsia" w:ascii="仿宋" w:hAnsi="仿宋" w:eastAsia="仿宋" w:cs="Times New Roman"/>
                <w:color w:val="auto"/>
                <w:sz w:val="28"/>
                <w:szCs w:val="28"/>
                <w:highlight w:val="none"/>
              </w:rPr>
              <w:t>合同有效期内，</w:t>
            </w:r>
            <w:r>
              <w:rPr>
                <w:rFonts w:hint="eastAsia" w:ascii="仿宋" w:hAnsi="仿宋" w:eastAsia="仿宋" w:cs="Times New Roman"/>
                <w:color w:val="auto"/>
                <w:sz w:val="28"/>
                <w:szCs w:val="28"/>
                <w:highlight w:val="none"/>
                <w:lang w:eastAsia="zh-CN"/>
              </w:rPr>
              <w:t>具有年度</w:t>
            </w:r>
            <w:r>
              <w:rPr>
                <w:rFonts w:hint="eastAsia" w:ascii="仿宋" w:hAnsi="仿宋" w:eastAsia="仿宋" w:cs="Times New Roman"/>
                <w:color w:val="auto"/>
                <w:sz w:val="28"/>
                <w:szCs w:val="28"/>
                <w:highlight w:val="none"/>
              </w:rPr>
              <w:t>合同额</w:t>
            </w:r>
            <w:r>
              <w:rPr>
                <w:rFonts w:hint="eastAsia" w:ascii="仿宋" w:hAnsi="仿宋" w:eastAsia="仿宋" w:cs="Times New Roman"/>
                <w:color w:val="auto"/>
                <w:sz w:val="28"/>
                <w:szCs w:val="28"/>
                <w:highlight w:val="none"/>
                <w:lang w:val="en-US" w:eastAsia="zh-CN"/>
              </w:rPr>
              <w:t>10</w:t>
            </w:r>
            <w:r>
              <w:rPr>
                <w:rFonts w:hint="eastAsia" w:ascii="仿宋" w:hAnsi="仿宋" w:eastAsia="仿宋" w:cs="Times New Roman"/>
                <w:color w:val="auto"/>
                <w:sz w:val="28"/>
                <w:szCs w:val="28"/>
                <w:highlight w:val="none"/>
              </w:rPr>
              <w:t>0万元</w:t>
            </w:r>
            <w:r>
              <w:rPr>
                <w:rFonts w:hint="eastAsia" w:ascii="仿宋" w:hAnsi="仿宋" w:eastAsia="仿宋" w:cs="Times New Roman"/>
                <w:color w:val="auto"/>
                <w:sz w:val="28"/>
                <w:szCs w:val="28"/>
                <w:highlight w:val="none"/>
                <w:lang w:eastAsia="zh-CN"/>
              </w:rPr>
              <w:t>及</w:t>
            </w:r>
            <w:r>
              <w:rPr>
                <w:rFonts w:hint="eastAsia" w:ascii="仿宋" w:hAnsi="仿宋" w:eastAsia="仿宋" w:cs="Times New Roman"/>
                <w:color w:val="auto"/>
                <w:sz w:val="28"/>
                <w:szCs w:val="28"/>
                <w:highlight w:val="none"/>
              </w:rPr>
              <w:t>以上的保</w:t>
            </w:r>
            <w:r>
              <w:rPr>
                <w:rFonts w:hint="eastAsia" w:ascii="仿宋" w:hAnsi="仿宋" w:eastAsia="仿宋" w:cs="Times New Roman"/>
                <w:color w:val="auto"/>
                <w:sz w:val="28"/>
                <w:szCs w:val="28"/>
                <w:highlight w:val="none"/>
                <w:lang w:val="en-US" w:eastAsia="zh-CN"/>
              </w:rPr>
              <w:t>洁</w:t>
            </w:r>
            <w:r>
              <w:rPr>
                <w:rFonts w:hint="eastAsia" w:ascii="仿宋" w:hAnsi="仿宋" w:eastAsia="仿宋" w:cs="Times New Roman"/>
                <w:color w:val="auto"/>
                <w:sz w:val="28"/>
                <w:szCs w:val="28"/>
                <w:highlight w:val="none"/>
              </w:rPr>
              <w:t>外包服务项目不少于</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rPr>
              <w:t>个（投标单位必须提供合同复印件关键页并加盖公章）。</w:t>
            </w:r>
          </w:p>
        </w:tc>
      </w:tr>
      <w:tr w14:paraId="4212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CA8E2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ADAEAB">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投标人项目负责人资格要求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FC18A7">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lang w:val="en-US" w:eastAsia="zh-CN"/>
              </w:rPr>
              <w:t>高中</w:t>
            </w:r>
            <w:r>
              <w:rPr>
                <w:rFonts w:hint="eastAsia" w:ascii="仿宋" w:hAnsi="仿宋" w:eastAsia="仿宋" w:cs="Times New Roman"/>
                <w:color w:val="auto"/>
                <w:sz w:val="28"/>
                <w:szCs w:val="28"/>
                <w:highlight w:val="none"/>
              </w:rPr>
              <w:t>以上学历，年龄不得超过</w:t>
            </w:r>
            <w:r>
              <w:rPr>
                <w:rFonts w:hint="eastAsia" w:ascii="仿宋" w:hAnsi="仿宋" w:eastAsia="仿宋" w:cs="Times New Roman"/>
                <w:color w:val="auto"/>
                <w:sz w:val="28"/>
                <w:szCs w:val="28"/>
                <w:highlight w:val="none"/>
                <w:lang w:val="en-US" w:eastAsia="zh-CN"/>
              </w:rPr>
              <w:t>55</w:t>
            </w:r>
            <w:r>
              <w:rPr>
                <w:rFonts w:hint="eastAsia" w:ascii="仿宋" w:hAnsi="仿宋" w:eastAsia="仿宋" w:cs="Times New Roman"/>
                <w:color w:val="auto"/>
                <w:sz w:val="28"/>
                <w:szCs w:val="28"/>
                <w:highlight w:val="none"/>
              </w:rPr>
              <w:t>周岁，从事本岗位</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rPr>
              <w:t>年以上专业工作经验</w:t>
            </w:r>
            <w:r>
              <w:rPr>
                <w:rFonts w:hint="eastAsia" w:ascii="仿宋" w:hAnsi="仿宋" w:eastAsia="仿宋" w:cs="Times New Roman"/>
                <w:color w:val="auto"/>
                <w:sz w:val="28"/>
                <w:szCs w:val="28"/>
                <w:highlight w:val="none"/>
                <w:lang w:eastAsia="zh-CN"/>
              </w:rPr>
              <w:t>。</w:t>
            </w:r>
          </w:p>
        </w:tc>
      </w:tr>
      <w:tr w14:paraId="6932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F744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FCCCD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资格审查</w:t>
            </w:r>
          </w:p>
          <w:p w14:paraId="3128097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1EE35">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资格预审</w:t>
            </w:r>
          </w:p>
          <w:p w14:paraId="0F40ED5B">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资格后审</w:t>
            </w:r>
          </w:p>
          <w:p w14:paraId="37E315E4">
            <w:pPr>
              <w:topLinePunct/>
              <w:adjustRightInd w:val="0"/>
              <w:snapToGrid w:val="0"/>
              <w:spacing w:line="520" w:lineRule="exact"/>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□投标报名</w:t>
            </w:r>
          </w:p>
          <w:p w14:paraId="0259B872">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投标邀请</w:t>
            </w:r>
          </w:p>
        </w:tc>
      </w:tr>
      <w:tr w14:paraId="19B0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1CA520">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E54BF2">
            <w:pPr>
              <w:spacing w:line="360" w:lineRule="auto"/>
              <w:jc w:val="center"/>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是否接受</w:t>
            </w:r>
          </w:p>
          <w:p w14:paraId="00E29B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s="宋体"/>
                <w:color w:val="auto"/>
                <w:sz w:val="28"/>
                <w:szCs w:val="28"/>
                <w:highlight w:val="none"/>
              </w:rPr>
              <w:t>联合体投标</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5CD880">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不接受   □接受</w:t>
            </w:r>
          </w:p>
        </w:tc>
      </w:tr>
      <w:tr w14:paraId="46E7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5687C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C56A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投标报价</w:t>
            </w:r>
          </w:p>
          <w:p w14:paraId="67D694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C5B97A">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一）</w:t>
            </w:r>
            <w:r>
              <w:rPr>
                <w:rFonts w:hint="eastAsia" w:ascii="仿宋" w:hAnsi="仿宋" w:eastAsia="仿宋" w:cs="Times New Roman"/>
                <w:color w:val="auto"/>
                <w:sz w:val="28"/>
                <w:szCs w:val="28"/>
                <w:highlight w:val="none"/>
              </w:rPr>
              <w:t>本项目投标报价上限为</w:t>
            </w:r>
            <w:r>
              <w:rPr>
                <w:rFonts w:hint="eastAsia" w:ascii="仿宋_GB2312" w:hAnsi="仿宋_GB2312" w:eastAsia="仿宋_GB2312" w:cs="仿宋_GB2312"/>
                <w:bCs/>
                <w:color w:val="auto"/>
                <w:sz w:val="28"/>
                <w:szCs w:val="28"/>
                <w:highlight w:val="none"/>
                <w:lang w:val="en-US" w:eastAsia="zh-CN"/>
              </w:rPr>
              <w:t>1,845,360.00元</w:t>
            </w:r>
            <w:r>
              <w:rPr>
                <w:rFonts w:hint="eastAsia" w:ascii="仿宋" w:hAnsi="仿宋" w:eastAsia="仿宋"/>
                <w:color w:val="auto"/>
                <w:sz w:val="28"/>
                <w:szCs w:val="28"/>
                <w:highlight w:val="none"/>
                <w:lang w:val="en-US" w:eastAsia="zh-CN"/>
              </w:rPr>
              <w:t>（含税）</w:t>
            </w:r>
            <w:r>
              <w:rPr>
                <w:rFonts w:hint="eastAsia" w:ascii="仿宋" w:hAnsi="仿宋" w:eastAsia="仿宋" w:cs="Times New Roman"/>
                <w:color w:val="auto"/>
                <w:sz w:val="28"/>
                <w:szCs w:val="28"/>
                <w:highlight w:val="none"/>
              </w:rPr>
              <w:t>，</w:t>
            </w:r>
            <w:r>
              <w:rPr>
                <w:rFonts w:hint="eastAsia" w:ascii="仿宋" w:hAnsi="仿宋" w:eastAsia="仿宋"/>
                <w:color w:val="auto"/>
                <w:sz w:val="28"/>
                <w:szCs w:val="28"/>
                <w:highlight w:val="none"/>
              </w:rPr>
              <w:t>超过上限价的投标文件将被否决</w:t>
            </w:r>
            <w:r>
              <w:rPr>
                <w:rFonts w:hint="eastAsia" w:ascii="仿宋" w:hAnsi="仿宋" w:eastAsia="仿宋"/>
                <w:color w:val="auto"/>
                <w:sz w:val="28"/>
                <w:szCs w:val="28"/>
                <w:highlight w:val="none"/>
                <w:lang w:eastAsia="zh-CN"/>
              </w:rPr>
              <w:t>。</w:t>
            </w:r>
          </w:p>
          <w:p w14:paraId="02CF51A9">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二）</w:t>
            </w:r>
            <w:r>
              <w:rPr>
                <w:rFonts w:hint="eastAsia" w:ascii="仿宋" w:hAnsi="仿宋" w:eastAsia="仿宋"/>
                <w:color w:val="auto"/>
                <w:sz w:val="28"/>
                <w:szCs w:val="28"/>
                <w:highlight w:val="none"/>
              </w:rPr>
              <w:t>本项目保</w:t>
            </w:r>
            <w:r>
              <w:rPr>
                <w:rFonts w:hint="eastAsia" w:ascii="仿宋" w:hAnsi="仿宋" w:eastAsia="仿宋"/>
                <w:color w:val="auto"/>
                <w:sz w:val="28"/>
                <w:szCs w:val="28"/>
                <w:highlight w:val="none"/>
                <w:lang w:val="en-US" w:eastAsia="zh-CN"/>
              </w:rPr>
              <w:t>洁</w:t>
            </w:r>
            <w:r>
              <w:rPr>
                <w:rFonts w:hint="eastAsia" w:ascii="仿宋" w:hAnsi="仿宋" w:eastAsia="仿宋"/>
                <w:color w:val="auto"/>
                <w:sz w:val="28"/>
                <w:szCs w:val="28"/>
                <w:highlight w:val="none"/>
              </w:rPr>
              <w:t>服务报价方式为单价包干</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 </w:t>
            </w:r>
          </w:p>
        </w:tc>
      </w:tr>
      <w:tr w14:paraId="6384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77383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13</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4D1146">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投标货币</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89756C">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人民币</w:t>
            </w:r>
          </w:p>
          <w:p w14:paraId="62CAB186">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r>
      <w:tr w14:paraId="5944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E87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93FA5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服务周期要求</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B58BAE">
            <w:pPr>
              <w:spacing w:line="400" w:lineRule="exact"/>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val="en-US" w:eastAsia="zh-CN"/>
              </w:rPr>
              <w:t>2026年8月1日至2027年7月31日，履约评价优秀可续约，续约不超过两次且总续约时间不超过24个月</w:t>
            </w:r>
          </w:p>
        </w:tc>
      </w:tr>
      <w:tr w14:paraId="12A3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B0BC7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B1BB0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投标担保金额及方式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88BCE6">
            <w:pPr>
              <w:spacing w:line="400" w:lineRule="exac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投标担保金额：人民币伍仟元</w:t>
            </w:r>
            <w:r>
              <w:rPr>
                <w:rFonts w:hint="eastAsia" w:ascii="仿宋" w:hAnsi="仿宋" w:eastAsia="仿宋"/>
                <w:color w:val="auto"/>
                <w:sz w:val="28"/>
                <w:szCs w:val="28"/>
                <w:highlight w:val="none"/>
                <w:u w:val="none"/>
                <w:lang w:val="en-US" w:eastAsia="zh-CN"/>
              </w:rPr>
              <w:t>整，</w:t>
            </w:r>
            <w:r>
              <w:rPr>
                <w:rFonts w:hint="default" w:ascii="仿宋" w:hAnsi="仿宋" w:eastAsia="仿宋"/>
                <w:color w:val="auto"/>
                <w:sz w:val="28"/>
                <w:szCs w:val="28"/>
                <w:highlight w:val="none"/>
              </w:rPr>
              <w:t>由投标人从投标人基本账户汇出</w:t>
            </w:r>
            <w:r>
              <w:rPr>
                <w:rFonts w:hint="default" w:ascii="仿宋" w:hAnsi="仿宋" w:eastAsia="仿宋"/>
                <w:color w:val="auto"/>
                <w:sz w:val="28"/>
                <w:szCs w:val="28"/>
                <w:highlight w:val="none"/>
                <w:lang w:eastAsia="zh-CN"/>
              </w:rPr>
              <w:t>。</w:t>
            </w:r>
          </w:p>
          <w:p w14:paraId="1121DA21">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投标担保形式：</w:t>
            </w:r>
          </w:p>
          <w:p w14:paraId="4BDB5A0A">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□投标保函</w:t>
            </w:r>
          </w:p>
          <w:p w14:paraId="7B2728D5">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现金（银行转账）</w:t>
            </w:r>
          </w:p>
          <w:p w14:paraId="7D1622E2">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招标人名称：</w:t>
            </w:r>
            <w:r>
              <w:rPr>
                <w:rFonts w:hint="eastAsia" w:ascii="仿宋" w:hAnsi="仿宋" w:eastAsia="仿宋" w:cs="仿宋"/>
                <w:bCs/>
                <w:color w:val="auto"/>
                <w:sz w:val="28"/>
                <w:szCs w:val="28"/>
                <w:highlight w:val="none"/>
                <w:u w:val="single"/>
              </w:rPr>
              <w:t>深圳第一亚太物业管理有限公司</w:t>
            </w:r>
            <w:r>
              <w:rPr>
                <w:rFonts w:hint="eastAsia" w:ascii="仿宋" w:hAnsi="仿宋" w:eastAsia="仿宋" w:cs="仿宋"/>
                <w:bCs/>
                <w:color w:val="auto"/>
                <w:sz w:val="28"/>
                <w:szCs w:val="28"/>
                <w:highlight w:val="none"/>
                <w:u w:val="single"/>
                <w:lang w:eastAsia="zh-CN"/>
              </w:rPr>
              <w:t>重庆</w:t>
            </w:r>
            <w:r>
              <w:rPr>
                <w:rFonts w:hint="eastAsia" w:ascii="仿宋" w:hAnsi="仿宋" w:eastAsia="仿宋" w:cs="仿宋"/>
                <w:bCs/>
                <w:color w:val="auto"/>
                <w:sz w:val="28"/>
                <w:szCs w:val="28"/>
                <w:highlight w:val="none"/>
                <w:u w:val="single"/>
                <w:lang w:val="en-US" w:eastAsia="zh-CN"/>
              </w:rPr>
              <w:t>分公司</w:t>
            </w:r>
          </w:p>
          <w:p w14:paraId="4B77C64A">
            <w:pPr>
              <w:spacing w:line="400" w:lineRule="exac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地址：</w:t>
            </w:r>
            <w:r>
              <w:rPr>
                <w:rFonts w:hint="eastAsia" w:ascii="仿宋" w:hAnsi="仿宋" w:eastAsia="仿宋"/>
                <w:color w:val="auto"/>
                <w:sz w:val="28"/>
                <w:szCs w:val="28"/>
                <w:highlight w:val="none"/>
                <w:u w:val="single"/>
                <w:lang w:eastAsia="zh-CN"/>
              </w:rPr>
              <w:t>重庆市巴南区南彭公路物流基地东城大道8号</w:t>
            </w:r>
          </w:p>
          <w:p w14:paraId="6D27427D">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开户银行：</w:t>
            </w:r>
            <w:r>
              <w:rPr>
                <w:rFonts w:hint="eastAsia" w:ascii="仿宋" w:hAnsi="仿宋" w:eastAsia="仿宋" w:cs="Times New Roman"/>
                <w:color w:val="auto"/>
                <w:sz w:val="28"/>
                <w:szCs w:val="28"/>
                <w:highlight w:val="none"/>
                <w:u w:val="single"/>
              </w:rPr>
              <w:t xml:space="preserve">中国建设银行股份有限公司重庆巴南融汇半岛支行 </w:t>
            </w:r>
            <w:r>
              <w:rPr>
                <w:rFonts w:hint="eastAsia" w:ascii="仿宋" w:hAnsi="仿宋" w:eastAsia="仿宋" w:cs="Times New Roman"/>
                <w:color w:val="auto"/>
                <w:sz w:val="28"/>
                <w:szCs w:val="28"/>
                <w:highlight w:val="none"/>
              </w:rPr>
              <w:t xml:space="preserve"> </w:t>
            </w:r>
          </w:p>
          <w:p w14:paraId="6852DE7E">
            <w:pPr>
              <w:pStyle w:val="17"/>
              <w:adjustRightInd w:val="0"/>
              <w:snapToGrid w:val="0"/>
              <w:rPr>
                <w:rFonts w:hint="default" w:hAnsi="宋体" w:cs="宋体"/>
                <w:bCs/>
                <w:color w:val="auto"/>
                <w:sz w:val="24"/>
                <w:szCs w:val="24"/>
                <w:highlight w:val="none"/>
                <w:u w:val="single"/>
                <w:lang w:val="en-US"/>
              </w:rPr>
            </w:pPr>
            <w:r>
              <w:rPr>
                <w:rFonts w:hint="eastAsia" w:ascii="仿宋" w:hAnsi="仿宋" w:eastAsia="仿宋"/>
                <w:color w:val="auto"/>
                <w:sz w:val="28"/>
                <w:szCs w:val="28"/>
                <w:highlight w:val="none"/>
                <w:lang w:val="en-US" w:eastAsia="zh-CN"/>
              </w:rPr>
              <w:t>账</w:t>
            </w:r>
            <w:r>
              <w:rPr>
                <w:rFonts w:hint="eastAsia" w:ascii="仿宋" w:hAnsi="仿宋" w:eastAsia="仿宋"/>
                <w:color w:val="auto"/>
                <w:sz w:val="28"/>
                <w:szCs w:val="28"/>
                <w:highlight w:val="none"/>
              </w:rPr>
              <w:t>号：</w:t>
            </w:r>
            <w:r>
              <w:rPr>
                <w:rFonts w:hint="eastAsia" w:ascii="仿宋" w:hAnsi="仿宋" w:eastAsia="仿宋" w:cs="Times New Roman"/>
                <w:color w:val="auto"/>
                <w:sz w:val="28"/>
                <w:szCs w:val="28"/>
                <w:highlight w:val="none"/>
                <w:u w:val="single"/>
                <w:lang w:val="en-US" w:eastAsia="zh-CN"/>
              </w:rPr>
              <w:t>50001116800052500555</w:t>
            </w:r>
          </w:p>
          <w:p w14:paraId="10691799">
            <w:pPr>
              <w:pStyle w:val="46"/>
              <w:spacing w:line="400" w:lineRule="exact"/>
              <w:ind w:left="0" w:leftChars="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需备注“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重庆</w:t>
            </w:r>
            <w:r>
              <w:rPr>
                <w:rFonts w:hint="eastAsia" w:ascii="仿宋" w:hAnsi="仿宋" w:eastAsia="仿宋" w:cs="Times New Roman"/>
                <w:color w:val="auto"/>
                <w:kern w:val="2"/>
                <w:sz w:val="28"/>
                <w:szCs w:val="28"/>
                <w:highlight w:val="none"/>
                <w:u w:val="single"/>
                <w:lang w:val="en-US" w:eastAsia="zh-CN" w:bidi="ar-SA"/>
              </w:rPr>
              <w:t>华南城2026-2027年度保洁外包服务</w:t>
            </w:r>
            <w:r>
              <w:rPr>
                <w:rFonts w:hint="eastAsia" w:ascii="仿宋" w:hAnsi="仿宋" w:eastAsia="仿宋"/>
                <w:color w:val="auto"/>
                <w:sz w:val="28"/>
                <w:szCs w:val="28"/>
                <w:highlight w:val="none"/>
              </w:rPr>
              <w:t>投标保证金</w:t>
            </w:r>
            <w:r>
              <w:rPr>
                <w:rFonts w:hint="eastAsia" w:ascii="仿宋" w:hAnsi="仿宋" w:eastAsia="仿宋" w:cs="Times New Roman"/>
                <w:color w:val="auto"/>
                <w:sz w:val="28"/>
                <w:szCs w:val="28"/>
                <w:highlight w:val="none"/>
                <w:u w:val="none"/>
                <w:shd w:val="clear" w:color="auto" w:fill="auto"/>
                <w:lang w:val="en-US" w:eastAsia="zh-CN"/>
              </w:rPr>
              <w:t>（第二次）</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p>
        </w:tc>
      </w:tr>
      <w:tr w14:paraId="5159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9A5C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DC529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投标文件组成及份数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1C7DE3">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☑资格审查文件：正本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7D39E45C">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☑投标函部分：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A30FB28">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☑商务标部分：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639C35A6">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C1AAA4D">
            <w:pPr>
              <w:pStyle w:val="46"/>
              <w:spacing w:line="400" w:lineRule="exact"/>
              <w:ind w:firstLine="0" w:firstLineChars="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肆  </w:t>
            </w:r>
            <w:r>
              <w:rPr>
                <w:rFonts w:hint="eastAsia" w:ascii="仿宋" w:hAnsi="仿宋" w:eastAsia="仿宋"/>
                <w:color w:val="auto"/>
                <w:sz w:val="28"/>
                <w:szCs w:val="28"/>
                <w:highlight w:val="none"/>
              </w:rPr>
              <w:t>份</w:t>
            </w:r>
          </w:p>
          <w:p w14:paraId="626A688B">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电子文档U盘：壹份（Word/PDF/PPT格式）</w:t>
            </w:r>
          </w:p>
          <w:p w14:paraId="6C250347">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注：如电子文件与纸质文件不符，以纸质文件为准。</w:t>
            </w:r>
          </w:p>
        </w:tc>
      </w:tr>
      <w:tr w14:paraId="6F94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0E894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8CFB95">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评标方法及标准</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F02D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综合评审法</w:t>
            </w:r>
          </w:p>
          <w:p w14:paraId="3E244C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p w14:paraId="3CB06D14">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r>
      <w:tr w14:paraId="607B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DA27A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E73ECA">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评标委员会的人员组成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18E03">
            <w:pPr>
              <w:pStyle w:val="17"/>
              <w:spacing w:line="400" w:lineRule="exact"/>
              <w:rPr>
                <w:rFonts w:ascii="仿宋" w:hAnsi="仿宋" w:eastAsia="仿宋"/>
                <w:color w:val="auto"/>
                <w:sz w:val="28"/>
                <w:szCs w:val="28"/>
                <w:highlight w:val="none"/>
              </w:rPr>
            </w:pPr>
            <w:r>
              <w:rPr>
                <w:rFonts w:hint="eastAsia" w:ascii="仿宋" w:hAnsi="仿宋" w:eastAsia="仿宋" w:cs="宋体"/>
                <w:color w:val="auto"/>
                <w:sz w:val="28"/>
                <w:szCs w:val="28"/>
                <w:highlight w:val="none"/>
              </w:rPr>
              <w:t>由招标人依法组建</w:t>
            </w:r>
          </w:p>
        </w:tc>
      </w:tr>
      <w:tr w14:paraId="70C7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5CCE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37A2DB">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中标人的确定方式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E7F063">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评定分离：评标委员会评审后推荐无排序的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名投标人给招标人，由招标人的招标领导小组通过民主决策确定一名中标人。</w:t>
            </w:r>
          </w:p>
          <w:p w14:paraId="65B0A25F">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ascii="仿宋" w:hAnsi="仿宋" w:eastAsia="仿宋"/>
                <w:color w:val="auto"/>
                <w:sz w:val="28"/>
                <w:szCs w:val="28"/>
                <w:highlight w:val="none"/>
              </w:rPr>
              <w:t>招标</w:t>
            </w:r>
            <w:r>
              <w:rPr>
                <w:rFonts w:hint="eastAsia" w:ascii="仿宋" w:hAnsi="仿宋" w:eastAsia="仿宋"/>
                <w:color w:val="auto"/>
                <w:sz w:val="28"/>
                <w:szCs w:val="28"/>
                <w:highlight w:val="none"/>
              </w:rPr>
              <w:t>人</w:t>
            </w:r>
            <w:r>
              <w:rPr>
                <w:rFonts w:ascii="仿宋" w:hAnsi="仿宋" w:eastAsia="仿宋"/>
                <w:color w:val="auto"/>
                <w:sz w:val="28"/>
                <w:szCs w:val="28"/>
                <w:highlight w:val="none"/>
              </w:rPr>
              <w:t>授权开标小组或评标委员会直接确定中标人</w:t>
            </w:r>
          </w:p>
        </w:tc>
      </w:tr>
      <w:tr w14:paraId="3107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B07C5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50FEF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1B8C89">
            <w:pPr>
              <w:pStyle w:val="17"/>
              <w:spacing w:line="400" w:lineRule="exact"/>
              <w:rPr>
                <w:rFonts w:hint="default" w:ascii="仿宋" w:hAnsi="仿宋" w:eastAsia="仿宋"/>
                <w:color w:val="auto"/>
                <w:sz w:val="28"/>
                <w:szCs w:val="28"/>
                <w:highlight w:val="none"/>
                <w:lang w:val="en-US" w:eastAsia="zh-CN"/>
              </w:rPr>
            </w:pPr>
            <w:r>
              <w:rPr>
                <w:rFonts w:hint="eastAsia" w:ascii="仿宋" w:hAnsi="仿宋" w:eastAsia="仿宋" w:cs="Times New Roman"/>
                <w:color w:val="auto"/>
                <w:sz w:val="28"/>
                <w:szCs w:val="28"/>
                <w:highlight w:val="none"/>
              </w:rPr>
              <w:t>合同</w:t>
            </w:r>
            <w:r>
              <w:rPr>
                <w:rFonts w:hint="eastAsia" w:ascii="仿宋" w:hAnsi="仿宋" w:eastAsia="仿宋" w:cs="Times New Roman"/>
                <w:color w:val="auto"/>
                <w:sz w:val="28"/>
                <w:szCs w:val="28"/>
                <w:highlight w:val="none"/>
                <w:lang w:val="en-US" w:eastAsia="zh-CN"/>
              </w:rPr>
              <w:t>签订</w:t>
            </w:r>
            <w:r>
              <w:rPr>
                <w:rFonts w:hint="eastAsia" w:ascii="仿宋" w:hAnsi="仿宋" w:eastAsia="仿宋" w:cs="Times New Roman"/>
                <w:color w:val="auto"/>
                <w:sz w:val="28"/>
                <w:szCs w:val="28"/>
                <w:highlight w:val="none"/>
              </w:rPr>
              <w:t>前缴纳履约保证金（具体按照合同签订总金额对应月度费用30万元（含）以内的保证金5万元，月度费用30万元（不含）以上的保证金10万元</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在合同履约完毕且无任何纠纷后无息返还</w:t>
            </w:r>
            <w:r>
              <w:rPr>
                <w:rFonts w:hint="eastAsia" w:ascii="仿宋" w:hAnsi="仿宋" w:eastAsia="仿宋" w:cs="Times New Roman"/>
                <w:color w:val="auto"/>
                <w:sz w:val="28"/>
                <w:szCs w:val="28"/>
                <w:highlight w:val="none"/>
                <w:lang w:eastAsia="zh-CN"/>
              </w:rPr>
              <w:t>。</w:t>
            </w:r>
          </w:p>
        </w:tc>
      </w:tr>
    </w:tbl>
    <w:p w14:paraId="51D2B828">
      <w:pPr>
        <w:rPr>
          <w:rFonts w:hint="eastAsia"/>
          <w:color w:val="auto"/>
          <w:sz w:val="28"/>
          <w:szCs w:val="28"/>
          <w:highlight w:val="none"/>
        </w:rPr>
      </w:pPr>
      <w:bookmarkStart w:id="26" w:name="_Toc387313497"/>
      <w:bookmarkStart w:id="27" w:name="_Toc387313377"/>
      <w:bookmarkStart w:id="28" w:name="_Toc405384929"/>
    </w:p>
    <w:p w14:paraId="2AD2F43A">
      <w:pPr>
        <w:pStyle w:val="46"/>
        <w:widowControl w:val="0"/>
        <w:wordWrap/>
        <w:adjustRightInd/>
        <w:snapToGrid/>
        <w:spacing w:before="0" w:after="0" w:line="360" w:lineRule="auto"/>
        <w:ind w:left="0" w:leftChars="0" w:right="0" w:firstLine="0" w:firstLineChars="0"/>
        <w:jc w:val="both"/>
        <w:textAlignment w:val="auto"/>
        <w:outlineLvl w:val="2"/>
        <w:rPr>
          <w:rFonts w:ascii="黑体" w:hAnsi="黑体" w:eastAsia="黑体"/>
          <w:b w:val="0"/>
          <w:color w:val="auto"/>
          <w:sz w:val="36"/>
          <w:szCs w:val="36"/>
          <w:highlight w:val="none"/>
        </w:rPr>
      </w:pPr>
      <w:bookmarkStart w:id="29" w:name="_Toc80800142"/>
      <w:bookmarkStart w:id="30" w:name="_Toc1710"/>
      <w:r>
        <w:rPr>
          <w:rFonts w:hint="eastAsia" w:ascii="黑体" w:hAnsi="黑体" w:eastAsia="黑体"/>
          <w:b w:val="0"/>
          <w:color w:val="auto"/>
          <w:sz w:val="36"/>
          <w:szCs w:val="36"/>
          <w:highlight w:val="none"/>
        </w:rPr>
        <w:t>（二）投标须知前附表2</w:t>
      </w:r>
      <w:bookmarkEnd w:id="29"/>
      <w:bookmarkEnd w:id="30"/>
    </w:p>
    <w:p w14:paraId="592CAD5B">
      <w:pPr>
        <w:rPr>
          <w:color w:val="auto"/>
          <w:highlight w:val="none"/>
        </w:rPr>
      </w:pPr>
    </w:p>
    <w:tbl>
      <w:tblPr>
        <w:tblStyle w:val="34"/>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029"/>
        <w:gridCol w:w="5567"/>
      </w:tblGrid>
      <w:tr w14:paraId="2879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24" w:type="dxa"/>
            <w:vAlign w:val="center"/>
          </w:tcPr>
          <w:p w14:paraId="13C6F644">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序号</w:t>
            </w:r>
          </w:p>
        </w:tc>
        <w:tc>
          <w:tcPr>
            <w:tcW w:w="2029" w:type="dxa"/>
            <w:vAlign w:val="center"/>
          </w:tcPr>
          <w:p w14:paraId="419DCD4C">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内容</w:t>
            </w:r>
          </w:p>
        </w:tc>
        <w:tc>
          <w:tcPr>
            <w:tcW w:w="5567" w:type="dxa"/>
            <w:vAlign w:val="center"/>
          </w:tcPr>
          <w:p w14:paraId="074E22A6">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规定</w:t>
            </w:r>
          </w:p>
        </w:tc>
      </w:tr>
      <w:tr w14:paraId="5C7C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FCFD4F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1</w:t>
            </w:r>
          </w:p>
        </w:tc>
        <w:tc>
          <w:tcPr>
            <w:tcW w:w="2029" w:type="dxa"/>
            <w:vAlign w:val="center"/>
          </w:tcPr>
          <w:p w14:paraId="3FB2F4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招标文件的获取</w:t>
            </w:r>
          </w:p>
        </w:tc>
        <w:tc>
          <w:tcPr>
            <w:tcW w:w="5567" w:type="dxa"/>
            <w:vAlign w:val="center"/>
          </w:tcPr>
          <w:p w14:paraId="068603F8">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Times New Roman"/>
                <w:color w:val="auto"/>
                <w:sz w:val="28"/>
                <w:szCs w:val="28"/>
                <w:highlight w:val="none"/>
                <w:u w:val="single"/>
              </w:rPr>
              <w:t xml:space="preserve"> </w:t>
            </w:r>
            <w:r>
              <w:rPr>
                <w:rFonts w:hint="eastAsia" w:ascii="仿宋" w:hAnsi="仿宋" w:eastAsia="仿宋" w:cs="Times New Roman"/>
                <w:color w:val="auto"/>
                <w:sz w:val="28"/>
                <w:szCs w:val="28"/>
                <w:highlight w:val="none"/>
                <w:u w:val="single"/>
                <w:lang w:val="en-US" w:eastAsia="zh-CN"/>
              </w:rPr>
              <w:t>2026</w:t>
            </w:r>
            <w:r>
              <w:rPr>
                <w:rFonts w:hint="eastAsia" w:ascii="仿宋" w:hAnsi="仿宋" w:eastAsia="仿宋" w:cs="Times New Roman"/>
                <w:color w:val="auto"/>
                <w:sz w:val="28"/>
                <w:szCs w:val="28"/>
                <w:highlight w:val="none"/>
                <w:u w:val="single"/>
              </w:rPr>
              <w:t>年</w:t>
            </w:r>
            <w:r>
              <w:rPr>
                <w:rFonts w:hint="eastAsia" w:ascii="仿宋" w:hAnsi="仿宋" w:eastAsia="仿宋" w:cs="Times New Roman"/>
                <w:color w:val="auto"/>
                <w:sz w:val="28"/>
                <w:szCs w:val="28"/>
                <w:highlight w:val="none"/>
                <w:u w:val="single"/>
                <w:lang w:val="en-US" w:eastAsia="zh-CN"/>
              </w:rPr>
              <w:t>7</w:t>
            </w:r>
            <w:r>
              <w:rPr>
                <w:rFonts w:hint="eastAsia" w:ascii="仿宋" w:hAnsi="仿宋" w:eastAsia="仿宋" w:cs="Times New Roman"/>
                <w:color w:val="auto"/>
                <w:sz w:val="28"/>
                <w:szCs w:val="28"/>
                <w:highlight w:val="none"/>
                <w:u w:val="single"/>
              </w:rPr>
              <w:t>月</w:t>
            </w:r>
            <w:r>
              <w:rPr>
                <w:rFonts w:hint="eastAsia" w:ascii="仿宋" w:hAnsi="仿宋" w:eastAsia="仿宋" w:cs="Times New Roman"/>
                <w:color w:val="auto"/>
                <w:sz w:val="28"/>
                <w:szCs w:val="28"/>
                <w:highlight w:val="none"/>
                <w:u w:val="single"/>
                <w:lang w:val="en-US" w:eastAsia="zh-CN"/>
              </w:rPr>
              <w:t>3</w:t>
            </w:r>
            <w:r>
              <w:rPr>
                <w:rFonts w:hint="eastAsia" w:ascii="仿宋" w:hAnsi="仿宋" w:eastAsia="仿宋" w:cs="Times New Roman"/>
                <w:color w:val="auto"/>
                <w:sz w:val="28"/>
                <w:szCs w:val="28"/>
                <w:highlight w:val="none"/>
                <w:u w:val="single"/>
              </w:rPr>
              <w:t>日</w:t>
            </w:r>
          </w:p>
          <w:p w14:paraId="374483CA">
            <w:pPr>
              <w:adjustRightInd w:val="0"/>
              <w:snapToGrid w:val="0"/>
              <w:spacing w:line="400" w:lineRule="exact"/>
              <w:rPr>
                <w:rFonts w:ascii="仿宋" w:hAnsi="仿宋" w:eastAsia="仿宋" w:cs="Courier New"/>
                <w:color w:val="auto"/>
                <w:kern w:val="0"/>
                <w:sz w:val="28"/>
                <w:szCs w:val="28"/>
                <w:highlight w:val="none"/>
                <w:u w:val="single"/>
              </w:rPr>
            </w:pPr>
            <w:r>
              <w:rPr>
                <w:rFonts w:hint="eastAsia" w:ascii="仿宋" w:hAnsi="仿宋" w:eastAsia="仿宋" w:cs="Courier New"/>
                <w:color w:val="auto"/>
                <w:kern w:val="0"/>
                <w:sz w:val="28"/>
                <w:szCs w:val="28"/>
                <w:highlight w:val="none"/>
              </w:rPr>
              <w:t>地点：</w:t>
            </w:r>
            <w:r>
              <w:rPr>
                <w:rFonts w:hint="eastAsia" w:ascii="仿宋" w:hAnsi="仿宋" w:eastAsia="仿宋" w:cs="Times New Roman"/>
                <w:color w:val="auto"/>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或登录深圳阳光采购平台免费下载</w:t>
            </w:r>
          </w:p>
        </w:tc>
      </w:tr>
      <w:tr w14:paraId="16C9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3D0476E5">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2</w:t>
            </w:r>
          </w:p>
        </w:tc>
        <w:tc>
          <w:tcPr>
            <w:tcW w:w="2029" w:type="dxa"/>
            <w:vAlign w:val="center"/>
          </w:tcPr>
          <w:p w14:paraId="5207E7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投标文件递交</w:t>
            </w:r>
          </w:p>
        </w:tc>
        <w:tc>
          <w:tcPr>
            <w:tcW w:w="5567" w:type="dxa"/>
            <w:vAlign w:val="center"/>
          </w:tcPr>
          <w:p w14:paraId="51D6DF53">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截止时间：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7</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9</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10</w:t>
            </w:r>
            <w:r>
              <w:rPr>
                <w:rFonts w:hint="eastAsia" w:ascii="仿宋" w:hAnsi="仿宋" w:eastAsia="仿宋" w:cs="Courier New"/>
                <w:color w:val="auto"/>
                <w:kern w:val="0"/>
                <w:sz w:val="28"/>
                <w:szCs w:val="28"/>
                <w:highlight w:val="none"/>
                <w:u w:val="single"/>
              </w:rPr>
              <w:t>时</w:t>
            </w:r>
          </w:p>
          <w:p w14:paraId="51DDA431">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    点：深圳市龙岗区平湖街道华南大道一号行政楼3楼</w:t>
            </w:r>
          </w:p>
        </w:tc>
      </w:tr>
      <w:tr w14:paraId="027B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53F3D53">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3</w:t>
            </w:r>
          </w:p>
        </w:tc>
        <w:tc>
          <w:tcPr>
            <w:tcW w:w="2029" w:type="dxa"/>
            <w:vAlign w:val="center"/>
          </w:tcPr>
          <w:p w14:paraId="3F2271A7">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w:t>
            </w:r>
          </w:p>
        </w:tc>
        <w:tc>
          <w:tcPr>
            <w:tcW w:w="5567" w:type="dxa"/>
            <w:vAlign w:val="center"/>
          </w:tcPr>
          <w:p w14:paraId="28B7D61B">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90</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日历天（从投标截止之日算起）</w:t>
            </w:r>
          </w:p>
        </w:tc>
      </w:tr>
      <w:tr w14:paraId="6066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13B233B1">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4</w:t>
            </w:r>
          </w:p>
        </w:tc>
        <w:tc>
          <w:tcPr>
            <w:tcW w:w="2029" w:type="dxa"/>
            <w:vAlign w:val="center"/>
          </w:tcPr>
          <w:p w14:paraId="38E27F4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招标人对招标文件的澄清或修改、答疑的期限、方式</w:t>
            </w:r>
          </w:p>
        </w:tc>
        <w:tc>
          <w:tcPr>
            <w:tcW w:w="5567" w:type="dxa"/>
            <w:vAlign w:val="center"/>
          </w:tcPr>
          <w:p w14:paraId="46493B90">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投标人质疑期限：在投标截止日期前</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bCs/>
                <w:color w:val="auto"/>
                <w:kern w:val="0"/>
                <w:sz w:val="28"/>
                <w:szCs w:val="28"/>
                <w:highlight w:val="none"/>
                <w:u w:val="single"/>
                <w:lang w:val="en-US" w:eastAsia="zh-CN"/>
              </w:rPr>
              <w:t>3</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日（不少于3日）</w:t>
            </w:r>
          </w:p>
          <w:p w14:paraId="5615BC5F">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招标人澄清或修补、答疑期限：在投标截止日期前</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2</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日（不少于2日）</w:t>
            </w:r>
          </w:p>
          <w:p w14:paraId="1285D4B0">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投标人提交质疑问题的方式：以书面形式递交</w:t>
            </w:r>
          </w:p>
          <w:p w14:paraId="03AF2A25">
            <w:pPr>
              <w:pStyle w:val="46"/>
              <w:spacing w:line="400" w:lineRule="exact"/>
              <w:ind w:firstLine="0" w:firstLineChars="0"/>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招标人发出答疑补遗的方式</w:t>
            </w:r>
            <w:r>
              <w:rPr>
                <w:rFonts w:hint="eastAsia" w:ascii="仿宋" w:hAnsi="仿宋" w:eastAsia="仿宋"/>
                <w:color w:val="auto"/>
                <w:sz w:val="28"/>
                <w:szCs w:val="28"/>
                <w:highlight w:val="none"/>
                <w:lang w:eastAsia="zh-CN"/>
              </w:rPr>
              <w:t>：以</w:t>
            </w:r>
            <w:r>
              <w:rPr>
                <w:rFonts w:hint="eastAsia" w:ascii="仿宋" w:hAnsi="仿宋" w:eastAsia="仿宋"/>
                <w:color w:val="auto"/>
                <w:sz w:val="28"/>
                <w:szCs w:val="28"/>
                <w:highlight w:val="none"/>
              </w:rPr>
              <w:t xml:space="preserve">书面形式发送 </w:t>
            </w:r>
          </w:p>
        </w:tc>
      </w:tr>
      <w:tr w14:paraId="167D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98C0C3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5</w:t>
            </w:r>
          </w:p>
        </w:tc>
        <w:tc>
          <w:tcPr>
            <w:tcW w:w="2029" w:type="dxa"/>
            <w:vAlign w:val="center"/>
          </w:tcPr>
          <w:p w14:paraId="2E60CF7E">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开标会</w:t>
            </w:r>
          </w:p>
        </w:tc>
        <w:tc>
          <w:tcPr>
            <w:tcW w:w="5567" w:type="dxa"/>
            <w:vAlign w:val="center"/>
          </w:tcPr>
          <w:p w14:paraId="4086AE69">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7</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9</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10</w:t>
            </w:r>
            <w:r>
              <w:rPr>
                <w:rFonts w:hint="eastAsia" w:ascii="仿宋" w:hAnsi="仿宋" w:eastAsia="仿宋" w:cs="Courier New"/>
                <w:color w:val="auto"/>
                <w:kern w:val="0"/>
                <w:sz w:val="28"/>
                <w:szCs w:val="28"/>
                <w:highlight w:val="none"/>
                <w:u w:val="single"/>
              </w:rPr>
              <w:t>时</w:t>
            </w:r>
          </w:p>
          <w:p w14:paraId="4BE8E9D2">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地点：</w:t>
            </w:r>
            <w:r>
              <w:rPr>
                <w:rFonts w:hint="eastAsia" w:ascii="仿宋" w:hAnsi="仿宋" w:eastAsia="仿宋" w:cs="Courier New"/>
                <w:color w:val="auto"/>
                <w:kern w:val="0"/>
                <w:sz w:val="28"/>
                <w:szCs w:val="28"/>
                <w:highlight w:val="none"/>
                <w:u w:val="single"/>
              </w:rPr>
              <w:t>深圳市龙岗区平湖街道华南大道一号行政楼3楼</w:t>
            </w:r>
          </w:p>
        </w:tc>
      </w:tr>
      <w:tr w14:paraId="706D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5CC36D29">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6</w:t>
            </w:r>
          </w:p>
        </w:tc>
        <w:tc>
          <w:tcPr>
            <w:tcW w:w="2029" w:type="dxa"/>
            <w:vAlign w:val="center"/>
          </w:tcPr>
          <w:p w14:paraId="1D934AFA">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发出中标通知书</w:t>
            </w:r>
          </w:p>
        </w:tc>
        <w:tc>
          <w:tcPr>
            <w:tcW w:w="5567" w:type="dxa"/>
            <w:vAlign w:val="center"/>
          </w:tcPr>
          <w:p w14:paraId="2FE8AB2D">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投标有效期满30天前</w:t>
            </w:r>
          </w:p>
        </w:tc>
      </w:tr>
      <w:tr w14:paraId="45FF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4D73B1C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7</w:t>
            </w:r>
          </w:p>
        </w:tc>
        <w:tc>
          <w:tcPr>
            <w:tcW w:w="2029" w:type="dxa"/>
            <w:vAlign w:val="center"/>
          </w:tcPr>
          <w:p w14:paraId="3FE6AC5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签订合同</w:t>
            </w:r>
          </w:p>
        </w:tc>
        <w:tc>
          <w:tcPr>
            <w:tcW w:w="5567" w:type="dxa"/>
            <w:vAlign w:val="center"/>
          </w:tcPr>
          <w:p w14:paraId="64B73994">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收到中标通知书30天内</w:t>
            </w:r>
          </w:p>
        </w:tc>
      </w:tr>
      <w:tr w14:paraId="7474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405F7D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8</w:t>
            </w:r>
          </w:p>
        </w:tc>
        <w:tc>
          <w:tcPr>
            <w:tcW w:w="2029" w:type="dxa"/>
            <w:vAlign w:val="center"/>
          </w:tcPr>
          <w:p w14:paraId="4216917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其他</w:t>
            </w:r>
          </w:p>
        </w:tc>
        <w:tc>
          <w:tcPr>
            <w:tcW w:w="5567" w:type="dxa"/>
            <w:vAlign w:val="center"/>
          </w:tcPr>
          <w:p w14:paraId="0B18DF0C">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拟派项目负责人需进行述标答辩</w:t>
            </w:r>
          </w:p>
          <w:p w14:paraId="079C45B0">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1.述标答辩时间:202</w:t>
            </w: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年</w:t>
            </w:r>
            <w:r>
              <w:rPr>
                <w:rFonts w:hint="eastAsia" w:ascii="仿宋" w:hAnsi="仿宋" w:eastAsia="仿宋"/>
                <w:color w:val="auto"/>
                <w:kern w:val="0"/>
                <w:sz w:val="28"/>
                <w:szCs w:val="28"/>
                <w:highlight w:val="none"/>
                <w:lang w:val="en-US" w:eastAsia="zh-CN"/>
              </w:rPr>
              <w:t>7</w:t>
            </w:r>
            <w:r>
              <w:rPr>
                <w:rFonts w:hint="eastAsia" w:ascii="仿宋" w:hAnsi="仿宋" w:eastAsia="仿宋"/>
                <w:color w:val="auto"/>
                <w:kern w:val="0"/>
                <w:sz w:val="28"/>
                <w:szCs w:val="28"/>
                <w:highlight w:val="none"/>
              </w:rPr>
              <w:t>月</w:t>
            </w:r>
            <w:r>
              <w:rPr>
                <w:rFonts w:hint="eastAsia" w:ascii="仿宋" w:hAnsi="仿宋" w:eastAsia="仿宋"/>
                <w:color w:val="auto"/>
                <w:kern w:val="0"/>
                <w:sz w:val="28"/>
                <w:szCs w:val="28"/>
                <w:highlight w:val="none"/>
                <w:lang w:val="en-US" w:eastAsia="zh-CN"/>
              </w:rPr>
              <w:t>9</w:t>
            </w:r>
            <w:r>
              <w:rPr>
                <w:rFonts w:hint="eastAsia" w:ascii="仿宋" w:hAnsi="仿宋" w:eastAsia="仿宋"/>
                <w:color w:val="auto"/>
                <w:kern w:val="0"/>
                <w:sz w:val="28"/>
                <w:szCs w:val="28"/>
                <w:highlight w:val="none"/>
              </w:rPr>
              <w:t>日</w:t>
            </w:r>
            <w:r>
              <w:rPr>
                <w:rFonts w:hint="eastAsia" w:ascii="仿宋" w:hAnsi="仿宋" w:eastAsia="仿宋"/>
                <w:color w:val="auto"/>
                <w:kern w:val="0"/>
                <w:sz w:val="28"/>
                <w:szCs w:val="28"/>
                <w:highlight w:val="none"/>
                <w:lang w:val="en-US" w:eastAsia="zh-CN"/>
              </w:rPr>
              <w:t>14</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0</w:t>
            </w:r>
            <w:r>
              <w:rPr>
                <w:rFonts w:hint="eastAsia" w:ascii="仿宋" w:hAnsi="仿宋" w:eastAsia="仿宋"/>
                <w:color w:val="auto"/>
                <w:kern w:val="0"/>
                <w:sz w:val="28"/>
                <w:szCs w:val="28"/>
                <w:highlight w:val="none"/>
              </w:rPr>
              <w:t>0（暂定，若有调整，以招标人通知为准。）</w:t>
            </w:r>
          </w:p>
          <w:p w14:paraId="57F48286">
            <w:pPr>
              <w:adjustRightInd w:val="0"/>
              <w:snapToGrid w:val="0"/>
              <w:spacing w:line="400" w:lineRule="exact"/>
              <w:rPr>
                <w:rFonts w:hint="default" w:ascii="仿宋" w:hAnsi="仿宋" w:eastAsia="仿宋"/>
                <w:color w:val="auto"/>
                <w:sz w:val="28"/>
                <w:szCs w:val="28"/>
                <w:highlight w:val="none"/>
                <w:u w:val="single"/>
                <w:lang w:val="en-US" w:eastAsia="zh-CN"/>
              </w:rPr>
            </w:pPr>
            <w:r>
              <w:rPr>
                <w:rFonts w:hint="eastAsia" w:ascii="仿宋" w:hAnsi="仿宋" w:eastAsia="仿宋"/>
                <w:color w:val="auto"/>
                <w:kern w:val="0"/>
                <w:sz w:val="28"/>
                <w:szCs w:val="28"/>
                <w:highlight w:val="none"/>
              </w:rPr>
              <w:t>2.述标答辩地点:</w:t>
            </w:r>
            <w:r>
              <w:rPr>
                <w:rFonts w:hint="eastAsia" w:ascii="仿宋" w:hAnsi="仿宋" w:eastAsia="仿宋" w:cs="Courier New"/>
                <w:color w:val="auto"/>
                <w:kern w:val="0"/>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/重庆市巴南区东城大道8号华南城招商行政中心二楼</w:t>
            </w:r>
          </w:p>
          <w:p w14:paraId="6AC8B6AA">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3.述标答辩要求：</w:t>
            </w:r>
          </w:p>
          <w:p w14:paraId="311C989E">
            <w:pPr>
              <w:adjustRightInd w:val="0"/>
              <w:snapToGrid w:val="0"/>
              <w:spacing w:line="400" w:lineRule="exact"/>
              <w:rPr>
                <w:rFonts w:hint="eastAsia" w:ascii="仿宋" w:hAnsi="仿宋" w:eastAsia="仿宋"/>
                <w:color w:val="auto"/>
                <w:kern w:val="0"/>
                <w:sz w:val="28"/>
                <w:szCs w:val="28"/>
                <w:highlight w:val="none"/>
              </w:rPr>
            </w:pPr>
            <w:r>
              <w:rPr>
                <w:rFonts w:hint="eastAsia" w:ascii="仿宋" w:hAnsi="仿宋" w:eastAsia="仿宋"/>
                <w:color w:val="auto"/>
                <w:sz w:val="28"/>
                <w:szCs w:val="28"/>
                <w:highlight w:val="none"/>
              </w:rPr>
              <w:t>(1)拟派项目负责人需持授权委托书、身份证原件、复印件及最近1个月的社保缴纳证明等资料进行身份核验。(2)围绕技术标评审的要求进行述标，形式不限。(3)述标答辩时间不超过15分钟，其中述标时限10分钟，答辩时间时限5分钟。</w:t>
            </w:r>
          </w:p>
        </w:tc>
      </w:tr>
    </w:tbl>
    <w:p w14:paraId="7A233C2C">
      <w:pPr>
        <w:rPr>
          <w:color w:val="auto"/>
          <w:highlight w:val="none"/>
        </w:rPr>
      </w:pPr>
    </w:p>
    <w:p w14:paraId="0902F0B3">
      <w:pPr>
        <w:pStyle w:val="46"/>
        <w:spacing w:line="360" w:lineRule="auto"/>
        <w:ind w:firstLine="562"/>
        <w:rPr>
          <w:rFonts w:ascii="宋体" w:hAnsi="宋体"/>
          <w:b/>
          <w:bCs/>
          <w:color w:val="auto"/>
          <w:kern w:val="0"/>
          <w:sz w:val="28"/>
          <w:szCs w:val="28"/>
          <w:highlight w:val="none"/>
        </w:rPr>
      </w:pPr>
      <w:r>
        <w:rPr>
          <w:rFonts w:ascii="宋体" w:hAnsi="宋体"/>
          <w:b/>
          <w:bCs/>
          <w:color w:val="auto"/>
          <w:kern w:val="0"/>
          <w:sz w:val="28"/>
          <w:szCs w:val="28"/>
          <w:highlight w:val="none"/>
        </w:rPr>
        <w:br w:type="page"/>
      </w:r>
    </w:p>
    <w:p w14:paraId="7627810A">
      <w:pPr>
        <w:pStyle w:val="4"/>
        <w:spacing w:before="0" w:after="0" w:line="560" w:lineRule="exact"/>
        <w:jc w:val="center"/>
        <w:rPr>
          <w:rFonts w:ascii="黑体" w:hAnsi="黑体" w:eastAsia="黑体"/>
          <w:color w:val="auto"/>
          <w:sz w:val="36"/>
          <w:szCs w:val="36"/>
          <w:highlight w:val="none"/>
        </w:rPr>
      </w:pPr>
      <w:bookmarkStart w:id="31" w:name="_Toc80800143"/>
      <w:bookmarkStart w:id="32" w:name="_Toc24980"/>
      <w:bookmarkStart w:id="33" w:name="_Toc7583"/>
      <w:r>
        <w:rPr>
          <w:rFonts w:hint="eastAsia" w:ascii="黑体" w:hAnsi="黑体" w:eastAsia="黑体"/>
          <w:color w:val="auto"/>
          <w:sz w:val="36"/>
          <w:szCs w:val="36"/>
          <w:highlight w:val="none"/>
        </w:rPr>
        <w:t>（三）投标须知前附件</w:t>
      </w:r>
      <w:bookmarkEnd w:id="31"/>
      <w:bookmarkEnd w:id="32"/>
      <w:bookmarkEnd w:id="33"/>
    </w:p>
    <w:p w14:paraId="308F6C69">
      <w:pPr>
        <w:pStyle w:val="5"/>
        <w:spacing w:before="0" w:after="0" w:line="560" w:lineRule="exact"/>
        <w:ind w:firstLine="643"/>
        <w:rPr>
          <w:rFonts w:hint="default" w:ascii="仿宋" w:hAnsi="仿宋" w:eastAsia="仿宋"/>
          <w:color w:val="auto"/>
          <w:kern w:val="0"/>
          <w:sz w:val="32"/>
          <w:szCs w:val="32"/>
          <w:highlight w:val="none"/>
          <w:lang w:val="en-US" w:eastAsia="zh-CN"/>
        </w:rPr>
      </w:pPr>
      <w:bookmarkStart w:id="34" w:name="_Toc80800144"/>
      <w:bookmarkStart w:id="35" w:name="_Toc31308"/>
      <w:r>
        <w:rPr>
          <w:rFonts w:hint="eastAsia" w:ascii="仿宋" w:hAnsi="仿宋" w:eastAsia="仿宋"/>
          <w:color w:val="auto"/>
          <w:kern w:val="0"/>
          <w:sz w:val="32"/>
          <w:szCs w:val="32"/>
          <w:highlight w:val="none"/>
        </w:rPr>
        <w:t>附件一：</w:t>
      </w:r>
      <w:bookmarkEnd w:id="34"/>
      <w:r>
        <w:rPr>
          <w:rFonts w:hint="eastAsia" w:ascii="仿宋" w:hAnsi="仿宋" w:eastAsia="仿宋"/>
          <w:color w:val="auto"/>
          <w:kern w:val="0"/>
          <w:sz w:val="32"/>
          <w:szCs w:val="32"/>
          <w:highlight w:val="none"/>
          <w:lang w:val="en-US" w:eastAsia="zh-CN"/>
        </w:rPr>
        <w:t>招标公告</w:t>
      </w:r>
      <w:bookmarkEnd w:id="35"/>
    </w:p>
    <w:p w14:paraId="63B7C57A">
      <w:pPr>
        <w:ind w:right="560"/>
        <w:jc w:val="center"/>
        <w:rPr>
          <w:rFonts w:ascii="黑体" w:hAnsi="黑体" w:eastAsia="黑体" w:cs="宋体"/>
          <w:color w:val="auto"/>
          <w:kern w:val="0"/>
          <w:sz w:val="44"/>
          <w:szCs w:val="44"/>
          <w:highlight w:val="none"/>
        </w:rPr>
      </w:pPr>
      <w:r>
        <w:rPr>
          <w:rFonts w:hint="eastAsia" w:ascii="黑体" w:hAnsi="黑体" w:eastAsia="黑体" w:cs="宋体"/>
          <w:color w:val="auto"/>
          <w:kern w:val="0"/>
          <w:sz w:val="44"/>
          <w:szCs w:val="44"/>
          <w:highlight w:val="none"/>
        </w:rPr>
        <w:t>招标公告</w:t>
      </w:r>
    </w:p>
    <w:p w14:paraId="699D748A">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一、招标项目名称：</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6952C847">
      <w:pPr>
        <w:spacing w:line="560" w:lineRule="exact"/>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二、招标方式：</w:t>
      </w:r>
      <w:r>
        <w:rPr>
          <w:rFonts w:hint="eastAsia" w:ascii="仿宋" w:hAnsi="仿宋" w:eastAsia="仿宋"/>
          <w:color w:val="auto"/>
          <w:sz w:val="28"/>
          <w:szCs w:val="28"/>
          <w:highlight w:val="none"/>
          <w:u w:val="single"/>
        </w:rPr>
        <w:t>公开招标</w:t>
      </w:r>
    </w:p>
    <w:p w14:paraId="728ED76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三、项目地点：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27220EBF">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四、投标上限价：</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D02893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五、招标范围及主要内容：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3B6DF1E1">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六、服务周期要求：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6ED214A3">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七、评标方法：</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5F412CF2">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八、中标人的确定方式：</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0A90ED0">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九、投标申请人资格要求：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2E8233C">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十、拟派项目负责人资格要求：</w:t>
      </w:r>
      <w:r>
        <w:rPr>
          <w:rFonts w:hint="eastAsia" w:ascii="仿宋" w:hAnsi="仿宋" w:eastAsia="仿宋"/>
          <w:color w:val="auto"/>
          <w:sz w:val="28"/>
          <w:szCs w:val="28"/>
          <w:highlight w:val="none"/>
          <w:u w:val="single"/>
        </w:rPr>
        <w:t>详见投标须知前附表1</w:t>
      </w:r>
    </w:p>
    <w:p w14:paraId="7EFACE75">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十一、招标文件的获取</w:t>
      </w:r>
    </w:p>
    <w:p w14:paraId="40AB95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（一）投标申请人资格条件符合招标公告要求的，招标人将向合格投标报名单位免费发放招标文件。</w:t>
      </w:r>
    </w:p>
    <w:p w14:paraId="41CCB5E8">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（二）招标文件领取时间：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F0B069C">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（三）招标文件领取地点：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49A4FB87">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（四）需携带资料：</w:t>
      </w:r>
      <w:r>
        <w:rPr>
          <w:rFonts w:hint="eastAsia" w:ascii="仿宋" w:hAnsi="仿宋" w:eastAsia="仿宋"/>
          <w:color w:val="auto"/>
          <w:sz w:val="28"/>
          <w:szCs w:val="28"/>
          <w:highlight w:val="none"/>
          <w:u w:val="single"/>
        </w:rPr>
        <w:t xml:space="preserve">  /  </w:t>
      </w:r>
    </w:p>
    <w:p w14:paraId="472CC08D">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十二、投标文件的递交</w:t>
      </w:r>
    </w:p>
    <w:p w14:paraId="11B93B9F">
      <w:pPr>
        <w:wordWrap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（一）截标时间：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A46CBB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（二）截标地点：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B49BAF3">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十三、发布公告的媒介</w:t>
      </w:r>
    </w:p>
    <w:p w14:paraId="70E2316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本次招标公告在</w:t>
      </w:r>
      <w:r>
        <w:rPr>
          <w:rFonts w:ascii="仿宋" w:hAnsi="仿宋" w:eastAsia="仿宋" w:cs="Courier New"/>
          <w:color w:val="auto"/>
          <w:kern w:val="0"/>
          <w:sz w:val="28"/>
          <w:szCs w:val="28"/>
          <w:highlight w:val="none"/>
        </w:rPr>
        <w:t>https://www.szygcgpt.com/</w:t>
      </w:r>
      <w:r>
        <w:rPr>
          <w:rFonts w:hint="eastAsia" w:ascii="仿宋" w:hAnsi="仿宋" w:eastAsia="仿宋" w:cs="Courier New"/>
          <w:color w:val="auto"/>
          <w:kern w:val="0"/>
          <w:sz w:val="28"/>
          <w:szCs w:val="28"/>
          <w:highlight w:val="none"/>
        </w:rPr>
        <w:t>（市属国企阳光采购服务平台）</w:t>
      </w:r>
      <w:r>
        <w:rPr>
          <w:rFonts w:hint="eastAsia" w:ascii="仿宋" w:hAnsi="仿宋" w:eastAsia="仿宋"/>
          <w:color w:val="auto"/>
          <w:sz w:val="28"/>
          <w:szCs w:val="28"/>
          <w:highlight w:val="none"/>
        </w:rPr>
        <w:t>上发布。</w:t>
      </w:r>
    </w:p>
    <w:p w14:paraId="465A803E">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w:t>
      </w:r>
      <w:r>
        <w:rPr>
          <w:rFonts w:ascii="仿宋" w:hAnsi="仿宋" w:eastAsia="仿宋"/>
          <w:b/>
          <w:color w:val="auto"/>
          <w:sz w:val="28"/>
          <w:szCs w:val="28"/>
          <w:highlight w:val="none"/>
        </w:rPr>
        <w:t>四</w:t>
      </w:r>
      <w:r>
        <w:rPr>
          <w:rFonts w:hint="eastAsia" w:ascii="仿宋" w:hAnsi="仿宋" w:eastAsia="仿宋"/>
          <w:b/>
          <w:color w:val="auto"/>
          <w:sz w:val="28"/>
          <w:szCs w:val="28"/>
          <w:highlight w:val="none"/>
        </w:rPr>
        <w:t>、联系方式</w:t>
      </w:r>
    </w:p>
    <w:p w14:paraId="73A421A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（一）联系人：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李先生</w:t>
      </w:r>
      <w:r>
        <w:rPr>
          <w:rFonts w:hint="eastAsia" w:ascii="仿宋" w:hAnsi="仿宋" w:eastAsia="仿宋"/>
          <w:color w:val="auto"/>
          <w:sz w:val="28"/>
          <w:szCs w:val="28"/>
          <w:highlight w:val="none"/>
          <w:u w:val="single"/>
        </w:rPr>
        <w:t xml:space="preserve">             </w:t>
      </w:r>
    </w:p>
    <w:p w14:paraId="381EE21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（二）联系电话：</w:t>
      </w:r>
      <w:r>
        <w:rPr>
          <w:rFonts w:hint="eastAsia" w:ascii="仿宋" w:hAnsi="仿宋" w:eastAsia="仿宋"/>
          <w:color w:val="auto"/>
          <w:sz w:val="28"/>
          <w:szCs w:val="28"/>
          <w:highlight w:val="none"/>
          <w:u w:val="single"/>
        </w:rPr>
        <w:t xml:space="preserve">   1</w:t>
      </w:r>
      <w:r>
        <w:rPr>
          <w:rFonts w:hint="eastAsia" w:ascii="仿宋" w:hAnsi="仿宋" w:eastAsia="仿宋"/>
          <w:color w:val="auto"/>
          <w:sz w:val="28"/>
          <w:szCs w:val="28"/>
          <w:highlight w:val="none"/>
          <w:u w:val="single"/>
          <w:lang w:val="en-US" w:eastAsia="zh-CN"/>
        </w:rPr>
        <w:t>5889676077</w:t>
      </w:r>
      <w:r>
        <w:rPr>
          <w:rFonts w:hint="eastAsia" w:ascii="仿宋" w:hAnsi="仿宋" w:eastAsia="仿宋"/>
          <w:color w:val="auto"/>
          <w:sz w:val="28"/>
          <w:szCs w:val="28"/>
          <w:highlight w:val="none"/>
          <w:u w:val="single"/>
        </w:rPr>
        <w:t xml:space="preserve">      </w:t>
      </w:r>
    </w:p>
    <w:p w14:paraId="1974773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（三）传真：</w:t>
      </w:r>
      <w:r>
        <w:rPr>
          <w:rFonts w:hint="eastAsia" w:ascii="仿宋" w:hAnsi="仿宋" w:eastAsia="仿宋"/>
          <w:color w:val="auto"/>
          <w:sz w:val="28"/>
          <w:szCs w:val="28"/>
          <w:highlight w:val="none"/>
          <w:u w:val="single"/>
        </w:rPr>
        <w:t xml:space="preserve">        /                </w:t>
      </w:r>
    </w:p>
    <w:p w14:paraId="711BC992">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（四）电子邮箱：</w:t>
      </w:r>
      <w:r>
        <w:rPr>
          <w:rFonts w:ascii="仿宋" w:hAnsi="仿宋" w:eastAsia="仿宋"/>
          <w:color w:val="auto"/>
          <w:sz w:val="28"/>
          <w:szCs w:val="28"/>
          <w:highlight w:val="none"/>
          <w:u w:val="single"/>
        </w:rPr>
        <w:t xml:space="preserve">lijiale@csc-sz.com </w:t>
      </w:r>
      <w:r>
        <w:rPr>
          <w:rFonts w:hint="eastAsia" w:ascii="仿宋" w:hAnsi="仿宋" w:eastAsia="仿宋"/>
          <w:color w:val="auto"/>
          <w:sz w:val="28"/>
          <w:szCs w:val="28"/>
          <w:highlight w:val="none"/>
          <w:u w:val="single"/>
        </w:rPr>
        <w:t xml:space="preserve">  </w:t>
      </w:r>
    </w:p>
    <w:p w14:paraId="08C524C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（五）地址：</w:t>
      </w:r>
      <w:r>
        <w:rPr>
          <w:rFonts w:hint="eastAsia" w:ascii="仿宋" w:hAnsi="仿宋" w:eastAsia="仿宋"/>
          <w:color w:val="auto"/>
          <w:sz w:val="28"/>
          <w:szCs w:val="28"/>
          <w:highlight w:val="none"/>
          <w:u w:val="single"/>
        </w:rPr>
        <w:t>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EDA68DE">
      <w:pPr>
        <w:spacing w:line="560" w:lineRule="exact"/>
        <w:jc w:val="left"/>
        <w:rPr>
          <w:rFonts w:ascii="仿宋" w:hAnsi="仿宋" w:eastAsia="仿宋"/>
          <w:color w:val="auto"/>
          <w:sz w:val="28"/>
          <w:szCs w:val="28"/>
          <w:highlight w:val="none"/>
        </w:rPr>
      </w:pPr>
    </w:p>
    <w:p w14:paraId="3BC11F93">
      <w:pPr>
        <w:spacing w:line="560" w:lineRule="exact"/>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招标人：</w:t>
      </w:r>
      <w:r>
        <w:rPr>
          <w:rFonts w:hint="eastAsia" w:ascii="仿宋" w:hAnsi="仿宋" w:eastAsia="仿宋"/>
          <w:color w:val="auto"/>
          <w:sz w:val="28"/>
          <w:szCs w:val="28"/>
          <w:highlight w:val="none"/>
          <w:u w:val="single"/>
        </w:rPr>
        <w:t>深圳第一亚太物业管理有限公司</w:t>
      </w:r>
      <w:r>
        <w:rPr>
          <w:rFonts w:hint="eastAsia" w:ascii="仿宋" w:hAnsi="仿宋" w:eastAsia="仿宋"/>
          <w:color w:val="auto"/>
          <w:sz w:val="28"/>
          <w:szCs w:val="28"/>
          <w:highlight w:val="none"/>
          <w:u w:val="single"/>
          <w:lang w:val="en-US" w:eastAsia="zh-CN"/>
        </w:rPr>
        <w:t>重庆</w:t>
      </w:r>
      <w:r>
        <w:rPr>
          <w:rFonts w:hint="eastAsia" w:ascii="仿宋" w:hAnsi="仿宋" w:eastAsia="仿宋"/>
          <w:color w:val="auto"/>
          <w:sz w:val="28"/>
          <w:szCs w:val="28"/>
          <w:highlight w:val="none"/>
          <w:u w:val="single"/>
        </w:rPr>
        <w:t>分公司</w:t>
      </w:r>
    </w:p>
    <w:p w14:paraId="6E4EF0E4">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w:t>
      </w:r>
    </w:p>
    <w:p w14:paraId="76F4B416">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202</w:t>
      </w:r>
      <w:r>
        <w:rPr>
          <w:rFonts w:hint="eastAsia" w:ascii="仿宋" w:hAnsi="仿宋" w:eastAsia="仿宋" w:cs="仿宋_GB2312"/>
          <w:color w:val="auto"/>
          <w:kern w:val="0"/>
          <w:sz w:val="28"/>
          <w:szCs w:val="28"/>
          <w:highlight w:val="none"/>
          <w:lang w:val="en-US" w:eastAsia="zh-CN"/>
        </w:rPr>
        <w:t>6</w:t>
      </w:r>
      <w:r>
        <w:rPr>
          <w:rFonts w:hint="eastAsia" w:ascii="仿宋" w:hAnsi="仿宋" w:eastAsia="仿宋" w:cs="仿宋_GB2312"/>
          <w:color w:val="auto"/>
          <w:kern w:val="0"/>
          <w:sz w:val="28"/>
          <w:szCs w:val="28"/>
          <w:highlight w:val="none"/>
        </w:rPr>
        <w:t>年</w:t>
      </w:r>
      <w:r>
        <w:rPr>
          <w:rFonts w:hint="eastAsia" w:ascii="仿宋" w:hAnsi="仿宋" w:eastAsia="仿宋" w:cs="仿宋_GB2312"/>
          <w:color w:val="auto"/>
          <w:kern w:val="0"/>
          <w:sz w:val="28"/>
          <w:szCs w:val="28"/>
          <w:highlight w:val="none"/>
          <w:lang w:val="en-US" w:eastAsia="zh-CN"/>
        </w:rPr>
        <w:t>7</w:t>
      </w:r>
      <w:r>
        <w:rPr>
          <w:rFonts w:hint="eastAsia" w:ascii="仿宋" w:hAnsi="仿宋" w:eastAsia="仿宋" w:cs="仿宋_GB2312"/>
          <w:color w:val="auto"/>
          <w:kern w:val="0"/>
          <w:sz w:val="28"/>
          <w:szCs w:val="28"/>
          <w:highlight w:val="none"/>
        </w:rPr>
        <w:t>月</w:t>
      </w:r>
      <w:r>
        <w:rPr>
          <w:rFonts w:hint="eastAsia" w:ascii="仿宋" w:hAnsi="仿宋" w:eastAsia="仿宋" w:cs="仿宋_GB2312"/>
          <w:color w:val="auto"/>
          <w:kern w:val="0"/>
          <w:sz w:val="28"/>
          <w:szCs w:val="28"/>
          <w:highlight w:val="none"/>
          <w:lang w:val="en-US" w:eastAsia="zh-CN"/>
        </w:rPr>
        <w:t>3</w:t>
      </w:r>
      <w:bookmarkStart w:id="143" w:name="_GoBack"/>
      <w:bookmarkEnd w:id="143"/>
      <w:r>
        <w:rPr>
          <w:rFonts w:hint="eastAsia" w:ascii="仿宋" w:hAnsi="仿宋" w:eastAsia="仿宋" w:cs="仿宋_GB2312"/>
          <w:color w:val="auto"/>
          <w:kern w:val="0"/>
          <w:sz w:val="28"/>
          <w:szCs w:val="28"/>
          <w:highlight w:val="none"/>
        </w:rPr>
        <w:t>日</w:t>
      </w:r>
    </w:p>
    <w:p w14:paraId="3B8AC192">
      <w:pPr>
        <w:spacing w:line="560" w:lineRule="exact"/>
        <w:ind w:firstLine="560" w:firstLineChars="200"/>
        <w:jc w:val="left"/>
        <w:rPr>
          <w:rFonts w:ascii="仿宋" w:hAnsi="仿宋" w:eastAsia="仿宋" w:cs="仿宋_GB2312"/>
          <w:color w:val="auto"/>
          <w:kern w:val="0"/>
          <w:sz w:val="28"/>
          <w:szCs w:val="28"/>
          <w:highlight w:val="none"/>
        </w:rPr>
      </w:pPr>
    </w:p>
    <w:p w14:paraId="52692CED">
      <w:pPr>
        <w:spacing w:line="560" w:lineRule="exact"/>
        <w:ind w:firstLine="560" w:firstLineChars="200"/>
        <w:jc w:val="left"/>
        <w:rPr>
          <w:rFonts w:hint="eastAsia" w:ascii="仿宋" w:hAnsi="仿宋" w:eastAsia="仿宋" w:cs="Times New Roman"/>
          <w:color w:val="auto"/>
          <w:sz w:val="28"/>
          <w:szCs w:val="28"/>
          <w:highlight w:val="none"/>
        </w:rPr>
      </w:pPr>
    </w:p>
    <w:p w14:paraId="5D1FB08B">
      <w:pPr>
        <w:spacing w:line="560" w:lineRule="exact"/>
        <w:ind w:firstLine="560" w:firstLineChars="200"/>
        <w:jc w:val="left"/>
        <w:rPr>
          <w:rFonts w:ascii="仿宋_GB2312" w:hAnsi="仿宋" w:eastAsia="仿宋_GB2312" w:cs="仿宋_GB2312"/>
          <w:color w:val="auto"/>
          <w:kern w:val="0"/>
          <w:sz w:val="28"/>
          <w:szCs w:val="28"/>
          <w:highlight w:val="none"/>
        </w:rPr>
      </w:pPr>
      <w:r>
        <w:rPr>
          <w:rFonts w:ascii="仿宋_GB2312" w:hAnsi="仿宋" w:eastAsia="仿宋_GB2312" w:cs="仿宋_GB2312"/>
          <w:color w:val="auto"/>
          <w:kern w:val="0"/>
          <w:sz w:val="28"/>
          <w:szCs w:val="28"/>
          <w:highlight w:val="none"/>
        </w:rPr>
        <w:br w:type="page"/>
      </w:r>
    </w:p>
    <w:p w14:paraId="346E9FA3">
      <w:pPr>
        <w:pStyle w:val="5"/>
        <w:spacing w:before="0" w:after="0" w:line="560" w:lineRule="exact"/>
        <w:rPr>
          <w:rFonts w:ascii="仿宋" w:hAnsi="仿宋" w:eastAsia="仿宋"/>
          <w:color w:val="auto"/>
          <w:kern w:val="0"/>
          <w:sz w:val="32"/>
          <w:szCs w:val="32"/>
          <w:highlight w:val="none"/>
        </w:rPr>
      </w:pPr>
      <w:bookmarkStart w:id="36" w:name="_Toc80800145"/>
      <w:bookmarkStart w:id="37" w:name="_Toc1274"/>
      <w:r>
        <w:rPr>
          <w:rFonts w:hint="eastAsia" w:ascii="仿宋" w:hAnsi="仿宋" w:eastAsia="仿宋"/>
          <w:color w:val="auto"/>
          <w:kern w:val="0"/>
          <w:sz w:val="32"/>
          <w:szCs w:val="32"/>
          <w:highlight w:val="none"/>
        </w:rPr>
        <w:t>附件二：投标文件否决性条款摘要</w:t>
      </w:r>
      <w:bookmarkEnd w:id="36"/>
      <w:bookmarkEnd w:id="37"/>
    </w:p>
    <w:p w14:paraId="29A0D8B1">
      <w:pPr>
        <w:adjustRightInd w:val="0"/>
        <w:snapToGrid w:val="0"/>
        <w:spacing w:line="360" w:lineRule="auto"/>
        <w:ind w:firstLine="643" w:firstLineChars="200"/>
        <w:jc w:val="center"/>
        <w:rPr>
          <w:rFonts w:ascii="仿宋_GB2312" w:eastAsia="仿宋_GB2312"/>
          <w:b/>
          <w:color w:val="auto"/>
          <w:kern w:val="0"/>
          <w:sz w:val="32"/>
          <w:szCs w:val="32"/>
          <w:highlight w:val="none"/>
        </w:rPr>
      </w:pPr>
    </w:p>
    <w:p w14:paraId="618F2EB0">
      <w:pPr>
        <w:adjustRightInd w:val="0"/>
        <w:snapToGrid w:val="0"/>
        <w:spacing w:line="360" w:lineRule="auto"/>
        <w:ind w:firstLine="720" w:firstLineChars="200"/>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投标文件否决性条款摘要</w:t>
      </w:r>
    </w:p>
    <w:p w14:paraId="34495728">
      <w:pPr>
        <w:adjustRightInd w:val="0"/>
        <w:snapToGrid w:val="0"/>
        <w:spacing w:line="560" w:lineRule="exact"/>
        <w:ind w:firstLine="562" w:firstLineChars="20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一、</w:t>
      </w:r>
      <w:r>
        <w:rPr>
          <w:rFonts w:hint="eastAsia" w:ascii="仿宋" w:hAnsi="仿宋" w:eastAsia="仿宋"/>
          <w:b/>
          <w:color w:val="auto"/>
          <w:kern w:val="0"/>
          <w:sz w:val="28"/>
          <w:szCs w:val="28"/>
          <w:highlight w:val="none"/>
        </w:rPr>
        <w:t>开标阶段，投标文件不予受理的情形</w:t>
      </w:r>
      <w:r>
        <w:rPr>
          <w:rFonts w:hint="eastAsia" w:ascii="仿宋" w:hAnsi="仿宋" w:eastAsia="仿宋"/>
          <w:b/>
          <w:bCs/>
          <w:color w:val="auto"/>
          <w:kern w:val="0"/>
          <w:sz w:val="28"/>
          <w:szCs w:val="28"/>
          <w:highlight w:val="none"/>
        </w:rPr>
        <w:t xml:space="preserve">： </w:t>
      </w:r>
    </w:p>
    <w:p w14:paraId="26DE3750">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在投标截止时间以后逾期送达的或者未送达指定地点的；</w:t>
      </w:r>
    </w:p>
    <w:p w14:paraId="034F423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2、投标文件中的投标资格证明文件不合格的；</w:t>
      </w:r>
    </w:p>
    <w:p w14:paraId="5BC2407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3、</w:t>
      </w:r>
      <w:r>
        <w:rPr>
          <w:rFonts w:hint="eastAsia" w:ascii="仿宋" w:hAnsi="仿宋" w:eastAsia="仿宋"/>
          <w:color w:val="auto"/>
          <w:kern w:val="0"/>
          <w:sz w:val="28"/>
          <w:szCs w:val="28"/>
          <w:highlight w:val="none"/>
        </w:rPr>
        <w:t>投标文件的投标报价高于投标报价上限的；</w:t>
      </w:r>
    </w:p>
    <w:p w14:paraId="4A5FB05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w:t>
      </w:r>
      <w:r>
        <w:rPr>
          <w:rFonts w:hint="eastAsia" w:ascii="仿宋" w:hAnsi="仿宋" w:eastAsia="仿宋"/>
          <w:bCs/>
          <w:color w:val="auto"/>
          <w:sz w:val="28"/>
          <w:szCs w:val="28"/>
          <w:highlight w:val="none"/>
        </w:rPr>
        <w:t>投标文件承诺的服务周期超过招标文件要求的；</w:t>
      </w:r>
    </w:p>
    <w:p w14:paraId="27B8AF01">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5、未按招标文件要求提交投标保函原件的或资信标未提供投标保函复印件的(采用投标保函形式情形),投标人未按招标文件要求在资信标提供投标保证金转账凭证复印件的或截标后投标保证金未到账的(采用银行转账形式情形)，投标人在开标结束前未提交投标保函原件或在截标前投标保证金未到账的。；（需提供投标担保情形）；</w:t>
      </w:r>
    </w:p>
    <w:p w14:paraId="6F9D5BFA">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6、未按招标文件规定提交《投标函》的，且未按规定加盖投标人印章</w:t>
      </w:r>
      <w:r>
        <w:rPr>
          <w:rFonts w:hint="eastAsia" w:ascii="仿宋" w:hAnsi="仿宋" w:eastAsia="仿宋"/>
          <w:color w:val="auto"/>
          <w:kern w:val="0"/>
          <w:sz w:val="28"/>
          <w:szCs w:val="28"/>
          <w:highlight w:val="none"/>
          <w:lang w:eastAsia="zh-CN"/>
        </w:rPr>
        <w:t>或</w:t>
      </w:r>
      <w:r>
        <w:rPr>
          <w:rFonts w:hint="eastAsia" w:ascii="仿宋" w:hAnsi="仿宋" w:eastAsia="仿宋"/>
          <w:color w:val="auto"/>
          <w:kern w:val="0"/>
          <w:sz w:val="28"/>
          <w:szCs w:val="28"/>
          <w:highlight w:val="none"/>
        </w:rPr>
        <w:t>未经法定代表人或其委托代理人签字(或盖章)的；</w:t>
      </w:r>
    </w:p>
    <w:p w14:paraId="47F17E6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7、投标文件中存在投标人名称不统一、投标人名称与投标人公章不一致、投标文件中的招标人名称与招标文件不一致的；</w:t>
      </w:r>
    </w:p>
    <w:p w14:paraId="555D9C30">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8、投标文件的有关内容未按本须知规定加盖投标人印章、或未经法定代表人或其委托代理人签字(或盖章)、或由委托代理人签字(或盖章)但未随投标文件一起提供“投标文件签署授权委托书”原件的；</w:t>
      </w:r>
    </w:p>
    <w:p w14:paraId="6C26E75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9、招标人要求提交投标文件电子文档，但投标人未提交或提交的电子文档不符合本须知要求的；</w:t>
      </w:r>
    </w:p>
    <w:p w14:paraId="185A4805">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10、组成联合体投标的，投标文件中未按规定提交联合体各方共同投标协议的；</w:t>
      </w:r>
    </w:p>
    <w:p w14:paraId="5B1C63F8">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11、参加联合体的各成员再以自己的名义单独投标的，或同时参加两个（含两个）以上的联合体投标的；</w:t>
      </w:r>
    </w:p>
    <w:p w14:paraId="1B2C284E">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12、投标人没有实质性响应招标文件要求的。</w:t>
      </w:r>
    </w:p>
    <w:p w14:paraId="5B4A8C53">
      <w:pPr>
        <w:adjustRightInd w:val="0"/>
        <w:snapToGrid w:val="0"/>
        <w:spacing w:line="560" w:lineRule="exact"/>
        <w:ind w:firstLine="562" w:firstLineChars="200"/>
        <w:rPr>
          <w:rFonts w:ascii="仿宋" w:hAnsi="仿宋" w:eastAsia="仿宋"/>
          <w:color w:val="auto"/>
          <w:kern w:val="0"/>
          <w:sz w:val="28"/>
          <w:szCs w:val="28"/>
          <w:highlight w:val="none"/>
        </w:rPr>
      </w:pPr>
      <w:r>
        <w:rPr>
          <w:rFonts w:hint="eastAsia" w:ascii="仿宋" w:hAnsi="仿宋" w:eastAsia="仿宋"/>
          <w:b/>
          <w:color w:val="auto"/>
          <w:kern w:val="0"/>
          <w:sz w:val="28"/>
          <w:szCs w:val="28"/>
          <w:highlight w:val="none"/>
        </w:rPr>
        <w:t>二、评标阶段有关无效标的情形：</w:t>
      </w:r>
      <w:r>
        <w:rPr>
          <w:rFonts w:hint="eastAsia" w:ascii="仿宋" w:hAnsi="仿宋" w:eastAsia="仿宋"/>
          <w:color w:val="auto"/>
          <w:kern w:val="0"/>
          <w:sz w:val="28"/>
          <w:szCs w:val="28"/>
          <w:highlight w:val="none"/>
        </w:rPr>
        <w:t xml:space="preserve"> </w:t>
      </w:r>
    </w:p>
    <w:p w14:paraId="08865CE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、《投标函》未按招标文件规定填写、漏填或内容填写错误的；</w:t>
      </w:r>
    </w:p>
    <w:p w14:paraId="19536A64">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2、投标人资格条件不符合国家有关规定和招标文件要求的；</w:t>
      </w:r>
    </w:p>
    <w:p w14:paraId="280FAFAB">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3、投标人以他人的名义投标或出现串通投标、弄虚作假情形的；</w:t>
      </w:r>
    </w:p>
    <w:p w14:paraId="36DA2BC2">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4、投标文件中附有招标人不能接受的条件的。</w:t>
      </w:r>
    </w:p>
    <w:p w14:paraId="6D8D2626">
      <w:pPr>
        <w:tabs>
          <w:tab w:val="left" w:pos="6285"/>
        </w:tabs>
        <w:adjustRightInd w:val="0"/>
        <w:snapToGrid w:val="0"/>
        <w:spacing w:line="560" w:lineRule="exact"/>
        <w:ind w:firstLine="562" w:firstLineChars="200"/>
        <w:rPr>
          <w:rFonts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三、评标阶段有关废标的情形：</w:t>
      </w:r>
    </w:p>
    <w:p w14:paraId="5391E3BE">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1、评标委员会根据招标文件的规定对投标文件的投标价格进行调整，投标人不接受调整方式、调整后价格，或调整后价格超出招标控制价的；</w:t>
      </w:r>
    </w:p>
    <w:p w14:paraId="6D36E277">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2、投标文件不满足招标文件规定的任何一项实质性要求的；</w:t>
      </w:r>
    </w:p>
    <w:p w14:paraId="294573C6">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w:t>
      </w:r>
      <w:r>
        <w:rPr>
          <w:rFonts w:hint="eastAsia" w:ascii="仿宋" w:hAnsi="仿宋" w:eastAsia="仿宋"/>
          <w:snapToGrid w:val="0"/>
          <w:color w:val="auto"/>
          <w:kern w:val="0"/>
          <w:sz w:val="28"/>
          <w:szCs w:val="28"/>
          <w:highlight w:val="none"/>
        </w:rPr>
        <w:t>评标委员会认定的其他串通投标、弄虚作假情形</w:t>
      </w:r>
      <w:r>
        <w:rPr>
          <w:rFonts w:hint="eastAsia" w:ascii="仿宋" w:hAnsi="仿宋" w:eastAsia="仿宋"/>
          <w:color w:val="auto"/>
          <w:kern w:val="0"/>
          <w:sz w:val="28"/>
          <w:szCs w:val="28"/>
          <w:highlight w:val="none"/>
        </w:rPr>
        <w:t>。</w:t>
      </w:r>
    </w:p>
    <w:p w14:paraId="3354717C">
      <w:pPr>
        <w:adjustRightInd w:val="0"/>
        <w:snapToGrid w:val="0"/>
        <w:spacing w:line="560" w:lineRule="exact"/>
        <w:ind w:firstLine="0" w:firstLineChars="0"/>
        <w:jc w:val="left"/>
        <w:rPr>
          <w:rFonts w:ascii="仿宋" w:hAnsi="仿宋" w:eastAsia="仿宋"/>
          <w:color w:val="auto"/>
          <w:kern w:val="0"/>
          <w:sz w:val="28"/>
          <w:szCs w:val="28"/>
          <w:highlight w:val="none"/>
        </w:rPr>
      </w:pPr>
    </w:p>
    <w:p w14:paraId="680848A2">
      <w:pPr>
        <w:pStyle w:val="33"/>
        <w:rPr>
          <w:rFonts w:ascii="仿宋" w:hAnsi="仿宋" w:eastAsia="仿宋"/>
          <w:color w:val="auto"/>
          <w:kern w:val="0"/>
          <w:sz w:val="28"/>
          <w:szCs w:val="28"/>
          <w:highlight w:val="none"/>
        </w:rPr>
      </w:pPr>
    </w:p>
    <w:p w14:paraId="146A0EC5">
      <w:pPr>
        <w:pStyle w:val="33"/>
        <w:rPr>
          <w:rFonts w:ascii="仿宋" w:hAnsi="仿宋" w:eastAsia="仿宋"/>
          <w:color w:val="auto"/>
          <w:kern w:val="0"/>
          <w:sz w:val="28"/>
          <w:szCs w:val="28"/>
          <w:highlight w:val="none"/>
        </w:rPr>
      </w:pPr>
    </w:p>
    <w:p w14:paraId="7D5AE5ED">
      <w:pPr>
        <w:adjustRightInd w:val="0"/>
        <w:snapToGrid w:val="0"/>
        <w:spacing w:line="560" w:lineRule="exact"/>
        <w:ind w:firstLine="0" w:firstLineChars="0"/>
        <w:jc w:val="left"/>
        <w:rPr>
          <w:rFonts w:ascii="仿宋" w:hAnsi="仿宋" w:eastAsia="仿宋"/>
          <w:color w:val="auto"/>
          <w:kern w:val="0"/>
          <w:sz w:val="28"/>
          <w:szCs w:val="28"/>
          <w:highlight w:val="none"/>
        </w:rPr>
      </w:pPr>
    </w:p>
    <w:p w14:paraId="745BDC94">
      <w:pPr>
        <w:pStyle w:val="5"/>
        <w:spacing w:before="0" w:after="0" w:line="560" w:lineRule="exact"/>
        <w:rPr>
          <w:rFonts w:hint="eastAsia" w:ascii="仿宋" w:hAnsi="仿宋" w:eastAsia="仿宋"/>
          <w:color w:val="auto"/>
          <w:kern w:val="0"/>
          <w:sz w:val="32"/>
          <w:szCs w:val="32"/>
          <w:highlight w:val="none"/>
        </w:rPr>
      </w:pPr>
      <w:bookmarkStart w:id="38" w:name="_Toc80800146"/>
      <w:bookmarkStart w:id="39" w:name="_Toc18656"/>
    </w:p>
    <w:p w14:paraId="0C44AEEE">
      <w:pPr>
        <w:pStyle w:val="5"/>
        <w:spacing w:before="0" w:after="0" w:line="560" w:lineRule="exact"/>
        <w:rPr>
          <w:rFonts w:hint="eastAsia" w:ascii="仿宋" w:hAnsi="仿宋" w:eastAsia="仿宋"/>
          <w:color w:val="auto"/>
          <w:kern w:val="0"/>
          <w:sz w:val="32"/>
          <w:szCs w:val="32"/>
          <w:highlight w:val="none"/>
        </w:rPr>
      </w:pPr>
    </w:p>
    <w:p w14:paraId="6AF759A2">
      <w:pPr>
        <w:pStyle w:val="5"/>
        <w:spacing w:before="0" w:after="0" w:line="560" w:lineRule="exact"/>
        <w:rPr>
          <w:rFonts w:ascii="仿宋" w:hAnsi="仿宋" w:eastAsia="仿宋"/>
          <w:color w:val="auto"/>
          <w:kern w:val="0"/>
          <w:sz w:val="32"/>
          <w:szCs w:val="32"/>
          <w:highlight w:val="none"/>
        </w:rPr>
      </w:pPr>
      <w:r>
        <w:rPr>
          <w:rFonts w:hint="eastAsia" w:ascii="仿宋" w:hAnsi="仿宋" w:eastAsia="仿宋"/>
          <w:color w:val="auto"/>
          <w:kern w:val="0"/>
          <w:sz w:val="32"/>
          <w:szCs w:val="32"/>
          <w:highlight w:val="none"/>
        </w:rPr>
        <w:t>附件三：评标程序和评标方法</w:t>
      </w:r>
      <w:bookmarkEnd w:id="38"/>
      <w:bookmarkEnd w:id="39"/>
    </w:p>
    <w:p w14:paraId="3F3133BB">
      <w:pPr>
        <w:rPr>
          <w:color w:val="auto"/>
          <w:highlight w:val="none"/>
        </w:rPr>
      </w:pPr>
    </w:p>
    <w:p w14:paraId="5E0DA0C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一、评标程序</w:t>
      </w:r>
    </w:p>
    <w:p w14:paraId="736AAAEB">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1.评标委员会推选一名成员担任主任委员，负责协调、组织评标活动的实施。（主任委员与评标委员会的其他成员享有同等的表决权）</w:t>
      </w:r>
    </w:p>
    <w:p w14:paraId="4C61CB5F">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2.评标委员会了解项目概况（包括项目的重点、难点）、评标内容、评标方法、招标文件中须注意的事项、以及建议评标的要点。</w:t>
      </w:r>
    </w:p>
    <w:p w14:paraId="42EABD24">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3.评标委员会成员熟悉招标文件、开标情况一览表，研究评标重点及具体分工。</w:t>
      </w:r>
    </w:p>
    <w:p w14:paraId="2A57C5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4.评标过程中发现有评标资料不齐全的情况，评标委员会应向工作人员反映，要求补充。</w:t>
      </w:r>
    </w:p>
    <w:p w14:paraId="75A56A3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评标委员会成员按照各自分工，根据招标文件规定的评标标准和方法，对投标文件进行系统的评审和比较。评审分初步评审和详细评审。经初步评审合格的投标文件，评标委员会对其技术部分和商务部分作进一步评审、比较。</w:t>
      </w:r>
    </w:p>
    <w:p w14:paraId="28F20DA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6．填写有关评标记录。由一名评标专家负责汇总评标打分，并由评标委员会主任委员进行复核。</w:t>
      </w:r>
    </w:p>
    <w:p w14:paraId="6DE3A05D">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7.评标过程中出现的争议，应当提交评标委员会集体讨论形成一致意见，不能形成一致意见的应在充分讨论后予以表决。</w:t>
      </w:r>
    </w:p>
    <w:p w14:paraId="1C84714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8.对需要投标人澄清、说明、补正的，应当进行答辩，并作好记录。</w:t>
      </w:r>
    </w:p>
    <w:p w14:paraId="6B54DEF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9.对评判为无效标或废标的情况进行详细的记录和说明，并告知相应的投标人，允许其进行解释，但不影响评判的最终结果。</w:t>
      </w:r>
    </w:p>
    <w:p w14:paraId="70136583">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10.对发现的违法、违规（嫌疑）行为，应当在评标报告中做出详细说明，做好取证工作。</w:t>
      </w:r>
    </w:p>
    <w:p w14:paraId="5F5E8CFD">
      <w:pPr>
        <w:pStyle w:val="30"/>
        <w:spacing w:before="0" w:beforeAutospacing="0" w:after="0" w:afterAutospacing="0"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11.由评标委员会主任委员或其指定的其他评标委员会成员填写评标报告，</w:t>
      </w:r>
      <w:r>
        <w:rPr>
          <w:rFonts w:ascii="仿宋" w:hAnsi="仿宋" w:eastAsia="仿宋"/>
          <w:color w:val="auto"/>
          <w:sz w:val="28"/>
          <w:szCs w:val="28"/>
          <w:highlight w:val="none"/>
        </w:rPr>
        <w:t xml:space="preserve">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w:t>
      </w:r>
      <w:r>
        <w:rPr>
          <w:rFonts w:hint="eastAsia" w:ascii="仿宋" w:hAnsi="仿宋" w:eastAsia="仿宋"/>
          <w:color w:val="auto"/>
          <w:sz w:val="28"/>
          <w:szCs w:val="28"/>
          <w:highlight w:val="none"/>
        </w:rPr>
        <w:t>做出</w:t>
      </w:r>
      <w:r>
        <w:rPr>
          <w:rFonts w:ascii="仿宋" w:hAnsi="仿宋" w:eastAsia="仿宋"/>
          <w:color w:val="auto"/>
          <w:sz w:val="28"/>
          <w:szCs w:val="28"/>
          <w:highlight w:val="none"/>
        </w:rPr>
        <w:t>书面说明并记录在案。</w:t>
      </w:r>
    </w:p>
    <w:p w14:paraId="6617F4BB">
      <w:pPr>
        <w:rPr>
          <w:color w:val="auto"/>
          <w:highlight w:val="none"/>
        </w:rPr>
      </w:pPr>
    </w:p>
    <w:p w14:paraId="1B96881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二、评标方法</w:t>
      </w:r>
    </w:p>
    <w:p w14:paraId="6FA95AF7">
      <w:pPr>
        <w:spacing w:line="360" w:lineRule="auto"/>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1.本招标</w:t>
      </w:r>
      <w:r>
        <w:rPr>
          <w:rFonts w:hint="eastAsia" w:ascii="仿宋" w:hAnsi="仿宋" w:eastAsia="仿宋"/>
          <w:b/>
          <w:color w:val="auto"/>
          <w:sz w:val="28"/>
          <w:szCs w:val="28"/>
          <w:highlight w:val="none"/>
          <w:lang w:eastAsia="zh-CN"/>
        </w:rPr>
        <w:t>项目</w:t>
      </w:r>
      <w:r>
        <w:rPr>
          <w:rFonts w:hint="eastAsia" w:ascii="仿宋" w:hAnsi="仿宋" w:eastAsia="仿宋"/>
          <w:b/>
          <w:color w:val="auto"/>
          <w:sz w:val="28"/>
          <w:szCs w:val="28"/>
          <w:highlight w:val="none"/>
        </w:rPr>
        <w:t>的评标办法采用：</w:t>
      </w:r>
    </w:p>
    <w:tbl>
      <w:tblPr>
        <w:tblStyle w:val="34"/>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2709"/>
        <w:gridCol w:w="2709"/>
      </w:tblGrid>
      <w:tr w14:paraId="5293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04FF5E8B">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评标方法</w:t>
            </w:r>
          </w:p>
        </w:tc>
        <w:tc>
          <w:tcPr>
            <w:tcW w:w="2709" w:type="dxa"/>
            <w:tcBorders>
              <w:top w:val="single" w:color="auto" w:sz="6" w:space="0"/>
              <w:left w:val="single" w:color="auto" w:sz="4" w:space="0"/>
              <w:bottom w:val="single" w:color="auto" w:sz="6" w:space="0"/>
              <w:right w:val="single" w:color="auto" w:sz="6" w:space="0"/>
            </w:tcBorders>
            <w:vAlign w:val="center"/>
          </w:tcPr>
          <w:p w14:paraId="4BDE4C8F">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评审内容</w:t>
            </w:r>
          </w:p>
        </w:tc>
        <w:tc>
          <w:tcPr>
            <w:tcW w:w="2709" w:type="dxa"/>
            <w:tcBorders>
              <w:top w:val="single" w:color="auto" w:sz="6" w:space="0"/>
              <w:left w:val="single" w:color="auto" w:sz="4" w:space="0"/>
              <w:bottom w:val="single" w:color="auto" w:sz="6" w:space="0"/>
              <w:right w:val="single" w:color="auto" w:sz="6" w:space="0"/>
            </w:tcBorders>
            <w:vAlign w:val="top"/>
          </w:tcPr>
          <w:p w14:paraId="4D66F274">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备注</w:t>
            </w:r>
          </w:p>
        </w:tc>
      </w:tr>
      <w:tr w14:paraId="3DFA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5E9433B">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综合评分法</w:t>
            </w:r>
          </w:p>
        </w:tc>
        <w:tc>
          <w:tcPr>
            <w:tcW w:w="2709" w:type="dxa"/>
            <w:tcBorders>
              <w:top w:val="single" w:color="auto" w:sz="6" w:space="0"/>
              <w:left w:val="single" w:color="auto" w:sz="4" w:space="0"/>
              <w:bottom w:val="single" w:color="auto" w:sz="6" w:space="0"/>
              <w:right w:val="single" w:color="auto" w:sz="6" w:space="0"/>
            </w:tcBorders>
            <w:vAlign w:val="center"/>
          </w:tcPr>
          <w:p w14:paraId="21F30BD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资信、商务、技术</w:t>
            </w:r>
          </w:p>
        </w:tc>
        <w:tc>
          <w:tcPr>
            <w:tcW w:w="2709" w:type="dxa"/>
            <w:tcBorders>
              <w:top w:val="single" w:color="auto" w:sz="6" w:space="0"/>
              <w:left w:val="single" w:color="auto" w:sz="4" w:space="0"/>
              <w:bottom w:val="single" w:color="auto" w:sz="6" w:space="0"/>
              <w:right w:val="single" w:color="auto" w:sz="6" w:space="0"/>
            </w:tcBorders>
            <w:vAlign w:val="top"/>
          </w:tcPr>
          <w:p w14:paraId="67D727A2">
            <w:pPr>
              <w:pStyle w:val="17"/>
              <w:spacing w:line="400" w:lineRule="exact"/>
              <w:jc w:val="left"/>
              <w:rPr>
                <w:rFonts w:ascii="仿宋" w:hAnsi="仿宋" w:eastAsia="仿宋"/>
                <w:color w:val="auto"/>
                <w:sz w:val="28"/>
                <w:szCs w:val="28"/>
                <w:highlight w:val="none"/>
              </w:rPr>
            </w:pPr>
          </w:p>
        </w:tc>
      </w:tr>
      <w:tr w14:paraId="447F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44999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tc>
        <w:tc>
          <w:tcPr>
            <w:tcW w:w="2709" w:type="dxa"/>
            <w:tcBorders>
              <w:top w:val="single" w:color="auto" w:sz="6" w:space="0"/>
              <w:left w:val="single" w:color="auto" w:sz="4" w:space="0"/>
              <w:bottom w:val="single" w:color="auto" w:sz="6" w:space="0"/>
              <w:right w:val="single" w:color="auto" w:sz="6" w:space="0"/>
            </w:tcBorders>
            <w:vAlign w:val="center"/>
          </w:tcPr>
          <w:p w14:paraId="7DBDA457">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w:t>
            </w:r>
          </w:p>
        </w:tc>
        <w:tc>
          <w:tcPr>
            <w:tcW w:w="2709" w:type="dxa"/>
            <w:tcBorders>
              <w:top w:val="single" w:color="auto" w:sz="6" w:space="0"/>
              <w:left w:val="single" w:color="auto" w:sz="4" w:space="0"/>
              <w:bottom w:val="single" w:color="auto" w:sz="6" w:space="0"/>
              <w:right w:val="single" w:color="auto" w:sz="6" w:space="0"/>
            </w:tcBorders>
            <w:vAlign w:val="top"/>
          </w:tcPr>
          <w:p w14:paraId="0D797970">
            <w:pPr>
              <w:pStyle w:val="17"/>
              <w:spacing w:line="400" w:lineRule="exact"/>
              <w:jc w:val="left"/>
              <w:rPr>
                <w:rFonts w:ascii="仿宋" w:hAnsi="仿宋" w:eastAsia="仿宋"/>
                <w:color w:val="auto"/>
                <w:sz w:val="28"/>
                <w:szCs w:val="28"/>
                <w:highlight w:val="none"/>
              </w:rPr>
            </w:pPr>
          </w:p>
        </w:tc>
      </w:tr>
      <w:tr w14:paraId="6BA8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6080E1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c>
          <w:tcPr>
            <w:tcW w:w="2709" w:type="dxa"/>
            <w:tcBorders>
              <w:top w:val="single" w:color="auto" w:sz="6" w:space="0"/>
              <w:left w:val="single" w:color="auto" w:sz="4" w:space="0"/>
              <w:bottom w:val="single" w:color="auto" w:sz="6" w:space="0"/>
              <w:right w:val="single" w:color="auto" w:sz="6" w:space="0"/>
            </w:tcBorders>
            <w:vAlign w:val="center"/>
          </w:tcPr>
          <w:p w14:paraId="16CB5F7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商务、技术</w:t>
            </w:r>
          </w:p>
        </w:tc>
        <w:tc>
          <w:tcPr>
            <w:tcW w:w="2709" w:type="dxa"/>
            <w:tcBorders>
              <w:top w:val="single" w:color="auto" w:sz="6" w:space="0"/>
              <w:left w:val="single" w:color="auto" w:sz="4" w:space="0"/>
              <w:bottom w:val="single" w:color="auto" w:sz="6" w:space="0"/>
              <w:right w:val="single" w:color="auto" w:sz="6" w:space="0"/>
            </w:tcBorders>
            <w:vAlign w:val="top"/>
          </w:tcPr>
          <w:p w14:paraId="1DB3E7B0">
            <w:pPr>
              <w:pStyle w:val="17"/>
              <w:spacing w:line="400" w:lineRule="exact"/>
              <w:jc w:val="left"/>
              <w:rPr>
                <w:rFonts w:ascii="仿宋" w:hAnsi="仿宋" w:eastAsia="仿宋"/>
                <w:color w:val="auto"/>
                <w:sz w:val="28"/>
                <w:szCs w:val="28"/>
                <w:highlight w:val="none"/>
              </w:rPr>
            </w:pPr>
          </w:p>
        </w:tc>
      </w:tr>
    </w:tbl>
    <w:p w14:paraId="0F587973">
      <w:pPr>
        <w:spacing w:line="360" w:lineRule="auto"/>
        <w:ind w:firstLine="562" w:firstLineChars="200"/>
        <w:rPr>
          <w:rFonts w:ascii="仿宋" w:hAnsi="仿宋" w:eastAsia="仿宋"/>
          <w:b/>
          <w:color w:val="auto"/>
          <w:sz w:val="28"/>
          <w:szCs w:val="28"/>
          <w:highlight w:val="none"/>
        </w:rPr>
      </w:pPr>
    </w:p>
    <w:p w14:paraId="5F5652D2">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2.综合评分法</w:t>
      </w:r>
    </w:p>
    <w:p w14:paraId="789415E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2.1招标人在开标会上根据招标文件中投标文件不予受理情形的规定，对资格审查合格的投标人的投标文件是否应当受理进行审查，然后将应当受理的投标文件提交评标委员会评审；</w:t>
      </w:r>
    </w:p>
    <w:p w14:paraId="6039701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2.2评标委员会分别根据招标文件无效标情形的规定，对所有应当受理的投标文件进行初步评审；</w:t>
      </w:r>
    </w:p>
    <w:p w14:paraId="51A1821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2.3评标委员会首先对通过初步评审的各投标人的技术标进行详细评审。即：各成员根据招标文件规定的技术标评分规则（见评标方法附件），对投标文件独立进行技术标评分。各成员的评分结果去掉最高、最低分后取算术平均值作为该投标人最后技术标评审得分。在后续评审中该得分不得更改；</w:t>
      </w:r>
    </w:p>
    <w:p w14:paraId="7B51C873">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2.4评标委员会在完成技术标评审后，接着对初步评审合格的各投标人商务标进行详细评审并打分；</w:t>
      </w:r>
    </w:p>
    <w:p w14:paraId="3B2E4A08">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2.5评标委员会在完成商务标评审后，对初步评审合格的各投标人资信标进行详细评审并打分；</w:t>
      </w:r>
    </w:p>
    <w:p w14:paraId="2D3944E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2.6最后，评标委员会应当按照下列公式计算评审总得分：</w:t>
      </w:r>
    </w:p>
    <w:p w14:paraId="19FEAEC2">
      <w:pPr>
        <w:spacing w:line="360" w:lineRule="auto"/>
        <w:ind w:firstLine="562" w:firstLineChars="200"/>
        <w:rPr>
          <w:rFonts w:ascii="仿宋" w:hAnsi="仿宋" w:eastAsia="仿宋"/>
          <w:b/>
          <w:color w:val="auto"/>
          <w:sz w:val="28"/>
          <w:szCs w:val="28"/>
          <w:highlight w:val="none"/>
        </w:rPr>
      </w:pPr>
      <w:r>
        <w:rPr>
          <w:rFonts w:ascii="仿宋" w:hAnsi="仿宋" w:eastAsia="仿宋" w:cs="Times New Roman"/>
          <w:b/>
          <w:color w:val="auto"/>
          <w:kern w:val="2"/>
          <w:position w:val="-12"/>
          <w:sz w:val="28"/>
          <w:szCs w:val="28"/>
          <w:highlight w:val="none"/>
          <w:lang w:val="en-US" w:eastAsia="zh-CN" w:bidi="ar-SA"/>
        </w:rPr>
        <w:object>
          <v:shape id="_x0000_i1025" o:spt="75" type="#_x0000_t75" style="height:18pt;width:141.75pt;" o:ole="t" fillcolor="#FFFFFF" filled="f" o:preferrelative="t" stroked="f" coordsize="21600,21600">
            <v:path/>
            <v:fill on="f" color2="#FFFFFF" focussize="0,0"/>
            <v:stroke on="f"/>
            <v:imagedata r:id="rId18" gain="65536f" blacklevel="0f" gamma="0" o:title=""/>
            <o:lock v:ext="edit" position="f" selection="f" grouping="f" rotation="f" cropping="f" text="f" aspectratio="t"/>
            <w10:wrap type="none"/>
            <w10:anchorlock/>
          </v:shape>
          <o:OLEObject Type="Embed" ProgID="Equation.3" ShapeID="_x0000_i1025" DrawAspect="Content" ObjectID="_1468075725" r:id="rId17">
            <o:LockedField>false</o:LockedField>
          </o:OLEObject>
        </w:object>
      </w:r>
    </w:p>
    <w:p w14:paraId="0F5A853D">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w:t>
      </w:r>
      <w:r>
        <w:rPr>
          <w:rFonts w:ascii="仿宋" w:hAnsi="仿宋" w:eastAsia="仿宋"/>
          <w:color w:val="auto"/>
          <w:sz w:val="28"/>
          <w:szCs w:val="28"/>
          <w:highlight w:val="none"/>
        </w:rPr>
        <w:t>—</w:t>
      </w:r>
      <w:r>
        <w:rPr>
          <w:rFonts w:hint="eastAsia" w:ascii="仿宋" w:hAnsi="仿宋" w:eastAsia="仿宋"/>
          <w:color w:val="auto"/>
          <w:sz w:val="28"/>
          <w:szCs w:val="28"/>
          <w:highlight w:val="none"/>
        </w:rPr>
        <w:t>评审总得分（得分取值保留到小数点后两位）；</w:t>
      </w:r>
    </w:p>
    <w:p w14:paraId="46A7C8B4">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J</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技术标评审得分（得分取值保留到小数点后两位）；</w:t>
      </w:r>
    </w:p>
    <w:p w14:paraId="05A5B508">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商务标评审得分（得分取值保留到小数点后两位）；</w:t>
      </w:r>
    </w:p>
    <w:p w14:paraId="332E989D">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资信标评审得分（得分取值保留到小数点后两位）； </w:t>
      </w:r>
    </w:p>
    <w:p w14:paraId="5F396562">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A1</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技术标评审得分权重，按</w:t>
      </w:r>
      <w:permStart w:id="0"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60</w:t>
      </w:r>
      <w:r>
        <w:rPr>
          <w:rFonts w:hint="eastAsia" w:ascii="仿宋" w:hAnsi="仿宋" w:eastAsia="仿宋"/>
          <w:b/>
          <w:bCs/>
          <w:color w:val="auto"/>
          <w:sz w:val="28"/>
          <w:szCs w:val="28"/>
          <w:highlight w:val="none"/>
          <w:u w:val="single"/>
        </w:rPr>
        <w:t xml:space="preserve">  </w:t>
      </w:r>
      <w:permEnd w:id="0"/>
      <w:r>
        <w:rPr>
          <w:rFonts w:hint="eastAsia" w:ascii="仿宋" w:hAnsi="仿宋" w:eastAsia="仿宋"/>
          <w:color w:val="auto"/>
          <w:sz w:val="28"/>
          <w:szCs w:val="28"/>
          <w:highlight w:val="none"/>
        </w:rPr>
        <w:t>%计；</w:t>
      </w:r>
    </w:p>
    <w:p w14:paraId="3AFB35E0">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A2</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商务标评审得分权重，按</w:t>
      </w:r>
      <w:permStart w:id="1"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30</w:t>
      </w:r>
      <w:r>
        <w:rPr>
          <w:rFonts w:hint="eastAsia" w:ascii="仿宋" w:hAnsi="仿宋" w:eastAsia="仿宋"/>
          <w:b/>
          <w:bCs/>
          <w:color w:val="auto"/>
          <w:sz w:val="28"/>
          <w:szCs w:val="28"/>
          <w:highlight w:val="none"/>
          <w:u w:val="single"/>
        </w:rPr>
        <w:t xml:space="preserve">  </w:t>
      </w:r>
      <w:permEnd w:id="1"/>
      <w:r>
        <w:rPr>
          <w:rFonts w:hint="eastAsia" w:ascii="仿宋" w:hAnsi="仿宋" w:eastAsia="仿宋"/>
          <w:color w:val="auto"/>
          <w:sz w:val="28"/>
          <w:szCs w:val="28"/>
          <w:highlight w:val="none"/>
        </w:rPr>
        <w:t>%计；</w:t>
      </w:r>
    </w:p>
    <w:p w14:paraId="1A14D763">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A3</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资信标评审得分权重，按</w:t>
      </w:r>
      <w:permStart w:id="2"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10</w:t>
      </w:r>
      <w:r>
        <w:rPr>
          <w:rFonts w:hint="eastAsia" w:ascii="仿宋" w:hAnsi="仿宋" w:eastAsia="仿宋"/>
          <w:b/>
          <w:bCs/>
          <w:color w:val="auto"/>
          <w:sz w:val="28"/>
          <w:szCs w:val="28"/>
          <w:highlight w:val="none"/>
          <w:u w:val="single"/>
        </w:rPr>
        <w:t xml:space="preserve">  </w:t>
      </w:r>
      <w:permEnd w:id="2"/>
      <w:r>
        <w:rPr>
          <w:rFonts w:hint="eastAsia" w:ascii="仿宋" w:hAnsi="仿宋" w:eastAsia="仿宋"/>
          <w:color w:val="auto"/>
          <w:sz w:val="28"/>
          <w:szCs w:val="28"/>
          <w:highlight w:val="none"/>
        </w:rPr>
        <w:t>%计；</w:t>
      </w:r>
    </w:p>
    <w:p w14:paraId="7417C37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[A1+A2+A3=1，A2≥30%, A3≤10%]</w:t>
      </w:r>
    </w:p>
    <w:p w14:paraId="7A8B918A">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2.7评标委员会应当按评审总得分从高至低的顺序，按照“投标前须知附表1”第17项约定推荐中标候选人，并形成评标报告；</w:t>
      </w:r>
    </w:p>
    <w:p w14:paraId="4E3C3631">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2.8若出现评审总得分相同且影响到推荐中标候选人时，按技术标得分从高至低的顺序推荐；若出现技术标得分也相同的情形，按商务标得分从高至低的顺序推荐；若出现商务标得分仍相同的情形，采用大号中签的抽签方式推荐。</w:t>
      </w:r>
    </w:p>
    <w:p w14:paraId="25647A7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3.信用商务评审法</w:t>
      </w:r>
    </w:p>
    <w:p w14:paraId="407B788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3.1招标人在开标会上根据招标文件中投标文件不予受理情形的规定，对投标人的投标文件是否应当受理进行审查，然后将应当受理的投标文件提交评标委员会评审；</w:t>
      </w:r>
    </w:p>
    <w:p w14:paraId="63FFEC22">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3.2评标委员会根据招标文件初步评审内容的规定，对所有应当受理的投标文件进行初步评审；</w:t>
      </w:r>
    </w:p>
    <w:p w14:paraId="03F0D6C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3.3评标委员会对所有初步评审合格的各投标人的商务标进行详细评审，并计算出商务标得分；</w:t>
      </w:r>
    </w:p>
    <w:p w14:paraId="5DD8FB54">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3.4评标委员会在完成商务标评审后，对初步评审合格的各投标人资信标进行详细评审并打分；</w:t>
      </w:r>
    </w:p>
    <w:p w14:paraId="3574C39D">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3.5最后，评标委员会应当按照下列公式计算评审总得分：</w:t>
      </w:r>
    </w:p>
    <w:p w14:paraId="52B584B2">
      <w:pPr>
        <w:spacing w:line="360" w:lineRule="auto"/>
        <w:ind w:firstLine="560" w:firstLineChars="200"/>
        <w:rPr>
          <w:rFonts w:ascii="仿宋" w:hAnsi="仿宋" w:eastAsia="仿宋"/>
          <w:color w:val="auto"/>
          <w:sz w:val="28"/>
          <w:szCs w:val="28"/>
          <w:highlight w:val="none"/>
        </w:rPr>
      </w:pPr>
      <w:r>
        <w:rPr>
          <w:rFonts w:ascii="仿宋" w:hAnsi="仿宋" w:eastAsia="仿宋" w:cs="Times New Roman"/>
          <w:color w:val="auto"/>
          <w:kern w:val="2"/>
          <w:sz w:val="28"/>
          <w:szCs w:val="28"/>
          <w:highlight w:val="none"/>
          <w:lang w:val="en-US" w:eastAsia="zh-CN" w:bidi="ar-SA"/>
        </w:rPr>
        <w:object>
          <v:shape id="_x0000_i1026" o:spt="75" type="#_x0000_t75" style="height:18pt;width:101.25pt;" o:ole="t" fillcolor="#FFFFFF" filled="f" o:preferrelative="t" stroked="f" coordsize="21600,21600">
            <v:path/>
            <v:fill on="f" color2="#FFFFFF" focussize="0,0"/>
            <v:stroke on="f"/>
            <v:imagedata r:id="rId20" gain="65536f" blacklevel="0f" gamma="0" o:title=""/>
            <o:lock v:ext="edit" position="f" selection="f" grouping="f" rotation="f" cropping="f" text="f" aspectratio="t"/>
            <w10:wrap type="none"/>
            <w10:anchorlock/>
          </v:shape>
          <o:OLEObject Type="Embed" ProgID="Equation.3" ShapeID="_x0000_i1026" DrawAspect="Content" ObjectID="_1468075726" r:id="rId19">
            <o:LockedField>false</o:LockedField>
          </o:OLEObject>
        </w:object>
      </w:r>
    </w:p>
    <w:p w14:paraId="2135AC77">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N—评审总得分（得分取值保留到小数点后两位）；</w:t>
      </w:r>
    </w:p>
    <w:p w14:paraId="31163ACB">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S—商务标评审得分（得分取值保留到小数点后两位）；</w:t>
      </w:r>
    </w:p>
    <w:p w14:paraId="3FB20309">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资信标评审得分（得分取值保留到小数点后两位）；</w:t>
      </w:r>
    </w:p>
    <w:p w14:paraId="653448A6">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A2—商务标评审得分权重，按</w:t>
      </w:r>
      <w:permStart w:id="3"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3"/>
      <w:r>
        <w:rPr>
          <w:rFonts w:hint="eastAsia" w:ascii="仿宋" w:hAnsi="仿宋" w:eastAsia="仿宋"/>
          <w:color w:val="auto"/>
          <w:sz w:val="28"/>
          <w:szCs w:val="28"/>
          <w:highlight w:val="none"/>
        </w:rPr>
        <w:t>%计；</w:t>
      </w:r>
    </w:p>
    <w:p w14:paraId="0F1A49FC">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A3—资信标评审得分权重，按</w:t>
      </w:r>
      <w:permStart w:id="4"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4"/>
      <w:r>
        <w:rPr>
          <w:rFonts w:hint="eastAsia" w:ascii="仿宋" w:hAnsi="仿宋" w:eastAsia="仿宋"/>
          <w:color w:val="auto"/>
          <w:sz w:val="28"/>
          <w:szCs w:val="28"/>
          <w:highlight w:val="none"/>
        </w:rPr>
        <w:t>%计；</w:t>
      </w:r>
    </w:p>
    <w:p w14:paraId="6BCC4AD3">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[A2+A3=1，A3≤30%]</w:t>
      </w:r>
    </w:p>
    <w:p w14:paraId="621B15D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3.6评标委员会应当按评审总得分从高至低的顺序，按照“投标前须知附表1”第17项约定推荐中标候选人，并形成评标报告；</w:t>
      </w:r>
    </w:p>
    <w:p w14:paraId="70E2153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3.7若出现评审总得分相同且影响到推荐中标候选人时，按商务标得分从高至低的顺序推荐；若出现商务标得分也相同的情形，按资信标得分从高至低的顺序推荐；若出现资信标得分仍相同的情形，采用大号中签的抽签方式推荐。</w:t>
      </w:r>
    </w:p>
    <w:p w14:paraId="2B8FAB0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4.定性评审法</w:t>
      </w:r>
    </w:p>
    <w:p w14:paraId="00F9FC6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4.1招标人在开标会上根据招标文件中投标文件不予受理情形的规定，对投标人的投标文件是否应当受理进行审查，然后将应当受理的投标文件提交评标委员会评审；</w:t>
      </w:r>
    </w:p>
    <w:p w14:paraId="284AC4B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4.2评标委员会根据招标文件初步评审内容的规定，对所有应当受理的投标文件进行初步评审；</w:t>
      </w:r>
    </w:p>
    <w:p w14:paraId="00EB2F6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4.3评标委员会对通过初步评审的各投标人的技术标及商务标同时进行详细评审。即：各成员根据招标文件规定的技术标及商务标评审要素（见评标方法附件），各成员须对投标文件独立进行评审并提出评审意见，经讨论汇总后形成综合评审意见，内容主要包括：对各投标文件是否满足招标文件所有要求提出意见，指出各投标文件中存在的缺陷和问题，签订合同前应注意和澄清的事项,并推荐</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u w:val="single"/>
          <w:lang w:val="en-US" w:eastAsia="zh-CN"/>
        </w:rPr>
        <w:t>/</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rPr>
        <w:t>名无排序的中标候选人；</w:t>
      </w:r>
    </w:p>
    <w:p w14:paraId="0B42579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4.4评标委员会将综合评审意见整理成评标报告后，提交给招标人。</w:t>
      </w:r>
    </w:p>
    <w:p w14:paraId="781EAC34">
      <w:pPr>
        <w:spacing w:line="360" w:lineRule="auto"/>
        <w:ind w:firstLine="0" w:firstLineChars="0"/>
        <w:jc w:val="both"/>
        <w:rPr>
          <w:rFonts w:ascii="仿宋" w:hAnsi="仿宋" w:eastAsia="仿宋" w:cs="宋体"/>
          <w:color w:val="auto"/>
          <w:kern w:val="0"/>
          <w:sz w:val="28"/>
          <w:szCs w:val="28"/>
          <w:highlight w:val="none"/>
        </w:rPr>
      </w:pPr>
    </w:p>
    <w:p w14:paraId="36AB68CE">
      <w:pPr>
        <w:spacing w:line="360" w:lineRule="auto"/>
        <w:ind w:firstLine="0" w:firstLineChars="0"/>
        <w:jc w:val="both"/>
        <w:rPr>
          <w:rFonts w:ascii="仿宋" w:hAnsi="仿宋" w:eastAsia="仿宋" w:cs="宋体"/>
          <w:color w:val="auto"/>
          <w:kern w:val="0"/>
          <w:sz w:val="28"/>
          <w:szCs w:val="28"/>
          <w:highlight w:val="none"/>
        </w:rPr>
        <w:sectPr>
          <w:headerReference r:id="rId9" w:type="default"/>
          <w:footerReference r:id="rId10" w:type="default"/>
          <w:pgSz w:w="12240" w:h="15840"/>
          <w:pgMar w:top="1440" w:right="1797" w:bottom="1440" w:left="1797" w:header="720" w:footer="720" w:gutter="0"/>
          <w:pgNumType w:fmt="decimal"/>
          <w:cols w:space="720" w:num="1"/>
        </w:sectPr>
      </w:pPr>
    </w:p>
    <w:p w14:paraId="3EB84787">
      <w:pPr>
        <w:numPr>
          <w:ilvl w:val="0"/>
          <w:numId w:val="1"/>
        </w:numPr>
        <w:spacing w:line="360" w:lineRule="auto"/>
        <w:ind w:firstLine="3200" w:firstLineChars="100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评标方法附件</w:t>
      </w:r>
    </w:p>
    <w:p w14:paraId="60A678ED">
      <w:pPr>
        <w:numPr>
          <w:ilvl w:val="0"/>
          <w:numId w:val="0"/>
        </w:numPr>
        <w:spacing w:line="360" w:lineRule="auto"/>
        <w:ind w:firstLine="3200" w:firstLineChars="1000"/>
        <w:rPr>
          <w:rFonts w:ascii="黑体" w:hAnsi="黑体" w:eastAsia="黑体"/>
          <w:color w:val="auto"/>
          <w:sz w:val="32"/>
          <w:szCs w:val="32"/>
          <w:highlight w:val="none"/>
        </w:rPr>
      </w:pPr>
      <w:r>
        <w:rPr>
          <w:rFonts w:hint="eastAsia" w:ascii="黑体" w:hAnsi="黑体" w:eastAsia="黑体"/>
          <w:color w:val="auto"/>
          <w:sz w:val="32"/>
          <w:szCs w:val="32"/>
          <w:highlight w:val="none"/>
        </w:rPr>
        <w:t>（一）技术标评审表</w:t>
      </w:r>
    </w:p>
    <w:p w14:paraId="1C9255E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1.技术标定量评审表</w:t>
      </w:r>
    </w:p>
    <w:p w14:paraId="5DB7CF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1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321"/>
        <w:gridCol w:w="6476"/>
        <w:gridCol w:w="831"/>
      </w:tblGrid>
      <w:tr w14:paraId="2298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518" w:type="dxa"/>
            <w:vAlign w:val="center"/>
          </w:tcPr>
          <w:p w14:paraId="783DE515">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序号</w:t>
            </w:r>
          </w:p>
        </w:tc>
        <w:tc>
          <w:tcPr>
            <w:tcW w:w="1321" w:type="dxa"/>
            <w:vAlign w:val="center"/>
          </w:tcPr>
          <w:p w14:paraId="1B2F4EFE">
            <w:pPr>
              <w:jc w:val="center"/>
              <w:rPr>
                <w:rFonts w:ascii="仿宋" w:hAnsi="仿宋" w:eastAsia="仿宋"/>
                <w:b/>
                <w:color w:val="auto"/>
                <w:sz w:val="24"/>
                <w:szCs w:val="24"/>
                <w:highlight w:val="none"/>
              </w:rPr>
            </w:pPr>
            <w:r>
              <w:rPr>
                <w:rFonts w:hint="eastAsia" w:ascii="仿宋" w:hAnsi="仿宋" w:eastAsia="仿宋" w:cs="Times New Roman"/>
                <w:b/>
                <w:color w:val="auto"/>
                <w:sz w:val="24"/>
                <w:szCs w:val="24"/>
                <w:highlight w:val="none"/>
              </w:rPr>
              <w:t>评审内容 及要求</w:t>
            </w:r>
          </w:p>
        </w:tc>
        <w:tc>
          <w:tcPr>
            <w:tcW w:w="6476" w:type="dxa"/>
            <w:vAlign w:val="center"/>
          </w:tcPr>
          <w:p w14:paraId="79886A8A">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分值范围</w:t>
            </w:r>
          </w:p>
        </w:tc>
        <w:tc>
          <w:tcPr>
            <w:tcW w:w="831" w:type="dxa"/>
            <w:vAlign w:val="center"/>
          </w:tcPr>
          <w:p w14:paraId="64E0AE30">
            <w:pPr>
              <w:jc w:val="center"/>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rPr>
              <w:t>投标人</w:t>
            </w:r>
            <w:r>
              <w:rPr>
                <w:rFonts w:hint="eastAsia" w:ascii="仿宋" w:hAnsi="仿宋" w:eastAsia="仿宋"/>
                <w:b/>
                <w:color w:val="auto"/>
                <w:sz w:val="24"/>
                <w:szCs w:val="24"/>
                <w:highlight w:val="none"/>
                <w:lang w:val="en-US" w:eastAsia="zh-CN"/>
              </w:rPr>
              <w:t>1</w:t>
            </w:r>
          </w:p>
        </w:tc>
      </w:tr>
      <w:tr w14:paraId="3935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trPr>
        <w:tc>
          <w:tcPr>
            <w:tcW w:w="518" w:type="dxa"/>
            <w:vMerge w:val="restart"/>
            <w:vAlign w:val="center"/>
          </w:tcPr>
          <w:p w14:paraId="2A2E750E">
            <w:pPr>
              <w:widowControl w:val="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1321" w:type="dxa"/>
            <w:vMerge w:val="restart"/>
            <w:vAlign w:val="center"/>
          </w:tcPr>
          <w:p w14:paraId="36DBB245">
            <w:pPr>
              <w:jc w:val="left"/>
              <w:rPr>
                <w:rFonts w:ascii="仿宋" w:hAnsi="仿宋" w:eastAsia="仿宋"/>
                <w:color w:val="auto"/>
                <w:sz w:val="24"/>
                <w:szCs w:val="24"/>
                <w:highlight w:val="none"/>
              </w:rPr>
            </w:pPr>
            <w:r>
              <w:rPr>
                <w:rFonts w:hint="eastAsia" w:ascii="仿宋" w:hAnsi="仿宋" w:eastAsia="仿宋" w:cs="仿宋"/>
                <w:color w:val="auto"/>
                <w:kern w:val="0"/>
                <w:sz w:val="21"/>
                <w:szCs w:val="21"/>
                <w:highlight w:val="none"/>
                <w:lang w:val="en-US" w:eastAsia="zh-CN" w:bidi="ar-SA"/>
              </w:rPr>
              <w:t>服务方案（36分）</w:t>
            </w:r>
          </w:p>
        </w:tc>
        <w:tc>
          <w:tcPr>
            <w:tcW w:w="6476" w:type="dxa"/>
            <w:vAlign w:val="center"/>
          </w:tcPr>
          <w:p w14:paraId="4503417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、投标方案中有各项服务的服务标准，且符合</w:t>
            </w:r>
            <w:r>
              <w:rPr>
                <w:rFonts w:hint="eastAsia" w:ascii="仿宋" w:hAnsi="仿宋" w:eastAsia="仿宋" w:cs="仿宋"/>
                <w:color w:val="auto"/>
                <w:szCs w:val="21"/>
                <w:highlight w:val="none"/>
                <w:lang w:val="en-US" w:eastAsia="zh-CN"/>
              </w:rPr>
              <w:t>招标需求</w:t>
            </w:r>
            <w:r>
              <w:rPr>
                <w:rFonts w:hint="eastAsia" w:ascii="仿宋" w:hAnsi="仿宋" w:eastAsia="仿宋" w:cs="仿宋"/>
                <w:color w:val="auto"/>
                <w:szCs w:val="21"/>
                <w:highlight w:val="none"/>
              </w:rPr>
              <w:t>，得：1-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82CE12F">
            <w:pPr>
              <w:jc w:val="center"/>
              <w:rPr>
                <w:rFonts w:ascii="仿宋" w:hAnsi="仿宋" w:eastAsia="仿宋"/>
                <w:color w:val="auto"/>
                <w:sz w:val="24"/>
                <w:szCs w:val="24"/>
                <w:highlight w:val="none"/>
              </w:rPr>
            </w:pPr>
          </w:p>
        </w:tc>
      </w:tr>
      <w:tr w14:paraId="05C7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518" w:type="dxa"/>
            <w:vMerge w:val="continue"/>
            <w:vAlign w:val="center"/>
          </w:tcPr>
          <w:p w14:paraId="6B244E82">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continue"/>
            <w:vAlign w:val="center"/>
          </w:tcPr>
          <w:p w14:paraId="73D4F4E1">
            <w:pPr>
              <w:jc w:val="left"/>
              <w:rPr>
                <w:rFonts w:ascii="仿宋" w:hAnsi="仿宋" w:eastAsia="仿宋"/>
                <w:color w:val="auto"/>
                <w:sz w:val="24"/>
                <w:szCs w:val="24"/>
                <w:highlight w:val="none"/>
              </w:rPr>
            </w:pPr>
          </w:p>
        </w:tc>
        <w:tc>
          <w:tcPr>
            <w:tcW w:w="6476" w:type="dxa"/>
            <w:vAlign w:val="center"/>
          </w:tcPr>
          <w:p w14:paraId="6EF71802">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、投标方案中有合理的管理类、作业类的流程，符合项目要求，得：1-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31F5C5D">
            <w:pPr>
              <w:jc w:val="center"/>
              <w:rPr>
                <w:rFonts w:ascii="仿宋" w:hAnsi="仿宋" w:eastAsia="仿宋"/>
                <w:color w:val="auto"/>
                <w:sz w:val="24"/>
                <w:szCs w:val="24"/>
                <w:highlight w:val="none"/>
              </w:rPr>
            </w:pPr>
          </w:p>
        </w:tc>
      </w:tr>
      <w:tr w14:paraId="3332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518" w:type="dxa"/>
            <w:vMerge w:val="continue"/>
            <w:vAlign w:val="center"/>
          </w:tcPr>
          <w:p w14:paraId="7A19C655">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continue"/>
            <w:vAlign w:val="center"/>
          </w:tcPr>
          <w:p w14:paraId="05626C5E">
            <w:pPr>
              <w:jc w:val="left"/>
              <w:rPr>
                <w:rFonts w:ascii="仿宋" w:hAnsi="仿宋" w:eastAsia="仿宋"/>
                <w:color w:val="auto"/>
                <w:sz w:val="24"/>
                <w:szCs w:val="24"/>
                <w:highlight w:val="none"/>
              </w:rPr>
            </w:pPr>
          </w:p>
        </w:tc>
        <w:tc>
          <w:tcPr>
            <w:tcW w:w="6476" w:type="dxa"/>
            <w:vAlign w:val="center"/>
          </w:tcPr>
          <w:p w14:paraId="49EF552F">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、投标方案有</w:t>
            </w:r>
            <w:r>
              <w:rPr>
                <w:rFonts w:hint="eastAsia" w:ascii="仿宋" w:hAnsi="仿宋" w:eastAsia="仿宋" w:cs="仿宋"/>
                <w:color w:val="auto"/>
                <w:szCs w:val="21"/>
                <w:highlight w:val="none"/>
                <w:lang w:val="en-US" w:eastAsia="zh-CN"/>
              </w:rPr>
              <w:t>相关</w:t>
            </w:r>
            <w:r>
              <w:rPr>
                <w:rFonts w:hint="eastAsia" w:ascii="仿宋" w:hAnsi="仿宋" w:eastAsia="仿宋" w:cs="仿宋"/>
                <w:color w:val="auto"/>
                <w:szCs w:val="21"/>
                <w:highlight w:val="none"/>
              </w:rPr>
              <w:t>品质监管标准，且标准详细、合理，得：1-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67D8E9B">
            <w:pPr>
              <w:jc w:val="center"/>
              <w:rPr>
                <w:rFonts w:ascii="仿宋" w:hAnsi="仿宋" w:eastAsia="仿宋"/>
                <w:color w:val="auto"/>
                <w:sz w:val="24"/>
                <w:szCs w:val="24"/>
                <w:highlight w:val="none"/>
              </w:rPr>
            </w:pPr>
          </w:p>
        </w:tc>
      </w:tr>
      <w:tr w14:paraId="0637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518" w:type="dxa"/>
            <w:vMerge w:val="continue"/>
            <w:vAlign w:val="center"/>
          </w:tcPr>
          <w:p w14:paraId="14C2F89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w:t>
            </w:r>
          </w:p>
        </w:tc>
        <w:tc>
          <w:tcPr>
            <w:tcW w:w="1321" w:type="dxa"/>
            <w:vMerge w:val="continue"/>
            <w:vAlign w:val="center"/>
          </w:tcPr>
          <w:p w14:paraId="22728802">
            <w:pPr>
              <w:jc w:val="left"/>
              <w:rPr>
                <w:rFonts w:ascii="仿宋" w:hAnsi="仿宋" w:eastAsia="仿宋"/>
                <w:color w:val="auto"/>
                <w:sz w:val="24"/>
                <w:szCs w:val="24"/>
                <w:highlight w:val="none"/>
              </w:rPr>
            </w:pPr>
          </w:p>
        </w:tc>
        <w:tc>
          <w:tcPr>
            <w:tcW w:w="6476" w:type="dxa"/>
            <w:vAlign w:val="center"/>
          </w:tcPr>
          <w:p w14:paraId="5509A45C">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、现场方案有基础服务和其他服务的响应机制，得：</w:t>
            </w:r>
            <w:r>
              <w:rPr>
                <w:rFonts w:hint="eastAsia" w:ascii="仿宋" w:hAnsi="仿宋" w:eastAsia="仿宋" w:cs="仿宋"/>
                <w:color w:val="auto"/>
                <w:szCs w:val="21"/>
                <w:highlight w:val="none"/>
                <w:lang w:val="en-US" w:eastAsia="zh-CN"/>
              </w:rPr>
              <w:t>1-6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11B02BB4">
            <w:pPr>
              <w:jc w:val="center"/>
              <w:rPr>
                <w:rFonts w:ascii="仿宋" w:hAnsi="仿宋" w:eastAsia="仿宋"/>
                <w:color w:val="auto"/>
                <w:sz w:val="24"/>
                <w:szCs w:val="24"/>
                <w:highlight w:val="none"/>
              </w:rPr>
            </w:pPr>
          </w:p>
        </w:tc>
      </w:tr>
      <w:tr w14:paraId="1023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exact"/>
        </w:trPr>
        <w:tc>
          <w:tcPr>
            <w:tcW w:w="518" w:type="dxa"/>
            <w:vMerge w:val="continue"/>
            <w:vAlign w:val="center"/>
          </w:tcPr>
          <w:p w14:paraId="0E85200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w:t>
            </w:r>
          </w:p>
        </w:tc>
        <w:tc>
          <w:tcPr>
            <w:tcW w:w="1321" w:type="dxa"/>
            <w:vMerge w:val="continue"/>
            <w:vAlign w:val="center"/>
          </w:tcPr>
          <w:p w14:paraId="6EE20521">
            <w:pPr>
              <w:jc w:val="left"/>
              <w:rPr>
                <w:rFonts w:ascii="仿宋" w:hAnsi="仿宋" w:eastAsia="仿宋"/>
                <w:color w:val="auto"/>
                <w:sz w:val="24"/>
                <w:szCs w:val="24"/>
                <w:highlight w:val="none"/>
              </w:rPr>
            </w:pPr>
          </w:p>
        </w:tc>
        <w:tc>
          <w:tcPr>
            <w:tcW w:w="6476" w:type="dxa"/>
            <w:vAlign w:val="center"/>
          </w:tcPr>
          <w:p w14:paraId="777B719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、投标方案中有对现场服务特性有健全的培训方案，得：1-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394FC690">
            <w:pPr>
              <w:jc w:val="center"/>
              <w:rPr>
                <w:rFonts w:ascii="仿宋" w:hAnsi="仿宋" w:eastAsia="仿宋"/>
                <w:color w:val="auto"/>
                <w:sz w:val="24"/>
                <w:szCs w:val="24"/>
                <w:highlight w:val="none"/>
              </w:rPr>
            </w:pPr>
          </w:p>
        </w:tc>
      </w:tr>
      <w:tr w14:paraId="52B1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518" w:type="dxa"/>
            <w:vMerge w:val="continue"/>
            <w:vAlign w:val="center"/>
          </w:tcPr>
          <w:p w14:paraId="26DF818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w:t>
            </w:r>
          </w:p>
        </w:tc>
        <w:tc>
          <w:tcPr>
            <w:tcW w:w="1321" w:type="dxa"/>
            <w:vMerge w:val="continue"/>
            <w:vAlign w:val="center"/>
          </w:tcPr>
          <w:p w14:paraId="1EFFF4D3">
            <w:pPr>
              <w:jc w:val="left"/>
              <w:rPr>
                <w:rFonts w:ascii="仿宋" w:hAnsi="仿宋" w:eastAsia="仿宋"/>
                <w:color w:val="auto"/>
                <w:sz w:val="24"/>
                <w:szCs w:val="24"/>
                <w:highlight w:val="none"/>
              </w:rPr>
            </w:pPr>
          </w:p>
        </w:tc>
        <w:tc>
          <w:tcPr>
            <w:tcW w:w="6476" w:type="dxa"/>
            <w:vAlign w:val="center"/>
          </w:tcPr>
          <w:p w14:paraId="0ECF1E28">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、投标方案中有双方的现场各类问题解决及处理的沟通机制，得：1-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p>
        </w:tc>
        <w:tc>
          <w:tcPr>
            <w:tcW w:w="831" w:type="dxa"/>
            <w:vAlign w:val="center"/>
          </w:tcPr>
          <w:p w14:paraId="0EF74421">
            <w:pPr>
              <w:jc w:val="center"/>
              <w:rPr>
                <w:rFonts w:ascii="仿宋" w:hAnsi="仿宋" w:eastAsia="仿宋"/>
                <w:color w:val="auto"/>
                <w:sz w:val="24"/>
                <w:szCs w:val="24"/>
                <w:highlight w:val="none"/>
              </w:rPr>
            </w:pPr>
          </w:p>
        </w:tc>
      </w:tr>
      <w:tr w14:paraId="1470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exact"/>
        </w:trPr>
        <w:tc>
          <w:tcPr>
            <w:tcW w:w="518" w:type="dxa"/>
            <w:vMerge w:val="restart"/>
            <w:vAlign w:val="center"/>
          </w:tcPr>
          <w:p w14:paraId="7F10CE4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restart"/>
            <w:vAlign w:val="center"/>
          </w:tcPr>
          <w:p w14:paraId="7C0EEC06">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拟派项目负责人能力</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p>
        </w:tc>
        <w:tc>
          <w:tcPr>
            <w:tcW w:w="6476" w:type="dxa"/>
            <w:vAlign w:val="center"/>
          </w:tcPr>
          <w:p w14:paraId="054A7939">
            <w:pPr>
              <w:jc w:val="both"/>
              <w:rPr>
                <w:rFonts w:ascii="仿宋" w:hAnsi="仿宋" w:eastAsia="仿宋"/>
                <w:color w:val="auto"/>
                <w:sz w:val="24"/>
                <w:szCs w:val="24"/>
                <w:highlight w:val="none"/>
              </w:rPr>
            </w:pPr>
            <w:r>
              <w:rPr>
                <w:rFonts w:hint="eastAsia" w:ascii="仿宋" w:hAnsi="仿宋" w:eastAsia="仿宋" w:cs="仿宋"/>
                <w:b w:val="0"/>
                <w:bCs w:val="0"/>
                <w:color w:val="auto"/>
                <w:szCs w:val="21"/>
                <w:highlight w:val="none"/>
                <w:lang w:val="en-US" w:eastAsia="zh-CN"/>
              </w:rPr>
              <w:t>拟派项目负责人综合素质，得0-6分</w:t>
            </w:r>
          </w:p>
        </w:tc>
        <w:tc>
          <w:tcPr>
            <w:tcW w:w="831" w:type="dxa"/>
            <w:vAlign w:val="center"/>
          </w:tcPr>
          <w:p w14:paraId="52774A72">
            <w:pPr>
              <w:jc w:val="both"/>
              <w:rPr>
                <w:rFonts w:hint="eastAsia" w:ascii="仿宋" w:hAnsi="仿宋" w:eastAsia="仿宋" w:cs="仿宋"/>
                <w:b/>
                <w:bCs/>
                <w:color w:val="auto"/>
                <w:szCs w:val="21"/>
                <w:highlight w:val="none"/>
                <w:lang w:val="en-US" w:eastAsia="zh-CN"/>
              </w:rPr>
            </w:pPr>
          </w:p>
        </w:tc>
      </w:tr>
      <w:tr w14:paraId="68B1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exact"/>
        </w:trPr>
        <w:tc>
          <w:tcPr>
            <w:tcW w:w="518" w:type="dxa"/>
            <w:vMerge w:val="continue"/>
            <w:vAlign w:val="center"/>
          </w:tcPr>
          <w:p w14:paraId="2CD0F090">
            <w:pPr>
              <w:widowControl w:val="0"/>
              <w:jc w:val="center"/>
              <w:rPr>
                <w:rFonts w:ascii="仿宋" w:hAnsi="仿宋" w:eastAsia="仿宋"/>
                <w:color w:val="auto"/>
                <w:sz w:val="24"/>
                <w:szCs w:val="24"/>
                <w:highlight w:val="none"/>
              </w:rPr>
            </w:pPr>
          </w:p>
        </w:tc>
        <w:tc>
          <w:tcPr>
            <w:tcW w:w="1321" w:type="dxa"/>
            <w:vMerge w:val="continue"/>
            <w:vAlign w:val="center"/>
          </w:tcPr>
          <w:p w14:paraId="43D946DA">
            <w:pPr>
              <w:jc w:val="center"/>
              <w:rPr>
                <w:rFonts w:ascii="仿宋" w:hAnsi="仿宋" w:eastAsia="仿宋"/>
                <w:color w:val="auto"/>
                <w:sz w:val="24"/>
                <w:szCs w:val="24"/>
                <w:highlight w:val="none"/>
              </w:rPr>
            </w:pPr>
          </w:p>
        </w:tc>
        <w:tc>
          <w:tcPr>
            <w:tcW w:w="7307" w:type="dxa"/>
            <w:gridSpan w:val="2"/>
            <w:vAlign w:val="center"/>
          </w:tcPr>
          <w:p w14:paraId="1EC63770">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拟派项目负责人答辩</w:t>
            </w:r>
          </w:p>
        </w:tc>
      </w:tr>
      <w:tr w14:paraId="4353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trPr>
        <w:tc>
          <w:tcPr>
            <w:tcW w:w="518" w:type="dxa"/>
            <w:vMerge w:val="continue"/>
            <w:vAlign w:val="center"/>
          </w:tcPr>
          <w:p w14:paraId="34666FC8">
            <w:pPr>
              <w:widowControl w:val="0"/>
              <w:jc w:val="center"/>
              <w:rPr>
                <w:rFonts w:ascii="仿宋" w:hAnsi="仿宋" w:eastAsia="仿宋"/>
                <w:color w:val="auto"/>
                <w:sz w:val="24"/>
                <w:szCs w:val="24"/>
                <w:highlight w:val="none"/>
              </w:rPr>
            </w:pPr>
          </w:p>
        </w:tc>
        <w:tc>
          <w:tcPr>
            <w:tcW w:w="1321" w:type="dxa"/>
            <w:vMerge w:val="continue"/>
            <w:vAlign w:val="center"/>
          </w:tcPr>
          <w:p w14:paraId="2F7CA6B1">
            <w:pPr>
              <w:jc w:val="center"/>
              <w:rPr>
                <w:rFonts w:ascii="仿宋" w:hAnsi="仿宋" w:eastAsia="仿宋"/>
                <w:color w:val="auto"/>
                <w:sz w:val="24"/>
                <w:szCs w:val="24"/>
                <w:highlight w:val="none"/>
              </w:rPr>
            </w:pPr>
          </w:p>
        </w:tc>
        <w:tc>
          <w:tcPr>
            <w:tcW w:w="6476" w:type="dxa"/>
            <w:vAlign w:val="center"/>
          </w:tcPr>
          <w:p w14:paraId="51E7CED5">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1、</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对现场情况了解和掌握，得：1-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0320C91">
            <w:pPr>
              <w:pStyle w:val="13"/>
              <w:jc w:val="center"/>
              <w:rPr>
                <w:rFonts w:hint="eastAsia" w:ascii="宋体" w:hAnsi="宋体" w:eastAsia="宋体" w:cs="Times New Roman"/>
                <w:color w:val="auto"/>
                <w:kern w:val="2"/>
                <w:sz w:val="21"/>
                <w:szCs w:val="21"/>
                <w:highlight w:val="none"/>
                <w:lang w:val="en-US" w:eastAsia="zh-CN" w:bidi="ar-SA"/>
              </w:rPr>
            </w:pPr>
          </w:p>
        </w:tc>
      </w:tr>
      <w:tr w14:paraId="407A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518" w:type="dxa"/>
            <w:vMerge w:val="continue"/>
            <w:vAlign w:val="center"/>
          </w:tcPr>
          <w:p w14:paraId="237C4938">
            <w:pPr>
              <w:widowControl w:val="0"/>
              <w:jc w:val="center"/>
              <w:rPr>
                <w:rFonts w:ascii="仿宋" w:hAnsi="仿宋" w:eastAsia="仿宋"/>
                <w:color w:val="auto"/>
                <w:sz w:val="24"/>
                <w:szCs w:val="24"/>
                <w:highlight w:val="none"/>
              </w:rPr>
            </w:pPr>
          </w:p>
        </w:tc>
        <w:tc>
          <w:tcPr>
            <w:tcW w:w="1321" w:type="dxa"/>
            <w:vMerge w:val="continue"/>
            <w:vAlign w:val="center"/>
          </w:tcPr>
          <w:p w14:paraId="7EFC0AC3">
            <w:pPr>
              <w:jc w:val="center"/>
              <w:rPr>
                <w:rFonts w:ascii="仿宋" w:hAnsi="仿宋" w:eastAsia="仿宋"/>
                <w:color w:val="auto"/>
                <w:sz w:val="24"/>
                <w:szCs w:val="24"/>
                <w:highlight w:val="none"/>
              </w:rPr>
            </w:pPr>
          </w:p>
        </w:tc>
        <w:tc>
          <w:tcPr>
            <w:tcW w:w="6476" w:type="dxa"/>
            <w:vAlign w:val="center"/>
          </w:tcPr>
          <w:p w14:paraId="405B0ED1">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基本服务能力强，且处理突发事件专业性较强，得1-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0F7F6436">
            <w:pPr>
              <w:pStyle w:val="13"/>
              <w:jc w:val="center"/>
              <w:rPr>
                <w:rFonts w:hint="eastAsia" w:ascii="宋体" w:hAnsi="宋体" w:eastAsia="宋体" w:cs="Times New Roman"/>
                <w:color w:val="auto"/>
                <w:kern w:val="2"/>
                <w:sz w:val="21"/>
                <w:szCs w:val="21"/>
                <w:highlight w:val="none"/>
                <w:lang w:val="en-US" w:eastAsia="zh-CN" w:bidi="ar-SA"/>
              </w:rPr>
            </w:pPr>
          </w:p>
        </w:tc>
      </w:tr>
      <w:tr w14:paraId="6658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518" w:type="dxa"/>
            <w:vMerge w:val="restart"/>
            <w:vAlign w:val="center"/>
          </w:tcPr>
          <w:p w14:paraId="35F1525D">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restart"/>
            <w:vAlign w:val="center"/>
          </w:tcPr>
          <w:p w14:paraId="27115E9F">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应急方案</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r>
              <w:rPr>
                <w:rFonts w:hint="eastAsia" w:ascii="仿宋" w:hAnsi="仿宋" w:eastAsia="仿宋" w:cs="仿宋"/>
                <w:color w:val="auto"/>
                <w:kern w:val="0"/>
                <w:szCs w:val="21"/>
                <w:highlight w:val="none"/>
                <w:lang w:eastAsia="zh-CN"/>
              </w:rPr>
              <w:t>）</w:t>
            </w:r>
          </w:p>
        </w:tc>
        <w:tc>
          <w:tcPr>
            <w:tcW w:w="7307" w:type="dxa"/>
            <w:gridSpan w:val="2"/>
            <w:vAlign w:val="center"/>
          </w:tcPr>
          <w:p w14:paraId="29C832A9">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投标人根据投标项目制定的应急方案，须包含重大突发事件应急预案、消防安全应急预案、人为事故应急预案、自然灾害应急预案、疫情突发应急预案等，进行评分</w:t>
            </w:r>
            <w:r>
              <w:rPr>
                <w:rFonts w:hint="eastAsia" w:ascii="仿宋" w:hAnsi="仿宋" w:eastAsia="仿宋" w:cs="仿宋"/>
                <w:b/>
                <w:bCs/>
                <w:color w:val="auto"/>
                <w:szCs w:val="21"/>
                <w:highlight w:val="none"/>
                <w:lang w:eastAsia="zh-CN"/>
              </w:rPr>
              <w:t>。</w:t>
            </w:r>
          </w:p>
        </w:tc>
      </w:tr>
      <w:tr w14:paraId="1515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exact"/>
        </w:trPr>
        <w:tc>
          <w:tcPr>
            <w:tcW w:w="518" w:type="dxa"/>
            <w:vMerge w:val="continue"/>
            <w:vAlign w:val="center"/>
          </w:tcPr>
          <w:p w14:paraId="06E62AA9">
            <w:pPr>
              <w:widowControl w:val="0"/>
              <w:jc w:val="center"/>
              <w:rPr>
                <w:rFonts w:ascii="仿宋" w:hAnsi="仿宋" w:eastAsia="仿宋"/>
                <w:color w:val="auto"/>
                <w:sz w:val="24"/>
                <w:szCs w:val="24"/>
                <w:highlight w:val="none"/>
              </w:rPr>
            </w:pPr>
          </w:p>
        </w:tc>
        <w:tc>
          <w:tcPr>
            <w:tcW w:w="1321" w:type="dxa"/>
            <w:vMerge w:val="continue"/>
            <w:vAlign w:val="center"/>
          </w:tcPr>
          <w:p w14:paraId="52EF17A3">
            <w:pPr>
              <w:jc w:val="center"/>
              <w:rPr>
                <w:rFonts w:ascii="仿宋" w:hAnsi="仿宋" w:eastAsia="仿宋"/>
                <w:color w:val="auto"/>
                <w:sz w:val="24"/>
                <w:szCs w:val="24"/>
                <w:highlight w:val="none"/>
              </w:rPr>
            </w:pPr>
          </w:p>
        </w:tc>
        <w:tc>
          <w:tcPr>
            <w:tcW w:w="6476" w:type="dxa"/>
            <w:vAlign w:val="center"/>
          </w:tcPr>
          <w:p w14:paraId="5906CEC5">
            <w:pPr>
              <w:pStyle w:val="13"/>
              <w:numPr>
                <w:ilvl w:val="0"/>
                <w:numId w:val="0"/>
              </w:numPr>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US" w:eastAsia="zh-CN" w:bidi="ar-SA"/>
              </w:rPr>
              <w:t>1、</w:t>
            </w:r>
            <w:r>
              <w:rPr>
                <w:rFonts w:hint="eastAsia" w:ascii="仿宋" w:hAnsi="仿宋" w:eastAsia="仿宋" w:cs="仿宋"/>
                <w:color w:val="auto"/>
                <w:szCs w:val="21"/>
                <w:highlight w:val="none"/>
              </w:rPr>
              <w:t>方案全面</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合理性、可操作性强，完全满足项目需求的，得：</w:t>
            </w:r>
            <w:r>
              <w:rPr>
                <w:rFonts w:hint="eastAsia" w:ascii="仿宋" w:hAnsi="仿宋" w:eastAsia="仿宋" w:cs="仿宋"/>
                <w:color w:val="auto"/>
                <w:szCs w:val="21"/>
                <w:highlight w:val="none"/>
                <w:lang w:val="en-US" w:eastAsia="zh-CN"/>
              </w:rPr>
              <w:t>7-12</w:t>
            </w:r>
            <w:r>
              <w:rPr>
                <w:rFonts w:hint="eastAsia" w:ascii="仿宋" w:hAnsi="仿宋" w:eastAsia="仿宋" w:cs="仿宋"/>
                <w:color w:val="auto"/>
                <w:szCs w:val="21"/>
                <w:highlight w:val="none"/>
              </w:rPr>
              <w:t>分。</w:t>
            </w:r>
          </w:p>
          <w:p w14:paraId="64B0B04E">
            <w:pPr>
              <w:pStyle w:val="13"/>
              <w:numPr>
                <w:ilvl w:val="0"/>
                <w:numId w:val="0"/>
              </w:numP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w:t>
            </w:r>
            <w:r>
              <w:rPr>
                <w:rFonts w:hint="eastAsia" w:ascii="仿宋" w:hAnsi="仿宋" w:eastAsia="仿宋" w:cs="仿宋"/>
                <w:color w:val="auto"/>
                <w:szCs w:val="21"/>
                <w:highlight w:val="none"/>
              </w:rPr>
              <w:t>方案基本健全</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具有一定的合理性，大部分能满足项目</w:t>
            </w:r>
            <w:r>
              <w:rPr>
                <w:rFonts w:hint="eastAsia" w:ascii="仿宋" w:hAnsi="仿宋" w:eastAsia="仿宋" w:cs="仿宋"/>
                <w:color w:val="auto"/>
                <w:szCs w:val="21"/>
                <w:highlight w:val="none"/>
                <w:lang w:val="en-US" w:eastAsia="zh-CN"/>
              </w:rPr>
              <w:t>基本</w:t>
            </w:r>
            <w:r>
              <w:rPr>
                <w:rFonts w:hint="eastAsia" w:ascii="仿宋" w:hAnsi="仿宋" w:eastAsia="仿宋" w:cs="仿宋"/>
                <w:color w:val="auto"/>
                <w:szCs w:val="21"/>
                <w:highlight w:val="none"/>
              </w:rPr>
              <w:t>需求的，得：1-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7EF65BAC">
            <w:pPr>
              <w:pStyle w:val="13"/>
              <w:jc w:val="center"/>
              <w:rPr>
                <w:rFonts w:hint="default" w:ascii="宋体" w:hAnsi="宋体" w:eastAsia="宋体" w:cs="Times New Roman"/>
                <w:color w:val="auto"/>
                <w:kern w:val="2"/>
                <w:sz w:val="21"/>
                <w:szCs w:val="21"/>
                <w:highlight w:val="none"/>
                <w:lang w:val="en-US" w:eastAsia="zh-CN" w:bidi="ar-SA"/>
              </w:rPr>
            </w:pPr>
          </w:p>
        </w:tc>
      </w:tr>
      <w:tr w14:paraId="69F8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39" w:type="dxa"/>
            <w:gridSpan w:val="2"/>
            <w:vAlign w:val="center"/>
          </w:tcPr>
          <w:p w14:paraId="422FADB6">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合  计  分</w:t>
            </w:r>
          </w:p>
        </w:tc>
        <w:tc>
          <w:tcPr>
            <w:tcW w:w="6476" w:type="dxa"/>
            <w:vAlign w:val="center"/>
          </w:tcPr>
          <w:p w14:paraId="4AA2C602">
            <w:pPr>
              <w:jc w:val="center"/>
              <w:rPr>
                <w:rStyle w:val="37"/>
                <w:rFonts w:hint="default" w:eastAsia="宋体"/>
                <w:i w:val="0"/>
                <w:color w:val="auto"/>
                <w:highlight w:val="none"/>
                <w:lang w:val="en-US" w:eastAsia="zh-CN"/>
              </w:rPr>
            </w:pPr>
            <w:r>
              <w:rPr>
                <w:rFonts w:hint="eastAsia" w:ascii="仿宋" w:hAnsi="仿宋" w:eastAsia="仿宋"/>
                <w:b/>
                <w:color w:val="auto"/>
                <w:sz w:val="24"/>
                <w:szCs w:val="24"/>
                <w:highlight w:val="none"/>
                <w:lang w:val="en-US" w:eastAsia="zh-CN"/>
              </w:rPr>
              <w:t>60</w:t>
            </w:r>
          </w:p>
        </w:tc>
        <w:tc>
          <w:tcPr>
            <w:tcW w:w="831" w:type="dxa"/>
            <w:vAlign w:val="center"/>
          </w:tcPr>
          <w:p w14:paraId="25DF903F">
            <w:pPr>
              <w:jc w:val="center"/>
              <w:rPr>
                <w:rFonts w:ascii="仿宋" w:hAnsi="仿宋" w:eastAsia="仿宋"/>
                <w:color w:val="auto"/>
                <w:sz w:val="28"/>
                <w:szCs w:val="28"/>
                <w:highlight w:val="none"/>
              </w:rPr>
            </w:pPr>
          </w:p>
        </w:tc>
      </w:tr>
    </w:tbl>
    <w:p w14:paraId="4854BC1F">
      <w:pPr>
        <w:ind w:firstLine="632"/>
        <w:rPr>
          <w:rFonts w:hint="eastAsia" w:ascii="仿宋" w:hAnsi="仿宋" w:eastAsia="仿宋"/>
          <w:b/>
          <w:bCs/>
          <w:color w:val="auto"/>
          <w:szCs w:val="21"/>
          <w:highlight w:val="none"/>
        </w:rPr>
      </w:pPr>
    </w:p>
    <w:p w14:paraId="1B96A615">
      <w:pPr>
        <w:ind w:firstLine="632"/>
        <w:rPr>
          <w:rFonts w:ascii="仿宋" w:hAnsi="仿宋" w:eastAsia="仿宋"/>
          <w:b/>
          <w:bCs/>
          <w:color w:val="auto"/>
          <w:szCs w:val="21"/>
          <w:highlight w:val="none"/>
        </w:rPr>
      </w:pPr>
      <w:r>
        <w:rPr>
          <w:rFonts w:hint="eastAsia" w:ascii="仿宋" w:hAnsi="仿宋" w:eastAsia="仿宋"/>
          <w:b/>
          <w:bCs/>
          <w:color w:val="auto"/>
          <w:szCs w:val="21"/>
          <w:highlight w:val="none"/>
        </w:rPr>
        <w:t>备注：</w:t>
      </w:r>
    </w:p>
    <w:p w14:paraId="2C34068B">
      <w:pPr>
        <w:ind w:firstLine="480" w:firstLineChars="200"/>
        <w:rPr>
          <w:rFonts w:ascii="仿宋" w:hAnsi="仿宋" w:eastAsia="仿宋"/>
          <w:b/>
          <w:bCs/>
          <w:color w:val="auto"/>
          <w:szCs w:val="21"/>
          <w:highlight w:val="none"/>
        </w:rPr>
      </w:pPr>
      <w:r>
        <w:rPr>
          <w:rFonts w:hint="eastAsia" w:ascii="仿宋" w:hAnsi="仿宋" w:eastAsia="仿宋"/>
          <w:color w:val="auto"/>
          <w:sz w:val="24"/>
          <w:szCs w:val="24"/>
          <w:highlight w:val="none"/>
        </w:rPr>
        <w:t>1.招标人必须明确每项评审内容、要求及分值范围，评标专家以此对每项评审内容进行打分。</w:t>
      </w:r>
    </w:p>
    <w:p w14:paraId="012D7315">
      <w:pPr>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2.本表适用于专家独立评审使用。</w:t>
      </w:r>
    </w:p>
    <w:p w14:paraId="37BDFE4D">
      <w:pPr>
        <w:ind w:firstLine="840"/>
        <w:rPr>
          <w:rFonts w:ascii="仿宋" w:hAnsi="仿宋" w:eastAsia="仿宋"/>
          <w:color w:val="auto"/>
          <w:kern w:val="0"/>
          <w:sz w:val="28"/>
          <w:szCs w:val="28"/>
          <w:highlight w:val="none"/>
        </w:rPr>
      </w:pPr>
    </w:p>
    <w:p w14:paraId="0D57EF92">
      <w:pPr>
        <w:ind w:firstLine="840"/>
        <w:rPr>
          <w:rFonts w:ascii="仿宋" w:hAnsi="仿宋" w:eastAsia="仿宋"/>
          <w:b/>
          <w:bCs/>
          <w:color w:val="auto"/>
          <w:sz w:val="28"/>
          <w:szCs w:val="28"/>
          <w:highlight w:val="none"/>
        </w:rPr>
      </w:pPr>
      <w:r>
        <w:rPr>
          <w:rFonts w:hint="eastAsia" w:ascii="仿宋" w:hAnsi="仿宋" w:eastAsia="仿宋"/>
          <w:color w:val="auto"/>
          <w:kern w:val="0"/>
          <w:sz w:val="28"/>
          <w:szCs w:val="28"/>
          <w:highlight w:val="none"/>
        </w:rPr>
        <w:t>评标专家：</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 xml:space="preserve">      评标日期：</w:t>
      </w:r>
      <w:r>
        <w:rPr>
          <w:rFonts w:hint="eastAsia" w:ascii="仿宋" w:hAnsi="仿宋" w:eastAsia="仿宋"/>
          <w:color w:val="auto"/>
          <w:kern w:val="0"/>
          <w:sz w:val="28"/>
          <w:szCs w:val="28"/>
          <w:highlight w:val="none"/>
          <w:u w:val="single"/>
        </w:rPr>
        <w:t xml:space="preserve">          </w:t>
      </w:r>
    </w:p>
    <w:p w14:paraId="393061D3">
      <w:pPr>
        <w:spacing w:line="240" w:lineRule="auto"/>
        <w:ind w:firstLine="0"/>
        <w:jc w:val="left"/>
        <w:rPr>
          <w:rFonts w:ascii="宋体" w:hAnsi="宋体"/>
          <w:b/>
          <w:color w:val="auto"/>
          <w:sz w:val="24"/>
          <w:highlight w:val="none"/>
        </w:rPr>
        <w:sectPr>
          <w:pgSz w:w="12240" w:h="15840"/>
          <w:pgMar w:top="1440" w:right="1797" w:bottom="1440" w:left="1797" w:header="720" w:footer="720" w:gutter="0"/>
          <w:pgNumType w:fmt="decimal"/>
          <w:cols w:space="720" w:num="1"/>
        </w:sectPr>
      </w:pPr>
      <w:r>
        <w:rPr>
          <w:rFonts w:ascii="宋体" w:hAnsi="宋体"/>
          <w:b/>
          <w:color w:val="auto"/>
          <w:sz w:val="24"/>
          <w:highlight w:val="none"/>
        </w:rPr>
        <w:br w:type="page"/>
      </w:r>
    </w:p>
    <w:p w14:paraId="21EDD10C">
      <w:pPr>
        <w:spacing w:line="360" w:lineRule="auto"/>
        <w:ind w:firstLine="0"/>
        <w:jc w:val="left"/>
        <w:rPr>
          <w:rFonts w:ascii="宋体" w:hAnsi="宋体"/>
          <w:b/>
          <w:color w:val="auto"/>
          <w:sz w:val="24"/>
          <w:highlight w:val="none"/>
        </w:rPr>
      </w:pPr>
    </w:p>
    <w:p w14:paraId="4EE13CF2">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lang w:val="en-US" w:eastAsia="zh-CN"/>
        </w:rPr>
        <w:t>2</w:t>
      </w:r>
      <w:r>
        <w:rPr>
          <w:rFonts w:hint="eastAsia" w:ascii="黑体" w:hAnsi="黑体" w:eastAsia="黑体"/>
          <w:color w:val="auto"/>
          <w:sz w:val="30"/>
          <w:szCs w:val="30"/>
          <w:highlight w:val="none"/>
        </w:rPr>
        <w:t>.技术标评审汇总表</w:t>
      </w:r>
    </w:p>
    <w:p w14:paraId="4A69C6F1">
      <w:pPr>
        <w:spacing w:line="360" w:lineRule="auto"/>
        <w:ind w:firstLine="480" w:firstLineChars="200"/>
        <w:jc w:val="left"/>
        <w:rPr>
          <w:rFonts w:ascii="华文细黑" w:hAnsi="华文细黑" w:eastAsia="黑体"/>
          <w:color w:val="auto"/>
          <w:sz w:val="28"/>
          <w:szCs w:val="28"/>
          <w:highlight w:val="none"/>
        </w:rPr>
      </w:pPr>
      <w:r>
        <w:rPr>
          <w:rFonts w:hint="eastAsia" w:ascii="华文细黑" w:hAnsi="华文细黑" w:eastAsia="黑体"/>
          <w:color w:val="auto"/>
          <w:sz w:val="24"/>
          <w:szCs w:val="24"/>
          <w:highlight w:val="none"/>
          <w:lang w:eastAsia="zh-CN"/>
        </w:rPr>
        <w:t>项目</w:t>
      </w:r>
      <w:r>
        <w:rPr>
          <w:rFonts w:hint="eastAsia" w:ascii="华文细黑" w:hAnsi="华文细黑" w:eastAsia="黑体"/>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r>
        <w:rPr>
          <w:rFonts w:hint="eastAsia" w:ascii="华文细黑" w:hAnsi="华文细黑" w:eastAsia="黑体"/>
          <w:color w:val="auto"/>
          <w:sz w:val="24"/>
          <w:szCs w:val="24"/>
          <w:highlight w:val="none"/>
        </w:rPr>
        <w:t xml:space="preserve">  </w:t>
      </w:r>
    </w:p>
    <w:tbl>
      <w:tblPr>
        <w:tblStyle w:val="34"/>
        <w:tblW w:w="13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3487"/>
        <w:gridCol w:w="1176"/>
        <w:gridCol w:w="1176"/>
        <w:gridCol w:w="1176"/>
        <w:gridCol w:w="1176"/>
        <w:gridCol w:w="1176"/>
        <w:gridCol w:w="1176"/>
        <w:gridCol w:w="1177"/>
        <w:gridCol w:w="1172"/>
      </w:tblGrid>
      <w:tr w14:paraId="0ED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restart"/>
            <w:vAlign w:val="center"/>
          </w:tcPr>
          <w:p w14:paraId="34A9DBD0">
            <w:pPr>
              <w:jc w:val="center"/>
              <w:rPr>
                <w:rFonts w:ascii="宋体" w:hAnsi="宋体"/>
                <w:b/>
                <w:bCs/>
                <w:color w:val="auto"/>
                <w:spacing w:val="30"/>
                <w:szCs w:val="21"/>
                <w:highlight w:val="none"/>
              </w:rPr>
            </w:pPr>
            <w:r>
              <w:rPr>
                <w:rFonts w:hint="eastAsia" w:ascii="宋体" w:hAnsi="宋体"/>
                <w:b/>
                <w:bCs/>
                <w:color w:val="auto"/>
                <w:spacing w:val="30"/>
                <w:szCs w:val="21"/>
                <w:highlight w:val="none"/>
              </w:rPr>
              <w:t>序号</w:t>
            </w:r>
          </w:p>
        </w:tc>
        <w:tc>
          <w:tcPr>
            <w:tcW w:w="3487" w:type="dxa"/>
            <w:vMerge w:val="restart"/>
            <w:vAlign w:val="center"/>
          </w:tcPr>
          <w:p w14:paraId="4577958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投标人名称</w:t>
            </w:r>
          </w:p>
        </w:tc>
        <w:tc>
          <w:tcPr>
            <w:tcW w:w="9405" w:type="dxa"/>
            <w:gridSpan w:val="8"/>
            <w:vAlign w:val="center"/>
          </w:tcPr>
          <w:p w14:paraId="7FB771A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评委评定（是/否合格或分值）</w:t>
            </w:r>
          </w:p>
        </w:tc>
      </w:tr>
      <w:tr w14:paraId="671C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continue"/>
            <w:vAlign w:val="center"/>
          </w:tcPr>
          <w:p w14:paraId="348BA77B">
            <w:pPr>
              <w:jc w:val="center"/>
              <w:rPr>
                <w:rFonts w:ascii="宋体" w:hAnsi="宋体"/>
                <w:b/>
                <w:bCs/>
                <w:color w:val="auto"/>
                <w:spacing w:val="30"/>
                <w:szCs w:val="21"/>
                <w:highlight w:val="none"/>
              </w:rPr>
            </w:pPr>
          </w:p>
        </w:tc>
        <w:tc>
          <w:tcPr>
            <w:tcW w:w="3487" w:type="dxa"/>
            <w:vMerge w:val="continue"/>
            <w:vAlign w:val="center"/>
          </w:tcPr>
          <w:p w14:paraId="58BA9089">
            <w:pPr>
              <w:rPr>
                <w:rFonts w:ascii="宋体" w:hAnsi="宋体"/>
                <w:b/>
                <w:bCs/>
                <w:color w:val="auto"/>
                <w:spacing w:val="30"/>
                <w:szCs w:val="21"/>
                <w:highlight w:val="none"/>
              </w:rPr>
            </w:pPr>
          </w:p>
        </w:tc>
        <w:tc>
          <w:tcPr>
            <w:tcW w:w="1176" w:type="dxa"/>
            <w:vAlign w:val="center"/>
          </w:tcPr>
          <w:p w14:paraId="34CC487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评委1</w:t>
            </w:r>
          </w:p>
        </w:tc>
        <w:tc>
          <w:tcPr>
            <w:tcW w:w="1176" w:type="dxa"/>
            <w:vAlign w:val="center"/>
          </w:tcPr>
          <w:p w14:paraId="5F70D3DF">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评委2</w:t>
            </w:r>
          </w:p>
        </w:tc>
        <w:tc>
          <w:tcPr>
            <w:tcW w:w="1176" w:type="dxa"/>
            <w:vAlign w:val="center"/>
          </w:tcPr>
          <w:p w14:paraId="515B486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评委3</w:t>
            </w:r>
          </w:p>
        </w:tc>
        <w:tc>
          <w:tcPr>
            <w:tcW w:w="1176" w:type="dxa"/>
            <w:vAlign w:val="center"/>
          </w:tcPr>
          <w:p w14:paraId="217BE7C2">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评委4</w:t>
            </w:r>
          </w:p>
        </w:tc>
        <w:tc>
          <w:tcPr>
            <w:tcW w:w="1176" w:type="dxa"/>
            <w:vAlign w:val="center"/>
          </w:tcPr>
          <w:p w14:paraId="473EE103">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评委5</w:t>
            </w:r>
          </w:p>
        </w:tc>
        <w:tc>
          <w:tcPr>
            <w:tcW w:w="1176" w:type="dxa"/>
            <w:vAlign w:val="center"/>
          </w:tcPr>
          <w:p w14:paraId="71925B96">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评委6</w:t>
            </w:r>
          </w:p>
        </w:tc>
        <w:tc>
          <w:tcPr>
            <w:tcW w:w="1177" w:type="dxa"/>
            <w:vAlign w:val="center"/>
          </w:tcPr>
          <w:p w14:paraId="26C54387">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评委7</w:t>
            </w:r>
          </w:p>
        </w:tc>
        <w:tc>
          <w:tcPr>
            <w:tcW w:w="1172" w:type="dxa"/>
            <w:vAlign w:val="center"/>
          </w:tcPr>
          <w:p w14:paraId="0369914E">
            <w:pPr>
              <w:jc w:val="center"/>
              <w:rPr>
                <w:rFonts w:ascii="宋体" w:hAnsi="宋体"/>
                <w:b/>
                <w:bCs/>
                <w:color w:val="auto"/>
                <w:szCs w:val="21"/>
                <w:highlight w:val="none"/>
              </w:rPr>
            </w:pPr>
            <w:r>
              <w:rPr>
                <w:rFonts w:hint="eastAsia" w:ascii="宋体" w:hAnsi="宋体"/>
                <w:b/>
                <w:bCs/>
                <w:color w:val="auto"/>
                <w:szCs w:val="21"/>
                <w:highlight w:val="none"/>
              </w:rPr>
              <w:t>最终评定</w:t>
            </w:r>
          </w:p>
        </w:tc>
      </w:tr>
      <w:tr w14:paraId="1784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3D87669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1</w:t>
            </w:r>
          </w:p>
        </w:tc>
        <w:tc>
          <w:tcPr>
            <w:tcW w:w="3487" w:type="dxa"/>
            <w:vAlign w:val="center"/>
          </w:tcPr>
          <w:p w14:paraId="59008A58">
            <w:pPr>
              <w:rPr>
                <w:rFonts w:ascii="宋体" w:hAnsi="宋体"/>
                <w:b/>
                <w:bCs/>
                <w:color w:val="auto"/>
                <w:spacing w:val="30"/>
                <w:szCs w:val="21"/>
                <w:highlight w:val="none"/>
              </w:rPr>
            </w:pPr>
          </w:p>
        </w:tc>
        <w:tc>
          <w:tcPr>
            <w:tcW w:w="1176" w:type="dxa"/>
            <w:vAlign w:val="center"/>
          </w:tcPr>
          <w:p w14:paraId="18063C59">
            <w:pPr>
              <w:rPr>
                <w:rFonts w:ascii="宋体" w:hAnsi="宋体"/>
                <w:b/>
                <w:bCs/>
                <w:color w:val="auto"/>
                <w:spacing w:val="30"/>
                <w:szCs w:val="21"/>
                <w:highlight w:val="none"/>
              </w:rPr>
            </w:pPr>
          </w:p>
        </w:tc>
        <w:tc>
          <w:tcPr>
            <w:tcW w:w="1176" w:type="dxa"/>
            <w:vAlign w:val="center"/>
          </w:tcPr>
          <w:p w14:paraId="14778F20">
            <w:pPr>
              <w:rPr>
                <w:rFonts w:ascii="宋体" w:hAnsi="宋体"/>
                <w:b/>
                <w:bCs/>
                <w:color w:val="auto"/>
                <w:spacing w:val="30"/>
                <w:szCs w:val="21"/>
                <w:highlight w:val="none"/>
              </w:rPr>
            </w:pPr>
          </w:p>
        </w:tc>
        <w:tc>
          <w:tcPr>
            <w:tcW w:w="1176" w:type="dxa"/>
            <w:vAlign w:val="center"/>
          </w:tcPr>
          <w:p w14:paraId="25019569">
            <w:pPr>
              <w:rPr>
                <w:rFonts w:ascii="宋体" w:hAnsi="宋体"/>
                <w:b/>
                <w:bCs/>
                <w:color w:val="auto"/>
                <w:spacing w:val="30"/>
                <w:szCs w:val="21"/>
                <w:highlight w:val="none"/>
              </w:rPr>
            </w:pPr>
          </w:p>
        </w:tc>
        <w:tc>
          <w:tcPr>
            <w:tcW w:w="1176" w:type="dxa"/>
            <w:vAlign w:val="center"/>
          </w:tcPr>
          <w:p w14:paraId="4FFFA116">
            <w:pPr>
              <w:rPr>
                <w:rFonts w:ascii="宋体" w:hAnsi="宋体"/>
                <w:b/>
                <w:bCs/>
                <w:color w:val="auto"/>
                <w:spacing w:val="30"/>
                <w:szCs w:val="21"/>
                <w:highlight w:val="none"/>
              </w:rPr>
            </w:pPr>
          </w:p>
        </w:tc>
        <w:tc>
          <w:tcPr>
            <w:tcW w:w="1176" w:type="dxa"/>
            <w:vAlign w:val="center"/>
          </w:tcPr>
          <w:p w14:paraId="2ECD534D">
            <w:pPr>
              <w:rPr>
                <w:rFonts w:ascii="宋体" w:hAnsi="宋体"/>
                <w:b/>
                <w:bCs/>
                <w:color w:val="auto"/>
                <w:spacing w:val="30"/>
                <w:szCs w:val="21"/>
                <w:highlight w:val="none"/>
              </w:rPr>
            </w:pPr>
          </w:p>
        </w:tc>
        <w:tc>
          <w:tcPr>
            <w:tcW w:w="1176" w:type="dxa"/>
            <w:vAlign w:val="center"/>
          </w:tcPr>
          <w:p w14:paraId="682C67E6">
            <w:pPr>
              <w:rPr>
                <w:rFonts w:ascii="宋体" w:hAnsi="宋体"/>
                <w:b/>
                <w:bCs/>
                <w:color w:val="auto"/>
                <w:spacing w:val="30"/>
                <w:szCs w:val="21"/>
                <w:highlight w:val="none"/>
              </w:rPr>
            </w:pPr>
          </w:p>
        </w:tc>
        <w:tc>
          <w:tcPr>
            <w:tcW w:w="1177" w:type="dxa"/>
            <w:vAlign w:val="center"/>
          </w:tcPr>
          <w:p w14:paraId="62EF5485">
            <w:pPr>
              <w:rPr>
                <w:rFonts w:ascii="宋体" w:hAnsi="宋体"/>
                <w:b/>
                <w:bCs/>
                <w:color w:val="auto"/>
                <w:spacing w:val="30"/>
                <w:szCs w:val="21"/>
                <w:highlight w:val="none"/>
              </w:rPr>
            </w:pPr>
          </w:p>
        </w:tc>
        <w:tc>
          <w:tcPr>
            <w:tcW w:w="1172" w:type="dxa"/>
            <w:vAlign w:val="center"/>
          </w:tcPr>
          <w:p w14:paraId="1D8D9777">
            <w:pPr>
              <w:rPr>
                <w:rFonts w:ascii="宋体" w:hAnsi="宋体"/>
                <w:b/>
                <w:bCs/>
                <w:color w:val="auto"/>
                <w:spacing w:val="30"/>
                <w:szCs w:val="21"/>
                <w:highlight w:val="none"/>
              </w:rPr>
            </w:pPr>
          </w:p>
        </w:tc>
      </w:tr>
      <w:tr w14:paraId="7965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1E17B2DC">
            <w:pPr>
              <w:jc w:val="center"/>
              <w:rPr>
                <w:rFonts w:ascii="宋体" w:hAnsi="宋体"/>
                <w:b/>
                <w:bCs/>
                <w:color w:val="auto"/>
                <w:spacing w:val="30"/>
                <w:szCs w:val="21"/>
                <w:highlight w:val="none"/>
              </w:rPr>
            </w:pPr>
            <w:r>
              <w:rPr>
                <w:rFonts w:hint="eastAsia" w:ascii="宋体" w:hAnsi="宋体"/>
                <w:b/>
                <w:bCs/>
                <w:color w:val="auto"/>
                <w:spacing w:val="30"/>
                <w:szCs w:val="21"/>
                <w:highlight w:val="none"/>
              </w:rPr>
              <w:t>2</w:t>
            </w:r>
          </w:p>
        </w:tc>
        <w:tc>
          <w:tcPr>
            <w:tcW w:w="3487" w:type="dxa"/>
            <w:vAlign w:val="center"/>
          </w:tcPr>
          <w:p w14:paraId="198157E8">
            <w:pPr>
              <w:rPr>
                <w:rFonts w:ascii="宋体" w:hAnsi="宋体"/>
                <w:b/>
                <w:bCs/>
                <w:color w:val="auto"/>
                <w:spacing w:val="30"/>
                <w:szCs w:val="21"/>
                <w:highlight w:val="none"/>
              </w:rPr>
            </w:pPr>
          </w:p>
        </w:tc>
        <w:tc>
          <w:tcPr>
            <w:tcW w:w="1176" w:type="dxa"/>
            <w:vAlign w:val="center"/>
          </w:tcPr>
          <w:p w14:paraId="43249EE3">
            <w:pPr>
              <w:rPr>
                <w:rFonts w:ascii="宋体" w:hAnsi="宋体"/>
                <w:b/>
                <w:bCs/>
                <w:color w:val="auto"/>
                <w:spacing w:val="30"/>
                <w:szCs w:val="21"/>
                <w:highlight w:val="none"/>
              </w:rPr>
            </w:pPr>
          </w:p>
        </w:tc>
        <w:tc>
          <w:tcPr>
            <w:tcW w:w="1176" w:type="dxa"/>
            <w:vAlign w:val="center"/>
          </w:tcPr>
          <w:p w14:paraId="247F5202">
            <w:pPr>
              <w:rPr>
                <w:rFonts w:ascii="宋体" w:hAnsi="宋体"/>
                <w:b/>
                <w:bCs/>
                <w:color w:val="auto"/>
                <w:spacing w:val="30"/>
                <w:szCs w:val="21"/>
                <w:highlight w:val="none"/>
              </w:rPr>
            </w:pPr>
          </w:p>
        </w:tc>
        <w:tc>
          <w:tcPr>
            <w:tcW w:w="1176" w:type="dxa"/>
            <w:vAlign w:val="center"/>
          </w:tcPr>
          <w:p w14:paraId="2831B228">
            <w:pPr>
              <w:rPr>
                <w:rFonts w:ascii="宋体" w:hAnsi="宋体"/>
                <w:b/>
                <w:bCs/>
                <w:color w:val="auto"/>
                <w:spacing w:val="30"/>
                <w:szCs w:val="21"/>
                <w:highlight w:val="none"/>
              </w:rPr>
            </w:pPr>
          </w:p>
        </w:tc>
        <w:tc>
          <w:tcPr>
            <w:tcW w:w="1176" w:type="dxa"/>
            <w:vAlign w:val="center"/>
          </w:tcPr>
          <w:p w14:paraId="0E8B9BF3">
            <w:pPr>
              <w:rPr>
                <w:rFonts w:ascii="宋体" w:hAnsi="宋体"/>
                <w:b/>
                <w:bCs/>
                <w:color w:val="auto"/>
                <w:spacing w:val="30"/>
                <w:szCs w:val="21"/>
                <w:highlight w:val="none"/>
              </w:rPr>
            </w:pPr>
          </w:p>
        </w:tc>
        <w:tc>
          <w:tcPr>
            <w:tcW w:w="1176" w:type="dxa"/>
            <w:vAlign w:val="center"/>
          </w:tcPr>
          <w:p w14:paraId="3FF481AD">
            <w:pPr>
              <w:rPr>
                <w:rFonts w:ascii="宋体" w:hAnsi="宋体"/>
                <w:b/>
                <w:bCs/>
                <w:color w:val="auto"/>
                <w:spacing w:val="30"/>
                <w:szCs w:val="21"/>
                <w:highlight w:val="none"/>
              </w:rPr>
            </w:pPr>
          </w:p>
        </w:tc>
        <w:tc>
          <w:tcPr>
            <w:tcW w:w="1176" w:type="dxa"/>
            <w:vAlign w:val="center"/>
          </w:tcPr>
          <w:p w14:paraId="03E6E2BF">
            <w:pPr>
              <w:rPr>
                <w:rFonts w:ascii="宋体" w:hAnsi="宋体"/>
                <w:b/>
                <w:bCs/>
                <w:color w:val="auto"/>
                <w:spacing w:val="30"/>
                <w:szCs w:val="21"/>
                <w:highlight w:val="none"/>
              </w:rPr>
            </w:pPr>
          </w:p>
        </w:tc>
        <w:tc>
          <w:tcPr>
            <w:tcW w:w="1177" w:type="dxa"/>
            <w:vAlign w:val="center"/>
          </w:tcPr>
          <w:p w14:paraId="243DD75A">
            <w:pPr>
              <w:rPr>
                <w:rFonts w:ascii="宋体" w:hAnsi="宋体"/>
                <w:b/>
                <w:bCs/>
                <w:color w:val="auto"/>
                <w:spacing w:val="30"/>
                <w:szCs w:val="21"/>
                <w:highlight w:val="none"/>
              </w:rPr>
            </w:pPr>
          </w:p>
        </w:tc>
        <w:tc>
          <w:tcPr>
            <w:tcW w:w="1172" w:type="dxa"/>
            <w:vAlign w:val="center"/>
          </w:tcPr>
          <w:p w14:paraId="0B6D75CA">
            <w:pPr>
              <w:rPr>
                <w:rFonts w:ascii="宋体" w:hAnsi="宋体"/>
                <w:b/>
                <w:bCs/>
                <w:color w:val="auto"/>
                <w:spacing w:val="30"/>
                <w:szCs w:val="21"/>
                <w:highlight w:val="none"/>
              </w:rPr>
            </w:pPr>
          </w:p>
        </w:tc>
      </w:tr>
      <w:tr w14:paraId="0523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2DD5014">
            <w:pPr>
              <w:jc w:val="center"/>
              <w:rPr>
                <w:rFonts w:ascii="宋体" w:hAnsi="宋体"/>
                <w:b/>
                <w:bCs/>
                <w:color w:val="auto"/>
                <w:spacing w:val="30"/>
                <w:szCs w:val="21"/>
                <w:highlight w:val="none"/>
              </w:rPr>
            </w:pPr>
            <w:r>
              <w:rPr>
                <w:rFonts w:hint="eastAsia" w:ascii="宋体" w:hAnsi="宋体"/>
                <w:b/>
                <w:bCs/>
                <w:color w:val="auto"/>
                <w:spacing w:val="30"/>
                <w:szCs w:val="21"/>
                <w:highlight w:val="none"/>
              </w:rPr>
              <w:t>3</w:t>
            </w:r>
          </w:p>
        </w:tc>
        <w:tc>
          <w:tcPr>
            <w:tcW w:w="3487" w:type="dxa"/>
            <w:vAlign w:val="center"/>
          </w:tcPr>
          <w:p w14:paraId="21824FFA">
            <w:pPr>
              <w:rPr>
                <w:rFonts w:ascii="宋体" w:hAnsi="宋体"/>
                <w:b/>
                <w:bCs/>
                <w:color w:val="auto"/>
                <w:spacing w:val="30"/>
                <w:szCs w:val="21"/>
                <w:highlight w:val="none"/>
              </w:rPr>
            </w:pPr>
          </w:p>
        </w:tc>
        <w:tc>
          <w:tcPr>
            <w:tcW w:w="1176" w:type="dxa"/>
            <w:vAlign w:val="center"/>
          </w:tcPr>
          <w:p w14:paraId="5238E783">
            <w:pPr>
              <w:rPr>
                <w:rFonts w:ascii="宋体" w:hAnsi="宋体"/>
                <w:b/>
                <w:bCs/>
                <w:color w:val="auto"/>
                <w:spacing w:val="30"/>
                <w:szCs w:val="21"/>
                <w:highlight w:val="none"/>
              </w:rPr>
            </w:pPr>
          </w:p>
        </w:tc>
        <w:tc>
          <w:tcPr>
            <w:tcW w:w="1176" w:type="dxa"/>
            <w:vAlign w:val="center"/>
          </w:tcPr>
          <w:p w14:paraId="27A48217">
            <w:pPr>
              <w:rPr>
                <w:rFonts w:ascii="宋体" w:hAnsi="宋体"/>
                <w:b/>
                <w:bCs/>
                <w:color w:val="auto"/>
                <w:spacing w:val="30"/>
                <w:szCs w:val="21"/>
                <w:highlight w:val="none"/>
              </w:rPr>
            </w:pPr>
          </w:p>
        </w:tc>
        <w:tc>
          <w:tcPr>
            <w:tcW w:w="1176" w:type="dxa"/>
            <w:vAlign w:val="center"/>
          </w:tcPr>
          <w:p w14:paraId="3577319A">
            <w:pPr>
              <w:rPr>
                <w:rFonts w:ascii="宋体" w:hAnsi="宋体"/>
                <w:b/>
                <w:bCs/>
                <w:color w:val="auto"/>
                <w:spacing w:val="30"/>
                <w:szCs w:val="21"/>
                <w:highlight w:val="none"/>
              </w:rPr>
            </w:pPr>
          </w:p>
        </w:tc>
        <w:tc>
          <w:tcPr>
            <w:tcW w:w="1176" w:type="dxa"/>
            <w:vAlign w:val="center"/>
          </w:tcPr>
          <w:p w14:paraId="70323CBB">
            <w:pPr>
              <w:rPr>
                <w:rFonts w:ascii="宋体" w:hAnsi="宋体"/>
                <w:b/>
                <w:bCs/>
                <w:color w:val="auto"/>
                <w:spacing w:val="30"/>
                <w:szCs w:val="21"/>
                <w:highlight w:val="none"/>
              </w:rPr>
            </w:pPr>
          </w:p>
        </w:tc>
        <w:tc>
          <w:tcPr>
            <w:tcW w:w="1176" w:type="dxa"/>
            <w:vAlign w:val="center"/>
          </w:tcPr>
          <w:p w14:paraId="54DA3FAF">
            <w:pPr>
              <w:rPr>
                <w:rFonts w:ascii="宋体" w:hAnsi="宋体"/>
                <w:b/>
                <w:bCs/>
                <w:color w:val="auto"/>
                <w:spacing w:val="30"/>
                <w:szCs w:val="21"/>
                <w:highlight w:val="none"/>
              </w:rPr>
            </w:pPr>
          </w:p>
        </w:tc>
        <w:tc>
          <w:tcPr>
            <w:tcW w:w="1176" w:type="dxa"/>
            <w:vAlign w:val="center"/>
          </w:tcPr>
          <w:p w14:paraId="2FE1ABF5">
            <w:pPr>
              <w:rPr>
                <w:rFonts w:ascii="宋体" w:hAnsi="宋体"/>
                <w:b/>
                <w:bCs/>
                <w:color w:val="auto"/>
                <w:spacing w:val="30"/>
                <w:szCs w:val="21"/>
                <w:highlight w:val="none"/>
              </w:rPr>
            </w:pPr>
          </w:p>
        </w:tc>
        <w:tc>
          <w:tcPr>
            <w:tcW w:w="1177" w:type="dxa"/>
            <w:vAlign w:val="center"/>
          </w:tcPr>
          <w:p w14:paraId="455E2028">
            <w:pPr>
              <w:rPr>
                <w:rFonts w:ascii="宋体" w:hAnsi="宋体"/>
                <w:b/>
                <w:bCs/>
                <w:color w:val="auto"/>
                <w:spacing w:val="30"/>
                <w:szCs w:val="21"/>
                <w:highlight w:val="none"/>
              </w:rPr>
            </w:pPr>
          </w:p>
        </w:tc>
        <w:tc>
          <w:tcPr>
            <w:tcW w:w="1172" w:type="dxa"/>
            <w:vAlign w:val="center"/>
          </w:tcPr>
          <w:p w14:paraId="00B7A76C">
            <w:pPr>
              <w:rPr>
                <w:rFonts w:ascii="宋体" w:hAnsi="宋体"/>
                <w:b/>
                <w:bCs/>
                <w:color w:val="auto"/>
                <w:spacing w:val="30"/>
                <w:szCs w:val="21"/>
                <w:highlight w:val="none"/>
              </w:rPr>
            </w:pPr>
          </w:p>
        </w:tc>
      </w:tr>
      <w:tr w14:paraId="7C7E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A6C144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4</w:t>
            </w:r>
          </w:p>
        </w:tc>
        <w:tc>
          <w:tcPr>
            <w:tcW w:w="3487" w:type="dxa"/>
            <w:vAlign w:val="center"/>
          </w:tcPr>
          <w:p w14:paraId="51341E28">
            <w:pPr>
              <w:rPr>
                <w:rFonts w:ascii="宋体" w:hAnsi="宋体"/>
                <w:b/>
                <w:bCs/>
                <w:color w:val="auto"/>
                <w:spacing w:val="30"/>
                <w:szCs w:val="21"/>
                <w:highlight w:val="none"/>
              </w:rPr>
            </w:pPr>
          </w:p>
        </w:tc>
        <w:tc>
          <w:tcPr>
            <w:tcW w:w="1176" w:type="dxa"/>
            <w:vAlign w:val="center"/>
          </w:tcPr>
          <w:p w14:paraId="51E4DC1E">
            <w:pPr>
              <w:rPr>
                <w:rFonts w:ascii="宋体" w:hAnsi="宋体"/>
                <w:b/>
                <w:bCs/>
                <w:color w:val="auto"/>
                <w:spacing w:val="30"/>
                <w:szCs w:val="21"/>
                <w:highlight w:val="none"/>
              </w:rPr>
            </w:pPr>
          </w:p>
        </w:tc>
        <w:tc>
          <w:tcPr>
            <w:tcW w:w="1176" w:type="dxa"/>
            <w:vAlign w:val="center"/>
          </w:tcPr>
          <w:p w14:paraId="1619514C">
            <w:pPr>
              <w:rPr>
                <w:rFonts w:ascii="宋体" w:hAnsi="宋体"/>
                <w:b/>
                <w:bCs/>
                <w:color w:val="auto"/>
                <w:spacing w:val="30"/>
                <w:szCs w:val="21"/>
                <w:highlight w:val="none"/>
              </w:rPr>
            </w:pPr>
          </w:p>
        </w:tc>
        <w:tc>
          <w:tcPr>
            <w:tcW w:w="1176" w:type="dxa"/>
            <w:vAlign w:val="center"/>
          </w:tcPr>
          <w:p w14:paraId="5B176F85">
            <w:pPr>
              <w:rPr>
                <w:rFonts w:ascii="宋体" w:hAnsi="宋体"/>
                <w:b/>
                <w:bCs/>
                <w:color w:val="auto"/>
                <w:spacing w:val="30"/>
                <w:szCs w:val="21"/>
                <w:highlight w:val="none"/>
              </w:rPr>
            </w:pPr>
          </w:p>
        </w:tc>
        <w:tc>
          <w:tcPr>
            <w:tcW w:w="1176" w:type="dxa"/>
            <w:vAlign w:val="center"/>
          </w:tcPr>
          <w:p w14:paraId="7AA0EFF4">
            <w:pPr>
              <w:rPr>
                <w:rFonts w:ascii="宋体" w:hAnsi="宋体"/>
                <w:b/>
                <w:bCs/>
                <w:color w:val="auto"/>
                <w:spacing w:val="30"/>
                <w:szCs w:val="21"/>
                <w:highlight w:val="none"/>
              </w:rPr>
            </w:pPr>
          </w:p>
        </w:tc>
        <w:tc>
          <w:tcPr>
            <w:tcW w:w="1176" w:type="dxa"/>
            <w:vAlign w:val="center"/>
          </w:tcPr>
          <w:p w14:paraId="07E536AE">
            <w:pPr>
              <w:rPr>
                <w:rFonts w:ascii="宋体" w:hAnsi="宋体"/>
                <w:b/>
                <w:bCs/>
                <w:color w:val="auto"/>
                <w:spacing w:val="30"/>
                <w:szCs w:val="21"/>
                <w:highlight w:val="none"/>
              </w:rPr>
            </w:pPr>
          </w:p>
        </w:tc>
        <w:tc>
          <w:tcPr>
            <w:tcW w:w="1176" w:type="dxa"/>
            <w:vAlign w:val="center"/>
          </w:tcPr>
          <w:p w14:paraId="7B478DF9">
            <w:pPr>
              <w:rPr>
                <w:rFonts w:ascii="宋体" w:hAnsi="宋体"/>
                <w:b/>
                <w:bCs/>
                <w:color w:val="auto"/>
                <w:spacing w:val="30"/>
                <w:szCs w:val="21"/>
                <w:highlight w:val="none"/>
              </w:rPr>
            </w:pPr>
          </w:p>
        </w:tc>
        <w:tc>
          <w:tcPr>
            <w:tcW w:w="1177" w:type="dxa"/>
            <w:vAlign w:val="center"/>
          </w:tcPr>
          <w:p w14:paraId="51FACB10">
            <w:pPr>
              <w:rPr>
                <w:rFonts w:ascii="宋体" w:hAnsi="宋体"/>
                <w:b/>
                <w:bCs/>
                <w:color w:val="auto"/>
                <w:spacing w:val="30"/>
                <w:szCs w:val="21"/>
                <w:highlight w:val="none"/>
              </w:rPr>
            </w:pPr>
          </w:p>
        </w:tc>
        <w:tc>
          <w:tcPr>
            <w:tcW w:w="1172" w:type="dxa"/>
            <w:vAlign w:val="center"/>
          </w:tcPr>
          <w:p w14:paraId="136D3C65">
            <w:pPr>
              <w:rPr>
                <w:rFonts w:ascii="宋体" w:hAnsi="宋体"/>
                <w:b/>
                <w:bCs/>
                <w:color w:val="auto"/>
                <w:spacing w:val="30"/>
                <w:szCs w:val="21"/>
                <w:highlight w:val="none"/>
              </w:rPr>
            </w:pPr>
          </w:p>
        </w:tc>
      </w:tr>
      <w:tr w14:paraId="3AD1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4F6519DE">
            <w:pPr>
              <w:jc w:val="center"/>
              <w:rPr>
                <w:rFonts w:ascii="宋体" w:hAnsi="宋体"/>
                <w:b/>
                <w:bCs/>
                <w:color w:val="auto"/>
                <w:spacing w:val="30"/>
                <w:szCs w:val="21"/>
                <w:highlight w:val="none"/>
              </w:rPr>
            </w:pPr>
            <w:r>
              <w:rPr>
                <w:rFonts w:hint="eastAsia" w:ascii="宋体" w:hAnsi="宋体"/>
                <w:b/>
                <w:bCs/>
                <w:color w:val="auto"/>
                <w:spacing w:val="30"/>
                <w:szCs w:val="21"/>
                <w:highlight w:val="none"/>
              </w:rPr>
              <w:t>5</w:t>
            </w:r>
          </w:p>
        </w:tc>
        <w:tc>
          <w:tcPr>
            <w:tcW w:w="3487" w:type="dxa"/>
            <w:vAlign w:val="center"/>
          </w:tcPr>
          <w:p w14:paraId="2B92C533">
            <w:pPr>
              <w:rPr>
                <w:rFonts w:ascii="宋体" w:hAnsi="宋体"/>
                <w:b/>
                <w:bCs/>
                <w:color w:val="auto"/>
                <w:spacing w:val="30"/>
                <w:szCs w:val="21"/>
                <w:highlight w:val="none"/>
              </w:rPr>
            </w:pPr>
          </w:p>
        </w:tc>
        <w:tc>
          <w:tcPr>
            <w:tcW w:w="1176" w:type="dxa"/>
            <w:vAlign w:val="center"/>
          </w:tcPr>
          <w:p w14:paraId="4F622D81">
            <w:pPr>
              <w:rPr>
                <w:rFonts w:ascii="宋体" w:hAnsi="宋体"/>
                <w:b/>
                <w:bCs/>
                <w:color w:val="auto"/>
                <w:spacing w:val="30"/>
                <w:szCs w:val="21"/>
                <w:highlight w:val="none"/>
              </w:rPr>
            </w:pPr>
          </w:p>
        </w:tc>
        <w:tc>
          <w:tcPr>
            <w:tcW w:w="1176" w:type="dxa"/>
            <w:vAlign w:val="center"/>
          </w:tcPr>
          <w:p w14:paraId="13F630CC">
            <w:pPr>
              <w:rPr>
                <w:rFonts w:ascii="宋体" w:hAnsi="宋体"/>
                <w:b/>
                <w:bCs/>
                <w:color w:val="auto"/>
                <w:spacing w:val="30"/>
                <w:szCs w:val="21"/>
                <w:highlight w:val="none"/>
              </w:rPr>
            </w:pPr>
          </w:p>
        </w:tc>
        <w:tc>
          <w:tcPr>
            <w:tcW w:w="1176" w:type="dxa"/>
            <w:vAlign w:val="center"/>
          </w:tcPr>
          <w:p w14:paraId="61194874">
            <w:pPr>
              <w:rPr>
                <w:rFonts w:ascii="宋体" w:hAnsi="宋体"/>
                <w:b/>
                <w:bCs/>
                <w:color w:val="auto"/>
                <w:spacing w:val="30"/>
                <w:szCs w:val="21"/>
                <w:highlight w:val="none"/>
              </w:rPr>
            </w:pPr>
          </w:p>
        </w:tc>
        <w:tc>
          <w:tcPr>
            <w:tcW w:w="1176" w:type="dxa"/>
            <w:vAlign w:val="center"/>
          </w:tcPr>
          <w:p w14:paraId="4C808D8F">
            <w:pPr>
              <w:rPr>
                <w:rFonts w:ascii="宋体" w:hAnsi="宋体"/>
                <w:b/>
                <w:bCs/>
                <w:color w:val="auto"/>
                <w:spacing w:val="30"/>
                <w:szCs w:val="21"/>
                <w:highlight w:val="none"/>
              </w:rPr>
            </w:pPr>
          </w:p>
        </w:tc>
        <w:tc>
          <w:tcPr>
            <w:tcW w:w="1176" w:type="dxa"/>
            <w:vAlign w:val="center"/>
          </w:tcPr>
          <w:p w14:paraId="6191F51D">
            <w:pPr>
              <w:rPr>
                <w:rFonts w:ascii="宋体" w:hAnsi="宋体"/>
                <w:b/>
                <w:bCs/>
                <w:color w:val="auto"/>
                <w:spacing w:val="30"/>
                <w:szCs w:val="21"/>
                <w:highlight w:val="none"/>
              </w:rPr>
            </w:pPr>
          </w:p>
        </w:tc>
        <w:tc>
          <w:tcPr>
            <w:tcW w:w="1176" w:type="dxa"/>
            <w:vAlign w:val="center"/>
          </w:tcPr>
          <w:p w14:paraId="2F9780AD">
            <w:pPr>
              <w:rPr>
                <w:rFonts w:ascii="宋体" w:hAnsi="宋体"/>
                <w:b/>
                <w:bCs/>
                <w:color w:val="auto"/>
                <w:spacing w:val="30"/>
                <w:szCs w:val="21"/>
                <w:highlight w:val="none"/>
              </w:rPr>
            </w:pPr>
          </w:p>
        </w:tc>
        <w:tc>
          <w:tcPr>
            <w:tcW w:w="1177" w:type="dxa"/>
            <w:vAlign w:val="center"/>
          </w:tcPr>
          <w:p w14:paraId="25A41C8B">
            <w:pPr>
              <w:rPr>
                <w:rFonts w:ascii="宋体" w:hAnsi="宋体"/>
                <w:b/>
                <w:bCs/>
                <w:color w:val="auto"/>
                <w:spacing w:val="30"/>
                <w:szCs w:val="21"/>
                <w:highlight w:val="none"/>
              </w:rPr>
            </w:pPr>
          </w:p>
        </w:tc>
        <w:tc>
          <w:tcPr>
            <w:tcW w:w="1172" w:type="dxa"/>
            <w:vAlign w:val="center"/>
          </w:tcPr>
          <w:p w14:paraId="44A67D26">
            <w:pPr>
              <w:rPr>
                <w:rFonts w:ascii="宋体" w:hAnsi="宋体"/>
                <w:b/>
                <w:bCs/>
                <w:color w:val="auto"/>
                <w:spacing w:val="30"/>
                <w:szCs w:val="21"/>
                <w:highlight w:val="none"/>
              </w:rPr>
            </w:pPr>
          </w:p>
        </w:tc>
      </w:tr>
      <w:tr w14:paraId="1E53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13549" w:type="dxa"/>
            <w:gridSpan w:val="10"/>
            <w:vAlign w:val="top"/>
          </w:tcPr>
          <w:p w14:paraId="7FD53B9A">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F721AD0">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7DC0CA66">
            <w:pPr>
              <w:rPr>
                <w:rFonts w:ascii="黑体" w:hAnsi="Verdana" w:eastAsia="黑体"/>
                <w:color w:val="auto"/>
                <w:szCs w:val="21"/>
                <w:highlight w:val="none"/>
              </w:rPr>
            </w:pPr>
          </w:p>
          <w:p w14:paraId="64DC1416">
            <w:pPr>
              <w:jc w:val="right"/>
              <w:rPr>
                <w:rFonts w:ascii="宋体" w:hAnsi="宋体"/>
                <w:b/>
                <w:bCs/>
                <w:color w:val="auto"/>
                <w:spacing w:val="30"/>
                <w:szCs w:val="21"/>
                <w:highlight w:val="none"/>
              </w:rPr>
            </w:pPr>
            <w:r>
              <w:rPr>
                <w:rFonts w:hint="eastAsia" w:ascii="黑体" w:hAnsi="Verdana" w:eastAsia="黑体"/>
                <w:color w:val="auto"/>
                <w:szCs w:val="21"/>
                <w:highlight w:val="none"/>
              </w:rPr>
              <w:t>日期：     年   月  日</w:t>
            </w:r>
          </w:p>
        </w:tc>
      </w:tr>
    </w:tbl>
    <w:p w14:paraId="5E0661C2">
      <w:pPr>
        <w:jc w:val="right"/>
        <w:rPr>
          <w:rFonts w:ascii="黑体" w:eastAsia="黑体"/>
          <w:color w:val="auto"/>
          <w:szCs w:val="21"/>
          <w:highlight w:val="none"/>
        </w:rPr>
      </w:pPr>
    </w:p>
    <w:p w14:paraId="0DEB7515">
      <w:pPr>
        <w:rPr>
          <w:rFonts w:ascii="黑体" w:eastAsia="黑体"/>
          <w:color w:val="auto"/>
          <w:szCs w:val="21"/>
          <w:highlight w:val="none"/>
        </w:rPr>
      </w:pPr>
      <w:r>
        <w:rPr>
          <w:rFonts w:hint="eastAsia" w:ascii="黑体" w:eastAsia="黑体"/>
          <w:color w:val="auto"/>
          <w:szCs w:val="21"/>
          <w:highlight w:val="none"/>
        </w:rPr>
        <w:t>注：</w:t>
      </w:r>
    </w:p>
    <w:p w14:paraId="1A03AB7E">
      <w:pPr>
        <w:spacing w:line="360" w:lineRule="auto"/>
        <w:ind w:firstLine="420" w:firstLineChars="200"/>
        <w:jc w:val="left"/>
        <w:rPr>
          <w:rFonts w:ascii="黑体" w:eastAsia="黑体"/>
          <w:color w:val="auto"/>
          <w:szCs w:val="21"/>
          <w:highlight w:val="none"/>
        </w:rPr>
      </w:pPr>
      <w:r>
        <w:rPr>
          <w:rFonts w:hint="eastAsia" w:ascii="黑体" w:eastAsia="黑体"/>
          <w:color w:val="auto"/>
          <w:szCs w:val="21"/>
          <w:highlight w:val="none"/>
        </w:rPr>
        <w:t>1.采用定量评审时最终评定得分为去掉评委最高分、最低分后的算术平均值。</w:t>
      </w:r>
    </w:p>
    <w:p w14:paraId="1A94CCA1">
      <w:pPr>
        <w:spacing w:line="360" w:lineRule="auto"/>
        <w:ind w:firstLine="420" w:firstLineChars="200"/>
        <w:jc w:val="left"/>
        <w:rPr>
          <w:color w:val="auto"/>
          <w:sz w:val="84"/>
          <w:highlight w:val="none"/>
        </w:rPr>
      </w:pPr>
      <w:r>
        <w:rPr>
          <w:rFonts w:hint="eastAsia" w:ascii="黑体" w:eastAsia="黑体"/>
          <w:color w:val="auto"/>
          <w:szCs w:val="21"/>
          <w:highlight w:val="none"/>
        </w:rPr>
        <w:t>2.采用定性评审时超过半数的评委对某一投标单位的技术标判定不合格，则该投标人的技术标为不合格;若超过半数的评委对某一投标单位的技术标判定合格，则该投标单位的技术标为合格。</w:t>
      </w:r>
    </w:p>
    <w:p w14:paraId="3DB14D41">
      <w:pPr>
        <w:spacing w:line="360" w:lineRule="auto"/>
        <w:ind w:firstLine="482"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p>
    <w:p w14:paraId="12EEA3AC">
      <w:pPr>
        <w:spacing w:line="360" w:lineRule="auto"/>
        <w:ind w:firstLine="482" w:firstLineChars="200"/>
        <w:rPr>
          <w:rFonts w:ascii="宋体" w:hAnsi="宋体"/>
          <w:b/>
          <w:color w:val="auto"/>
          <w:sz w:val="24"/>
          <w:highlight w:val="none"/>
        </w:rPr>
      </w:pPr>
    </w:p>
    <w:p w14:paraId="295ED0D9">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（二）商务标评审细则</w:t>
      </w:r>
    </w:p>
    <w:p w14:paraId="09BD4511">
      <w:pPr>
        <w:spacing w:line="360" w:lineRule="auto"/>
        <w:ind w:firstLine="562" w:firstLineChars="200"/>
        <w:rPr>
          <w:rFonts w:ascii="仿宋" w:hAnsi="仿宋" w:eastAsia="仿宋" w:cs="宋体"/>
          <w:color w:val="auto"/>
          <w:kern w:val="0"/>
          <w:sz w:val="28"/>
          <w:szCs w:val="28"/>
          <w:highlight w:val="none"/>
        </w:rPr>
      </w:pPr>
      <w:r>
        <w:rPr>
          <w:rFonts w:hint="eastAsia" w:ascii="仿宋" w:hAnsi="仿宋" w:eastAsia="仿宋"/>
          <w:b/>
          <w:color w:val="auto"/>
          <w:sz w:val="28"/>
          <w:szCs w:val="28"/>
          <w:highlight w:val="none"/>
        </w:rPr>
        <w:t>1.商务标定量评审细则：</w:t>
      </w:r>
    </w:p>
    <w:p w14:paraId="2E6E4A8A">
      <w:pPr>
        <w:spacing w:line="360" w:lineRule="auto"/>
        <w:ind w:firstLine="560" w:firstLineChars="200"/>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（1）将</w:t>
      </w:r>
      <w:r>
        <w:rPr>
          <w:rFonts w:hint="eastAsia" w:ascii="仿宋" w:hAnsi="仿宋" w:eastAsia="仿宋"/>
          <w:color w:val="auto"/>
          <w:sz w:val="28"/>
          <w:szCs w:val="28"/>
          <w:highlight w:val="none"/>
        </w:rPr>
        <w:t>通过初步评审的商务标报价按由低至高的顺序进行排序，去掉最低投标价以及最高投标价之后，再对剩余投标人的投标价取算术平均值，此算术平均值为评标基准值X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，并以X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作为评标基准价。</w:t>
      </w:r>
    </w:p>
    <w:p w14:paraId="0C132EF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（2）投标报价等于评标基准价的得</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分；投标人投标报价（X</w:t>
      </w:r>
      <w:r>
        <w:rPr>
          <w:rFonts w:hint="eastAsia" w:ascii="仿宋" w:hAnsi="仿宋" w:eastAsia="仿宋"/>
          <w:color w:val="auto"/>
          <w:sz w:val="28"/>
          <w:szCs w:val="28"/>
          <w:highlight w:val="none"/>
          <w:vertAlign w:val="subscript"/>
        </w:rPr>
        <w:t>n</w:t>
      </w:r>
      <w:r>
        <w:rPr>
          <w:rFonts w:hint="eastAsia" w:ascii="仿宋" w:hAnsi="仿宋" w:eastAsia="仿宋"/>
          <w:color w:val="auto"/>
          <w:sz w:val="28"/>
          <w:szCs w:val="28"/>
          <w:highlight w:val="none"/>
        </w:rPr>
        <w:t>）每大于评标基准价1个百分点扣2分（不足1%的部分按1%计，下同）；投标人投标报价（Xn）每小于评标基准价1个百分点扣1分。</w:t>
      </w:r>
    </w:p>
    <w:p w14:paraId="5999DA84">
      <w:pPr>
        <w:spacing w:line="360" w:lineRule="auto"/>
        <w:ind w:firstLine="570"/>
        <w:rPr>
          <w:rFonts w:ascii="仿宋" w:hAnsi="仿宋" w:eastAsia="仿宋"/>
          <w:color w:val="auto"/>
          <w:sz w:val="28"/>
          <w:szCs w:val="28"/>
          <w:highlight w:val="none"/>
        </w:rPr>
      </w:pPr>
      <w:r>
        <w:rPr>
          <w:rFonts w:hint="eastAsia" w:ascii="仿宋" w:hAnsi="仿宋" w:eastAsia="仿宋"/>
          <w:color w:val="auto"/>
          <w:sz w:val="28"/>
          <w:szCs w:val="28"/>
          <w:highlight w:val="none"/>
        </w:rPr>
        <w:t>（3）设投标人的投标报价为Xn，得分S计算方法如下：</w:t>
      </w:r>
    </w:p>
    <w:p w14:paraId="626F28F4">
      <w:pPr>
        <w:spacing w:line="360" w:lineRule="auto"/>
        <w:ind w:firstLine="560" w:firstLineChars="200"/>
        <w:rPr>
          <w:rFonts w:ascii="仿宋" w:hAnsi="仿宋" w:eastAsia="仿宋" w:cs="Arial"/>
          <w:color w:val="auto"/>
          <w:kern w:val="0"/>
          <w:sz w:val="28"/>
          <w:szCs w:val="28"/>
          <w:highlight w:val="none"/>
        </w:rPr>
      </w:pPr>
      <w:r>
        <w:rPr>
          <w:rFonts w:hint="eastAsia" w:ascii="仿宋" w:hAnsi="仿宋" w:eastAsia="仿宋"/>
          <w:color w:val="auto"/>
          <w:sz w:val="28"/>
          <w:szCs w:val="28"/>
          <w:highlight w:val="none"/>
        </w:rPr>
        <w:t>S=</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n</w:t>
      </w:r>
      <w:r>
        <w:rPr>
          <w:rFonts w:hint="eastAsia" w:ascii="仿宋" w:hAnsi="仿宋" w:eastAsia="仿宋" w:cs="Arial"/>
          <w:color w:val="auto"/>
          <w:kern w:val="0"/>
          <w:sz w:val="28"/>
          <w:szCs w:val="28"/>
          <w:highlight w:val="none"/>
        </w:rPr>
        <w:t xml:space="preserve"> </w:t>
      </w:r>
      <w:r>
        <w:rPr>
          <w:rFonts w:ascii="仿宋" w:hAnsi="仿宋" w:eastAsia="仿宋" w:cs="Arial"/>
          <w:color w:val="auto"/>
          <w:kern w:val="0"/>
          <w:sz w:val="28"/>
          <w:szCs w:val="28"/>
          <w:highlight w:val="none"/>
        </w:rPr>
        <w:t>–</w:t>
      </w:r>
      <w:r>
        <w:rPr>
          <w:rFonts w:hint="eastAsia" w:ascii="仿宋" w:hAnsi="仿宋" w:eastAsia="仿宋"/>
          <w:color w:val="auto"/>
          <w:sz w:val="28"/>
          <w:szCs w:val="28"/>
          <w:highlight w:val="none"/>
        </w:rPr>
        <w:t xml:space="preserve"> 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×100×2（或1）</w:t>
      </w:r>
    </w:p>
    <w:p w14:paraId="3F148FA3">
      <w:pPr>
        <w:spacing w:line="360" w:lineRule="auto"/>
        <w:ind w:firstLine="560" w:firstLineChars="200"/>
        <w:rPr>
          <w:rFonts w:hint="eastAsia" w:ascii="仿宋" w:hAnsi="仿宋" w:eastAsia="仿宋" w:cs="宋体"/>
          <w:b/>
          <w:color w:val="auto"/>
          <w:kern w:val="0"/>
          <w:sz w:val="28"/>
          <w:szCs w:val="28"/>
          <w:highlight w:val="none"/>
        </w:rPr>
      </w:pPr>
      <w:r>
        <w:rPr>
          <w:rFonts w:hint="eastAsia" w:ascii="仿宋" w:hAnsi="仿宋" w:eastAsia="仿宋" w:cs="宋体"/>
          <w:color w:val="auto"/>
          <w:kern w:val="0"/>
          <w:sz w:val="28"/>
          <w:szCs w:val="28"/>
          <w:highlight w:val="none"/>
        </w:rPr>
        <w:t>注：当价格分＜0时，取0。得分精确到小数点后二位。</w:t>
      </w:r>
    </w:p>
    <w:p w14:paraId="4ACBBB9A">
      <w:pPr>
        <w:spacing w:line="360" w:lineRule="auto"/>
        <w:ind w:firstLine="560" w:firstLineChars="200"/>
        <w:jc w:val="center"/>
        <w:rPr>
          <w:rFonts w:ascii="黑体" w:hAnsi="黑体" w:eastAsia="黑体"/>
          <w:color w:val="auto"/>
          <w:sz w:val="30"/>
          <w:szCs w:val="30"/>
          <w:highlight w:val="none"/>
        </w:rPr>
      </w:pPr>
      <w:r>
        <w:rPr>
          <w:rFonts w:ascii="仿宋" w:hAnsi="仿宋" w:eastAsia="仿宋" w:cs="宋体"/>
          <w:color w:val="auto"/>
          <w:kern w:val="0"/>
          <w:sz w:val="28"/>
          <w:szCs w:val="28"/>
          <w:highlight w:val="none"/>
        </w:rPr>
        <w:br w:type="page"/>
      </w:r>
      <w:r>
        <w:rPr>
          <w:rFonts w:hint="eastAsia" w:ascii="黑体" w:hAnsi="黑体" w:eastAsia="黑体"/>
          <w:color w:val="auto"/>
          <w:sz w:val="30"/>
          <w:szCs w:val="30"/>
          <w:highlight w:val="none"/>
        </w:rPr>
        <w:t>商务标评分表</w:t>
      </w:r>
    </w:p>
    <w:tbl>
      <w:tblPr>
        <w:tblStyle w:val="34"/>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2240"/>
        <w:gridCol w:w="2605"/>
        <w:gridCol w:w="3335"/>
      </w:tblGrid>
      <w:tr w14:paraId="0300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0879498F">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lang w:eastAsia="zh-CN"/>
              </w:rPr>
              <w:t>项目</w:t>
            </w:r>
            <w:r>
              <w:rPr>
                <w:rFonts w:hint="eastAsia" w:ascii="黑体" w:hAnsi="黑体" w:eastAsia="黑体" w:cs="宋体"/>
                <w:color w:val="auto"/>
                <w:kern w:val="0"/>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c>
      </w:tr>
      <w:tr w14:paraId="398C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1150DDE0">
            <w:pPr>
              <w:jc w:val="left"/>
              <w:rPr>
                <w:rFonts w:ascii="黑体" w:hAnsi="黑体" w:eastAsia="黑体" w:cs="宋体"/>
                <w:b/>
                <w:bCs/>
                <w:color w:val="auto"/>
                <w:kern w:val="0"/>
                <w:sz w:val="24"/>
                <w:szCs w:val="24"/>
                <w:highlight w:val="none"/>
              </w:rPr>
            </w:pPr>
            <w:r>
              <w:rPr>
                <w:rFonts w:hint="eastAsia" w:ascii="黑体" w:hAnsi="黑体" w:eastAsia="黑体" w:cs="宋体"/>
                <w:b/>
                <w:bCs/>
                <w:color w:val="auto"/>
                <w:kern w:val="0"/>
                <w:sz w:val="24"/>
                <w:szCs w:val="24"/>
                <w:highlight w:val="none"/>
              </w:rPr>
              <w:t>投标报价上限（元）：</w:t>
            </w:r>
          </w:p>
        </w:tc>
        <w:tc>
          <w:tcPr>
            <w:tcW w:w="3335" w:type="dxa"/>
            <w:tcBorders>
              <w:top w:val="single" w:color="auto" w:sz="4" w:space="0"/>
              <w:left w:val="nil"/>
              <w:bottom w:val="single" w:color="auto" w:sz="4" w:space="0"/>
              <w:right w:val="single" w:color="auto" w:sz="4" w:space="0"/>
            </w:tcBorders>
            <w:vAlign w:val="center"/>
          </w:tcPr>
          <w:p w14:paraId="447CB660">
            <w:pPr>
              <w:jc w:val="left"/>
              <w:rPr>
                <w:rFonts w:hint="eastAsia" w:ascii="黑体" w:hAnsi="黑体" w:eastAsia="黑体" w:cs="宋体"/>
                <w:b/>
                <w:bCs/>
                <w:color w:val="auto"/>
                <w:kern w:val="0"/>
                <w:sz w:val="24"/>
                <w:szCs w:val="24"/>
                <w:highlight w:val="none"/>
                <w:lang w:val="en-US" w:eastAsia="zh-CN"/>
              </w:rPr>
            </w:pPr>
            <w:r>
              <w:rPr>
                <w:rFonts w:hint="eastAsia" w:ascii="黑体" w:hAnsi="黑体" w:eastAsia="黑体" w:cs="宋体"/>
                <w:b/>
                <w:bCs/>
                <w:color w:val="auto"/>
                <w:kern w:val="0"/>
                <w:sz w:val="24"/>
                <w:szCs w:val="24"/>
                <w:highlight w:val="none"/>
              </w:rPr>
              <w:t>抽取下浮率：</w:t>
            </w:r>
            <w:r>
              <w:rPr>
                <w:rFonts w:hint="eastAsia" w:ascii="黑体" w:hAnsi="黑体" w:eastAsia="黑体" w:cs="宋体"/>
                <w:b/>
                <w:bCs/>
                <w:color w:val="auto"/>
                <w:kern w:val="0"/>
                <w:sz w:val="24"/>
                <w:szCs w:val="24"/>
                <w:highlight w:val="none"/>
                <w:lang w:val="en-US" w:eastAsia="zh-CN"/>
              </w:rPr>
              <w:t>/</w:t>
            </w:r>
          </w:p>
        </w:tc>
      </w:tr>
      <w:tr w14:paraId="095A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3EC736B7">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评标基准价计算规则</w:t>
            </w:r>
            <w:r>
              <w:rPr>
                <w:rFonts w:hint="eastAsia" w:ascii="黑体" w:hAnsi="黑体" w:eastAsia="黑体" w:cs="宋体"/>
                <w:color w:val="auto"/>
                <w:kern w:val="0"/>
                <w:sz w:val="24"/>
                <w:szCs w:val="24"/>
                <w:highlight w:val="none"/>
              </w:rPr>
              <w:t>：</w:t>
            </w:r>
            <w:r>
              <w:rPr>
                <w:rFonts w:hint="eastAsia" w:ascii="仿宋" w:hAnsi="仿宋" w:eastAsia="仿宋" w:cs="宋体"/>
                <w:color w:val="auto"/>
                <w:kern w:val="0"/>
                <w:szCs w:val="21"/>
                <w:highlight w:val="none"/>
              </w:rPr>
              <w:t>将通过初步评审的商务标报价按由低至高的顺序进行排序，去掉最低投标价以及最高投标价之后，再对剩余投标人的投标价取算术平均值，此算术平均值为评标基准值X1，并以X1作为评标基准价。</w:t>
            </w:r>
          </w:p>
        </w:tc>
        <w:tc>
          <w:tcPr>
            <w:tcW w:w="3335" w:type="dxa"/>
            <w:tcBorders>
              <w:top w:val="single" w:color="auto" w:sz="4" w:space="0"/>
              <w:left w:val="nil"/>
              <w:bottom w:val="single" w:color="auto" w:sz="4" w:space="0"/>
              <w:right w:val="single" w:color="auto" w:sz="4" w:space="0"/>
            </w:tcBorders>
            <w:vAlign w:val="center"/>
          </w:tcPr>
          <w:p w14:paraId="2625FD82">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评标基准价X1（元）</w:t>
            </w:r>
            <w:r>
              <w:rPr>
                <w:rFonts w:hint="eastAsia" w:ascii="黑体" w:hAnsi="黑体" w:eastAsia="黑体" w:cs="宋体"/>
                <w:color w:val="auto"/>
                <w:kern w:val="0"/>
                <w:sz w:val="24"/>
                <w:szCs w:val="24"/>
                <w:highlight w:val="none"/>
              </w:rPr>
              <w:t>：</w:t>
            </w:r>
          </w:p>
        </w:tc>
      </w:tr>
      <w:tr w14:paraId="5E22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0BDCE1D9">
            <w:pPr>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投标报价评分规则：</w:t>
            </w:r>
            <w:r>
              <w:rPr>
                <w:rFonts w:hint="eastAsia" w:ascii="仿宋" w:hAnsi="仿宋" w:eastAsia="仿宋" w:cs="宋体"/>
                <w:color w:val="auto"/>
                <w:kern w:val="0"/>
                <w:szCs w:val="21"/>
                <w:highlight w:val="none"/>
              </w:rPr>
              <w:t>投标报价等于评标基准价的得</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分；投标人投标报价（Xn）每大于评标基准价1个百分点扣2分（不足1%的部分按1%计，下同）；投标人投标报价（Xn）每小于评标基准价1个百分点扣1分。</w:t>
            </w:r>
          </w:p>
        </w:tc>
        <w:tc>
          <w:tcPr>
            <w:tcW w:w="3335" w:type="dxa"/>
            <w:tcBorders>
              <w:top w:val="single" w:color="auto" w:sz="4" w:space="0"/>
              <w:left w:val="nil"/>
              <w:bottom w:val="single" w:color="auto" w:sz="4" w:space="0"/>
              <w:right w:val="single" w:color="auto" w:sz="4" w:space="0"/>
            </w:tcBorders>
            <w:vAlign w:val="center"/>
          </w:tcPr>
          <w:p w14:paraId="0495B878">
            <w:pPr>
              <w:jc w:val="left"/>
              <w:rPr>
                <w:rFonts w:hint="eastAsia" w:ascii="仿宋" w:hAnsi="仿宋" w:eastAsia="仿宋" w:cs="宋体"/>
                <w:color w:val="auto"/>
                <w:kern w:val="0"/>
                <w:szCs w:val="21"/>
                <w:highlight w:val="none"/>
              </w:rPr>
            </w:pPr>
            <w:r>
              <w:rPr>
                <w:rFonts w:hint="eastAsia" w:ascii="黑体" w:hAnsi="黑体" w:eastAsia="黑体" w:cs="宋体"/>
                <w:b/>
                <w:bCs/>
                <w:color w:val="auto"/>
                <w:kern w:val="0"/>
                <w:sz w:val="24"/>
                <w:szCs w:val="24"/>
                <w:highlight w:val="none"/>
              </w:rPr>
              <w:t>评分公式：</w:t>
            </w:r>
            <w:r>
              <w:rPr>
                <w:rFonts w:hint="eastAsia" w:ascii="仿宋" w:hAnsi="仿宋" w:eastAsia="仿宋" w:cs="宋体"/>
                <w:color w:val="auto"/>
                <w:kern w:val="0"/>
                <w:szCs w:val="21"/>
                <w:highlight w:val="none"/>
              </w:rPr>
              <w:t>S=</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-│Xn – X1│÷X1×100×2（或1）</w:t>
            </w:r>
          </w:p>
          <w:p w14:paraId="4FC8C848">
            <w:pPr>
              <w:jc w:val="left"/>
              <w:rPr>
                <w:rFonts w:ascii="黑体" w:hAnsi="黑体" w:eastAsia="黑体" w:cs="宋体"/>
                <w:color w:val="auto"/>
                <w:kern w:val="0"/>
                <w:sz w:val="24"/>
                <w:szCs w:val="24"/>
                <w:highlight w:val="none"/>
              </w:rPr>
            </w:pPr>
            <w:r>
              <w:rPr>
                <w:rFonts w:hint="eastAsia" w:ascii="仿宋" w:hAnsi="仿宋" w:eastAsia="仿宋"/>
                <w:color w:val="auto"/>
                <w:sz w:val="24"/>
                <w:szCs w:val="24"/>
                <w:highlight w:val="none"/>
              </w:rPr>
              <w:t>注：当价格分＜0时，取0。得分精确到小数点后二位。</w:t>
            </w:r>
          </w:p>
        </w:tc>
      </w:tr>
      <w:tr w14:paraId="2560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6B15F6C">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序号</w:t>
            </w:r>
          </w:p>
        </w:tc>
        <w:tc>
          <w:tcPr>
            <w:tcW w:w="2240" w:type="dxa"/>
            <w:tcBorders>
              <w:top w:val="nil"/>
              <w:left w:val="nil"/>
              <w:bottom w:val="single" w:color="auto" w:sz="4" w:space="0"/>
              <w:right w:val="single" w:color="auto" w:sz="4" w:space="0"/>
            </w:tcBorders>
            <w:vAlign w:val="center"/>
          </w:tcPr>
          <w:p w14:paraId="0933A94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投标单位名称</w:t>
            </w:r>
          </w:p>
        </w:tc>
        <w:tc>
          <w:tcPr>
            <w:tcW w:w="2605" w:type="dxa"/>
            <w:tcBorders>
              <w:top w:val="nil"/>
              <w:left w:val="nil"/>
              <w:bottom w:val="single" w:color="auto" w:sz="4" w:space="0"/>
              <w:right w:val="single" w:color="auto" w:sz="4" w:space="0"/>
            </w:tcBorders>
            <w:vAlign w:val="center"/>
          </w:tcPr>
          <w:p w14:paraId="19F5C76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投标报价（元）</w:t>
            </w:r>
          </w:p>
        </w:tc>
        <w:tc>
          <w:tcPr>
            <w:tcW w:w="3335" w:type="dxa"/>
            <w:tcBorders>
              <w:top w:val="nil"/>
              <w:left w:val="nil"/>
              <w:bottom w:val="single" w:color="auto" w:sz="4" w:space="0"/>
              <w:right w:val="single" w:color="auto" w:sz="4" w:space="0"/>
            </w:tcBorders>
            <w:vAlign w:val="center"/>
          </w:tcPr>
          <w:p w14:paraId="003E9DA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得分S</w:t>
            </w:r>
          </w:p>
        </w:tc>
      </w:tr>
      <w:tr w14:paraId="7428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317CC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B0C31D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EB8ACCE">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FFF2A79">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7E4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7EC9EA6">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C7A3FB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022F845">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049231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2CA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D8347A2">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BBCA981">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1B507DA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70083E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18D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A56F12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AB9410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9701A3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4DA9AB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3B09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46895830">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6DFE3E5C">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6EF0F7E6">
            <w:pPr>
              <w:jc w:val="center"/>
              <w:rPr>
                <w:rFonts w:ascii="黑体" w:hAnsi="黑体" w:eastAsia="黑体" w:cs="宋体"/>
                <w:color w:val="auto"/>
                <w:kern w:val="0"/>
                <w:sz w:val="24"/>
                <w:szCs w:val="24"/>
                <w:highlight w:val="none"/>
              </w:rPr>
            </w:pPr>
          </w:p>
        </w:tc>
        <w:tc>
          <w:tcPr>
            <w:tcW w:w="3335" w:type="dxa"/>
            <w:tcBorders>
              <w:top w:val="nil"/>
              <w:left w:val="nil"/>
              <w:bottom w:val="single" w:color="auto" w:sz="4" w:space="0"/>
              <w:right w:val="single" w:color="auto" w:sz="4" w:space="0"/>
            </w:tcBorders>
            <w:vAlign w:val="center"/>
          </w:tcPr>
          <w:p w14:paraId="3CB34838">
            <w:pPr>
              <w:jc w:val="center"/>
              <w:rPr>
                <w:rFonts w:ascii="黑体" w:hAnsi="黑体" w:eastAsia="黑体" w:cs="宋体"/>
                <w:color w:val="auto"/>
                <w:kern w:val="0"/>
                <w:sz w:val="24"/>
                <w:szCs w:val="24"/>
                <w:highlight w:val="none"/>
              </w:rPr>
            </w:pPr>
          </w:p>
        </w:tc>
      </w:tr>
      <w:tr w14:paraId="3BB8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50363F9D">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36D43C84">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1B5E90B7">
            <w:pPr>
              <w:jc w:val="center"/>
              <w:rPr>
                <w:rFonts w:ascii="黑体" w:hAnsi="黑体" w:eastAsia="黑体" w:cs="宋体"/>
                <w:color w:val="auto"/>
                <w:kern w:val="0"/>
                <w:sz w:val="24"/>
                <w:szCs w:val="24"/>
                <w:highlight w:val="none"/>
              </w:rPr>
            </w:pPr>
          </w:p>
        </w:tc>
        <w:tc>
          <w:tcPr>
            <w:tcW w:w="3335" w:type="dxa"/>
            <w:tcBorders>
              <w:top w:val="single" w:color="auto" w:sz="4" w:space="0"/>
              <w:left w:val="nil"/>
              <w:bottom w:val="single" w:color="auto" w:sz="4" w:space="0"/>
              <w:right w:val="single" w:color="auto" w:sz="4" w:space="0"/>
            </w:tcBorders>
            <w:vAlign w:val="center"/>
          </w:tcPr>
          <w:p w14:paraId="28C09E3B">
            <w:pPr>
              <w:jc w:val="center"/>
              <w:rPr>
                <w:rFonts w:ascii="黑体" w:hAnsi="黑体" w:eastAsia="黑体" w:cs="宋体"/>
                <w:color w:val="auto"/>
                <w:kern w:val="0"/>
                <w:sz w:val="24"/>
                <w:szCs w:val="24"/>
                <w:highlight w:val="none"/>
              </w:rPr>
            </w:pPr>
          </w:p>
        </w:tc>
      </w:tr>
      <w:tr w14:paraId="5CB3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A45913">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1E07643B">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51F6F83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504706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574D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C4D597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3DCEB39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716B030">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718040C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E379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6196AEC4">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9573508">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EF47E13">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167F0B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07BF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12082862">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7EB30BA">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216FA379">
            <w:pPr>
              <w:rPr>
                <w:rFonts w:ascii="黑体" w:hAnsi="Verdana" w:eastAsia="黑体"/>
                <w:color w:val="auto"/>
                <w:szCs w:val="21"/>
                <w:highlight w:val="none"/>
              </w:rPr>
            </w:pPr>
          </w:p>
          <w:p w14:paraId="152BF9DF">
            <w:pPr>
              <w:jc w:val="right"/>
              <w:rPr>
                <w:rFonts w:ascii="黑体" w:hAnsi="黑体" w:eastAsia="黑体" w:cs="宋体"/>
                <w:color w:val="auto"/>
                <w:kern w:val="0"/>
                <w:sz w:val="24"/>
                <w:szCs w:val="24"/>
                <w:highlight w:val="none"/>
              </w:rPr>
            </w:pPr>
            <w:r>
              <w:rPr>
                <w:rFonts w:hint="eastAsia" w:ascii="黑体" w:hAnsi="Verdana" w:eastAsia="黑体"/>
                <w:color w:val="auto"/>
                <w:szCs w:val="21"/>
                <w:highlight w:val="none"/>
              </w:rPr>
              <w:t>日期：     年   月  日</w:t>
            </w:r>
          </w:p>
        </w:tc>
      </w:tr>
    </w:tbl>
    <w:p w14:paraId="2A95E68F">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62657B73">
      <w:pPr>
        <w:spacing w:line="360" w:lineRule="auto"/>
        <w:ind w:firstLine="560" w:firstLineChars="200"/>
        <w:rPr>
          <w:rFonts w:ascii="仿宋" w:hAnsi="仿宋" w:eastAsia="仿宋" w:cs="宋体"/>
          <w:color w:val="auto"/>
          <w:kern w:val="0"/>
          <w:sz w:val="28"/>
          <w:szCs w:val="28"/>
          <w:highlight w:val="none"/>
        </w:rPr>
      </w:pPr>
    </w:p>
    <w:p w14:paraId="4564F767">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（三）资信标评审表</w:t>
      </w:r>
    </w:p>
    <w:p w14:paraId="49A1AD7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1.资信标定量评审表</w:t>
      </w:r>
    </w:p>
    <w:p w14:paraId="14AC4B4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华文细黑" w:hAnsi="华文细黑" w:eastAsia="黑体"/>
          <w:b/>
          <w:color w:val="auto"/>
          <w:sz w:val="36"/>
          <w:highlight w:val="none"/>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0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65"/>
        <w:gridCol w:w="3990"/>
        <w:gridCol w:w="1162"/>
        <w:gridCol w:w="1134"/>
        <w:gridCol w:w="1134"/>
      </w:tblGrid>
      <w:tr w14:paraId="73D2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restart"/>
            <w:vAlign w:val="center"/>
          </w:tcPr>
          <w:p w14:paraId="676135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1065" w:type="dxa"/>
            <w:vMerge w:val="restart"/>
            <w:vAlign w:val="center"/>
          </w:tcPr>
          <w:p w14:paraId="5100FBC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评 审 内 容 及 要 求</w:t>
            </w:r>
          </w:p>
        </w:tc>
        <w:tc>
          <w:tcPr>
            <w:tcW w:w="3990" w:type="dxa"/>
            <w:vMerge w:val="restart"/>
            <w:vAlign w:val="center"/>
          </w:tcPr>
          <w:p w14:paraId="68A5EBC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分值范围</w:t>
            </w:r>
          </w:p>
        </w:tc>
        <w:tc>
          <w:tcPr>
            <w:tcW w:w="1162" w:type="dxa"/>
            <w:vAlign w:val="center"/>
          </w:tcPr>
          <w:p w14:paraId="3491CD48">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投标人1</w:t>
            </w:r>
          </w:p>
        </w:tc>
        <w:tc>
          <w:tcPr>
            <w:tcW w:w="1134" w:type="dxa"/>
            <w:vAlign w:val="center"/>
          </w:tcPr>
          <w:p w14:paraId="3B1C89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投标人2</w:t>
            </w:r>
          </w:p>
        </w:tc>
        <w:tc>
          <w:tcPr>
            <w:tcW w:w="1134" w:type="dxa"/>
            <w:vAlign w:val="center"/>
          </w:tcPr>
          <w:p w14:paraId="5EB3C07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投标人3</w:t>
            </w:r>
          </w:p>
        </w:tc>
      </w:tr>
      <w:tr w14:paraId="5B52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continue"/>
            <w:vAlign w:val="center"/>
          </w:tcPr>
          <w:p w14:paraId="029BE4D1">
            <w:pPr>
              <w:jc w:val="center"/>
              <w:rPr>
                <w:rFonts w:ascii="黑体" w:hAnsi="黑体" w:eastAsia="黑体"/>
                <w:b/>
                <w:color w:val="auto"/>
                <w:sz w:val="24"/>
                <w:szCs w:val="24"/>
                <w:highlight w:val="none"/>
              </w:rPr>
            </w:pPr>
          </w:p>
        </w:tc>
        <w:tc>
          <w:tcPr>
            <w:tcW w:w="1065" w:type="dxa"/>
            <w:vMerge w:val="continue"/>
            <w:vAlign w:val="center"/>
          </w:tcPr>
          <w:p w14:paraId="72B4F487">
            <w:pPr>
              <w:jc w:val="center"/>
              <w:rPr>
                <w:rFonts w:ascii="黑体" w:hAnsi="黑体" w:eastAsia="黑体"/>
                <w:b/>
                <w:color w:val="auto"/>
                <w:sz w:val="24"/>
                <w:szCs w:val="24"/>
                <w:highlight w:val="none"/>
              </w:rPr>
            </w:pPr>
          </w:p>
        </w:tc>
        <w:tc>
          <w:tcPr>
            <w:tcW w:w="3990" w:type="dxa"/>
            <w:vMerge w:val="continue"/>
            <w:vAlign w:val="center"/>
          </w:tcPr>
          <w:p w14:paraId="787B2A06">
            <w:pPr>
              <w:jc w:val="center"/>
              <w:rPr>
                <w:rFonts w:ascii="黑体" w:hAnsi="黑体" w:eastAsia="黑体"/>
                <w:b/>
                <w:color w:val="auto"/>
                <w:sz w:val="24"/>
                <w:szCs w:val="24"/>
                <w:highlight w:val="none"/>
              </w:rPr>
            </w:pPr>
          </w:p>
        </w:tc>
        <w:tc>
          <w:tcPr>
            <w:tcW w:w="1162" w:type="dxa"/>
            <w:vAlign w:val="center"/>
          </w:tcPr>
          <w:p w14:paraId="7D9E451B">
            <w:pPr>
              <w:jc w:val="center"/>
              <w:rPr>
                <w:rFonts w:ascii="黑体" w:hAnsi="黑体" w:eastAsia="黑体"/>
                <w:b/>
                <w:color w:val="auto"/>
                <w:sz w:val="24"/>
                <w:szCs w:val="24"/>
                <w:highlight w:val="none"/>
              </w:rPr>
            </w:pPr>
          </w:p>
        </w:tc>
        <w:tc>
          <w:tcPr>
            <w:tcW w:w="1134" w:type="dxa"/>
            <w:vAlign w:val="center"/>
          </w:tcPr>
          <w:p w14:paraId="58557C0A">
            <w:pPr>
              <w:jc w:val="center"/>
              <w:rPr>
                <w:rFonts w:ascii="黑体" w:hAnsi="黑体" w:eastAsia="黑体"/>
                <w:b/>
                <w:color w:val="auto"/>
                <w:sz w:val="24"/>
                <w:szCs w:val="24"/>
                <w:highlight w:val="none"/>
              </w:rPr>
            </w:pPr>
          </w:p>
        </w:tc>
        <w:tc>
          <w:tcPr>
            <w:tcW w:w="1134" w:type="dxa"/>
            <w:vAlign w:val="center"/>
          </w:tcPr>
          <w:p w14:paraId="04ECD189">
            <w:pPr>
              <w:jc w:val="center"/>
              <w:rPr>
                <w:rFonts w:ascii="黑体" w:hAnsi="黑体" w:eastAsia="黑体"/>
                <w:b/>
                <w:color w:val="auto"/>
                <w:sz w:val="24"/>
                <w:szCs w:val="24"/>
                <w:highlight w:val="none"/>
              </w:rPr>
            </w:pPr>
          </w:p>
        </w:tc>
      </w:tr>
      <w:tr w14:paraId="2CF9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2DBFB1A3">
            <w:pPr>
              <w:widowControl w:val="0"/>
              <w:jc w:val="center"/>
              <w:rPr>
                <w:rFonts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rPr>
              <w:t>1</w:t>
            </w:r>
          </w:p>
        </w:tc>
        <w:tc>
          <w:tcPr>
            <w:tcW w:w="1065" w:type="dxa"/>
            <w:vAlign w:val="center"/>
          </w:tcPr>
          <w:p w14:paraId="0DE3FB89">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注册</w:t>
            </w:r>
          </w:p>
          <w:p w14:paraId="10D9EA9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资金</w:t>
            </w:r>
          </w:p>
          <w:p w14:paraId="68C3EFF8">
            <w:pPr>
              <w:jc w:val="center"/>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693AAEE4">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注册资金：</w:t>
            </w:r>
          </w:p>
          <w:p w14:paraId="4446663F">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万元（含）及以上得</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p>
          <w:p w14:paraId="18CCEDE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分；</w:t>
            </w:r>
          </w:p>
          <w:p w14:paraId="52FFA46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分；</w:t>
            </w:r>
          </w:p>
          <w:p w14:paraId="20EFE397">
            <w:pPr>
              <w:adjustRightInd w:val="0"/>
              <w:snapToGrid w:val="0"/>
              <w:jc w:val="left"/>
              <w:rPr>
                <w:rFonts w:hint="eastAsia" w:ascii="黑体" w:hAnsi="黑体"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万元以下得0分</w:t>
            </w:r>
            <w:r>
              <w:rPr>
                <w:rFonts w:hint="eastAsia" w:ascii="仿宋" w:hAnsi="仿宋" w:eastAsia="仿宋" w:cs="仿宋"/>
                <w:color w:val="auto"/>
                <w:szCs w:val="21"/>
                <w:highlight w:val="none"/>
                <w:lang w:eastAsia="zh-CN"/>
              </w:rPr>
              <w:t>。</w:t>
            </w:r>
          </w:p>
        </w:tc>
        <w:tc>
          <w:tcPr>
            <w:tcW w:w="1162" w:type="dxa"/>
            <w:vAlign w:val="center"/>
          </w:tcPr>
          <w:p w14:paraId="5039A4F2">
            <w:pPr>
              <w:jc w:val="center"/>
              <w:rPr>
                <w:rFonts w:ascii="黑体" w:hAnsi="黑体" w:eastAsia="黑体"/>
                <w:color w:val="auto"/>
                <w:sz w:val="24"/>
                <w:szCs w:val="24"/>
                <w:highlight w:val="none"/>
              </w:rPr>
            </w:pPr>
          </w:p>
        </w:tc>
        <w:tc>
          <w:tcPr>
            <w:tcW w:w="1134" w:type="dxa"/>
            <w:vAlign w:val="center"/>
          </w:tcPr>
          <w:p w14:paraId="01B95103">
            <w:pPr>
              <w:jc w:val="center"/>
              <w:rPr>
                <w:rFonts w:ascii="黑体" w:hAnsi="黑体" w:eastAsia="黑体"/>
                <w:color w:val="auto"/>
                <w:sz w:val="24"/>
                <w:szCs w:val="24"/>
                <w:highlight w:val="none"/>
              </w:rPr>
            </w:pPr>
          </w:p>
        </w:tc>
        <w:tc>
          <w:tcPr>
            <w:tcW w:w="1134" w:type="dxa"/>
            <w:vAlign w:val="center"/>
          </w:tcPr>
          <w:p w14:paraId="104A5892">
            <w:pPr>
              <w:jc w:val="center"/>
              <w:rPr>
                <w:rFonts w:ascii="黑体" w:hAnsi="黑体" w:eastAsia="黑体"/>
                <w:color w:val="auto"/>
                <w:sz w:val="24"/>
                <w:szCs w:val="24"/>
                <w:highlight w:val="none"/>
              </w:rPr>
            </w:pPr>
          </w:p>
        </w:tc>
      </w:tr>
      <w:tr w14:paraId="7045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exact"/>
        </w:trPr>
        <w:tc>
          <w:tcPr>
            <w:tcW w:w="588" w:type="dxa"/>
            <w:vAlign w:val="center"/>
          </w:tcPr>
          <w:p w14:paraId="647340E8">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2</w:t>
            </w:r>
          </w:p>
        </w:tc>
        <w:tc>
          <w:tcPr>
            <w:tcW w:w="1065" w:type="dxa"/>
            <w:vAlign w:val="center"/>
          </w:tcPr>
          <w:p w14:paraId="623117DD">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合作案例</w:t>
            </w:r>
          </w:p>
          <w:p w14:paraId="7EA1EF35">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（4分）</w:t>
            </w:r>
          </w:p>
        </w:tc>
        <w:tc>
          <w:tcPr>
            <w:tcW w:w="3990" w:type="dxa"/>
            <w:vAlign w:val="center"/>
          </w:tcPr>
          <w:p w14:paraId="476E8D04">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szCs w:val="21"/>
                <w:highlight w:val="none"/>
              </w:rPr>
              <w:t>截至</w:t>
            </w:r>
            <w:r>
              <w:rPr>
                <w:rFonts w:hint="eastAsia" w:ascii="仿宋" w:hAnsi="仿宋" w:eastAsia="仿宋" w:cs="仿宋"/>
                <w:color w:val="auto"/>
                <w:szCs w:val="21"/>
                <w:highlight w:val="none"/>
                <w:lang w:val="en-US" w:eastAsia="zh-CN"/>
              </w:rPr>
              <w:t>开标之日</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投标单位具有合同有效期内，年度合同金额100万元（含）以上的保洁外包服务项目，每个项目得1分，满分4分。（投标单位必须提供合同复印件关键页并加盖公章）</w:t>
            </w:r>
          </w:p>
        </w:tc>
        <w:tc>
          <w:tcPr>
            <w:tcW w:w="1162" w:type="dxa"/>
            <w:vAlign w:val="center"/>
          </w:tcPr>
          <w:p w14:paraId="276E2EF8">
            <w:pPr>
              <w:jc w:val="center"/>
              <w:rPr>
                <w:rFonts w:ascii="黑体" w:hAnsi="黑体" w:eastAsia="黑体"/>
                <w:color w:val="auto"/>
                <w:sz w:val="24"/>
                <w:szCs w:val="24"/>
                <w:highlight w:val="none"/>
              </w:rPr>
            </w:pPr>
          </w:p>
        </w:tc>
        <w:tc>
          <w:tcPr>
            <w:tcW w:w="1134" w:type="dxa"/>
            <w:vAlign w:val="center"/>
          </w:tcPr>
          <w:p w14:paraId="6B746631">
            <w:pPr>
              <w:jc w:val="center"/>
              <w:rPr>
                <w:rFonts w:ascii="黑体" w:hAnsi="黑体" w:eastAsia="黑体"/>
                <w:color w:val="auto"/>
                <w:sz w:val="24"/>
                <w:szCs w:val="24"/>
                <w:highlight w:val="none"/>
              </w:rPr>
            </w:pPr>
          </w:p>
        </w:tc>
        <w:tc>
          <w:tcPr>
            <w:tcW w:w="1134" w:type="dxa"/>
            <w:vAlign w:val="center"/>
          </w:tcPr>
          <w:p w14:paraId="00540121">
            <w:pPr>
              <w:jc w:val="center"/>
              <w:rPr>
                <w:rFonts w:ascii="黑体" w:hAnsi="黑体" w:eastAsia="黑体"/>
                <w:color w:val="auto"/>
                <w:sz w:val="24"/>
                <w:szCs w:val="24"/>
                <w:highlight w:val="none"/>
              </w:rPr>
            </w:pPr>
          </w:p>
        </w:tc>
      </w:tr>
      <w:tr w14:paraId="6D14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749A4D1D">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3</w:t>
            </w:r>
          </w:p>
        </w:tc>
        <w:tc>
          <w:tcPr>
            <w:tcW w:w="1065" w:type="dxa"/>
            <w:vAlign w:val="center"/>
          </w:tcPr>
          <w:p w14:paraId="20EC7FD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资质</w:t>
            </w:r>
          </w:p>
          <w:p w14:paraId="36B0C44F">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0B865696">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1、截至发标之日，近三年内获得过服务企业的优秀服务证书、获得服务企业关颁发的奖励或表扬等，满分2分，每个得1分。</w:t>
            </w:r>
          </w:p>
          <w:p w14:paraId="4EAE9F2B">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2、通过质量管理体系认证、环境管理体系认证、职业健康安全管理体系认证，满足2个及以上，得：1分。</w:t>
            </w:r>
          </w:p>
        </w:tc>
        <w:tc>
          <w:tcPr>
            <w:tcW w:w="1162" w:type="dxa"/>
            <w:vAlign w:val="center"/>
          </w:tcPr>
          <w:p w14:paraId="13409C79">
            <w:pPr>
              <w:jc w:val="center"/>
              <w:rPr>
                <w:rFonts w:ascii="黑体" w:hAnsi="黑体" w:eastAsia="黑体"/>
                <w:color w:val="auto"/>
                <w:sz w:val="24"/>
                <w:szCs w:val="24"/>
                <w:highlight w:val="none"/>
              </w:rPr>
            </w:pPr>
          </w:p>
        </w:tc>
        <w:tc>
          <w:tcPr>
            <w:tcW w:w="1134" w:type="dxa"/>
            <w:vAlign w:val="center"/>
          </w:tcPr>
          <w:p w14:paraId="3BBA76FD">
            <w:pPr>
              <w:jc w:val="center"/>
              <w:rPr>
                <w:rFonts w:ascii="黑体" w:hAnsi="黑体" w:eastAsia="黑体"/>
                <w:color w:val="auto"/>
                <w:sz w:val="24"/>
                <w:szCs w:val="24"/>
                <w:highlight w:val="none"/>
              </w:rPr>
            </w:pPr>
          </w:p>
        </w:tc>
        <w:tc>
          <w:tcPr>
            <w:tcW w:w="1134" w:type="dxa"/>
            <w:vAlign w:val="center"/>
          </w:tcPr>
          <w:p w14:paraId="595349AC">
            <w:pPr>
              <w:jc w:val="center"/>
              <w:rPr>
                <w:rFonts w:ascii="黑体" w:hAnsi="黑体" w:eastAsia="黑体"/>
                <w:color w:val="auto"/>
                <w:sz w:val="24"/>
                <w:szCs w:val="24"/>
                <w:highlight w:val="none"/>
              </w:rPr>
            </w:pPr>
          </w:p>
        </w:tc>
      </w:tr>
      <w:tr w14:paraId="0199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dxa"/>
            <w:vAlign w:val="center"/>
          </w:tcPr>
          <w:p w14:paraId="6051E052">
            <w:pPr>
              <w:jc w:val="center"/>
              <w:rPr>
                <w:rFonts w:ascii="黑体" w:hAnsi="黑体" w:eastAsia="黑体"/>
                <w:color w:val="auto"/>
                <w:sz w:val="28"/>
                <w:szCs w:val="28"/>
                <w:highlight w:val="none"/>
              </w:rPr>
            </w:pPr>
          </w:p>
        </w:tc>
        <w:tc>
          <w:tcPr>
            <w:tcW w:w="1065" w:type="dxa"/>
            <w:vAlign w:val="center"/>
          </w:tcPr>
          <w:p w14:paraId="647C6696">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合  计  分</w:t>
            </w:r>
          </w:p>
        </w:tc>
        <w:tc>
          <w:tcPr>
            <w:tcW w:w="3990" w:type="dxa"/>
            <w:vAlign w:val="center"/>
          </w:tcPr>
          <w:p w14:paraId="19E0CBC4">
            <w:pPr>
              <w:jc w:val="center"/>
              <w:rPr>
                <w:rStyle w:val="37"/>
                <w:rFonts w:ascii="黑体" w:hAnsi="黑体" w:eastAsia="黑体"/>
                <w:i w:val="0"/>
                <w:color w:val="auto"/>
                <w:highlight w:val="none"/>
              </w:rPr>
            </w:pPr>
            <w:r>
              <w:rPr>
                <w:rFonts w:hint="eastAsia" w:ascii="黑体" w:hAnsi="黑体" w:eastAsia="黑体"/>
                <w:b/>
                <w:color w:val="auto"/>
                <w:sz w:val="24"/>
                <w:szCs w:val="24"/>
                <w:highlight w:val="none"/>
              </w:rPr>
              <w:t>10</w:t>
            </w:r>
          </w:p>
        </w:tc>
        <w:tc>
          <w:tcPr>
            <w:tcW w:w="1162" w:type="dxa"/>
            <w:vAlign w:val="center"/>
          </w:tcPr>
          <w:p w14:paraId="2D6635D4">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31115</wp:posOffset>
                      </wp:positionV>
                      <wp:extent cx="707390" cy="370840"/>
                      <wp:effectExtent l="3810" t="6985" r="12700" b="22225"/>
                      <wp:wrapNone/>
                      <wp:docPr id="1" name="自选图形 3"/>
                      <wp:cNvGraphicFramePr/>
                      <a:graphic xmlns:a="http://schemas.openxmlformats.org/drawingml/2006/main">
                        <a:graphicData uri="http://schemas.microsoft.com/office/word/2010/wordprocessingShape">
                          <wps:wsp>
                            <wps:cNvCnPr/>
                            <wps:spPr>
                              <a:xfrm>
                                <a:off x="0" y="0"/>
                                <a:ext cx="707390" cy="37084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3" o:spid="_x0000_s1026" o:spt="32" type="#_x0000_t32" style="position:absolute;left:0pt;margin-left:-4.25pt;margin-top:2.45pt;height:29.2pt;width:55.7pt;z-index:251659264;mso-width-relative:page;mso-height-relative:page;" filled="f" stroked="t" coordsize="21600,21600" o:gfxdata="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Oo329YAAAAHAQAADwAAAAAAAAABACAAAAAiAAAAZHJzL2Rvd25y&#10;ZXYueG1sUEsBAhQAFAAAAAgAh07iQMfRJU0AAgAA9AMAAA4AAAAAAAAAAQAgAAAAJQEAAGRycy9l&#10;Mm9Eb2MueG1sUEsFBgAAAAAGAAYAWQEAAJcFAAAAAA==&#10;">
                      <v:fill on="f" focussize="0,0"/>
                      <v:stroke weight="1.25pt" color="#000000" joinstyle="round"/>
                      <v:imagedata o:title=""/>
                      <o:lock v:ext="edit" aspectratio="f"/>
                    </v:shape>
                  </w:pict>
                </mc:Fallback>
              </mc:AlternateContent>
            </w:r>
          </w:p>
        </w:tc>
        <w:tc>
          <w:tcPr>
            <w:tcW w:w="1134" w:type="dxa"/>
            <w:vAlign w:val="center"/>
          </w:tcPr>
          <w:p w14:paraId="73103FB2">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7620</wp:posOffset>
                      </wp:positionV>
                      <wp:extent cx="714375" cy="361950"/>
                      <wp:effectExtent l="3810" t="6985" r="5715" b="12065"/>
                      <wp:wrapNone/>
                      <wp:docPr id="2" name="自选图形 4"/>
                      <wp:cNvGraphicFramePr/>
                      <a:graphic xmlns:a="http://schemas.openxmlformats.org/drawingml/2006/main">
                        <a:graphicData uri="http://schemas.microsoft.com/office/word/2010/wordprocessingShape">
                          <wps:wsp>
                            <wps:cNvCnPr/>
                            <wps:spPr>
                              <a:xfrm>
                                <a:off x="0" y="0"/>
                                <a:ext cx="714375" cy="36195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4" o:spid="_x0000_s1026" o:spt="32" type="#_x0000_t32" style="position:absolute;left:0pt;margin-left:-4.85pt;margin-top:0.6pt;height:28.5pt;width:56.25pt;z-index:251660288;mso-width-relative:page;mso-height-relative:page;" filled="f" stroked="t" coordsize="21600,21600" o:gfxdata="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422XXWAAAABwEAAA8AAAAAAAAAAQAgAAAAIgAAAGRycy9kb3du&#10;cmV2LnhtbFBLAQIUABQAAAAIAIdO4kD1k3gpAQIAAPQDAAAOAAAAAAAAAAEAIAAAACUBAABkcnMv&#10;ZTJvRG9jLnhtbFBLBQYAAAAABgAGAFkBAACYBQAAAAA=&#10;">
                      <v:fill on="f" focussize="0,0"/>
                      <v:stroke weight="1.25pt" color="#000000" joinstyle="round"/>
                      <v:imagedata o:title=""/>
                      <o:lock v:ext="edit" aspectratio="f"/>
                    </v:shape>
                  </w:pict>
                </mc:Fallback>
              </mc:AlternateContent>
            </w:r>
          </w:p>
        </w:tc>
        <w:tc>
          <w:tcPr>
            <w:tcW w:w="1134" w:type="dxa"/>
            <w:vAlign w:val="center"/>
          </w:tcPr>
          <w:p w14:paraId="5DBC5E2E">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-3810</wp:posOffset>
                      </wp:positionV>
                      <wp:extent cx="666750" cy="352425"/>
                      <wp:effectExtent l="3810" t="6985" r="15240" b="21590"/>
                      <wp:wrapNone/>
                      <wp:docPr id="3" name="自选图形 5"/>
                      <wp:cNvGraphicFramePr/>
                      <a:graphic xmlns:a="http://schemas.openxmlformats.org/drawingml/2006/main">
                        <a:graphicData uri="http://schemas.microsoft.com/office/word/2010/wordprocessingShape">
                          <wps:wsp>
                            <wps:cNvCnPr/>
                            <wps:spPr>
                              <a:xfrm>
                                <a:off x="0" y="0"/>
                                <a:ext cx="666750" cy="352425"/>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5" o:spid="_x0000_s1026" o:spt="32" type="#_x0000_t32" style="position:absolute;left:0pt;margin-left:-4.35pt;margin-top:-0.3pt;height:27.75pt;width:52.5pt;z-index:251661312;mso-width-relative:page;mso-height-relative:page;" filled="f" stroked="t" coordsize="21600,21600" o:gfxdata="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Smw+/WAAAABgEAAA8AAAAAAAAAAQAgAAAAIgAAAGRycy9kb3du&#10;cmV2LnhtbFBLAQIUABQAAAAIAIdO4kCDIsUCAQIAAPQDAAAOAAAAAAAAAAEAIAAAACUBAABkcnMv&#10;ZTJvRG9jLnhtbFBLBQYAAAAABgAGAFkBAACYBQAAAAA=&#10;">
                      <v:fill on="f" focussize="0,0"/>
                      <v:stroke weight="1.25pt" color="#000000" joinstyle="round"/>
                      <v:imagedata o:title=""/>
                      <o:lock v:ext="edit" aspectratio="f"/>
                    </v:shape>
                  </w:pict>
                </mc:Fallback>
              </mc:AlternateContent>
            </w:r>
          </w:p>
        </w:tc>
      </w:tr>
      <w:tr w14:paraId="6636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43" w:type="dxa"/>
            <w:gridSpan w:val="3"/>
            <w:vAlign w:val="center"/>
          </w:tcPr>
          <w:p w14:paraId="575199B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c>
          <w:tcPr>
            <w:tcW w:w="1162" w:type="dxa"/>
            <w:vAlign w:val="center"/>
          </w:tcPr>
          <w:p w14:paraId="7A6116E0">
            <w:pPr>
              <w:jc w:val="center"/>
              <w:rPr>
                <w:rFonts w:ascii="黑体" w:hAnsi="黑体" w:eastAsia="黑体"/>
                <w:color w:val="auto"/>
                <w:sz w:val="28"/>
                <w:szCs w:val="28"/>
                <w:highlight w:val="none"/>
              </w:rPr>
            </w:pPr>
          </w:p>
        </w:tc>
        <w:tc>
          <w:tcPr>
            <w:tcW w:w="1134" w:type="dxa"/>
            <w:vAlign w:val="center"/>
          </w:tcPr>
          <w:p w14:paraId="314F393C">
            <w:pPr>
              <w:jc w:val="center"/>
              <w:rPr>
                <w:rFonts w:ascii="黑体" w:hAnsi="黑体" w:eastAsia="黑体"/>
                <w:color w:val="auto"/>
                <w:sz w:val="28"/>
                <w:szCs w:val="28"/>
                <w:highlight w:val="none"/>
              </w:rPr>
            </w:pPr>
          </w:p>
        </w:tc>
        <w:tc>
          <w:tcPr>
            <w:tcW w:w="1134" w:type="dxa"/>
            <w:vAlign w:val="center"/>
          </w:tcPr>
          <w:p w14:paraId="5F6EC91B">
            <w:pPr>
              <w:jc w:val="center"/>
              <w:rPr>
                <w:rFonts w:ascii="黑体" w:hAnsi="黑体" w:eastAsia="黑体"/>
                <w:color w:val="auto"/>
                <w:sz w:val="28"/>
                <w:szCs w:val="28"/>
                <w:highlight w:val="none"/>
              </w:rPr>
            </w:pPr>
          </w:p>
        </w:tc>
      </w:tr>
      <w:tr w14:paraId="53E0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9073" w:type="dxa"/>
            <w:gridSpan w:val="6"/>
            <w:vAlign w:val="center"/>
          </w:tcPr>
          <w:p w14:paraId="714AA0E5">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691A8B80">
            <w:pPr>
              <w:jc w:val="center"/>
              <w:rPr>
                <w:rFonts w:ascii="黑体" w:hAnsi="黑体" w:eastAsia="黑体"/>
                <w:b/>
                <w:color w:val="auto"/>
                <w:sz w:val="24"/>
                <w:szCs w:val="24"/>
                <w:highlight w:val="none"/>
              </w:rPr>
            </w:pPr>
          </w:p>
          <w:p w14:paraId="16C71166">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19CDB390">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1DE2D030">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1.招标人必须明确评审项目的评分标准。</w:t>
      </w:r>
    </w:p>
    <w:p w14:paraId="09C16B53">
      <w:pPr>
        <w:spacing w:line="360" w:lineRule="auto"/>
        <w:ind w:firstLine="420" w:firstLineChars="200"/>
        <w:jc w:val="center"/>
        <w:rPr>
          <w:rFonts w:ascii="宋体"/>
          <w:color w:val="auto"/>
          <w:szCs w:val="21"/>
          <w:highlight w:val="none"/>
        </w:rPr>
        <w:sectPr>
          <w:headerReference r:id="rId11" w:type="default"/>
          <w:footerReference r:id="rId12" w:type="default"/>
          <w:pgSz w:w="12240" w:h="15840"/>
          <w:pgMar w:top="1440" w:right="1797" w:bottom="1440" w:left="1797" w:header="720" w:footer="720" w:gutter="0"/>
          <w:pgNumType w:fmt="decimal"/>
          <w:cols w:space="720" w:num="1"/>
        </w:sectPr>
      </w:pPr>
    </w:p>
    <w:p w14:paraId="2075C21D">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（四）评分汇总表</w:t>
      </w:r>
    </w:p>
    <w:p w14:paraId="0B4C14A1">
      <w:pPr>
        <w:spacing w:line="360" w:lineRule="auto"/>
        <w:jc w:val="left"/>
        <w:rPr>
          <w:rFonts w:ascii="黑体" w:hAnsi="黑体" w:eastAsia="黑体"/>
          <w:b/>
          <w:color w:val="auto"/>
          <w:sz w:val="36"/>
          <w:highlight w:val="none"/>
        </w:rPr>
      </w:pPr>
      <w:r>
        <w:rPr>
          <w:rFonts w:hint="eastAsia" w:ascii="黑体" w:hAnsi="黑体" w:eastAsia="黑体"/>
          <w:b/>
          <w:color w:val="auto"/>
          <w:sz w:val="24"/>
          <w:szCs w:val="24"/>
          <w:highlight w:val="none"/>
          <w:lang w:eastAsia="zh-CN"/>
        </w:rPr>
        <w:t>项目</w:t>
      </w:r>
      <w:r>
        <w:rPr>
          <w:rFonts w:hint="eastAsia" w:ascii="黑体" w:hAnsi="黑体" w:eastAsia="黑体"/>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1304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44"/>
        <w:gridCol w:w="1134"/>
        <w:gridCol w:w="1134"/>
        <w:gridCol w:w="1134"/>
        <w:gridCol w:w="1134"/>
        <w:gridCol w:w="1134"/>
        <w:gridCol w:w="1276"/>
        <w:gridCol w:w="1843"/>
      </w:tblGrid>
      <w:tr w14:paraId="736E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restart"/>
            <w:vAlign w:val="center"/>
          </w:tcPr>
          <w:p w14:paraId="39BFCC2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3544" w:type="dxa"/>
            <w:vMerge w:val="restart"/>
            <w:vAlign w:val="center"/>
          </w:tcPr>
          <w:p w14:paraId="65F15E2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投标人名称</w:t>
            </w:r>
          </w:p>
        </w:tc>
        <w:tc>
          <w:tcPr>
            <w:tcW w:w="2268" w:type="dxa"/>
            <w:gridSpan w:val="2"/>
            <w:vAlign w:val="center"/>
          </w:tcPr>
          <w:p w14:paraId="5900EB7D">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技术标</w:t>
            </w:r>
          </w:p>
        </w:tc>
        <w:tc>
          <w:tcPr>
            <w:tcW w:w="2268" w:type="dxa"/>
            <w:gridSpan w:val="2"/>
            <w:vAlign w:val="center"/>
          </w:tcPr>
          <w:p w14:paraId="50CADE5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商务标</w:t>
            </w:r>
          </w:p>
        </w:tc>
        <w:tc>
          <w:tcPr>
            <w:tcW w:w="2410" w:type="dxa"/>
            <w:gridSpan w:val="2"/>
            <w:vAlign w:val="center"/>
          </w:tcPr>
          <w:p w14:paraId="4E80C8F1">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资信标</w:t>
            </w:r>
          </w:p>
        </w:tc>
        <w:tc>
          <w:tcPr>
            <w:tcW w:w="1843" w:type="dxa"/>
            <w:vAlign w:val="center"/>
          </w:tcPr>
          <w:p w14:paraId="0D80ACD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r>
      <w:tr w14:paraId="40AC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continue"/>
            <w:vAlign w:val="center"/>
          </w:tcPr>
          <w:p w14:paraId="01C587D1">
            <w:pPr>
              <w:jc w:val="center"/>
              <w:rPr>
                <w:rFonts w:ascii="黑体" w:hAnsi="黑体" w:eastAsia="黑体"/>
                <w:b/>
                <w:color w:val="auto"/>
                <w:sz w:val="24"/>
                <w:szCs w:val="24"/>
                <w:highlight w:val="none"/>
              </w:rPr>
            </w:pPr>
          </w:p>
        </w:tc>
        <w:tc>
          <w:tcPr>
            <w:tcW w:w="3544" w:type="dxa"/>
            <w:vMerge w:val="continue"/>
            <w:vAlign w:val="center"/>
          </w:tcPr>
          <w:p w14:paraId="3D5A0B69">
            <w:pPr>
              <w:jc w:val="center"/>
              <w:rPr>
                <w:rFonts w:ascii="黑体" w:hAnsi="黑体" w:eastAsia="黑体"/>
                <w:b/>
                <w:color w:val="auto"/>
                <w:sz w:val="24"/>
                <w:szCs w:val="24"/>
                <w:highlight w:val="none"/>
              </w:rPr>
            </w:pPr>
          </w:p>
        </w:tc>
        <w:tc>
          <w:tcPr>
            <w:tcW w:w="1134" w:type="dxa"/>
            <w:vAlign w:val="center"/>
          </w:tcPr>
          <w:p w14:paraId="2D7947E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得分J</w:t>
            </w:r>
          </w:p>
        </w:tc>
        <w:tc>
          <w:tcPr>
            <w:tcW w:w="1134" w:type="dxa"/>
            <w:vAlign w:val="center"/>
          </w:tcPr>
          <w:p w14:paraId="356038E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1</w:t>
            </w:r>
          </w:p>
        </w:tc>
        <w:tc>
          <w:tcPr>
            <w:tcW w:w="1134" w:type="dxa"/>
            <w:vAlign w:val="center"/>
          </w:tcPr>
          <w:p w14:paraId="60AF62E3">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得分S</w:t>
            </w:r>
          </w:p>
        </w:tc>
        <w:tc>
          <w:tcPr>
            <w:tcW w:w="1134" w:type="dxa"/>
            <w:vAlign w:val="center"/>
          </w:tcPr>
          <w:p w14:paraId="114813EA">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2</w:t>
            </w:r>
          </w:p>
        </w:tc>
        <w:tc>
          <w:tcPr>
            <w:tcW w:w="1134" w:type="dxa"/>
            <w:vAlign w:val="center"/>
          </w:tcPr>
          <w:p w14:paraId="543A594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得分Z</w:t>
            </w:r>
          </w:p>
        </w:tc>
        <w:tc>
          <w:tcPr>
            <w:tcW w:w="1276" w:type="dxa"/>
            <w:vAlign w:val="center"/>
          </w:tcPr>
          <w:p w14:paraId="1E823D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3</w:t>
            </w:r>
          </w:p>
        </w:tc>
        <w:tc>
          <w:tcPr>
            <w:tcW w:w="1843" w:type="dxa"/>
            <w:vAlign w:val="center"/>
          </w:tcPr>
          <w:p w14:paraId="465E45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N</w:t>
            </w:r>
          </w:p>
        </w:tc>
      </w:tr>
      <w:tr w14:paraId="0F9F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FEC0664">
            <w:pPr>
              <w:widowControl w:val="0"/>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1.</w:t>
            </w:r>
          </w:p>
        </w:tc>
        <w:tc>
          <w:tcPr>
            <w:tcW w:w="3544" w:type="dxa"/>
            <w:vAlign w:val="center"/>
          </w:tcPr>
          <w:p w14:paraId="52A5C16A">
            <w:pPr>
              <w:jc w:val="center"/>
              <w:rPr>
                <w:rFonts w:ascii="黑体" w:hAnsi="黑体" w:eastAsia="黑体"/>
                <w:color w:val="auto"/>
                <w:sz w:val="24"/>
                <w:szCs w:val="24"/>
                <w:highlight w:val="none"/>
              </w:rPr>
            </w:pPr>
          </w:p>
        </w:tc>
        <w:tc>
          <w:tcPr>
            <w:tcW w:w="1134" w:type="dxa"/>
            <w:vAlign w:val="top"/>
          </w:tcPr>
          <w:p w14:paraId="5B69E3D6">
            <w:pPr>
              <w:jc w:val="center"/>
              <w:rPr>
                <w:rFonts w:ascii="黑体" w:hAnsi="黑体" w:eastAsia="黑体"/>
                <w:color w:val="auto"/>
                <w:sz w:val="24"/>
                <w:szCs w:val="24"/>
                <w:highlight w:val="none"/>
              </w:rPr>
            </w:pPr>
          </w:p>
        </w:tc>
        <w:tc>
          <w:tcPr>
            <w:tcW w:w="1134" w:type="dxa"/>
            <w:vAlign w:val="top"/>
          </w:tcPr>
          <w:p w14:paraId="1E5DCE29">
            <w:pPr>
              <w:jc w:val="center"/>
              <w:rPr>
                <w:rFonts w:ascii="黑体" w:hAnsi="黑体" w:eastAsia="黑体"/>
                <w:color w:val="auto"/>
                <w:sz w:val="24"/>
                <w:szCs w:val="24"/>
                <w:highlight w:val="none"/>
              </w:rPr>
            </w:pPr>
          </w:p>
        </w:tc>
        <w:tc>
          <w:tcPr>
            <w:tcW w:w="1134" w:type="dxa"/>
            <w:vAlign w:val="top"/>
          </w:tcPr>
          <w:p w14:paraId="4234107F">
            <w:pPr>
              <w:jc w:val="center"/>
              <w:rPr>
                <w:rFonts w:ascii="黑体" w:hAnsi="黑体" w:eastAsia="黑体"/>
                <w:color w:val="auto"/>
                <w:sz w:val="24"/>
                <w:szCs w:val="24"/>
                <w:highlight w:val="none"/>
              </w:rPr>
            </w:pPr>
          </w:p>
        </w:tc>
        <w:tc>
          <w:tcPr>
            <w:tcW w:w="1134" w:type="dxa"/>
            <w:vAlign w:val="center"/>
          </w:tcPr>
          <w:p w14:paraId="370E5C69">
            <w:pPr>
              <w:jc w:val="center"/>
              <w:rPr>
                <w:rFonts w:ascii="黑体" w:hAnsi="黑体" w:eastAsia="黑体"/>
                <w:color w:val="auto"/>
                <w:sz w:val="24"/>
                <w:szCs w:val="24"/>
                <w:highlight w:val="none"/>
              </w:rPr>
            </w:pPr>
          </w:p>
        </w:tc>
        <w:tc>
          <w:tcPr>
            <w:tcW w:w="1134" w:type="dxa"/>
            <w:vAlign w:val="top"/>
          </w:tcPr>
          <w:p w14:paraId="31633D06">
            <w:pPr>
              <w:jc w:val="center"/>
              <w:rPr>
                <w:rFonts w:ascii="黑体" w:hAnsi="黑体" w:eastAsia="黑体"/>
                <w:color w:val="auto"/>
                <w:sz w:val="24"/>
                <w:szCs w:val="24"/>
                <w:highlight w:val="none"/>
              </w:rPr>
            </w:pPr>
          </w:p>
        </w:tc>
        <w:tc>
          <w:tcPr>
            <w:tcW w:w="1276" w:type="dxa"/>
            <w:vAlign w:val="center"/>
          </w:tcPr>
          <w:p w14:paraId="1B2B8728">
            <w:pPr>
              <w:jc w:val="center"/>
              <w:rPr>
                <w:rFonts w:ascii="黑体" w:hAnsi="黑体" w:eastAsia="黑体"/>
                <w:color w:val="auto"/>
                <w:sz w:val="24"/>
                <w:szCs w:val="24"/>
                <w:highlight w:val="none"/>
              </w:rPr>
            </w:pPr>
          </w:p>
        </w:tc>
        <w:tc>
          <w:tcPr>
            <w:tcW w:w="1843" w:type="dxa"/>
            <w:vAlign w:val="center"/>
          </w:tcPr>
          <w:p w14:paraId="779C0719">
            <w:pPr>
              <w:jc w:val="center"/>
              <w:rPr>
                <w:rFonts w:ascii="黑体" w:hAnsi="黑体" w:eastAsia="黑体"/>
                <w:color w:val="auto"/>
                <w:sz w:val="24"/>
                <w:szCs w:val="24"/>
                <w:highlight w:val="none"/>
              </w:rPr>
            </w:pPr>
          </w:p>
        </w:tc>
      </w:tr>
      <w:tr w14:paraId="6D73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553D1157">
            <w:pPr>
              <w:widowControl w:val="0"/>
              <w:jc w:val="center"/>
              <w:rPr>
                <w:rFonts w:ascii="黑体" w:hAnsi="黑体" w:eastAsia="黑体"/>
                <w:color w:val="auto"/>
                <w:sz w:val="24"/>
                <w:szCs w:val="24"/>
                <w:highlight w:val="none"/>
              </w:rPr>
            </w:pPr>
          </w:p>
        </w:tc>
        <w:tc>
          <w:tcPr>
            <w:tcW w:w="3544" w:type="dxa"/>
            <w:vAlign w:val="center"/>
          </w:tcPr>
          <w:p w14:paraId="3AFD6D39">
            <w:pPr>
              <w:jc w:val="center"/>
              <w:rPr>
                <w:rFonts w:ascii="黑体" w:hAnsi="黑体" w:eastAsia="黑体"/>
                <w:color w:val="auto"/>
                <w:sz w:val="24"/>
                <w:szCs w:val="24"/>
                <w:highlight w:val="none"/>
              </w:rPr>
            </w:pPr>
          </w:p>
        </w:tc>
        <w:tc>
          <w:tcPr>
            <w:tcW w:w="1134" w:type="dxa"/>
            <w:vAlign w:val="top"/>
          </w:tcPr>
          <w:p w14:paraId="0F981339">
            <w:pPr>
              <w:jc w:val="center"/>
              <w:rPr>
                <w:rFonts w:ascii="黑体" w:hAnsi="黑体" w:eastAsia="黑体"/>
                <w:color w:val="auto"/>
                <w:sz w:val="24"/>
                <w:szCs w:val="24"/>
                <w:highlight w:val="none"/>
              </w:rPr>
            </w:pPr>
          </w:p>
        </w:tc>
        <w:tc>
          <w:tcPr>
            <w:tcW w:w="1134" w:type="dxa"/>
            <w:vAlign w:val="top"/>
          </w:tcPr>
          <w:p w14:paraId="68F87E97">
            <w:pPr>
              <w:jc w:val="center"/>
              <w:rPr>
                <w:rFonts w:ascii="黑体" w:hAnsi="黑体" w:eastAsia="黑体"/>
                <w:color w:val="auto"/>
                <w:sz w:val="24"/>
                <w:szCs w:val="24"/>
                <w:highlight w:val="none"/>
              </w:rPr>
            </w:pPr>
          </w:p>
        </w:tc>
        <w:tc>
          <w:tcPr>
            <w:tcW w:w="1134" w:type="dxa"/>
            <w:vAlign w:val="top"/>
          </w:tcPr>
          <w:p w14:paraId="7C952465">
            <w:pPr>
              <w:jc w:val="center"/>
              <w:rPr>
                <w:rFonts w:ascii="黑体" w:hAnsi="黑体" w:eastAsia="黑体"/>
                <w:color w:val="auto"/>
                <w:sz w:val="24"/>
                <w:szCs w:val="24"/>
                <w:highlight w:val="none"/>
              </w:rPr>
            </w:pPr>
          </w:p>
        </w:tc>
        <w:tc>
          <w:tcPr>
            <w:tcW w:w="1134" w:type="dxa"/>
            <w:vAlign w:val="center"/>
          </w:tcPr>
          <w:p w14:paraId="54111DA0">
            <w:pPr>
              <w:jc w:val="center"/>
              <w:rPr>
                <w:rFonts w:ascii="黑体" w:hAnsi="黑体" w:eastAsia="黑体"/>
                <w:color w:val="auto"/>
                <w:sz w:val="24"/>
                <w:szCs w:val="24"/>
                <w:highlight w:val="none"/>
              </w:rPr>
            </w:pPr>
          </w:p>
        </w:tc>
        <w:tc>
          <w:tcPr>
            <w:tcW w:w="1134" w:type="dxa"/>
            <w:vAlign w:val="top"/>
          </w:tcPr>
          <w:p w14:paraId="66E92533">
            <w:pPr>
              <w:jc w:val="center"/>
              <w:rPr>
                <w:rFonts w:ascii="黑体" w:hAnsi="黑体" w:eastAsia="黑体"/>
                <w:color w:val="auto"/>
                <w:sz w:val="24"/>
                <w:szCs w:val="24"/>
                <w:highlight w:val="none"/>
              </w:rPr>
            </w:pPr>
          </w:p>
        </w:tc>
        <w:tc>
          <w:tcPr>
            <w:tcW w:w="1276" w:type="dxa"/>
            <w:vAlign w:val="center"/>
          </w:tcPr>
          <w:p w14:paraId="299A668F">
            <w:pPr>
              <w:jc w:val="center"/>
              <w:rPr>
                <w:rFonts w:ascii="黑体" w:hAnsi="黑体" w:eastAsia="黑体"/>
                <w:color w:val="auto"/>
                <w:sz w:val="24"/>
                <w:szCs w:val="24"/>
                <w:highlight w:val="none"/>
              </w:rPr>
            </w:pPr>
          </w:p>
        </w:tc>
        <w:tc>
          <w:tcPr>
            <w:tcW w:w="1843" w:type="dxa"/>
            <w:vAlign w:val="center"/>
          </w:tcPr>
          <w:p w14:paraId="4F0FBA42">
            <w:pPr>
              <w:jc w:val="center"/>
              <w:rPr>
                <w:rFonts w:ascii="黑体" w:hAnsi="黑体" w:eastAsia="黑体"/>
                <w:color w:val="auto"/>
                <w:sz w:val="24"/>
                <w:szCs w:val="24"/>
                <w:highlight w:val="none"/>
              </w:rPr>
            </w:pPr>
          </w:p>
        </w:tc>
      </w:tr>
      <w:tr w14:paraId="26D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248F00F4">
            <w:pPr>
              <w:widowControl w:val="0"/>
              <w:jc w:val="center"/>
              <w:rPr>
                <w:rFonts w:ascii="黑体" w:hAnsi="黑体" w:eastAsia="黑体"/>
                <w:color w:val="auto"/>
                <w:sz w:val="24"/>
                <w:szCs w:val="24"/>
                <w:highlight w:val="none"/>
              </w:rPr>
            </w:pPr>
          </w:p>
        </w:tc>
        <w:tc>
          <w:tcPr>
            <w:tcW w:w="3544" w:type="dxa"/>
            <w:vAlign w:val="center"/>
          </w:tcPr>
          <w:p w14:paraId="29810A37">
            <w:pPr>
              <w:jc w:val="center"/>
              <w:rPr>
                <w:rFonts w:ascii="黑体" w:hAnsi="黑体" w:eastAsia="黑体"/>
                <w:color w:val="auto"/>
                <w:sz w:val="24"/>
                <w:szCs w:val="24"/>
                <w:highlight w:val="none"/>
              </w:rPr>
            </w:pPr>
          </w:p>
        </w:tc>
        <w:tc>
          <w:tcPr>
            <w:tcW w:w="1134" w:type="dxa"/>
            <w:vAlign w:val="top"/>
          </w:tcPr>
          <w:p w14:paraId="03FB1A96">
            <w:pPr>
              <w:jc w:val="center"/>
              <w:rPr>
                <w:rFonts w:ascii="黑体" w:hAnsi="黑体" w:eastAsia="黑体"/>
                <w:color w:val="auto"/>
                <w:sz w:val="24"/>
                <w:szCs w:val="24"/>
                <w:highlight w:val="none"/>
              </w:rPr>
            </w:pPr>
          </w:p>
        </w:tc>
        <w:tc>
          <w:tcPr>
            <w:tcW w:w="1134" w:type="dxa"/>
            <w:vAlign w:val="top"/>
          </w:tcPr>
          <w:p w14:paraId="18ED35CF">
            <w:pPr>
              <w:jc w:val="center"/>
              <w:rPr>
                <w:rFonts w:ascii="黑体" w:hAnsi="黑体" w:eastAsia="黑体"/>
                <w:color w:val="auto"/>
                <w:sz w:val="24"/>
                <w:szCs w:val="24"/>
                <w:highlight w:val="none"/>
              </w:rPr>
            </w:pPr>
          </w:p>
        </w:tc>
        <w:tc>
          <w:tcPr>
            <w:tcW w:w="1134" w:type="dxa"/>
            <w:vAlign w:val="top"/>
          </w:tcPr>
          <w:p w14:paraId="64177F8F">
            <w:pPr>
              <w:jc w:val="center"/>
              <w:rPr>
                <w:rFonts w:ascii="黑体" w:hAnsi="黑体" w:eastAsia="黑体"/>
                <w:color w:val="auto"/>
                <w:sz w:val="24"/>
                <w:szCs w:val="24"/>
                <w:highlight w:val="none"/>
              </w:rPr>
            </w:pPr>
          </w:p>
        </w:tc>
        <w:tc>
          <w:tcPr>
            <w:tcW w:w="1134" w:type="dxa"/>
            <w:vAlign w:val="center"/>
          </w:tcPr>
          <w:p w14:paraId="767EA633">
            <w:pPr>
              <w:jc w:val="center"/>
              <w:rPr>
                <w:rFonts w:ascii="黑体" w:hAnsi="黑体" w:eastAsia="黑体"/>
                <w:color w:val="auto"/>
                <w:sz w:val="24"/>
                <w:szCs w:val="24"/>
                <w:highlight w:val="none"/>
              </w:rPr>
            </w:pPr>
          </w:p>
        </w:tc>
        <w:tc>
          <w:tcPr>
            <w:tcW w:w="1134" w:type="dxa"/>
            <w:vAlign w:val="top"/>
          </w:tcPr>
          <w:p w14:paraId="3755EA05">
            <w:pPr>
              <w:jc w:val="center"/>
              <w:rPr>
                <w:rFonts w:ascii="黑体" w:hAnsi="黑体" w:eastAsia="黑体"/>
                <w:color w:val="auto"/>
                <w:sz w:val="24"/>
                <w:szCs w:val="24"/>
                <w:highlight w:val="none"/>
              </w:rPr>
            </w:pPr>
          </w:p>
        </w:tc>
        <w:tc>
          <w:tcPr>
            <w:tcW w:w="1276" w:type="dxa"/>
            <w:vAlign w:val="center"/>
          </w:tcPr>
          <w:p w14:paraId="31B52188">
            <w:pPr>
              <w:jc w:val="center"/>
              <w:rPr>
                <w:rFonts w:ascii="黑体" w:hAnsi="黑体" w:eastAsia="黑体"/>
                <w:color w:val="auto"/>
                <w:sz w:val="24"/>
                <w:szCs w:val="24"/>
                <w:highlight w:val="none"/>
              </w:rPr>
            </w:pPr>
          </w:p>
        </w:tc>
        <w:tc>
          <w:tcPr>
            <w:tcW w:w="1843" w:type="dxa"/>
            <w:vAlign w:val="center"/>
          </w:tcPr>
          <w:p w14:paraId="085FD310">
            <w:pPr>
              <w:jc w:val="center"/>
              <w:rPr>
                <w:rFonts w:ascii="黑体" w:hAnsi="黑体" w:eastAsia="黑体"/>
                <w:color w:val="auto"/>
                <w:sz w:val="24"/>
                <w:szCs w:val="24"/>
                <w:highlight w:val="none"/>
              </w:rPr>
            </w:pPr>
          </w:p>
        </w:tc>
      </w:tr>
      <w:tr w14:paraId="604F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E893ECB">
            <w:pPr>
              <w:widowControl w:val="0"/>
              <w:jc w:val="center"/>
              <w:rPr>
                <w:rFonts w:ascii="黑体" w:hAnsi="黑体" w:eastAsia="黑体"/>
                <w:color w:val="auto"/>
                <w:sz w:val="24"/>
                <w:szCs w:val="24"/>
                <w:highlight w:val="none"/>
              </w:rPr>
            </w:pPr>
          </w:p>
        </w:tc>
        <w:tc>
          <w:tcPr>
            <w:tcW w:w="3544" w:type="dxa"/>
            <w:vAlign w:val="center"/>
          </w:tcPr>
          <w:p w14:paraId="4A82DCF3">
            <w:pPr>
              <w:jc w:val="center"/>
              <w:rPr>
                <w:rFonts w:ascii="黑体" w:hAnsi="黑体" w:eastAsia="黑体"/>
                <w:color w:val="auto"/>
                <w:sz w:val="24"/>
                <w:szCs w:val="24"/>
                <w:highlight w:val="none"/>
              </w:rPr>
            </w:pPr>
          </w:p>
        </w:tc>
        <w:tc>
          <w:tcPr>
            <w:tcW w:w="1134" w:type="dxa"/>
            <w:vAlign w:val="top"/>
          </w:tcPr>
          <w:p w14:paraId="353FF6E4">
            <w:pPr>
              <w:jc w:val="center"/>
              <w:rPr>
                <w:rFonts w:ascii="黑体" w:hAnsi="黑体" w:eastAsia="黑体"/>
                <w:color w:val="auto"/>
                <w:sz w:val="24"/>
                <w:szCs w:val="24"/>
                <w:highlight w:val="none"/>
              </w:rPr>
            </w:pPr>
          </w:p>
        </w:tc>
        <w:tc>
          <w:tcPr>
            <w:tcW w:w="1134" w:type="dxa"/>
            <w:vAlign w:val="top"/>
          </w:tcPr>
          <w:p w14:paraId="3C882DA4">
            <w:pPr>
              <w:jc w:val="center"/>
              <w:rPr>
                <w:rFonts w:ascii="黑体" w:hAnsi="黑体" w:eastAsia="黑体"/>
                <w:color w:val="auto"/>
                <w:sz w:val="24"/>
                <w:szCs w:val="24"/>
                <w:highlight w:val="none"/>
              </w:rPr>
            </w:pPr>
          </w:p>
        </w:tc>
        <w:tc>
          <w:tcPr>
            <w:tcW w:w="1134" w:type="dxa"/>
            <w:vAlign w:val="top"/>
          </w:tcPr>
          <w:p w14:paraId="1E022658">
            <w:pPr>
              <w:jc w:val="center"/>
              <w:rPr>
                <w:rFonts w:ascii="黑体" w:hAnsi="黑体" w:eastAsia="黑体"/>
                <w:color w:val="auto"/>
                <w:sz w:val="24"/>
                <w:szCs w:val="24"/>
                <w:highlight w:val="none"/>
              </w:rPr>
            </w:pPr>
          </w:p>
        </w:tc>
        <w:tc>
          <w:tcPr>
            <w:tcW w:w="1134" w:type="dxa"/>
            <w:vAlign w:val="center"/>
          </w:tcPr>
          <w:p w14:paraId="026E30ED">
            <w:pPr>
              <w:jc w:val="center"/>
              <w:rPr>
                <w:rFonts w:ascii="黑体" w:hAnsi="黑体" w:eastAsia="黑体"/>
                <w:color w:val="auto"/>
                <w:sz w:val="24"/>
                <w:szCs w:val="24"/>
                <w:highlight w:val="none"/>
              </w:rPr>
            </w:pPr>
          </w:p>
        </w:tc>
        <w:tc>
          <w:tcPr>
            <w:tcW w:w="1134" w:type="dxa"/>
            <w:vAlign w:val="top"/>
          </w:tcPr>
          <w:p w14:paraId="7224635D">
            <w:pPr>
              <w:jc w:val="center"/>
              <w:rPr>
                <w:rFonts w:ascii="黑体" w:hAnsi="黑体" w:eastAsia="黑体"/>
                <w:color w:val="auto"/>
                <w:sz w:val="24"/>
                <w:szCs w:val="24"/>
                <w:highlight w:val="none"/>
              </w:rPr>
            </w:pPr>
          </w:p>
        </w:tc>
        <w:tc>
          <w:tcPr>
            <w:tcW w:w="1276" w:type="dxa"/>
            <w:vAlign w:val="center"/>
          </w:tcPr>
          <w:p w14:paraId="363DB0A7">
            <w:pPr>
              <w:jc w:val="center"/>
              <w:rPr>
                <w:rFonts w:ascii="黑体" w:hAnsi="黑体" w:eastAsia="黑体"/>
                <w:color w:val="auto"/>
                <w:sz w:val="24"/>
                <w:szCs w:val="24"/>
                <w:highlight w:val="none"/>
              </w:rPr>
            </w:pPr>
          </w:p>
        </w:tc>
        <w:tc>
          <w:tcPr>
            <w:tcW w:w="1843" w:type="dxa"/>
            <w:vAlign w:val="center"/>
          </w:tcPr>
          <w:p w14:paraId="71DC9911">
            <w:pPr>
              <w:jc w:val="center"/>
              <w:rPr>
                <w:rFonts w:ascii="黑体" w:hAnsi="黑体" w:eastAsia="黑体"/>
                <w:color w:val="auto"/>
                <w:sz w:val="24"/>
                <w:szCs w:val="24"/>
                <w:highlight w:val="none"/>
              </w:rPr>
            </w:pPr>
          </w:p>
        </w:tc>
      </w:tr>
      <w:tr w14:paraId="5AE0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68E09FC9">
            <w:pPr>
              <w:widowControl w:val="0"/>
              <w:jc w:val="center"/>
              <w:rPr>
                <w:rFonts w:ascii="黑体" w:hAnsi="黑体" w:eastAsia="黑体"/>
                <w:color w:val="auto"/>
                <w:sz w:val="24"/>
                <w:szCs w:val="24"/>
                <w:highlight w:val="none"/>
              </w:rPr>
            </w:pPr>
          </w:p>
        </w:tc>
        <w:tc>
          <w:tcPr>
            <w:tcW w:w="3544" w:type="dxa"/>
            <w:vAlign w:val="center"/>
          </w:tcPr>
          <w:p w14:paraId="62562C2F">
            <w:pPr>
              <w:jc w:val="center"/>
              <w:rPr>
                <w:rFonts w:ascii="黑体" w:hAnsi="黑体" w:eastAsia="黑体"/>
                <w:color w:val="auto"/>
                <w:sz w:val="24"/>
                <w:szCs w:val="24"/>
                <w:highlight w:val="none"/>
              </w:rPr>
            </w:pPr>
          </w:p>
        </w:tc>
        <w:tc>
          <w:tcPr>
            <w:tcW w:w="1134" w:type="dxa"/>
            <w:vAlign w:val="top"/>
          </w:tcPr>
          <w:p w14:paraId="1B182081">
            <w:pPr>
              <w:jc w:val="center"/>
              <w:rPr>
                <w:rFonts w:ascii="黑体" w:hAnsi="黑体" w:eastAsia="黑体"/>
                <w:color w:val="auto"/>
                <w:sz w:val="24"/>
                <w:szCs w:val="24"/>
                <w:highlight w:val="none"/>
              </w:rPr>
            </w:pPr>
          </w:p>
        </w:tc>
        <w:tc>
          <w:tcPr>
            <w:tcW w:w="1134" w:type="dxa"/>
            <w:vAlign w:val="top"/>
          </w:tcPr>
          <w:p w14:paraId="7C9B3733">
            <w:pPr>
              <w:jc w:val="center"/>
              <w:rPr>
                <w:rFonts w:ascii="黑体" w:hAnsi="黑体" w:eastAsia="黑体"/>
                <w:color w:val="auto"/>
                <w:sz w:val="24"/>
                <w:szCs w:val="24"/>
                <w:highlight w:val="none"/>
              </w:rPr>
            </w:pPr>
          </w:p>
        </w:tc>
        <w:tc>
          <w:tcPr>
            <w:tcW w:w="1134" w:type="dxa"/>
            <w:vAlign w:val="top"/>
          </w:tcPr>
          <w:p w14:paraId="757C41D6">
            <w:pPr>
              <w:jc w:val="center"/>
              <w:rPr>
                <w:rFonts w:ascii="黑体" w:hAnsi="黑体" w:eastAsia="黑体"/>
                <w:color w:val="auto"/>
                <w:sz w:val="24"/>
                <w:szCs w:val="24"/>
                <w:highlight w:val="none"/>
              </w:rPr>
            </w:pPr>
          </w:p>
        </w:tc>
        <w:tc>
          <w:tcPr>
            <w:tcW w:w="1134" w:type="dxa"/>
            <w:vAlign w:val="center"/>
          </w:tcPr>
          <w:p w14:paraId="2E23DD63">
            <w:pPr>
              <w:jc w:val="center"/>
              <w:rPr>
                <w:rFonts w:ascii="黑体" w:hAnsi="黑体" w:eastAsia="黑体"/>
                <w:color w:val="auto"/>
                <w:sz w:val="24"/>
                <w:szCs w:val="24"/>
                <w:highlight w:val="none"/>
              </w:rPr>
            </w:pPr>
          </w:p>
        </w:tc>
        <w:tc>
          <w:tcPr>
            <w:tcW w:w="1134" w:type="dxa"/>
            <w:vAlign w:val="top"/>
          </w:tcPr>
          <w:p w14:paraId="3F73CD7A">
            <w:pPr>
              <w:jc w:val="center"/>
              <w:rPr>
                <w:rFonts w:ascii="黑体" w:hAnsi="黑体" w:eastAsia="黑体"/>
                <w:color w:val="auto"/>
                <w:sz w:val="24"/>
                <w:szCs w:val="24"/>
                <w:highlight w:val="none"/>
              </w:rPr>
            </w:pPr>
          </w:p>
        </w:tc>
        <w:tc>
          <w:tcPr>
            <w:tcW w:w="1276" w:type="dxa"/>
            <w:vAlign w:val="center"/>
          </w:tcPr>
          <w:p w14:paraId="07078139">
            <w:pPr>
              <w:jc w:val="center"/>
              <w:rPr>
                <w:rFonts w:ascii="黑体" w:hAnsi="黑体" w:eastAsia="黑体"/>
                <w:color w:val="auto"/>
                <w:sz w:val="24"/>
                <w:szCs w:val="24"/>
                <w:highlight w:val="none"/>
              </w:rPr>
            </w:pPr>
          </w:p>
        </w:tc>
        <w:tc>
          <w:tcPr>
            <w:tcW w:w="1843" w:type="dxa"/>
            <w:vAlign w:val="center"/>
          </w:tcPr>
          <w:p w14:paraId="148D8AB4">
            <w:pPr>
              <w:jc w:val="center"/>
              <w:rPr>
                <w:rFonts w:ascii="黑体" w:hAnsi="黑体" w:eastAsia="黑体"/>
                <w:color w:val="auto"/>
                <w:sz w:val="24"/>
                <w:szCs w:val="24"/>
                <w:highlight w:val="none"/>
              </w:rPr>
            </w:pPr>
          </w:p>
        </w:tc>
      </w:tr>
      <w:tr w14:paraId="2A88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exact"/>
        </w:trPr>
        <w:tc>
          <w:tcPr>
            <w:tcW w:w="13042" w:type="dxa"/>
            <w:gridSpan w:val="9"/>
            <w:vAlign w:val="center"/>
          </w:tcPr>
          <w:p w14:paraId="60277D7D">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5D45F0B6">
            <w:pPr>
              <w:jc w:val="center"/>
              <w:rPr>
                <w:rFonts w:ascii="黑体" w:hAnsi="黑体" w:eastAsia="黑体"/>
                <w:b/>
                <w:color w:val="auto"/>
                <w:sz w:val="24"/>
                <w:szCs w:val="24"/>
                <w:highlight w:val="none"/>
              </w:rPr>
            </w:pPr>
          </w:p>
          <w:p w14:paraId="3545BFC2">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0167CC68">
      <w:pPr>
        <w:adjustRightInd w:val="0"/>
        <w:snapToGrid w:val="0"/>
        <w:spacing w:line="360" w:lineRule="auto"/>
        <w:ind w:firstLine="482" w:firstLineChars="200"/>
        <w:rPr>
          <w:rFonts w:ascii="黑体" w:hAnsi="黑体" w:eastAsia="黑体"/>
          <w:b/>
          <w:color w:val="auto"/>
          <w:kern w:val="0"/>
          <w:sz w:val="24"/>
          <w:szCs w:val="24"/>
          <w:highlight w:val="none"/>
        </w:rPr>
      </w:pPr>
      <w:r>
        <w:rPr>
          <w:rFonts w:hint="eastAsia" w:ascii="黑体" w:hAnsi="黑体" w:eastAsia="黑体"/>
          <w:b/>
          <w:color w:val="auto"/>
          <w:kern w:val="0"/>
          <w:sz w:val="24"/>
          <w:szCs w:val="24"/>
          <w:highlight w:val="none"/>
        </w:rPr>
        <w:t>备注：</w:t>
      </w:r>
    </w:p>
    <w:p w14:paraId="332072C3">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1.本</w:t>
      </w:r>
      <w:r>
        <w:rPr>
          <w:rFonts w:hint="eastAsia" w:ascii="黑体" w:eastAsia="黑体"/>
          <w:color w:val="auto"/>
          <w:szCs w:val="21"/>
          <w:highlight w:val="none"/>
          <w:lang w:eastAsia="zh-CN"/>
        </w:rPr>
        <w:t>项目</w:t>
      </w:r>
      <w:r>
        <w:rPr>
          <w:rFonts w:hint="eastAsia" w:ascii="黑体" w:eastAsia="黑体"/>
          <w:color w:val="auto"/>
          <w:szCs w:val="21"/>
          <w:highlight w:val="none"/>
        </w:rPr>
        <w:t>采用的评标方法为：</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5BA4FB57">
      <w:pPr>
        <w:adjustRightInd w:val="0"/>
        <w:snapToGrid w:val="0"/>
        <w:spacing w:line="360" w:lineRule="auto"/>
        <w:ind w:firstLine="420"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r>
        <w:rPr>
          <w:rFonts w:hint="eastAsia" w:ascii="黑体" w:eastAsia="黑体"/>
          <w:color w:val="auto"/>
          <w:szCs w:val="21"/>
          <w:highlight w:val="none"/>
        </w:rPr>
        <w:t>2.综合得分N=</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00933603">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（五）其他开评标表格</w:t>
      </w:r>
    </w:p>
    <w:p w14:paraId="43F15A05">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1.开标情况记录表</w:t>
      </w:r>
    </w:p>
    <w:p w14:paraId="5E0C8E6E">
      <w:pPr>
        <w:keepNext w:val="0"/>
        <w:keepLines w:val="0"/>
        <w:pageBreakBefore w:val="0"/>
        <w:widowControl/>
        <w:kinsoku/>
        <w:wordWrap/>
        <w:overflowPunct/>
        <w:topLinePunct w:val="0"/>
        <w:autoSpaceDE/>
        <w:autoSpaceDN/>
        <w:bidi w:val="0"/>
        <w:adjustRightInd/>
        <w:snapToGrid/>
        <w:spacing w:line="320" w:lineRule="exact"/>
        <w:ind w:firstLine="482" w:firstLineChars="200"/>
        <w:jc w:val="left"/>
        <w:textAlignment w:val="auto"/>
        <w:rPr>
          <w:rFonts w:ascii="黑体" w:hAnsi="黑体" w:eastAsia="黑体"/>
          <w:color w:val="auto"/>
          <w:sz w:val="36"/>
          <w:highlight w:val="none"/>
          <w:u w:val="single"/>
        </w:rPr>
      </w:pPr>
      <w:r>
        <w:rPr>
          <w:rFonts w:hint="eastAsia" w:ascii="仿宋" w:hAnsi="仿宋" w:eastAsia="仿宋"/>
          <w:b/>
          <w:color w:val="auto"/>
          <w:sz w:val="24"/>
          <w:szCs w:val="24"/>
          <w:highlight w:val="none"/>
          <w:lang w:val="en-US" w:eastAsia="zh-CN"/>
        </w:rPr>
        <w:t>项目名称：精品34区/会展中心，精品5区、精品6区，招商行政中心(含案场)、巴南华府云邸/明昱阁项目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88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95"/>
        <w:gridCol w:w="1477"/>
        <w:gridCol w:w="1477"/>
        <w:gridCol w:w="1477"/>
        <w:gridCol w:w="1477"/>
      </w:tblGrid>
      <w:tr w14:paraId="0A3D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D8FBD83">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序号</w:t>
            </w:r>
          </w:p>
        </w:tc>
        <w:tc>
          <w:tcPr>
            <w:tcW w:w="1995" w:type="dxa"/>
            <w:vAlign w:val="center"/>
          </w:tcPr>
          <w:p w14:paraId="7A7D1BD4">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投标人名称</w:t>
            </w:r>
          </w:p>
        </w:tc>
        <w:tc>
          <w:tcPr>
            <w:tcW w:w="1477" w:type="dxa"/>
            <w:vAlign w:val="center"/>
          </w:tcPr>
          <w:p w14:paraId="3BB5EF82">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投标报价（元）</w:t>
            </w:r>
          </w:p>
        </w:tc>
        <w:tc>
          <w:tcPr>
            <w:tcW w:w="1477" w:type="dxa"/>
            <w:vAlign w:val="center"/>
          </w:tcPr>
          <w:p w14:paraId="2491681E">
            <w:pPr>
              <w:jc w:val="center"/>
              <w:rPr>
                <w:rFonts w:hint="default" w:ascii="黑体" w:hAnsi="黑体" w:eastAsia="黑体"/>
                <w:color w:val="auto"/>
                <w:sz w:val="24"/>
                <w:szCs w:val="24"/>
                <w:highlight w:val="none"/>
                <w:lang w:val="en-US" w:eastAsia="zh-CN"/>
              </w:rPr>
            </w:pPr>
            <w:r>
              <w:rPr>
                <w:rFonts w:hint="eastAsia" w:ascii="黑体" w:hAnsi="黑体" w:eastAsia="黑体"/>
                <w:color w:val="auto"/>
                <w:sz w:val="24"/>
                <w:szCs w:val="24"/>
                <w:highlight w:val="none"/>
                <w:lang w:val="en-US" w:eastAsia="zh-CN"/>
              </w:rPr>
              <w:t>服务期限</w:t>
            </w:r>
          </w:p>
        </w:tc>
        <w:tc>
          <w:tcPr>
            <w:tcW w:w="1477" w:type="dxa"/>
            <w:vAlign w:val="center"/>
          </w:tcPr>
          <w:p w14:paraId="5379656F">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投标人确认</w:t>
            </w:r>
          </w:p>
        </w:tc>
        <w:tc>
          <w:tcPr>
            <w:tcW w:w="1477" w:type="dxa"/>
            <w:vAlign w:val="center"/>
          </w:tcPr>
          <w:p w14:paraId="244479C7">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备注</w:t>
            </w:r>
          </w:p>
        </w:tc>
      </w:tr>
      <w:tr w14:paraId="264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7147E34">
            <w:pPr>
              <w:spacing w:line="360" w:lineRule="auto"/>
              <w:jc w:val="center"/>
              <w:rPr>
                <w:rFonts w:ascii="黑体" w:hAnsi="黑体" w:eastAsia="黑体"/>
                <w:b/>
                <w:color w:val="auto"/>
                <w:sz w:val="24"/>
                <w:szCs w:val="24"/>
                <w:highlight w:val="none"/>
              </w:rPr>
            </w:pPr>
          </w:p>
        </w:tc>
        <w:tc>
          <w:tcPr>
            <w:tcW w:w="1995" w:type="dxa"/>
            <w:vAlign w:val="center"/>
          </w:tcPr>
          <w:p w14:paraId="244055BE">
            <w:pPr>
              <w:spacing w:line="360" w:lineRule="auto"/>
              <w:jc w:val="center"/>
              <w:rPr>
                <w:rFonts w:ascii="黑体" w:hAnsi="黑体" w:eastAsia="黑体"/>
                <w:b/>
                <w:color w:val="auto"/>
                <w:sz w:val="24"/>
                <w:szCs w:val="24"/>
                <w:highlight w:val="none"/>
              </w:rPr>
            </w:pPr>
          </w:p>
        </w:tc>
        <w:tc>
          <w:tcPr>
            <w:tcW w:w="1477" w:type="dxa"/>
            <w:vAlign w:val="center"/>
          </w:tcPr>
          <w:p w14:paraId="5A19A567">
            <w:pPr>
              <w:spacing w:line="360" w:lineRule="auto"/>
              <w:jc w:val="center"/>
              <w:rPr>
                <w:rFonts w:ascii="黑体" w:hAnsi="黑体" w:eastAsia="黑体"/>
                <w:b/>
                <w:color w:val="auto"/>
                <w:sz w:val="24"/>
                <w:szCs w:val="24"/>
                <w:highlight w:val="none"/>
              </w:rPr>
            </w:pPr>
          </w:p>
        </w:tc>
        <w:tc>
          <w:tcPr>
            <w:tcW w:w="1477" w:type="dxa"/>
            <w:vAlign w:val="center"/>
          </w:tcPr>
          <w:p w14:paraId="3D90A293">
            <w:pPr>
              <w:spacing w:line="360" w:lineRule="auto"/>
              <w:jc w:val="center"/>
              <w:rPr>
                <w:rFonts w:ascii="黑体" w:hAnsi="黑体" w:eastAsia="黑体"/>
                <w:b/>
                <w:color w:val="auto"/>
                <w:sz w:val="24"/>
                <w:szCs w:val="24"/>
                <w:highlight w:val="none"/>
              </w:rPr>
            </w:pPr>
          </w:p>
        </w:tc>
        <w:tc>
          <w:tcPr>
            <w:tcW w:w="1477" w:type="dxa"/>
            <w:vAlign w:val="center"/>
          </w:tcPr>
          <w:p w14:paraId="185D54E7">
            <w:pPr>
              <w:spacing w:line="360" w:lineRule="auto"/>
              <w:jc w:val="center"/>
              <w:rPr>
                <w:rFonts w:ascii="黑体" w:hAnsi="黑体" w:eastAsia="黑体"/>
                <w:b/>
                <w:color w:val="auto"/>
                <w:sz w:val="24"/>
                <w:szCs w:val="24"/>
                <w:highlight w:val="none"/>
              </w:rPr>
            </w:pPr>
          </w:p>
        </w:tc>
        <w:tc>
          <w:tcPr>
            <w:tcW w:w="1477" w:type="dxa"/>
            <w:vAlign w:val="center"/>
          </w:tcPr>
          <w:p w14:paraId="11FF0BFA">
            <w:pPr>
              <w:spacing w:line="360" w:lineRule="auto"/>
              <w:jc w:val="center"/>
              <w:rPr>
                <w:rFonts w:ascii="黑体" w:hAnsi="黑体" w:eastAsia="黑体"/>
                <w:b/>
                <w:color w:val="auto"/>
                <w:sz w:val="24"/>
                <w:szCs w:val="24"/>
                <w:highlight w:val="none"/>
              </w:rPr>
            </w:pPr>
          </w:p>
        </w:tc>
      </w:tr>
      <w:tr w14:paraId="6130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59B088B">
            <w:pPr>
              <w:spacing w:line="360" w:lineRule="auto"/>
              <w:jc w:val="center"/>
              <w:rPr>
                <w:rFonts w:ascii="黑体" w:hAnsi="黑体" w:eastAsia="黑体"/>
                <w:b/>
                <w:color w:val="auto"/>
                <w:sz w:val="24"/>
                <w:szCs w:val="24"/>
                <w:highlight w:val="none"/>
              </w:rPr>
            </w:pPr>
          </w:p>
        </w:tc>
        <w:tc>
          <w:tcPr>
            <w:tcW w:w="1995" w:type="dxa"/>
            <w:vAlign w:val="center"/>
          </w:tcPr>
          <w:p w14:paraId="4D948582">
            <w:pPr>
              <w:spacing w:line="360" w:lineRule="auto"/>
              <w:jc w:val="center"/>
              <w:rPr>
                <w:rFonts w:ascii="黑体" w:hAnsi="黑体" w:eastAsia="黑体"/>
                <w:b/>
                <w:color w:val="auto"/>
                <w:sz w:val="24"/>
                <w:szCs w:val="24"/>
                <w:highlight w:val="none"/>
              </w:rPr>
            </w:pPr>
          </w:p>
        </w:tc>
        <w:tc>
          <w:tcPr>
            <w:tcW w:w="1477" w:type="dxa"/>
            <w:vAlign w:val="center"/>
          </w:tcPr>
          <w:p w14:paraId="275698FD">
            <w:pPr>
              <w:spacing w:line="360" w:lineRule="auto"/>
              <w:jc w:val="center"/>
              <w:rPr>
                <w:rFonts w:ascii="黑体" w:hAnsi="黑体" w:eastAsia="黑体"/>
                <w:b/>
                <w:color w:val="auto"/>
                <w:sz w:val="24"/>
                <w:szCs w:val="24"/>
                <w:highlight w:val="none"/>
              </w:rPr>
            </w:pPr>
          </w:p>
        </w:tc>
        <w:tc>
          <w:tcPr>
            <w:tcW w:w="1477" w:type="dxa"/>
            <w:vAlign w:val="center"/>
          </w:tcPr>
          <w:p w14:paraId="4863CF7C">
            <w:pPr>
              <w:spacing w:line="360" w:lineRule="auto"/>
              <w:jc w:val="center"/>
              <w:rPr>
                <w:rFonts w:ascii="黑体" w:hAnsi="黑体" w:eastAsia="黑体"/>
                <w:b/>
                <w:color w:val="auto"/>
                <w:sz w:val="24"/>
                <w:szCs w:val="24"/>
                <w:highlight w:val="none"/>
              </w:rPr>
            </w:pPr>
          </w:p>
        </w:tc>
        <w:tc>
          <w:tcPr>
            <w:tcW w:w="1477" w:type="dxa"/>
            <w:vAlign w:val="center"/>
          </w:tcPr>
          <w:p w14:paraId="62F5FEDA">
            <w:pPr>
              <w:spacing w:line="360" w:lineRule="auto"/>
              <w:jc w:val="center"/>
              <w:rPr>
                <w:rFonts w:ascii="黑体" w:hAnsi="黑体" w:eastAsia="黑体"/>
                <w:b/>
                <w:color w:val="auto"/>
                <w:sz w:val="24"/>
                <w:szCs w:val="24"/>
                <w:highlight w:val="none"/>
              </w:rPr>
            </w:pPr>
          </w:p>
        </w:tc>
        <w:tc>
          <w:tcPr>
            <w:tcW w:w="1477" w:type="dxa"/>
            <w:vAlign w:val="center"/>
          </w:tcPr>
          <w:p w14:paraId="6A450EFF">
            <w:pPr>
              <w:spacing w:line="360" w:lineRule="auto"/>
              <w:jc w:val="center"/>
              <w:rPr>
                <w:rFonts w:ascii="黑体" w:hAnsi="黑体" w:eastAsia="黑体"/>
                <w:b/>
                <w:color w:val="auto"/>
                <w:sz w:val="24"/>
                <w:szCs w:val="24"/>
                <w:highlight w:val="none"/>
              </w:rPr>
            </w:pPr>
          </w:p>
        </w:tc>
      </w:tr>
      <w:tr w14:paraId="0CAE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59EBBF17">
            <w:pPr>
              <w:spacing w:line="360" w:lineRule="auto"/>
              <w:jc w:val="center"/>
              <w:rPr>
                <w:rFonts w:ascii="黑体" w:hAnsi="黑体" w:eastAsia="黑体"/>
                <w:b/>
                <w:color w:val="auto"/>
                <w:sz w:val="24"/>
                <w:szCs w:val="24"/>
                <w:highlight w:val="none"/>
              </w:rPr>
            </w:pPr>
          </w:p>
        </w:tc>
        <w:tc>
          <w:tcPr>
            <w:tcW w:w="1995" w:type="dxa"/>
            <w:vAlign w:val="center"/>
          </w:tcPr>
          <w:p w14:paraId="456EC55F">
            <w:pPr>
              <w:spacing w:line="360" w:lineRule="auto"/>
              <w:jc w:val="center"/>
              <w:rPr>
                <w:rFonts w:ascii="黑体" w:hAnsi="黑体" w:eastAsia="黑体"/>
                <w:b/>
                <w:color w:val="auto"/>
                <w:sz w:val="24"/>
                <w:szCs w:val="24"/>
                <w:highlight w:val="none"/>
              </w:rPr>
            </w:pPr>
          </w:p>
        </w:tc>
        <w:tc>
          <w:tcPr>
            <w:tcW w:w="1477" w:type="dxa"/>
            <w:vAlign w:val="center"/>
          </w:tcPr>
          <w:p w14:paraId="1352CC34">
            <w:pPr>
              <w:spacing w:line="360" w:lineRule="auto"/>
              <w:jc w:val="center"/>
              <w:rPr>
                <w:rFonts w:ascii="黑体" w:hAnsi="黑体" w:eastAsia="黑体"/>
                <w:b/>
                <w:color w:val="auto"/>
                <w:sz w:val="24"/>
                <w:szCs w:val="24"/>
                <w:highlight w:val="none"/>
              </w:rPr>
            </w:pPr>
          </w:p>
        </w:tc>
        <w:tc>
          <w:tcPr>
            <w:tcW w:w="1477" w:type="dxa"/>
            <w:vAlign w:val="center"/>
          </w:tcPr>
          <w:p w14:paraId="565B7A7C">
            <w:pPr>
              <w:spacing w:line="360" w:lineRule="auto"/>
              <w:jc w:val="center"/>
              <w:rPr>
                <w:rFonts w:ascii="黑体" w:hAnsi="黑体" w:eastAsia="黑体"/>
                <w:b/>
                <w:color w:val="auto"/>
                <w:sz w:val="24"/>
                <w:szCs w:val="24"/>
                <w:highlight w:val="none"/>
              </w:rPr>
            </w:pPr>
          </w:p>
        </w:tc>
        <w:tc>
          <w:tcPr>
            <w:tcW w:w="1477" w:type="dxa"/>
            <w:vAlign w:val="center"/>
          </w:tcPr>
          <w:p w14:paraId="7B50808F">
            <w:pPr>
              <w:spacing w:line="360" w:lineRule="auto"/>
              <w:jc w:val="center"/>
              <w:rPr>
                <w:rFonts w:ascii="黑体" w:hAnsi="黑体" w:eastAsia="黑体"/>
                <w:b/>
                <w:color w:val="auto"/>
                <w:sz w:val="24"/>
                <w:szCs w:val="24"/>
                <w:highlight w:val="none"/>
              </w:rPr>
            </w:pPr>
          </w:p>
        </w:tc>
        <w:tc>
          <w:tcPr>
            <w:tcW w:w="1477" w:type="dxa"/>
            <w:vAlign w:val="center"/>
          </w:tcPr>
          <w:p w14:paraId="1749DAC0">
            <w:pPr>
              <w:spacing w:line="360" w:lineRule="auto"/>
              <w:jc w:val="center"/>
              <w:rPr>
                <w:rFonts w:ascii="黑体" w:hAnsi="黑体" w:eastAsia="黑体"/>
                <w:b/>
                <w:color w:val="auto"/>
                <w:sz w:val="24"/>
                <w:szCs w:val="24"/>
                <w:highlight w:val="none"/>
              </w:rPr>
            </w:pPr>
          </w:p>
        </w:tc>
      </w:tr>
      <w:tr w14:paraId="499C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A941082">
            <w:pPr>
              <w:spacing w:line="360" w:lineRule="auto"/>
              <w:jc w:val="center"/>
              <w:rPr>
                <w:rFonts w:ascii="黑体" w:hAnsi="黑体" w:eastAsia="黑体"/>
                <w:b/>
                <w:color w:val="auto"/>
                <w:sz w:val="24"/>
                <w:szCs w:val="24"/>
                <w:highlight w:val="none"/>
              </w:rPr>
            </w:pPr>
          </w:p>
        </w:tc>
        <w:tc>
          <w:tcPr>
            <w:tcW w:w="1995" w:type="dxa"/>
            <w:vAlign w:val="center"/>
          </w:tcPr>
          <w:p w14:paraId="45E9B054">
            <w:pPr>
              <w:spacing w:line="360" w:lineRule="auto"/>
              <w:jc w:val="center"/>
              <w:rPr>
                <w:rFonts w:ascii="黑体" w:hAnsi="黑体" w:eastAsia="黑体"/>
                <w:b/>
                <w:color w:val="auto"/>
                <w:sz w:val="24"/>
                <w:szCs w:val="24"/>
                <w:highlight w:val="none"/>
              </w:rPr>
            </w:pPr>
          </w:p>
        </w:tc>
        <w:tc>
          <w:tcPr>
            <w:tcW w:w="1477" w:type="dxa"/>
            <w:vAlign w:val="center"/>
          </w:tcPr>
          <w:p w14:paraId="4CFB832E">
            <w:pPr>
              <w:spacing w:line="360" w:lineRule="auto"/>
              <w:jc w:val="center"/>
              <w:rPr>
                <w:rFonts w:ascii="黑体" w:hAnsi="黑体" w:eastAsia="黑体"/>
                <w:b/>
                <w:color w:val="auto"/>
                <w:sz w:val="24"/>
                <w:szCs w:val="24"/>
                <w:highlight w:val="none"/>
              </w:rPr>
            </w:pPr>
          </w:p>
        </w:tc>
        <w:tc>
          <w:tcPr>
            <w:tcW w:w="1477" w:type="dxa"/>
            <w:vAlign w:val="center"/>
          </w:tcPr>
          <w:p w14:paraId="1AF293D1">
            <w:pPr>
              <w:spacing w:line="360" w:lineRule="auto"/>
              <w:jc w:val="center"/>
              <w:rPr>
                <w:rFonts w:ascii="黑体" w:hAnsi="黑体" w:eastAsia="黑体"/>
                <w:b/>
                <w:color w:val="auto"/>
                <w:sz w:val="24"/>
                <w:szCs w:val="24"/>
                <w:highlight w:val="none"/>
              </w:rPr>
            </w:pPr>
          </w:p>
        </w:tc>
        <w:tc>
          <w:tcPr>
            <w:tcW w:w="1477" w:type="dxa"/>
            <w:vAlign w:val="center"/>
          </w:tcPr>
          <w:p w14:paraId="14669C5F">
            <w:pPr>
              <w:spacing w:line="360" w:lineRule="auto"/>
              <w:jc w:val="center"/>
              <w:rPr>
                <w:rFonts w:ascii="黑体" w:hAnsi="黑体" w:eastAsia="黑体"/>
                <w:b/>
                <w:color w:val="auto"/>
                <w:sz w:val="24"/>
                <w:szCs w:val="24"/>
                <w:highlight w:val="none"/>
              </w:rPr>
            </w:pPr>
          </w:p>
        </w:tc>
        <w:tc>
          <w:tcPr>
            <w:tcW w:w="1477" w:type="dxa"/>
            <w:vAlign w:val="center"/>
          </w:tcPr>
          <w:p w14:paraId="102F5A16">
            <w:pPr>
              <w:spacing w:line="360" w:lineRule="auto"/>
              <w:jc w:val="center"/>
              <w:rPr>
                <w:rFonts w:ascii="黑体" w:hAnsi="黑体" w:eastAsia="黑体"/>
                <w:b/>
                <w:color w:val="auto"/>
                <w:sz w:val="24"/>
                <w:szCs w:val="24"/>
                <w:highlight w:val="none"/>
              </w:rPr>
            </w:pPr>
          </w:p>
        </w:tc>
      </w:tr>
      <w:tr w14:paraId="2F44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B30775">
            <w:pPr>
              <w:spacing w:line="360" w:lineRule="auto"/>
              <w:jc w:val="center"/>
              <w:rPr>
                <w:rFonts w:ascii="黑体" w:hAnsi="黑体" w:eastAsia="黑体"/>
                <w:b/>
                <w:color w:val="auto"/>
                <w:sz w:val="24"/>
                <w:szCs w:val="24"/>
                <w:highlight w:val="none"/>
              </w:rPr>
            </w:pPr>
          </w:p>
        </w:tc>
        <w:tc>
          <w:tcPr>
            <w:tcW w:w="1995" w:type="dxa"/>
            <w:vAlign w:val="center"/>
          </w:tcPr>
          <w:p w14:paraId="0B2EDF8D">
            <w:pPr>
              <w:spacing w:line="360" w:lineRule="auto"/>
              <w:jc w:val="center"/>
              <w:rPr>
                <w:rFonts w:ascii="黑体" w:hAnsi="黑体" w:eastAsia="黑体"/>
                <w:b/>
                <w:color w:val="auto"/>
                <w:sz w:val="24"/>
                <w:szCs w:val="24"/>
                <w:highlight w:val="none"/>
              </w:rPr>
            </w:pPr>
          </w:p>
        </w:tc>
        <w:tc>
          <w:tcPr>
            <w:tcW w:w="1477" w:type="dxa"/>
            <w:vAlign w:val="center"/>
          </w:tcPr>
          <w:p w14:paraId="36BF3539">
            <w:pPr>
              <w:spacing w:line="360" w:lineRule="auto"/>
              <w:jc w:val="center"/>
              <w:rPr>
                <w:rFonts w:ascii="黑体" w:hAnsi="黑体" w:eastAsia="黑体"/>
                <w:b/>
                <w:color w:val="auto"/>
                <w:sz w:val="24"/>
                <w:szCs w:val="24"/>
                <w:highlight w:val="none"/>
              </w:rPr>
            </w:pPr>
          </w:p>
        </w:tc>
        <w:tc>
          <w:tcPr>
            <w:tcW w:w="1477" w:type="dxa"/>
            <w:vAlign w:val="center"/>
          </w:tcPr>
          <w:p w14:paraId="388C04FC">
            <w:pPr>
              <w:spacing w:line="360" w:lineRule="auto"/>
              <w:jc w:val="center"/>
              <w:rPr>
                <w:rFonts w:ascii="黑体" w:hAnsi="黑体" w:eastAsia="黑体"/>
                <w:b/>
                <w:color w:val="auto"/>
                <w:sz w:val="24"/>
                <w:szCs w:val="24"/>
                <w:highlight w:val="none"/>
              </w:rPr>
            </w:pPr>
          </w:p>
        </w:tc>
        <w:tc>
          <w:tcPr>
            <w:tcW w:w="1477" w:type="dxa"/>
            <w:vAlign w:val="center"/>
          </w:tcPr>
          <w:p w14:paraId="0BE5EACE">
            <w:pPr>
              <w:spacing w:line="360" w:lineRule="auto"/>
              <w:jc w:val="center"/>
              <w:rPr>
                <w:rFonts w:ascii="黑体" w:hAnsi="黑体" w:eastAsia="黑体"/>
                <w:b/>
                <w:color w:val="auto"/>
                <w:sz w:val="24"/>
                <w:szCs w:val="24"/>
                <w:highlight w:val="none"/>
              </w:rPr>
            </w:pPr>
          </w:p>
        </w:tc>
        <w:tc>
          <w:tcPr>
            <w:tcW w:w="1477" w:type="dxa"/>
            <w:vAlign w:val="center"/>
          </w:tcPr>
          <w:p w14:paraId="5DFA6C80">
            <w:pPr>
              <w:spacing w:line="360" w:lineRule="auto"/>
              <w:jc w:val="center"/>
              <w:rPr>
                <w:rFonts w:ascii="黑体" w:hAnsi="黑体" w:eastAsia="黑体"/>
                <w:b/>
                <w:color w:val="auto"/>
                <w:sz w:val="24"/>
                <w:szCs w:val="24"/>
                <w:highlight w:val="none"/>
              </w:rPr>
            </w:pPr>
          </w:p>
        </w:tc>
      </w:tr>
      <w:tr w14:paraId="56D3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D734490">
            <w:pPr>
              <w:spacing w:line="360" w:lineRule="auto"/>
              <w:jc w:val="center"/>
              <w:rPr>
                <w:rFonts w:ascii="黑体" w:hAnsi="黑体" w:eastAsia="黑体"/>
                <w:b/>
                <w:color w:val="auto"/>
                <w:sz w:val="24"/>
                <w:szCs w:val="24"/>
                <w:highlight w:val="none"/>
              </w:rPr>
            </w:pPr>
          </w:p>
        </w:tc>
        <w:tc>
          <w:tcPr>
            <w:tcW w:w="1995" w:type="dxa"/>
            <w:vAlign w:val="center"/>
          </w:tcPr>
          <w:p w14:paraId="28D77F1F">
            <w:pPr>
              <w:spacing w:line="360" w:lineRule="auto"/>
              <w:jc w:val="center"/>
              <w:rPr>
                <w:rFonts w:ascii="黑体" w:hAnsi="黑体" w:eastAsia="黑体"/>
                <w:b/>
                <w:color w:val="auto"/>
                <w:sz w:val="24"/>
                <w:szCs w:val="24"/>
                <w:highlight w:val="none"/>
              </w:rPr>
            </w:pPr>
          </w:p>
        </w:tc>
        <w:tc>
          <w:tcPr>
            <w:tcW w:w="1477" w:type="dxa"/>
            <w:vAlign w:val="center"/>
          </w:tcPr>
          <w:p w14:paraId="255D4C18">
            <w:pPr>
              <w:spacing w:line="360" w:lineRule="auto"/>
              <w:jc w:val="center"/>
              <w:rPr>
                <w:rFonts w:ascii="黑体" w:hAnsi="黑体" w:eastAsia="黑体"/>
                <w:b/>
                <w:color w:val="auto"/>
                <w:sz w:val="24"/>
                <w:szCs w:val="24"/>
                <w:highlight w:val="none"/>
              </w:rPr>
            </w:pPr>
          </w:p>
        </w:tc>
        <w:tc>
          <w:tcPr>
            <w:tcW w:w="1477" w:type="dxa"/>
            <w:vAlign w:val="center"/>
          </w:tcPr>
          <w:p w14:paraId="73C1B30B">
            <w:pPr>
              <w:spacing w:line="360" w:lineRule="auto"/>
              <w:jc w:val="center"/>
              <w:rPr>
                <w:rFonts w:ascii="黑体" w:hAnsi="黑体" w:eastAsia="黑体"/>
                <w:b/>
                <w:color w:val="auto"/>
                <w:sz w:val="24"/>
                <w:szCs w:val="24"/>
                <w:highlight w:val="none"/>
              </w:rPr>
            </w:pPr>
          </w:p>
        </w:tc>
        <w:tc>
          <w:tcPr>
            <w:tcW w:w="1477" w:type="dxa"/>
            <w:vAlign w:val="center"/>
          </w:tcPr>
          <w:p w14:paraId="44C07C36">
            <w:pPr>
              <w:spacing w:line="360" w:lineRule="auto"/>
              <w:jc w:val="center"/>
              <w:rPr>
                <w:rFonts w:ascii="黑体" w:hAnsi="黑体" w:eastAsia="黑体"/>
                <w:b/>
                <w:color w:val="auto"/>
                <w:sz w:val="24"/>
                <w:szCs w:val="24"/>
                <w:highlight w:val="none"/>
              </w:rPr>
            </w:pPr>
          </w:p>
        </w:tc>
        <w:tc>
          <w:tcPr>
            <w:tcW w:w="1477" w:type="dxa"/>
            <w:vAlign w:val="center"/>
          </w:tcPr>
          <w:p w14:paraId="6F8EB17A">
            <w:pPr>
              <w:spacing w:line="360" w:lineRule="auto"/>
              <w:jc w:val="center"/>
              <w:rPr>
                <w:rFonts w:ascii="黑体" w:hAnsi="黑体" w:eastAsia="黑体"/>
                <w:b/>
                <w:color w:val="auto"/>
                <w:sz w:val="24"/>
                <w:szCs w:val="24"/>
                <w:highlight w:val="none"/>
              </w:rPr>
            </w:pPr>
          </w:p>
        </w:tc>
      </w:tr>
      <w:tr w14:paraId="123B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07571EB">
            <w:pPr>
              <w:spacing w:line="360" w:lineRule="auto"/>
              <w:jc w:val="center"/>
              <w:rPr>
                <w:rFonts w:ascii="黑体" w:hAnsi="黑体" w:eastAsia="黑体"/>
                <w:b/>
                <w:color w:val="auto"/>
                <w:sz w:val="24"/>
                <w:szCs w:val="24"/>
                <w:highlight w:val="none"/>
              </w:rPr>
            </w:pPr>
          </w:p>
        </w:tc>
        <w:tc>
          <w:tcPr>
            <w:tcW w:w="1995" w:type="dxa"/>
            <w:vAlign w:val="center"/>
          </w:tcPr>
          <w:p w14:paraId="54C72547">
            <w:pPr>
              <w:spacing w:line="360" w:lineRule="auto"/>
              <w:jc w:val="center"/>
              <w:rPr>
                <w:rFonts w:ascii="黑体" w:hAnsi="黑体" w:eastAsia="黑体"/>
                <w:b/>
                <w:color w:val="auto"/>
                <w:sz w:val="24"/>
                <w:szCs w:val="24"/>
                <w:highlight w:val="none"/>
              </w:rPr>
            </w:pPr>
          </w:p>
        </w:tc>
        <w:tc>
          <w:tcPr>
            <w:tcW w:w="1477" w:type="dxa"/>
            <w:vAlign w:val="center"/>
          </w:tcPr>
          <w:p w14:paraId="26C6E262">
            <w:pPr>
              <w:spacing w:line="360" w:lineRule="auto"/>
              <w:jc w:val="center"/>
              <w:rPr>
                <w:rFonts w:ascii="黑体" w:hAnsi="黑体" w:eastAsia="黑体"/>
                <w:b/>
                <w:color w:val="auto"/>
                <w:sz w:val="24"/>
                <w:szCs w:val="24"/>
                <w:highlight w:val="none"/>
              </w:rPr>
            </w:pPr>
          </w:p>
        </w:tc>
        <w:tc>
          <w:tcPr>
            <w:tcW w:w="1477" w:type="dxa"/>
            <w:vAlign w:val="center"/>
          </w:tcPr>
          <w:p w14:paraId="7E65DCAD">
            <w:pPr>
              <w:spacing w:line="360" w:lineRule="auto"/>
              <w:jc w:val="center"/>
              <w:rPr>
                <w:rFonts w:ascii="黑体" w:hAnsi="黑体" w:eastAsia="黑体"/>
                <w:b/>
                <w:color w:val="auto"/>
                <w:sz w:val="24"/>
                <w:szCs w:val="24"/>
                <w:highlight w:val="none"/>
              </w:rPr>
            </w:pPr>
          </w:p>
        </w:tc>
        <w:tc>
          <w:tcPr>
            <w:tcW w:w="1477" w:type="dxa"/>
            <w:vAlign w:val="center"/>
          </w:tcPr>
          <w:p w14:paraId="71ED5B91">
            <w:pPr>
              <w:spacing w:line="360" w:lineRule="auto"/>
              <w:jc w:val="center"/>
              <w:rPr>
                <w:rFonts w:ascii="黑体" w:hAnsi="黑体" w:eastAsia="黑体"/>
                <w:b/>
                <w:color w:val="auto"/>
                <w:sz w:val="24"/>
                <w:szCs w:val="24"/>
                <w:highlight w:val="none"/>
              </w:rPr>
            </w:pPr>
          </w:p>
        </w:tc>
        <w:tc>
          <w:tcPr>
            <w:tcW w:w="1477" w:type="dxa"/>
            <w:vAlign w:val="center"/>
          </w:tcPr>
          <w:p w14:paraId="7530753E">
            <w:pPr>
              <w:spacing w:line="360" w:lineRule="auto"/>
              <w:jc w:val="center"/>
              <w:rPr>
                <w:rFonts w:ascii="黑体" w:hAnsi="黑体" w:eastAsia="黑体"/>
                <w:b/>
                <w:color w:val="auto"/>
                <w:sz w:val="24"/>
                <w:szCs w:val="24"/>
                <w:highlight w:val="none"/>
              </w:rPr>
            </w:pPr>
          </w:p>
        </w:tc>
      </w:tr>
      <w:tr w14:paraId="66E7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F87E1F">
            <w:pPr>
              <w:spacing w:line="360" w:lineRule="auto"/>
              <w:jc w:val="center"/>
              <w:rPr>
                <w:rFonts w:ascii="黑体" w:hAnsi="黑体" w:eastAsia="黑体"/>
                <w:b/>
                <w:color w:val="auto"/>
                <w:sz w:val="24"/>
                <w:szCs w:val="24"/>
                <w:highlight w:val="none"/>
              </w:rPr>
            </w:pPr>
          </w:p>
        </w:tc>
        <w:tc>
          <w:tcPr>
            <w:tcW w:w="1995" w:type="dxa"/>
            <w:vAlign w:val="center"/>
          </w:tcPr>
          <w:p w14:paraId="21191D30">
            <w:pPr>
              <w:spacing w:line="360" w:lineRule="auto"/>
              <w:jc w:val="center"/>
              <w:rPr>
                <w:rFonts w:ascii="黑体" w:hAnsi="黑体" w:eastAsia="黑体"/>
                <w:b/>
                <w:color w:val="auto"/>
                <w:sz w:val="24"/>
                <w:szCs w:val="24"/>
                <w:highlight w:val="none"/>
              </w:rPr>
            </w:pPr>
          </w:p>
        </w:tc>
        <w:tc>
          <w:tcPr>
            <w:tcW w:w="1477" w:type="dxa"/>
            <w:vAlign w:val="center"/>
          </w:tcPr>
          <w:p w14:paraId="1E685DD8">
            <w:pPr>
              <w:spacing w:line="360" w:lineRule="auto"/>
              <w:jc w:val="center"/>
              <w:rPr>
                <w:rFonts w:ascii="黑体" w:hAnsi="黑体" w:eastAsia="黑体"/>
                <w:b/>
                <w:color w:val="auto"/>
                <w:sz w:val="24"/>
                <w:szCs w:val="24"/>
                <w:highlight w:val="none"/>
              </w:rPr>
            </w:pPr>
          </w:p>
        </w:tc>
        <w:tc>
          <w:tcPr>
            <w:tcW w:w="1477" w:type="dxa"/>
            <w:vAlign w:val="center"/>
          </w:tcPr>
          <w:p w14:paraId="23B149E6">
            <w:pPr>
              <w:spacing w:line="360" w:lineRule="auto"/>
              <w:jc w:val="center"/>
              <w:rPr>
                <w:rFonts w:ascii="黑体" w:hAnsi="黑体" w:eastAsia="黑体"/>
                <w:b/>
                <w:color w:val="auto"/>
                <w:sz w:val="24"/>
                <w:szCs w:val="24"/>
                <w:highlight w:val="none"/>
              </w:rPr>
            </w:pPr>
          </w:p>
        </w:tc>
        <w:tc>
          <w:tcPr>
            <w:tcW w:w="1477" w:type="dxa"/>
            <w:vAlign w:val="center"/>
          </w:tcPr>
          <w:p w14:paraId="1F66F95D">
            <w:pPr>
              <w:spacing w:line="360" w:lineRule="auto"/>
              <w:jc w:val="center"/>
              <w:rPr>
                <w:rFonts w:ascii="黑体" w:hAnsi="黑体" w:eastAsia="黑体"/>
                <w:b/>
                <w:color w:val="auto"/>
                <w:sz w:val="24"/>
                <w:szCs w:val="24"/>
                <w:highlight w:val="none"/>
              </w:rPr>
            </w:pPr>
          </w:p>
        </w:tc>
        <w:tc>
          <w:tcPr>
            <w:tcW w:w="1477" w:type="dxa"/>
            <w:vAlign w:val="center"/>
          </w:tcPr>
          <w:p w14:paraId="3B8B5CD6">
            <w:pPr>
              <w:spacing w:line="360" w:lineRule="auto"/>
              <w:jc w:val="center"/>
              <w:rPr>
                <w:rFonts w:ascii="黑体" w:hAnsi="黑体" w:eastAsia="黑体"/>
                <w:b/>
                <w:color w:val="auto"/>
                <w:sz w:val="24"/>
                <w:szCs w:val="24"/>
                <w:highlight w:val="none"/>
              </w:rPr>
            </w:pPr>
          </w:p>
        </w:tc>
      </w:tr>
      <w:tr w14:paraId="2E26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1BF0AD2">
            <w:pPr>
              <w:spacing w:line="360" w:lineRule="auto"/>
              <w:jc w:val="center"/>
              <w:rPr>
                <w:rFonts w:ascii="黑体" w:hAnsi="黑体" w:eastAsia="黑体"/>
                <w:b/>
                <w:color w:val="auto"/>
                <w:sz w:val="24"/>
                <w:szCs w:val="24"/>
                <w:highlight w:val="none"/>
              </w:rPr>
            </w:pPr>
          </w:p>
        </w:tc>
        <w:tc>
          <w:tcPr>
            <w:tcW w:w="1995" w:type="dxa"/>
            <w:vAlign w:val="center"/>
          </w:tcPr>
          <w:p w14:paraId="77019FDC">
            <w:pPr>
              <w:spacing w:line="360" w:lineRule="auto"/>
              <w:jc w:val="center"/>
              <w:rPr>
                <w:rFonts w:ascii="黑体" w:hAnsi="黑体" w:eastAsia="黑体"/>
                <w:b/>
                <w:color w:val="auto"/>
                <w:sz w:val="24"/>
                <w:szCs w:val="24"/>
                <w:highlight w:val="none"/>
              </w:rPr>
            </w:pPr>
          </w:p>
        </w:tc>
        <w:tc>
          <w:tcPr>
            <w:tcW w:w="1477" w:type="dxa"/>
            <w:vAlign w:val="center"/>
          </w:tcPr>
          <w:p w14:paraId="2D151ED4">
            <w:pPr>
              <w:spacing w:line="360" w:lineRule="auto"/>
              <w:jc w:val="center"/>
              <w:rPr>
                <w:rFonts w:ascii="黑体" w:hAnsi="黑体" w:eastAsia="黑体"/>
                <w:b/>
                <w:color w:val="auto"/>
                <w:sz w:val="24"/>
                <w:szCs w:val="24"/>
                <w:highlight w:val="none"/>
              </w:rPr>
            </w:pPr>
          </w:p>
        </w:tc>
        <w:tc>
          <w:tcPr>
            <w:tcW w:w="1477" w:type="dxa"/>
            <w:vAlign w:val="center"/>
          </w:tcPr>
          <w:p w14:paraId="4620B7B9">
            <w:pPr>
              <w:spacing w:line="360" w:lineRule="auto"/>
              <w:jc w:val="center"/>
              <w:rPr>
                <w:rFonts w:ascii="黑体" w:hAnsi="黑体" w:eastAsia="黑体"/>
                <w:b/>
                <w:color w:val="auto"/>
                <w:sz w:val="24"/>
                <w:szCs w:val="24"/>
                <w:highlight w:val="none"/>
              </w:rPr>
            </w:pPr>
          </w:p>
        </w:tc>
        <w:tc>
          <w:tcPr>
            <w:tcW w:w="1477" w:type="dxa"/>
            <w:vAlign w:val="center"/>
          </w:tcPr>
          <w:p w14:paraId="5DEF1B3A">
            <w:pPr>
              <w:spacing w:line="360" w:lineRule="auto"/>
              <w:jc w:val="center"/>
              <w:rPr>
                <w:rFonts w:ascii="黑体" w:hAnsi="黑体" w:eastAsia="黑体"/>
                <w:b/>
                <w:color w:val="auto"/>
                <w:sz w:val="24"/>
                <w:szCs w:val="24"/>
                <w:highlight w:val="none"/>
              </w:rPr>
            </w:pPr>
          </w:p>
        </w:tc>
        <w:tc>
          <w:tcPr>
            <w:tcW w:w="1477" w:type="dxa"/>
            <w:vAlign w:val="center"/>
          </w:tcPr>
          <w:p w14:paraId="5CF3578D">
            <w:pPr>
              <w:spacing w:line="360" w:lineRule="auto"/>
              <w:jc w:val="center"/>
              <w:rPr>
                <w:rFonts w:ascii="黑体" w:hAnsi="黑体" w:eastAsia="黑体"/>
                <w:b/>
                <w:color w:val="auto"/>
                <w:sz w:val="24"/>
                <w:szCs w:val="24"/>
                <w:highlight w:val="none"/>
              </w:rPr>
            </w:pPr>
          </w:p>
        </w:tc>
      </w:tr>
    </w:tbl>
    <w:p w14:paraId="39FD883B">
      <w:pPr>
        <w:spacing w:line="360" w:lineRule="auto"/>
        <w:ind w:firstLine="480" w:firstLineChars="200"/>
        <w:rPr>
          <w:rFonts w:ascii="宋体" w:hAnsi="宋体"/>
          <w:color w:val="auto"/>
          <w:sz w:val="24"/>
          <w:highlight w:val="none"/>
        </w:rPr>
      </w:pPr>
    </w:p>
    <w:p w14:paraId="218F38D2">
      <w:pPr>
        <w:spacing w:line="480" w:lineRule="auto"/>
        <w:ind w:firstLine="480" w:firstLineChars="200"/>
        <w:rPr>
          <w:rFonts w:ascii="黑体" w:hAnsi="黑体" w:eastAsia="黑体"/>
          <w:color w:val="auto"/>
          <w:sz w:val="24"/>
          <w:highlight w:val="none"/>
        </w:rPr>
      </w:pPr>
    </w:p>
    <w:p w14:paraId="4906C173">
      <w:pPr>
        <w:spacing w:line="48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招标人签字：</w:t>
      </w:r>
      <w:r>
        <w:rPr>
          <w:rFonts w:hint="eastAsia" w:ascii="黑体" w:hAnsi="黑体" w:eastAsia="黑体"/>
          <w:color w:val="auto"/>
          <w:sz w:val="24"/>
          <w:highlight w:val="none"/>
          <w:u w:val="single"/>
        </w:rPr>
        <w:t xml:space="preserve">                                 </w:t>
      </w:r>
    </w:p>
    <w:p w14:paraId="0C8A04CB">
      <w:pPr>
        <w:spacing w:line="480" w:lineRule="auto"/>
        <w:ind w:firstLine="480" w:firstLineChars="200"/>
        <w:rPr>
          <w:rFonts w:ascii="黑体" w:hAnsi="黑体" w:eastAsia="黑体"/>
          <w:color w:val="auto"/>
          <w:sz w:val="24"/>
          <w:highlight w:val="none"/>
          <w:u w:val="single"/>
        </w:rPr>
      </w:pPr>
      <w:r>
        <w:rPr>
          <w:rFonts w:hint="eastAsia" w:ascii="黑体" w:hAnsi="黑体" w:eastAsia="黑体"/>
          <w:color w:val="auto"/>
          <w:sz w:val="24"/>
          <w:highlight w:val="none"/>
        </w:rPr>
        <w:t>开标日期：</w:t>
      </w:r>
      <w:r>
        <w:rPr>
          <w:rFonts w:hint="eastAsia" w:ascii="黑体" w:hAnsi="黑体" w:eastAsia="黑体"/>
          <w:color w:val="auto"/>
          <w:sz w:val="24"/>
          <w:highlight w:val="none"/>
          <w:u w:val="single"/>
        </w:rPr>
        <w:t xml:space="preserve">                                    </w:t>
      </w:r>
    </w:p>
    <w:p w14:paraId="322A173B">
      <w:pPr>
        <w:pStyle w:val="46"/>
        <w:spacing w:line="560" w:lineRule="exact"/>
        <w:ind w:firstLine="422" w:firstLineChars="0"/>
        <w:jc w:val="center"/>
        <w:outlineLvl w:val="1"/>
        <w:rPr>
          <w:rFonts w:ascii="黑体" w:hAnsi="黑体" w:eastAsia="黑体"/>
          <w:b/>
          <w:bCs/>
          <w:color w:val="auto"/>
          <w:kern w:val="0"/>
          <w:sz w:val="44"/>
          <w:szCs w:val="44"/>
          <w:highlight w:val="none"/>
        </w:rPr>
      </w:pPr>
      <w:r>
        <w:rPr>
          <w:rFonts w:ascii="宋体" w:hAnsi="宋体"/>
          <w:b/>
          <w:color w:val="auto"/>
          <w:sz w:val="24"/>
          <w:highlight w:val="none"/>
        </w:rPr>
        <w:br w:type="page"/>
      </w:r>
      <w:bookmarkStart w:id="40" w:name="_Toc80800148"/>
      <w:bookmarkStart w:id="41" w:name="_Toc1970"/>
      <w:bookmarkStart w:id="42" w:name="_Toc27154"/>
      <w:r>
        <w:rPr>
          <w:rFonts w:hint="eastAsia" w:ascii="黑体" w:hAnsi="黑体" w:eastAsia="黑体"/>
          <w:b/>
          <w:bCs/>
          <w:color w:val="auto"/>
          <w:kern w:val="0"/>
          <w:sz w:val="44"/>
          <w:szCs w:val="44"/>
          <w:highlight w:val="none"/>
        </w:rPr>
        <w:t>二、投标须知</w:t>
      </w:r>
      <w:bookmarkEnd w:id="40"/>
      <w:bookmarkEnd w:id="41"/>
      <w:bookmarkEnd w:id="42"/>
    </w:p>
    <w:p w14:paraId="538F6DBD">
      <w:pPr>
        <w:pStyle w:val="46"/>
        <w:spacing w:line="560" w:lineRule="exact"/>
        <w:ind w:firstLine="560"/>
        <w:rPr>
          <w:rFonts w:ascii="仿宋_GB2312" w:hAnsi="宋体" w:eastAsia="仿宋_GB2312"/>
          <w:bCs/>
          <w:color w:val="auto"/>
          <w:kern w:val="0"/>
          <w:sz w:val="28"/>
          <w:szCs w:val="28"/>
          <w:highlight w:val="none"/>
        </w:rPr>
      </w:pPr>
    </w:p>
    <w:p w14:paraId="77E1C8AA">
      <w:pPr>
        <w:pStyle w:val="5"/>
        <w:spacing w:before="0" w:after="0" w:line="400" w:lineRule="exact"/>
        <w:jc w:val="center"/>
        <w:rPr>
          <w:rFonts w:ascii="黑体" w:hAnsi="黑体" w:eastAsia="黑体"/>
          <w:b w:val="0"/>
          <w:color w:val="auto"/>
          <w:kern w:val="0"/>
          <w:sz w:val="36"/>
          <w:szCs w:val="36"/>
          <w:highlight w:val="none"/>
        </w:rPr>
      </w:pPr>
      <w:bookmarkStart w:id="43" w:name="_Toc80800149"/>
      <w:bookmarkStart w:id="44" w:name="_Toc13757"/>
      <w:r>
        <w:rPr>
          <w:rFonts w:hint="eastAsia" w:ascii="黑体" w:hAnsi="黑体" w:eastAsia="黑体"/>
          <w:b w:val="0"/>
          <w:color w:val="auto"/>
          <w:kern w:val="0"/>
          <w:sz w:val="36"/>
          <w:szCs w:val="36"/>
          <w:highlight w:val="none"/>
        </w:rPr>
        <w:t>（一）总则</w:t>
      </w:r>
      <w:bookmarkEnd w:id="43"/>
      <w:bookmarkEnd w:id="44"/>
    </w:p>
    <w:p w14:paraId="2A33779C">
      <w:pPr>
        <w:pStyle w:val="46"/>
        <w:spacing w:line="560" w:lineRule="exact"/>
        <w:ind w:firstLine="560"/>
        <w:rPr>
          <w:rFonts w:ascii="仿宋_GB2312" w:hAnsi="宋体" w:eastAsia="仿宋_GB2312"/>
          <w:bCs/>
          <w:color w:val="auto"/>
          <w:kern w:val="0"/>
          <w:sz w:val="28"/>
          <w:szCs w:val="28"/>
          <w:highlight w:val="none"/>
        </w:rPr>
      </w:pPr>
    </w:p>
    <w:p w14:paraId="59B2B37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1.项目说明</w:t>
      </w:r>
    </w:p>
    <w:p w14:paraId="49E6FB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1.1项目名称见前附表1第2项所述。</w:t>
      </w:r>
    </w:p>
    <w:p w14:paraId="3D51DD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1.2项目地点见前附表1第3项所述。</w:t>
      </w:r>
    </w:p>
    <w:p w14:paraId="64103D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2.资金来源</w:t>
      </w:r>
    </w:p>
    <w:p w14:paraId="5E41A57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2.1本项目已完成审批手续，项目资金通过前附表1第4项所述的方式获得。</w:t>
      </w:r>
    </w:p>
    <w:p w14:paraId="37D9BC78">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3.招标范围：</w:t>
      </w:r>
    </w:p>
    <w:p w14:paraId="571036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 本次招标范围及内容见前附表1第6项所述。</w:t>
      </w:r>
    </w:p>
    <w:p w14:paraId="7B73D03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4.服务周期要求</w:t>
      </w:r>
    </w:p>
    <w:p w14:paraId="3CE281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4.1本项目服务周期要求见前附表1第13项所述。</w:t>
      </w:r>
    </w:p>
    <w:p w14:paraId="054492A9">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5.合格的投标人</w:t>
      </w:r>
    </w:p>
    <w:p w14:paraId="5B3508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5.1投标人资质、投标人项目负责人要求见前附表1第8项、第9项所述。</w:t>
      </w:r>
    </w:p>
    <w:p w14:paraId="707041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5.2本次招标资格审查方式见前附表1第10项。</w:t>
      </w:r>
    </w:p>
    <w:p w14:paraId="50E72C4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5.3由两个或两个以上法人组成一个联合体以一个投标人的身份共同投标时，除符合5.1、5.2款的要求外，还应符合以下要求：</w:t>
      </w:r>
    </w:p>
    <w:p w14:paraId="7B71E90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5.3.1投标人的投标文件及中标后签署的合同协议书对联合体每一成员均具法律约束力；</w:t>
      </w:r>
    </w:p>
    <w:p w14:paraId="4CA18E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5.3.2联合体的各成员应当签订共同投标协议，明确约定各方拟承担的工作和责任，并将该共同投标协议随投标文件一并递交给招标人；</w:t>
      </w:r>
    </w:p>
    <w:p w14:paraId="44AB83D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5.3.3联合体中标后，联合体各方应当共同与招标人签订合同，为履行合同向招标人承担连带责任；</w:t>
      </w:r>
    </w:p>
    <w:p w14:paraId="6B5BE4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5.3.4由联合体的各成员提交一份授权书，证明联合体代表资格，该授权书作为投标文件的组成部分一并提交给招标人；</w:t>
      </w:r>
    </w:p>
    <w:p w14:paraId="3C9FBF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5.3.5联合体代表应被授权作为联合体所有成员的代表承担责任和接受指令，并负责整个合同的全面履行；</w:t>
      </w:r>
    </w:p>
    <w:p w14:paraId="6E9200C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5.3.6参加联合体的各成员不得再以自己的名义单独投标，也不得同时参加两个或两个以上的联合体投标。出现上述情况者，其投标和与其有关的联合体的投标均做无效标处理；</w:t>
      </w:r>
    </w:p>
    <w:p w14:paraId="648712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5.3.7除非另有规定或说明，本须知中“投标人”一词亦指联合体各成员。</w:t>
      </w:r>
    </w:p>
    <w:p w14:paraId="5C76F96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5.4投标人应当具备承担本招标项目的能力；具备国家有关规定或者招标文件规定的资格条件；且通过合法途径取得招标文件。</w:t>
      </w:r>
    </w:p>
    <w:p w14:paraId="4789C4E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6.投标费用</w:t>
      </w:r>
    </w:p>
    <w:p w14:paraId="7C75A81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6.1投标人应自行承担所有准备及参加投标相关的费用。不论投标的结果如何，招标人均无承担的义务和责任。</w:t>
      </w:r>
    </w:p>
    <w:p w14:paraId="1F536ABA">
      <w:pPr>
        <w:pStyle w:val="46"/>
        <w:spacing w:line="560" w:lineRule="exact"/>
        <w:ind w:firstLine="560"/>
        <w:rPr>
          <w:rFonts w:ascii="仿宋_GB2312" w:hAnsi="宋体" w:eastAsia="仿宋_GB2312"/>
          <w:bCs/>
          <w:color w:val="auto"/>
          <w:kern w:val="0"/>
          <w:sz w:val="28"/>
          <w:szCs w:val="28"/>
          <w:highlight w:val="none"/>
        </w:rPr>
      </w:pPr>
    </w:p>
    <w:p w14:paraId="3EAE55E3">
      <w:pPr>
        <w:pStyle w:val="5"/>
        <w:spacing w:before="0" w:after="0" w:line="400" w:lineRule="exact"/>
        <w:jc w:val="center"/>
        <w:rPr>
          <w:rFonts w:ascii="黑体" w:hAnsi="黑体" w:eastAsia="黑体"/>
          <w:b w:val="0"/>
          <w:color w:val="auto"/>
          <w:kern w:val="0"/>
          <w:sz w:val="36"/>
          <w:szCs w:val="36"/>
          <w:highlight w:val="none"/>
        </w:rPr>
      </w:pPr>
      <w:bookmarkStart w:id="45" w:name="_Toc80800150"/>
      <w:bookmarkStart w:id="46" w:name="_Toc9000"/>
      <w:r>
        <w:rPr>
          <w:rFonts w:hint="eastAsia" w:ascii="黑体" w:hAnsi="黑体" w:eastAsia="黑体"/>
          <w:b w:val="0"/>
          <w:color w:val="auto"/>
          <w:kern w:val="0"/>
          <w:sz w:val="36"/>
          <w:szCs w:val="36"/>
          <w:highlight w:val="none"/>
        </w:rPr>
        <w:t>（二）招标文件</w:t>
      </w:r>
      <w:bookmarkEnd w:id="26"/>
      <w:bookmarkEnd w:id="27"/>
      <w:bookmarkEnd w:id="28"/>
      <w:bookmarkEnd w:id="45"/>
      <w:bookmarkEnd w:id="46"/>
    </w:p>
    <w:p w14:paraId="4B27EE17">
      <w:pPr>
        <w:pStyle w:val="46"/>
        <w:spacing w:line="560" w:lineRule="exact"/>
        <w:ind w:firstLine="560"/>
        <w:rPr>
          <w:rFonts w:ascii="仿宋_GB2312" w:hAnsi="宋体" w:eastAsia="仿宋_GB2312"/>
          <w:bCs/>
          <w:color w:val="auto"/>
          <w:kern w:val="0"/>
          <w:sz w:val="28"/>
          <w:szCs w:val="28"/>
          <w:highlight w:val="none"/>
        </w:rPr>
      </w:pPr>
    </w:p>
    <w:p w14:paraId="0863C76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7.招标文件的组成</w:t>
      </w:r>
    </w:p>
    <w:p w14:paraId="5D95E4B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7.1招标文件包括下列内容：</w:t>
      </w:r>
    </w:p>
    <w:p w14:paraId="544D986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第一章 致投标人</w:t>
      </w:r>
    </w:p>
    <w:p w14:paraId="034D0DC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第二章 投标须知</w:t>
      </w:r>
    </w:p>
    <w:p w14:paraId="791562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一、投标须知前附件</w:t>
      </w:r>
    </w:p>
    <w:p w14:paraId="6EE7FB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二、投标须知</w:t>
      </w:r>
    </w:p>
    <w:p w14:paraId="12FAD8F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第三章 合同条款</w:t>
      </w:r>
    </w:p>
    <w:p w14:paraId="52B3DF6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第四章 需求任务书</w:t>
      </w:r>
    </w:p>
    <w:p w14:paraId="3D718C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一、项目需求标准</w:t>
      </w:r>
    </w:p>
    <w:p w14:paraId="6C7391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二、项目需求清单</w:t>
      </w:r>
    </w:p>
    <w:p w14:paraId="6F70770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第五章 投标文件格式</w:t>
      </w:r>
    </w:p>
    <w:p w14:paraId="2CAB38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一、资格审查文件</w:t>
      </w:r>
    </w:p>
    <w:p w14:paraId="3149BBB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二、投标函部分</w:t>
      </w:r>
    </w:p>
    <w:p w14:paraId="72F9954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三、资信标部分</w:t>
      </w:r>
    </w:p>
    <w:p w14:paraId="6F162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四、</w:t>
      </w:r>
      <w:r>
        <w:rPr>
          <w:rFonts w:hint="eastAsia" w:ascii="仿宋" w:hAnsi="仿宋" w:eastAsia="仿宋"/>
          <w:bCs/>
          <w:color w:val="auto"/>
          <w:kern w:val="0"/>
          <w:sz w:val="28"/>
          <w:szCs w:val="28"/>
          <w:highlight w:val="none"/>
          <w:lang w:val="en-US" w:eastAsia="zh-CN"/>
        </w:rPr>
        <w:t>技术</w:t>
      </w:r>
      <w:r>
        <w:rPr>
          <w:rFonts w:hint="eastAsia" w:ascii="仿宋" w:hAnsi="仿宋" w:eastAsia="仿宋"/>
          <w:bCs/>
          <w:color w:val="auto"/>
          <w:kern w:val="0"/>
          <w:sz w:val="28"/>
          <w:szCs w:val="28"/>
          <w:highlight w:val="none"/>
        </w:rPr>
        <w:t>标部分</w:t>
      </w:r>
    </w:p>
    <w:p w14:paraId="742EBE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五、</w:t>
      </w:r>
      <w:r>
        <w:rPr>
          <w:rFonts w:hint="eastAsia" w:ascii="仿宋" w:hAnsi="仿宋" w:eastAsia="仿宋"/>
          <w:bCs/>
          <w:color w:val="auto"/>
          <w:kern w:val="0"/>
          <w:sz w:val="28"/>
          <w:szCs w:val="28"/>
          <w:highlight w:val="none"/>
          <w:lang w:val="en-US" w:eastAsia="zh-CN"/>
        </w:rPr>
        <w:t>商务</w:t>
      </w:r>
      <w:r>
        <w:rPr>
          <w:rFonts w:hint="eastAsia" w:ascii="仿宋" w:hAnsi="仿宋" w:eastAsia="仿宋"/>
          <w:bCs/>
          <w:color w:val="auto"/>
          <w:kern w:val="0"/>
          <w:sz w:val="28"/>
          <w:szCs w:val="28"/>
          <w:highlight w:val="none"/>
        </w:rPr>
        <w:t>标部分</w:t>
      </w:r>
    </w:p>
    <w:p w14:paraId="64FEE6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第六章 中标通知书</w:t>
      </w:r>
    </w:p>
    <w:p w14:paraId="61A6BAF5">
      <w:pPr>
        <w:pStyle w:val="22"/>
        <w:spacing w:line="560" w:lineRule="exact"/>
        <w:ind w:firstLine="49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7.2除7.1款内容外，招标人在投标截止日期前</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日前以书面形式发出的招标文件的澄清(答疑)纪要、修改(补充)函件，均是招标文件的组成部分，对招标人投标人起约束作用。</w:t>
      </w:r>
    </w:p>
    <w:p w14:paraId="14254E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7.3投标人购取招标文件后，应仔细检查招标文件的所有内容，如有残缺应在领到招标文件后</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内向招标人提出，否则，由此引起的投标损失自负。投标人同时应认真审阅招标文件中所有的事项、条款、格式和标准要求等，如果投标人的投标文件没有按照招标文件要求提交全部资料或者投标文件没有对招标文件做出实质性响应，其风险应由投标人自行承担，并且根据有关条款规定，其投标有可能被拒绝。</w:t>
      </w:r>
    </w:p>
    <w:p w14:paraId="664C022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8.招标文件的澄清</w:t>
      </w:r>
    </w:p>
    <w:p w14:paraId="5F68DFB1">
      <w:pPr>
        <w:pStyle w:val="22"/>
        <w:spacing w:line="560" w:lineRule="exact"/>
        <w:ind w:firstLine="557"/>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8.1 投标人若对招标文件有疑问，需要招标人予以澄清，应于投标截止日期之前</w:t>
      </w:r>
      <w:r>
        <w:rPr>
          <w:rFonts w:hint="eastAsia" w:ascii="仿宋" w:hAnsi="仿宋" w:eastAsia="仿宋"/>
          <w:bCs/>
          <w:color w:val="auto"/>
          <w:kern w:val="0"/>
          <w:sz w:val="28"/>
          <w:szCs w:val="28"/>
          <w:highlight w:val="none"/>
          <w:u w:val="single"/>
        </w:rPr>
        <w:t xml:space="preserve"> 3 </w:t>
      </w:r>
      <w:r>
        <w:rPr>
          <w:rFonts w:hint="eastAsia" w:ascii="仿宋" w:hAnsi="仿宋" w:eastAsia="仿宋"/>
          <w:bCs/>
          <w:color w:val="auto"/>
          <w:kern w:val="0"/>
          <w:sz w:val="28"/>
          <w:szCs w:val="28"/>
          <w:highlight w:val="none"/>
        </w:rPr>
        <w:t xml:space="preserve">日以书面形式向招标人提出，送至招标公告中的招标人地址。不论是招标人根据需要主动对招标文件进行必要的澄清或是根据投标人的要求对招标文件做出澄清，招标人都将在投标截止日期前 </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日前以书面形式发出澄清纪要，同时将澄清纪要寄送给所有投标人。投标人收到招标人书面答复时，应办理签收手续。招标文件的澄清作为招标文件的组成部分，具有约束力。</w:t>
      </w:r>
    </w:p>
    <w:p w14:paraId="7E5B1A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9.招标文件的修改</w:t>
      </w:r>
    </w:p>
    <w:p w14:paraId="28DD7CC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9.1 招标文件发出后，在投标截止日期前</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日的任何时候，确需要变更招标内容的，招标人可主动或在解答投标人提出的澄清问题时对招标文件进行修改。</w:t>
      </w:r>
    </w:p>
    <w:p w14:paraId="3144F5C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9.2 招标文件的修改将以书面形式寄送给所有投标人，招标文件的修改作为招标文件的组成部分，并具有约束力。投标人收到招标人的修改函件时，应办理签收手续。</w:t>
      </w:r>
    </w:p>
    <w:p w14:paraId="55422D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9.3 招标文件、招标文件澄清(答疑)纪要、招标文件修改(补充)函件内容均以书面明确的内容为准。当招标文件、澄清(答疑)纪要、修改(补充)函件内容相互矛盾时，以最后发出的为准。</w:t>
      </w:r>
    </w:p>
    <w:p w14:paraId="2CCD4FB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9.4 招标人保证招标文件澄清(答疑)纪要、招标文件修改(补充)函件在投标截止时间至少</w:t>
      </w:r>
      <w:r>
        <w:rPr>
          <w:rFonts w:hint="eastAsia" w:ascii="仿宋" w:hAnsi="仿宋" w:eastAsia="仿宋"/>
          <w:bCs/>
          <w:color w:val="auto"/>
          <w:kern w:val="0"/>
          <w:sz w:val="28"/>
          <w:szCs w:val="28"/>
          <w:highlight w:val="none"/>
          <w:u w:val="single"/>
        </w:rPr>
        <w:t>2</w:t>
      </w:r>
      <w:r>
        <w:rPr>
          <w:rFonts w:hint="eastAsia" w:ascii="仿宋" w:hAnsi="仿宋" w:eastAsia="仿宋"/>
          <w:bCs/>
          <w:color w:val="auto"/>
          <w:kern w:val="0"/>
          <w:sz w:val="28"/>
          <w:szCs w:val="28"/>
          <w:highlight w:val="none"/>
        </w:rPr>
        <w:t>日前以书面形式发给所有投标人。为使投标人在编写投标文件时有充分时间对招标文件的修改(补充)部分进行研究，招标人可以酌情延长递交投标文件的截止日期，具体时间将在修改(补充)函件中明确。</w:t>
      </w:r>
    </w:p>
    <w:p w14:paraId="2ED23F23">
      <w:pPr>
        <w:pStyle w:val="5"/>
        <w:spacing w:before="0" w:after="0" w:line="400" w:lineRule="exact"/>
        <w:jc w:val="center"/>
        <w:rPr>
          <w:rFonts w:ascii="黑体" w:hAnsi="黑体" w:eastAsia="黑体"/>
          <w:b w:val="0"/>
          <w:color w:val="auto"/>
          <w:kern w:val="0"/>
          <w:sz w:val="36"/>
          <w:szCs w:val="36"/>
          <w:highlight w:val="none"/>
        </w:rPr>
      </w:pPr>
      <w:bookmarkStart w:id="47" w:name="_Toc3863"/>
      <w:bookmarkStart w:id="48" w:name="_Toc80800151"/>
      <w:r>
        <w:rPr>
          <w:rFonts w:hint="eastAsia" w:ascii="黑体" w:hAnsi="黑体" w:eastAsia="黑体"/>
          <w:b w:val="0"/>
          <w:color w:val="auto"/>
          <w:kern w:val="0"/>
          <w:sz w:val="36"/>
          <w:szCs w:val="36"/>
          <w:highlight w:val="none"/>
        </w:rPr>
        <w:t>（三）投标文件的编制</w:t>
      </w:r>
      <w:bookmarkEnd w:id="47"/>
      <w:bookmarkEnd w:id="48"/>
    </w:p>
    <w:p w14:paraId="39B87FD3">
      <w:pPr>
        <w:pStyle w:val="22"/>
        <w:spacing w:line="560" w:lineRule="exact"/>
        <w:ind w:firstLine="562"/>
        <w:rPr>
          <w:rFonts w:ascii="仿宋_GB2312" w:hAnsi="宋体" w:eastAsia="仿宋_GB2312"/>
          <w:b/>
          <w:bCs/>
          <w:color w:val="auto"/>
          <w:kern w:val="0"/>
          <w:sz w:val="28"/>
          <w:szCs w:val="28"/>
          <w:highlight w:val="none"/>
        </w:rPr>
      </w:pPr>
    </w:p>
    <w:p w14:paraId="4322BCCF">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10.投标文件的语言及度量单位</w:t>
      </w:r>
    </w:p>
    <w:p w14:paraId="097F97D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10.1 投标人与招标人之间与投标有关的所有往来通知、函件和投标文件均应使用中文。投标人随投标文件提供的证明文件和资料可以为其它语言，但必须附中文译文，并且，为了解释投标文件，应以中文为准。</w:t>
      </w:r>
    </w:p>
    <w:p w14:paraId="508FC73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10.2 除另有规定外，投标文件使用的度量单位，均采用中华人民共和国法定计量单位。</w:t>
      </w:r>
    </w:p>
    <w:p w14:paraId="7F21196A">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11.投标文件的组成</w:t>
      </w:r>
    </w:p>
    <w:p w14:paraId="1E0EFBE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11.1 投标文件由</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投标函部分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资信标部分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商务标部分</w:t>
      </w:r>
      <w:bookmarkStart w:id="49" w:name="投标文件包括技术标"/>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技术标部分</w:t>
      </w:r>
      <w:bookmarkEnd w:id="49"/>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资格审查文件</w:t>
      </w:r>
      <w:r>
        <w:rPr>
          <w:rFonts w:hint="eastAsia" w:ascii="仿宋" w:hAnsi="仿宋" w:eastAsia="仿宋"/>
          <w:bCs/>
          <w:color w:val="auto"/>
          <w:kern w:val="0"/>
          <w:sz w:val="28"/>
          <w:szCs w:val="28"/>
          <w:highlight w:val="none"/>
        </w:rPr>
        <w:t>。</w:t>
      </w:r>
    </w:p>
    <w:p w14:paraId="132D01E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 投标函部分主要包括下列内容：</w:t>
      </w:r>
    </w:p>
    <w:p w14:paraId="589C335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11.2.1法定代表人身份证明书原件；</w:t>
      </w:r>
    </w:p>
    <w:p w14:paraId="5DDFF5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11.2.2投标文件签署授权委托书；</w:t>
      </w:r>
    </w:p>
    <w:p w14:paraId="4374927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11.2.3投标函；</w:t>
      </w:r>
    </w:p>
    <w:p w14:paraId="799FFA1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11.2.4投标保函或投标保证金收讫证明文件；</w:t>
      </w:r>
    </w:p>
    <w:p w14:paraId="20B8D6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11.2.5招标文件要求投标人提交的其他投标资料。</w:t>
      </w:r>
    </w:p>
    <w:p w14:paraId="012A9F8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11.3资信标部分主要包括下列内容：</w:t>
      </w:r>
    </w:p>
    <w:p w14:paraId="31C23BC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11.3.1投标人资质情况；</w:t>
      </w:r>
    </w:p>
    <w:p w14:paraId="20F104D9">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11.3.2投标人注册资金、办公场地、员工数量、机械设备等规模情况；</w:t>
      </w:r>
    </w:p>
    <w:p w14:paraId="2A5A710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11.3.3投标人营业收入等财务状况；</w:t>
      </w:r>
    </w:p>
    <w:p w14:paraId="2A33458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11.3.4投标人纳税情况；</w:t>
      </w:r>
    </w:p>
    <w:p w14:paraId="4CD3367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11.3.5投标人业绩情况；</w:t>
      </w:r>
    </w:p>
    <w:p w14:paraId="7BC6B9A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11.3.6投标人获奖情况；</w:t>
      </w:r>
    </w:p>
    <w:p w14:paraId="7A91C014">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11.3.7</w:t>
      </w:r>
      <w:r>
        <w:rPr>
          <w:rFonts w:hint="eastAsia" w:ascii="仿宋" w:hAnsi="仿宋" w:eastAsia="仿宋"/>
          <w:bCs/>
          <w:color w:val="auto"/>
          <w:kern w:val="0"/>
          <w:sz w:val="28"/>
          <w:szCs w:val="28"/>
          <w:highlight w:val="none"/>
        </w:rPr>
        <w:t>招标人要求提供的与投标人资信评审有关的其他材料.</w:t>
      </w:r>
    </w:p>
    <w:p w14:paraId="0822E1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 商务标部分主要包括下列内容：</w:t>
      </w:r>
    </w:p>
    <w:p w14:paraId="1F4B3A5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11.4.1报价表； </w:t>
      </w:r>
    </w:p>
    <w:p w14:paraId="4E29E8C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11.4.2招标文件要求投标人提交的其他投标资料。</w:t>
      </w:r>
    </w:p>
    <w:p w14:paraId="7F2B80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11.5技术标部分要求：</w:t>
      </w:r>
    </w:p>
    <w:p w14:paraId="48E6798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技术标格式由投标人自拟,内容应满足技术标评审要求。</w:t>
      </w:r>
    </w:p>
    <w:p w14:paraId="0E6B551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11.6资格审查方式为资格后审的，投标人还应提交资格审查文件：</w:t>
      </w:r>
    </w:p>
    <w:p w14:paraId="254FBA2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11.6.1投标人营业执照；</w:t>
      </w:r>
    </w:p>
    <w:p w14:paraId="631753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11.6.2投标人资质证书；</w:t>
      </w:r>
    </w:p>
    <w:p w14:paraId="7F322EE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11.6.3</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57D0980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11.6.4招标人要求提供的与投标人条件审查有关的其他资格证明材料。 </w:t>
      </w:r>
    </w:p>
    <w:p w14:paraId="0DAC5392">
      <w:pPr>
        <w:pStyle w:val="22"/>
        <w:spacing w:line="560" w:lineRule="exact"/>
        <w:ind w:firstLine="56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12.投标文件电子文档的提交及要求</w:t>
      </w:r>
    </w:p>
    <w:p w14:paraId="459D083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12.1 投标人在提交书面投标文件的同时，应提交该投标文件的电子文档。</w:t>
      </w:r>
    </w:p>
    <w:p w14:paraId="10AEA016">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12.2 电子文档的格式要求： 采用word/Excel/PDF形式。</w:t>
      </w:r>
    </w:p>
    <w:p w14:paraId="4A24064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12.3投标文件的电子文档，必须提供一份只读光盘，并在光盘上注明投标人名称、招标项目名称。</w:t>
      </w:r>
    </w:p>
    <w:p w14:paraId="11FF72B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12.4 投标人提交的书面投标文件的实质内容应与提交的电子文档的实质内容完全一致。如果评标委员会发现两者的实质内容不一致，将按不利于投标人的原则予以处置。因此产生的一切责任均由投标人承担。</w:t>
      </w:r>
    </w:p>
    <w:p w14:paraId="1C2DACBE">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13.投标文件的格式要求</w:t>
      </w:r>
    </w:p>
    <w:p w14:paraId="07843838">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13.1投标文件包括本须知第16条中规定的内容，投标人提交的投标文件必须毫无例外地使用招标文件所提供的投标文件格式，详见招标文件第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章—投标文件格式(表格可以按同样格式扩展)。</w:t>
      </w:r>
    </w:p>
    <w:p w14:paraId="78DDC22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13.2投标文件的正本和副本均需打印或使用不褪色的墨水笔书写，字迹应清晰易于辨认，并在投标文件封面的右上角清楚地注明“正本”或“副本”。正本和副本如有不一致之处，以正本为准。</w:t>
      </w:r>
    </w:p>
    <w:p w14:paraId="0E050357">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14.投标文件的数量要求</w:t>
      </w:r>
    </w:p>
    <w:p w14:paraId="7FC185C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14.1 投标人应按前附表1第15项规定份数提交投标文件。</w:t>
      </w:r>
    </w:p>
    <w:p w14:paraId="7ED403C3">
      <w:pPr>
        <w:pStyle w:val="22"/>
        <w:spacing w:line="560" w:lineRule="exact"/>
        <w:ind w:firstLine="551"/>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15.投标文件的签署</w:t>
      </w:r>
    </w:p>
    <w:p w14:paraId="21DEC112">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15.1 投标文件应根据第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投标文件格式要求加盖投标人印章并经法定代表人或其委托代理人签字或盖章。由委托代理人签字或盖章的在投标文件中须同时提交投标文件签署授权委托书。投标文件签署授权委托书应符合第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投标文件格式投标函部分的要求。</w:t>
      </w:r>
    </w:p>
    <w:p w14:paraId="3838F8F7">
      <w:pPr>
        <w:pStyle w:val="22"/>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15.2除投标人对错误处须修改外，全套投标文件应无涂改或增删，如有修改，修改处应由投标人加盖投标人的印章或由投标文件签字人签字或盖章。</w:t>
      </w:r>
    </w:p>
    <w:p w14:paraId="695093B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16.投标报价</w:t>
      </w:r>
    </w:p>
    <w:p w14:paraId="538BD98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16.1投标报价是投标人的投标文件中提出的各项支付费用的金额总和。投标人的投标报价应保证在投标有效期内有效，在合同执行期内是固定不变。</w:t>
      </w:r>
    </w:p>
    <w:p w14:paraId="7561DA8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16.2投标人的投标报价应是合同上所列的各项内容的全部。</w:t>
      </w:r>
    </w:p>
    <w:p w14:paraId="500C63D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16.2.1投标人若是提供了可变动价格或包含价格调整要求投标，其投标将会被拒绝。</w:t>
      </w:r>
    </w:p>
    <w:p w14:paraId="7FD5295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16.2.2投标人若是提供了两个（含两个）以上报价，且未明确哪个是有效报价，其投标将会被拒绝（除允许提供备选方案的）。</w:t>
      </w:r>
    </w:p>
    <w:p w14:paraId="29A2CD4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16.3投标报价的招标</w:t>
      </w:r>
      <w:r>
        <w:rPr>
          <w:rFonts w:hint="eastAsia" w:ascii="仿宋" w:hAnsi="仿宋" w:eastAsia="仿宋"/>
          <w:bCs/>
          <w:color w:val="auto"/>
          <w:kern w:val="0"/>
          <w:sz w:val="28"/>
          <w:szCs w:val="28"/>
          <w:highlight w:val="none"/>
          <w:lang w:eastAsia="zh-CN"/>
        </w:rPr>
        <w:t>上限价</w:t>
      </w:r>
      <w:r>
        <w:rPr>
          <w:rFonts w:hint="eastAsia" w:ascii="仿宋" w:hAnsi="仿宋" w:eastAsia="仿宋"/>
          <w:bCs/>
          <w:color w:val="auto"/>
          <w:kern w:val="0"/>
          <w:sz w:val="28"/>
          <w:szCs w:val="28"/>
          <w:highlight w:val="none"/>
        </w:rPr>
        <w:t>见“投标须知前附表”。</w:t>
      </w:r>
    </w:p>
    <w:p w14:paraId="51C4663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16.4招标人不接受任何免费赠送的货物或服务。如有，将按缺漏项处理。</w:t>
      </w:r>
    </w:p>
    <w:p w14:paraId="2543AFB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16.5最低投标报价不得低于成本。</w:t>
      </w:r>
    </w:p>
    <w:p w14:paraId="2019386B">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17.投标货币</w:t>
      </w:r>
    </w:p>
    <w:p w14:paraId="37294D2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17.1 本</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投标报价采用的币种见前附表1第12项。</w:t>
      </w:r>
    </w:p>
    <w:p w14:paraId="15C07EC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18.投标有效期</w:t>
      </w:r>
    </w:p>
    <w:p w14:paraId="639B5321">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18.1 投标有效期见前附表2第3项所规定的期限，在此期限内，所有投标文件均保持有效。</w:t>
      </w:r>
    </w:p>
    <w:p w14:paraId="5468B3C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18.2特殊的情况下，在原定投标有效期满之前，招标人可以根据需要以书面形式向投标人提出延长投标有效期的要求，对此要求投标人须以书面形式予以答复，投标人可以拒绝招标人这种要求，而不被没收投标保证金或投标保函。同意延长投标有效期的投标人不能要求也不允许修改其投标文件，但需要相应延长投标担保的有效期，在延长的投标有效期内本须知第19条关于投标保证金或投标保函的退还与没收的规定仍然适用。</w:t>
      </w:r>
    </w:p>
    <w:p w14:paraId="73BBE7C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19．投标担保、履约担保</w:t>
      </w:r>
    </w:p>
    <w:p w14:paraId="5675AE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19.1投标人应按前附表1规定要求提交投标担保。</w:t>
      </w:r>
    </w:p>
    <w:p w14:paraId="25AE83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19.2本项目投标担保： </w:t>
      </w:r>
    </w:p>
    <w:p w14:paraId="6D138A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19.2.1投标担保是为了避免招标人因投标人的行为而蒙受损失，招标人可根据19.2.4规定的条件没收投标保证金或投标保函。</w:t>
      </w:r>
    </w:p>
    <w:p w14:paraId="02A5F5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19.2.2未中标的投标人的投标担保将按照本须知规定的投标有效期或经投标人同意的延长的投标有效期期满后7天内予以退还（不计利息）。</w:t>
      </w:r>
    </w:p>
    <w:p w14:paraId="02BC3E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19.2.3出现下列情形之一时，招标人应当在7天内退还投标人的投标担保：</w:t>
      </w:r>
    </w:p>
    <w:p w14:paraId="7ACDDE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19.2.3.1中标通知书发出，中标人签订了合同；</w:t>
      </w:r>
    </w:p>
    <w:p w14:paraId="1C1CA50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19.2.3.2招标过程中招标活动因正当理由被招标人宣布终止；</w:t>
      </w:r>
    </w:p>
    <w:p w14:paraId="5444B8F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19.2.3.3招标失败需重新组织招标；</w:t>
      </w:r>
    </w:p>
    <w:p w14:paraId="1862B68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19.2.3.4投标有效期满而投标人不同意作出延长。</w:t>
      </w:r>
    </w:p>
    <w:p w14:paraId="4692AEE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19.2.4投标人有下列任何情况发生时，投标担保将被没收。给招标人造成的损失超过投标担保金额的，投标人还应当对超过部分给予赔偿。</w:t>
      </w:r>
    </w:p>
    <w:p w14:paraId="38B0A0E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19.2.4.1投标人有弄虚作假或串通投标等违法违规行为；</w:t>
      </w:r>
    </w:p>
    <w:p w14:paraId="5CA9D6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19.2.4.2投标人在投标有效期内撤回其投标文件；</w:t>
      </w:r>
    </w:p>
    <w:p w14:paraId="0AC2B6A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19.2.4.3在规定期限内中标人拒绝与招标人签订合同或不提交履约担保的；</w:t>
      </w:r>
    </w:p>
    <w:p w14:paraId="3DAC4895">
      <w:pPr>
        <w:pStyle w:val="46"/>
        <w:spacing w:line="560" w:lineRule="exact"/>
        <w:ind w:firstLine="560"/>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19.2.4.4投标人资质证书被暂扣或吊销，但仍参与投标的。</w:t>
      </w:r>
    </w:p>
    <w:p w14:paraId="56203E76">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20.投标人的替代方案</w:t>
      </w:r>
    </w:p>
    <w:p w14:paraId="3C6BF3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20.1 本项目不接受替代方案。</w:t>
      </w:r>
    </w:p>
    <w:p w14:paraId="0EA914CA">
      <w:pPr>
        <w:pStyle w:val="46"/>
        <w:spacing w:line="560" w:lineRule="exact"/>
        <w:ind w:firstLine="560"/>
        <w:rPr>
          <w:rFonts w:ascii="仿宋_GB2312" w:hAnsi="宋体" w:eastAsia="仿宋_GB2312"/>
          <w:bCs/>
          <w:color w:val="auto"/>
          <w:kern w:val="0"/>
          <w:sz w:val="28"/>
          <w:szCs w:val="28"/>
          <w:highlight w:val="none"/>
        </w:rPr>
      </w:pPr>
    </w:p>
    <w:p w14:paraId="555460FA">
      <w:pPr>
        <w:pStyle w:val="5"/>
        <w:spacing w:before="0" w:after="0" w:line="400" w:lineRule="exact"/>
        <w:jc w:val="center"/>
        <w:rPr>
          <w:rFonts w:ascii="黑体" w:hAnsi="黑体" w:eastAsia="黑体"/>
          <w:b w:val="0"/>
          <w:color w:val="auto"/>
          <w:kern w:val="0"/>
          <w:sz w:val="36"/>
          <w:szCs w:val="36"/>
          <w:highlight w:val="none"/>
        </w:rPr>
      </w:pPr>
      <w:bookmarkStart w:id="50" w:name="_Toc80800152"/>
      <w:bookmarkStart w:id="51" w:name="_Toc32361"/>
      <w:r>
        <w:rPr>
          <w:rFonts w:hint="eastAsia" w:ascii="黑体" w:hAnsi="黑体" w:eastAsia="黑体"/>
          <w:b w:val="0"/>
          <w:color w:val="auto"/>
          <w:kern w:val="0"/>
          <w:sz w:val="36"/>
          <w:szCs w:val="36"/>
          <w:highlight w:val="none"/>
        </w:rPr>
        <w:t>（四）投标文件的提交</w:t>
      </w:r>
      <w:bookmarkEnd w:id="50"/>
      <w:bookmarkEnd w:id="51"/>
    </w:p>
    <w:p w14:paraId="789A782A">
      <w:pPr>
        <w:pStyle w:val="46"/>
        <w:spacing w:line="560" w:lineRule="exact"/>
        <w:ind w:firstLine="560"/>
        <w:rPr>
          <w:rFonts w:ascii="仿宋" w:hAnsi="仿宋" w:eastAsia="仿宋"/>
          <w:bCs/>
          <w:color w:val="auto"/>
          <w:kern w:val="0"/>
          <w:sz w:val="28"/>
          <w:szCs w:val="28"/>
          <w:highlight w:val="none"/>
        </w:rPr>
      </w:pPr>
    </w:p>
    <w:p w14:paraId="5A5B6E8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21.投标文件的密封和标记</w:t>
      </w:r>
    </w:p>
    <w:p w14:paraId="4D1CA25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21.1投标文件须以正规文件袋密封，投标文件中的投标函部分、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资信标部分、商务标部分、技术标部分应装订成册。</w:t>
      </w:r>
    </w:p>
    <w:p w14:paraId="62E28A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21.2投标文件中的投标函部分、资信标部分、商务标部分、技术标部分、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电子标书应分别密封包装在</w:t>
      </w:r>
      <w:r>
        <w:rPr>
          <w:rFonts w:hint="eastAsia" w:ascii="仿宋" w:hAnsi="仿宋" w:eastAsia="仿宋"/>
          <w:bCs/>
          <w:color w:val="auto"/>
          <w:kern w:val="0"/>
          <w:sz w:val="28"/>
          <w:szCs w:val="28"/>
          <w:highlight w:val="none"/>
          <w:lang w:val="en-US" w:eastAsia="zh-CN"/>
        </w:rPr>
        <w:t>六</w:t>
      </w:r>
      <w:r>
        <w:rPr>
          <w:rFonts w:hint="eastAsia" w:ascii="仿宋" w:hAnsi="仿宋" w:eastAsia="仿宋"/>
          <w:bCs/>
          <w:color w:val="auto"/>
          <w:kern w:val="0"/>
          <w:sz w:val="28"/>
          <w:szCs w:val="28"/>
          <w:highlight w:val="none"/>
        </w:rPr>
        <w:t>个密封袋中，在密封袋上相应注明“资格审查文件”、“投标函部分”、“资信标部分”“商务标部分”、“技术标部分”、“电子标书”，并分别注明项目名称、投标人名称。</w:t>
      </w:r>
    </w:p>
    <w:p w14:paraId="2AD862A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21.3将密封包装好的投标函部分、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电子标书统一密封包装在一个外密封袋中，并在外密封袋上注明“投标文件”、项目名称、投标人名称，并按前附表2第2项的规定注明开标时间以及“在此（开标时间）之前不得开封”字样。</w:t>
      </w:r>
    </w:p>
    <w:p w14:paraId="65A4663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21.4所有密封袋的封口处均应贴封条并骑缝加盖投标人公章。</w:t>
      </w:r>
    </w:p>
    <w:p w14:paraId="77361E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22.投标截止时间</w:t>
      </w:r>
    </w:p>
    <w:p w14:paraId="5F26E07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22.1 投标人应根据前附表2第2项的规定，在投标截止时间前将投标文件送达指定地点。</w:t>
      </w:r>
    </w:p>
    <w:p w14:paraId="6587F81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23.投标文件的补充修改与撤回</w:t>
      </w:r>
    </w:p>
    <w:p w14:paraId="26F204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23.1 投标人在递交投标文件以后，在规定的投标截止时间之前，可以书面形式补充、修改或撤回已提交的投标文件，并通知招标人。补充、修改的内容为投标文件的组成部分。</w:t>
      </w:r>
    </w:p>
    <w:p w14:paraId="7FE6D5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23.2 投标人的补充、修改或撤回通知，应按本须知第26条有关规定编制、密封、标记和递交，并在密封袋上清楚注明“补充”、“修改”或“撤回”字样。</w:t>
      </w:r>
    </w:p>
    <w:p w14:paraId="1EC2667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23.3 根据本须知第22条规定，在投标截止时间以后，不得补充、修改投标文件。</w:t>
      </w:r>
    </w:p>
    <w:p w14:paraId="53D327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24.截标时投标文件的数量要求</w:t>
      </w:r>
    </w:p>
    <w:p w14:paraId="5937927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24.1截标时投标文件递交数量不足，则可能推迟招标或重新招标。如导致招标失败，招标人将不负担因此给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511E2A26">
      <w:pPr>
        <w:pStyle w:val="46"/>
        <w:spacing w:line="560" w:lineRule="exact"/>
        <w:ind w:firstLine="560"/>
        <w:rPr>
          <w:rFonts w:ascii="仿宋_GB2312" w:hAnsi="宋体" w:eastAsia="仿宋_GB2312"/>
          <w:bCs/>
          <w:color w:val="auto"/>
          <w:kern w:val="0"/>
          <w:sz w:val="28"/>
          <w:szCs w:val="28"/>
          <w:highlight w:val="none"/>
        </w:rPr>
      </w:pPr>
    </w:p>
    <w:p w14:paraId="68A47A43">
      <w:pPr>
        <w:pStyle w:val="5"/>
        <w:spacing w:before="0" w:after="0" w:line="400" w:lineRule="exact"/>
        <w:jc w:val="center"/>
        <w:rPr>
          <w:rFonts w:ascii="黑体" w:hAnsi="黑体" w:eastAsia="黑体"/>
          <w:b w:val="0"/>
          <w:color w:val="auto"/>
          <w:kern w:val="0"/>
          <w:sz w:val="36"/>
          <w:szCs w:val="36"/>
          <w:highlight w:val="none"/>
        </w:rPr>
      </w:pPr>
      <w:bookmarkStart w:id="52" w:name="_Toc26627"/>
      <w:bookmarkStart w:id="53" w:name="_Toc80800153"/>
      <w:r>
        <w:rPr>
          <w:rFonts w:hint="eastAsia" w:ascii="黑体" w:hAnsi="黑体" w:eastAsia="黑体"/>
          <w:b w:val="0"/>
          <w:color w:val="auto"/>
          <w:kern w:val="0"/>
          <w:sz w:val="36"/>
          <w:szCs w:val="36"/>
          <w:highlight w:val="none"/>
        </w:rPr>
        <w:t>（五）资格后审</w:t>
      </w:r>
      <w:bookmarkEnd w:id="52"/>
      <w:bookmarkEnd w:id="53"/>
    </w:p>
    <w:p w14:paraId="63D580D1">
      <w:pPr>
        <w:pStyle w:val="46"/>
        <w:spacing w:line="560" w:lineRule="exact"/>
        <w:ind w:firstLine="560"/>
        <w:rPr>
          <w:rFonts w:ascii="仿宋_GB2312" w:hAnsi="宋体" w:eastAsia="仿宋_GB2312"/>
          <w:bCs/>
          <w:color w:val="auto"/>
          <w:kern w:val="0"/>
          <w:sz w:val="28"/>
          <w:szCs w:val="28"/>
          <w:highlight w:val="none"/>
        </w:rPr>
      </w:pPr>
    </w:p>
    <w:p w14:paraId="500FE9E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25.资格后审</w:t>
      </w:r>
    </w:p>
    <w:p w14:paraId="3BA11E8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资格审查方式为资格后审的，其资格审查活动按以下规定进行：</w:t>
      </w:r>
    </w:p>
    <w:p w14:paraId="7A71AC0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25.1资格审查由招标人组成的开标小组负责，在截标后对各投标人资格进行审查。</w:t>
      </w:r>
    </w:p>
    <w:p w14:paraId="718AA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25.2开标小组开启资格审查文件，严格对照招标公告中要求的投标人资格条件，逐个审查投标人递交的资格证明文件，审核判断投标人是否满足该资格条件。</w:t>
      </w:r>
    </w:p>
    <w:p w14:paraId="216DEC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25.3审查过程中如出现疑问，开标小组可要求投标人进行澄清说明，并根据招标公告设置的条件要求进行判断；如出现投标人资格不符合招标公告设置条件的，应当向投标人说明情况，并允许投标人答辩，记录有关情况。</w:t>
      </w:r>
    </w:p>
    <w:p w14:paraId="1ECAB7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25.4投标人应准备相关原件以备查验。</w:t>
      </w:r>
    </w:p>
    <w:p w14:paraId="4E0E402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25.5拟进行资格后审澄清、答辩的代表由招标人核对身份</w:t>
      </w:r>
      <w:r>
        <w:rPr>
          <w:rFonts w:ascii="仿宋" w:hAnsi="仿宋" w:eastAsia="仿宋"/>
          <w:bCs/>
          <w:color w:val="auto"/>
          <w:kern w:val="0"/>
          <w:sz w:val="28"/>
          <w:szCs w:val="28"/>
          <w:highlight w:val="none"/>
        </w:rPr>
        <w:t>。</w:t>
      </w:r>
    </w:p>
    <w:p w14:paraId="0F7267F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25.6开标小组要求投标人进行澄清、答辩，但投标人在招标人规定时间内未派出人员及时作出澄清、答辩的，开标小组会将可能作出不利于投标人的判定。</w:t>
      </w:r>
    </w:p>
    <w:p w14:paraId="371955F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25.7资格审查合格投标人少于3家的，不再进行后续招标投标程序。</w:t>
      </w:r>
    </w:p>
    <w:p w14:paraId="5DE76959">
      <w:pPr>
        <w:pStyle w:val="46"/>
        <w:spacing w:line="560" w:lineRule="exact"/>
        <w:ind w:firstLine="560"/>
        <w:rPr>
          <w:rFonts w:ascii="仿宋_GB2312" w:hAnsi="宋体" w:eastAsia="仿宋_GB2312"/>
          <w:bCs/>
          <w:color w:val="auto"/>
          <w:kern w:val="0"/>
          <w:sz w:val="28"/>
          <w:szCs w:val="28"/>
          <w:highlight w:val="none"/>
        </w:rPr>
      </w:pPr>
    </w:p>
    <w:p w14:paraId="7A1D402D">
      <w:pPr>
        <w:pStyle w:val="5"/>
        <w:spacing w:before="0" w:after="0" w:line="400" w:lineRule="exact"/>
        <w:ind w:firstLine="720"/>
        <w:jc w:val="center"/>
        <w:rPr>
          <w:rFonts w:ascii="黑体" w:hAnsi="黑体" w:eastAsia="黑体"/>
          <w:b w:val="0"/>
          <w:color w:val="auto"/>
          <w:kern w:val="0"/>
          <w:sz w:val="36"/>
          <w:szCs w:val="36"/>
          <w:highlight w:val="none"/>
        </w:rPr>
      </w:pPr>
      <w:bookmarkStart w:id="54" w:name="_Toc20914"/>
      <w:bookmarkStart w:id="55" w:name="_Toc80800154"/>
      <w:r>
        <w:rPr>
          <w:rFonts w:hint="eastAsia" w:ascii="黑体" w:hAnsi="黑体" w:eastAsia="黑体"/>
          <w:b w:val="0"/>
          <w:color w:val="auto"/>
          <w:kern w:val="0"/>
          <w:sz w:val="36"/>
          <w:szCs w:val="36"/>
          <w:highlight w:val="none"/>
        </w:rPr>
        <w:t>（六）开标</w:t>
      </w:r>
      <w:bookmarkEnd w:id="54"/>
      <w:bookmarkEnd w:id="55"/>
    </w:p>
    <w:p w14:paraId="38E1D490">
      <w:pPr>
        <w:pStyle w:val="46"/>
        <w:spacing w:line="560" w:lineRule="exact"/>
        <w:ind w:firstLine="560"/>
        <w:rPr>
          <w:rFonts w:ascii="仿宋_GB2312" w:hAnsi="宋体" w:eastAsia="仿宋_GB2312"/>
          <w:bCs/>
          <w:color w:val="auto"/>
          <w:kern w:val="0"/>
          <w:sz w:val="28"/>
          <w:szCs w:val="28"/>
          <w:highlight w:val="none"/>
        </w:rPr>
      </w:pPr>
    </w:p>
    <w:p w14:paraId="6D1D86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26.开标</w:t>
      </w:r>
    </w:p>
    <w:p w14:paraId="2318D00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26.1 本招标</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招标人将于前附表2第5项所规定的时间和地点公开举行开标会议，并邀请所有投标人代表（资格后审不合格单位除外）参加。</w:t>
      </w:r>
    </w:p>
    <w:p w14:paraId="61A099A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26.2</w:t>
      </w:r>
      <w:r>
        <w:rPr>
          <w:rFonts w:ascii="仿宋" w:hAnsi="仿宋" w:eastAsia="仿宋"/>
          <w:bCs/>
          <w:color w:val="auto"/>
          <w:kern w:val="0"/>
          <w:sz w:val="28"/>
          <w:szCs w:val="28"/>
          <w:highlight w:val="none"/>
        </w:rPr>
        <w:t xml:space="preserve"> </w:t>
      </w:r>
      <w:r>
        <w:rPr>
          <w:rFonts w:hint="eastAsia" w:ascii="仿宋" w:hAnsi="仿宋" w:eastAsia="仿宋"/>
          <w:bCs/>
          <w:color w:val="auto"/>
          <w:kern w:val="0"/>
          <w:sz w:val="28"/>
          <w:szCs w:val="28"/>
          <w:highlight w:val="none"/>
        </w:rPr>
        <w:t>参加开标会议的投标人的法定代表人或其委托代理人应随带本人身份证，委托代理人还应随带“法定代表人证明书”和“法定代表人授权委托书”，以证明其身份。</w:t>
      </w:r>
    </w:p>
    <w:p w14:paraId="29B05DF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26.3 开标会议由招标人主持。</w:t>
      </w:r>
    </w:p>
    <w:p w14:paraId="406ACC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(1)由投标人或投标人代表检查投标文件的密封和标记情况；</w:t>
      </w:r>
    </w:p>
    <w:p w14:paraId="2303441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(2)经确认无误后，由招标人当众拆封，宣读投标人名称、投标价格以及投标文件中的其他主要内容。</w:t>
      </w:r>
    </w:p>
    <w:p w14:paraId="50B11B2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26.4 招标人在投标截止时间前收到的所有投标文件，开标时都应当众拆封、宣读。但按规定提交合格的撤回通知的投标文件不予开封，并退给投标人。</w:t>
      </w:r>
    </w:p>
    <w:p w14:paraId="6AA0F5C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26.5按本须知第27条规定宣布为不予受理的投标文件，不予送交评审；其它不属于本须知第27条情形的投标文件均送交评标委员会。</w:t>
      </w:r>
    </w:p>
    <w:p w14:paraId="461893A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26.6招标人应对开标过程进行记录，以存档备查。</w:t>
      </w:r>
    </w:p>
    <w:p w14:paraId="7807BC48">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27.投标文件的受理</w:t>
      </w:r>
    </w:p>
    <w:p w14:paraId="2148E25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 投标文件有下列情形之一的，招标人将不予受理：</w:t>
      </w:r>
    </w:p>
    <w:p w14:paraId="1E8473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27.1.1 在规定投标截止时间以后</w:t>
      </w:r>
      <w:r>
        <w:rPr>
          <w:rFonts w:ascii="仿宋" w:hAnsi="仿宋" w:eastAsia="仿宋"/>
          <w:bCs/>
          <w:color w:val="auto"/>
          <w:kern w:val="0"/>
          <w:sz w:val="28"/>
          <w:szCs w:val="28"/>
          <w:highlight w:val="none"/>
        </w:rPr>
        <w:t>逾期送达的或者未送达指定地点的</w:t>
      </w:r>
      <w:r>
        <w:rPr>
          <w:rFonts w:hint="eastAsia" w:ascii="仿宋" w:hAnsi="仿宋" w:eastAsia="仿宋"/>
          <w:bCs/>
          <w:color w:val="auto"/>
          <w:kern w:val="0"/>
          <w:sz w:val="28"/>
          <w:szCs w:val="28"/>
          <w:highlight w:val="none"/>
        </w:rPr>
        <w:t>；</w:t>
      </w:r>
    </w:p>
    <w:p w14:paraId="65F465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27.1.2 未按规定密封和骑缝加盖投标人公章的；</w:t>
      </w:r>
    </w:p>
    <w:p w14:paraId="0AF0FA86">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27.1.3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的投标报价高于招标控制价或投标报价上限的；</w:t>
      </w:r>
    </w:p>
    <w:p w14:paraId="0E3398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27.1.4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承诺的服务周期超过招标文件要求的；</w:t>
      </w:r>
    </w:p>
    <w:p w14:paraId="226E4B7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27.2 如果招标人根据招标文件的规定难以准确判断某投标人的投标文件是否应予受理的，或有投标人在开标会上对审查程序与结果提出异议的，招标人将记录有关情况提交评标委员会讨论决定。</w:t>
      </w:r>
    </w:p>
    <w:p w14:paraId="658F0FCB">
      <w:pPr>
        <w:pStyle w:val="46"/>
        <w:spacing w:line="560" w:lineRule="exact"/>
        <w:ind w:firstLine="560"/>
        <w:rPr>
          <w:rFonts w:ascii="仿宋_GB2312" w:hAnsi="宋体" w:eastAsia="仿宋_GB2312"/>
          <w:bCs/>
          <w:color w:val="auto"/>
          <w:kern w:val="0"/>
          <w:sz w:val="28"/>
          <w:szCs w:val="28"/>
          <w:highlight w:val="none"/>
        </w:rPr>
      </w:pPr>
    </w:p>
    <w:p w14:paraId="34CADB88">
      <w:pPr>
        <w:topLinePunct/>
        <w:adjustRightInd w:val="0"/>
        <w:snapToGrid w:val="0"/>
        <w:spacing w:line="360" w:lineRule="auto"/>
        <w:ind w:firstLine="480" w:firstLineChars="200"/>
        <w:jc w:val="left"/>
        <w:rPr>
          <w:rFonts w:ascii="宋体" w:hAnsi="宋体"/>
          <w:color w:val="auto"/>
          <w:kern w:val="0"/>
          <w:sz w:val="24"/>
          <w:szCs w:val="24"/>
          <w:highlight w:val="none"/>
        </w:rPr>
      </w:pPr>
    </w:p>
    <w:p w14:paraId="63663397">
      <w:pPr>
        <w:pStyle w:val="5"/>
        <w:spacing w:before="0" w:after="0" w:line="400" w:lineRule="exact"/>
        <w:ind w:firstLine="720"/>
        <w:jc w:val="center"/>
        <w:rPr>
          <w:rFonts w:ascii="黑体" w:hAnsi="黑体" w:eastAsia="黑体"/>
          <w:b w:val="0"/>
          <w:color w:val="auto"/>
          <w:kern w:val="0"/>
          <w:sz w:val="36"/>
          <w:szCs w:val="36"/>
          <w:highlight w:val="none"/>
        </w:rPr>
      </w:pPr>
      <w:bookmarkStart w:id="56" w:name="_Toc31138"/>
      <w:bookmarkStart w:id="57" w:name="_Toc80800155"/>
      <w:r>
        <w:rPr>
          <w:rFonts w:hint="eastAsia" w:ascii="黑体" w:hAnsi="黑体" w:eastAsia="黑体"/>
          <w:b w:val="0"/>
          <w:color w:val="auto"/>
          <w:kern w:val="0"/>
          <w:sz w:val="36"/>
          <w:szCs w:val="36"/>
          <w:highlight w:val="none"/>
        </w:rPr>
        <w:t>（七）评  标</w:t>
      </w:r>
      <w:bookmarkEnd w:id="56"/>
      <w:bookmarkEnd w:id="57"/>
    </w:p>
    <w:p w14:paraId="57DCF861">
      <w:pPr>
        <w:pStyle w:val="46"/>
        <w:spacing w:line="560" w:lineRule="exact"/>
        <w:ind w:firstLine="560"/>
        <w:rPr>
          <w:rFonts w:ascii="仿宋_GB2312" w:hAnsi="宋体" w:eastAsia="仿宋_GB2312"/>
          <w:bCs/>
          <w:color w:val="auto"/>
          <w:kern w:val="0"/>
          <w:sz w:val="28"/>
          <w:szCs w:val="28"/>
          <w:highlight w:val="none"/>
        </w:rPr>
      </w:pPr>
    </w:p>
    <w:p w14:paraId="108BC54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28.评标委员会和评标</w:t>
      </w:r>
    </w:p>
    <w:p w14:paraId="4159728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28.1 评标委员会由招标人依法组建，负责评标活动。</w:t>
      </w:r>
    </w:p>
    <w:p w14:paraId="6385F2A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28.2 开标结束后，开始评标，评标采用保密方式进行。</w:t>
      </w:r>
    </w:p>
    <w:p w14:paraId="7A1405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29. 招标人将向评标委员会提供以下资料，供评标使用：</w:t>
      </w:r>
    </w:p>
    <w:p w14:paraId="49A57B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29.1 招标文件，包括补遗文件、答疑文件等；</w:t>
      </w:r>
    </w:p>
    <w:p w14:paraId="4739EF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29.2 供评标使用的主要技术资料；</w:t>
      </w:r>
    </w:p>
    <w:p w14:paraId="0669DFA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29.3 项目概况和评标重点的书面介绍。</w:t>
      </w:r>
    </w:p>
    <w:p w14:paraId="34C770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29.4 其他评标必须的资料。</w:t>
      </w:r>
    </w:p>
    <w:p w14:paraId="6DEFD002">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30.投标文件的初步评审</w:t>
      </w:r>
    </w:p>
    <w:p w14:paraId="418CFBB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30.1由评标委员会进行投标文件的初步评审；</w:t>
      </w:r>
    </w:p>
    <w:p w14:paraId="1C0A504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w:t>
      </w:r>
      <w:r>
        <w:rPr>
          <w:rFonts w:ascii="仿宋" w:hAnsi="仿宋" w:eastAsia="仿宋"/>
          <w:bCs/>
          <w:color w:val="auto"/>
          <w:kern w:val="0"/>
          <w:sz w:val="28"/>
          <w:szCs w:val="28"/>
          <w:highlight w:val="none"/>
        </w:rPr>
        <w:t>投标文件有下列情形之一的，</w:t>
      </w:r>
      <w:r>
        <w:rPr>
          <w:rFonts w:hint="eastAsia" w:ascii="仿宋" w:hAnsi="仿宋" w:eastAsia="仿宋"/>
          <w:bCs/>
          <w:color w:val="auto"/>
          <w:kern w:val="0"/>
          <w:sz w:val="28"/>
          <w:szCs w:val="28"/>
          <w:highlight w:val="none"/>
        </w:rPr>
        <w:t>初步评审不通过，应作无效标处理：</w:t>
      </w:r>
    </w:p>
    <w:p w14:paraId="1B10BEB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30.2.1 投标文件的有关内容未按规定加盖投标人印章、或未经法定代表人或其委托代理人签字(或盖章)、或由委托代理人签字(或盖章)但未随投标文件一起提供“投标文件签署授权委托书”原件的；</w:t>
      </w:r>
    </w:p>
    <w:p w14:paraId="046D9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30.2.2投标函按招标文件规定应当填写而未填写的；</w:t>
      </w:r>
    </w:p>
    <w:p w14:paraId="2C887B9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30.2.3招标人要求提交投标文件电子文档，但投标人未提交或提交的电子文档不符合要求的。</w:t>
      </w:r>
    </w:p>
    <w:p w14:paraId="327027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30.2.4投标人组成联合体投标，但投标文件未按规定附有联合体各方共同投标协议的；</w:t>
      </w:r>
    </w:p>
    <w:p w14:paraId="6D14C4F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30.2.5参加联合体的各成员再以自己的名义单独投标的，或同时参加两个或两个以上的联合体投标的；</w:t>
      </w:r>
    </w:p>
    <w:p w14:paraId="088A8C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30.2.6投标人资格条件不符合国家有关规定和招标文件要求的。</w:t>
      </w:r>
    </w:p>
    <w:p w14:paraId="41D1E08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31.投标文件的详细评审</w:t>
      </w:r>
    </w:p>
    <w:p w14:paraId="69FEE1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31.1评标委员会根据前附表1第16项规定的评标方法和标准，对投标文件进行</w:t>
      </w:r>
      <w:r>
        <w:rPr>
          <w:rFonts w:ascii="仿宋" w:hAnsi="仿宋" w:eastAsia="仿宋"/>
          <w:bCs/>
          <w:color w:val="auto"/>
          <w:kern w:val="0"/>
          <w:sz w:val="28"/>
          <w:szCs w:val="28"/>
          <w:highlight w:val="none"/>
        </w:rPr>
        <w:t>系统</w:t>
      </w:r>
      <w:r>
        <w:rPr>
          <w:rFonts w:hint="eastAsia" w:ascii="仿宋" w:hAnsi="仿宋" w:eastAsia="仿宋"/>
          <w:bCs/>
          <w:color w:val="auto"/>
          <w:kern w:val="0"/>
          <w:sz w:val="28"/>
          <w:szCs w:val="28"/>
          <w:highlight w:val="none"/>
        </w:rPr>
        <w:t>的评审和比较，</w:t>
      </w:r>
      <w:r>
        <w:rPr>
          <w:rFonts w:ascii="仿宋" w:hAnsi="仿宋" w:eastAsia="仿宋"/>
          <w:bCs/>
          <w:color w:val="auto"/>
          <w:kern w:val="0"/>
          <w:sz w:val="28"/>
          <w:szCs w:val="28"/>
          <w:highlight w:val="none"/>
        </w:rPr>
        <w:t>招标文件中没有规定的标准和方法不得作为评标的依据。</w:t>
      </w:r>
    </w:p>
    <w:p w14:paraId="5878FFA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32.投标文件的重大偏差</w:t>
      </w:r>
    </w:p>
    <w:p w14:paraId="05C862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32.1投标文件存在重大偏差的，应作废标处理。下列情况属于重大偏差：</w:t>
      </w:r>
    </w:p>
    <w:p w14:paraId="66C14CD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32.1.1投标人以他人的名义投标或出现下列串通投标、弄虚作假投标嫌疑的：</w:t>
      </w:r>
    </w:p>
    <w:p w14:paraId="3073770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32.1.2投标人资质条件不符合国家有关规定和招标文件要求；</w:t>
      </w:r>
    </w:p>
    <w:p w14:paraId="5D90AD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32.1.3投标人拒不按照要求对投标文件进行澄清、说明、补正的或评标委员会根据本须知第35.1条规定对投标文件的计算错误进行修正后，投标人不接受修正后的投标报价的； </w:t>
      </w:r>
    </w:p>
    <w:p w14:paraId="533E91B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32.1.4投标文件附有招标人不能接受的条件；</w:t>
      </w:r>
    </w:p>
    <w:p w14:paraId="42FC0C7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32.1.5投标文件不满足招标文件规定的任何一项实质性要求的；</w:t>
      </w:r>
    </w:p>
    <w:p w14:paraId="44BF3D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33.投标文件的细微偏差</w:t>
      </w:r>
    </w:p>
    <w:p w14:paraId="3F80C6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33.1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7B4729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33.2评标委员会应当书面要求存在细微偏差的投标人在评标结束前予以补正。拒不补正的，在详细评审时可以对细微偏差作不利于该投标人的量化，量化标准以招标文件规定为准。</w:t>
      </w:r>
    </w:p>
    <w:p w14:paraId="02569C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33.3 在评审过程中，评标委员会可以以书面形式要求投标人就投标文件中含义不明确的内容进行说明并提供相关材料。</w:t>
      </w:r>
    </w:p>
    <w:p w14:paraId="17179B2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34.投标文件的澄清和对答辩人的要求</w:t>
      </w:r>
    </w:p>
    <w:p w14:paraId="098400E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34.1为有助于投标文件的审查、评价和比较，评标委员会可以要求投标人对投标文件含义不明确的内容作必要的澄清或说明，投标人应当进行澄清或说明，但不得超出投标文件的范围或改变投标报价和其他实质性内容。根据本须知第35条规定，凡属于评标委员会在评标中发现的计算错误并进行核实的修改不在此列。</w:t>
      </w:r>
    </w:p>
    <w:p w14:paraId="42F64A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34.2 </w:t>
      </w:r>
      <w:r>
        <w:rPr>
          <w:rFonts w:ascii="仿宋" w:hAnsi="仿宋" w:eastAsia="仿宋"/>
          <w:bCs/>
          <w:color w:val="auto"/>
          <w:kern w:val="0"/>
          <w:sz w:val="28"/>
          <w:szCs w:val="28"/>
          <w:highlight w:val="none"/>
        </w:rPr>
        <w:t>评标过程中</w:t>
      </w:r>
      <w:r>
        <w:rPr>
          <w:rFonts w:hint="eastAsia" w:ascii="仿宋" w:hAnsi="仿宋" w:eastAsia="仿宋"/>
          <w:bCs/>
          <w:color w:val="auto"/>
          <w:kern w:val="0"/>
          <w:sz w:val="28"/>
          <w:szCs w:val="28"/>
          <w:highlight w:val="none"/>
        </w:rPr>
        <w:t>对</w:t>
      </w:r>
      <w:r>
        <w:rPr>
          <w:rFonts w:ascii="仿宋" w:hAnsi="仿宋" w:eastAsia="仿宋"/>
          <w:bCs/>
          <w:color w:val="auto"/>
          <w:kern w:val="0"/>
          <w:sz w:val="28"/>
          <w:szCs w:val="28"/>
          <w:highlight w:val="none"/>
        </w:rPr>
        <w:t>各投标单位的答辩人要求如下：</w:t>
      </w:r>
    </w:p>
    <w:p w14:paraId="3B28B26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34.2.1</w:t>
      </w:r>
      <w:r>
        <w:rPr>
          <w:rFonts w:ascii="仿宋" w:hAnsi="仿宋" w:eastAsia="仿宋"/>
          <w:bCs/>
          <w:color w:val="auto"/>
          <w:kern w:val="0"/>
          <w:sz w:val="28"/>
          <w:szCs w:val="28"/>
          <w:highlight w:val="none"/>
        </w:rPr>
        <w:t>拟进行</w:t>
      </w:r>
      <w:r>
        <w:rPr>
          <w:rFonts w:hint="eastAsia" w:ascii="仿宋" w:hAnsi="仿宋" w:eastAsia="仿宋"/>
          <w:bCs/>
          <w:color w:val="auto"/>
          <w:kern w:val="0"/>
          <w:sz w:val="28"/>
          <w:szCs w:val="28"/>
          <w:highlight w:val="none"/>
        </w:rPr>
        <w:t>投标</w:t>
      </w:r>
      <w:r>
        <w:rPr>
          <w:rFonts w:ascii="仿宋" w:hAnsi="仿宋" w:eastAsia="仿宋"/>
          <w:bCs/>
          <w:color w:val="auto"/>
          <w:kern w:val="0"/>
          <w:sz w:val="28"/>
          <w:szCs w:val="28"/>
          <w:highlight w:val="none"/>
        </w:rPr>
        <w:t>答辩的，投标人法定代表人</w:t>
      </w:r>
      <w:r>
        <w:rPr>
          <w:rFonts w:hint="eastAsia" w:ascii="仿宋" w:hAnsi="仿宋" w:eastAsia="仿宋"/>
          <w:bCs/>
          <w:color w:val="auto"/>
          <w:kern w:val="0"/>
          <w:sz w:val="28"/>
          <w:szCs w:val="28"/>
          <w:highlight w:val="none"/>
        </w:rPr>
        <w:t>或其授权委托人。</w:t>
      </w:r>
    </w:p>
    <w:p w14:paraId="2F3DAB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34.3评标委员会要求投标人进行答辩，但投标人在规定时间内未派出答辩人及时作出答辩的，评标委员会将根据招标文件规定作出不利于投标人的判定。</w:t>
      </w:r>
    </w:p>
    <w:p w14:paraId="11288C6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35.投标文件计算错误的修正</w:t>
      </w:r>
    </w:p>
    <w:p w14:paraId="5992B4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35.1投标人的投标报价中如出现算术错误，将按以下方法进行调整：</w:t>
      </w:r>
    </w:p>
    <w:p w14:paraId="17D5F0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35.1.1投标文件中大写金额与小写金额不一致的，以大写金额为准；</w:t>
      </w:r>
    </w:p>
    <w:p w14:paraId="07C43E2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35.1.2总价金额与按单价计算的总金额不一致的，以单价计算的总金额为准。除非评标委员会认为单价有明显的小数点错误，此时应以合价金额为准，调整单价；</w:t>
      </w:r>
    </w:p>
    <w:p w14:paraId="3876B0D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35.2投标人的投标报价如果出现缺项、漏项或是修改了本招标项目列明项目的数量情况的，评标委员会应根据具体评标方法和评审标准，按照不利于该投标人的原则进行调整，且投标人不得因此提出任何异议。</w:t>
      </w:r>
    </w:p>
    <w:p w14:paraId="2B0C134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35.3按照本节第35.1条、第35.2条规定的调整方法确定的调整后报价，须取得投标人同意并书面签字确认。如果投标人拒不接受调整方法以及调整后的报价的，其投标将被拒绝。</w:t>
      </w:r>
    </w:p>
    <w:p w14:paraId="241CD1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35.4如果出现多报或超出本招标项目列明项目的数量情况的，评标委员会应根据具体评标方法和评审标准，按照不利于该投标人的原则进行调整，且投标人不得因此提出任何异议。</w:t>
      </w:r>
    </w:p>
    <w:p w14:paraId="1DF618C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35.5中标人的投标报价是按照本节第35.1条、第35.2条、第35.3条规定的进行了调整的，其中标价按就低不就高的原则确定。如果投标人拒不接受的，其投标将被拒绝。</w:t>
      </w:r>
    </w:p>
    <w:p w14:paraId="6C1B002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35.5.1投标人的投标报价的总价小于调整后的报价，中标价即为投标人的投标报价的总价；投标报价的总价大于调整后的报价，中标价即为调整后的报价。</w:t>
      </w:r>
    </w:p>
    <w:p w14:paraId="596DB9D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36.无效标和废标的处理</w:t>
      </w:r>
    </w:p>
    <w:p w14:paraId="512036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36.1除本须知第30.2条和第32.1条明确规定的无效标和废标情形外，评标委员会对投标文件应坚持谨慎确定无效标和废标的原则。</w:t>
      </w:r>
    </w:p>
    <w:p w14:paraId="59647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36.2评标委员会在作出任何一项无效标和废标决定前，都应当严格遵循以下程序：</w:t>
      </w:r>
    </w:p>
    <w:p w14:paraId="6D31F7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36.2.1 要求当事投标人作相应的答辩；</w:t>
      </w:r>
    </w:p>
    <w:p w14:paraId="0000FA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36.2.2 将答辩记录送当事投标人法定代表人或其授权委托人签字确认；</w:t>
      </w:r>
    </w:p>
    <w:p w14:paraId="3705F6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36.2.3 在充分讨论的基础上集体表决；</w:t>
      </w:r>
    </w:p>
    <w:p w14:paraId="661ED0B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36.2.4 若表决通过无效标或废标决定，告知投标当事人，并在评标报告中详细载明无效标或废标的理由、依据、答辩的情况和集体表决的情况(同意无效标或废标和不同意无效标或废标的评标委员会成员均应当注明)。</w:t>
      </w:r>
    </w:p>
    <w:p w14:paraId="719C4C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37.中标候选人的推荐或确定</w:t>
      </w:r>
    </w:p>
    <w:p w14:paraId="43EAC5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37.1 </w:t>
      </w:r>
      <w:r>
        <w:rPr>
          <w:rFonts w:ascii="仿宋" w:hAnsi="仿宋" w:eastAsia="仿宋"/>
          <w:bCs/>
          <w:color w:val="auto"/>
          <w:kern w:val="0"/>
          <w:sz w:val="28"/>
          <w:szCs w:val="28"/>
          <w:highlight w:val="none"/>
        </w:rPr>
        <w:t>评标委员会实行少数服从多数的原则，评标结果经评标委员会全体成员过半数通过有效。</w:t>
      </w:r>
    </w:p>
    <w:p w14:paraId="383FB35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37.2 评标委员会经过对投标文件进行评审和比较后，向招标人提出书面评标报告，并推荐中标候选人。</w:t>
      </w:r>
    </w:p>
    <w:p w14:paraId="264777C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37.3 招标人根据评标委员会提出的书面评标报告和推荐的中标候选人确定中标人，也可以授权评标委员会直接确定中标人。</w:t>
      </w:r>
    </w:p>
    <w:p w14:paraId="23673E8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38.评标过程的保密</w:t>
      </w:r>
    </w:p>
    <w:p w14:paraId="1F3306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38.1 开标后，直到授予中标人合同为止，凡属于对投标文件的审查、澄清、评价和比较有关的资料以及中标侯选人的推荐情况，与评标有关的其他任何情况均严格保密。</w:t>
      </w:r>
    </w:p>
    <w:p w14:paraId="627B5B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38.2 在投标文件的评审和比较、中标候选人推荐以及授予合同的过程中，投标人不得有向招标人和评标委员会施加影响的任何行为。</w:t>
      </w:r>
    </w:p>
    <w:p w14:paraId="433945F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38.3 中标人确定后，招标人不对未中标人就评标过程以及未能中标原因作出任何解释。未中标人不得向评标委员会组成人员或其他有关人员索问评标过程的情况和材料。</w:t>
      </w:r>
    </w:p>
    <w:p w14:paraId="476C796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39.其它规定</w:t>
      </w:r>
    </w:p>
    <w:p w14:paraId="189C5B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39.1评标过程中，若评标委员会认为本次招标缺乏竞争性，可以不推荐中标候选人，由招标人重新组织招标。</w:t>
      </w:r>
    </w:p>
    <w:p w14:paraId="396FF693">
      <w:pPr>
        <w:pStyle w:val="46"/>
        <w:spacing w:line="560" w:lineRule="exact"/>
        <w:ind w:firstLine="560"/>
        <w:rPr>
          <w:rFonts w:ascii="仿宋_GB2312" w:hAnsi="宋体" w:eastAsia="仿宋_GB2312"/>
          <w:bCs/>
          <w:color w:val="auto"/>
          <w:kern w:val="0"/>
          <w:sz w:val="28"/>
          <w:szCs w:val="28"/>
          <w:highlight w:val="none"/>
        </w:rPr>
      </w:pPr>
    </w:p>
    <w:p w14:paraId="169B47B3">
      <w:pPr>
        <w:pStyle w:val="5"/>
        <w:spacing w:before="0" w:after="0" w:line="400" w:lineRule="exact"/>
        <w:ind w:firstLine="723"/>
        <w:jc w:val="center"/>
        <w:rPr>
          <w:rFonts w:ascii="黑体" w:hAnsi="黑体" w:eastAsia="黑体"/>
          <w:b w:val="0"/>
          <w:color w:val="auto"/>
          <w:kern w:val="0"/>
          <w:sz w:val="36"/>
          <w:szCs w:val="36"/>
          <w:highlight w:val="none"/>
        </w:rPr>
      </w:pPr>
      <w:bookmarkStart w:id="58" w:name="_Toc2441"/>
      <w:bookmarkStart w:id="59" w:name="_Toc80800156"/>
      <w:r>
        <w:rPr>
          <w:rFonts w:hint="eastAsia" w:ascii="黑体" w:hAnsi="黑体" w:eastAsia="黑体"/>
          <w:b w:val="0"/>
          <w:color w:val="auto"/>
          <w:kern w:val="0"/>
          <w:sz w:val="36"/>
          <w:szCs w:val="36"/>
          <w:highlight w:val="none"/>
        </w:rPr>
        <w:t>（八）定标</w:t>
      </w:r>
      <w:bookmarkEnd w:id="58"/>
      <w:bookmarkEnd w:id="59"/>
    </w:p>
    <w:p w14:paraId="3F91528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40.中标人确定方式</w:t>
      </w:r>
    </w:p>
    <w:p w14:paraId="5F2FC2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1招标人根据评标委员会推荐的中标候选人确定中标人，也可以授权评标委员会直接确定中标人。</w:t>
      </w:r>
    </w:p>
    <w:p w14:paraId="0EB560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40.2招标人授权评标委员会确定中标人的：评标委员会根据招标文件中的评审内容和评审指引，对各投标人的投标文件进行评审，推荐有排序的</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u w:val="single"/>
          <w:lang w:val="en-US" w:eastAsia="zh-CN"/>
        </w:rPr>
        <w:t>1</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名中标候选人，评标报告通过招标人审批后，第一中标候选人即为中标人。</w:t>
      </w:r>
    </w:p>
    <w:p w14:paraId="5801F54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40.3采用评定分离，招标人根据评标委员会评标报告在推荐的中标候选人确定中标人的：评标委员会根据招标文件中的评审内容和评审指引，对各投标人的投标文件进行评审，推荐不超过</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 xml:space="preserve">名无排序中标候选人，后由招标人的招标领导小组通过民主决策在评标委员会推荐的中标候选人中确定 </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名中标人。</w:t>
      </w:r>
    </w:p>
    <w:p w14:paraId="092C7C3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40.4本次招标，评标委员会评标得分仅作为招标人确定中标人的参考，招标人有权确定任一中标候选人为中标人。</w:t>
      </w:r>
    </w:p>
    <w:p w14:paraId="2F2E47A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40.5如出现中标人放弃中标的情形，招标人可按上述程序在剩余中标候选人中重新确定中标人，也可重新组织招标。</w:t>
      </w:r>
    </w:p>
    <w:p w14:paraId="3BEFE6F2">
      <w:pPr>
        <w:pStyle w:val="46"/>
        <w:spacing w:line="560" w:lineRule="exact"/>
        <w:ind w:firstLine="560"/>
        <w:rPr>
          <w:rFonts w:ascii="仿宋" w:hAnsi="仿宋" w:eastAsia="仿宋"/>
          <w:bCs/>
          <w:color w:val="auto"/>
          <w:kern w:val="0"/>
          <w:sz w:val="28"/>
          <w:szCs w:val="28"/>
          <w:highlight w:val="none"/>
        </w:rPr>
      </w:pPr>
    </w:p>
    <w:p w14:paraId="6CDAE958">
      <w:pPr>
        <w:pStyle w:val="5"/>
        <w:spacing w:before="0" w:after="0" w:line="400" w:lineRule="exact"/>
        <w:ind w:firstLine="720"/>
        <w:jc w:val="center"/>
        <w:rPr>
          <w:rFonts w:ascii="黑体" w:hAnsi="黑体" w:eastAsia="黑体"/>
          <w:b w:val="0"/>
          <w:color w:val="auto"/>
          <w:kern w:val="0"/>
          <w:sz w:val="36"/>
          <w:szCs w:val="36"/>
          <w:highlight w:val="none"/>
        </w:rPr>
      </w:pPr>
      <w:bookmarkStart w:id="60" w:name="_Toc24224"/>
      <w:bookmarkStart w:id="61" w:name="_Toc80800157"/>
      <w:r>
        <w:rPr>
          <w:rFonts w:hint="eastAsia" w:ascii="黑体" w:hAnsi="黑体" w:eastAsia="黑体"/>
          <w:b w:val="0"/>
          <w:color w:val="auto"/>
          <w:kern w:val="0"/>
          <w:sz w:val="36"/>
          <w:szCs w:val="36"/>
          <w:highlight w:val="none"/>
        </w:rPr>
        <w:t>（九）中标通知书</w:t>
      </w:r>
      <w:bookmarkEnd w:id="60"/>
      <w:bookmarkEnd w:id="61"/>
    </w:p>
    <w:p w14:paraId="6A1ECF38">
      <w:pPr>
        <w:pStyle w:val="46"/>
        <w:spacing w:line="560" w:lineRule="exact"/>
        <w:ind w:firstLine="560"/>
        <w:rPr>
          <w:rFonts w:ascii="仿宋_GB2312" w:hAnsi="宋体" w:eastAsia="仿宋_GB2312"/>
          <w:bCs/>
          <w:color w:val="auto"/>
          <w:kern w:val="0"/>
          <w:sz w:val="28"/>
          <w:szCs w:val="28"/>
          <w:highlight w:val="none"/>
        </w:rPr>
      </w:pPr>
    </w:p>
    <w:p w14:paraId="1B76308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41．中标通知书</w:t>
      </w:r>
    </w:p>
    <w:p w14:paraId="25D2C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1招标人应在确定中标人后，将中标结果在“深圳阳光采购平台”公示。</w:t>
      </w:r>
    </w:p>
    <w:p w14:paraId="669CE59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41.2公示期内对中标结果若无质疑，公示期结束后该中标结果自动生效。招标人将发出中标通知书。中标通知书是本招标项目合同的组成部分。如接到有关投诉的，招标人将可能暂停发出中标通知书。</w:t>
      </w:r>
    </w:p>
    <w:p w14:paraId="1CCD163E">
      <w:pPr>
        <w:pStyle w:val="46"/>
        <w:spacing w:line="560" w:lineRule="exact"/>
        <w:ind w:firstLine="562"/>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41.3招标人将以《中标通知书》通知中标人中标。未收到《中标通知书》投标者为落标，招标人不解释落标原因，不退回投标书。</w:t>
      </w:r>
    </w:p>
    <w:p w14:paraId="0E7761D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42．招标人的权利</w:t>
      </w:r>
    </w:p>
    <w:p w14:paraId="2BBB77B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42.1招标人在发出中标通知书之前因正当理由，经公司相关部门批准，有权根据评标委员会评审意见接受或拒绝投标、宣布投标程序无效或拒绝所有投标。对受影响的投标人不承担任何责任。</w:t>
      </w:r>
    </w:p>
    <w:p w14:paraId="7F0EBBEF">
      <w:pPr>
        <w:pStyle w:val="46"/>
        <w:spacing w:line="560" w:lineRule="exact"/>
        <w:ind w:firstLine="560"/>
        <w:rPr>
          <w:rFonts w:ascii="仿宋_GB2312" w:hAnsi="宋体" w:eastAsia="仿宋_GB2312"/>
          <w:bCs/>
          <w:color w:val="auto"/>
          <w:kern w:val="0"/>
          <w:sz w:val="28"/>
          <w:szCs w:val="28"/>
          <w:highlight w:val="none"/>
        </w:rPr>
      </w:pPr>
    </w:p>
    <w:p w14:paraId="169FD01C">
      <w:pPr>
        <w:pStyle w:val="5"/>
        <w:spacing w:before="0" w:after="0" w:line="400" w:lineRule="exact"/>
        <w:ind w:firstLine="720"/>
        <w:jc w:val="center"/>
        <w:rPr>
          <w:rFonts w:ascii="黑体" w:hAnsi="黑体" w:eastAsia="黑体"/>
          <w:b w:val="0"/>
          <w:color w:val="auto"/>
          <w:kern w:val="0"/>
          <w:sz w:val="36"/>
          <w:szCs w:val="36"/>
          <w:highlight w:val="none"/>
        </w:rPr>
      </w:pPr>
      <w:bookmarkStart w:id="62" w:name="_Toc80800158"/>
      <w:bookmarkStart w:id="63" w:name="_Toc15651"/>
      <w:r>
        <w:rPr>
          <w:rFonts w:hint="eastAsia" w:ascii="黑体" w:hAnsi="黑体" w:eastAsia="黑体"/>
          <w:b w:val="0"/>
          <w:color w:val="auto"/>
          <w:kern w:val="0"/>
          <w:sz w:val="36"/>
          <w:szCs w:val="36"/>
          <w:highlight w:val="none"/>
        </w:rPr>
        <w:t>（十）合同授予</w:t>
      </w:r>
      <w:bookmarkEnd w:id="62"/>
      <w:bookmarkEnd w:id="63"/>
    </w:p>
    <w:p w14:paraId="7A6D33E3">
      <w:pPr>
        <w:pStyle w:val="46"/>
        <w:spacing w:line="560" w:lineRule="exact"/>
        <w:ind w:firstLine="560"/>
        <w:rPr>
          <w:rFonts w:ascii="仿宋_GB2312" w:hAnsi="宋体" w:eastAsia="仿宋_GB2312"/>
          <w:bCs/>
          <w:color w:val="auto"/>
          <w:kern w:val="0"/>
          <w:sz w:val="28"/>
          <w:szCs w:val="28"/>
          <w:highlight w:val="none"/>
        </w:rPr>
      </w:pPr>
    </w:p>
    <w:p w14:paraId="72E6AB1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43．签订合同</w:t>
      </w:r>
    </w:p>
    <w:p w14:paraId="4B5CC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43.1招标人和中标人应当按“投标须知前附表”的规定，依据招标文件和中标人的投标文件订立书面合同。</w:t>
      </w:r>
    </w:p>
    <w:p w14:paraId="7D35DA7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43.2中标人无正当理由拒签合同的，或者在签订合同时向招标人提出附加条件或者更改合同实质性内容的，招标人可取消其中标资格，并没收其投标担保；给招标人的损失超过其投标担保数额的，中标人应当对超过部分予以赔偿；没有提交投标担保的，应当对招标人的损失承担赔偿责任。</w:t>
      </w:r>
    </w:p>
    <w:p w14:paraId="2D5CBC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43.3招标人无正当理由拒签合同的，或者在签订合同时向中标人提出附加条件或者更改合同实质性内容的，有关行政监督部门将给予警告，责令改正；给中标人造成损失的，还应当赔偿损失。</w:t>
      </w:r>
    </w:p>
    <w:p w14:paraId="0842AF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43.4招标人与中标人签订的合同必须遵守本招标文件的合同条件，并且不得更改合同条件。</w:t>
      </w:r>
    </w:p>
    <w:p w14:paraId="6064FD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43.5中标人应当按照合同约定履行义务，完成合同标的，不得将合同标的转让(转包)给他人实施。</w:t>
      </w:r>
    </w:p>
    <w:p w14:paraId="730D274B">
      <w:pPr>
        <w:pStyle w:val="46"/>
        <w:spacing w:line="560" w:lineRule="exact"/>
        <w:ind w:firstLine="560"/>
        <w:rPr>
          <w:rFonts w:ascii="仿宋_GB2312" w:hAnsi="宋体" w:eastAsia="仿宋_GB2312"/>
          <w:bCs/>
          <w:color w:val="auto"/>
          <w:kern w:val="0"/>
          <w:sz w:val="28"/>
          <w:szCs w:val="28"/>
          <w:highlight w:val="none"/>
        </w:rPr>
      </w:pPr>
    </w:p>
    <w:p w14:paraId="53BF8568">
      <w:pPr>
        <w:pStyle w:val="5"/>
        <w:spacing w:before="0" w:after="0" w:line="400" w:lineRule="exact"/>
        <w:ind w:firstLine="720"/>
        <w:jc w:val="center"/>
        <w:rPr>
          <w:rFonts w:ascii="黑体" w:hAnsi="黑体" w:eastAsia="黑体"/>
          <w:b w:val="0"/>
          <w:color w:val="auto"/>
          <w:kern w:val="0"/>
          <w:sz w:val="36"/>
          <w:szCs w:val="36"/>
          <w:highlight w:val="none"/>
        </w:rPr>
      </w:pPr>
      <w:bookmarkStart w:id="64" w:name="_Toc947"/>
      <w:bookmarkStart w:id="65" w:name="_Toc80800159"/>
      <w:r>
        <w:rPr>
          <w:rFonts w:hint="eastAsia" w:ascii="黑体" w:hAnsi="黑体" w:eastAsia="黑体"/>
          <w:b w:val="0"/>
          <w:color w:val="auto"/>
          <w:kern w:val="0"/>
          <w:sz w:val="36"/>
          <w:szCs w:val="36"/>
          <w:highlight w:val="none"/>
        </w:rPr>
        <w:t>（十一）其他</w:t>
      </w:r>
      <w:bookmarkEnd w:id="64"/>
      <w:bookmarkEnd w:id="65"/>
    </w:p>
    <w:p w14:paraId="28671661">
      <w:pPr>
        <w:pStyle w:val="46"/>
        <w:spacing w:line="560" w:lineRule="exact"/>
        <w:ind w:firstLine="560"/>
        <w:rPr>
          <w:rFonts w:ascii="仿宋_GB2312" w:hAnsi="宋体" w:eastAsia="仿宋_GB2312"/>
          <w:bCs/>
          <w:color w:val="auto"/>
          <w:kern w:val="0"/>
          <w:sz w:val="28"/>
          <w:szCs w:val="28"/>
          <w:highlight w:val="none"/>
        </w:rPr>
      </w:pPr>
    </w:p>
    <w:p w14:paraId="576E45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44．招标投标投诉的处理</w:t>
      </w:r>
    </w:p>
    <w:p w14:paraId="6D3AFD1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44.1本招标项目实行分段限时投诉制度，即在每个招标投标阶段，投标人均应对所存异议及时投诉。凡超出被投诉阶段投诉时限的，其投诉将不予受理。</w:t>
      </w:r>
    </w:p>
    <w:p w14:paraId="7A63DD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45．其他</w:t>
      </w:r>
    </w:p>
    <w:p w14:paraId="5AE0B5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45.1本招标文件的解释权归招标人所有，招标人有权在法律允许范围内调整本次招标活动的细节及保留最终解释权。</w:t>
      </w:r>
    </w:p>
    <w:p w14:paraId="7C5DB13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45.2评标委员会经评审，认为所有投标都不符合招标文件要求的，可以否决所有投标。所有投标被否决的，招标人应重新招标。招标人不负担因招标失败给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45F55D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45.3招标人向投标人提供的资料和数据，是招标人现有的能使投标人利用的资料，招标人对投标人由此而做出的推论、理解和结论概不负责。</w:t>
      </w:r>
    </w:p>
    <w:p w14:paraId="634184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45.4如果投标人实质上不符合投标资格，即使参加投标并缴纳各种费用，招标人可以随时取消其投标或中标资格，招标人对该投标人的一切损失概不责任。</w:t>
      </w:r>
    </w:p>
    <w:p w14:paraId="5A27C36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45.5中标无效的，发出的中标通知书和签订的合同自始没有法律约束力，但不影响合同中存在的有关解决争议方法的条款的效力。</w:t>
      </w:r>
    </w:p>
    <w:p w14:paraId="30368DB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45.6本招标文件所有的附件与本招标文件具有同等效力。</w:t>
      </w:r>
    </w:p>
    <w:p w14:paraId="06E7D7AB">
      <w:pPr>
        <w:widowControl w:val="0"/>
        <w:spacing w:line="360" w:lineRule="auto"/>
        <w:ind w:firstLine="420" w:firstLineChars="200"/>
        <w:rPr>
          <w:rFonts w:ascii="宋体" w:hAnsi="宋体"/>
          <w:color w:val="auto"/>
          <w:kern w:val="0"/>
          <w:szCs w:val="21"/>
          <w:highlight w:val="none"/>
        </w:rPr>
      </w:pPr>
    </w:p>
    <w:p w14:paraId="1506BED7">
      <w:pPr>
        <w:widowControl w:val="0"/>
        <w:spacing w:line="360" w:lineRule="auto"/>
        <w:ind w:firstLine="420" w:firstLineChars="200"/>
        <w:rPr>
          <w:rFonts w:ascii="宋体" w:hAnsi="宋体"/>
          <w:color w:val="auto"/>
          <w:kern w:val="0"/>
          <w:szCs w:val="21"/>
          <w:highlight w:val="none"/>
        </w:rPr>
      </w:pPr>
    </w:p>
    <w:p w14:paraId="1E155921">
      <w:pPr>
        <w:widowControl w:val="0"/>
        <w:spacing w:line="360" w:lineRule="auto"/>
        <w:ind w:firstLine="420" w:firstLineChars="200"/>
        <w:rPr>
          <w:rFonts w:ascii="宋体" w:hAnsi="宋体"/>
          <w:color w:val="auto"/>
          <w:kern w:val="0"/>
          <w:szCs w:val="21"/>
          <w:highlight w:val="none"/>
        </w:rPr>
      </w:pPr>
    </w:p>
    <w:p w14:paraId="2C132FA0">
      <w:pPr>
        <w:widowControl w:val="0"/>
        <w:spacing w:line="360" w:lineRule="auto"/>
        <w:ind w:firstLine="420" w:firstLineChars="200"/>
        <w:rPr>
          <w:rFonts w:ascii="宋体" w:hAnsi="宋体"/>
          <w:color w:val="auto"/>
          <w:kern w:val="0"/>
          <w:szCs w:val="21"/>
          <w:highlight w:val="none"/>
        </w:rPr>
      </w:pPr>
    </w:p>
    <w:p w14:paraId="409BC6E9">
      <w:pPr>
        <w:widowControl w:val="0"/>
        <w:spacing w:line="360" w:lineRule="auto"/>
        <w:ind w:firstLine="420" w:firstLineChars="200"/>
        <w:rPr>
          <w:rFonts w:ascii="宋体" w:hAnsi="宋体"/>
          <w:color w:val="auto"/>
          <w:kern w:val="0"/>
          <w:szCs w:val="21"/>
          <w:highlight w:val="none"/>
        </w:rPr>
      </w:pPr>
    </w:p>
    <w:p w14:paraId="4583B722">
      <w:pPr>
        <w:widowControl w:val="0"/>
        <w:spacing w:line="360" w:lineRule="auto"/>
        <w:ind w:firstLine="0" w:firstLineChars="0"/>
        <w:rPr>
          <w:rFonts w:ascii="宋体" w:hAnsi="宋体"/>
          <w:color w:val="auto"/>
          <w:kern w:val="0"/>
          <w:szCs w:val="21"/>
          <w:highlight w:val="none"/>
        </w:rPr>
      </w:pPr>
    </w:p>
    <w:p w14:paraId="73CB60FF">
      <w:pPr>
        <w:widowControl w:val="0"/>
        <w:spacing w:line="360" w:lineRule="auto"/>
        <w:ind w:firstLine="420" w:firstLineChars="200"/>
        <w:rPr>
          <w:rFonts w:ascii="宋体" w:hAnsi="宋体"/>
          <w:color w:val="auto"/>
          <w:kern w:val="0"/>
          <w:szCs w:val="21"/>
          <w:highlight w:val="none"/>
        </w:rPr>
      </w:pPr>
    </w:p>
    <w:p w14:paraId="7165840F">
      <w:pPr>
        <w:pStyle w:val="2"/>
        <w:numPr>
          <w:ilvl w:val="0"/>
          <w:numId w:val="2"/>
        </w:numPr>
        <w:spacing w:before="0" w:after="0" w:line="560" w:lineRule="exact"/>
        <w:jc w:val="center"/>
        <w:rPr>
          <w:rFonts w:hint="eastAsia" w:ascii="黑体" w:hAnsi="黑体" w:eastAsia="黑体"/>
          <w:color w:val="auto"/>
          <w:sz w:val="48"/>
          <w:szCs w:val="48"/>
          <w:highlight w:val="none"/>
          <w:shd w:val="clear" w:color="060000" w:fill="auto"/>
        </w:rPr>
      </w:pPr>
      <w:bookmarkStart w:id="66" w:name="_Toc80800160"/>
      <w:bookmarkStart w:id="67" w:name="_Toc22379"/>
      <w:bookmarkStart w:id="68" w:name="_Toc19702"/>
      <w:r>
        <w:rPr>
          <w:rFonts w:hint="eastAsia" w:ascii="黑体" w:hAnsi="黑体" w:eastAsia="黑体"/>
          <w:color w:val="auto"/>
          <w:sz w:val="48"/>
          <w:szCs w:val="48"/>
          <w:highlight w:val="none"/>
          <w:shd w:val="clear" w:color="060000" w:fill="auto"/>
        </w:rPr>
        <w:t>合同文本及条款</w:t>
      </w:r>
      <w:bookmarkEnd w:id="66"/>
      <w:bookmarkEnd w:id="67"/>
      <w:bookmarkEnd w:id="68"/>
    </w:p>
    <w:p w14:paraId="7F4D16F9">
      <w:pPr>
        <w:adjustRightInd w:val="0"/>
        <w:snapToGrid w:val="0"/>
        <w:spacing w:line="460" w:lineRule="exact"/>
        <w:jc w:val="center"/>
        <w:outlineLvl w:val="0"/>
        <w:rPr>
          <w:rFonts w:hint="eastAsia" w:ascii="方正小标宋简体" w:hAnsi="方正小标宋简体" w:eastAsia="方正小标宋简体" w:cs="方正小标宋简体"/>
          <w:b w:val="0"/>
          <w:bCs/>
          <w:color w:val="auto"/>
          <w:sz w:val="44"/>
          <w:szCs w:val="44"/>
          <w:highlight w:val="none"/>
        </w:rPr>
      </w:pPr>
      <w:bookmarkStart w:id="69" w:name="_Toc547"/>
      <w:bookmarkStart w:id="70" w:name="_Toc15609"/>
      <w:bookmarkStart w:id="71" w:name="_Toc80800161"/>
      <w:r>
        <w:rPr>
          <w:rFonts w:hint="eastAsia" w:ascii="方正小标宋简体" w:hAnsi="方正小标宋简体" w:eastAsia="方正小标宋简体" w:cs="方正小标宋简体"/>
          <w:b w:val="0"/>
          <w:bCs/>
          <w:color w:val="auto"/>
          <w:sz w:val="44"/>
          <w:szCs w:val="44"/>
          <w:highlight w:val="none"/>
        </w:rPr>
        <w:t>保洁服务合同</w:t>
      </w:r>
      <w:bookmarkEnd w:id="69"/>
      <w:bookmarkEnd w:id="70"/>
    </w:p>
    <w:p w14:paraId="48ECCDA1">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
          <w:bCs w:val="0"/>
          <w:color w:val="auto"/>
          <w:sz w:val="28"/>
          <w:szCs w:val="28"/>
          <w:highlight w:val="none"/>
        </w:rPr>
        <w:t>甲方</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p>
    <w:p w14:paraId="1AC5D63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6530535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096A760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741D3EA9">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1CC02626">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p>
    <w:p w14:paraId="33AB061E">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
          <w:bCs w:val="0"/>
          <w:color w:val="auto"/>
          <w:sz w:val="28"/>
          <w:szCs w:val="28"/>
          <w:highlight w:val="none"/>
        </w:rPr>
        <w:t>乙方：</w:t>
      </w:r>
      <w:r>
        <w:rPr>
          <w:rFonts w:hint="eastAsia" w:ascii="仿宋_GB2312" w:hAnsi="仿宋_GB2312" w:eastAsia="仿宋_GB2312" w:cs="仿宋_GB2312"/>
          <w:color w:val="auto"/>
          <w:sz w:val="28"/>
          <w:szCs w:val="28"/>
          <w:highlight w:val="none"/>
          <w:u w:val="single"/>
        </w:rPr>
        <w:t xml:space="preserve">                                    </w:t>
      </w:r>
    </w:p>
    <w:p w14:paraId="5A33676C">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18FBDE9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62D6AE9D">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08E5713E">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42494A66">
      <w:pPr>
        <w:widowControl w:val="0"/>
        <w:wordWrap/>
        <w:adjustRightInd w:val="0"/>
        <w:snapToGrid w:val="0"/>
        <w:spacing w:line="560" w:lineRule="exact"/>
        <w:ind w:firstLine="480"/>
        <w:rPr>
          <w:rFonts w:hint="eastAsia"/>
          <w:color w:val="auto"/>
          <w:sz w:val="28"/>
          <w:szCs w:val="28"/>
          <w:highlight w:val="none"/>
        </w:rPr>
      </w:pPr>
      <w:r>
        <w:rPr>
          <w:rFonts w:hint="eastAsia" w:ascii="仿宋_GB2312" w:hAnsi="仿宋_GB2312" w:eastAsia="仿宋_GB2312" w:cs="仿宋_GB2312"/>
          <w:color w:val="auto"/>
          <w:sz w:val="28"/>
          <w:szCs w:val="28"/>
          <w:highlight w:val="none"/>
        </w:rPr>
        <w:t>根据《中华人民共和国民法典》及有关法律法规规定，就甲方指定范围内的清洁保洁</w:t>
      </w:r>
      <w:r>
        <w:rPr>
          <w:rFonts w:hint="eastAsia" w:ascii="仿宋_GB2312" w:hAnsi="仿宋_GB2312" w:eastAsia="仿宋_GB2312" w:cs="仿宋_GB2312"/>
          <w:color w:val="auto"/>
          <w:sz w:val="28"/>
          <w:szCs w:val="28"/>
          <w:highlight w:val="none"/>
          <w:lang w:val="en-US" w:eastAsia="zh-CN"/>
        </w:rPr>
        <w:t>及提前管理</w:t>
      </w:r>
      <w:r>
        <w:rPr>
          <w:rFonts w:hint="eastAsia" w:ascii="仿宋_GB2312" w:hAnsi="仿宋_GB2312" w:eastAsia="仿宋_GB2312" w:cs="仿宋_GB2312"/>
          <w:color w:val="auto"/>
          <w:sz w:val="28"/>
          <w:szCs w:val="28"/>
          <w:highlight w:val="none"/>
        </w:rPr>
        <w:t>事宜，甲乙双方经过友好协商,达成本合同，以兹共同遵守执行。</w:t>
      </w:r>
    </w:p>
    <w:p w14:paraId="7CA06A2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2" w:name="_Toc9568"/>
      <w:bookmarkStart w:id="73" w:name="_Toc25952"/>
      <w:r>
        <w:rPr>
          <w:rFonts w:hint="eastAsia" w:ascii="黑体" w:hAnsi="黑体" w:eastAsia="黑体" w:cs="黑体"/>
          <w:b w:val="0"/>
          <w:bCs/>
          <w:color w:val="auto"/>
          <w:sz w:val="32"/>
          <w:szCs w:val="28"/>
          <w:highlight w:val="none"/>
        </w:rPr>
        <w:t>第一条 服务范围和标准</w:t>
      </w:r>
      <w:bookmarkEnd w:id="72"/>
      <w:bookmarkEnd w:id="73"/>
    </w:p>
    <w:p w14:paraId="73D82019">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1.1 服务范围：</w:t>
      </w:r>
      <w:r>
        <w:rPr>
          <w:rFonts w:hint="eastAsia" w:ascii="仿宋_GB2312" w:hAnsi="仿宋_GB2312" w:eastAsia="仿宋_GB2312" w:cs="仿宋_GB2312"/>
          <w:b w:val="0"/>
          <w:bCs w:val="0"/>
          <w:color w:val="auto"/>
          <w:sz w:val="28"/>
          <w:szCs w:val="28"/>
          <w:highlight w:val="none"/>
          <w:u w:val="none"/>
          <w:lang w:val="en-US" w:eastAsia="zh-CN"/>
        </w:rPr>
        <w:t>【XX项目、XX项目 】</w:t>
      </w:r>
      <w:r>
        <w:rPr>
          <w:rFonts w:hint="eastAsia" w:ascii="仿宋_GB2312" w:hAnsi="仿宋_GB2312" w:eastAsia="仿宋_GB2312" w:cs="仿宋_GB2312"/>
          <w:color w:val="auto"/>
          <w:sz w:val="28"/>
          <w:szCs w:val="24"/>
          <w:highlight w:val="none"/>
        </w:rPr>
        <w:t xml:space="preserve">                                                                            </w:t>
      </w:r>
    </w:p>
    <w:p w14:paraId="460928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8"/>
          <w:szCs w:val="24"/>
          <w:highlight w:val="none"/>
        </w:rPr>
        <w:t>1.2 服务标准：</w:t>
      </w:r>
      <w:r>
        <w:rPr>
          <w:rFonts w:hint="eastAsia" w:ascii="仿宋_GB2312" w:hAnsi="仿宋_GB2312" w:eastAsia="仿宋_GB2312" w:cs="仿宋_GB2312"/>
          <w:b w:val="0"/>
          <w:bCs w:val="0"/>
          <w:color w:val="auto"/>
          <w:sz w:val="28"/>
          <w:szCs w:val="28"/>
          <w:highlight w:val="none"/>
          <w:u w:val="none"/>
          <w:lang w:val="en-US" w:eastAsia="zh-CN"/>
        </w:rPr>
        <w:t>【</w:t>
      </w:r>
      <w:r>
        <w:rPr>
          <w:rFonts w:hint="eastAsia" w:ascii="仿宋_GB2312" w:hAnsi="仿宋_GB2312" w:eastAsia="仿宋_GB2312" w:cs="仿宋_GB2312"/>
          <w:color w:val="auto"/>
          <w:sz w:val="28"/>
          <w:szCs w:val="24"/>
          <w:highlight w:val="none"/>
          <w:u w:val="none"/>
        </w:rPr>
        <w:t>服务标准和内容以经过甲方确认同意的乙方投标书中所列承诺标准和内容（包括</w:t>
      </w:r>
      <w:r>
        <w:rPr>
          <w:rFonts w:hint="eastAsia" w:ascii="仿宋_GB2312" w:hAnsi="仿宋_GB2312" w:eastAsia="仿宋_GB2312" w:cs="仿宋_GB2312"/>
          <w:color w:val="auto"/>
          <w:sz w:val="28"/>
          <w:szCs w:val="24"/>
          <w:highlight w:val="none"/>
          <w:u w:val="none"/>
          <w:lang w:val="en-US" w:eastAsia="zh-CN"/>
        </w:rPr>
        <w:t>清洁</w:t>
      </w:r>
      <w:r>
        <w:rPr>
          <w:rFonts w:hint="eastAsia" w:ascii="仿宋_GB2312" w:hAnsi="仿宋_GB2312" w:eastAsia="仿宋_GB2312" w:cs="仿宋_GB2312"/>
          <w:color w:val="auto"/>
          <w:sz w:val="28"/>
          <w:szCs w:val="24"/>
          <w:highlight w:val="none"/>
          <w:u w:val="none"/>
        </w:rPr>
        <w:t>方案）为执行依据。</w:t>
      </w:r>
      <w:r>
        <w:rPr>
          <w:rFonts w:hint="eastAsia" w:ascii="仿宋_GB2312" w:hAnsi="仿宋_GB2312" w:eastAsia="仿宋_GB2312" w:cs="仿宋_GB2312"/>
          <w:b w:val="0"/>
          <w:bCs w:val="0"/>
          <w:color w:val="auto"/>
          <w:sz w:val="28"/>
          <w:szCs w:val="28"/>
          <w:highlight w:val="none"/>
          <w:u w:val="none"/>
          <w:lang w:val="en-US" w:eastAsia="zh-CN"/>
        </w:rPr>
        <w:t>】</w:t>
      </w:r>
    </w:p>
    <w:p w14:paraId="3C62DE95">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4" w:name="_Toc12136"/>
      <w:bookmarkStart w:id="75" w:name="_Toc15943"/>
      <w:r>
        <w:rPr>
          <w:rFonts w:hint="eastAsia" w:ascii="黑体" w:hAnsi="黑体" w:eastAsia="黑体" w:cs="黑体"/>
          <w:b w:val="0"/>
          <w:bCs/>
          <w:color w:val="auto"/>
          <w:sz w:val="32"/>
          <w:szCs w:val="28"/>
          <w:highlight w:val="none"/>
        </w:rPr>
        <w:t>第二条 合同期限</w:t>
      </w:r>
      <w:bookmarkEnd w:id="74"/>
      <w:bookmarkEnd w:id="75"/>
    </w:p>
    <w:p w14:paraId="118A698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2.1 本合同有效期限为</w:t>
      </w:r>
      <w:r>
        <w:rPr>
          <w:rFonts w:hint="eastAsia" w:ascii="仿宋_GB2312" w:hAnsi="仿宋_GB2312" w:eastAsia="仿宋_GB2312" w:cs="仿宋_GB2312"/>
          <w:b w:val="0"/>
          <w:bCs w:val="0"/>
          <w:color w:val="auto"/>
          <w:sz w:val="28"/>
          <w:szCs w:val="28"/>
          <w:highlight w:val="none"/>
          <w:u w:val="none"/>
          <w:lang w:val="en-US" w:eastAsia="zh-CN"/>
        </w:rPr>
        <w:t>【 1 】</w:t>
      </w:r>
      <w:r>
        <w:rPr>
          <w:rFonts w:hint="eastAsia" w:ascii="仿宋_GB2312" w:hAnsi="仿宋_GB2312" w:eastAsia="仿宋_GB2312" w:cs="仿宋_GB2312"/>
          <w:color w:val="auto"/>
          <w:sz w:val="28"/>
          <w:szCs w:val="24"/>
          <w:highlight w:val="none"/>
        </w:rPr>
        <w:t>年，自</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日起至</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日止。</w:t>
      </w:r>
    </w:p>
    <w:p w14:paraId="68A61C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2.2</w:t>
      </w:r>
      <w:r>
        <w:rPr>
          <w:rFonts w:hint="eastAsia" w:ascii="仿宋_GB2312" w:hAnsi="仿宋_GB2312" w:eastAsia="仿宋_GB2312" w:cs="仿宋_GB2312"/>
          <w:color w:val="auto"/>
          <w:sz w:val="28"/>
          <w:szCs w:val="24"/>
          <w:highlight w:val="none"/>
          <w:lang w:val="en-US" w:eastAsia="zh-CN"/>
        </w:rPr>
        <w:t>自合同开始之日起两个月内</w:t>
      </w:r>
      <w:r>
        <w:rPr>
          <w:rFonts w:hint="eastAsia" w:ascii="仿宋_GB2312" w:hAnsi="仿宋_GB2312" w:eastAsia="仿宋_GB2312" w:cs="仿宋_GB2312"/>
          <w:color w:val="auto"/>
          <w:sz w:val="28"/>
          <w:szCs w:val="24"/>
          <w:highlight w:val="none"/>
        </w:rPr>
        <w:t>为</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续签除外</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期内，如甲方认为乙方清洁服务不符合本合同约定，甲方有权立即通知乙方解除本合同，而无需向乙方说明任何理由。本合同自甲方通知</w:t>
      </w:r>
      <w:r>
        <w:rPr>
          <w:rFonts w:hint="eastAsia" w:ascii="仿宋_GB2312" w:hAnsi="仿宋_GB2312" w:eastAsia="仿宋_GB2312" w:cs="仿宋_GB2312"/>
          <w:color w:val="auto"/>
          <w:sz w:val="28"/>
          <w:szCs w:val="24"/>
          <w:highlight w:val="none"/>
          <w:lang w:val="en-US" w:eastAsia="zh-CN"/>
        </w:rPr>
        <w:t>送</w:t>
      </w:r>
      <w:r>
        <w:rPr>
          <w:rFonts w:hint="eastAsia" w:ascii="仿宋_GB2312" w:hAnsi="仿宋_GB2312" w:eastAsia="仿宋_GB2312" w:cs="仿宋_GB2312"/>
          <w:color w:val="auto"/>
          <w:sz w:val="28"/>
          <w:szCs w:val="24"/>
          <w:highlight w:val="none"/>
        </w:rPr>
        <w:t>达乙方时终止，双方按乙方实际提供服务的天数结算清洁服务费用。除此之外，甲方无需承担其他任何费用或责任。</w:t>
      </w:r>
      <w:r>
        <w:rPr>
          <w:rFonts w:hint="eastAsia" w:ascii="仿宋_GB2312" w:hAnsi="仿宋_GB2312" w:eastAsia="仿宋_GB2312" w:cs="仿宋_GB2312"/>
          <w:color w:val="auto"/>
          <w:sz w:val="28"/>
          <w:szCs w:val="28"/>
          <w:highlight w:val="none"/>
          <w:lang w:val="en-US" w:eastAsia="zh-CN"/>
        </w:rPr>
        <w:t>缓冲期内据实结算乙方人员出勤费用，</w:t>
      </w:r>
      <w:r>
        <w:rPr>
          <w:rFonts w:hint="eastAsia" w:ascii="仿宋_GB2312" w:hAnsi="仿宋_GB2312" w:eastAsia="仿宋_GB2312" w:cs="仿宋_GB2312"/>
          <w:color w:val="auto"/>
          <w:sz w:val="28"/>
          <w:szCs w:val="28"/>
          <w:highlight w:val="none"/>
        </w:rPr>
        <w:t>如服务质量不达标，按标准扣分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缓冲期内每月实际</w:t>
      </w:r>
      <w:r>
        <w:rPr>
          <w:rFonts w:hint="eastAsia" w:ascii="仿宋_GB2312" w:hAnsi="仿宋_GB2312" w:eastAsia="仿宋_GB2312" w:cs="仿宋_GB2312"/>
          <w:color w:val="auto"/>
          <w:sz w:val="28"/>
          <w:szCs w:val="28"/>
          <w:highlight w:val="none"/>
        </w:rPr>
        <w:t>出勤</w:t>
      </w:r>
      <w:r>
        <w:rPr>
          <w:rFonts w:hint="eastAsia" w:ascii="仿宋_GB2312" w:hAnsi="仿宋_GB2312" w:eastAsia="仿宋_GB2312" w:cs="仿宋_GB2312"/>
          <w:color w:val="auto"/>
          <w:sz w:val="28"/>
          <w:szCs w:val="28"/>
          <w:highlight w:val="none"/>
          <w:lang w:val="en-US" w:eastAsia="zh-CN"/>
        </w:rPr>
        <w:t>人数不得低于总约定进场人数的80%（含），否则甲方有权单方面终止合同而不需要承担任何责任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缓冲期结束后</w:t>
      </w:r>
      <w:r>
        <w:rPr>
          <w:rFonts w:hint="eastAsia" w:ascii="仿宋_GB2312" w:hAnsi="仿宋_GB2312" w:eastAsia="仿宋_GB2312" w:cs="仿宋_GB2312"/>
          <w:color w:val="auto"/>
          <w:sz w:val="28"/>
          <w:szCs w:val="28"/>
          <w:highlight w:val="none"/>
        </w:rPr>
        <w:t>严格按本合同执行</w:t>
      </w:r>
      <w:r>
        <w:rPr>
          <w:rFonts w:hint="eastAsia" w:ascii="仿宋_GB2312" w:hAnsi="仿宋_GB2312" w:eastAsia="仿宋_GB2312" w:cs="仿宋_GB2312"/>
          <w:color w:val="auto"/>
          <w:sz w:val="28"/>
          <w:szCs w:val="24"/>
          <w:highlight w:val="none"/>
        </w:rPr>
        <w:t>。</w:t>
      </w:r>
    </w:p>
    <w:p w14:paraId="5CD90B1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rPr>
        <w:t>2.3合同期满续约与否，</w:t>
      </w:r>
      <w:r>
        <w:rPr>
          <w:rFonts w:hint="eastAsia" w:ascii="仿宋_GB2312" w:hAnsi="仿宋_GB2312" w:eastAsia="仿宋_GB2312" w:cs="仿宋_GB2312"/>
          <w:color w:val="auto"/>
          <w:sz w:val="28"/>
          <w:szCs w:val="24"/>
          <w:highlight w:val="none"/>
          <w:lang w:val="en-US" w:eastAsia="zh-CN"/>
        </w:rPr>
        <w:t>乙方须提前两个月向甲方提出书面申请，经甲方依据相关制度进行履约评估符合续约要求的，</w:t>
      </w:r>
      <w:r>
        <w:rPr>
          <w:rFonts w:hint="eastAsia" w:ascii="仿宋_GB2312" w:hAnsi="仿宋_GB2312" w:eastAsia="仿宋_GB2312" w:cs="仿宋_GB2312"/>
          <w:color w:val="auto"/>
          <w:sz w:val="28"/>
          <w:szCs w:val="28"/>
          <w:highlight w:val="none"/>
        </w:rPr>
        <w:t>本合同可续约一年，续约最多不超过两次且总续约时长不超过</w:t>
      </w:r>
      <w:r>
        <w:rPr>
          <w:rFonts w:hint="eastAsia" w:ascii="仿宋_GB2312" w:hAnsi="仿宋_GB2312" w:eastAsia="仿宋_GB2312" w:cs="仿宋_GB2312"/>
          <w:color w:val="auto"/>
          <w:sz w:val="28"/>
          <w:szCs w:val="28"/>
          <w:highlight w:val="none"/>
          <w:lang w:val="en-US" w:eastAsia="zh-CN"/>
        </w:rPr>
        <w:t>二十四</w:t>
      </w:r>
      <w:r>
        <w:rPr>
          <w:rFonts w:hint="eastAsia" w:ascii="仿宋_GB2312" w:hAnsi="仿宋_GB2312" w:eastAsia="仿宋_GB2312" w:cs="仿宋_GB2312"/>
          <w:color w:val="auto"/>
          <w:sz w:val="28"/>
          <w:szCs w:val="28"/>
          <w:highlight w:val="none"/>
        </w:rPr>
        <w:t>个月。</w:t>
      </w:r>
    </w:p>
    <w:p w14:paraId="7501BDB1">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6" w:name="_Toc23623"/>
      <w:bookmarkStart w:id="77" w:name="_Toc19177"/>
      <w:r>
        <w:rPr>
          <w:rFonts w:hint="eastAsia" w:ascii="黑体" w:hAnsi="黑体" w:eastAsia="黑体" w:cs="黑体"/>
          <w:b w:val="0"/>
          <w:bCs/>
          <w:color w:val="auto"/>
          <w:sz w:val="32"/>
          <w:szCs w:val="28"/>
          <w:highlight w:val="none"/>
        </w:rPr>
        <w:t xml:space="preserve">第三条 </w:t>
      </w:r>
      <w:r>
        <w:rPr>
          <w:rFonts w:hint="eastAsia" w:ascii="黑体" w:hAnsi="黑体" w:eastAsia="黑体" w:cs="黑体"/>
          <w:b w:val="0"/>
          <w:bCs/>
          <w:color w:val="auto"/>
          <w:sz w:val="32"/>
          <w:szCs w:val="28"/>
          <w:highlight w:val="none"/>
          <w:lang w:val="en-US" w:eastAsia="zh-CN"/>
        </w:rPr>
        <w:t>人员安排</w:t>
      </w:r>
      <w:bookmarkEnd w:id="76"/>
      <w:bookmarkEnd w:id="77"/>
    </w:p>
    <w:p w14:paraId="4056035F">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3.1</w:t>
      </w:r>
      <w:r>
        <w:rPr>
          <w:rFonts w:hint="eastAsia" w:ascii="仿宋_GB2312" w:hAnsi="仿宋_GB2312" w:eastAsia="仿宋_GB2312" w:cs="仿宋_GB2312"/>
          <w:color w:val="auto"/>
          <w:sz w:val="28"/>
          <w:szCs w:val="24"/>
          <w:highlight w:val="none"/>
        </w:rPr>
        <w:t>合同编制人数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人（</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），每日当班人数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），（列明每个项目的人数）</w:t>
      </w:r>
      <w:r>
        <w:rPr>
          <w:rFonts w:hint="eastAsia" w:ascii="仿宋_GB2312" w:hAnsi="仿宋_GB2312" w:eastAsia="仿宋_GB2312" w:cs="仿宋_GB2312"/>
          <w:color w:val="auto"/>
          <w:sz w:val="28"/>
          <w:szCs w:val="28"/>
          <w:highlight w:val="none"/>
        </w:rPr>
        <w:t>，每日当班人数中含经理或主管</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8"/>
          <w:highlight w:val="none"/>
        </w:rPr>
        <w:t>名（负责组织管理工作）。</w:t>
      </w:r>
    </w:p>
    <w:p w14:paraId="236EA4B3">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lang w:val="en-US" w:eastAsia="zh-CN"/>
        </w:rPr>
        <w:t>3.2</w:t>
      </w:r>
      <w:r>
        <w:rPr>
          <w:rFonts w:hint="eastAsia" w:ascii="仿宋_GB2312" w:hAnsi="仿宋_GB2312" w:eastAsia="仿宋_GB2312" w:cs="仿宋_GB2312"/>
          <w:color w:val="auto"/>
          <w:sz w:val="28"/>
          <w:szCs w:val="24"/>
          <w:highlight w:val="none"/>
        </w:rPr>
        <w:t>乙方指定公司联系人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，现场负责人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，现场联系人需保证联系电话24小时处于可接通状态，不得出现拒接或无法接通的状况。</w:t>
      </w:r>
    </w:p>
    <w:p w14:paraId="42216FA3">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8" w:name="_Toc16754"/>
      <w:bookmarkStart w:id="79" w:name="_Toc30389"/>
      <w:r>
        <w:rPr>
          <w:rFonts w:hint="eastAsia" w:ascii="黑体" w:hAnsi="黑体" w:eastAsia="黑体" w:cs="黑体"/>
          <w:b w:val="0"/>
          <w:bCs/>
          <w:color w:val="auto"/>
          <w:sz w:val="32"/>
          <w:szCs w:val="28"/>
          <w:highlight w:val="none"/>
          <w:lang w:val="en-US" w:eastAsia="zh-CN"/>
        </w:rPr>
        <w:t xml:space="preserve">第四条 </w:t>
      </w:r>
      <w:r>
        <w:rPr>
          <w:rFonts w:hint="eastAsia" w:ascii="黑体" w:hAnsi="黑体" w:eastAsia="黑体" w:cs="黑体"/>
          <w:b w:val="0"/>
          <w:bCs w:val="0"/>
          <w:color w:val="auto"/>
          <w:sz w:val="32"/>
          <w:szCs w:val="32"/>
          <w:highlight w:val="none"/>
        </w:rPr>
        <w:t>合同价款及支付方式</w:t>
      </w:r>
      <w:bookmarkEnd w:id="78"/>
      <w:bookmarkEnd w:id="79"/>
    </w:p>
    <w:p w14:paraId="2AEC66BC">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8"/>
          <w:highlight w:val="none"/>
        </w:rPr>
        <w:t>本合同采用固定单价包干：普通岗保洁员服务费</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元/人/月，形象岗保洁员服务费¥</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元/人/月，以上合计每月保洁服务费为¥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元整），合同总价款为：¥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元整，含税，税率为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%），其中不含税为¥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元，税款为¥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w:t>
      </w:r>
      <w:r>
        <w:rPr>
          <w:rFonts w:hint="eastAsia" w:ascii="仿宋_GB2312" w:hAnsi="仿宋_GB2312" w:eastAsia="仿宋_GB2312" w:cs="仿宋_GB2312"/>
          <w:color w:val="auto"/>
          <w:sz w:val="28"/>
          <w:szCs w:val="28"/>
          <w:highlight w:val="none"/>
        </w:rPr>
        <w:t>不含税价格不因国家税率变化而变化，若在合同履行期间，如遇国家的税率调整，则价税合计相应调整，以开具发票的时间为准。乙方每月准时支付员工工资且不</w:t>
      </w:r>
      <w:r>
        <w:rPr>
          <w:rFonts w:hint="eastAsia" w:ascii="仿宋_GB2312" w:hAnsi="仿宋_GB2312" w:eastAsia="仿宋_GB2312" w:cs="仿宋_GB2312"/>
          <w:color w:val="auto"/>
          <w:sz w:val="28"/>
          <w:szCs w:val="28"/>
          <w:highlight w:val="none"/>
          <w:lang w:val="en-US" w:eastAsia="zh-CN"/>
        </w:rPr>
        <w:t>得</w:t>
      </w:r>
      <w:r>
        <w:rPr>
          <w:rFonts w:hint="eastAsia" w:ascii="仿宋_GB2312" w:hAnsi="仿宋_GB2312" w:eastAsia="仿宋_GB2312" w:cs="仿宋_GB2312"/>
          <w:color w:val="auto"/>
          <w:sz w:val="28"/>
          <w:szCs w:val="28"/>
          <w:highlight w:val="none"/>
        </w:rPr>
        <w:t>低于当地政府相关部门公布的最低工资标准</w:t>
      </w:r>
      <w:r>
        <w:rPr>
          <w:rFonts w:hint="eastAsia" w:ascii="仿宋_GB2312" w:hAnsi="仿宋_GB2312" w:eastAsia="仿宋_GB2312" w:cs="仿宋_GB2312"/>
          <w:color w:val="auto"/>
          <w:sz w:val="28"/>
          <w:szCs w:val="24"/>
          <w:highlight w:val="none"/>
        </w:rPr>
        <w:t>。</w:t>
      </w:r>
    </w:p>
    <w:p w14:paraId="25C669BA">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注：</w:t>
      </w:r>
      <w:r>
        <w:rPr>
          <w:rFonts w:hint="eastAsia" w:ascii="仿宋_GB2312" w:hAnsi="仿宋_GB2312" w:eastAsia="仿宋_GB2312" w:cs="仿宋_GB2312"/>
          <w:color w:val="auto"/>
          <w:sz w:val="28"/>
          <w:szCs w:val="28"/>
          <w:highlight w:val="none"/>
        </w:rPr>
        <w:t>A、甲乙双方根据项目的实际情况结合服务质量要求，在指定的服务范围设置岗位，甲方经核实、考核后按实际岗位考勤情况、服务质量、考核评分、品质检查评分结果，结算和支付乙方</w:t>
      </w:r>
      <w:r>
        <w:rPr>
          <w:rFonts w:hint="eastAsia" w:ascii="仿宋_GB2312" w:hAnsi="仿宋_GB2312" w:eastAsia="仿宋_GB2312" w:cs="仿宋_GB2312"/>
          <w:color w:val="auto"/>
          <w:sz w:val="28"/>
          <w:szCs w:val="28"/>
          <w:highlight w:val="none"/>
          <w:lang w:val="en-US" w:eastAsia="zh-CN"/>
        </w:rPr>
        <w:t>保洁</w:t>
      </w:r>
      <w:r>
        <w:rPr>
          <w:rFonts w:hint="eastAsia" w:ascii="仿宋_GB2312" w:hAnsi="仿宋_GB2312" w:eastAsia="仿宋_GB2312" w:cs="仿宋_GB2312"/>
          <w:color w:val="auto"/>
          <w:sz w:val="28"/>
          <w:szCs w:val="28"/>
          <w:highlight w:val="none"/>
        </w:rPr>
        <w:t>服务费用。</w:t>
      </w:r>
    </w:p>
    <w:p w14:paraId="5E28728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B、本条约定的每日当班人数，是指乙方当日应到岗服务</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数，乙方员工因请假、轮休造成缺岗，由乙方另行安排人员顶岗，保证足额到岗数，相关费用已计算到合同约定的甲方应支付的总服务费中。</w:t>
      </w:r>
    </w:p>
    <w:p w14:paraId="2685127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C、甲方根据进场函约定的进驻总人数为月度外包费用的结算基数，考核扣除缺岗、缺勤、睡岗、脱岗等相应费用及其他不合格扣款（考核）后，为实际支付的月费用。</w:t>
      </w:r>
    </w:p>
    <w:p w14:paraId="275BDC6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D、乙方派驻人员每天上班、下班均需在指定的考勤机上进行面部识别打卡（如有午休的需要每天打卡四次）。</w:t>
      </w:r>
    </w:p>
    <w:p w14:paraId="71097D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甲方根据项目实际情况需要，分阶段安排岗位人员，如阶段性岗位人员作出增减调整等，甲方以书面函件的形式与乙方进行确定。岗位人员调整的函件作为服务费用结算的依据。</w:t>
      </w:r>
    </w:p>
    <w:p w14:paraId="03D0C4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本合同约定的保洁服务费用为包干价（不因任何原因，包括约定作业面积误差、抢工、物价上涨、最低工资标准或社保交费</w:t>
      </w:r>
      <w:r>
        <w:rPr>
          <w:rFonts w:hint="eastAsia" w:ascii="仿宋_GB2312" w:hAnsi="仿宋_GB2312" w:eastAsia="仿宋_GB2312" w:cs="仿宋_GB2312"/>
          <w:color w:val="auto"/>
          <w:sz w:val="28"/>
          <w:szCs w:val="24"/>
          <w:highlight w:val="none"/>
          <w:lang w:val="en-US" w:eastAsia="zh-CN"/>
        </w:rPr>
        <w:t>基数</w:t>
      </w:r>
      <w:r>
        <w:rPr>
          <w:rFonts w:hint="eastAsia" w:ascii="仿宋_GB2312" w:hAnsi="仿宋_GB2312" w:eastAsia="仿宋_GB2312" w:cs="仿宋_GB2312"/>
          <w:color w:val="auto"/>
          <w:sz w:val="28"/>
          <w:szCs w:val="24"/>
          <w:highlight w:val="none"/>
        </w:rPr>
        <w:t>上调、设备配置调整等），包括但不限于乙方人员工资（含税）、加班工资、</w:t>
      </w:r>
      <w:r>
        <w:rPr>
          <w:rFonts w:hint="eastAsia" w:ascii="仿宋_GB2312" w:hAnsi="仿宋_GB2312" w:eastAsia="仿宋_GB2312" w:cs="仿宋_GB2312"/>
          <w:color w:val="auto"/>
          <w:spacing w:val="-4"/>
          <w:sz w:val="28"/>
          <w:szCs w:val="24"/>
          <w:highlight w:val="none"/>
        </w:rPr>
        <w:t>社会及商业保险费、综合补贴费、通讯费、交通费、服装费、装备费、住宿费、清洁材料费、杀虫药剂等低价易消耗品费、餐费、</w:t>
      </w:r>
      <w:r>
        <w:rPr>
          <w:rFonts w:hint="eastAsia" w:ascii="仿宋_GB2312" w:hAnsi="仿宋_GB2312" w:eastAsia="仿宋_GB2312" w:cs="仿宋_GB2312"/>
          <w:color w:val="auto"/>
          <w:sz w:val="28"/>
          <w:szCs w:val="24"/>
          <w:highlight w:val="none"/>
        </w:rPr>
        <w:t>合同中约定的各项设备折旧、材料、税费、运营管理费、临时清洁服务费、</w:t>
      </w:r>
      <w:r>
        <w:rPr>
          <w:rFonts w:hint="eastAsia" w:ascii="仿宋_GB2312" w:hAnsi="仿宋_GB2312" w:eastAsia="仿宋_GB2312" w:cs="仿宋_GB2312"/>
          <w:color w:val="auto"/>
          <w:spacing w:val="-4"/>
          <w:sz w:val="28"/>
          <w:szCs w:val="24"/>
          <w:highlight w:val="none"/>
        </w:rPr>
        <w:t>以及内部管理成本或费用、合理利润、乙方应付的政府税费、及其它所必须支出的一切费用等。</w:t>
      </w:r>
      <w:r>
        <w:rPr>
          <w:rFonts w:hint="eastAsia" w:ascii="仿宋_GB2312" w:hAnsi="仿宋_GB2312" w:eastAsia="仿宋_GB2312" w:cs="仿宋_GB2312"/>
          <w:color w:val="auto"/>
          <w:sz w:val="28"/>
          <w:szCs w:val="24"/>
          <w:highlight w:val="none"/>
        </w:rPr>
        <w:t>除此费用外，甲方无须为实现本合同项下的权益再向乙方或任何第三方支付其他任何款项或费用。</w:t>
      </w:r>
    </w:p>
    <w:p w14:paraId="5483AA9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乙方应按照本合同约定全面履行其义务，甲方在收到乙方提交的相关验收资料，双方达成一致书面结算意见后，甲方凭乙方开具的合法有效的正式劳务增值税专用发票和付款申请，履行约定的付款义务。</w:t>
      </w:r>
    </w:p>
    <w:p w14:paraId="73DA72E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甲乙双方协商一致本合同项下产生的所有税金全部由乙方承担，乙方在满足合同付款条件/付款时间、向甲方申请支付前，须为甲方开具等额合法完税的增值税专用发票并送达甲方，甲方有权要求乙方提供税务机关核发的增值税专用发票领购簿供甲方查验，以证明发票的真伪,否则甲方有权拒绝付款并顺延付款时间；甲方对增值税专用发票验证通过后，对于符合合同款项支付约定的进行支付。</w:t>
      </w:r>
    </w:p>
    <w:p w14:paraId="64D3BA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乙方提供甲方的发票如被税务机关调查的，乙方义务协助配合税务机关做好调查、解释、说明工作；如因乙方不及时提供、交付发票造成甲方无法及时认证、抵扣发票等情形的；或提供的发票不符合规定、不合法或涉嫌虚开发票引起税务问题的，乙方须在7日内依法向甲方重新开具发票，并向甲方承担赔偿责任，包括但不限于税款、税务机关罚款、滞纳金及相关损失等。</w:t>
      </w:r>
    </w:p>
    <w:p w14:paraId="6C92ABC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8"/>
          <w:highlight w:val="none"/>
        </w:rPr>
        <w:t>乙方迟延开具、一直无法开具上述发票、开票不符合要求或发票金额低于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金额的，甲方有权迟延付款、暂不付款或按低于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金额的发票金额来付款，并不视为甲方违约，乙方承担由此产生的相应法律责任。</w:t>
      </w:r>
    </w:p>
    <w:p w14:paraId="0655163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乙方同意</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甲方在根据本合同约定支付款项前，有权先行抵扣乙方于相应各期内应承担的违约金、赔偿金及其它费用，然后才支付抵扣后的余额。</w:t>
      </w:r>
    </w:p>
    <w:p w14:paraId="1BB20B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甲方可将本合同项下款项支付至乙方以下银行账户，乙方应对该收款账户的真实性、准确性及合法性负责：</w:t>
      </w:r>
    </w:p>
    <w:p w14:paraId="61B96A7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开户银行：</w:t>
      </w:r>
      <w:r>
        <w:rPr>
          <w:rFonts w:hint="eastAsia" w:ascii="仿宋_GB2312" w:hAnsi="仿宋_GB2312" w:eastAsia="仿宋_GB2312" w:cs="仿宋_GB2312"/>
          <w:b w:val="0"/>
          <w:bCs w:val="0"/>
          <w:color w:val="auto"/>
          <w:sz w:val="28"/>
          <w:szCs w:val="28"/>
          <w:highlight w:val="none"/>
          <w:u w:val="none"/>
          <w:lang w:val="en-US" w:eastAsia="zh-CN"/>
        </w:rPr>
        <w:t>【 】</w:t>
      </w:r>
    </w:p>
    <w:p w14:paraId="7668F6D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    名：</w:t>
      </w:r>
      <w:r>
        <w:rPr>
          <w:rFonts w:hint="eastAsia" w:ascii="仿宋_GB2312" w:hAnsi="仿宋_GB2312" w:eastAsia="仿宋_GB2312" w:cs="仿宋_GB2312"/>
          <w:b w:val="0"/>
          <w:bCs w:val="0"/>
          <w:color w:val="auto"/>
          <w:sz w:val="28"/>
          <w:szCs w:val="28"/>
          <w:highlight w:val="none"/>
          <w:u w:val="none"/>
          <w:lang w:val="en-US" w:eastAsia="zh-CN"/>
        </w:rPr>
        <w:t>【 】</w:t>
      </w:r>
    </w:p>
    <w:p w14:paraId="00AE4C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r>
        <w:rPr>
          <w:rFonts w:hint="eastAsia" w:ascii="仿宋_GB2312" w:hAnsi="仿宋_GB2312" w:eastAsia="仿宋_GB2312" w:cs="仿宋_GB2312"/>
          <w:b w:val="0"/>
          <w:bCs w:val="0"/>
          <w:color w:val="auto"/>
          <w:sz w:val="28"/>
          <w:szCs w:val="28"/>
          <w:highlight w:val="none"/>
          <w:u w:val="none"/>
          <w:lang w:val="en-US" w:eastAsia="zh-CN"/>
        </w:rPr>
        <w:t>【 】</w:t>
      </w:r>
    </w:p>
    <w:p w14:paraId="64F044A3">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乙方如需变更收款账户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需提前五</w:t>
      </w:r>
      <w:r>
        <w:rPr>
          <w:rFonts w:hint="eastAsia" w:ascii="仿宋_GB2312" w:hAnsi="仿宋_GB2312" w:eastAsia="仿宋_GB2312" w:cs="仿宋_GB2312"/>
          <w:color w:val="auto"/>
          <w:sz w:val="28"/>
          <w:szCs w:val="28"/>
          <w:highlight w:val="none"/>
          <w:lang w:val="en-US" w:eastAsia="zh-CN"/>
        </w:rPr>
        <w:t>个工作</w:t>
      </w:r>
      <w:r>
        <w:rPr>
          <w:rFonts w:hint="eastAsia" w:ascii="仿宋_GB2312" w:hAnsi="仿宋_GB2312" w:eastAsia="仿宋_GB2312" w:cs="仿宋_GB2312"/>
          <w:color w:val="auto"/>
          <w:sz w:val="28"/>
          <w:szCs w:val="28"/>
          <w:highlight w:val="none"/>
        </w:rPr>
        <w:t>日书面通知甲方。乙方对上述收款账户及变更后的收款账户的真实性、合法性及一致性负责，并承担由此引起的一切法律责任。</w:t>
      </w:r>
    </w:p>
    <w:p w14:paraId="5A07593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0" w:name="_Toc32384"/>
      <w:bookmarkStart w:id="81" w:name="_Toc8506"/>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履约保证金</w:t>
      </w:r>
      <w:bookmarkEnd w:id="80"/>
      <w:bookmarkEnd w:id="81"/>
    </w:p>
    <w:p w14:paraId="01FC31D8">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lang w:val="en-US" w:eastAsia="zh-CN"/>
        </w:rPr>
        <w:t>5</w:t>
      </w:r>
      <w:r>
        <w:rPr>
          <w:rFonts w:hint="eastAsia" w:ascii="仿宋_GB2312" w:hAnsi="仿宋_GB2312" w:eastAsia="仿宋_GB2312" w:cs="仿宋_GB2312"/>
          <w:bCs/>
          <w:color w:val="auto"/>
          <w:sz w:val="28"/>
          <w:szCs w:val="24"/>
          <w:highlight w:val="none"/>
        </w:rPr>
        <w:t>.1本合同签订之前，乙方应当向甲方交纳</w:t>
      </w:r>
      <w:r>
        <w:rPr>
          <w:rFonts w:hint="eastAsia" w:ascii="仿宋_GB2312" w:hAnsi="仿宋_GB2312" w:eastAsia="仿宋_GB2312" w:cs="仿宋_GB2312"/>
          <w:bCs/>
          <w:color w:val="auto"/>
          <w:sz w:val="28"/>
          <w:szCs w:val="24"/>
          <w:highlight w:val="none"/>
          <w:lang w:val="en-US" w:eastAsia="zh-CN"/>
        </w:rPr>
        <w:t>合同</w:t>
      </w:r>
      <w:r>
        <w:rPr>
          <w:rFonts w:hint="eastAsia" w:ascii="仿宋_GB2312" w:hAnsi="仿宋_GB2312" w:eastAsia="仿宋_GB2312" w:cs="仿宋_GB2312"/>
          <w:bCs/>
          <w:color w:val="auto"/>
          <w:sz w:val="28"/>
          <w:szCs w:val="24"/>
          <w:highlight w:val="none"/>
        </w:rPr>
        <w:t>履约保证金</w:t>
      </w:r>
      <w:r>
        <w:rPr>
          <w:rFonts w:hint="eastAsia" w:ascii="仿宋_GB2312" w:hAnsi="仿宋_GB2312" w:eastAsia="仿宋_GB2312" w:cs="仿宋_GB2312"/>
          <w:b w:val="0"/>
          <w:bCs w:val="0"/>
          <w:color w:val="auto"/>
          <w:sz w:val="28"/>
          <w:szCs w:val="28"/>
          <w:highlight w:val="none"/>
          <w:u w:val="none"/>
          <w:lang w:val="en-US" w:eastAsia="zh-CN"/>
        </w:rPr>
        <w:t>【 根据月度费用金额多少填写】元。（</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度费用30万</w:t>
      </w:r>
      <w:r>
        <w:rPr>
          <w:rFonts w:hint="eastAsia" w:ascii="仿宋_GB2312" w:hAnsi="仿宋_GB2312" w:eastAsia="仿宋_GB2312" w:cs="仿宋_GB2312"/>
          <w:bCs/>
          <w:color w:val="auto"/>
          <w:sz w:val="28"/>
          <w:szCs w:val="28"/>
          <w:highlight w:val="none"/>
          <w:u w:val="none"/>
          <w:lang w:val="en-US" w:eastAsia="zh-CN"/>
        </w:rPr>
        <w:t>元（含）</w:t>
      </w:r>
      <w:r>
        <w:rPr>
          <w:rFonts w:hint="eastAsia" w:ascii="仿宋_GB2312" w:hAnsi="仿宋_GB2312" w:eastAsia="仿宋_GB2312" w:cs="仿宋_GB2312"/>
          <w:bCs/>
          <w:color w:val="auto"/>
          <w:sz w:val="28"/>
          <w:szCs w:val="28"/>
          <w:highlight w:val="none"/>
          <w:u w:val="none"/>
          <w:lang w:eastAsia="zh-CN"/>
        </w:rPr>
        <w:t>以内</w:t>
      </w:r>
      <w:r>
        <w:rPr>
          <w:rFonts w:hint="eastAsia" w:ascii="仿宋_GB2312" w:hAnsi="仿宋_GB2312" w:eastAsia="仿宋_GB2312" w:cs="仿宋_GB2312"/>
          <w:bCs/>
          <w:color w:val="auto"/>
          <w:sz w:val="28"/>
          <w:szCs w:val="28"/>
          <w:highlight w:val="none"/>
          <w:u w:val="none"/>
          <w:lang w:val="en-US" w:eastAsia="zh-CN"/>
        </w:rPr>
        <w:t>的保证金</w:t>
      </w:r>
      <w:r>
        <w:rPr>
          <w:rFonts w:hint="eastAsia" w:ascii="仿宋_GB2312" w:hAnsi="仿宋_GB2312" w:eastAsia="仿宋_GB2312" w:cs="仿宋_GB2312"/>
          <w:bCs/>
          <w:color w:val="auto"/>
          <w:sz w:val="28"/>
          <w:szCs w:val="28"/>
          <w:highlight w:val="none"/>
          <w:u w:val="none"/>
          <w:lang w:eastAsia="zh-CN"/>
        </w:rPr>
        <w:t>5万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8"/>
          <w:highlight w:val="none"/>
          <w:u w:val="none"/>
          <w:lang w:eastAsia="zh-CN"/>
        </w:rPr>
        <w:t>，</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w:t>
      </w:r>
      <w:r>
        <w:rPr>
          <w:rFonts w:hint="eastAsia" w:ascii="仿宋_GB2312" w:hAnsi="仿宋_GB2312" w:eastAsia="仿宋_GB2312" w:cs="仿宋_GB2312"/>
          <w:bCs/>
          <w:color w:val="auto"/>
          <w:sz w:val="28"/>
          <w:szCs w:val="28"/>
          <w:highlight w:val="none"/>
          <w:u w:val="none"/>
          <w:lang w:val="en-US" w:eastAsia="zh-CN"/>
        </w:rPr>
        <w:t>30万元（不含）以上的保证金</w:t>
      </w:r>
      <w:r>
        <w:rPr>
          <w:rFonts w:hint="eastAsia" w:ascii="仿宋_GB2312" w:hAnsi="仿宋_GB2312" w:eastAsia="仿宋_GB2312" w:cs="仿宋_GB2312"/>
          <w:bCs/>
          <w:color w:val="auto"/>
          <w:sz w:val="28"/>
          <w:szCs w:val="28"/>
          <w:highlight w:val="none"/>
          <w:u w:val="none"/>
          <w:lang w:eastAsia="zh-CN"/>
        </w:rPr>
        <w:t>10万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4"/>
          <w:highlight w:val="none"/>
        </w:rPr>
        <w:t>甲方收到款项后开具等额的收款收据给乙方，该履约保证金由甲方无息保管。乙方逾期未支付履约保证金的，视为乙方已以实际行为表明不再向甲方提供本合同项下的全部服务，甲方有权将本合同项下全部服务发包给任何第三方，并且乙方应赔偿因此而给甲方造成的一切损失。</w:t>
      </w:r>
    </w:p>
    <w:p w14:paraId="3C8A1821">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2如甲方应付乙方的清洁服务费不足抵扣乙方应当支付给甲方的违约金或乙方依照本合同应向甲方支付的任何赔偿金或费用的，甲方有权直接从履约保证金中扣除该等违约金、赔偿金或费用，如仍不足以抵扣的，乙方应按照甲方书面通知规定的时间及金额即时给付甲方。同时，乙方须于甲方发出通知之日起3日内一次性补足履约保证金，乙方逾期补足的，每逾期一日，乙方以逾期未补足金额0.5‰的标准向甲方支付滞纳金。</w:t>
      </w:r>
    </w:p>
    <w:p w14:paraId="50D8C23C">
      <w:pPr>
        <w:widowControl w:val="0"/>
        <w:wordWrap/>
        <w:adjustRightInd w:val="0"/>
        <w:snapToGrid w:val="0"/>
        <w:spacing w:line="560" w:lineRule="exact"/>
        <w:ind w:firstLine="480"/>
        <w:textAlignment w:val="baseline"/>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3本合同有效期届满后，在甲方确认乙方已完全按照本合同约定履行其应负义务或承担其责任且没有任何违约行为且与乙方结算付清后45个工作日内，甲方将凭乙方交还的履约保证金收据原件，通过银行转账或支票方式，将履约保证金或其余额（如有）无息返还乙方（银行费用由乙方自行承担）。</w:t>
      </w:r>
    </w:p>
    <w:p w14:paraId="2D64604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2" w:name="_Toc11685"/>
      <w:bookmarkStart w:id="83" w:name="_Toc29518"/>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保洁服务要求</w:t>
      </w:r>
      <w:bookmarkEnd w:id="82"/>
      <w:bookmarkEnd w:id="83"/>
    </w:p>
    <w:p w14:paraId="436C33CF">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
          <w:color w:val="auto"/>
          <w:sz w:val="28"/>
          <w:szCs w:val="28"/>
          <w:highlight w:val="none"/>
          <w:lang w:val="en-US" w:eastAsia="zh-CN"/>
        </w:rPr>
        <w:t>6</w:t>
      </w:r>
      <w:r>
        <w:rPr>
          <w:rFonts w:hint="eastAsia" w:ascii="仿宋_GB2312" w:hAnsi="仿宋_GB2312" w:eastAsia="仿宋_GB2312" w:cs="仿宋_GB2312"/>
          <w:b/>
          <w:color w:val="auto"/>
          <w:sz w:val="28"/>
          <w:szCs w:val="28"/>
          <w:highlight w:val="none"/>
        </w:rPr>
        <w:t>.1</w:t>
      </w:r>
      <w:r>
        <w:rPr>
          <w:rFonts w:hint="eastAsia" w:ascii="仿宋_GB2312" w:hAnsi="仿宋_GB2312" w:eastAsia="仿宋_GB2312" w:cs="仿宋_GB2312"/>
          <w:b/>
          <w:color w:val="auto"/>
          <w:sz w:val="28"/>
          <w:szCs w:val="24"/>
          <w:highlight w:val="none"/>
        </w:rPr>
        <w:t>保洁的服务方式：</w:t>
      </w:r>
    </w:p>
    <w:p w14:paraId="4771E15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.1.1乙方向甲方派驻的保洁员应符合甲方要求及本合同的约定条件、接受甲方的管理和工作安排、执行甲方指定范围内的清洁保洁任务、承担相应的保洁服务责任；</w:t>
      </w:r>
      <w:r>
        <w:rPr>
          <w:rFonts w:hint="eastAsia" w:ascii="仿宋_GB2312" w:hAnsi="仿宋_GB2312" w:eastAsia="仿宋_GB2312" w:cs="仿宋_GB2312"/>
          <w:color w:val="auto"/>
          <w:sz w:val="28"/>
          <w:szCs w:val="28"/>
          <w:highlight w:val="none"/>
        </w:rPr>
        <w:t xml:space="preserve">甲乙双方根据项目的实际情况结合服务质量要求，在指定的服务范围设置岗位。 </w:t>
      </w:r>
    </w:p>
    <w:p w14:paraId="47FEEC8D">
      <w:pPr>
        <w:widowControl w:val="0"/>
        <w:tabs>
          <w:tab w:val="left" w:pos="1200"/>
        </w:tabs>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1.2甲方的清洁保洁服务采用乙方包工包料的合作方式，乙方须自备一切清洁保洁材料、机械设备、统一服装包括但不限于经甲方书面确认的乙方投标书中承诺投入的日常清洁材料、设备器材、清洁耗材等（含安装、运输），同时甲方有权根据清洁的实际工作需求要求乙方调整日常清洁材料、设备器材、清洁耗材等，使其清洁服务质量达到甲方书面确认的清洁服务标准。</w:t>
      </w:r>
    </w:p>
    <w:p w14:paraId="04882AF7">
      <w:pPr>
        <w:widowControl w:val="0"/>
        <w:wordWrap/>
        <w:adjustRightInd w:val="0"/>
        <w:snapToGrid w:val="0"/>
        <w:spacing w:line="560" w:lineRule="exact"/>
        <w:ind w:left="426"/>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6</w:t>
      </w:r>
      <w:r>
        <w:rPr>
          <w:rFonts w:hint="eastAsia" w:ascii="仿宋_GB2312" w:hAnsi="仿宋_GB2312" w:eastAsia="仿宋_GB2312" w:cs="仿宋_GB2312"/>
          <w:b/>
          <w:bCs/>
          <w:color w:val="auto"/>
          <w:sz w:val="28"/>
          <w:szCs w:val="24"/>
          <w:highlight w:val="none"/>
        </w:rPr>
        <w:t>.2保洁服务人员的条件：</w:t>
      </w:r>
    </w:p>
    <w:p w14:paraId="5B7DC9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乙方向甲方派驻的保洁人员应达到如下条件，否则甲方可拒绝接受或要求调换（乙方调换保洁人员须事先经甲方同意）：</w:t>
      </w:r>
    </w:p>
    <w:p w14:paraId="372C5DB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.2.1普通岗：保洁人员的年龄：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周岁（含本数），其中</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周岁（含本数）的人员不得超过合同约定普通岗人数的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p>
    <w:p w14:paraId="18AD565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.2.2形象岗：保洁人员的年龄：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w:t>
      </w:r>
    </w:p>
    <w:p w14:paraId="7332F4C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.2.3身体健康，无纹身，未患传染性及精神性疾病；</w:t>
      </w:r>
    </w:p>
    <w:p w14:paraId="5B24B1E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乙方派出的现场负责人需面试合格方可上岗，否则不予认可。</w:t>
      </w:r>
    </w:p>
    <w:p w14:paraId="15317A6A">
      <w:pPr>
        <w:widowControl w:val="0"/>
        <w:wordWrap/>
        <w:adjustRightInd w:val="0"/>
        <w:snapToGrid w:val="0"/>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4"/>
          <w:highlight w:val="none"/>
          <w:lang w:val="en-US" w:eastAsia="zh-CN"/>
        </w:rPr>
        <w:t>6.2.5</w:t>
      </w:r>
      <w:r>
        <w:rPr>
          <w:rFonts w:hint="eastAsia" w:ascii="仿宋_GB2312" w:hAnsi="仿宋_GB2312" w:eastAsia="仿宋_GB2312" w:cs="仿宋_GB2312"/>
          <w:color w:val="auto"/>
          <w:sz w:val="28"/>
          <w:szCs w:val="28"/>
          <w:highlight w:val="none"/>
        </w:rPr>
        <w:t>乙方应当严格按照上述要求向甲方提供符合要求的</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员</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否则甲方有权追究乙方相关违约责任。</w:t>
      </w:r>
    </w:p>
    <w:p w14:paraId="1A78CEDE">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4" w:name="_Toc31750"/>
      <w:bookmarkStart w:id="85" w:name="_Toc25422"/>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甲方的权利和义务</w:t>
      </w:r>
      <w:bookmarkEnd w:id="84"/>
      <w:bookmarkEnd w:id="85"/>
    </w:p>
    <w:p w14:paraId="6914A4A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.1甲方免费提供乙方清洁工作需要的水、电及存放清洁工具及乙方员工休息的空间(空间的具体地点、面积及基本陈设由甲方全权决定)，甲方不提供住宿场所。</w:t>
      </w:r>
    </w:p>
    <w:p w14:paraId="43C6267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2甲方有权对乙方使用的工具、清洁药剂、消耗材料的品牌、品种进行监督审核，如发现乙方有偷工减料、使用假冒伪劣产品或擅自使用了与本合同约定不符的产品，每发现一次，甲方有权扣除乙方当月清洁服务费的2%－5%作为违约金。</w:t>
      </w:r>
    </w:p>
    <w:p w14:paraId="0F9999AC">
      <w:pPr>
        <w:widowControl w:val="0"/>
        <w:wordWrap/>
        <w:adjustRightInd w:val="0"/>
        <w:snapToGrid w:val="0"/>
        <w:spacing w:line="560" w:lineRule="exact"/>
        <w:ind w:firstLine="565" w:firstLineChars="202"/>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3甲方因工作需要，有权决定增减与乙方商定的清洁岗位，并同时增减相对应的派驻人员数量，乙方应无条件服从和执行，清洁服务费用亦随之相应调整。乙方未经甲方书面同意增加派驻人员的，甲方有权不增加服务费用。</w:t>
      </w:r>
    </w:p>
    <w:p w14:paraId="6A87F2C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.4甲方有权对乙方各项目的出勤情况根据《</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4"/>
          <w:highlight w:val="none"/>
        </w:rPr>
        <w:t>》（附件</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）进行检查。</w:t>
      </w:r>
    </w:p>
    <w:p w14:paraId="44700F9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.5甲方有权修改任何清洁管理规定、规程和标准，乙方应即时按修改后的规定、规程和标准开展工作。</w:t>
      </w:r>
    </w:p>
    <w:p w14:paraId="3964B72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.6甲方有权安排乙方人员进行临时或特殊清洁工作任务，如遇到跑水、水浸、火灾等意外情况，甲方有权指挥乙方人员参加抢险工作。</w:t>
      </w:r>
    </w:p>
    <w:p w14:paraId="78A4501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.7甲方有权提醒乙方对其应该履行依照合约、双方约定、工作标准作业指导书中所列项目，在执行工作中可预见的履约瑕疵，或通知对其违反合约等事件进行限期整改。</w:t>
      </w:r>
    </w:p>
    <w:p w14:paraId="07FE402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.8甲方有权审核乙方每月提供的工作计划，并监督乙方严格按照作业指导书中的标准进行工作。</w:t>
      </w:r>
    </w:p>
    <w:p w14:paraId="1851054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.9甲方可每日或不定时根据《清洁服务质量检查标准》（附件</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）对乙方服务</w:t>
      </w:r>
      <w:r>
        <w:rPr>
          <w:rFonts w:hint="eastAsia" w:ascii="仿宋_GB2312" w:hAnsi="仿宋_GB2312" w:eastAsia="仿宋_GB2312" w:cs="仿宋_GB2312"/>
          <w:color w:val="auto"/>
          <w:sz w:val="28"/>
          <w:szCs w:val="24"/>
          <w:highlight w:val="none"/>
          <w:lang w:val="en-US" w:eastAsia="zh-CN"/>
        </w:rPr>
        <w:t>质量</w:t>
      </w:r>
      <w:r>
        <w:rPr>
          <w:rFonts w:hint="eastAsia" w:ascii="仿宋_GB2312" w:hAnsi="仿宋_GB2312" w:eastAsia="仿宋_GB2312" w:cs="仿宋_GB2312"/>
          <w:color w:val="auto"/>
          <w:sz w:val="28"/>
          <w:szCs w:val="24"/>
          <w:highlight w:val="none"/>
        </w:rPr>
        <w:t>进行考评打分，与乙方进行工作沟通，就工作存在的问题、工作待改进的问题及每日工作进行安排与处理。</w:t>
      </w:r>
    </w:p>
    <w:p w14:paraId="18A4E93C">
      <w:pPr>
        <w:widowControl w:val="0"/>
        <w:wordWrap/>
        <w:adjustRightInd w:val="0"/>
        <w:snapToGrid w:val="0"/>
        <w:spacing w:line="560" w:lineRule="exact"/>
        <w:ind w:firstLine="560"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.10甲方不因签署、执行本合同及对乙方人员实施现场监管而与乙方人员建立劳动、劳务派遣或劳务关系，也不因此代乙方对其人员承担任何责任。</w:t>
      </w:r>
    </w:p>
    <w:p w14:paraId="47D277A1">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6" w:name="_Toc22275"/>
      <w:bookmarkStart w:id="87" w:name="_Toc18790"/>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八</w:t>
      </w:r>
      <w:r>
        <w:rPr>
          <w:rFonts w:hint="eastAsia" w:ascii="黑体" w:hAnsi="黑体" w:eastAsia="黑体" w:cs="黑体"/>
          <w:b w:val="0"/>
          <w:bCs/>
          <w:color w:val="auto"/>
          <w:sz w:val="32"/>
          <w:szCs w:val="28"/>
          <w:highlight w:val="none"/>
        </w:rPr>
        <w:t>条 乙方的权利和义务</w:t>
      </w:r>
      <w:bookmarkEnd w:id="86"/>
      <w:bookmarkEnd w:id="87"/>
    </w:p>
    <w:p w14:paraId="22B40CD6">
      <w:pPr>
        <w:widowControl w:val="0"/>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.1乙方所有清洁人员必须整齐穿着由乙方提供并经甲方确认可行的统一制服（包括制服款式及颜色）及佩章。</w:t>
      </w:r>
    </w:p>
    <w:p w14:paraId="223A4DE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乙方应对派驻现场的所有工作人员事先进行工作礼仪、职业道德及遵纪守法教育方面的培训并严守有关安全作业规定，并对现场员工的行为负责。乙方须指派至少一名有5年以上住宅、大型商场或高级写字楼清洁服务管理经验，熟悉清洁服务工作技术要求、操作程序、品质管理、日常管理的现场负责人，在本合同第一条所述清洁保洁服务范围内安排及督导其他清洁人员工作，并必须在工作时间内对现场清洁作业进行指导和管理。</w:t>
      </w:r>
    </w:p>
    <w:p w14:paraId="6842C2F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8"/>
          <w:highlight w:val="none"/>
        </w:rPr>
        <w:t>乙方每月至少一次派出</w:t>
      </w:r>
      <w:r>
        <w:rPr>
          <w:rFonts w:hint="eastAsia" w:ascii="仿宋_GB2312" w:hAnsi="仿宋_GB2312" w:eastAsia="仿宋_GB2312" w:cs="仿宋_GB2312"/>
          <w:color w:val="auto"/>
          <w:sz w:val="28"/>
          <w:szCs w:val="28"/>
          <w:highlight w:val="none"/>
          <w:lang w:val="en-US" w:eastAsia="zh-CN"/>
        </w:rPr>
        <w:t>品质督导人员</w:t>
      </w:r>
      <w:r>
        <w:rPr>
          <w:rFonts w:hint="eastAsia" w:ascii="仿宋_GB2312" w:hAnsi="仿宋_GB2312" w:eastAsia="仿宋_GB2312" w:cs="仿宋_GB2312"/>
          <w:color w:val="auto"/>
          <w:sz w:val="28"/>
          <w:szCs w:val="28"/>
          <w:highlight w:val="none"/>
        </w:rPr>
        <w:t>到本项目检查服务情况，征询、落实甲方意见，每月向甲方提交一份正式的工作情况报告</w:t>
      </w:r>
      <w:r>
        <w:rPr>
          <w:rFonts w:hint="eastAsia" w:ascii="仿宋_GB2312" w:hAnsi="仿宋_GB2312" w:eastAsia="仿宋_GB2312" w:cs="仿宋_GB2312"/>
          <w:color w:val="auto"/>
          <w:sz w:val="28"/>
          <w:szCs w:val="24"/>
          <w:highlight w:val="none"/>
        </w:rPr>
        <w:t>。</w:t>
      </w:r>
    </w:p>
    <w:p w14:paraId="3E3C33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乙方应选派素质较高、服务态度较好的清洁服务人员，其清洁服务人员的最低条件必须到达本合同第</w:t>
      </w:r>
      <w:r>
        <w:rPr>
          <w:rFonts w:hint="eastAsia" w:ascii="仿宋_GB2312" w:hAnsi="仿宋_GB2312" w:eastAsia="仿宋_GB2312" w:cs="仿宋_GB2312"/>
          <w:color w:val="auto"/>
          <w:sz w:val="28"/>
          <w:szCs w:val="24"/>
          <w:highlight w:val="none"/>
          <w:lang w:eastAsia="zh-CN"/>
        </w:rPr>
        <w:t>六</w:t>
      </w:r>
      <w:r>
        <w:rPr>
          <w:rFonts w:hint="eastAsia" w:ascii="仿宋_GB2312" w:hAnsi="仿宋_GB2312" w:eastAsia="仿宋_GB2312" w:cs="仿宋_GB2312"/>
          <w:color w:val="auto"/>
          <w:sz w:val="28"/>
          <w:szCs w:val="24"/>
          <w:highlight w:val="none"/>
        </w:rPr>
        <w:t>条的约定条件。乙方在派驻清洁人员前，应先将清洁人员的身份资料（包括但不限于居民身份证复印件、服务年限等）提交甲方备案。对于未备案的乙方人员，甲方有权拒绝其进入甲方场所，相应责任由乙方承担。</w:t>
      </w:r>
    </w:p>
    <w:p w14:paraId="3647665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 xml:space="preserve"> 乙方保证自己具备提供合同约定服务合法资格，并负责办理清洁人员上岗涉及的全部审批/备案手续，如被政府部门处罚的，乙方承担全部责任。乙方应确保上述经营资格持续有效。</w:t>
      </w:r>
    </w:p>
    <w:p w14:paraId="0B2830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乙方应保证向甲方派驻的工作人员工作时间符合劳动法及劳动合同法规定，由乙方安排加班顶岗或在任何情况下</w:t>
      </w:r>
      <w:r>
        <w:rPr>
          <w:rFonts w:hint="eastAsia" w:ascii="仿宋_GB2312" w:hAnsi="仿宋_GB2312" w:eastAsia="仿宋_GB2312" w:cs="仿宋_GB2312"/>
          <w:color w:val="auto"/>
          <w:sz w:val="28"/>
          <w:szCs w:val="24"/>
          <w:highlight w:val="none"/>
          <w:lang w:val="en-US" w:eastAsia="zh-CN"/>
        </w:rPr>
        <w:t>临时产生</w:t>
      </w:r>
      <w:r>
        <w:rPr>
          <w:rFonts w:hint="eastAsia" w:ascii="仿宋_GB2312" w:hAnsi="仿宋_GB2312" w:eastAsia="仿宋_GB2312" w:cs="仿宋_GB2312"/>
          <w:color w:val="auto"/>
          <w:sz w:val="28"/>
          <w:szCs w:val="24"/>
          <w:highlight w:val="none"/>
        </w:rPr>
        <w:t>的加班工资，已计算到合同约定的甲方应支付的总服务费中。</w:t>
      </w:r>
    </w:p>
    <w:p w14:paraId="3F73B4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乙方清洁人员必须遵守甲方制定的相关规章制度及甲方的协调管理，不得做与清洁保洁无关的事，否则，由此导致的一切损失，概由乙方负责。</w:t>
      </w:r>
    </w:p>
    <w:p w14:paraId="6BBC019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须按政府有关法规，与其清洁人员签订劳动合同，并保证在本合同履行期间合法存续。乙方须自行承担乙方人员工资、住房公积金、劳保福利等，并购买有效、足额的劳动保险及第三者保险。乙方清洁人员在履行本合同过程中发生的任何工伤、劳动纠纷、意外等事故或第三者索赔责任，概由乙方承担,甲方不承担任何责任。乙方清洁人员因维护自身劳动权益而提起劳动仲裁及诉讼时，由乙方承担全部责任，与甲方无关，并不影响本合同正常履行。</w:t>
      </w:r>
    </w:p>
    <w:p w14:paraId="0D20FC5F">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乙方不得雇用不符合法律法规的人员。如未成年人，患严重传染病的人员。否则产生的一切责任均由乙方承担。造成损失的，乙方全额赔偿。</w:t>
      </w:r>
    </w:p>
    <w:p w14:paraId="15EBBED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8"/>
          <w:highlight w:val="none"/>
        </w:rPr>
        <w:t>未经甲方同意，乙方不得将合同项下工作进行转包、分包，否则甲方有权解除合同并要求乙方承担合同总金额【20%】的违约金。如因乙方转包、分包行为造成其他损失的，乙方应承担相应损害赔偿责任</w:t>
      </w:r>
      <w:r>
        <w:rPr>
          <w:rFonts w:hint="eastAsia" w:ascii="仿宋_GB2312" w:hAnsi="仿宋_GB2312" w:eastAsia="仿宋_GB2312" w:cs="仿宋_GB2312"/>
          <w:color w:val="auto"/>
          <w:sz w:val="28"/>
          <w:szCs w:val="24"/>
          <w:highlight w:val="none"/>
        </w:rPr>
        <w:t>。</w:t>
      </w:r>
    </w:p>
    <w:p w14:paraId="47D7B8E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在执行本合同时，若乙方或其雇员因任何疏忽行为引致甲方设施、设备、其他财产或代管之财产损坏、损失时，乙方须即时无条件予以修补并应照价赔偿；甲方代为修补或赔偿的，甲方有权从应付乙方清洁费用中扣除以上修补或赔偿费用,不足部分,由乙方即时全数补付给甲方。</w:t>
      </w:r>
    </w:p>
    <w:p w14:paraId="1377C9A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乙方必须按本合同规定的清洁范围和甲方确认的乙方投标书规定的清洁规程和标准完成本合同项下所有工作。</w:t>
      </w:r>
    </w:p>
    <w:p w14:paraId="0FBF4E3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乙方于每月底前须将下月的员工花名册、排班表、清洁工作计划以书面形式报给甲方，由甲方根据合同要求及实际情况审批同意后执行。</w:t>
      </w:r>
    </w:p>
    <w:p w14:paraId="633100B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清洁特别服务：</w:t>
      </w:r>
    </w:p>
    <w:p w14:paraId="43FA748D">
      <w:pPr>
        <w:widowControl w:val="0"/>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合同生效期内，甲方如有临时举办活动、上级领导参观、法定节假日或甲方认为特别的日子，甲方物业经理或授权人可根据需要提前通知乙方公司或直接通知乙方的现场负责人，在甲方指定期限内免费（包工包料）提供有经验的清洁工人做事前及事后之清洁保洁工作。清洁标准须符合平时日常约定的要求；</w:t>
      </w:r>
    </w:p>
    <w:p w14:paraId="37FB056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.2如遇火警、水管爆裂等特殊状况，乙方应立即组织有经验的清洁工人配合甲方搞好特殊清洁工作；</w:t>
      </w:r>
    </w:p>
    <w:p w14:paraId="4A68F2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如遇台风、强降雨袭击，乙方应酌情增派人员协助甲方组成应急小组，全面协助甲方检查所有排水设施，如有堵塞或排水不畅，即时处理，做到排水畅通，排除水浸现象，并在甲方规定的时间内做好事后环境清洁工作；</w:t>
      </w:r>
    </w:p>
    <w:p w14:paraId="63E6914B">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.4 以上各项特殊清洁工作乙方不另收取费用。</w:t>
      </w:r>
    </w:p>
    <w:p w14:paraId="0BA4A7F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如乙方工作未达到甲方要求，甲方有权雇佣任何其他所需人员进行上述改善，而所需之一切费用包括运输、工具及工资则从应付乙方清洁费中予以扣除。遇紧急事故如火警、水管爆裂、台风、强降雨等，乙方未能及时加以清理，则甲方可自行雇佣工人进行有关工作，上述一切费用（包括但不限于自行雇佣工人花费的费用、甲方因此付出的管理费、人工费、交通费等）均由乙方承担，甲方有权从应付乙方清洁费中予以扣除，且扣除金额以甲方书面通知上明示的金额为准；不足部分，由乙方即时全数补付给甲方。</w:t>
      </w:r>
    </w:p>
    <w:p w14:paraId="178F99A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乙方负责将甲方及甲方客户产生的垃圾清运至甲方指定的垃圾堆放点。</w:t>
      </w:r>
    </w:p>
    <w:p w14:paraId="1FD6E9F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应为清洁人员提供符合现行有效的法律法规要求的安全防护设备、工具，并进行安全培训，确保其作业过程中人身安全。如清洁人员在作业中发生安全事故导致受伤或死亡，乙方承担全部责任；如造成甲方损失，乙方应全额赔偿。</w:t>
      </w:r>
    </w:p>
    <w:p w14:paraId="6A993F8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18</w:t>
      </w:r>
      <w:r>
        <w:rPr>
          <w:rFonts w:hint="eastAsia" w:ascii="仿宋_GB2312" w:hAnsi="仿宋_GB2312" w:eastAsia="仿宋_GB2312" w:cs="仿宋_GB2312"/>
          <w:color w:val="auto"/>
          <w:sz w:val="28"/>
          <w:szCs w:val="24"/>
          <w:highlight w:val="none"/>
        </w:rPr>
        <w:t>乙方应自行购买雇主责任险或人身意外伤害险，并在进场作业3日前将保险单原件交甲方核查并复印备案；保险金额不低于人民币【80】万元/人，保险截止期限应不早于本合同约定的服务期限届满之日。</w:t>
      </w:r>
    </w:p>
    <w:p w14:paraId="74BCF8E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19</w:t>
      </w:r>
      <w:r>
        <w:rPr>
          <w:rFonts w:hint="eastAsia" w:ascii="仿宋_GB2312" w:hAnsi="仿宋_GB2312" w:eastAsia="仿宋_GB2312" w:cs="仿宋_GB2312"/>
          <w:color w:val="auto"/>
          <w:sz w:val="28"/>
          <w:szCs w:val="24"/>
          <w:highlight w:val="none"/>
        </w:rPr>
        <w:t>乙方所需的一切清洁设施、物料等必须是正规厂家生产的合格安全产品且适合于本项目内各项设施设备、建筑装修材料。因乙方使用的清洁设施、物料不合格等原因造成甲方或第三方人身财产损害的，乙方应承担全部责任。</w:t>
      </w:r>
    </w:p>
    <w:p w14:paraId="5EB6EA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4"/>
          <w:highlight w:val="none"/>
        </w:rPr>
        <w:t>如乙方清洁服务涉及高空作业或其他危险性作业，乙方应在作业前向甲方提交书面作业方案，经甲方确认后方可实施。甲方确认不减免乙方责任，甲方也不因此而承担责任。</w:t>
      </w:r>
    </w:p>
    <w:p w14:paraId="6CA5389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乙方保证其清洁作业不影响甲方及本项目内商户正常经营。</w:t>
      </w:r>
    </w:p>
    <w:p w14:paraId="3BB337A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无论本合同因任何原因终止，乙方应在终止后3日内，与甲方或甲方指定接管单位办理本项目物业清洁管理档案等交接，并与接管单位签署交接确认文件。交接确认文件应交甲方一份备案。</w:t>
      </w:r>
    </w:p>
    <w:p w14:paraId="2042515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8" w:name="_Toc5085"/>
      <w:bookmarkStart w:id="89" w:name="_Toc3461"/>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九</w:t>
      </w:r>
      <w:r>
        <w:rPr>
          <w:rFonts w:hint="eastAsia" w:ascii="黑体" w:hAnsi="黑体" w:eastAsia="黑体" w:cs="黑体"/>
          <w:b w:val="0"/>
          <w:bCs/>
          <w:color w:val="auto"/>
          <w:sz w:val="32"/>
          <w:szCs w:val="28"/>
          <w:highlight w:val="none"/>
        </w:rPr>
        <w:t>条 违约责任</w:t>
      </w:r>
      <w:bookmarkEnd w:id="88"/>
      <w:bookmarkEnd w:id="89"/>
    </w:p>
    <w:p w14:paraId="7DEAFBBF">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.1条 一般违约责任</w:t>
      </w:r>
    </w:p>
    <w:p w14:paraId="0536781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乙方使用水电须遵循经济节约的原则且乙方全权负责清洁工具的保管工作。如清洁工具发生丢失或损毁，概由乙方自行负责，且乙方应于本合同期满或合同解除后3日内将所有清洁工具搬离并将该空间完好交还甲方。否则，甲方有权按【1000】元/天/间的标准向乙方收取场地占用金，超过5日乙方仍未搬离清洁工具，视为乙方已自动放弃这些清洁工具，并自动授权甲方全权处置，并且由此产生的费用由乙方承担，甲方有权从应付乙方清洁服务费用中扣除。清洁服务费用不足以抵扣的，乙方应即时全数补付给甲方。</w:t>
      </w:r>
    </w:p>
    <w:p w14:paraId="5647331B">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.1.2在日常保洁中，违反合同规定的，如存在偷工减料（如垃圾捅不放垃圾袋等引起垃圾桶有臭味），造成顾客投诉的，每发现一次，乙方同意甲方扣除乙方该项目月服务费的【2】%作为违约金。</w:t>
      </w:r>
    </w:p>
    <w:p w14:paraId="62E9CD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1.3甲方有权对乙方的现场清洁人员进行审核，一经甲方确认，乙方不得随意更换；如甲方认为该现场清洁人员不能胜任，有权随时提出更换，乙方应根据甲方要求在3日内进行更换直至甲方满意为止。更换人员每延迟一日，甲方有权扣除乙方月度服务费总额的【</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】%作为违约金</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8"/>
          <w:highlight w:val="none"/>
        </w:rPr>
        <w:t>乙方不得随便更换现场负责人，如</w:t>
      </w:r>
      <w:r>
        <w:rPr>
          <w:rFonts w:hint="eastAsia" w:ascii="仿宋_GB2312" w:hAnsi="仿宋_GB2312" w:eastAsia="仿宋_GB2312" w:cs="仿宋_GB2312"/>
          <w:color w:val="auto"/>
          <w:sz w:val="28"/>
          <w:szCs w:val="28"/>
          <w:highlight w:val="none"/>
          <w:lang w:val="en-US" w:eastAsia="zh-CN"/>
        </w:rPr>
        <w:t>确</w:t>
      </w:r>
      <w:r>
        <w:rPr>
          <w:rFonts w:hint="eastAsia" w:ascii="仿宋_GB2312" w:hAnsi="仿宋_GB2312" w:eastAsia="仿宋_GB2312" w:cs="仿宋_GB2312"/>
          <w:color w:val="auto"/>
          <w:sz w:val="28"/>
          <w:szCs w:val="28"/>
          <w:highlight w:val="none"/>
        </w:rPr>
        <w:t>需更换，至少提前15日</w:t>
      </w:r>
      <w:r>
        <w:rPr>
          <w:rFonts w:hint="eastAsia" w:ascii="仿宋_GB2312" w:hAnsi="仿宋_GB2312" w:eastAsia="仿宋_GB2312" w:cs="仿宋_GB2312"/>
          <w:color w:val="auto"/>
          <w:sz w:val="28"/>
          <w:szCs w:val="28"/>
          <w:highlight w:val="none"/>
          <w:lang w:val="en-US" w:eastAsia="zh-CN"/>
        </w:rPr>
        <w:t>向甲方</w:t>
      </w:r>
      <w:r>
        <w:rPr>
          <w:rFonts w:hint="eastAsia" w:ascii="仿宋_GB2312" w:hAnsi="仿宋_GB2312" w:eastAsia="仿宋_GB2312" w:cs="仿宋_GB2312"/>
          <w:color w:val="auto"/>
          <w:sz w:val="28"/>
          <w:szCs w:val="28"/>
          <w:highlight w:val="none"/>
        </w:rPr>
        <w:t>书面提出，否则</w:t>
      </w:r>
      <w:r>
        <w:rPr>
          <w:rFonts w:hint="eastAsia" w:ascii="仿宋_GB2312" w:hAnsi="仿宋_GB2312" w:eastAsia="仿宋_GB2312" w:cs="仿宋_GB2312"/>
          <w:color w:val="auto"/>
          <w:sz w:val="28"/>
          <w:szCs w:val="28"/>
          <w:highlight w:val="none"/>
          <w:lang w:val="en-US" w:eastAsia="zh-CN"/>
        </w:rPr>
        <w:t>按违约处理，</w:t>
      </w:r>
      <w:r>
        <w:rPr>
          <w:rFonts w:hint="eastAsia" w:ascii="仿宋_GB2312" w:hAnsi="仿宋_GB2312" w:eastAsia="仿宋_GB2312" w:cs="仿宋_GB2312"/>
          <w:color w:val="auto"/>
          <w:sz w:val="28"/>
          <w:szCs w:val="28"/>
          <w:highlight w:val="none"/>
        </w:rPr>
        <w:t>扣除当月服务费总额的</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8"/>
          <w:highlight w:val="none"/>
        </w:rPr>
        <w:t>。</w:t>
      </w:r>
    </w:p>
    <w:p w14:paraId="1637358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.1.4甲方有权根据《清洁服务质量检查标准》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对乙方的保洁工作及质量进行</w:t>
      </w:r>
      <w:r>
        <w:rPr>
          <w:rFonts w:hint="eastAsia" w:ascii="仿宋_GB2312" w:hAnsi="仿宋_GB2312" w:eastAsia="仿宋_GB2312" w:cs="仿宋_GB2312"/>
          <w:color w:val="auto"/>
          <w:sz w:val="28"/>
          <w:szCs w:val="24"/>
          <w:highlight w:val="none"/>
        </w:rPr>
        <w:t>检查。若发现问题，甲方及时告知乙方。85分为合格标准，每降低0.5分，甲方有权从乙方该项目月服务费中扣除【</w:t>
      </w:r>
      <w:r>
        <w:rPr>
          <w:rFonts w:hint="eastAsia" w:ascii="仿宋_GB2312" w:hAnsi="仿宋_GB2312" w:eastAsia="仿宋_GB2312" w:cs="仿宋_GB2312"/>
          <w:color w:val="auto"/>
          <w:sz w:val="28"/>
          <w:szCs w:val="24"/>
          <w:highlight w:val="none"/>
          <w:lang w:val="en-US" w:eastAsia="zh-CN"/>
        </w:rPr>
        <w:t>0.5</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24"/>
          <w:highlight w:val="none"/>
        </w:rPr>
        <w:t>的费用作为违约金，以此类推。</w:t>
      </w:r>
    </w:p>
    <w:p w14:paraId="5F5852C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4"/>
          <w:highlight w:val="none"/>
          <w:lang w:val="en-US" w:eastAsia="zh-CN"/>
        </w:rPr>
        <w:t>9.1.5</w:t>
      </w:r>
      <w:r>
        <w:rPr>
          <w:rFonts w:hint="eastAsia" w:ascii="仿宋_GB2312" w:hAnsi="仿宋_GB2312" w:eastAsia="仿宋_GB2312" w:cs="仿宋_GB2312"/>
          <w:color w:val="auto"/>
          <w:sz w:val="28"/>
          <w:szCs w:val="28"/>
          <w:highlight w:val="none"/>
        </w:rPr>
        <w:t>乙方人员应符合本合同</w:t>
      </w:r>
      <w:r>
        <w:rPr>
          <w:rFonts w:hint="eastAsia" w:ascii="仿宋_GB2312" w:hAnsi="仿宋_GB2312" w:eastAsia="仿宋_GB2312" w:cs="仿宋_GB2312"/>
          <w:color w:val="auto"/>
          <w:sz w:val="28"/>
          <w:szCs w:val="28"/>
          <w:highlight w:val="none"/>
          <w:lang w:val="en-US" w:eastAsia="zh-CN"/>
        </w:rPr>
        <w:t>约定人员条件</w:t>
      </w:r>
      <w:r>
        <w:rPr>
          <w:rFonts w:hint="eastAsia" w:ascii="仿宋_GB2312" w:hAnsi="仿宋_GB2312" w:eastAsia="仿宋_GB2312" w:cs="仿宋_GB2312"/>
          <w:color w:val="auto"/>
          <w:sz w:val="28"/>
          <w:szCs w:val="28"/>
          <w:highlight w:val="none"/>
        </w:rPr>
        <w:t>的要求，否则不予录入考勤系统，检查中如有出现不符合合同约定情况，将不计有效考勤，如造成缺岗，乙方按照缺岗承担违约责任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缓冲期内按</w:t>
      </w:r>
      <w:r>
        <w:rPr>
          <w:rFonts w:hint="eastAsia" w:ascii="仿宋_GB2312" w:hAnsi="仿宋_GB2312" w:eastAsia="仿宋_GB2312" w:cs="仿宋_GB2312"/>
          <w:color w:val="auto"/>
          <w:sz w:val="28"/>
          <w:szCs w:val="28"/>
          <w:highlight w:val="none"/>
        </w:rPr>
        <w:t>《外包考勤及日常管理规定》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要求录入考勤系统</w:t>
      </w:r>
      <w:r>
        <w:rPr>
          <w:rFonts w:hint="eastAsia" w:ascii="仿宋_GB2312" w:hAnsi="仿宋_GB2312" w:eastAsia="仿宋_GB2312" w:cs="仿宋_GB2312"/>
          <w:color w:val="auto"/>
          <w:sz w:val="28"/>
          <w:szCs w:val="28"/>
          <w:highlight w:val="none"/>
          <w:lang w:eastAsia="zh-CN"/>
        </w:rPr>
        <w:t>。</w:t>
      </w:r>
    </w:p>
    <w:p w14:paraId="3F5AF0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8"/>
          <w:highlight w:val="none"/>
          <w:lang w:val="en-US" w:eastAsia="zh-CN"/>
        </w:rPr>
        <w:t>9.1.6</w:t>
      </w:r>
      <w:r>
        <w:rPr>
          <w:rFonts w:hint="eastAsia" w:ascii="仿宋_GB2312" w:hAnsi="仿宋_GB2312" w:eastAsia="仿宋_GB2312" w:cs="仿宋_GB2312"/>
          <w:color w:val="auto"/>
          <w:sz w:val="28"/>
          <w:szCs w:val="28"/>
          <w:highlight w:val="none"/>
        </w:rPr>
        <w:t>甲方保留追究乙方因缺岗、缺勤、脱岗、睡岗</w:t>
      </w:r>
      <w:r>
        <w:rPr>
          <w:rFonts w:hint="eastAsia" w:ascii="仿宋_GB2312" w:hAnsi="仿宋_GB2312" w:eastAsia="仿宋_GB2312" w:cs="仿宋_GB2312"/>
          <w:color w:val="auto"/>
          <w:sz w:val="28"/>
          <w:szCs w:val="28"/>
          <w:highlight w:val="none"/>
          <w:lang w:val="en-US" w:eastAsia="zh-CN"/>
        </w:rPr>
        <w:t>等，</w:t>
      </w:r>
      <w:r>
        <w:rPr>
          <w:rFonts w:hint="eastAsia" w:ascii="仿宋_GB2312" w:hAnsi="仿宋_GB2312" w:eastAsia="仿宋_GB2312" w:cs="仿宋_GB2312"/>
          <w:color w:val="auto"/>
          <w:sz w:val="28"/>
          <w:szCs w:val="28"/>
          <w:highlight w:val="none"/>
        </w:rPr>
        <w:t>造成甲方或第三方任何损失和责任事故的权利</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乙方承诺对此没有异议。如乙方出现缺岗、缺勤、脱岗、睡岗等情形的，甲方可按《</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扣罚。</w:t>
      </w:r>
    </w:p>
    <w:p w14:paraId="6E652E58">
      <w:pPr>
        <w:pStyle w:val="49"/>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w:t>
      </w:r>
      <w:r>
        <w:rPr>
          <w:rFonts w:hint="eastAsia" w:ascii="仿宋_GB2312" w:hAnsi="仿宋_GB2312" w:eastAsia="仿宋_GB2312" w:cs="仿宋_GB2312"/>
          <w:color w:val="auto"/>
          <w:sz w:val="28"/>
          <w:szCs w:val="18"/>
          <w:highlight w:val="none"/>
          <w:lang w:val="en-US" w:eastAsia="zh-CN"/>
        </w:rPr>
        <w:t>7</w:t>
      </w:r>
      <w:r>
        <w:rPr>
          <w:rFonts w:hint="eastAsia" w:ascii="仿宋_GB2312" w:hAnsi="仿宋_GB2312" w:eastAsia="仿宋_GB2312" w:cs="仿宋_GB2312"/>
          <w:color w:val="auto"/>
          <w:sz w:val="28"/>
          <w:szCs w:val="18"/>
          <w:highlight w:val="none"/>
        </w:rPr>
        <w:t>乙方不得以甲方延迟支付服务费等为理由延迟支付乙方人员工资，如发生因此类事件导致乙方人员在甲方区域内罢工或政府类投诉等事件发生，每发生一次甲方有权扣除</w:t>
      </w:r>
      <w:r>
        <w:rPr>
          <w:rFonts w:hint="default" w:ascii="仿宋_GB2312" w:hAnsi="仿宋_GB2312" w:eastAsia="仿宋_GB2312" w:cs="仿宋_GB2312"/>
          <w:color w:val="auto"/>
          <w:sz w:val="28"/>
          <w:szCs w:val="18"/>
          <w:highlight w:val="none"/>
          <w:lang w:val="en-US"/>
        </w:rPr>
        <w:t>合同总</w:t>
      </w:r>
      <w:r>
        <w:rPr>
          <w:rFonts w:hint="eastAsia" w:ascii="仿宋_GB2312" w:hAnsi="仿宋_GB2312" w:eastAsia="仿宋_GB2312" w:cs="仿宋_GB2312"/>
          <w:color w:val="auto"/>
          <w:sz w:val="28"/>
          <w:szCs w:val="18"/>
          <w:highlight w:val="none"/>
          <w:lang w:val="en-US" w:eastAsia="zh-CN"/>
        </w:rPr>
        <w:t>服务</w:t>
      </w:r>
      <w:r>
        <w:rPr>
          <w:rFonts w:hint="eastAsia" w:ascii="仿宋_GB2312" w:hAnsi="仿宋_GB2312" w:eastAsia="仿宋_GB2312" w:cs="仿宋_GB2312"/>
          <w:color w:val="auto"/>
          <w:sz w:val="28"/>
          <w:szCs w:val="18"/>
          <w:highlight w:val="none"/>
        </w:rPr>
        <w:t>费用的</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18"/>
          <w:highlight w:val="none"/>
        </w:rPr>
        <w:t>作为违约金。乙方应在2日内妥善解决前述罢工或者投诉事件，逾期未解决，乙方除应向甲方支付前述违约金外，还应承担相应的违约责任。</w:t>
      </w:r>
    </w:p>
    <w:p w14:paraId="2AB2E7B7">
      <w:pPr>
        <w:widowControl w:val="0"/>
        <w:wordWrap/>
        <w:adjustRightInd w:val="0"/>
        <w:snapToGrid w:val="0"/>
        <w:spacing w:line="560" w:lineRule="exact"/>
        <w:ind w:firstLine="562" w:firstLineChars="200"/>
        <w:rPr>
          <w:rFonts w:hint="eastAsia" w:ascii="仿宋_GB2312" w:hAnsi="仿宋_GB2312" w:eastAsia="仿宋_GB2312" w:cs="仿宋_GB2312"/>
          <w:b/>
          <w:bCs w:val="0"/>
          <w:color w:val="auto"/>
          <w:sz w:val="28"/>
          <w:szCs w:val="24"/>
          <w:highlight w:val="none"/>
        </w:rPr>
      </w:pPr>
      <w:r>
        <w:rPr>
          <w:rFonts w:hint="eastAsia" w:ascii="仿宋_GB2312" w:hAnsi="仿宋_GB2312" w:eastAsia="仿宋_GB2312" w:cs="仿宋_GB2312"/>
          <w:b/>
          <w:bCs w:val="0"/>
          <w:color w:val="auto"/>
          <w:sz w:val="28"/>
          <w:szCs w:val="24"/>
          <w:highlight w:val="none"/>
          <w:lang w:val="en-US" w:eastAsia="zh-CN"/>
        </w:rPr>
        <w:t>9</w:t>
      </w:r>
      <w:r>
        <w:rPr>
          <w:rFonts w:hint="eastAsia" w:ascii="仿宋_GB2312" w:hAnsi="仿宋_GB2312" w:eastAsia="仿宋_GB2312" w:cs="仿宋_GB2312"/>
          <w:b/>
          <w:bCs w:val="0"/>
          <w:color w:val="auto"/>
          <w:sz w:val="28"/>
          <w:szCs w:val="24"/>
          <w:highlight w:val="none"/>
        </w:rPr>
        <w:t>.1.</w:t>
      </w:r>
      <w:r>
        <w:rPr>
          <w:rFonts w:hint="eastAsia" w:ascii="仿宋_GB2312" w:hAnsi="仿宋_GB2312" w:eastAsia="仿宋_GB2312" w:cs="仿宋_GB2312"/>
          <w:b/>
          <w:bCs w:val="0"/>
          <w:color w:val="auto"/>
          <w:sz w:val="28"/>
          <w:szCs w:val="24"/>
          <w:highlight w:val="none"/>
          <w:lang w:val="en-US" w:eastAsia="zh-CN"/>
        </w:rPr>
        <w:t>8</w:t>
      </w:r>
      <w:r>
        <w:rPr>
          <w:rFonts w:hint="eastAsia" w:ascii="仿宋_GB2312" w:hAnsi="仿宋_GB2312" w:eastAsia="仿宋_GB2312" w:cs="仿宋_GB2312"/>
          <w:b/>
          <w:bCs w:val="0"/>
          <w:color w:val="auto"/>
          <w:sz w:val="28"/>
          <w:szCs w:val="24"/>
          <w:highlight w:val="none"/>
        </w:rPr>
        <w:t>出现下列情形之一的，每出现一次，甲方有权扣除乙方该项目月服务费</w:t>
      </w:r>
      <w:r>
        <w:rPr>
          <w:rFonts w:hint="eastAsia" w:ascii="仿宋_GB2312" w:hAnsi="仿宋_GB2312" w:eastAsia="仿宋_GB2312" w:cs="仿宋_GB2312"/>
          <w:b/>
          <w:bCs w:val="0"/>
          <w:color w:val="auto"/>
          <w:sz w:val="28"/>
          <w:szCs w:val="24"/>
          <w:highlight w:val="none"/>
          <w:lang w:val="en-US" w:eastAsia="zh-CN"/>
        </w:rPr>
        <w:t>的</w:t>
      </w:r>
      <w:r>
        <w:rPr>
          <w:rFonts w:hint="eastAsia" w:ascii="仿宋_GB2312" w:hAnsi="仿宋_GB2312" w:eastAsia="仿宋_GB2312" w:cs="仿宋_GB2312"/>
          <w:b/>
          <w:bCs w:val="0"/>
          <w:color w:val="auto"/>
          <w:sz w:val="28"/>
          <w:szCs w:val="24"/>
          <w:highlight w:val="none"/>
        </w:rPr>
        <w:t>【</w:t>
      </w:r>
      <w:r>
        <w:rPr>
          <w:rFonts w:hint="eastAsia" w:ascii="仿宋_GB2312" w:hAnsi="仿宋_GB2312" w:eastAsia="仿宋_GB2312" w:cs="仿宋_GB2312"/>
          <w:b/>
          <w:bCs w:val="0"/>
          <w:color w:val="auto"/>
          <w:sz w:val="28"/>
          <w:szCs w:val="24"/>
          <w:highlight w:val="none"/>
          <w:lang w:val="en-US" w:eastAsia="zh-CN"/>
        </w:rPr>
        <w:t>1</w:t>
      </w:r>
      <w:r>
        <w:rPr>
          <w:rFonts w:hint="eastAsia" w:ascii="仿宋_GB2312" w:hAnsi="仿宋_GB2312" w:eastAsia="仿宋_GB2312" w:cs="仿宋_GB2312"/>
          <w:b/>
          <w:bCs w:val="0"/>
          <w:color w:val="auto"/>
          <w:sz w:val="28"/>
          <w:szCs w:val="24"/>
          <w:highlight w:val="none"/>
        </w:rPr>
        <w:t>】%（以下同一区域是指同一层的同一分区或该分区10平方米内范围）：</w:t>
      </w:r>
    </w:p>
    <w:p w14:paraId="12B95EFE">
      <w:pPr>
        <w:widowControl w:val="0"/>
        <w:tabs>
          <w:tab w:val="left" w:pos="0"/>
        </w:tabs>
        <w:wordWrap/>
        <w:adjustRightInd w:val="0"/>
        <w:snapToGrid w:val="0"/>
        <w:spacing w:line="560" w:lineRule="exact"/>
        <w:ind w:left="4" w:leftChars="2"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.1在同一天的检查中，发现同一区域出现严重脏污或在同一区域有三个以上的保洁项目未达到《清洁方案》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标准；</w:t>
      </w:r>
    </w:p>
    <w:p w14:paraId="73ADA24B">
      <w:pPr>
        <w:widowControl w:val="0"/>
        <w:tabs>
          <w:tab w:val="left" w:pos="54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.2在同一天的检查中，发现三个区域出现相同项目的不合格项；</w:t>
      </w:r>
    </w:p>
    <w:p w14:paraId="0FBE4D14">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.3在三日以内的检查中，同一区域出现两次及两次以上相同项目的不合格；</w:t>
      </w:r>
    </w:p>
    <w:p w14:paraId="74CE11F3">
      <w:pPr>
        <w:widowControl w:val="0"/>
        <w:tabs>
          <w:tab w:val="left" w:pos="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 xml:space="preserve"> </w:t>
      </w: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.4在规定的整改时间内未能完成整改项目（排除不可抗拒力）；</w:t>
      </w:r>
    </w:p>
    <w:p w14:paraId="7E561CAC">
      <w:pPr>
        <w:widowControl w:val="0"/>
        <w:tabs>
          <w:tab w:val="left" w:pos="0"/>
        </w:tabs>
        <w:wordWrap/>
        <w:adjustRightInd w:val="0"/>
        <w:snapToGrid w:val="0"/>
        <w:spacing w:line="560" w:lineRule="exact"/>
        <w:ind w:left="0" w:leftChars="0" w:firstLine="417" w:firstLineChars="149"/>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.5乙方员工离岗时间超过半小时(含半小时)，或清洁工具放在</w:t>
      </w:r>
      <w:r>
        <w:rPr>
          <w:rFonts w:hint="eastAsia" w:ascii="仿宋_GB2312" w:hAnsi="仿宋_GB2312" w:eastAsia="仿宋_GB2312" w:cs="仿宋_GB2312"/>
          <w:color w:val="auto"/>
          <w:sz w:val="28"/>
          <w:szCs w:val="24"/>
          <w:highlight w:val="none"/>
          <w:lang w:val="en-US" w:eastAsia="zh-CN"/>
        </w:rPr>
        <w:t>公共区域</w:t>
      </w:r>
      <w:r>
        <w:rPr>
          <w:rFonts w:hint="eastAsia" w:ascii="仿宋_GB2312" w:hAnsi="仿宋_GB2312" w:eastAsia="仿宋_GB2312" w:cs="仿宋_GB2312"/>
          <w:color w:val="auto"/>
          <w:sz w:val="28"/>
          <w:szCs w:val="24"/>
          <w:highlight w:val="none"/>
        </w:rPr>
        <w:t>无人无标识的；</w:t>
      </w:r>
    </w:p>
    <w:p w14:paraId="097B5AD4">
      <w:pPr>
        <w:widowControl w:val="0"/>
        <w:tabs>
          <w:tab w:val="left" w:pos="0"/>
        </w:tabs>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.6乙方员工在</w:t>
      </w:r>
      <w:r>
        <w:rPr>
          <w:rFonts w:hint="eastAsia" w:ascii="仿宋_GB2312" w:hAnsi="仿宋_GB2312" w:eastAsia="仿宋_GB2312" w:cs="仿宋_GB2312"/>
          <w:color w:val="auto"/>
          <w:sz w:val="28"/>
          <w:szCs w:val="24"/>
          <w:highlight w:val="none"/>
          <w:lang w:val="en-US" w:eastAsia="zh-CN"/>
        </w:rPr>
        <w:t>清洗作业</w:t>
      </w:r>
      <w:r>
        <w:rPr>
          <w:rFonts w:hint="eastAsia" w:ascii="仿宋_GB2312" w:hAnsi="仿宋_GB2312" w:eastAsia="仿宋_GB2312" w:cs="仿宋_GB2312"/>
          <w:color w:val="auto"/>
          <w:sz w:val="28"/>
          <w:szCs w:val="24"/>
          <w:highlight w:val="none"/>
        </w:rPr>
        <w:t>时，没有节水意识的。</w:t>
      </w:r>
    </w:p>
    <w:p w14:paraId="16097B0C">
      <w:pPr>
        <w:widowControl w:val="0"/>
        <w:tabs>
          <w:tab w:val="left" w:pos="0"/>
        </w:tabs>
        <w:wordWrap/>
        <w:adjustRightInd w:val="0"/>
        <w:snapToGrid w:val="0"/>
        <w:spacing w:line="560" w:lineRule="exact"/>
        <w:ind w:firstLine="48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 xml:space="preserve"> 出现以下任意一种情况，甲方均有权向乙方发放整改通知书，乙方应在整改通知书上载明的时间内限期</w:t>
      </w:r>
      <w:r>
        <w:rPr>
          <w:rFonts w:hint="eastAsia" w:ascii="仿宋_GB2312" w:hAnsi="仿宋_GB2312" w:eastAsia="仿宋_GB2312" w:cs="仿宋_GB2312"/>
          <w:b/>
          <w:color w:val="auto"/>
          <w:sz w:val="28"/>
          <w:szCs w:val="24"/>
          <w:highlight w:val="none"/>
          <w:lang w:val="en-US" w:eastAsia="zh-CN"/>
        </w:rPr>
        <w:t>完成</w:t>
      </w:r>
      <w:r>
        <w:rPr>
          <w:rFonts w:hint="eastAsia" w:ascii="仿宋_GB2312" w:hAnsi="仿宋_GB2312" w:eastAsia="仿宋_GB2312" w:cs="仿宋_GB2312"/>
          <w:b/>
          <w:color w:val="auto"/>
          <w:sz w:val="28"/>
          <w:szCs w:val="24"/>
          <w:highlight w:val="none"/>
        </w:rPr>
        <w:t>整改:</w:t>
      </w:r>
    </w:p>
    <w:p w14:paraId="2ACD2660">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.1月度《保洁服务质量检查标准》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检查得分低于70分；</w:t>
      </w:r>
    </w:p>
    <w:p w14:paraId="4F59501A">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.2月度缺岗、缺勤、脱岗、睡岗</w:t>
      </w:r>
      <w:r>
        <w:rPr>
          <w:rFonts w:hint="eastAsia" w:ascii="仿宋_GB2312" w:hAnsi="仿宋_GB2312" w:eastAsia="仿宋_GB2312" w:cs="仿宋_GB2312"/>
          <w:color w:val="auto"/>
          <w:sz w:val="28"/>
          <w:szCs w:val="24"/>
          <w:highlight w:val="none"/>
          <w:lang w:val="en-US" w:eastAsia="zh-CN"/>
        </w:rPr>
        <w:t>等</w:t>
      </w:r>
      <w:r>
        <w:rPr>
          <w:rFonts w:hint="eastAsia" w:ascii="仿宋_GB2312" w:hAnsi="仿宋_GB2312" w:eastAsia="仿宋_GB2312" w:cs="仿宋_GB2312"/>
          <w:color w:val="auto"/>
          <w:sz w:val="28"/>
          <w:szCs w:val="24"/>
          <w:highlight w:val="none"/>
        </w:rPr>
        <w:t>累计数据</w:t>
      </w:r>
      <w:r>
        <w:rPr>
          <w:rFonts w:hint="eastAsia" w:ascii="仿宋_GB2312" w:hAnsi="仿宋_GB2312" w:eastAsia="仿宋_GB2312" w:cs="仿宋_GB2312"/>
          <w:color w:val="auto"/>
          <w:sz w:val="28"/>
          <w:szCs w:val="24"/>
          <w:highlight w:val="none"/>
          <w:lang w:val="en-US" w:eastAsia="zh-CN"/>
        </w:rPr>
        <w:t>&gt;</w:t>
      </w:r>
      <w:r>
        <w:rPr>
          <w:rFonts w:hint="eastAsia" w:ascii="仿宋_GB2312" w:hAnsi="仿宋_GB2312" w:eastAsia="仿宋_GB2312" w:cs="仿宋_GB2312"/>
          <w:color w:val="auto"/>
          <w:sz w:val="28"/>
          <w:szCs w:val="24"/>
          <w:highlight w:val="none"/>
        </w:rPr>
        <w:t>10%；</w:t>
      </w:r>
    </w:p>
    <w:p w14:paraId="40712624">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无论任何原因，乙方员工与甲方或客户（第三方）发生争吵或</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投诉的，乙方同意甲方扣除乙方该项目月服务费的【</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color w:val="auto"/>
          <w:sz w:val="28"/>
          <w:szCs w:val="24"/>
          <w:highlight w:val="none"/>
        </w:rPr>
        <w:t>%</w:t>
      </w:r>
      <w:r>
        <w:rPr>
          <w:rFonts w:hint="eastAsia" w:ascii="仿宋_GB2312" w:hAnsi="仿宋_GB2312" w:eastAsia="仿宋_GB2312" w:cs="仿宋_GB2312"/>
          <w:color w:val="auto"/>
          <w:sz w:val="28"/>
          <w:szCs w:val="24"/>
          <w:highlight w:val="none"/>
        </w:rPr>
        <w:t>作为违约金；与顾客打架、斗殴或有偷盗行为，甲方有权要求乙方立即更换人员，且乙方同意甲方扣除乙方该项目月服务费的10%作为违约金，并赔偿甲方因此遭受的所有损失。</w:t>
      </w:r>
    </w:p>
    <w:p w14:paraId="2D1CDFA3">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11</w:t>
      </w:r>
      <w:r>
        <w:rPr>
          <w:rFonts w:hint="eastAsia" w:ascii="仿宋_GB2312" w:hAnsi="仿宋_GB2312" w:eastAsia="仿宋_GB2312" w:cs="仿宋_GB2312"/>
          <w:color w:val="auto"/>
          <w:sz w:val="28"/>
          <w:szCs w:val="24"/>
          <w:highlight w:val="none"/>
        </w:rPr>
        <w:t>如果甲方收到客户对乙方清洁人员的有效投诉，每月累计三次，甲方有权扣除乙方该项目月服务费的5%-10%作为违约金。</w:t>
      </w:r>
    </w:p>
    <w:p w14:paraId="44D82B15">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乙方所有清洁人员必须整齐穿着由乙方提供并经甲方确认可行的统一制服（包括制服款式及颜色）及佩章。乙方清洁人员违反此约定，乙方同意甲方扣除乙方当月清洁费用每人每次【</w:t>
      </w:r>
      <w:r>
        <w:rPr>
          <w:rFonts w:hint="default" w:ascii="仿宋_GB2312" w:hAnsi="仿宋_GB2312" w:eastAsia="仿宋_GB2312" w:cs="仿宋_GB2312"/>
          <w:color w:val="auto"/>
          <w:sz w:val="28"/>
          <w:szCs w:val="24"/>
          <w:highlight w:val="none"/>
          <w:lang w:val="en-US"/>
        </w:rPr>
        <w:t>2</w:t>
      </w:r>
      <w:r>
        <w:rPr>
          <w:rFonts w:hint="eastAsia" w:ascii="仿宋_GB2312" w:hAnsi="仿宋_GB2312" w:eastAsia="仿宋_GB2312" w:cs="仿宋_GB2312"/>
          <w:color w:val="auto"/>
          <w:sz w:val="28"/>
          <w:szCs w:val="24"/>
          <w:highlight w:val="none"/>
        </w:rPr>
        <w:t>00】元</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保洁员工服出现破损、陈旧等影响形象的情况，每出现1人次，扣除乙方当月服务费【</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0】元人民币。</w:t>
      </w:r>
    </w:p>
    <w:p w14:paraId="4E78D170">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如果乙方现场负责人不按时参加甲方</w:t>
      </w:r>
      <w:r>
        <w:rPr>
          <w:rFonts w:hint="eastAsia" w:ascii="仿宋_GB2312" w:hAnsi="仿宋_GB2312" w:eastAsia="仿宋_GB2312" w:cs="仿宋_GB2312"/>
          <w:color w:val="auto"/>
          <w:sz w:val="28"/>
          <w:szCs w:val="24"/>
          <w:highlight w:val="none"/>
          <w:lang w:val="en-US" w:eastAsia="zh-CN"/>
        </w:rPr>
        <w:t>要求的有关工作</w:t>
      </w:r>
      <w:r>
        <w:rPr>
          <w:rFonts w:hint="eastAsia" w:ascii="仿宋_GB2312" w:hAnsi="仿宋_GB2312" w:eastAsia="仿宋_GB2312" w:cs="仿宋_GB2312"/>
          <w:color w:val="auto"/>
          <w:sz w:val="28"/>
          <w:szCs w:val="24"/>
          <w:highlight w:val="none"/>
        </w:rPr>
        <w:t>会议的，应按每人每次【200】元的标准向甲方支付违约金。</w:t>
      </w:r>
    </w:p>
    <w:p w14:paraId="2C6F146A">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如果甲方发现实际派驻人员与备案资料不符的，甲方有权要求乙方立即更换人员，并且乙方应按每人每次【200】元的标准向甲方支付违约金。对于未备案的乙方人员，甲方有权拒绝其进入甲方场所，</w:t>
      </w:r>
      <w:r>
        <w:rPr>
          <w:rFonts w:hint="eastAsia" w:ascii="仿宋_GB2312" w:hAnsi="仿宋_GB2312" w:eastAsia="仿宋_GB2312" w:cs="仿宋_GB2312"/>
          <w:color w:val="auto"/>
          <w:sz w:val="28"/>
          <w:szCs w:val="24"/>
          <w:highlight w:val="none"/>
          <w:lang w:val="en-US" w:eastAsia="zh-CN"/>
        </w:rPr>
        <w:t>不计有效考勤，</w:t>
      </w:r>
      <w:r>
        <w:rPr>
          <w:rFonts w:hint="eastAsia" w:ascii="仿宋_GB2312" w:hAnsi="仿宋_GB2312" w:eastAsia="仿宋_GB2312" w:cs="仿宋_GB2312"/>
          <w:color w:val="auto"/>
          <w:sz w:val="28"/>
          <w:szCs w:val="24"/>
          <w:highlight w:val="none"/>
        </w:rPr>
        <w:t>相应责任由乙方承担。</w:t>
      </w:r>
    </w:p>
    <w:p w14:paraId="0F3B1D8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乙方未按规定将生活垃圾清运至甲方指定的垃圾堆放点的，甲方有权请第三方垃圾清运单位进行清理，产生的垃圾清运费用，甲方有权在乙方清洁服务费中扣除，并根据现场实际情况扣除当月合同总费用的【5】%作为违约金。</w:t>
      </w:r>
    </w:p>
    <w:p w14:paraId="3C177F89">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.1.1</w:t>
      </w:r>
      <w:r>
        <w:rPr>
          <w:rFonts w:hint="eastAsia" w:ascii="仿宋_GB2312" w:hAnsi="仿宋_GB2312" w:eastAsia="仿宋_GB2312" w:cs="仿宋_GB2312"/>
          <w:color w:val="auto"/>
          <w:sz w:val="28"/>
          <w:szCs w:val="18"/>
          <w:highlight w:val="none"/>
          <w:lang w:val="en-US" w:eastAsia="zh-CN"/>
        </w:rPr>
        <w:t>6</w:t>
      </w:r>
      <w:r>
        <w:rPr>
          <w:rFonts w:hint="eastAsia" w:ascii="仿宋_GB2312" w:hAnsi="仿宋_GB2312" w:eastAsia="仿宋_GB2312" w:cs="仿宋_GB2312"/>
          <w:color w:val="auto"/>
          <w:sz w:val="28"/>
          <w:szCs w:val="28"/>
          <w:highlight w:val="none"/>
        </w:rPr>
        <w:t>乙方应确保合法合规用工，具备履行本合同所需的资质。保洁人员的劳动关系事宜由乙方负责妥善处理。乙方因执行本合同过程中产生的工伤等事故、劳动纠纷或第三方的索赔责任，概由乙方自行承担。因工伤、劳动纠纷、第三方索赔、重大安全事故等事项造成甲方损失的，乙方应予以全额赔偿，甲方可另行要求乙方支付三个月的保洁服务费作为违约金。</w:t>
      </w:r>
    </w:p>
    <w:p w14:paraId="2AC665E0">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.1.1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乙方无故不签字确认甲方按合同约定</w:t>
      </w:r>
      <w:r>
        <w:rPr>
          <w:rFonts w:hint="eastAsia" w:ascii="仿宋_GB2312" w:hAnsi="仿宋_GB2312" w:eastAsia="仿宋_GB2312" w:cs="仿宋_GB2312"/>
          <w:color w:val="auto"/>
          <w:sz w:val="28"/>
          <w:szCs w:val="28"/>
          <w:highlight w:val="none"/>
          <w:lang w:val="en-US" w:eastAsia="zh-CN"/>
        </w:rPr>
        <w:t>出具的书面、</w:t>
      </w:r>
      <w:r>
        <w:rPr>
          <w:rFonts w:hint="eastAsia" w:ascii="仿宋_GB2312" w:hAnsi="仿宋_GB2312" w:eastAsia="仿宋_GB2312" w:cs="仿宋_GB2312"/>
          <w:color w:val="auto"/>
          <w:sz w:val="28"/>
          <w:szCs w:val="28"/>
          <w:highlight w:val="none"/>
        </w:rPr>
        <w:t>结算</w:t>
      </w:r>
      <w:r>
        <w:rPr>
          <w:rFonts w:hint="eastAsia" w:ascii="仿宋_GB2312" w:hAnsi="仿宋_GB2312" w:eastAsia="仿宋_GB2312" w:cs="仿宋_GB2312"/>
          <w:color w:val="auto"/>
          <w:sz w:val="28"/>
          <w:szCs w:val="28"/>
          <w:highlight w:val="none"/>
          <w:lang w:val="en-US" w:eastAsia="zh-CN"/>
        </w:rPr>
        <w:t>材料等</w:t>
      </w:r>
      <w:r>
        <w:rPr>
          <w:rFonts w:hint="eastAsia" w:ascii="仿宋_GB2312" w:hAnsi="仿宋_GB2312" w:eastAsia="仿宋_GB2312" w:cs="仿宋_GB2312"/>
          <w:color w:val="auto"/>
          <w:sz w:val="28"/>
          <w:szCs w:val="28"/>
          <w:highlight w:val="none"/>
        </w:rPr>
        <w:t>，每出现一次扣除合同当月【1】%的服务</w:t>
      </w:r>
      <w:r>
        <w:rPr>
          <w:rFonts w:hint="eastAsia" w:ascii="仿宋_GB2312" w:hAnsi="仿宋_GB2312" w:eastAsia="仿宋_GB2312" w:cs="仿宋_GB2312"/>
          <w:color w:val="auto"/>
          <w:sz w:val="28"/>
          <w:szCs w:val="28"/>
          <w:highlight w:val="none"/>
          <w:lang w:val="en-US" w:eastAsia="zh-CN"/>
        </w:rPr>
        <w:t>费</w:t>
      </w:r>
      <w:r>
        <w:rPr>
          <w:rFonts w:hint="eastAsia" w:ascii="仿宋_GB2312" w:hAnsi="仿宋_GB2312" w:eastAsia="仿宋_GB2312" w:cs="仿宋_GB2312"/>
          <w:color w:val="auto"/>
          <w:sz w:val="28"/>
          <w:szCs w:val="28"/>
          <w:highlight w:val="none"/>
        </w:rPr>
        <w:t>。</w:t>
      </w:r>
    </w:p>
    <w:p w14:paraId="41A77240">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.2条  根本违约责任</w:t>
      </w:r>
    </w:p>
    <w:p w14:paraId="2717318D">
      <w:pPr>
        <w:widowControl w:val="0"/>
        <w:wordWrap/>
        <w:adjustRightInd w:val="0"/>
        <w:snapToGrid w:val="0"/>
        <w:spacing w:line="560" w:lineRule="exact"/>
        <w:ind w:firstLine="560"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如乙方工作</w:t>
      </w:r>
      <w:r>
        <w:rPr>
          <w:rFonts w:hint="eastAsia" w:ascii="仿宋_GB2312" w:hAnsi="仿宋_GB2312" w:eastAsia="仿宋_GB2312" w:cs="仿宋_GB2312"/>
          <w:b/>
          <w:color w:val="auto"/>
          <w:sz w:val="28"/>
          <w:szCs w:val="24"/>
          <w:highlight w:val="none"/>
          <w:lang w:val="en-US" w:eastAsia="zh-CN"/>
        </w:rPr>
        <w:t>不</w:t>
      </w:r>
      <w:r>
        <w:rPr>
          <w:rFonts w:hint="eastAsia" w:ascii="仿宋_GB2312" w:hAnsi="仿宋_GB2312" w:eastAsia="仿宋_GB2312" w:cs="仿宋_GB2312"/>
          <w:b/>
          <w:color w:val="auto"/>
          <w:sz w:val="28"/>
          <w:szCs w:val="24"/>
          <w:highlight w:val="none"/>
        </w:rPr>
        <w:t>符合合同</w:t>
      </w:r>
      <w:r>
        <w:rPr>
          <w:rFonts w:hint="eastAsia" w:ascii="仿宋_GB2312" w:hAnsi="仿宋_GB2312" w:eastAsia="仿宋_GB2312" w:cs="仿宋_GB2312"/>
          <w:b/>
          <w:color w:val="auto"/>
          <w:sz w:val="28"/>
          <w:szCs w:val="24"/>
          <w:highlight w:val="none"/>
          <w:lang w:val="en-US" w:eastAsia="zh-CN"/>
        </w:rPr>
        <w:t>约定（含补充协议）</w:t>
      </w:r>
      <w:r>
        <w:rPr>
          <w:rFonts w:hint="eastAsia" w:ascii="仿宋_GB2312" w:hAnsi="仿宋_GB2312" w:eastAsia="仿宋_GB2312" w:cs="仿宋_GB2312"/>
          <w:b/>
          <w:color w:val="auto"/>
          <w:sz w:val="28"/>
          <w:szCs w:val="24"/>
          <w:highlight w:val="none"/>
        </w:rPr>
        <w:t>，出现下列任一情形的，甲方可</w:t>
      </w:r>
      <w:r>
        <w:rPr>
          <w:rFonts w:hint="eastAsia" w:ascii="仿宋_GB2312" w:hAnsi="仿宋_GB2312" w:eastAsia="仿宋_GB2312" w:cs="仿宋_GB2312"/>
          <w:b/>
          <w:color w:val="auto"/>
          <w:sz w:val="28"/>
          <w:szCs w:val="24"/>
          <w:highlight w:val="none"/>
          <w:lang w:val="en-US" w:eastAsia="zh-CN"/>
        </w:rPr>
        <w:t>单方面</w:t>
      </w:r>
      <w:r>
        <w:rPr>
          <w:rFonts w:hint="eastAsia" w:ascii="仿宋_GB2312" w:hAnsi="仿宋_GB2312" w:eastAsia="仿宋_GB2312" w:cs="仿宋_GB2312"/>
          <w:b/>
          <w:color w:val="auto"/>
          <w:sz w:val="28"/>
          <w:szCs w:val="24"/>
          <w:highlight w:val="none"/>
        </w:rPr>
        <w:t>提前7日书面通知乙方解除本合同（不视为甲方违约）</w:t>
      </w:r>
      <w:r>
        <w:rPr>
          <w:rFonts w:hint="eastAsia" w:ascii="仿宋_GB2312" w:hAnsi="仿宋_GB2312" w:eastAsia="仿宋_GB2312" w:cs="仿宋_GB2312"/>
          <w:b/>
          <w:color w:val="auto"/>
          <w:sz w:val="28"/>
          <w:szCs w:val="24"/>
          <w:highlight w:val="none"/>
          <w:lang w:eastAsia="zh-CN"/>
        </w:rPr>
        <w:t>；</w:t>
      </w:r>
      <w:r>
        <w:rPr>
          <w:rFonts w:hint="eastAsia" w:ascii="仿宋_GB2312" w:hAnsi="仿宋_GB2312" w:eastAsia="仿宋_GB2312" w:cs="仿宋_GB2312"/>
          <w:b/>
          <w:color w:val="auto"/>
          <w:sz w:val="28"/>
          <w:szCs w:val="24"/>
          <w:highlight w:val="none"/>
        </w:rPr>
        <w:t>合同终止后，按照乙方实际提供保洁服务的期间结算，同时乙方应按照本合同约定承担违约责任和赔偿责任：</w:t>
      </w:r>
    </w:p>
    <w:p w14:paraId="79C4954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val="0"/>
          <w:bCs/>
          <w:color w:val="auto"/>
          <w:sz w:val="28"/>
          <w:szCs w:val="24"/>
          <w:highlight w:val="none"/>
        </w:rPr>
        <w:t>1</w:t>
      </w:r>
      <w:r>
        <w:rPr>
          <w:rFonts w:hint="eastAsia" w:ascii="仿宋_GB2312" w:hAnsi="仿宋_GB2312" w:eastAsia="仿宋_GB2312" w:cs="仿宋_GB2312"/>
          <w:color w:val="auto"/>
          <w:sz w:val="28"/>
          <w:szCs w:val="24"/>
          <w:highlight w:val="none"/>
        </w:rPr>
        <w:t>乙方违反本合同约定，有偷工减料、使用假冒伪劣产品或擅自使用了与本合同约定不符的产品，被甲方发现三次或以上的；</w:t>
      </w:r>
    </w:p>
    <w:p w14:paraId="74112DE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2乙方违反本合同约定，更换人员延迟超过5日的；</w:t>
      </w:r>
    </w:p>
    <w:p w14:paraId="6BBF90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3乙方违反本合同约定，连续2个月或累计4个月（合同年度内）月检查得分低于70分；</w:t>
      </w:r>
    </w:p>
    <w:p w14:paraId="27B5D9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4</w:t>
      </w:r>
      <w:r>
        <w:rPr>
          <w:rFonts w:hint="eastAsia" w:ascii="仿宋_GB2312" w:hAnsi="仿宋_GB2312" w:eastAsia="仿宋_GB2312" w:cs="仿宋_GB2312"/>
          <w:color w:val="auto"/>
          <w:sz w:val="28"/>
          <w:szCs w:val="28"/>
          <w:highlight w:val="none"/>
        </w:rPr>
        <w:t>在本</w:t>
      </w:r>
      <w:r>
        <w:rPr>
          <w:rFonts w:ascii="仿宋_GB2312" w:hAnsi="仿宋_GB2312" w:eastAsia="仿宋_GB2312" w:cs="仿宋_GB2312"/>
          <w:color w:val="auto"/>
          <w:sz w:val="28"/>
          <w:szCs w:val="28"/>
          <w:highlight w:val="none"/>
        </w:rPr>
        <w:t>合同期限</w:t>
      </w:r>
      <w:r>
        <w:rPr>
          <w:rFonts w:hint="eastAsia" w:ascii="仿宋_GB2312" w:hAnsi="仿宋_GB2312" w:eastAsia="仿宋_GB2312" w:cs="仿宋_GB2312"/>
          <w:color w:val="auto"/>
          <w:sz w:val="28"/>
          <w:szCs w:val="28"/>
          <w:highlight w:val="none"/>
        </w:rPr>
        <w:t>内，</w:t>
      </w:r>
      <w:r>
        <w:rPr>
          <w:rFonts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rPr>
        <w:t>经营资格丧失</w:t>
      </w:r>
      <w:r>
        <w:rPr>
          <w:rFonts w:hint="eastAsia" w:ascii="仿宋_GB2312" w:hAnsi="仿宋_GB2312" w:eastAsia="仿宋_GB2312" w:cs="仿宋_GB2312"/>
          <w:color w:val="auto"/>
          <w:sz w:val="28"/>
          <w:szCs w:val="24"/>
          <w:highlight w:val="none"/>
        </w:rPr>
        <w:t>；</w:t>
      </w:r>
    </w:p>
    <w:p w14:paraId="1442C70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5乙方违反本合同约定，事先未经甲方书面同意，将本合同的全部或部分转包或分包</w:t>
      </w:r>
      <w:r>
        <w:rPr>
          <w:rFonts w:hint="eastAsia" w:ascii="仿宋_GB2312" w:hAnsi="仿宋_GB2312" w:eastAsia="仿宋_GB2312" w:cs="仿宋_GB2312"/>
          <w:color w:val="auto"/>
          <w:sz w:val="28"/>
          <w:szCs w:val="24"/>
          <w:highlight w:val="none"/>
          <w:lang w:val="en-US" w:eastAsia="zh-CN"/>
        </w:rPr>
        <w:t>给</w:t>
      </w:r>
      <w:r>
        <w:rPr>
          <w:rFonts w:hint="eastAsia" w:ascii="仿宋_GB2312" w:hAnsi="仿宋_GB2312" w:eastAsia="仿宋_GB2312" w:cs="仿宋_GB2312"/>
          <w:color w:val="auto"/>
          <w:sz w:val="28"/>
          <w:szCs w:val="24"/>
          <w:highlight w:val="none"/>
        </w:rPr>
        <w:t>第三方及其他个人的；</w:t>
      </w:r>
    </w:p>
    <w:p w14:paraId="243020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6除本合同另有约定外，乙方工作</w:t>
      </w:r>
      <w:r>
        <w:rPr>
          <w:rFonts w:hint="eastAsia" w:ascii="仿宋_GB2312" w:hAnsi="仿宋_GB2312" w:eastAsia="仿宋_GB2312" w:cs="仿宋_GB2312"/>
          <w:color w:val="auto"/>
          <w:sz w:val="28"/>
          <w:szCs w:val="24"/>
          <w:highlight w:val="none"/>
          <w:lang w:val="en-US" w:eastAsia="zh-CN"/>
        </w:rPr>
        <w:t>不</w:t>
      </w:r>
      <w:r>
        <w:rPr>
          <w:rFonts w:hint="eastAsia" w:ascii="仿宋_GB2312" w:hAnsi="仿宋_GB2312" w:eastAsia="仿宋_GB2312" w:cs="仿宋_GB2312"/>
          <w:color w:val="auto"/>
          <w:sz w:val="28"/>
          <w:szCs w:val="24"/>
          <w:highlight w:val="none"/>
        </w:rPr>
        <w:t>符合本合同约定，在甲方发出</w:t>
      </w:r>
      <w:r>
        <w:rPr>
          <w:rFonts w:hint="eastAsia" w:ascii="仿宋_GB2312" w:hAnsi="仿宋_GB2312" w:eastAsia="仿宋_GB2312" w:cs="仿宋_GB2312"/>
          <w:color w:val="auto"/>
          <w:sz w:val="28"/>
          <w:szCs w:val="24"/>
          <w:highlight w:val="none"/>
          <w:lang w:val="en-US" w:eastAsia="zh-CN"/>
        </w:rPr>
        <w:t>书面</w:t>
      </w:r>
      <w:r>
        <w:rPr>
          <w:rFonts w:hint="eastAsia" w:ascii="仿宋_GB2312" w:hAnsi="仿宋_GB2312" w:eastAsia="仿宋_GB2312" w:cs="仿宋_GB2312"/>
          <w:color w:val="auto"/>
          <w:sz w:val="28"/>
          <w:szCs w:val="24"/>
          <w:highlight w:val="none"/>
        </w:rPr>
        <w:t>通知后</w:t>
      </w:r>
      <w:r>
        <w:rPr>
          <w:rFonts w:hint="eastAsia" w:ascii="仿宋_GB2312" w:hAnsi="仿宋_GB2312" w:eastAsia="仿宋_GB2312" w:cs="仿宋_GB2312"/>
          <w:color w:val="auto"/>
          <w:sz w:val="28"/>
          <w:szCs w:val="24"/>
          <w:highlight w:val="none"/>
          <w:lang w:val="en-US" w:eastAsia="zh-CN"/>
        </w:rPr>
        <w:t>24</w:t>
      </w:r>
      <w:r>
        <w:rPr>
          <w:rFonts w:hint="eastAsia" w:ascii="仿宋_GB2312" w:hAnsi="仿宋_GB2312" w:eastAsia="仿宋_GB2312" w:cs="仿宋_GB2312"/>
          <w:color w:val="auto"/>
          <w:sz w:val="28"/>
          <w:szCs w:val="24"/>
          <w:highlight w:val="none"/>
        </w:rPr>
        <w:t>小时内仍未能改善的；</w:t>
      </w:r>
    </w:p>
    <w:p w14:paraId="6F95146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7乙方清洁质量未达到《清洁方案》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质量标准及甲方要求，且经甲方三次书面整改通知后，仍未得到改进的或被卫生主管部门处罚的或一个月内</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投诉超3次（含）的；</w:t>
      </w:r>
    </w:p>
    <w:p w14:paraId="32B5D80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8乙方违反本合同约定，未在3日内妥善解决罢工或者投诉事件的；</w:t>
      </w:r>
    </w:p>
    <w:p w14:paraId="09ACAF7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9乙方违反本合同约定，未按要求更换合格的人员超过3次的（含3次）；</w:t>
      </w:r>
    </w:p>
    <w:p w14:paraId="6CC539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10乙方违反本合同约定，合同期内，甲方连续2个月或累计4个月（每合同年度内）发放整改通知书给乙方的；</w:t>
      </w:r>
    </w:p>
    <w:p w14:paraId="311AF00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11 乙方违反本合同约定，如乙方及其工作人员欠缺相应资质的；</w:t>
      </w:r>
    </w:p>
    <w:p w14:paraId="6C9F8905">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.2.1.1</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乙方无故不签字确认甲方按合同约定做出的结算资料3次及以上的。</w:t>
      </w:r>
    </w:p>
    <w:p w14:paraId="76B156A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.2.1.1</w:t>
      </w:r>
      <w:r>
        <w:rPr>
          <w:rFonts w:hint="eastAsia" w:ascii="仿宋_GB2312" w:hAnsi="仿宋_GB2312" w:eastAsia="仿宋_GB2312" w:cs="仿宋_GB2312"/>
          <w:b/>
          <w:bCs/>
          <w:color w:val="auto"/>
          <w:sz w:val="28"/>
          <w:szCs w:val="24"/>
          <w:highlight w:val="none"/>
          <w:lang w:val="en-US" w:eastAsia="zh-CN"/>
        </w:rPr>
        <w:t>3</w:t>
      </w:r>
      <w:r>
        <w:rPr>
          <w:rFonts w:hint="eastAsia" w:ascii="仿宋_GB2312" w:hAnsi="仿宋_GB2312" w:eastAsia="仿宋_GB2312" w:cs="仿宋_GB2312"/>
          <w:b/>
          <w:bCs/>
          <w:color w:val="auto"/>
          <w:sz w:val="28"/>
          <w:szCs w:val="24"/>
          <w:highlight w:val="none"/>
        </w:rPr>
        <w:t>乙方或乙方人员存在故意、恶意进行虚假考勤，欺骗甲方的，每发现一次，</w:t>
      </w:r>
      <w:r>
        <w:rPr>
          <w:rFonts w:hint="eastAsia" w:ascii="仿宋_GB2312" w:hAnsi="仿宋_GB2312" w:eastAsia="仿宋_GB2312" w:cs="仿宋_GB2312"/>
          <w:b/>
          <w:color w:val="auto"/>
          <w:sz w:val="28"/>
          <w:szCs w:val="24"/>
          <w:highlight w:val="none"/>
        </w:rPr>
        <w:t>甲方可要求乙方支付合同年度总额的【</w:t>
      </w:r>
      <w:r>
        <w:rPr>
          <w:rFonts w:hint="eastAsia" w:ascii="仿宋_GB2312" w:hAnsi="仿宋_GB2312" w:eastAsia="仿宋_GB2312" w:cs="仿宋_GB2312"/>
          <w:b/>
          <w:color w:val="auto"/>
          <w:sz w:val="28"/>
          <w:szCs w:val="24"/>
          <w:highlight w:val="none"/>
          <w:lang w:val="en-US" w:eastAsia="zh-CN"/>
        </w:rPr>
        <w:t>1</w:t>
      </w:r>
      <w:r>
        <w:rPr>
          <w:rFonts w:hint="eastAsia" w:ascii="仿宋_GB2312" w:hAnsi="仿宋_GB2312" w:eastAsia="仿宋_GB2312" w:cs="仿宋_GB2312"/>
          <w:b/>
          <w:color w:val="auto"/>
          <w:sz w:val="28"/>
          <w:szCs w:val="24"/>
          <w:highlight w:val="none"/>
        </w:rPr>
        <w:t>0】%作为违约赔偿金。</w:t>
      </w:r>
    </w:p>
    <w:p w14:paraId="0069DCED">
      <w:pPr>
        <w:pStyle w:val="50"/>
        <w:widowControl w:val="0"/>
        <w:wordWrap/>
        <w:adjustRightInd w:val="0"/>
        <w:snapToGrid w:val="0"/>
        <w:spacing w:after="0" w:line="560" w:lineRule="exact"/>
        <w:ind w:left="0" w:leftChars="0" w:firstLine="554" w:firstLineChars="197"/>
        <w:jc w:val="left"/>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strike w:val="0"/>
          <w:color w:val="auto"/>
          <w:sz w:val="28"/>
          <w:szCs w:val="18"/>
          <w:highlight w:val="none"/>
          <w:lang w:val="en-US" w:eastAsia="zh-CN"/>
        </w:rPr>
        <w:t>9</w:t>
      </w:r>
      <w:r>
        <w:rPr>
          <w:rFonts w:hint="eastAsia" w:ascii="仿宋_GB2312" w:hAnsi="仿宋_GB2312" w:eastAsia="仿宋_GB2312" w:cs="仿宋_GB2312"/>
          <w:b/>
          <w:strike w:val="0"/>
          <w:color w:val="auto"/>
          <w:sz w:val="28"/>
          <w:szCs w:val="18"/>
          <w:highlight w:val="none"/>
        </w:rPr>
        <w:t>.2.2</w:t>
      </w:r>
      <w:r>
        <w:rPr>
          <w:rFonts w:hint="eastAsia" w:ascii="仿宋_GB2312" w:hAnsi="仿宋_GB2312" w:eastAsia="仿宋_GB2312" w:cs="仿宋_GB2312"/>
          <w:b/>
          <w:strike w:val="0"/>
          <w:color w:val="auto"/>
          <w:sz w:val="28"/>
          <w:szCs w:val="28"/>
          <w:highlight w:val="none"/>
        </w:rPr>
        <w:t>除本合同另有约定外，如乙方无故不履行合同经甲方三次书面催告后仍不改正或甲方发现乙方无能力继续履行合同时，甲方有权随时解除本合同</w:t>
      </w:r>
      <w:r>
        <w:rPr>
          <w:rFonts w:hint="eastAsia" w:ascii="仿宋_GB2312" w:hAnsi="仿宋_GB2312" w:eastAsia="仿宋_GB2312" w:cs="仿宋_GB2312"/>
          <w:b/>
          <w:strike w:val="0"/>
          <w:color w:val="auto"/>
          <w:sz w:val="28"/>
          <w:szCs w:val="28"/>
          <w:highlight w:val="none"/>
          <w:lang w:eastAsia="zh-CN"/>
        </w:rPr>
        <w:t>。</w:t>
      </w:r>
    </w:p>
    <w:p w14:paraId="293320C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乙方违反本合同约定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含投标文件</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的承诺、保证或其他为实现本合同目的所需的作为或不作为行为的，如本合同未约定相应违约责任的，则应按照合同总价款【20】%向甲方支付违约金并赔偿甲方相应损失。</w:t>
      </w:r>
    </w:p>
    <w:p w14:paraId="46DBA801">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default" w:ascii="仿宋_GB2312" w:hAnsi="仿宋_GB2312" w:eastAsia="仿宋_GB2312" w:cs="仿宋_GB2312"/>
          <w:b w:val="0"/>
          <w:bCs/>
          <w:color w:val="auto"/>
          <w:sz w:val="28"/>
          <w:szCs w:val="28"/>
          <w:highlight w:val="none"/>
          <w:lang w:val="en-US"/>
        </w:rPr>
        <w:t>4</w:t>
      </w:r>
      <w:r>
        <w:rPr>
          <w:rFonts w:hint="eastAsia" w:ascii="仿宋_GB2312" w:hAnsi="仿宋_GB2312" w:eastAsia="仿宋_GB2312" w:cs="仿宋_GB2312"/>
          <w:color w:val="auto"/>
          <w:sz w:val="28"/>
          <w:szCs w:val="28"/>
          <w:highlight w:val="none"/>
        </w:rPr>
        <w:t>本合同项下乙方的赔偿范围包括甲方的直接损失和间接损失，包括但不限于甲方需要向第三方承担的赔偿责任以及甲方应负担的诉讼费、仲裁费、保全费、担保费、律师费、鉴定费等费用支出。</w:t>
      </w:r>
    </w:p>
    <w:p w14:paraId="4A1286B4">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0" w:name="_Toc8484"/>
      <w:bookmarkStart w:id="91" w:name="_Toc1553"/>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十</w:t>
      </w:r>
      <w:r>
        <w:rPr>
          <w:rFonts w:hint="eastAsia" w:ascii="黑体" w:hAnsi="黑体" w:eastAsia="黑体" w:cs="黑体"/>
          <w:b w:val="0"/>
          <w:bCs/>
          <w:color w:val="auto"/>
          <w:sz w:val="32"/>
          <w:szCs w:val="28"/>
          <w:highlight w:val="none"/>
        </w:rPr>
        <w:t>条 合同解除与终止</w:t>
      </w:r>
      <w:bookmarkEnd w:id="90"/>
      <w:bookmarkEnd w:id="91"/>
    </w:p>
    <w:p w14:paraId="7D888D9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.1因不可抗力致使不能实现合同目的，一方可在书面通知对方后，在合理期限内且不损害另一方利益下解除本合同。</w:t>
      </w:r>
    </w:p>
    <w:p w14:paraId="7FF683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4"/>
          <w:highlight w:val="none"/>
        </w:rPr>
        <w:t>乙方提供的</w:t>
      </w:r>
      <w:r>
        <w:rPr>
          <w:rFonts w:hint="eastAsia" w:ascii="仿宋_GB2312" w:hAnsi="仿宋_GB2312" w:eastAsia="仿宋_GB2312" w:cs="仿宋_GB2312"/>
          <w:color w:val="auto"/>
          <w:sz w:val="28"/>
          <w:szCs w:val="28"/>
          <w:highlight w:val="none"/>
        </w:rPr>
        <w:t>服务不能满足甲方正常需求的，甲方可解除本合同且不视为违约。</w:t>
      </w:r>
    </w:p>
    <w:p w14:paraId="3425FF5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.3乙方违反本合同约定给甲方造成损失，或虽暂未造成损失，经甲方催告拒不改正的，甲方可解除本合同且不视为违约。</w:t>
      </w:r>
    </w:p>
    <w:p w14:paraId="5FC19392">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4乙方提前解除本合同，须提前一个月向甲方提出申请，未经甲方书面同意，乙方不得擅自撤场。在新的服务公司接管之前（以甲方进场函为准），乙方应当继续按照本合同约定履行义务，并且配合完成新服务公司现场的交接工作。甲方应按本合同约定支付该期间的服务费，但不适用《外包考勤及日常管理规定》（附件6）第三章第五条第（六）项其他处罚条款的约定。自新的服务公司接管之日起，乙方撤场，甲方有权扣除合同未履约部分的履约保证金（扣除金额=未履约期间/合同期限*履约保证金总额）。</w:t>
      </w:r>
    </w:p>
    <w:p w14:paraId="01BAD180">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10.5因乙方原因提前解除合同的，甲方有权依照《供应商黑名单管理办法》（附件13）中的相关情形，追究乙方相关违约责任。</w:t>
      </w:r>
    </w:p>
    <w:p w14:paraId="2F502404">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10.6</w:t>
      </w:r>
      <w:r>
        <w:rPr>
          <w:rFonts w:hint="eastAsia" w:ascii="仿宋_GB2312" w:hAnsi="仿宋_GB2312" w:eastAsia="仿宋_GB2312" w:cs="仿宋_GB2312"/>
          <w:b w:val="0"/>
          <w:bCs w:val="0"/>
          <w:color w:val="auto"/>
          <w:sz w:val="28"/>
          <w:szCs w:val="28"/>
          <w:highlight w:val="none"/>
          <w:lang w:val="en-US" w:eastAsia="zh-CN"/>
        </w:rPr>
        <w:t>因甲方丧失本合同全部项目（或部分项目）的物业管理权，导致本合同全部项目（或部分项目）无法继续履行的，按以下约定处理：</w:t>
      </w:r>
    </w:p>
    <w:p w14:paraId="63AF5B6B">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若为全部项目，甲方可提前书面通知乙方解除本合同，不视为违约。甲方按本合同约定据实结算乙方已完成服务的相关费用，无需承担其他任何赔偿或补偿责任。</w:t>
      </w:r>
    </w:p>
    <w:p w14:paraId="5EA81ABB">
      <w:pPr>
        <w:widowControl/>
        <w:tabs>
          <w:tab w:val="left" w:pos="360"/>
        </w:tabs>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部分项目，甲方可书面通知乙方就丧失物业管理权的项目暂停服务并撤场，不视为违约。未受影响部分仍按本合同约定继续履行。甲方仅须就丧失物业管理权部分已完成的服务据实结算，不承担其他任何赔偿或补偿责任。</w:t>
      </w:r>
    </w:p>
    <w:p w14:paraId="6A97251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2" w:name="_Toc26106"/>
      <w:bookmarkStart w:id="93" w:name="_Toc548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一</w:t>
      </w:r>
      <w:r>
        <w:rPr>
          <w:rFonts w:hint="eastAsia" w:ascii="黑体" w:hAnsi="黑体" w:eastAsia="黑体" w:cs="黑体"/>
          <w:b w:val="0"/>
          <w:bCs/>
          <w:color w:val="auto"/>
          <w:sz w:val="32"/>
          <w:szCs w:val="28"/>
          <w:highlight w:val="none"/>
        </w:rPr>
        <w:t>条 不可抗力</w:t>
      </w:r>
      <w:bookmarkEnd w:id="92"/>
      <w:bookmarkEnd w:id="93"/>
    </w:p>
    <w:p w14:paraId="1EBA4D6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.1如果发生不可抗力事件的，双方应各自承担自己的损失。如果不可抗力事件不影响合同继续履行的，双方应继续履行本合同。</w:t>
      </w:r>
    </w:p>
    <w:p w14:paraId="13D331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2不可抗力事件，指双方不能预见、不能防范及不能避免的自然灾害（包括但不限于地震、地陷、海啸、台风、暴雨、水灾等）及非双方原因造成的意外事件（包括但不限于火灾、辐射、战争、动乱、骚乱、群众性事件、恐怖袭击、政府禁令、公共卫生事件等）。</w:t>
      </w:r>
    </w:p>
    <w:p w14:paraId="70F84CB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4" w:name="_Toc31083"/>
      <w:bookmarkStart w:id="95" w:name="_Toc21728"/>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二</w:t>
      </w:r>
      <w:r>
        <w:rPr>
          <w:rFonts w:hint="eastAsia" w:ascii="黑体" w:hAnsi="黑体" w:eastAsia="黑体" w:cs="黑体"/>
          <w:b w:val="0"/>
          <w:bCs/>
          <w:color w:val="auto"/>
          <w:sz w:val="32"/>
          <w:szCs w:val="28"/>
          <w:highlight w:val="none"/>
        </w:rPr>
        <w:t>条 反商业贿赂</w:t>
      </w:r>
      <w:bookmarkEnd w:id="94"/>
      <w:bookmarkEnd w:id="95"/>
    </w:p>
    <w:p w14:paraId="655750D8">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.1基本定义：</w:t>
      </w:r>
    </w:p>
    <w:p w14:paraId="2606374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1.1本条（合同）所指的商业贿赂是指：乙方为获取与甲方（含甲方关联公司及机构，下文中“甲方”均指此范围）的合作及合作的利益，乙方或乙方工作人员给予甲方工作人员或其指定关系人的一切直接或间接的不正当利益；</w:t>
      </w:r>
    </w:p>
    <w:p w14:paraId="7731FBC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1.2其中不正当利益是指：乙方或乙方工作人员以乙方或个人名义向甲方工作人员或其指定关系人直接或间接赠送礼金、物品、有价证券或采取其他变相手段提供不正当利益，包括但不限于：1）促销费、宣传费、赞助费、科研费、劳务费、咨询费、佣金或报销各种费用、含有金额的会员卡、代币卡（劵）、旅游、考察、房屋装修等；2)借款、融资担保、商品赊销、回扣、购物折扣、置业、礼品（如纪念品、节日礼品等）、馈赠、娱乐、招待等；3）提供或介绍就业、就学、参股或参与经营机会等；4）通过分包、转包等形式对甲方工作人员或其指定关系人进行利益输送。</w:t>
      </w:r>
    </w:p>
    <w:p w14:paraId="4E7F22F2">
      <w:pPr>
        <w:widowControl w:val="0"/>
        <w:wordWrap/>
        <w:adjustRightInd w:val="0"/>
        <w:snapToGrid w:val="0"/>
        <w:spacing w:line="560" w:lineRule="exact"/>
        <w:ind w:firstLine="582" w:firstLineChars="208"/>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.2协助义务与违约责任：</w:t>
      </w:r>
    </w:p>
    <w:p w14:paraId="379B2607">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2.1乙方理解并同意，甲方任何工作人员、部门不得以任何名义向乙方或乙方工作人员索取或收受商业贿赂；乙方或乙方工作人员不得以任何名义向甲方工作人员或其指定关系人进行商业贿赂。若甲方工作人员要求乙方或乙方工作人员给予任何形式的商业贿赂，乙方必须拒绝，并及时通过电话或邮件形式向</w:t>
      </w:r>
      <w:r>
        <w:rPr>
          <w:rFonts w:hint="eastAsia" w:ascii="仿宋_GB2312" w:hAnsi="仿宋_GB2312" w:eastAsia="仿宋_GB2312" w:cs="仿宋_GB2312"/>
          <w:bCs/>
          <w:color w:val="auto"/>
          <w:sz w:val="28"/>
          <w:szCs w:val="24"/>
          <w:highlight w:val="none"/>
          <w:lang w:val="en-US" w:eastAsia="zh-CN"/>
        </w:rPr>
        <w:t>第一亚太物业管理有限公司</w:t>
      </w:r>
      <w:r>
        <w:rPr>
          <w:rFonts w:hint="eastAsia" w:ascii="仿宋_GB2312" w:hAnsi="仿宋_GB2312" w:eastAsia="仿宋_GB2312" w:cs="仿宋_GB2312"/>
          <w:bCs/>
          <w:color w:val="auto"/>
          <w:sz w:val="28"/>
          <w:szCs w:val="24"/>
          <w:highlight w:val="none"/>
        </w:rPr>
        <w:t>进行投诉举报，监督电话：</w:t>
      </w:r>
      <w:r>
        <w:rPr>
          <w:rFonts w:hint="eastAsia" w:ascii="仿宋_GB2312" w:hAnsi="仿宋_GB2312" w:eastAsia="仿宋_GB2312" w:cs="仿宋_GB2312"/>
          <w:bCs/>
          <w:color w:val="auto"/>
          <w:sz w:val="28"/>
          <w:szCs w:val="24"/>
          <w:highlight w:val="none"/>
          <w:lang w:val="en-US" w:eastAsia="zh-CN"/>
        </w:rPr>
        <w:t>4007891668</w:t>
      </w:r>
      <w:r>
        <w:rPr>
          <w:rFonts w:hint="eastAsia" w:ascii="仿宋_GB2312" w:hAnsi="仿宋_GB2312" w:eastAsia="仿宋_GB2312" w:cs="仿宋_GB2312"/>
          <w:bCs/>
          <w:color w:val="auto"/>
          <w:sz w:val="28"/>
          <w:szCs w:val="24"/>
          <w:highlight w:val="none"/>
        </w:rPr>
        <w:t>；监督邮箱：ytzbzhglb@csc-sz.com。</w:t>
      </w:r>
    </w:p>
    <w:p w14:paraId="094F7DD1">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2.2乙方理解并同意，如违反约定向甲方工作人员或其指定关系人提供商业贿赂的，将构成乙方根本违约，无论是否造成损害结果，甲方有权采取下列一项或多项措施：1）解除双方签订的合作协议，终止合作；2）冻结应付款项、履约保证金等直至甲方相关案件调查结束，且无需承担任何违约责任；3）要求乙方向甲方支付10万元违约金或者支付所涉合同金额的20%作为违约金，以两者中较高者为准。同时，乙方应于甲方发现违约行为之日起5个工作日内支付违约金，如未及时支付，甲方有权从合同款项或履约保证金中直接扣除；</w:t>
      </w:r>
    </w:p>
    <w:p w14:paraId="7273E44F">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2.3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或减免上述违约责任，对于上述情形的处理甲方有完全的判断权和自主权。</w:t>
      </w:r>
    </w:p>
    <w:p w14:paraId="1B054252">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6" w:name="_Toc24939"/>
      <w:bookmarkStart w:id="97" w:name="_Toc120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三</w:t>
      </w:r>
      <w:r>
        <w:rPr>
          <w:rFonts w:hint="eastAsia" w:ascii="黑体" w:hAnsi="黑体" w:eastAsia="黑体" w:cs="黑体"/>
          <w:b w:val="0"/>
          <w:bCs/>
          <w:color w:val="auto"/>
          <w:sz w:val="32"/>
          <w:szCs w:val="28"/>
          <w:highlight w:val="none"/>
        </w:rPr>
        <w:t>条 通知</w:t>
      </w:r>
      <w:bookmarkEnd w:id="96"/>
      <w:bookmarkEnd w:id="97"/>
    </w:p>
    <w:p w14:paraId="5E021EB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.1除双方另有约定，否则双方的联系地址、电话、电子邮箱均以本合同列明的联系地址或营业执照注册地记载地址为准。如果有变更，应提前七天以书面形式通知对方，否则由此引起的后果及责任由变更方承担。</w:t>
      </w:r>
    </w:p>
    <w:p w14:paraId="1EC8479A">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2甲方采用邮寄方式给对方发送通知的（送达内容包括但不限于有关履行本合同的所有通知，亦包括因本合同纠纷提起的诉讼、仲裁、执行等文书的送达），邮寄之日起满五日则视为送达。因“地址不详”、“查无此人”、“电话不通”、“对方拒收”或其他原因，导致邮件被退回的，均视为已经送达。</w:t>
      </w:r>
    </w:p>
    <w:p w14:paraId="44E9B30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.3甲方向乙方本合同列明的电子邮箱、手机号码分别以电子邮件、微信或短信的形式发送通知的，到达乙方特定系统之时，视为已经送达。</w:t>
      </w:r>
    </w:p>
    <w:p w14:paraId="44DCB37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8" w:name="_Toc10721"/>
      <w:bookmarkStart w:id="99" w:name="_Toc1806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四</w:t>
      </w:r>
      <w:r>
        <w:rPr>
          <w:rFonts w:hint="eastAsia" w:ascii="黑体" w:hAnsi="黑体" w:eastAsia="黑体" w:cs="黑体"/>
          <w:b w:val="0"/>
          <w:bCs/>
          <w:color w:val="auto"/>
          <w:sz w:val="32"/>
          <w:szCs w:val="28"/>
          <w:highlight w:val="none"/>
        </w:rPr>
        <w:t>条 其他</w:t>
      </w:r>
      <w:bookmarkEnd w:id="98"/>
      <w:bookmarkEnd w:id="99"/>
    </w:p>
    <w:p w14:paraId="5BC04BC4">
      <w:pPr>
        <w:widowControl w:val="0"/>
        <w:wordWrap/>
        <w:adjustRightInd w:val="0"/>
        <w:snapToGrid w:val="0"/>
        <w:spacing w:line="560" w:lineRule="exact"/>
        <w:ind w:left="1"/>
        <w:rPr>
          <w:rFonts w:hint="eastAsia" w:ascii="仿宋_GB2312" w:hAnsi="仿宋_GB2312" w:eastAsia="仿宋_GB2312" w:cs="仿宋_GB2312"/>
          <w:color w:val="auto"/>
          <w:sz w:val="28"/>
          <w:szCs w:val="24"/>
          <w:highlight w:val="none"/>
        </w:rPr>
      </w:pPr>
      <w:r>
        <w:rPr>
          <w:rFonts w:hint="eastAsia" w:ascii="宋体" w:hAnsi="宋体"/>
          <w:color w:val="auto"/>
          <w:sz w:val="24"/>
          <w:highlight w:val="none"/>
        </w:rPr>
        <w:t xml:space="preserve">  </w:t>
      </w:r>
      <w:r>
        <w:rPr>
          <w:rFonts w:hint="eastAsia" w:ascii="仿宋_GB2312" w:hAnsi="仿宋_GB2312" w:eastAsia="仿宋_GB2312" w:cs="仿宋_GB2312"/>
          <w:color w:val="auto"/>
          <w:sz w:val="28"/>
          <w:szCs w:val="24"/>
          <w:highlight w:val="none"/>
        </w:rPr>
        <w:t xml:space="preserve">  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 在本合同履行过程中，如出现不可抗力致使本合同无法继续履行时，甲、乙双方根据具体情况各自承担相应责任，其它事宜双方另行协商解决。</w:t>
      </w:r>
    </w:p>
    <w:p w14:paraId="5256EB6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.2如本合同的个别条款在履行过程中可能证实失效、不合法或无法执行，但本合同中的其他约定应继续有效执行。</w:t>
      </w:r>
    </w:p>
    <w:p w14:paraId="628BA843">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.3除本合同另有约定，合同文件优先解释顺序如下：</w:t>
      </w:r>
    </w:p>
    <w:p w14:paraId="6864F05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（1）甲、乙双方签订的《补充协议》；</w:t>
      </w:r>
    </w:p>
    <w:p w14:paraId="7FA0484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（2）本合同及其附件；</w:t>
      </w:r>
    </w:p>
    <w:p w14:paraId="38BF1E8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（3）《中标函》或《中标通知书》；</w:t>
      </w:r>
    </w:p>
    <w:p w14:paraId="67C63A1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（4）议标期间问答式书面文件；</w:t>
      </w:r>
    </w:p>
    <w:p w14:paraId="55EB2EF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（5）规范或标准；</w:t>
      </w:r>
    </w:p>
    <w:p w14:paraId="4A968F67">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（6）招标文件；</w:t>
      </w:r>
    </w:p>
    <w:p w14:paraId="610B7BB9">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（7）投标文件。</w:t>
      </w:r>
    </w:p>
    <w:p w14:paraId="2505A8B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14.4其它约定：</w:t>
      </w:r>
      <w:r>
        <w:rPr>
          <w:rFonts w:hint="eastAsia" w:ascii="仿宋_GB2312" w:hAnsi="仿宋_GB2312" w:eastAsia="仿宋_GB2312" w:cs="仿宋_GB2312"/>
          <w:color w:val="auto"/>
          <w:sz w:val="28"/>
          <w:szCs w:val="24"/>
          <w:highlight w:val="none"/>
          <w:u w:val="single"/>
          <w:lang w:val="en-US" w:eastAsia="zh-CN"/>
        </w:rPr>
        <w:t xml:space="preserve">                                             </w:t>
      </w:r>
      <w:r>
        <w:rPr>
          <w:rFonts w:hint="eastAsia" w:ascii="仿宋_GB2312" w:hAnsi="仿宋_GB2312" w:eastAsia="仿宋_GB2312" w:cs="仿宋_GB2312"/>
          <w:color w:val="auto"/>
          <w:sz w:val="28"/>
          <w:szCs w:val="24"/>
          <w:highlight w:val="none"/>
          <w:lang w:val="en-US" w:eastAsia="zh-CN"/>
        </w:rPr>
        <w:t xml:space="preserve"> </w:t>
      </w:r>
    </w:p>
    <w:p w14:paraId="32C3FA24">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本合同附件为合同不可分割的有效组成部分，与本合同具有同等法律效力。如附件内容与本合同正文有不一致或相抵触之处，双方同意以本合同内容为准（证照除外）。</w:t>
      </w:r>
    </w:p>
    <w:p w14:paraId="409112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0" w:name="_Toc22733"/>
      <w:bookmarkStart w:id="101" w:name="_Toc3104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争议解决</w:t>
      </w:r>
      <w:bookmarkEnd w:id="100"/>
      <w:bookmarkEnd w:id="101"/>
    </w:p>
    <w:p w14:paraId="44906B9C">
      <w:pPr>
        <w:widowControl w:val="0"/>
        <w:wordWrap/>
        <w:adjustRightInd w:val="0"/>
        <w:snapToGrid w:val="0"/>
        <w:spacing w:line="560" w:lineRule="exact"/>
        <w:ind w:left="1" w:firstLine="48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如因在履行本合同过程中发生争议的，双方可协商解决；协商不成可向甲方所在地有管辖权的人民法院起诉。</w:t>
      </w:r>
    </w:p>
    <w:p w14:paraId="3FE287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2" w:name="_Toc22037"/>
      <w:bookmarkStart w:id="103" w:name="_Toc29626"/>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合同生效及份数</w:t>
      </w:r>
      <w:bookmarkEnd w:id="102"/>
      <w:bookmarkEnd w:id="103"/>
    </w:p>
    <w:p w14:paraId="606F9AD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6</w:t>
      </w:r>
      <w:r>
        <w:rPr>
          <w:rFonts w:hint="eastAsia" w:ascii="仿宋_GB2312" w:hAnsi="仿宋_GB2312" w:eastAsia="仿宋_GB2312" w:cs="仿宋_GB2312"/>
          <w:bCs/>
          <w:color w:val="auto"/>
          <w:sz w:val="28"/>
          <w:szCs w:val="24"/>
          <w:highlight w:val="none"/>
        </w:rPr>
        <w:t>.1本合同自双方签字盖章之日起生效。本合同连同附件一式四份，甲、乙双方各执两份，均具有同等法律效力。</w:t>
      </w:r>
    </w:p>
    <w:p w14:paraId="39A28FDA">
      <w:pPr>
        <w:widowControl w:val="0"/>
        <w:wordWrap/>
        <w:adjustRightInd w:val="0"/>
        <w:snapToGrid w:val="0"/>
        <w:spacing w:line="560" w:lineRule="exact"/>
        <w:ind w:left="1"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.2本合同未尽事宜，双方协商同意后，可签订补充协议。</w:t>
      </w:r>
    </w:p>
    <w:p w14:paraId="478AD34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4" w:name="_Toc5961"/>
      <w:bookmarkStart w:id="105" w:name="_Toc6709"/>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附件</w:t>
      </w:r>
      <w:bookmarkEnd w:id="104"/>
      <w:bookmarkEnd w:id="105"/>
    </w:p>
    <w:p w14:paraId="792DA1E7">
      <w:pPr>
        <w:widowControl w:val="0"/>
        <w:wordWrap/>
        <w:adjustRightInd w:val="0"/>
        <w:snapToGrid w:val="0"/>
        <w:spacing w:line="560" w:lineRule="exact"/>
        <w:ind w:firstLine="480"/>
        <w:jc w:val="left"/>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1</w:t>
      </w:r>
      <w:r>
        <w:rPr>
          <w:rFonts w:hint="eastAsia" w:ascii="仿宋_GB2312" w:hAnsi="仿宋_GB2312" w:eastAsia="仿宋_GB2312" w:cs="仿宋_GB2312"/>
          <w:bCs/>
          <w:color w:val="auto"/>
          <w:sz w:val="28"/>
          <w:szCs w:val="28"/>
          <w:highlight w:val="none"/>
        </w:rPr>
        <w:t>：乙方营业执照及相关资质证书</w:t>
      </w:r>
    </w:p>
    <w:p w14:paraId="39EE2463">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lang w:val="en-US" w:eastAsia="zh-CN"/>
        </w:rPr>
        <w:t>乙方</w:t>
      </w:r>
      <w:r>
        <w:rPr>
          <w:rFonts w:hint="eastAsia" w:ascii="仿宋_GB2312" w:hAnsi="仿宋_GB2312" w:eastAsia="仿宋_GB2312" w:cs="仿宋_GB2312"/>
          <w:bCs/>
          <w:color w:val="auto"/>
          <w:sz w:val="28"/>
          <w:szCs w:val="28"/>
          <w:highlight w:val="none"/>
        </w:rPr>
        <w:t>清洁人员岗位配置》</w:t>
      </w:r>
    </w:p>
    <w:p w14:paraId="121214E3">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rPr>
        <w:t>：《投标承诺函》</w:t>
      </w:r>
    </w:p>
    <w:p w14:paraId="7208CCD5">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4</w:t>
      </w:r>
      <w:r>
        <w:rPr>
          <w:rFonts w:hint="eastAsia" w:ascii="仿宋_GB2312" w:hAnsi="仿宋_GB2312" w:eastAsia="仿宋_GB2312" w:cs="仿宋_GB2312"/>
          <w:bCs/>
          <w:color w:val="auto"/>
          <w:sz w:val="28"/>
          <w:szCs w:val="28"/>
          <w:highlight w:val="none"/>
        </w:rPr>
        <w:t>：《清洁方案》</w:t>
      </w:r>
    </w:p>
    <w:p w14:paraId="0702C4DB">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rPr>
        <w:t>：《清洁服务质量检查标准》</w:t>
      </w:r>
    </w:p>
    <w:p w14:paraId="47C6F036">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6</w:t>
      </w:r>
      <w:r>
        <w:rPr>
          <w:rFonts w:hint="eastAsia" w:ascii="仿宋_GB2312" w:hAnsi="仿宋_GB2312" w:eastAsia="仿宋_GB2312" w:cs="仿宋_GB2312"/>
          <w:bCs/>
          <w:color w:val="auto"/>
          <w:sz w:val="28"/>
          <w:szCs w:val="28"/>
          <w:highlight w:val="none"/>
        </w:rPr>
        <w:t>：《外包考勤及日常管理规定》</w:t>
      </w:r>
    </w:p>
    <w:p w14:paraId="49EBCBC1">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7</w:t>
      </w:r>
      <w:r>
        <w:rPr>
          <w:rFonts w:hint="eastAsia" w:ascii="仿宋_GB2312" w:hAnsi="仿宋_GB2312" w:eastAsia="仿宋_GB2312" w:cs="仿宋_GB2312"/>
          <w:bCs/>
          <w:color w:val="auto"/>
          <w:sz w:val="28"/>
          <w:szCs w:val="28"/>
          <w:highlight w:val="none"/>
        </w:rPr>
        <w:t>：《机械设备清单明细》</w:t>
      </w:r>
    </w:p>
    <w:p w14:paraId="48A2A247">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8</w:t>
      </w:r>
      <w:r>
        <w:rPr>
          <w:rFonts w:hint="eastAsia" w:ascii="仿宋_GB2312" w:hAnsi="仿宋_GB2312" w:eastAsia="仿宋_GB2312" w:cs="仿宋_GB2312"/>
          <w:bCs/>
          <w:color w:val="auto"/>
          <w:sz w:val="28"/>
          <w:szCs w:val="24"/>
          <w:highlight w:val="none"/>
        </w:rPr>
        <w:t>：《货品供应商、服务商及工程单位承诺书》</w:t>
      </w:r>
    </w:p>
    <w:p w14:paraId="7FDCB05D">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9</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4"/>
          <w:highlight w:val="none"/>
        </w:rPr>
        <w:t>增值服务</w:t>
      </w:r>
      <w:r>
        <w:rPr>
          <w:rFonts w:hint="eastAsia" w:ascii="仿宋_GB2312" w:hAnsi="仿宋_GB2312" w:eastAsia="仿宋_GB2312" w:cs="仿宋_GB2312"/>
          <w:bCs/>
          <w:color w:val="auto"/>
          <w:sz w:val="28"/>
          <w:szCs w:val="28"/>
          <w:highlight w:val="none"/>
        </w:rPr>
        <w:t>》</w:t>
      </w:r>
    </w:p>
    <w:p w14:paraId="599DEE0F">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0</w:t>
      </w:r>
      <w:r>
        <w:rPr>
          <w:rFonts w:hint="eastAsia" w:ascii="仿宋_GB2312" w:hAnsi="仿宋_GB2312" w:eastAsia="仿宋_GB2312" w:cs="仿宋_GB2312"/>
          <w:bCs/>
          <w:color w:val="auto"/>
          <w:sz w:val="28"/>
          <w:szCs w:val="24"/>
          <w:highlight w:val="none"/>
        </w:rPr>
        <w:t>：《供方工作月度评估表》</w:t>
      </w:r>
    </w:p>
    <w:p w14:paraId="5429FD0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eastAsia="zh-CN"/>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1</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4"/>
          <w:highlight w:val="none"/>
          <w:lang w:eastAsia="zh-CN"/>
        </w:rPr>
        <w:t>《</w:t>
      </w:r>
      <w:r>
        <w:rPr>
          <w:rFonts w:hint="eastAsia" w:ascii="仿宋_GB2312" w:hAnsi="仿宋_GB2312" w:eastAsia="仿宋_GB2312" w:cs="仿宋_GB2312"/>
          <w:bCs/>
          <w:color w:val="auto"/>
          <w:sz w:val="28"/>
          <w:szCs w:val="24"/>
          <w:highlight w:val="none"/>
        </w:rPr>
        <w:t>职业健康/环保协议</w:t>
      </w:r>
      <w:r>
        <w:rPr>
          <w:rFonts w:hint="eastAsia" w:ascii="仿宋_GB2312" w:hAnsi="仿宋_GB2312" w:eastAsia="仿宋_GB2312" w:cs="仿宋_GB2312"/>
          <w:bCs/>
          <w:color w:val="auto"/>
          <w:sz w:val="28"/>
          <w:szCs w:val="24"/>
          <w:highlight w:val="none"/>
          <w:lang w:eastAsia="zh-CN"/>
        </w:rPr>
        <w:t>》</w:t>
      </w:r>
    </w:p>
    <w:p w14:paraId="1242DC3E">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附件12：《安全生产协议书》</w:t>
      </w:r>
    </w:p>
    <w:p w14:paraId="31E0172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附件13：《供应商黑名单管理办法》</w:t>
      </w:r>
    </w:p>
    <w:p w14:paraId="50EE0D82">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附件14：《承诺书》</w:t>
      </w:r>
    </w:p>
    <w:p w14:paraId="27F18913">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p>
    <w:p w14:paraId="694C252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p>
    <w:p w14:paraId="1F96211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rPr>
        <w:t>（以下无正文）</w:t>
      </w:r>
    </w:p>
    <w:p w14:paraId="7F8B92AD">
      <w:pPr>
        <w:spacing w:line="400" w:lineRule="exact"/>
        <w:ind w:firstLine="480"/>
        <w:jc w:val="left"/>
        <w:rPr>
          <w:rFonts w:hint="eastAsia" w:ascii="仿宋_GB2312" w:hAnsi="仿宋_GB2312" w:eastAsia="仿宋_GB2312" w:cs="仿宋_GB2312"/>
          <w:bCs/>
          <w:color w:val="auto"/>
          <w:sz w:val="28"/>
          <w:szCs w:val="24"/>
          <w:highlight w:val="none"/>
        </w:rPr>
      </w:pPr>
    </w:p>
    <w:p w14:paraId="644CC721">
      <w:pPr>
        <w:spacing w:line="400" w:lineRule="exact"/>
        <w:jc w:val="left"/>
        <w:rPr>
          <w:rFonts w:hint="eastAsia" w:ascii="仿宋_GB2312" w:hAnsi="仿宋_GB2312" w:eastAsia="仿宋_GB2312" w:cs="仿宋_GB2312"/>
          <w:bCs/>
          <w:color w:val="auto"/>
          <w:sz w:val="28"/>
          <w:szCs w:val="24"/>
          <w:highlight w:val="none"/>
        </w:rPr>
      </w:pPr>
    </w:p>
    <w:p w14:paraId="59611812">
      <w:pPr>
        <w:spacing w:line="400" w:lineRule="exact"/>
        <w:jc w:val="left"/>
        <w:rPr>
          <w:rFonts w:hint="eastAsia" w:ascii="仿宋_GB2312" w:hAnsi="仿宋_GB2312" w:eastAsia="仿宋_GB2312" w:cs="仿宋_GB2312"/>
          <w:bCs/>
          <w:color w:val="auto"/>
          <w:sz w:val="28"/>
          <w:szCs w:val="24"/>
          <w:highlight w:val="none"/>
        </w:rPr>
      </w:pPr>
    </w:p>
    <w:p w14:paraId="4D3A4B21">
      <w:pPr>
        <w:spacing w:line="400" w:lineRule="exact"/>
        <w:jc w:val="left"/>
        <w:rPr>
          <w:rFonts w:hint="eastAsia" w:ascii="仿宋_GB2312" w:hAnsi="仿宋_GB2312" w:eastAsia="仿宋_GB2312" w:cs="仿宋_GB2312"/>
          <w:bCs/>
          <w:color w:val="auto"/>
          <w:sz w:val="28"/>
          <w:szCs w:val="24"/>
          <w:highlight w:val="none"/>
        </w:rPr>
      </w:pPr>
    </w:p>
    <w:p w14:paraId="0D158156">
      <w:pPr>
        <w:spacing w:line="400" w:lineRule="exact"/>
        <w:jc w:val="left"/>
        <w:rPr>
          <w:rFonts w:hint="eastAsia" w:ascii="仿宋_GB2312" w:hAnsi="仿宋_GB2312" w:eastAsia="仿宋_GB2312" w:cs="仿宋_GB2312"/>
          <w:bCs/>
          <w:color w:val="auto"/>
          <w:sz w:val="28"/>
          <w:szCs w:val="24"/>
          <w:highlight w:val="none"/>
        </w:rPr>
      </w:pPr>
    </w:p>
    <w:p w14:paraId="573497EF">
      <w:pPr>
        <w:spacing w:line="400" w:lineRule="exact"/>
        <w:jc w:val="left"/>
        <w:rPr>
          <w:rFonts w:hint="eastAsia" w:ascii="仿宋_GB2312" w:hAnsi="仿宋_GB2312" w:eastAsia="仿宋_GB2312" w:cs="仿宋_GB2312"/>
          <w:bCs/>
          <w:color w:val="auto"/>
          <w:sz w:val="28"/>
          <w:szCs w:val="24"/>
          <w:highlight w:val="none"/>
        </w:rPr>
      </w:pPr>
    </w:p>
    <w:p w14:paraId="640DD246">
      <w:pPr>
        <w:spacing w:line="400" w:lineRule="exact"/>
        <w:ind w:firstLine="480"/>
        <w:jc w:val="left"/>
        <w:rPr>
          <w:rFonts w:hint="eastAsia" w:ascii="仿宋_GB2312" w:hAnsi="仿宋_GB2312" w:eastAsia="仿宋_GB2312" w:cs="仿宋_GB2312"/>
          <w:bCs/>
          <w:color w:val="auto"/>
          <w:sz w:val="28"/>
          <w:szCs w:val="24"/>
          <w:highlight w:val="none"/>
        </w:rPr>
      </w:pPr>
    </w:p>
    <w:p w14:paraId="427CC96E">
      <w:pPr>
        <w:pStyle w:val="13"/>
        <w:tabs>
          <w:tab w:val="left" w:pos="720"/>
          <w:tab w:val="left" w:pos="486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甲方（盖章）                         乙方（盖章）</w:t>
      </w:r>
    </w:p>
    <w:p w14:paraId="01A995D8">
      <w:pPr>
        <w:pStyle w:val="13"/>
        <w:tabs>
          <w:tab w:val="left" w:pos="720"/>
        </w:tabs>
        <w:spacing w:before="100"/>
        <w:ind w:firstLine="560" w:firstLineChars="200"/>
        <w:rPr>
          <w:rFonts w:hint="eastAsia" w:ascii="仿宋_GB2312" w:hAnsi="仿宋_GB2312" w:eastAsia="仿宋_GB2312" w:cs="仿宋_GB2312"/>
          <w:color w:val="auto"/>
          <w:sz w:val="28"/>
          <w:szCs w:val="21"/>
          <w:highlight w:val="none"/>
        </w:rPr>
      </w:pPr>
    </w:p>
    <w:p w14:paraId="4085C939">
      <w:pPr>
        <w:pStyle w:val="13"/>
        <w:tabs>
          <w:tab w:val="left" w:pos="72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法定/授权代表人（签名）：            法定/授权代表人（签名）：</w:t>
      </w:r>
    </w:p>
    <w:p w14:paraId="2C06A44B">
      <w:pPr>
        <w:spacing w:line="360" w:lineRule="auto"/>
        <w:ind w:firstLine="480"/>
        <w:jc w:val="left"/>
        <w:rPr>
          <w:rFonts w:hint="eastAsia" w:ascii="仿宋_GB2312" w:hAnsi="仿宋_GB2312" w:eastAsia="仿宋_GB2312" w:cs="仿宋_GB2312"/>
          <w:bCs/>
          <w:color w:val="auto"/>
          <w:sz w:val="28"/>
          <w:szCs w:val="24"/>
          <w:highlight w:val="none"/>
        </w:rPr>
      </w:pPr>
    </w:p>
    <w:p w14:paraId="4C1DCDFD">
      <w:pPr>
        <w:spacing w:line="360" w:lineRule="auto"/>
        <w:jc w:val="left"/>
        <w:rPr>
          <w:rFonts w:hint="eastAsia" w:ascii="仿宋_GB2312" w:hAnsi="仿宋_GB2312" w:eastAsia="仿宋_GB2312" w:cs="仿宋_GB2312"/>
          <w:bCs/>
          <w:color w:val="auto"/>
          <w:sz w:val="28"/>
          <w:szCs w:val="24"/>
          <w:highlight w:val="none"/>
          <w:u w:val="none"/>
        </w:rPr>
      </w:pPr>
      <w:r>
        <w:rPr>
          <w:rFonts w:hint="eastAsia" w:ascii="仿宋_GB2312" w:hAnsi="仿宋_GB2312" w:eastAsia="仿宋_GB2312" w:cs="仿宋_GB2312"/>
          <w:bCs/>
          <w:color w:val="auto"/>
          <w:sz w:val="28"/>
          <w:szCs w:val="24"/>
          <w:highlight w:val="none"/>
          <w:u w:val="none"/>
        </w:rPr>
        <w:t>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 xml:space="preserve">日    </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rPr>
        <w:t xml:space="preserve">  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日</w:t>
      </w:r>
    </w:p>
    <w:p w14:paraId="099759C7">
      <w:pPr>
        <w:spacing w:line="360" w:lineRule="auto"/>
        <w:jc w:val="left"/>
        <w:rPr>
          <w:rFonts w:hint="eastAsia" w:ascii="宋体" w:hAnsi="宋体"/>
          <w:bCs/>
          <w:color w:val="auto"/>
          <w:sz w:val="24"/>
          <w:highlight w:val="none"/>
        </w:rPr>
      </w:pPr>
    </w:p>
    <w:p w14:paraId="5FF1063B">
      <w:pPr>
        <w:rPr>
          <w:rFonts w:hint="eastAsia" w:ascii="仿宋_GB2312" w:hAnsi="仿宋_GB2312" w:eastAsia="仿宋_GB2312" w:cs="仿宋_GB2312"/>
          <w:color w:val="auto"/>
          <w:sz w:val="24"/>
          <w:szCs w:val="24"/>
          <w:highlight w:val="none"/>
        </w:rPr>
      </w:pPr>
    </w:p>
    <w:p w14:paraId="3C6B87E8">
      <w:pPr>
        <w:rPr>
          <w:rFonts w:hint="eastAsia" w:ascii="仿宋_GB2312" w:hAnsi="仿宋_GB2312" w:eastAsia="仿宋_GB2312" w:cs="仿宋_GB2312"/>
          <w:color w:val="auto"/>
          <w:sz w:val="24"/>
          <w:szCs w:val="24"/>
          <w:highlight w:val="none"/>
        </w:rPr>
      </w:pPr>
    </w:p>
    <w:p w14:paraId="6A3FF4A9">
      <w:pPr>
        <w:rPr>
          <w:rFonts w:hint="eastAsia" w:ascii="仿宋_GB2312" w:hAnsi="仿宋_GB2312" w:eastAsia="仿宋_GB2312" w:cs="仿宋_GB2312"/>
          <w:color w:val="auto"/>
          <w:sz w:val="24"/>
          <w:szCs w:val="24"/>
          <w:highlight w:val="none"/>
        </w:rPr>
      </w:pPr>
    </w:p>
    <w:p w14:paraId="60CCC812">
      <w:pPr>
        <w:rPr>
          <w:rFonts w:hint="eastAsia" w:ascii="仿宋_GB2312" w:hAnsi="仿宋_GB2312" w:eastAsia="仿宋_GB2312" w:cs="仿宋_GB2312"/>
          <w:color w:val="auto"/>
          <w:sz w:val="24"/>
          <w:szCs w:val="24"/>
          <w:highlight w:val="none"/>
        </w:rPr>
      </w:pPr>
    </w:p>
    <w:p w14:paraId="59D07B37">
      <w:pPr>
        <w:rPr>
          <w:rFonts w:hint="eastAsia" w:ascii="仿宋_GB2312" w:hAnsi="仿宋_GB2312" w:eastAsia="仿宋_GB2312" w:cs="仿宋_GB2312"/>
          <w:color w:val="auto"/>
          <w:sz w:val="24"/>
          <w:szCs w:val="24"/>
          <w:highlight w:val="none"/>
        </w:rPr>
      </w:pPr>
    </w:p>
    <w:p w14:paraId="0DACC326">
      <w:pPr>
        <w:rPr>
          <w:rFonts w:hint="eastAsia" w:ascii="仿宋_GB2312" w:hAnsi="仿宋_GB2312" w:eastAsia="仿宋_GB2312" w:cs="仿宋_GB2312"/>
          <w:color w:val="auto"/>
          <w:sz w:val="24"/>
          <w:szCs w:val="24"/>
          <w:highlight w:val="none"/>
        </w:rPr>
      </w:pPr>
    </w:p>
    <w:p w14:paraId="1CEB1BFA">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附件</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rPr>
        <w:t>：《货品供应商及工程单位承诺书》</w:t>
      </w:r>
    </w:p>
    <w:p w14:paraId="1ADECF81">
      <w:pPr>
        <w:rPr>
          <w:color w:val="auto"/>
          <w:sz w:val="28"/>
          <w:szCs w:val="28"/>
          <w:highlight w:val="none"/>
        </w:rPr>
      </w:pPr>
    </w:p>
    <w:p w14:paraId="66680B1E">
      <w:pPr>
        <w:spacing w:line="0" w:lineRule="atLeast"/>
        <w:jc w:val="center"/>
        <w:rPr>
          <w:rFonts w:ascii="宋体" w:hAnsi="宋体"/>
          <w:b/>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 xml:space="preserve">货品供应商、服务商及工程单位承诺书 </w:t>
      </w:r>
      <w:r>
        <w:rPr>
          <w:rFonts w:hint="eastAsia" w:ascii="宋体" w:hAnsi="宋体"/>
          <w:b/>
          <w:color w:val="auto"/>
          <w:sz w:val="36"/>
          <w:szCs w:val="36"/>
          <w:highlight w:val="none"/>
        </w:rPr>
        <w:t xml:space="preserve">                          </w:t>
      </w:r>
    </w:p>
    <w:p w14:paraId="04EE6BB6">
      <w:pPr>
        <w:spacing w:line="260" w:lineRule="exact"/>
        <w:rPr>
          <w:rFonts w:hint="eastAsia" w:ascii="仿宋_GB2312" w:hAnsi="仿宋_GB2312" w:eastAsia="仿宋_GB2312" w:cs="仿宋_GB2312"/>
          <w:color w:val="auto"/>
          <w:sz w:val="24"/>
          <w:highlight w:val="none"/>
        </w:rPr>
      </w:pPr>
    </w:p>
    <w:p w14:paraId="6288E19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本公司知悉</w:t>
      </w:r>
      <w:r>
        <w:rPr>
          <w:rFonts w:hint="eastAsia" w:ascii="仿宋_GB2312" w:hAnsi="仿宋_GB2312" w:eastAsia="仿宋_GB2312" w:cs="仿宋_GB2312"/>
          <w:color w:val="auto"/>
          <w:sz w:val="24"/>
          <w:highlight w:val="none"/>
          <w:lang w:val="en-US" w:eastAsia="zh-CN"/>
        </w:rPr>
        <w:t>第一亚太物业管理有限</w:t>
      </w:r>
      <w:r>
        <w:rPr>
          <w:rFonts w:hint="eastAsia" w:ascii="仿宋_GB2312" w:hAnsi="仿宋_GB2312" w:eastAsia="仿宋_GB2312" w:cs="仿宋_GB2312"/>
          <w:color w:val="auto"/>
          <w:sz w:val="24"/>
          <w:highlight w:val="none"/>
        </w:rPr>
        <w:t>公司及其所有子公司、分公司、及其他联营公司（以下统称“</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以廉洁、公平、公正为宗旨，遵守中华人民共和国及其他海外地区之防止贿赂条例或同等意义的法律、法规，严格禁止任何职员收受私人利益（包括礼物、回佣或任何形式之报酬），因此，本公司将会严格遵守本承诺书，不会利诱或试图利诱</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公司的任何职员。</w:t>
      </w:r>
    </w:p>
    <w:p w14:paraId="74704A3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本公司承诺与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之一切交易往来，除受有关合约监管外，亦受本承诺书的约束。如有关之合约与本承诺书之条款有任何歧义或冲突之处，则以本承诺书为准。</w:t>
      </w:r>
    </w:p>
    <w:p w14:paraId="0674FA1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本公司对</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承诺如下：</w:t>
      </w:r>
    </w:p>
    <w:p w14:paraId="0791736F">
      <w:pPr>
        <w:spacing w:line="26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1、本公司及职员不向</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职员给予任何利益，包括金钱、礼物、 回佣、利是、饭餐或同等意义之金钱或非金钱之优惠。</w:t>
      </w:r>
    </w:p>
    <w:p w14:paraId="5E21FAE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2、本公司及职员和</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职员在酒楼或其他娱乐场所进行之应酬，应各自按比例付账。</w:t>
      </w:r>
    </w:p>
    <w:p w14:paraId="2F03AB1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3、本公司及职员不与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职员进行任何私人交易，包括借贷、任何商业上之合作、合伙或订立任何形式合约，同时亦不与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职员无论以个人身份或其代理人或以合伙人或以个人/公司名义构成合资、合作或有偿/无偿或义务代理人之商业关系。若本公司拟与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职员进行上述业务，必须通知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，并经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书面同意后，方可进行。</w:t>
      </w:r>
    </w:p>
    <w:p w14:paraId="26498FE4">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4、本公司若获知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其股东、董事、独资经营者、合伙人或职员与本公司任何职员有亲属或利益关系，将会于五个工作日内通知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有权按利益冲突严重性决定是否终止交易。</w:t>
      </w:r>
    </w:p>
    <w:p w14:paraId="36A8C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5、本公司及职员如违反本承诺书之任何条款，本公司同意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可立即单方终止与此有关联的买卖合同、服务合同、工程合同及其他有关联之业务（且不视为违约），并永久终止日后的一切业务往来，包括但不限于买卖、服务、工程及其他交易，同时，本公司同意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有权单方面终止到期未付或未到期待付之一切款项，除此之外，本公司愿意赔偿</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的有关一切损失，同时亦同意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将相关事宜呈交有关执法机关查办。</w:t>
      </w:r>
    </w:p>
    <w:p w14:paraId="2AB7D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6、本公司及职员若发现</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职员索取任何私人报酬或利益，应立即通知</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w:t>
      </w:r>
    </w:p>
    <w:p w14:paraId="37E2011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7、本承诺书的任何条款不影响</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公司在任何情况下一切有关法律赋予之权益。</w:t>
      </w:r>
    </w:p>
    <w:p w14:paraId="6E92F22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对本承诺书内容有保留增减或修改之权利，有关之增减或修改应以书面形式通知本公司。</w:t>
      </w:r>
    </w:p>
    <w:p w14:paraId="6147768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9、本公司及授权代表已详细阅读本承诺书之所有内容，同时也完全明白、理解并自愿遵守本承诺书之所有内容。</w:t>
      </w:r>
    </w:p>
    <w:p w14:paraId="283A1A3B">
      <w:pPr>
        <w:spacing w:line="260" w:lineRule="exact"/>
        <w:rPr>
          <w:rFonts w:hint="eastAsia" w:ascii="仿宋_GB2312" w:hAnsi="仿宋_GB2312" w:eastAsia="仿宋_GB2312" w:cs="仿宋_GB2312"/>
          <w:color w:val="auto"/>
          <w:sz w:val="24"/>
          <w:highlight w:val="none"/>
        </w:rPr>
      </w:pPr>
    </w:p>
    <w:p w14:paraId="0B6EC1C6">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承诺人（名称、盖章）： </w:t>
      </w:r>
    </w:p>
    <w:p w14:paraId="522B33FD">
      <w:pPr>
        <w:spacing w:line="260" w:lineRule="exact"/>
        <w:rPr>
          <w:rFonts w:hint="eastAsia" w:ascii="仿宋_GB2312" w:hAnsi="仿宋_GB2312" w:eastAsia="仿宋_GB2312" w:cs="仿宋_GB2312"/>
          <w:color w:val="auto"/>
          <w:sz w:val="24"/>
          <w:highlight w:val="none"/>
        </w:rPr>
      </w:pPr>
    </w:p>
    <w:p w14:paraId="342A7ABA">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法定代表人或授权代表人（签字）：</w:t>
      </w:r>
    </w:p>
    <w:p w14:paraId="5F927A73">
      <w:pPr>
        <w:spacing w:line="260" w:lineRule="exact"/>
        <w:rPr>
          <w:rFonts w:hint="eastAsia" w:ascii="仿宋_GB2312" w:hAnsi="仿宋_GB2312" w:eastAsia="仿宋_GB2312" w:cs="仿宋_GB2312"/>
          <w:color w:val="auto"/>
          <w:sz w:val="24"/>
          <w:highlight w:val="none"/>
        </w:rPr>
      </w:pPr>
    </w:p>
    <w:p w14:paraId="793ACC2B">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联系人：              联系电话：                   年     月    日</w:t>
      </w:r>
    </w:p>
    <w:p w14:paraId="01777873">
      <w:pPr>
        <w:spacing w:line="260" w:lineRule="exact"/>
        <w:rPr>
          <w:rFonts w:hint="eastAsia" w:ascii="仿宋_GB2312" w:hAnsi="仿宋_GB2312" w:eastAsia="仿宋_GB2312" w:cs="仿宋_GB2312"/>
          <w:color w:val="auto"/>
          <w:sz w:val="24"/>
          <w:highlight w:val="none"/>
        </w:rPr>
      </w:pPr>
    </w:p>
    <w:p w14:paraId="2B5B3061">
      <w:pPr>
        <w:spacing w:line="260" w:lineRule="exact"/>
        <w:rPr>
          <w:rFonts w:hint="eastAsia" w:ascii="仿宋_GB2312" w:hAnsi="仿宋_GB2312" w:eastAsia="仿宋_GB2312" w:cs="仿宋_GB2312"/>
          <w:color w:val="auto"/>
          <w:sz w:val="24"/>
          <w:highlight w:val="none"/>
        </w:rPr>
      </w:pPr>
    </w:p>
    <w:p w14:paraId="378D1053">
      <w:pPr>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24"/>
          <w:highlight w:val="none"/>
        </w:rPr>
        <w:t>第一亚太公司监督热线：</w:t>
      </w:r>
      <w:r>
        <w:rPr>
          <w:rFonts w:hint="eastAsia" w:ascii="仿宋_GB2312" w:hAnsi="仿宋_GB2312" w:eastAsia="仿宋_GB2312" w:cs="仿宋_GB2312"/>
          <w:b/>
          <w:color w:val="auto"/>
          <w:sz w:val="24"/>
          <w:highlight w:val="none"/>
          <w:lang w:val="en-US" w:eastAsia="zh-CN"/>
        </w:rPr>
        <w:t>4007891668</w:t>
      </w:r>
      <w:r>
        <w:rPr>
          <w:rFonts w:hint="eastAsia" w:ascii="仿宋_GB2312" w:hAnsi="仿宋_GB2312" w:eastAsia="仿宋_GB2312" w:cs="仿宋_GB2312"/>
          <w:b/>
          <w:color w:val="auto"/>
          <w:sz w:val="24"/>
          <w:highlight w:val="none"/>
        </w:rPr>
        <w:t>。监督邮箱：ytzbzhglb@csc-sz.com。</w:t>
      </w:r>
    </w:p>
    <w:p w14:paraId="6CF7F94C">
      <w:pPr>
        <w:spacing w:line="360" w:lineRule="auto"/>
        <w:jc w:val="left"/>
        <w:rPr>
          <w:rFonts w:hint="eastAsia" w:ascii="仿宋_GB2312" w:hAnsi="仿宋_GB2312" w:eastAsia="仿宋_GB2312" w:cs="仿宋_GB2312"/>
          <w:bCs/>
          <w:color w:val="auto"/>
          <w:sz w:val="24"/>
          <w:highlight w:val="none"/>
          <w:lang w:eastAsia="zh-CN"/>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1</w:t>
      </w:r>
    </w:p>
    <w:p w14:paraId="036CD7C8">
      <w:pPr>
        <w:jc w:val="center"/>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职业健康/环保协议</w:t>
      </w:r>
    </w:p>
    <w:p w14:paraId="7D7BCDC8">
      <w:pPr>
        <w:jc w:val="center"/>
        <w:rPr>
          <w:rFonts w:hint="eastAsia"/>
          <w:color w:val="auto"/>
          <w:sz w:val="24"/>
          <w:szCs w:val="24"/>
          <w:highlight w:val="none"/>
        </w:rPr>
      </w:pPr>
      <w:r>
        <w:rPr>
          <w:rFonts w:hint="eastAsia"/>
          <w:color w:val="auto"/>
          <w:sz w:val="24"/>
          <w:szCs w:val="24"/>
          <w:highlight w:val="none"/>
        </w:rPr>
        <w:t xml:space="preserve">                     </w:t>
      </w:r>
    </w:p>
    <w:p w14:paraId="39EEA3B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尊敬的合作伙伴：</w:t>
      </w:r>
    </w:p>
    <w:p w14:paraId="201C9092">
      <w:pPr>
        <w:widowControl w:val="0"/>
        <w:adjustRightInd w:val="0"/>
        <w:snapToGrid w:val="0"/>
        <w:spacing w:line="460" w:lineRule="exact"/>
        <w:ind w:firstLine="57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为了贯彻落实国家、省、市的职业健康安全/环境保护政策和法规，杜绝职业健康安全/环境污染事件的发生，服务社会，确保贵司为我方的服务减少对职业健康安全和周围环境的影响，本着互利互惠、增强社会责任的原则，经双方友好协商，达成以下共识：</w:t>
      </w:r>
    </w:p>
    <w:p w14:paraId="2E7BD34A">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我方提供安全、舒适的服务场所。</w:t>
      </w:r>
    </w:p>
    <w:p w14:paraId="0BBCB64D">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对人员及时进行安全/环保要求培训。要注意危险源的识别，策划控制措施，并按照有效的控制措施实施控制。如高空作业、滑倒、划伤等，要做好防护、标识等工作。避免人员受到伤害。高空作业人员要有资质。</w:t>
      </w:r>
    </w:p>
    <w:p w14:paraId="4896FB04">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发生紧急情况时要及时启动应急预案，确保自身和客户的人身安全。</w:t>
      </w:r>
    </w:p>
    <w:p w14:paraId="352D263C">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贵司服务期间如产生的危险废弃物，应自行带走，并按照法规要求处理。如私自将危险废物转卖无资质的他方，造成环境污染，一切后果责任由贵司承担。</w:t>
      </w:r>
    </w:p>
    <w:p w14:paraId="1C30B0A8">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贵司在服务期间保洁要负责将园区内的废弃物在垃圾收集时进行分类并合理存放，尤其是客户存放错误的危险废弃物应负责收集并单独存放到指定地点。</w:t>
      </w:r>
    </w:p>
    <w:p w14:paraId="52A484E7">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贵司在收集、运输废弃物过程中需要遵守国家、省、市的环保政策及法规，不得再次造成环保污染，否则一切责任由贵司承担。</w:t>
      </w:r>
    </w:p>
    <w:p w14:paraId="5C4A9EE4">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p w14:paraId="3FDBAC9B">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深圳第一亚太物业管理有限公司xx分公司</w:t>
      </w:r>
    </w:p>
    <w:p w14:paraId="0F65F0D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合作单位：</w:t>
      </w:r>
      <w:r>
        <w:rPr>
          <w:rFonts w:hint="eastAsia" w:ascii="仿宋_GB2312" w:hAnsi="仿宋_GB2312" w:eastAsia="仿宋_GB2312" w:cs="仿宋_GB2312"/>
          <w:color w:val="auto"/>
          <w:sz w:val="28"/>
          <w:szCs w:val="28"/>
          <w:highlight w:val="none"/>
          <w:u w:val="single"/>
        </w:rPr>
        <w:t xml:space="preserve">                       </w:t>
      </w:r>
    </w:p>
    <w:p w14:paraId="3976337D">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客户代表：</w:t>
      </w:r>
      <w:r>
        <w:rPr>
          <w:rFonts w:hint="eastAsia" w:ascii="仿宋_GB2312" w:hAnsi="仿宋_GB2312" w:eastAsia="仿宋_GB2312" w:cs="仿宋_GB2312"/>
          <w:color w:val="auto"/>
          <w:sz w:val="28"/>
          <w:szCs w:val="28"/>
          <w:highlight w:val="none"/>
          <w:u w:val="single"/>
        </w:rPr>
        <w:t xml:space="preserve">                       </w:t>
      </w:r>
    </w:p>
    <w:p w14:paraId="7C51B508">
      <w:pPr>
        <w:adjustRightInd w:val="0"/>
        <w:snapToGrid w:val="0"/>
        <w:spacing w:line="460" w:lineRule="exact"/>
        <w:rPr>
          <w:color w:val="auto"/>
          <w:sz w:val="24"/>
          <w:szCs w:val="24"/>
          <w:highlight w:val="none"/>
          <w:u w:val="single"/>
        </w:rPr>
      </w:pPr>
      <w:r>
        <w:rPr>
          <w:rFonts w:hint="eastAsia" w:ascii="仿宋_GB2312" w:hAnsi="仿宋_GB2312" w:eastAsia="仿宋_GB2312" w:cs="仿宋_GB2312"/>
          <w:color w:val="auto"/>
          <w:sz w:val="28"/>
          <w:szCs w:val="28"/>
          <w:highlight w:val="none"/>
        </w:rPr>
        <w:t>签署日期：</w:t>
      </w:r>
      <w:r>
        <w:rPr>
          <w:rFonts w:hint="eastAsia" w:ascii="仿宋_GB2312" w:hAnsi="仿宋_GB2312" w:eastAsia="仿宋_GB2312" w:cs="仿宋_GB2312"/>
          <w:color w:val="auto"/>
          <w:sz w:val="28"/>
          <w:szCs w:val="28"/>
          <w:highlight w:val="none"/>
          <w:u w:val="single"/>
        </w:rPr>
        <w:t xml:space="preserve">                       </w:t>
      </w:r>
    </w:p>
    <w:p w14:paraId="163FA030">
      <w:pPr>
        <w:spacing w:line="360" w:lineRule="auto"/>
        <w:jc w:val="left"/>
        <w:rPr>
          <w:rFonts w:hint="eastAsia" w:ascii="仿宋_GB2312" w:hAnsi="仿宋_GB2312" w:eastAsia="仿宋_GB2312" w:cs="仿宋_GB2312"/>
          <w:bCs/>
          <w:color w:val="auto"/>
          <w:sz w:val="24"/>
          <w:highlight w:val="none"/>
        </w:rPr>
      </w:pPr>
    </w:p>
    <w:p w14:paraId="585698D6">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2</w:t>
      </w:r>
    </w:p>
    <w:p w14:paraId="6997A680">
      <w:pPr>
        <w:adjustRightInd w:val="0"/>
        <w:snapToGrid w:val="0"/>
        <w:spacing w:line="360" w:lineRule="auto"/>
        <w:ind w:firstLine="720" w:firstLineChars="200"/>
        <w:jc w:val="center"/>
        <w:rPr>
          <w:rFonts w:hint="eastAsia" w:ascii="方正小标宋简体" w:hAnsi="方正小标宋简体" w:eastAsia="方正小标宋简体" w:cs="方正小标宋简体"/>
          <w:b w:val="0"/>
          <w:bCs/>
          <w:color w:val="auto"/>
          <w:sz w:val="36"/>
          <w:szCs w:val="28"/>
          <w:highlight w:val="none"/>
        </w:rPr>
      </w:pPr>
      <w:r>
        <w:rPr>
          <w:rFonts w:hint="eastAsia" w:ascii="方正小标宋简体" w:hAnsi="方正小标宋简体" w:eastAsia="方正小标宋简体" w:cs="方正小标宋简体"/>
          <w:b w:val="0"/>
          <w:bCs/>
          <w:color w:val="auto"/>
          <w:sz w:val="36"/>
          <w:szCs w:val="28"/>
          <w:highlight w:val="none"/>
        </w:rPr>
        <w:t>安全生产协议书</w:t>
      </w:r>
    </w:p>
    <w:p w14:paraId="215E4275">
      <w:pPr>
        <w:adjustRightInd w:val="0"/>
        <w:snapToGrid w:val="0"/>
        <w:spacing w:line="360" w:lineRule="auto"/>
        <w:ind w:firstLine="720" w:firstLineChars="200"/>
        <w:jc w:val="center"/>
        <w:rPr>
          <w:rFonts w:hint="eastAsia" w:ascii="仿宋_GB2312" w:hAnsi="仿宋_GB2312" w:eastAsia="仿宋_GB2312" w:cs="仿宋_GB2312"/>
          <w:b w:val="0"/>
          <w:bCs/>
          <w:color w:val="auto"/>
          <w:sz w:val="36"/>
          <w:szCs w:val="28"/>
          <w:highlight w:val="none"/>
        </w:rPr>
      </w:pPr>
      <w:r>
        <w:rPr>
          <w:rFonts w:hint="eastAsia" w:ascii="仿宋_GB2312" w:hAnsi="仿宋_GB2312" w:eastAsia="仿宋_GB2312" w:cs="仿宋_GB2312"/>
          <w:b w:val="0"/>
          <w:bCs/>
          <w:color w:val="auto"/>
          <w:sz w:val="36"/>
          <w:szCs w:val="28"/>
          <w:highlight w:val="none"/>
        </w:rPr>
        <w:t>（服务类）</w:t>
      </w:r>
    </w:p>
    <w:p w14:paraId="4CC4AC17">
      <w:pPr>
        <w:spacing w:line="560" w:lineRule="exact"/>
        <w:ind w:firstLine="562"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甲方：</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第一</w:t>
      </w:r>
      <w:r>
        <w:rPr>
          <w:rFonts w:hint="eastAsia" w:ascii="仿宋_GB2312" w:hAnsi="仿宋_GB2312" w:eastAsia="仿宋_GB2312" w:cs="仿宋_GB2312"/>
          <w:b/>
          <w:bCs/>
          <w:color w:val="auto"/>
          <w:sz w:val="28"/>
          <w:szCs w:val="24"/>
          <w:highlight w:val="none"/>
          <w:u w:val="single"/>
        </w:rPr>
        <w:t>亚太</w:t>
      </w:r>
      <w:r>
        <w:rPr>
          <w:rFonts w:hint="eastAsia" w:ascii="仿宋_GB2312" w:hAnsi="仿宋_GB2312" w:eastAsia="仿宋_GB2312" w:cs="仿宋_GB2312"/>
          <w:b/>
          <w:bCs/>
          <w:color w:val="auto"/>
          <w:sz w:val="28"/>
          <w:szCs w:val="24"/>
          <w:highlight w:val="none"/>
          <w:u w:val="single"/>
          <w:lang w:val="en-US" w:eastAsia="zh-CN"/>
        </w:rPr>
        <w:t>XXX分公司</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 xml:space="preserve"> </w:t>
      </w:r>
      <w:r>
        <w:rPr>
          <w:rFonts w:hint="eastAsia" w:ascii="仿宋_GB2312" w:hAnsi="仿宋_GB2312" w:eastAsia="仿宋_GB2312" w:cs="仿宋_GB2312"/>
          <w:b/>
          <w:bCs/>
          <w:color w:val="auto"/>
          <w:sz w:val="28"/>
          <w:szCs w:val="24"/>
          <w:highlight w:val="none"/>
        </w:rPr>
        <w:t xml:space="preserve"> </w:t>
      </w:r>
    </w:p>
    <w:p w14:paraId="59DC72CB">
      <w:pPr>
        <w:spacing w:line="560" w:lineRule="exact"/>
        <w:ind w:firstLine="562" w:firstLineChars="200"/>
        <w:rPr>
          <w:rFonts w:hint="eastAsia" w:ascii="仿宋_GB2312" w:hAnsi="仿宋_GB2312" w:eastAsia="仿宋_GB2312" w:cs="仿宋_GB2312"/>
          <w:b/>
          <w:bCs/>
          <w:color w:val="auto"/>
          <w:sz w:val="28"/>
          <w:szCs w:val="24"/>
          <w:highlight w:val="none"/>
          <w:u w:val="single"/>
        </w:rPr>
      </w:pPr>
      <w:r>
        <w:rPr>
          <w:rFonts w:hint="eastAsia" w:ascii="仿宋_GB2312" w:hAnsi="仿宋_GB2312" w:eastAsia="仿宋_GB2312" w:cs="仿宋_GB2312"/>
          <w:b/>
          <w:bCs/>
          <w:color w:val="auto"/>
          <w:sz w:val="28"/>
          <w:szCs w:val="24"/>
          <w:highlight w:val="none"/>
        </w:rPr>
        <w:t>乙方：</w:t>
      </w:r>
      <w:r>
        <w:rPr>
          <w:rFonts w:hint="eastAsia" w:ascii="仿宋_GB2312" w:hAnsi="仿宋_GB2312" w:eastAsia="仿宋_GB2312" w:cs="仿宋_GB2312"/>
          <w:b/>
          <w:bCs/>
          <w:color w:val="auto"/>
          <w:sz w:val="28"/>
          <w:szCs w:val="24"/>
          <w:highlight w:val="none"/>
          <w:u w:val="single"/>
        </w:rPr>
        <w:t xml:space="preserve">                                             </w:t>
      </w:r>
    </w:p>
    <w:p w14:paraId="395C061C">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根据《中华人民共和国安全生产法》、《中华人民共和国消防法》、《</w:t>
      </w:r>
      <w:r>
        <w:rPr>
          <w:rFonts w:hint="eastAsia" w:ascii="仿宋_GB2312" w:hAnsi="仿宋_GB2312" w:eastAsia="仿宋_GB2312" w:cs="仿宋_GB2312"/>
          <w:color w:val="auto"/>
          <w:sz w:val="28"/>
          <w:szCs w:val="28"/>
          <w:highlight w:val="none"/>
          <w:lang w:val="en-US" w:eastAsia="zh-CN"/>
        </w:rPr>
        <w:t>XX</w:t>
      </w:r>
      <w:r>
        <w:rPr>
          <w:rFonts w:hint="eastAsia" w:ascii="仿宋_GB2312" w:hAnsi="仿宋_GB2312" w:eastAsia="仿宋_GB2312" w:cs="仿宋_GB2312"/>
          <w:color w:val="auto"/>
          <w:sz w:val="28"/>
          <w:szCs w:val="28"/>
          <w:highlight w:val="none"/>
        </w:rPr>
        <w:t>省安全生产条例》等国家、地方有关安全管理法律、法规和政策。在平等、自愿、协商一致的基础上,订立本协议书。</w:t>
      </w:r>
    </w:p>
    <w:p w14:paraId="5637A3CA">
      <w:pPr>
        <w:spacing w:line="460" w:lineRule="exact"/>
        <w:outlineLvl w:val="0"/>
        <w:rPr>
          <w:rFonts w:hint="eastAsia" w:ascii="黑体" w:hAnsi="黑体" w:eastAsia="黑体" w:cs="黑体"/>
          <w:b w:val="0"/>
          <w:bCs/>
          <w:color w:val="auto"/>
          <w:sz w:val="32"/>
          <w:szCs w:val="28"/>
          <w:highlight w:val="none"/>
        </w:rPr>
      </w:pPr>
      <w:bookmarkStart w:id="106" w:name="_Toc15354"/>
      <w:bookmarkStart w:id="107" w:name="_Toc25336"/>
      <w:r>
        <w:rPr>
          <w:rFonts w:hint="eastAsia" w:ascii="黑体" w:hAnsi="黑体" w:eastAsia="黑体" w:cs="黑体"/>
          <w:b w:val="0"/>
          <w:bCs/>
          <w:color w:val="auto"/>
          <w:sz w:val="32"/>
          <w:szCs w:val="28"/>
          <w:highlight w:val="none"/>
        </w:rPr>
        <w:t>第一条    受托物业基本情况</w:t>
      </w:r>
      <w:bookmarkEnd w:id="106"/>
      <w:bookmarkEnd w:id="107"/>
    </w:p>
    <w:p w14:paraId="10E70BA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物业名称： </w:t>
      </w:r>
    </w:p>
    <w:p w14:paraId="2FC05329">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座落位置: </w:t>
      </w:r>
    </w:p>
    <w:p w14:paraId="0D9DA38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总面积： </w:t>
      </w:r>
    </w:p>
    <w:p w14:paraId="33C5235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物业类型： </w:t>
      </w:r>
    </w:p>
    <w:p w14:paraId="748EFAA3">
      <w:pPr>
        <w:spacing w:line="460" w:lineRule="exact"/>
        <w:outlineLvl w:val="0"/>
        <w:rPr>
          <w:rFonts w:hint="eastAsia" w:ascii="黑体" w:hAnsi="黑体" w:eastAsia="黑体" w:cs="黑体"/>
          <w:b w:val="0"/>
          <w:bCs/>
          <w:color w:val="auto"/>
          <w:sz w:val="32"/>
          <w:szCs w:val="28"/>
          <w:highlight w:val="none"/>
        </w:rPr>
      </w:pPr>
      <w:bookmarkStart w:id="108" w:name="_Toc21053"/>
      <w:bookmarkStart w:id="109" w:name="_Toc25271"/>
      <w:r>
        <w:rPr>
          <w:rFonts w:hint="eastAsia" w:ascii="黑体" w:hAnsi="黑体" w:eastAsia="黑体" w:cs="黑体"/>
          <w:b w:val="0"/>
          <w:bCs/>
          <w:color w:val="auto"/>
          <w:sz w:val="32"/>
          <w:szCs w:val="28"/>
          <w:highlight w:val="none"/>
        </w:rPr>
        <w:t>第二条    委托管理事项</w:t>
      </w:r>
      <w:bookmarkEnd w:id="108"/>
      <w:bookmarkEnd w:id="109"/>
    </w:p>
    <w:p w14:paraId="3930B55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甲方委托乙方负责本物业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color w:val="auto"/>
          <w:sz w:val="28"/>
          <w:szCs w:val="28"/>
          <w:highlight w:val="none"/>
          <w:u w:val="single"/>
        </w:rPr>
        <w:t>安全服务工作/保洁服务工作（示例）</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324FDB2B">
      <w:pPr>
        <w:spacing w:line="460" w:lineRule="exact"/>
        <w:outlineLvl w:val="0"/>
        <w:rPr>
          <w:rFonts w:hint="eastAsia" w:ascii="黑体" w:hAnsi="黑体" w:eastAsia="黑体" w:cs="黑体"/>
          <w:b w:val="0"/>
          <w:bCs/>
          <w:color w:val="auto"/>
          <w:sz w:val="32"/>
          <w:szCs w:val="28"/>
          <w:highlight w:val="none"/>
        </w:rPr>
      </w:pPr>
      <w:bookmarkStart w:id="110" w:name="_Toc18696"/>
      <w:bookmarkStart w:id="111" w:name="_Toc11057"/>
      <w:r>
        <w:rPr>
          <w:rFonts w:hint="eastAsia" w:ascii="黑体" w:hAnsi="黑体" w:eastAsia="黑体" w:cs="黑体"/>
          <w:b w:val="0"/>
          <w:bCs/>
          <w:color w:val="auto"/>
          <w:sz w:val="32"/>
          <w:szCs w:val="28"/>
          <w:highlight w:val="none"/>
        </w:rPr>
        <w:t>第三条    协议期限</w:t>
      </w:r>
      <w:bookmarkEnd w:id="110"/>
      <w:bookmarkEnd w:id="111"/>
    </w:p>
    <w:p w14:paraId="60A91CCF">
      <w:pPr>
        <w:spacing w:line="560" w:lineRule="exact"/>
        <w:ind w:firstLine="44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自本协议签订之日起至甲乙双方就本物业所签署的专项合同终止之日止。</w:t>
      </w:r>
    </w:p>
    <w:p w14:paraId="7877817C">
      <w:pPr>
        <w:spacing w:line="460" w:lineRule="exact"/>
        <w:outlineLvl w:val="0"/>
        <w:rPr>
          <w:rFonts w:hint="eastAsia" w:ascii="黑体" w:hAnsi="黑体" w:eastAsia="黑体" w:cs="黑体"/>
          <w:b w:val="0"/>
          <w:bCs/>
          <w:color w:val="auto"/>
          <w:sz w:val="32"/>
          <w:szCs w:val="28"/>
          <w:highlight w:val="none"/>
        </w:rPr>
      </w:pPr>
      <w:bookmarkStart w:id="112" w:name="_Toc31638"/>
      <w:bookmarkStart w:id="113" w:name="_Toc25036"/>
      <w:r>
        <w:rPr>
          <w:rFonts w:hint="eastAsia" w:ascii="黑体" w:hAnsi="黑体" w:eastAsia="黑体" w:cs="黑体"/>
          <w:b w:val="0"/>
          <w:bCs/>
          <w:color w:val="auto"/>
          <w:sz w:val="32"/>
          <w:szCs w:val="28"/>
          <w:highlight w:val="none"/>
        </w:rPr>
        <w:t>第四条    甲方的权利和义务</w:t>
      </w:r>
      <w:bookmarkEnd w:id="112"/>
      <w:bookmarkEnd w:id="113"/>
    </w:p>
    <w:p w14:paraId="2C33BD6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1、与乙方议定年度安全管理计划、安全投入计划。</w:t>
      </w:r>
    </w:p>
    <w:p w14:paraId="4798159E">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2、对乙方的安全管理实施监督检查,如因乙方管理不善,造成重大经济损失或管理失误,经甲方核实,有权根据合同条款进行处罚或终止合同。</w:t>
      </w:r>
    </w:p>
    <w:p w14:paraId="7DF576A2">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3、甲方有权对乙方的安全管理工作、质量以及安全保障情况进行监督,若发现问题及时告知乙方,并有权要求乙方改善,直到达到甲方标准为止。</w:t>
      </w:r>
    </w:p>
    <w:p w14:paraId="7A00B5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4、甲方有权监督乙方员工的安全管理工作。甲方不认可的乙方员工，提供不符合原岗位工作职责要求的必要证据后，可以要求乙方对该员工进行调岗或更换。</w:t>
      </w:r>
    </w:p>
    <w:p w14:paraId="3E9D96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5、甲方有义务教育乙方员工和乙方的合作方遵守现场安全管理要求,服从有关安全管理。</w:t>
      </w:r>
    </w:p>
    <w:p w14:paraId="3918C70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6、针对本项目中遗留的设计、设备设施问题，特别是涉及安全方面的隐患，甲方可以提供资金或者人员支持，配合整改，共同推进问题的处理。</w:t>
      </w:r>
    </w:p>
    <w:p w14:paraId="724C1C7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7、甲方有义务提供本项目符合设计规范要求的相关档案资料、审批文件以及现场设备设施的合格证书。</w:t>
      </w:r>
    </w:p>
    <w:p w14:paraId="3F05423B">
      <w:pPr>
        <w:spacing w:line="460" w:lineRule="exact"/>
        <w:outlineLvl w:val="0"/>
        <w:rPr>
          <w:rFonts w:hint="eastAsia" w:ascii="黑体" w:hAnsi="黑体" w:eastAsia="黑体" w:cs="黑体"/>
          <w:b w:val="0"/>
          <w:bCs/>
          <w:color w:val="auto"/>
          <w:sz w:val="32"/>
          <w:szCs w:val="28"/>
          <w:highlight w:val="none"/>
        </w:rPr>
      </w:pPr>
      <w:bookmarkStart w:id="114" w:name="_Toc31619"/>
      <w:bookmarkStart w:id="115" w:name="_Toc12506"/>
      <w:r>
        <w:rPr>
          <w:rFonts w:hint="eastAsia" w:ascii="黑体" w:hAnsi="黑体" w:eastAsia="黑体" w:cs="黑体"/>
          <w:b w:val="0"/>
          <w:bCs/>
          <w:color w:val="auto"/>
          <w:sz w:val="32"/>
          <w:szCs w:val="28"/>
          <w:highlight w:val="none"/>
        </w:rPr>
        <w:t>第五条    乙方的权利和义务</w:t>
      </w:r>
      <w:bookmarkEnd w:id="114"/>
      <w:bookmarkEnd w:id="115"/>
    </w:p>
    <w:p w14:paraId="06F7D97F">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1、根据有关安全法律、法规政策规定及本协议的约定,乙方有义务制定健全的安全管理体系,并开展各项安全管理活动。</w:t>
      </w:r>
    </w:p>
    <w:p w14:paraId="736DD727">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2、每年底编制好下一年度的安全管理工作实施方案,经双方议定后由乙方组织实施。</w:t>
      </w:r>
    </w:p>
    <w:p w14:paraId="1C837D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3、未经甲方书面同意,乙方不得将合同约定的项目以直接或者间接方式转包或者分包给第三方及其他个人。</w:t>
      </w:r>
    </w:p>
    <w:p w14:paraId="515DD7CE">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4、接受相关主管部门及有关政府部门的监督、指导,并接受甲方和业主的监督。</w:t>
      </w:r>
    </w:p>
    <w:p w14:paraId="5186A7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5、乙方有义务按照本协议书约定的工作范围和执行标准,遵照甲方规定时限,保质保量完成安全管理的工作任务。</w:t>
      </w:r>
    </w:p>
    <w:p w14:paraId="6EA30092">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6、乙方有义务按照本协议书约定工作内容为乙方员工提供必要的安全管理需要的装备。</w:t>
      </w:r>
    </w:p>
    <w:p w14:paraId="6735E574">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7、乙方及其所有员工有义务遵守甲方的各项安全管理规章制度，配合维护好项目的整体形象。</w:t>
      </w:r>
    </w:p>
    <w:p w14:paraId="13E9DC1C">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8、乙方员工在工作期间,若因乙方管理的过失造成的甲方人员伤亡、财产损失和乙方人员伤亡、财产损失，均由乙方自行负责。</w:t>
      </w:r>
    </w:p>
    <w:p w14:paraId="0EC4432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9、乙方有义务建立好各项安全管理工作档案并负责及时记载有关变更情况。</w:t>
      </w:r>
    </w:p>
    <w:p w14:paraId="114EDF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10、乙方有义务按照国家及地方的相关法律、法规和标准要求，对建筑本体、公共设施设备进行定期维护保养及检测，确保各项系统稳定运行。</w:t>
      </w:r>
    </w:p>
    <w:p w14:paraId="52FB16F3">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11、乙方需按照国家和</w:t>
      </w:r>
      <w:r>
        <w:rPr>
          <w:rFonts w:hint="eastAsia" w:ascii="仿宋_GB2312" w:hAnsi="仿宋_GB2312" w:eastAsia="仿宋_GB2312" w:cs="仿宋_GB2312"/>
          <w:color w:val="auto"/>
          <w:sz w:val="28"/>
          <w:szCs w:val="28"/>
          <w:highlight w:val="none"/>
          <w:lang w:val="en-US" w:eastAsia="zh-CN"/>
        </w:rPr>
        <w:t xml:space="preserve"> （所在城市）  </w:t>
      </w:r>
      <w:r>
        <w:rPr>
          <w:rFonts w:hint="eastAsia" w:ascii="仿宋_GB2312" w:hAnsi="仿宋_GB2312" w:eastAsia="仿宋_GB2312" w:cs="仿宋_GB2312"/>
          <w:color w:val="auto"/>
          <w:sz w:val="28"/>
          <w:szCs w:val="28"/>
          <w:highlight w:val="none"/>
        </w:rPr>
        <w:t>地方的有关劳动法规,为员工办理有关劳动雇佣手续和劳动保障手续及相关劳动保险。</w:t>
      </w:r>
    </w:p>
    <w:p w14:paraId="7AEA6ED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12、乙方有义务按照国家及地方的相关法律、法规和标准要求，对员工开展相关的安全、消防等培训；特种作业、特种设备操作人员和消控室人员应取得国家法定的合格证件，方可上岗作业。</w:t>
      </w:r>
    </w:p>
    <w:p w14:paraId="5552C54A">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13、乙方有权要求甲方的相关方依据安全管理制度文件的要求，提供完整的资料并在乙方处办理进场手续，并接受安全交底培训后方可进场；对于资料证照不全的或者劳动用品不齐全的，乙方有权要求不予同意进场施工作业或制止作业。</w:t>
      </w:r>
    </w:p>
    <w:p w14:paraId="79E299AD">
      <w:pPr>
        <w:widowControl/>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14、在合同完成之前，乙方委派的项目实施人员的年龄不超过合同约定年龄，实施人员均已购买雇主责任险，甲方有权对乙方委派的人员进行监督并随时可以要求更换，甲方要求更换人员的，乙方承诺即日予以更换。乙方于项目实施前将全部作业人员的身份证及人身意外险保单复印件提交甲方备案。</w:t>
      </w:r>
    </w:p>
    <w:p w14:paraId="3560CFF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15、乙方安全管理过程中，如有发现甲方的员工或甲方的相关方等违反现场安全管理要求的行为，乙方有权利立即要求停止作业，并依据相关的制度进行处理。</w:t>
      </w:r>
    </w:p>
    <w:p w14:paraId="053484A6">
      <w:pPr>
        <w:spacing w:line="460" w:lineRule="exact"/>
        <w:outlineLvl w:val="0"/>
        <w:rPr>
          <w:rFonts w:hint="eastAsia" w:ascii="黑体" w:hAnsi="黑体" w:eastAsia="黑体" w:cs="黑体"/>
          <w:b w:val="0"/>
          <w:bCs/>
          <w:color w:val="auto"/>
          <w:sz w:val="32"/>
          <w:szCs w:val="28"/>
          <w:highlight w:val="none"/>
        </w:rPr>
      </w:pPr>
      <w:bookmarkStart w:id="116" w:name="_Toc29172"/>
      <w:bookmarkStart w:id="117" w:name="_Toc12276"/>
      <w:r>
        <w:rPr>
          <w:rFonts w:hint="eastAsia" w:ascii="黑体" w:hAnsi="黑体" w:eastAsia="黑体" w:cs="黑体"/>
          <w:b w:val="0"/>
          <w:bCs/>
          <w:color w:val="auto"/>
          <w:sz w:val="32"/>
          <w:szCs w:val="28"/>
          <w:highlight w:val="none"/>
        </w:rPr>
        <w:t>第六条    违约责任</w:t>
      </w:r>
      <w:bookmarkEnd w:id="116"/>
      <w:bookmarkEnd w:id="117"/>
    </w:p>
    <w:p w14:paraId="367981D3">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1、如因乙方原因,造成甲方未完成规定安全管理目标、人员伤亡、安全管理舆情事件、经济损失的,乙方应给予甲方相应补偿并自行承担相应的法律责任。甲方有权要求乙方限期整改,并有权终止物业服务合同。</w:t>
      </w:r>
    </w:p>
    <w:p w14:paraId="5CC640CB">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2、如因甲方原因,造成乙方人员伤亡或经济损失,甲方应给予乙方相应补偿并承担相应的法律责任。</w:t>
      </w:r>
    </w:p>
    <w:p w14:paraId="4E39AB31">
      <w:pPr>
        <w:spacing w:line="460" w:lineRule="exact"/>
        <w:outlineLvl w:val="0"/>
        <w:rPr>
          <w:rFonts w:hint="eastAsia" w:ascii="黑体" w:hAnsi="黑体" w:eastAsia="黑体" w:cs="黑体"/>
          <w:b w:val="0"/>
          <w:bCs/>
          <w:color w:val="auto"/>
          <w:sz w:val="32"/>
          <w:szCs w:val="28"/>
          <w:highlight w:val="none"/>
        </w:rPr>
      </w:pPr>
      <w:bookmarkStart w:id="118" w:name="_Toc29924"/>
      <w:bookmarkStart w:id="119" w:name="_Toc8016"/>
      <w:r>
        <w:rPr>
          <w:rFonts w:hint="eastAsia" w:ascii="黑体" w:hAnsi="黑体" w:eastAsia="黑体" w:cs="黑体"/>
          <w:b w:val="0"/>
          <w:bCs/>
          <w:color w:val="auto"/>
          <w:sz w:val="32"/>
          <w:szCs w:val="28"/>
          <w:highlight w:val="none"/>
        </w:rPr>
        <w:t>第七条    其他事项</w:t>
      </w:r>
      <w:bookmarkEnd w:id="118"/>
      <w:bookmarkEnd w:id="119"/>
    </w:p>
    <w:p w14:paraId="41D5A18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1、双方可对本协议的条款进行修订更改或补充,以书面签订补充协议,补充协议与本协议具有同等效力。</w:t>
      </w:r>
    </w:p>
    <w:p w14:paraId="394C0AF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2、本协议执行期间,如遇不可抗力,致使合同无法履行时,双方均不承担违约责任并按有关法规政策规定及时协商处理。</w:t>
      </w:r>
    </w:p>
    <w:p w14:paraId="6C21C97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3、本协议在履行中如发生争议,双方应协商解决,协商不成时 ,提交甲方所在地的人民法院依法裁决。</w:t>
      </w:r>
    </w:p>
    <w:p w14:paraId="7BD79D57">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4、本协议自签订之日起生效，一式两份,</w:t>
      </w:r>
      <w:r>
        <w:rPr>
          <w:rFonts w:hint="eastAsia" w:ascii="仿宋_GB2312" w:hAnsi="仿宋_GB2312" w:eastAsia="仿宋_GB2312" w:cs="仿宋_GB2312"/>
          <w:color w:val="auto"/>
          <w:sz w:val="28"/>
          <w:szCs w:val="28"/>
          <w:highlight w:val="none"/>
          <w:lang w:eastAsia="zh-CN"/>
        </w:rPr>
        <w:t>甲乙</w:t>
      </w:r>
      <w:r>
        <w:rPr>
          <w:rFonts w:hint="eastAsia" w:ascii="仿宋_GB2312" w:hAnsi="仿宋_GB2312" w:eastAsia="仿宋_GB2312" w:cs="仿宋_GB2312"/>
          <w:color w:val="auto"/>
          <w:sz w:val="28"/>
          <w:szCs w:val="28"/>
          <w:highlight w:val="none"/>
        </w:rPr>
        <w:t>双方各执一份,均具有同等法律效力。</w:t>
      </w:r>
    </w:p>
    <w:p w14:paraId="27526784">
      <w:pPr>
        <w:spacing w:line="560" w:lineRule="exact"/>
        <w:jc w:val="center"/>
        <w:rPr>
          <w:rFonts w:hint="eastAsia" w:ascii="仿宋_GB2312" w:hAnsi="仿宋_GB2312" w:eastAsia="仿宋_GB2312" w:cs="仿宋_GB2312"/>
          <w:b/>
          <w:color w:val="auto"/>
          <w:sz w:val="28"/>
          <w:szCs w:val="28"/>
          <w:highlight w:val="none"/>
        </w:rPr>
      </w:pPr>
    </w:p>
    <w:p w14:paraId="5D602980">
      <w:pPr>
        <w:spacing w:line="560" w:lineRule="exact"/>
        <w:jc w:val="center"/>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（以下无正文）</w:t>
      </w:r>
    </w:p>
    <w:p w14:paraId="4FC4479B">
      <w:pPr>
        <w:spacing w:line="560" w:lineRule="exact"/>
        <w:ind w:firstLine="440"/>
        <w:rPr>
          <w:rFonts w:hint="eastAsia" w:ascii="仿宋_GB2312" w:hAnsi="仿宋_GB2312" w:eastAsia="仿宋_GB2312" w:cs="仿宋_GB2312"/>
          <w:color w:val="auto"/>
          <w:sz w:val="28"/>
          <w:szCs w:val="28"/>
          <w:highlight w:val="none"/>
        </w:rPr>
      </w:pPr>
    </w:p>
    <w:p w14:paraId="2FC7BA18">
      <w:pPr>
        <w:spacing w:line="560" w:lineRule="exact"/>
        <w:ind w:firstLine="440"/>
        <w:rPr>
          <w:rFonts w:hint="eastAsia" w:ascii="仿宋_GB2312" w:hAnsi="仿宋_GB2312" w:eastAsia="仿宋_GB2312" w:cs="仿宋_GB2312"/>
          <w:color w:val="auto"/>
          <w:sz w:val="28"/>
          <w:szCs w:val="28"/>
          <w:highlight w:val="none"/>
        </w:rPr>
      </w:pPr>
    </w:p>
    <w:p w14:paraId="45F25CC5">
      <w:pPr>
        <w:spacing w:line="560" w:lineRule="exact"/>
        <w:rPr>
          <w:rFonts w:hint="eastAsia" w:ascii="仿宋_GB2312" w:hAnsi="仿宋_GB2312" w:eastAsia="仿宋_GB2312" w:cs="仿宋_GB2312"/>
          <w:color w:val="auto"/>
          <w:sz w:val="28"/>
          <w:szCs w:val="28"/>
          <w:highlight w:val="none"/>
        </w:rPr>
      </w:pPr>
    </w:p>
    <w:p w14:paraId="3BD6FABC">
      <w:pPr>
        <w:spacing w:line="560" w:lineRule="exact"/>
        <w:ind w:firstLine="44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甲</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方（盖章）: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乙</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方（盖章）: </w:t>
      </w:r>
    </w:p>
    <w:p w14:paraId="2BDAD4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负责人（签章）：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负责人（签章）： </w:t>
      </w:r>
    </w:p>
    <w:p w14:paraId="413E62AF">
      <w:pPr>
        <w:spacing w:line="560" w:lineRule="exact"/>
        <w:ind w:firstLine="440"/>
        <w:rPr>
          <w:color w:val="auto"/>
          <w:sz w:val="24"/>
          <w:szCs w:val="24"/>
          <w:highlight w:val="none"/>
          <w:u w:val="single"/>
        </w:rPr>
      </w:pP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p>
    <w:p w14:paraId="08C177E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54685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A887CDB">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78B5B5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2658D7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041F51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5A18BA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2F2134B">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4</w:t>
      </w:r>
    </w:p>
    <w:p w14:paraId="7A8E923C">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承诺书</w:t>
      </w:r>
    </w:p>
    <w:p w14:paraId="225BA51F">
      <w:pPr>
        <w:spacing w:line="560" w:lineRule="exact"/>
        <w:rPr>
          <w:rFonts w:ascii="仿宋_GB2312" w:eastAsia="仿宋_GB2312"/>
          <w:color w:val="auto"/>
          <w:sz w:val="32"/>
          <w:szCs w:val="32"/>
          <w:highlight w:val="none"/>
        </w:rPr>
      </w:pPr>
    </w:p>
    <w:p w14:paraId="71EE63C0">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公司</w:t>
      </w:r>
      <w:r>
        <w:rPr>
          <w:rFonts w:hint="eastAsia" w:ascii="仿宋_GB2312" w:hAnsi="仿宋_GB2312" w:eastAsia="仿宋_GB2312" w:cs="仿宋_GB2312"/>
          <w:color w:val="auto"/>
          <w:sz w:val="28"/>
          <w:szCs w:val="28"/>
          <w:highlight w:val="none"/>
          <w:shd w:val="clear" w:color="auto" w:fill="FFFFFF"/>
        </w:rPr>
        <w:t>(以下简称“甲方")</w:t>
      </w:r>
    </w:p>
    <w:p w14:paraId="081DAEE4">
      <w:pPr>
        <w:spacing w:line="560" w:lineRule="exact"/>
        <w:ind w:firstLine="560" w:firstLineChars="200"/>
        <w:rPr>
          <w:rFonts w:ascii="仿宋_GB2312" w:hAnsi="仿宋_GB2312" w:eastAsia="仿宋_GB2312" w:cs="仿宋_GB2312"/>
          <w:color w:val="auto"/>
          <w:sz w:val="28"/>
          <w:szCs w:val="28"/>
          <w:highlight w:val="none"/>
          <w:shd w:val="clear" w:color="auto" w:fill="FFFFFF"/>
        </w:rPr>
      </w:pPr>
      <w:r>
        <w:rPr>
          <w:rFonts w:hint="eastAsia" w:ascii="仿宋_GB2312" w:hAnsi="仿宋_GB2312" w:eastAsia="仿宋_GB2312" w:cs="仿宋_GB2312"/>
          <w:color w:val="auto"/>
          <w:sz w:val="28"/>
          <w:szCs w:val="28"/>
          <w:highlight w:val="none"/>
          <w:shd w:val="clear" w:color="auto" w:fill="FFFFFF"/>
        </w:rPr>
        <w:t>本单位</w:t>
      </w:r>
      <w:r>
        <w:rPr>
          <w:rFonts w:hint="eastAsia" w:ascii="仿宋_GB2312" w:hAnsi="仿宋_GB2312" w:eastAsia="仿宋_GB2312" w:cs="仿宋_GB2312"/>
          <w:color w:val="auto"/>
          <w:sz w:val="28"/>
          <w:szCs w:val="28"/>
          <w:highlight w:val="none"/>
          <w:u w:val="single"/>
          <w:shd w:val="clear" w:color="auto" w:fill="FFFFFF"/>
        </w:rPr>
        <w:t xml:space="preserve">                    </w:t>
      </w:r>
      <w:r>
        <w:rPr>
          <w:rFonts w:hint="eastAsia" w:ascii="仿宋_GB2312" w:hAnsi="仿宋_GB2312" w:eastAsia="仿宋_GB2312" w:cs="仿宋_GB2312"/>
          <w:color w:val="auto"/>
          <w:sz w:val="28"/>
          <w:szCs w:val="28"/>
          <w:highlight w:val="none"/>
          <w:shd w:val="clear" w:color="auto" w:fill="FFFFFF"/>
        </w:rPr>
        <w:t xml:space="preserve"> 以下简称“乙方")，就与甲方签订的《外包服务合同名称》以下简称“合同"，项下款项支付相关事宜，本着诚实信用原则，作出如下不可撤销承诺:</w:t>
      </w:r>
    </w:p>
    <w:p w14:paraId="7B5782A3">
      <w:pPr>
        <w:ind w:firstLine="562" w:firstLineChars="2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一、合同履行期内付款规则确认与承诺</w:t>
      </w:r>
    </w:p>
    <w:p w14:paraId="6CB440F3">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乙方确认并认可开标现场约定的付款账期，在合同履行期间(即乙方未离场前)，甲方付款账期为5个月，具体支付方式为：甲方于当年6月份支付乙方1月份服务对应款项、7月份支付2月份服务对应款项，以此类推，按自然月周期顺延支付。</w:t>
      </w:r>
    </w:p>
    <w:p w14:paraId="7D342EB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（二）乙方承诺不以任何理由(包括但不限于资金周转需求、市场成本上涨、政策调整等)</w:t>
      </w:r>
      <w:r>
        <w:rPr>
          <w:rFonts w:hint="eastAsia"/>
          <w:color w:val="auto"/>
          <w:sz w:val="28"/>
          <w:szCs w:val="28"/>
          <w:highlight w:val="none"/>
        </w:rPr>
        <w:t xml:space="preserve"> </w:t>
      </w:r>
      <w:r>
        <w:rPr>
          <w:rFonts w:hint="eastAsia" w:ascii="仿宋_GB2312" w:hAnsi="仿宋_GB2312" w:eastAsia="仿宋_GB2312" w:cs="仿宋_GB2312"/>
          <w:color w:val="auto"/>
          <w:sz w:val="28"/>
          <w:szCs w:val="28"/>
          <w:highlight w:val="none"/>
        </w:rPr>
        <w:t>向甲方提出提前支付款项、变更付款账期或增加服务费用的要求，自愿严格遵守本承诺约定的付款规则。</w:t>
      </w:r>
    </w:p>
    <w:p w14:paraId="2DBA79C7">
      <w:pPr>
        <w:ind w:left="382" w:leftChars="182" w:firstLine="281" w:firstLineChars="1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二、乙方离场后款项结算与支付约定</w:t>
      </w:r>
    </w:p>
    <w:p w14:paraId="1F3E3B3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若乙方因主合同到期、双方协商解除或其他合法原因离场，乙方应在离场当日起10个工作日内，向甲方提交完整、合规的剩余未付款项结算资料(包括但不限于费用明细清单、服务验收记录、合法有效发票等),配合甲方完成结算审核，如因乙方提交资料不完整、不合规导致结算延迟的，付款期限相应顺延，甲方不承担逾期付款责任；若因此给甲方造成税务风险、财务损失的，乙方应承担全额赔偿责任。</w:t>
      </w:r>
    </w:p>
    <w:p w14:paraId="305618A1">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自乙方离场后的下一个自然月起，乙方同意甲方可根据账期约定而采取“隔月支付”方式支付合同期内剩余未付月份的款项，每次支付1个自然月的服务费用，直至全部款项结清。（例如：乙方8月份退场，即8月按正常账期支付3月份款项，9月份不作支付，10月份支付4月份款项，以此类推）。</w:t>
      </w:r>
    </w:p>
    <w:p w14:paraId="1E01E48A">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三、履约保证</w:t>
      </w:r>
    </w:p>
    <w:p w14:paraId="533D487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乙方保证在合同履行期间，严格按照合同约定提供服务，确保服务质量符合甲方要求，不因账期约定而降低服务标准、缩减服务内容。</w:t>
      </w:r>
    </w:p>
    <w:p w14:paraId="530DE138">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四、其他约定</w:t>
      </w:r>
    </w:p>
    <w:p w14:paraId="1052379C">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（一）本承诺书为《外包服务合同名称》的补充文件，与合同具有同等法律效力。</w:t>
      </w:r>
    </w:p>
    <w:p w14:paraId="1D7FE457">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（二）本承诺书自乙方盖章或签字之日起生效，有效期至合同项下全部款项结清且本承诺书项下双方权利义务终止之日止。</w:t>
      </w:r>
    </w:p>
    <w:p w14:paraId="2E8536A4">
      <w:pPr>
        <w:rPr>
          <w:rFonts w:ascii="仿宋_GB2312" w:hAnsi="仿宋_GB2312" w:eastAsia="仿宋_GB2312" w:cs="仿宋_GB2312"/>
          <w:color w:val="auto"/>
          <w:sz w:val="28"/>
          <w:szCs w:val="28"/>
          <w:highlight w:val="none"/>
        </w:rPr>
      </w:pPr>
    </w:p>
    <w:p w14:paraId="2D683DF6">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承诺方(盖章 /签字):</w:t>
      </w:r>
    </w:p>
    <w:p w14:paraId="0953D0A5">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  年   月   日</w:t>
      </w:r>
    </w:p>
    <w:p w14:paraId="629F32A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73B99C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D8F3B9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32B9C8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64CBE9D6">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C38699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6A5867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FE9C38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8743661">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471169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A7A4453">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A9E0204">
      <w:pPr>
        <w:numPr>
          <w:ilvl w:val="0"/>
          <w:numId w:val="0"/>
        </w:numPr>
        <w:tabs>
          <w:tab w:val="left" w:pos="3800"/>
        </w:tabs>
        <w:wordWrap/>
        <w:spacing w:line="480" w:lineRule="auto"/>
        <w:jc w:val="center"/>
        <w:textAlignment w:val="auto"/>
        <w:outlineLvl w:val="0"/>
        <w:rPr>
          <w:rFonts w:hint="eastAsia" w:ascii="仿宋_GB2312" w:hAnsi="仿宋_GB2312" w:eastAsia="仿宋_GB2312" w:cs="仿宋_GB2312"/>
          <w:b/>
          <w:bCs/>
          <w:color w:val="auto"/>
          <w:sz w:val="32"/>
          <w:szCs w:val="32"/>
          <w:highlight w:val="none"/>
        </w:rPr>
      </w:pPr>
      <w:r>
        <w:rPr>
          <w:rFonts w:hint="eastAsia" w:ascii="黑体" w:hAnsi="黑体" w:eastAsia="黑体" w:cs="黑体"/>
          <w:color w:val="auto"/>
          <w:sz w:val="48"/>
          <w:szCs w:val="48"/>
          <w:highlight w:val="none"/>
          <w:shd w:val="clear" w:color="060000" w:fill="auto"/>
        </w:rPr>
        <w:t xml:space="preserve"> </w:t>
      </w:r>
      <w:bookmarkEnd w:id="71"/>
      <w:bookmarkStart w:id="120" w:name="_Toc7814"/>
      <w:bookmarkStart w:id="121" w:name="_Toc14048"/>
      <w:r>
        <w:rPr>
          <w:rFonts w:hint="eastAsia" w:ascii="黑体" w:hAnsi="黑体" w:eastAsia="黑体" w:cs="黑体"/>
          <w:color w:val="auto"/>
          <w:sz w:val="48"/>
          <w:szCs w:val="48"/>
          <w:highlight w:val="none"/>
          <w:shd w:val="clear" w:color="060000" w:fill="auto"/>
          <w:lang w:val="en-US" w:eastAsia="zh-CN"/>
        </w:rPr>
        <w:t xml:space="preserve">第四章   </w:t>
      </w:r>
      <w:r>
        <w:rPr>
          <w:rFonts w:hint="eastAsia" w:ascii="黑体" w:hAnsi="黑体" w:eastAsia="黑体" w:cs="黑体"/>
          <w:color w:val="auto"/>
          <w:sz w:val="48"/>
          <w:szCs w:val="48"/>
          <w:highlight w:val="none"/>
          <w:shd w:val="clear" w:color="060000" w:fill="auto"/>
        </w:rPr>
        <w:t>需求任务书</w:t>
      </w:r>
      <w:bookmarkEnd w:id="120"/>
      <w:bookmarkEnd w:id="121"/>
    </w:p>
    <w:p w14:paraId="701FB220">
      <w:pPr>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一、项目日常保洁服务面积</w:t>
      </w:r>
    </w:p>
    <w:tbl>
      <w:tblPr>
        <w:tblStyle w:val="34"/>
        <w:tblW w:w="9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6"/>
        <w:gridCol w:w="1926"/>
        <w:gridCol w:w="1250"/>
        <w:gridCol w:w="1230"/>
        <w:gridCol w:w="1530"/>
        <w:gridCol w:w="1034"/>
        <w:gridCol w:w="1437"/>
      </w:tblGrid>
      <w:tr w14:paraId="42C75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06" w:type="dxa"/>
            <w:vAlign w:val="center"/>
          </w:tcPr>
          <w:p w14:paraId="09903A42">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926" w:type="dxa"/>
            <w:tcBorders>
              <w:right w:val="single" w:color="auto" w:sz="4" w:space="0"/>
            </w:tcBorders>
            <w:vAlign w:val="center"/>
          </w:tcPr>
          <w:p w14:paraId="164C6FBC">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项目</w:t>
            </w:r>
          </w:p>
        </w:tc>
        <w:tc>
          <w:tcPr>
            <w:tcW w:w="1250" w:type="dxa"/>
            <w:tcBorders>
              <w:left w:val="single" w:color="auto" w:sz="4" w:space="0"/>
            </w:tcBorders>
            <w:vAlign w:val="center"/>
          </w:tcPr>
          <w:p w14:paraId="20B60036">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物业类型</w:t>
            </w:r>
          </w:p>
        </w:tc>
        <w:tc>
          <w:tcPr>
            <w:tcW w:w="1230" w:type="dxa"/>
            <w:tcBorders>
              <w:left w:val="single" w:color="auto" w:sz="4" w:space="0"/>
            </w:tcBorders>
            <w:vAlign w:val="center"/>
          </w:tcPr>
          <w:p w14:paraId="4A545171">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建筑面积</w:t>
            </w:r>
          </w:p>
          <w:p w14:paraId="6B39ED14">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（万㎡）</w:t>
            </w:r>
          </w:p>
        </w:tc>
        <w:tc>
          <w:tcPr>
            <w:tcW w:w="1530" w:type="dxa"/>
            <w:tcBorders>
              <w:right w:val="single" w:color="auto" w:sz="4" w:space="0"/>
            </w:tcBorders>
            <w:vAlign w:val="center"/>
          </w:tcPr>
          <w:p w14:paraId="6C08EA68">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保洁作业面积（万㎡）</w:t>
            </w:r>
          </w:p>
        </w:tc>
        <w:tc>
          <w:tcPr>
            <w:tcW w:w="1034" w:type="dxa"/>
            <w:tcBorders>
              <w:left w:val="single" w:color="auto" w:sz="4" w:space="0"/>
            </w:tcBorders>
            <w:vAlign w:val="center"/>
          </w:tcPr>
          <w:p w14:paraId="70247DFC">
            <w:pPr>
              <w:pStyle w:val="17"/>
              <w:ind w:right="-2" w:rightChars="-1"/>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sz w:val="24"/>
                <w:szCs w:val="24"/>
                <w:highlight w:val="none"/>
              </w:rPr>
              <w:t>合同满编人数</w:t>
            </w:r>
          </w:p>
        </w:tc>
        <w:tc>
          <w:tcPr>
            <w:tcW w:w="1437" w:type="dxa"/>
            <w:tcBorders>
              <w:left w:val="single" w:color="auto" w:sz="4" w:space="0"/>
            </w:tcBorders>
            <w:vAlign w:val="center"/>
          </w:tcPr>
          <w:p w14:paraId="65865146">
            <w:pPr>
              <w:pStyle w:val="17"/>
              <w:ind w:right="-2" w:rightChars="-1"/>
              <w:jc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岗位类型</w:t>
            </w:r>
          </w:p>
        </w:tc>
      </w:tr>
      <w:tr w14:paraId="638A5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0E806F49">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1</w:t>
            </w:r>
          </w:p>
        </w:tc>
        <w:tc>
          <w:tcPr>
            <w:tcW w:w="1926" w:type="dxa"/>
            <w:tcBorders>
              <w:right w:val="single" w:color="auto" w:sz="4" w:space="0"/>
            </w:tcBorders>
            <w:vAlign w:val="center"/>
          </w:tcPr>
          <w:p w14:paraId="01844F8D">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招商行政中心</w:t>
            </w:r>
          </w:p>
          <w:p w14:paraId="710D8E80">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（含案场）</w:t>
            </w:r>
          </w:p>
        </w:tc>
        <w:tc>
          <w:tcPr>
            <w:tcW w:w="1250" w:type="dxa"/>
            <w:tcBorders>
              <w:left w:val="single" w:color="auto" w:sz="4" w:space="0"/>
            </w:tcBorders>
            <w:vAlign w:val="center"/>
          </w:tcPr>
          <w:p w14:paraId="721B2194">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写字楼</w:t>
            </w:r>
          </w:p>
        </w:tc>
        <w:tc>
          <w:tcPr>
            <w:tcW w:w="1230" w:type="dxa"/>
            <w:tcBorders>
              <w:left w:val="single" w:color="auto" w:sz="4" w:space="0"/>
            </w:tcBorders>
            <w:vAlign w:val="center"/>
          </w:tcPr>
          <w:p w14:paraId="018DC40B">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530" w:type="dxa"/>
            <w:tcBorders>
              <w:right w:val="single" w:color="auto" w:sz="4" w:space="0"/>
            </w:tcBorders>
            <w:vAlign w:val="center"/>
          </w:tcPr>
          <w:p w14:paraId="270CC83E">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034" w:type="dxa"/>
            <w:tcBorders>
              <w:left w:val="single" w:color="auto" w:sz="4" w:space="0"/>
            </w:tcBorders>
            <w:vAlign w:val="center"/>
          </w:tcPr>
          <w:p w14:paraId="7D65C73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6</w:t>
            </w:r>
          </w:p>
        </w:tc>
        <w:tc>
          <w:tcPr>
            <w:tcW w:w="1437" w:type="dxa"/>
            <w:tcBorders>
              <w:left w:val="single" w:color="auto" w:sz="4" w:space="0"/>
            </w:tcBorders>
            <w:vAlign w:val="center"/>
          </w:tcPr>
          <w:p w14:paraId="1D96E9DD">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D01B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5A50D8E">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2</w:t>
            </w:r>
          </w:p>
        </w:tc>
        <w:tc>
          <w:tcPr>
            <w:tcW w:w="1926" w:type="dxa"/>
            <w:tcBorders>
              <w:right w:val="single" w:color="auto" w:sz="4" w:space="0"/>
            </w:tcBorders>
            <w:vAlign w:val="center"/>
          </w:tcPr>
          <w:p w14:paraId="5D705CF6">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w:t>
            </w:r>
          </w:p>
        </w:tc>
        <w:tc>
          <w:tcPr>
            <w:tcW w:w="1250" w:type="dxa"/>
            <w:tcBorders>
              <w:left w:val="single" w:color="auto" w:sz="4" w:space="0"/>
            </w:tcBorders>
            <w:vAlign w:val="center"/>
          </w:tcPr>
          <w:p w14:paraId="5A41BD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2E70FD49">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530" w:type="dxa"/>
            <w:tcBorders>
              <w:right w:val="single" w:color="auto" w:sz="4" w:space="0"/>
            </w:tcBorders>
            <w:vAlign w:val="center"/>
          </w:tcPr>
          <w:p w14:paraId="7C7037E6">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034" w:type="dxa"/>
            <w:tcBorders>
              <w:left w:val="single" w:color="auto" w:sz="4" w:space="0"/>
            </w:tcBorders>
            <w:vAlign w:val="center"/>
          </w:tcPr>
          <w:p w14:paraId="038FE2F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11</w:t>
            </w:r>
          </w:p>
        </w:tc>
        <w:tc>
          <w:tcPr>
            <w:tcW w:w="1437" w:type="dxa"/>
            <w:tcBorders>
              <w:left w:val="single" w:color="auto" w:sz="4" w:space="0"/>
            </w:tcBorders>
            <w:vAlign w:val="center"/>
          </w:tcPr>
          <w:p w14:paraId="51F6388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7D96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8C077F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3</w:t>
            </w:r>
          </w:p>
        </w:tc>
        <w:tc>
          <w:tcPr>
            <w:tcW w:w="1926" w:type="dxa"/>
            <w:tcBorders>
              <w:right w:val="single" w:color="auto" w:sz="4" w:space="0"/>
            </w:tcBorders>
            <w:vAlign w:val="center"/>
          </w:tcPr>
          <w:p w14:paraId="799A71E7">
            <w:pPr>
              <w:snapToGrid w:val="0"/>
              <w:spacing w:line="240" w:lineRule="auto"/>
              <w:ind w:left="0" w:leftChars="0" w:right="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精品5区</w:t>
            </w:r>
          </w:p>
        </w:tc>
        <w:tc>
          <w:tcPr>
            <w:tcW w:w="1250" w:type="dxa"/>
            <w:tcBorders>
              <w:left w:val="single" w:color="auto" w:sz="4" w:space="0"/>
            </w:tcBorders>
            <w:vAlign w:val="center"/>
          </w:tcPr>
          <w:p w14:paraId="108535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080BA314">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530" w:type="dxa"/>
            <w:tcBorders>
              <w:right w:val="single" w:color="auto" w:sz="4" w:space="0"/>
            </w:tcBorders>
            <w:vAlign w:val="center"/>
          </w:tcPr>
          <w:p w14:paraId="0FF09C3D">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034" w:type="dxa"/>
            <w:tcBorders>
              <w:left w:val="single" w:color="auto" w:sz="4" w:space="0"/>
            </w:tcBorders>
            <w:vAlign w:val="center"/>
          </w:tcPr>
          <w:p w14:paraId="29C1E83D">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9</w:t>
            </w:r>
          </w:p>
        </w:tc>
        <w:tc>
          <w:tcPr>
            <w:tcW w:w="1437" w:type="dxa"/>
            <w:tcBorders>
              <w:left w:val="single" w:color="auto" w:sz="4" w:space="0"/>
            </w:tcBorders>
            <w:vAlign w:val="center"/>
          </w:tcPr>
          <w:p w14:paraId="22E49F31">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12DC8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0DA1857">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4</w:t>
            </w:r>
          </w:p>
        </w:tc>
        <w:tc>
          <w:tcPr>
            <w:tcW w:w="1926" w:type="dxa"/>
            <w:tcBorders>
              <w:right w:val="single" w:color="auto" w:sz="4" w:space="0"/>
            </w:tcBorders>
            <w:vAlign w:val="center"/>
          </w:tcPr>
          <w:p w14:paraId="0E4E21AE">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精品6区</w:t>
            </w:r>
          </w:p>
        </w:tc>
        <w:tc>
          <w:tcPr>
            <w:tcW w:w="1250" w:type="dxa"/>
            <w:tcBorders>
              <w:left w:val="single" w:color="auto" w:sz="4" w:space="0"/>
            </w:tcBorders>
            <w:vAlign w:val="center"/>
          </w:tcPr>
          <w:p w14:paraId="146FB2E0">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48D8F9D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530" w:type="dxa"/>
            <w:tcBorders>
              <w:right w:val="single" w:color="auto" w:sz="4" w:space="0"/>
            </w:tcBorders>
            <w:vAlign w:val="center"/>
          </w:tcPr>
          <w:p w14:paraId="73DB34BC">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034" w:type="dxa"/>
            <w:tcBorders>
              <w:left w:val="single" w:color="auto" w:sz="4" w:space="0"/>
            </w:tcBorders>
            <w:vAlign w:val="center"/>
          </w:tcPr>
          <w:p w14:paraId="4B6C5C4A">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10</w:t>
            </w:r>
          </w:p>
        </w:tc>
        <w:tc>
          <w:tcPr>
            <w:tcW w:w="1437" w:type="dxa"/>
            <w:tcBorders>
              <w:left w:val="single" w:color="auto" w:sz="4" w:space="0"/>
            </w:tcBorders>
            <w:vAlign w:val="center"/>
          </w:tcPr>
          <w:p w14:paraId="08E94BB5">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33FA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519E4EDC">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5</w:t>
            </w:r>
          </w:p>
        </w:tc>
        <w:tc>
          <w:tcPr>
            <w:tcW w:w="1926" w:type="dxa"/>
            <w:tcBorders>
              <w:right w:val="single" w:color="auto" w:sz="4" w:space="0"/>
            </w:tcBorders>
            <w:vAlign w:val="center"/>
          </w:tcPr>
          <w:p w14:paraId="54758E73">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巴南华府云邸/明昱阁</w:t>
            </w:r>
          </w:p>
        </w:tc>
        <w:tc>
          <w:tcPr>
            <w:tcW w:w="1250" w:type="dxa"/>
            <w:tcBorders>
              <w:left w:val="single" w:color="auto" w:sz="4" w:space="0"/>
            </w:tcBorders>
            <w:vAlign w:val="center"/>
          </w:tcPr>
          <w:p w14:paraId="78FA8C33">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住宅</w:t>
            </w:r>
          </w:p>
        </w:tc>
        <w:tc>
          <w:tcPr>
            <w:tcW w:w="1230" w:type="dxa"/>
            <w:tcBorders>
              <w:left w:val="single" w:color="auto" w:sz="4" w:space="0"/>
            </w:tcBorders>
            <w:vAlign w:val="center"/>
          </w:tcPr>
          <w:p w14:paraId="7B3B1F3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530" w:type="dxa"/>
            <w:tcBorders>
              <w:right w:val="single" w:color="auto" w:sz="4" w:space="0"/>
            </w:tcBorders>
            <w:vAlign w:val="center"/>
          </w:tcPr>
          <w:p w14:paraId="1753DEB1">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034" w:type="dxa"/>
            <w:tcBorders>
              <w:left w:val="single" w:color="auto" w:sz="4" w:space="0"/>
            </w:tcBorders>
            <w:vAlign w:val="center"/>
          </w:tcPr>
          <w:p w14:paraId="4FB3A51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12</w:t>
            </w:r>
          </w:p>
        </w:tc>
        <w:tc>
          <w:tcPr>
            <w:tcW w:w="1437" w:type="dxa"/>
            <w:tcBorders>
              <w:left w:val="single" w:color="auto" w:sz="4" w:space="0"/>
            </w:tcBorders>
            <w:vAlign w:val="center"/>
          </w:tcPr>
          <w:p w14:paraId="61A9269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8533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3782" w:type="dxa"/>
            <w:gridSpan w:val="3"/>
            <w:vAlign w:val="center"/>
          </w:tcPr>
          <w:p w14:paraId="13D5F84F">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合计</w:t>
            </w:r>
          </w:p>
        </w:tc>
        <w:tc>
          <w:tcPr>
            <w:tcW w:w="1230" w:type="dxa"/>
            <w:tcBorders>
              <w:left w:val="single" w:color="auto" w:sz="4" w:space="0"/>
            </w:tcBorders>
            <w:vAlign w:val="center"/>
          </w:tcPr>
          <w:p w14:paraId="5FF3916B">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530" w:type="dxa"/>
            <w:tcBorders>
              <w:right w:val="single" w:color="auto" w:sz="4" w:space="0"/>
            </w:tcBorders>
            <w:vAlign w:val="center"/>
          </w:tcPr>
          <w:p w14:paraId="1ACDDAFE">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034" w:type="dxa"/>
            <w:tcBorders>
              <w:left w:val="single" w:color="auto" w:sz="4" w:space="0"/>
            </w:tcBorders>
            <w:vAlign w:val="center"/>
          </w:tcPr>
          <w:p w14:paraId="1EA855C4">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48</w:t>
            </w:r>
          </w:p>
        </w:tc>
        <w:tc>
          <w:tcPr>
            <w:tcW w:w="1437" w:type="dxa"/>
            <w:tcBorders>
              <w:left w:val="single" w:color="auto" w:sz="4" w:space="0"/>
            </w:tcBorders>
            <w:vAlign w:val="center"/>
          </w:tcPr>
          <w:p w14:paraId="4AA5452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 xml:space="preserve"> </w:t>
            </w:r>
          </w:p>
        </w:tc>
      </w:tr>
    </w:tbl>
    <w:p w14:paraId="21B97C39">
      <w:pPr>
        <w:spacing w:line="360" w:lineRule="auto"/>
        <w:rPr>
          <w:rFonts w:hint="eastAsia" w:ascii="宋体" w:hAnsi="宋体" w:cs="宋体"/>
          <w:color w:val="auto"/>
          <w:sz w:val="24"/>
          <w:highlight w:val="none"/>
        </w:rPr>
      </w:pPr>
    </w:p>
    <w:p w14:paraId="77B11352">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说明：1、本次招标人数均不含轮休人员，轮休人员费用由投标单位自行核算承担；</w:t>
      </w:r>
    </w:p>
    <w:p w14:paraId="69090707">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2、在服务标准要求中，除非明确说明所针对的项目，否则，是对项目的共同要求；</w:t>
      </w:r>
    </w:p>
    <w:p w14:paraId="0D41EF33">
      <w:pPr>
        <w:ind w:firstLine="480" w:firstLineChars="200"/>
        <w:rPr>
          <w:rFonts w:hint="eastAsia" w:ascii="宋体" w:hAnsi="宋体" w:cs="宋体"/>
          <w:color w:val="auto"/>
          <w:sz w:val="24"/>
          <w:highlight w:val="none"/>
          <w:lang w:val="en-US" w:eastAsia="zh-CN"/>
        </w:rPr>
      </w:pPr>
    </w:p>
    <w:p w14:paraId="4B8DB523">
      <w:pPr>
        <w:rPr>
          <w:rFonts w:hint="eastAsia" w:ascii="宋体" w:hAnsi="宋体" w:cs="宋体"/>
          <w:b w:val="0"/>
          <w:bCs/>
          <w:color w:val="auto"/>
          <w:sz w:val="24"/>
          <w:highlight w:val="none"/>
          <w:lang w:val="en-US" w:eastAsia="zh-CN"/>
        </w:rPr>
        <w:sectPr>
          <w:pgSz w:w="12240" w:h="15840"/>
          <w:pgMar w:top="1440" w:right="1797" w:bottom="1440" w:left="1797" w:header="720" w:footer="720" w:gutter="0"/>
          <w:pgNumType w:fmt="decimal"/>
          <w:cols w:space="720" w:num="1"/>
        </w:sectPr>
      </w:pPr>
    </w:p>
    <w:p w14:paraId="1079630F">
      <w:pPr>
        <w:rPr>
          <w:rFonts w:hint="eastAsia" w:ascii="宋体" w:hAnsi="宋体" w:cs="宋体"/>
          <w:b/>
          <w:bCs w:val="0"/>
          <w:color w:val="auto"/>
          <w:sz w:val="24"/>
          <w:highlight w:val="none"/>
          <w:lang w:val="en-US" w:eastAsia="zh-CN"/>
        </w:rPr>
      </w:pPr>
    </w:p>
    <w:p w14:paraId="7CBF0E65">
      <w:pPr>
        <w:numPr>
          <w:ilvl w:val="0"/>
          <w:numId w:val="4"/>
        </w:numP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lang w:val="en-US" w:eastAsia="zh-CN"/>
        </w:rPr>
        <w:t>日常保洁</w:t>
      </w:r>
      <w:r>
        <w:rPr>
          <w:rFonts w:hint="eastAsia" w:ascii="仿宋_GB2312" w:hAnsi="仿宋_GB2312" w:eastAsia="仿宋_GB2312" w:cs="仿宋_GB2312"/>
          <w:b/>
          <w:bCs w:val="0"/>
          <w:color w:val="auto"/>
          <w:sz w:val="28"/>
          <w:szCs w:val="28"/>
          <w:highlight w:val="none"/>
        </w:rPr>
        <w:t>设备</w:t>
      </w:r>
      <w:r>
        <w:rPr>
          <w:rFonts w:hint="eastAsia" w:ascii="仿宋_GB2312" w:hAnsi="仿宋_GB2312" w:eastAsia="仿宋_GB2312" w:cs="仿宋_GB2312"/>
          <w:b/>
          <w:bCs w:val="0"/>
          <w:color w:val="auto"/>
          <w:sz w:val="28"/>
          <w:szCs w:val="28"/>
          <w:highlight w:val="none"/>
          <w:lang w:val="en-US" w:eastAsia="zh-CN"/>
        </w:rPr>
        <w:t>要求</w:t>
      </w:r>
      <w:r>
        <w:rPr>
          <w:rFonts w:hint="eastAsia" w:ascii="仿宋_GB2312" w:hAnsi="仿宋_GB2312" w:eastAsia="仿宋_GB2312" w:cs="仿宋_GB2312"/>
          <w:b/>
          <w:bCs w:val="0"/>
          <w:color w:val="auto"/>
          <w:sz w:val="28"/>
          <w:szCs w:val="28"/>
          <w:highlight w:val="none"/>
        </w:rPr>
        <w:t>：</w:t>
      </w:r>
    </w:p>
    <w:p w14:paraId="27812A15">
      <w:pPr>
        <w:numPr>
          <w:ilvl w:val="0"/>
          <w:numId w:val="0"/>
        </w:numPr>
        <w:rPr>
          <w:rFonts w:hint="eastAsia" w:ascii="宋体" w:hAnsi="宋体" w:cs="宋体"/>
          <w:b/>
          <w:bCs w:val="0"/>
          <w:color w:val="auto"/>
          <w:sz w:val="24"/>
          <w:highlight w:val="none"/>
        </w:rPr>
      </w:pPr>
      <w:r>
        <w:rPr>
          <w:rFonts w:ascii="Times New Roman" w:hAnsi="Times New Roman" w:eastAsia="宋体" w:cs="Times New Roman"/>
          <w:color w:val="auto"/>
          <w:kern w:val="2"/>
          <w:sz w:val="21"/>
          <w:highlight w:val="none"/>
          <w:lang w:val="en-US" w:eastAsia="zh-CN" w:bidi="ar-SA"/>
        </w:rPr>
        <w:drawing>
          <wp:inline distT="0" distB="0" distL="114300" distR="114300">
            <wp:extent cx="5486400" cy="3021965"/>
            <wp:effectExtent l="0" t="0" r="0" b="6985"/>
            <wp:docPr id="4"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9"/>
                    <pic:cNvPicPr>
                      <a:picLocks noChangeAspect="1"/>
                    </pic:cNvPicPr>
                  </pic:nvPicPr>
                  <pic:blipFill>
                    <a:blip r:embed="rId21">
                      <a:lum/>
                    </a:blip>
                    <a:stretch>
                      <a:fillRect/>
                    </a:stretch>
                  </pic:blipFill>
                  <pic:spPr>
                    <a:xfrm>
                      <a:off x="0" y="0"/>
                      <a:ext cx="5486400" cy="3021965"/>
                    </a:xfrm>
                    <a:prstGeom prst="rect">
                      <a:avLst/>
                    </a:prstGeom>
                    <a:noFill/>
                    <a:ln>
                      <a:noFill/>
                    </a:ln>
                  </pic:spPr>
                </pic:pic>
              </a:graphicData>
            </a:graphic>
          </wp:inline>
        </w:drawing>
      </w:r>
    </w:p>
    <w:p w14:paraId="1AD9711C">
      <w:pPr>
        <w:widowControl/>
        <w:tabs>
          <w:tab w:val="left" w:pos="0"/>
        </w:tabs>
        <w:spacing w:line="360" w:lineRule="auto"/>
        <w:jc w:val="left"/>
        <w:rPr>
          <w:rFonts w:hint="eastAsia" w:ascii="宋体" w:hAnsi="宋体" w:cs="宋体"/>
          <w:color w:val="auto"/>
          <w:sz w:val="24"/>
          <w:highlight w:val="none"/>
        </w:rPr>
      </w:pPr>
    </w:p>
    <w:p w14:paraId="5C6686DD">
      <w:pPr>
        <w:widowControl/>
        <w:tabs>
          <w:tab w:val="left" w:pos="0"/>
        </w:tabs>
        <w:spacing w:line="360" w:lineRule="auto"/>
        <w:ind w:left="480" w:hanging="480" w:hanging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注：1、投标单位应明确写出根据我司招标要求可提供的现场服务设备清单及数量，上表所列设备为我司本标段招标项目所需配置的最低设备要求，投标单位应提供但不仅限于上表的设备。</w:t>
      </w:r>
    </w:p>
    <w:p w14:paraId="6DAE42BD">
      <w:pPr>
        <w:widowControl/>
        <w:numPr>
          <w:ilvl w:val="0"/>
          <w:numId w:val="0"/>
        </w:numPr>
        <w:tabs>
          <w:tab w:val="left" w:pos="0"/>
        </w:tabs>
        <w:spacing w:line="360" w:lineRule="auto"/>
        <w:ind w:firstLine="480" w:firstLineChars="200"/>
        <w:jc w:val="left"/>
        <w:rPr>
          <w:rFonts w:hint="eastAsia" w:ascii="仿宋_GB2312" w:hAnsi="仿宋_GB2312" w:eastAsia="仿宋_GB2312" w:cs="仿宋_GB2312"/>
          <w:color w:val="auto"/>
          <w:sz w:val="24"/>
          <w:szCs w:val="24"/>
          <w:highlight w:val="none"/>
        </w:rPr>
        <w:sectPr>
          <w:pgSz w:w="12240" w:h="15840"/>
          <w:pgMar w:top="1440" w:right="1797" w:bottom="1440" w:left="1797" w:header="720" w:footer="720" w:gutter="0"/>
          <w:pgNumType w:fmt="decimal"/>
          <w:cols w:space="720" w:num="1"/>
        </w:sectPr>
      </w:pPr>
      <w:r>
        <w:rPr>
          <w:rFonts w:hint="eastAsia" w:ascii="仿宋_GB2312" w:hAnsi="仿宋_GB2312" w:eastAsia="仿宋_GB2312" w:cs="仿宋_GB2312"/>
          <w:color w:val="auto"/>
          <w:kern w:val="2"/>
          <w:sz w:val="24"/>
          <w:szCs w:val="24"/>
          <w:highlight w:val="none"/>
          <w:lang w:val="en-US" w:eastAsia="zh-CN" w:bidi="ar-SA"/>
        </w:rPr>
        <w:t>2、</w:t>
      </w:r>
      <w:r>
        <w:rPr>
          <w:rFonts w:hint="eastAsia" w:ascii="仿宋_GB2312" w:hAnsi="仿宋_GB2312" w:eastAsia="仿宋_GB2312" w:cs="仿宋_GB2312"/>
          <w:color w:val="auto"/>
          <w:sz w:val="24"/>
          <w:szCs w:val="24"/>
          <w:highlight w:val="none"/>
        </w:rPr>
        <w:t>投标单位所提供的设备费用应全部考虑到人工服务成本中，我司对本标段招标项目不额外提供设备费用。</w:t>
      </w:r>
    </w:p>
    <w:p w14:paraId="60548567">
      <w:pPr>
        <w:spacing w:line="360" w:lineRule="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三、日常保洁人员</w:t>
      </w:r>
      <w:r>
        <w:rPr>
          <w:rFonts w:hint="eastAsia" w:ascii="仿宋_GB2312" w:hAnsi="仿宋_GB2312" w:eastAsia="仿宋_GB2312" w:cs="仿宋_GB2312"/>
          <w:b/>
          <w:bCs/>
          <w:color w:val="auto"/>
          <w:sz w:val="24"/>
          <w:szCs w:val="24"/>
          <w:highlight w:val="none"/>
        </w:rPr>
        <w:t>要求</w:t>
      </w:r>
    </w:p>
    <w:tbl>
      <w:tblPr>
        <w:tblStyle w:val="34"/>
        <w:tblW w:w="88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0"/>
        <w:gridCol w:w="2170"/>
        <w:gridCol w:w="1848"/>
        <w:gridCol w:w="4219"/>
      </w:tblGrid>
      <w:tr w14:paraId="2DE5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vAlign w:val="center"/>
          </w:tcPr>
          <w:p w14:paraId="3B4810C3">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170" w:type="dxa"/>
            <w:vAlign w:val="center"/>
          </w:tcPr>
          <w:p w14:paraId="20EFD758">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项目名称</w:t>
            </w:r>
          </w:p>
        </w:tc>
        <w:tc>
          <w:tcPr>
            <w:tcW w:w="1848" w:type="dxa"/>
            <w:vAlign w:val="center"/>
          </w:tcPr>
          <w:p w14:paraId="79837701">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年龄</w:t>
            </w:r>
            <w:r>
              <w:rPr>
                <w:rFonts w:hint="eastAsia" w:ascii="仿宋_GB2312" w:hAnsi="仿宋_GB2312" w:eastAsia="仿宋_GB2312" w:cs="仿宋_GB2312"/>
                <w:color w:val="auto"/>
                <w:sz w:val="24"/>
                <w:szCs w:val="24"/>
                <w:highlight w:val="none"/>
                <w:lang w:val="en-US" w:eastAsia="zh-CN"/>
              </w:rPr>
              <w:t>要求</w:t>
            </w:r>
          </w:p>
          <w:p w14:paraId="269CA95A">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（含本数）</w:t>
            </w:r>
          </w:p>
        </w:tc>
        <w:tc>
          <w:tcPr>
            <w:tcW w:w="4219" w:type="dxa"/>
            <w:vAlign w:val="center"/>
          </w:tcPr>
          <w:p w14:paraId="73DCDE25">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14:paraId="428EE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6" w:hRule="atLeast"/>
        </w:trPr>
        <w:tc>
          <w:tcPr>
            <w:tcW w:w="620" w:type="dxa"/>
            <w:vAlign w:val="center"/>
          </w:tcPr>
          <w:p w14:paraId="544A0B4C">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2170" w:type="dxa"/>
            <w:vAlign w:val="center"/>
          </w:tcPr>
          <w:p w14:paraId="6951A19A">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精品34区/会展中心，精品5区、精品6区，招商行政中心(含案场)、巴南华府云邸/明昱阁</w:t>
            </w:r>
          </w:p>
        </w:tc>
        <w:tc>
          <w:tcPr>
            <w:tcW w:w="1848" w:type="dxa"/>
            <w:vAlign w:val="center"/>
          </w:tcPr>
          <w:p w14:paraId="00B3AC35">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18-65周岁/18-60周岁</w:t>
            </w:r>
          </w:p>
        </w:tc>
        <w:tc>
          <w:tcPr>
            <w:tcW w:w="4219" w:type="dxa"/>
            <w:vAlign w:val="center"/>
          </w:tcPr>
          <w:p w14:paraId="6815114E">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精品3456区/会展中心、巴南华府云邸/明昱阁保洁员年龄18-65周岁（含本数），其中年龄在60-65周岁区间的人数（含本数）不得超过合同约定人数的 40%（按单个项目统计比例）。</w:t>
            </w:r>
          </w:p>
          <w:p w14:paraId="263EE27F">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招商中心写字楼保洁员6人年龄18-60周岁（含本数），其中年龄在55- 60周岁区间的人数（含本数）不得超过合同约定人数的50%。</w:t>
            </w:r>
          </w:p>
          <w:p w14:paraId="477B48D9">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身体健康，无文身，未患传染性及精神性疾病。</w:t>
            </w:r>
          </w:p>
          <w:p w14:paraId="2C2A9CDC">
            <w:pPr>
              <w:numPr>
                <w:ilvl w:val="0"/>
                <w:numId w:val="5"/>
              </w:numPr>
              <w:spacing w:line="360" w:lineRule="auto"/>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所有清洁设施与物料必须为正规合格产品;操作人员符合法律法规要求的资质;同时，必须为清洁人员配发合规的安全防护装备，并进行安全培训，以保障其作业安全。</w:t>
            </w:r>
          </w:p>
        </w:tc>
      </w:tr>
    </w:tbl>
    <w:p w14:paraId="1BC3D2A5">
      <w:pPr>
        <w:spacing w:line="360" w:lineRule="auto"/>
        <w:rPr>
          <w:rFonts w:hint="eastAsia" w:ascii="仿宋_GB2312" w:hAnsi="仿宋_GB2312" w:eastAsia="仿宋_GB2312" w:cs="仿宋_GB2312"/>
          <w:b/>
          <w:bCs/>
          <w:color w:val="auto"/>
          <w:sz w:val="24"/>
          <w:highlight w:val="none"/>
          <w:lang w:val="en-US" w:eastAsia="zh-CN"/>
        </w:rPr>
      </w:pPr>
      <w:r>
        <w:rPr>
          <w:rFonts w:hint="eastAsia" w:ascii="仿宋_GB2312" w:hAnsi="仿宋_GB2312" w:eastAsia="仿宋_GB2312" w:cs="仿宋_GB2312"/>
          <w:b/>
          <w:bCs/>
          <w:color w:val="auto"/>
          <w:sz w:val="24"/>
          <w:highlight w:val="none"/>
          <w:lang w:val="en-US" w:eastAsia="zh-CN"/>
        </w:rPr>
        <w:t>四、日常保洁工作标准要求</w:t>
      </w:r>
    </w:p>
    <w:p w14:paraId="4059AC71">
      <w:pPr>
        <w:autoSpaceDE w:val="0"/>
        <w:autoSpaceDN w:val="0"/>
        <w:adjustRightInd w:val="0"/>
        <w:snapToGrid w:val="0"/>
        <w:spacing w:line="360" w:lineRule="auto"/>
        <w:jc w:val="left"/>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1.保洁服务</w:t>
      </w:r>
    </w:p>
    <w:tbl>
      <w:tblPr>
        <w:tblStyle w:val="34"/>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2600"/>
        <w:gridCol w:w="4136"/>
        <w:gridCol w:w="16"/>
      </w:tblGrid>
      <w:tr w14:paraId="3EC7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05" w:type="dxa"/>
            <w:vAlign w:val="center"/>
          </w:tcPr>
          <w:p w14:paraId="155FE675">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区域/范围/事项</w:t>
            </w:r>
          </w:p>
        </w:tc>
        <w:tc>
          <w:tcPr>
            <w:tcW w:w="2600" w:type="dxa"/>
            <w:vAlign w:val="center"/>
          </w:tcPr>
          <w:p w14:paraId="19BC430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清洁标准</w:t>
            </w:r>
          </w:p>
        </w:tc>
        <w:tc>
          <w:tcPr>
            <w:tcW w:w="4152" w:type="dxa"/>
            <w:gridSpan w:val="2"/>
            <w:vAlign w:val="center"/>
          </w:tcPr>
          <w:p w14:paraId="14D7DB8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频次</w:t>
            </w:r>
          </w:p>
        </w:tc>
      </w:tr>
      <w:tr w14:paraId="3DAF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5917E4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首层大堂、电梯轿厢及其设施</w:t>
            </w:r>
          </w:p>
        </w:tc>
        <w:tc>
          <w:tcPr>
            <w:tcW w:w="2600" w:type="dxa"/>
            <w:vMerge w:val="restart"/>
            <w:vAlign w:val="center"/>
          </w:tcPr>
          <w:p w14:paraId="68C6225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地面无杂物、无灰尘、无污迹；</w:t>
            </w:r>
          </w:p>
          <w:p w14:paraId="4921FA8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石材地面保持光亮；2M以下墙面、门窗、扶手及其他公共设施无灰尘、无污迹、无蜘蛛网；2M以上墙面、门窗及其他公共设施目视无积尘、无明显污迹、无蜘蛛网。</w:t>
            </w:r>
          </w:p>
        </w:tc>
        <w:tc>
          <w:tcPr>
            <w:tcW w:w="4152" w:type="dxa"/>
            <w:gridSpan w:val="2"/>
            <w:vAlign w:val="center"/>
          </w:tcPr>
          <w:p w14:paraId="6192808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每日拖/扫1次；石材地面根据磨损情况定期抛光；桌椅、报箱等设施每日擦拭1次。</w:t>
            </w:r>
          </w:p>
        </w:tc>
      </w:tr>
      <w:tr w14:paraId="66F6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113A36F5">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楼层电梯厅、多层楼梯</w:t>
            </w:r>
          </w:p>
        </w:tc>
        <w:tc>
          <w:tcPr>
            <w:tcW w:w="2600" w:type="dxa"/>
            <w:vMerge w:val="continue"/>
            <w:vAlign w:val="center"/>
          </w:tcPr>
          <w:p w14:paraId="2E43189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p>
        </w:tc>
        <w:tc>
          <w:tcPr>
            <w:tcW w:w="4152" w:type="dxa"/>
            <w:gridSpan w:val="2"/>
            <w:vAlign w:val="center"/>
          </w:tcPr>
          <w:p w14:paraId="3DA2F7B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每日拖/扫1次，扶手每日擦拭1次；室内2M以下墙面、门窗及其他公共设施每周清洁1次；室内2M以上墙面、门窗及其他公</w:t>
            </w:r>
            <w:r>
              <w:rPr>
                <w:rFonts w:hint="eastAsia" w:ascii="仿宋_GB2312" w:hAnsi="仿宋_GB2312" w:eastAsia="仿宋_GB2312" w:cs="仿宋_GB2312"/>
                <w:color w:val="auto"/>
                <w:sz w:val="22"/>
                <w:szCs w:val="22"/>
                <w:highlight w:val="none"/>
              </w:rPr>
              <w:t>共设施每月清洁1次。</w:t>
            </w:r>
          </w:p>
        </w:tc>
      </w:tr>
      <w:tr w14:paraId="32CF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1257" w:hRule="atLeast"/>
        </w:trPr>
        <w:tc>
          <w:tcPr>
            <w:tcW w:w="2105" w:type="dxa"/>
            <w:vAlign w:val="center"/>
          </w:tcPr>
          <w:p w14:paraId="0CB07A5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w:t>
            </w:r>
          </w:p>
        </w:tc>
        <w:tc>
          <w:tcPr>
            <w:tcW w:w="2600" w:type="dxa"/>
            <w:vAlign w:val="center"/>
          </w:tcPr>
          <w:p w14:paraId="5EA77B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地下车库、消防楼梯墙面、门窗及其他公共设施无污迹、无蜘蛛网。</w:t>
            </w:r>
          </w:p>
        </w:tc>
        <w:tc>
          <w:tcPr>
            <w:tcW w:w="4136" w:type="dxa"/>
            <w:vAlign w:val="center"/>
          </w:tcPr>
          <w:p w14:paraId="59C68EFC">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地下车库每日巡视清洁2次、每季至少拖/扫1次；消防楼道每周全面清扫1次，每月拖/扫1次。</w:t>
            </w:r>
          </w:p>
        </w:tc>
      </w:tr>
      <w:tr w14:paraId="555A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3E0962C4">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室外休闲娱乐设施</w:t>
            </w:r>
          </w:p>
        </w:tc>
        <w:tc>
          <w:tcPr>
            <w:tcW w:w="2600" w:type="dxa"/>
            <w:vAlign w:val="center"/>
          </w:tcPr>
          <w:p w14:paraId="5DD52FA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无灰尘、污迹。</w:t>
            </w:r>
          </w:p>
        </w:tc>
        <w:tc>
          <w:tcPr>
            <w:tcW w:w="4136" w:type="dxa"/>
            <w:vAlign w:val="center"/>
          </w:tcPr>
          <w:p w14:paraId="6EBB43C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每日擦拭1次。</w:t>
            </w:r>
          </w:p>
        </w:tc>
      </w:tr>
      <w:tr w14:paraId="1A7E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594D6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公共洗手间</w:t>
            </w:r>
          </w:p>
        </w:tc>
        <w:tc>
          <w:tcPr>
            <w:tcW w:w="2600" w:type="dxa"/>
            <w:vAlign w:val="center"/>
          </w:tcPr>
          <w:p w14:paraId="0AFCB3B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无杂物、无污迹、无异味。</w:t>
            </w:r>
          </w:p>
        </w:tc>
        <w:tc>
          <w:tcPr>
            <w:tcW w:w="4136" w:type="dxa"/>
            <w:vAlign w:val="center"/>
          </w:tcPr>
          <w:p w14:paraId="274D721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人流高峰期每半小时清洁1次，非人流高峰期每小时清洁1次，每周消毒1次。</w:t>
            </w:r>
          </w:p>
        </w:tc>
      </w:tr>
      <w:tr w14:paraId="35C8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517" w:hRule="atLeast"/>
        </w:trPr>
        <w:tc>
          <w:tcPr>
            <w:tcW w:w="2105" w:type="dxa"/>
            <w:vAlign w:val="center"/>
          </w:tcPr>
          <w:p w14:paraId="719302C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小区主干道、广场、商业街、单元门口、人行及车辆主出入口</w:t>
            </w:r>
          </w:p>
        </w:tc>
        <w:tc>
          <w:tcPr>
            <w:tcW w:w="2600" w:type="dxa"/>
            <w:vAlign w:val="center"/>
          </w:tcPr>
          <w:p w14:paraId="37E4C77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地面无杂物、无积尘、无污迹、无积水、无积雪。</w:t>
            </w:r>
          </w:p>
        </w:tc>
        <w:tc>
          <w:tcPr>
            <w:tcW w:w="4136" w:type="dxa"/>
            <w:vAlign w:val="center"/>
          </w:tcPr>
          <w:p w14:paraId="20906EE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每日清扫1次并每小时至少巡视1次，如有污迹及时冲洗；及时清除道路积水、积雪。</w:t>
            </w:r>
          </w:p>
        </w:tc>
      </w:tr>
      <w:tr w14:paraId="40B1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568" w:hRule="atLeast"/>
        </w:trPr>
        <w:tc>
          <w:tcPr>
            <w:tcW w:w="2105" w:type="dxa"/>
            <w:vAlign w:val="center"/>
          </w:tcPr>
          <w:p w14:paraId="1CF4506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露天停车场、绿地、水景喷泉</w:t>
            </w:r>
          </w:p>
        </w:tc>
        <w:tc>
          <w:tcPr>
            <w:tcW w:w="2600" w:type="dxa"/>
            <w:vAlign w:val="center"/>
          </w:tcPr>
          <w:p w14:paraId="525C57F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绿化带无杂物，落叶定期清理；水景喷泉水质不浑浊、无明显沉淀物和漂浮物；溪河湖等水质不发黑、无异味、无杂物、无漂浮异物。</w:t>
            </w:r>
          </w:p>
        </w:tc>
        <w:tc>
          <w:tcPr>
            <w:tcW w:w="4136" w:type="dxa"/>
            <w:vAlign w:val="center"/>
          </w:tcPr>
          <w:p w14:paraId="24AAC2D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露天停车场每日巡视清洁2次；绿化带每两日巡视清洁1次；水景喷泉有水时每日打捞漂浮物，每周清洁1次，无水时每天清扫1次、每月全面清洁1次。</w:t>
            </w:r>
          </w:p>
        </w:tc>
      </w:tr>
      <w:tr w14:paraId="21CF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6C930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天台、采光井、雨水沟等</w:t>
            </w:r>
          </w:p>
        </w:tc>
        <w:tc>
          <w:tcPr>
            <w:tcW w:w="2600" w:type="dxa"/>
            <w:vAlign w:val="center"/>
          </w:tcPr>
          <w:p w14:paraId="6BDCF38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无杂物、无积水。</w:t>
            </w:r>
          </w:p>
        </w:tc>
        <w:tc>
          <w:tcPr>
            <w:tcW w:w="4136" w:type="dxa"/>
            <w:vAlign w:val="center"/>
          </w:tcPr>
          <w:p w14:paraId="1F66FB58">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天台、采光井半月清洁1次；雨水沟每月至少巡查1次，必要时及时清理。</w:t>
            </w:r>
          </w:p>
        </w:tc>
      </w:tr>
    </w:tbl>
    <w:p w14:paraId="49CE6C78">
      <w:pPr>
        <w:rPr>
          <w:rFonts w:hint="eastAsia" w:ascii="仿宋_GB2312" w:hAnsi="仿宋_GB2312" w:eastAsia="仿宋_GB2312" w:cs="仿宋_GB2312"/>
          <w:color w:val="auto"/>
          <w:sz w:val="22"/>
          <w:szCs w:val="22"/>
          <w:highlight w:val="none"/>
        </w:rPr>
      </w:pPr>
    </w:p>
    <w:p w14:paraId="2FBAEF8E">
      <w:pPr>
        <w:rPr>
          <w:rFonts w:hint="eastAsia" w:ascii="仿宋_GB2312" w:hAnsi="仿宋_GB2312" w:eastAsia="仿宋_GB2312" w:cs="仿宋_GB2312"/>
          <w:color w:val="auto"/>
          <w:sz w:val="22"/>
          <w:szCs w:val="22"/>
          <w:highlight w:val="none"/>
        </w:rPr>
      </w:pPr>
    </w:p>
    <w:p w14:paraId="4A936CCC">
      <w:pPr>
        <w:autoSpaceDE w:val="0"/>
        <w:autoSpaceDN w:val="0"/>
        <w:adjustRightInd w:val="0"/>
        <w:snapToGrid w:val="0"/>
        <w:spacing w:line="360" w:lineRule="auto"/>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2</w:t>
      </w:r>
      <w:r>
        <w:rPr>
          <w:rFonts w:hint="eastAsia" w:ascii="仿宋_GB2312" w:hAnsi="仿宋_GB2312" w:eastAsia="仿宋_GB2312" w:cs="仿宋_GB2312"/>
          <w:b/>
          <w:bCs/>
          <w:color w:val="auto"/>
          <w:kern w:val="0"/>
          <w:sz w:val="22"/>
          <w:szCs w:val="22"/>
          <w:highlight w:val="none"/>
          <w:lang w:eastAsia="zh-CN"/>
        </w:rPr>
        <w:t>.</w:t>
      </w:r>
      <w:r>
        <w:rPr>
          <w:rFonts w:hint="eastAsia" w:ascii="仿宋_GB2312" w:hAnsi="仿宋_GB2312" w:eastAsia="仿宋_GB2312" w:cs="仿宋_GB2312"/>
          <w:b/>
          <w:bCs/>
          <w:color w:val="auto"/>
          <w:kern w:val="0"/>
          <w:sz w:val="22"/>
          <w:szCs w:val="22"/>
          <w:highlight w:val="none"/>
        </w:rPr>
        <w:t>垃圾清运作业标准</w:t>
      </w:r>
    </w:p>
    <w:tbl>
      <w:tblPr>
        <w:tblStyle w:val="34"/>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6943"/>
      </w:tblGrid>
      <w:tr w14:paraId="09E3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896" w:type="dxa"/>
            <w:vAlign w:val="center"/>
          </w:tcPr>
          <w:p w14:paraId="799BE6B3">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区域/范围/事项</w:t>
            </w:r>
          </w:p>
        </w:tc>
        <w:tc>
          <w:tcPr>
            <w:tcW w:w="6943" w:type="dxa"/>
            <w:vAlign w:val="center"/>
          </w:tcPr>
          <w:p w14:paraId="37D0042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清运标准</w:t>
            </w:r>
          </w:p>
        </w:tc>
      </w:tr>
      <w:tr w14:paraId="1F8F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trPr>
        <w:tc>
          <w:tcPr>
            <w:tcW w:w="1896" w:type="dxa"/>
            <w:vAlign w:val="center"/>
          </w:tcPr>
          <w:p w14:paraId="0E4CCF4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垃圾清运</w:t>
            </w:r>
          </w:p>
        </w:tc>
        <w:tc>
          <w:tcPr>
            <w:tcW w:w="6943" w:type="dxa"/>
            <w:vAlign w:val="center"/>
          </w:tcPr>
          <w:p w14:paraId="1C6435D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垃圾日产日清，收倒过程不干扰客户正常工作和生活。</w:t>
            </w:r>
          </w:p>
          <w:p w14:paraId="57A2605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垃圾桶每日清理2次，并袋装运输；垃圾房内垃圾日产日清。</w:t>
            </w:r>
          </w:p>
          <w:p w14:paraId="5ACA71E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垃圾房、垃圾桶、果皮箱无超载、无强异味、无蚊蝇滋生、无污水横流、不影响观瞻，外表无污迹。</w:t>
            </w:r>
          </w:p>
          <w:p w14:paraId="731D440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4) 垃圾车每天冲洗1次，摆放整齐，无强异味，停放于指定地点。</w:t>
            </w:r>
          </w:p>
          <w:p w14:paraId="4B3E313F">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5) 垃圾房每天清运后彻底冲洗；垃圾桶、果皮箱每天擦拭1次（北方采暖期内自行确定频次）。</w:t>
            </w:r>
          </w:p>
          <w:p w14:paraId="032F7D0E">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6) 小区内建筑垃圾实行定点、定时堆放和定时清运。</w:t>
            </w:r>
          </w:p>
        </w:tc>
      </w:tr>
      <w:tr w14:paraId="727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1896" w:type="dxa"/>
            <w:vAlign w:val="center"/>
          </w:tcPr>
          <w:p w14:paraId="14E3BE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其他事项</w:t>
            </w:r>
          </w:p>
        </w:tc>
        <w:tc>
          <w:tcPr>
            <w:tcW w:w="6943" w:type="dxa"/>
            <w:vAlign w:val="center"/>
          </w:tcPr>
          <w:p w14:paraId="327FEB9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清洁过程中存在安全隐患或可能造成不便的，现场应设置明显标识，必要时采取有效防护措施。</w:t>
            </w:r>
          </w:p>
          <w:p w14:paraId="5216DA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公共区域无随意堆放杂物现象。</w:t>
            </w:r>
          </w:p>
          <w:p w14:paraId="5C7BDBD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各类宣传画、广告悬挂整齐、规范，无乱贴乱挂现象。</w:t>
            </w:r>
          </w:p>
        </w:tc>
      </w:tr>
    </w:tbl>
    <w:p w14:paraId="53AAC2A8">
      <w:pPr>
        <w:spacing w:line="360" w:lineRule="auto"/>
        <w:jc w:val="both"/>
        <w:outlineLvl w:val="0"/>
        <w:rPr>
          <w:rFonts w:ascii="宋体" w:hAnsi="宋体" w:cs="黑体"/>
          <w:b/>
          <w:color w:val="auto"/>
          <w:sz w:val="28"/>
          <w:szCs w:val="28"/>
          <w:highlight w:val="none"/>
          <w:shd w:val="clear" w:color="060000" w:fill="auto"/>
        </w:rPr>
      </w:pPr>
    </w:p>
    <w:p w14:paraId="0F27898C">
      <w:pPr>
        <w:spacing w:line="360" w:lineRule="auto"/>
        <w:jc w:val="center"/>
        <w:outlineLvl w:val="0"/>
        <w:rPr>
          <w:rFonts w:ascii="宋体" w:hAnsi="宋体" w:cs="黑体"/>
          <w:b/>
          <w:color w:val="auto"/>
          <w:sz w:val="48"/>
          <w:szCs w:val="48"/>
          <w:highlight w:val="none"/>
          <w:shd w:val="clear" w:color="060000" w:fill="auto"/>
        </w:rPr>
      </w:pPr>
      <w:bookmarkStart w:id="122" w:name="_Toc80800162"/>
    </w:p>
    <w:p w14:paraId="1B2E702F">
      <w:pPr>
        <w:spacing w:line="360" w:lineRule="auto"/>
        <w:jc w:val="center"/>
        <w:outlineLvl w:val="0"/>
        <w:rPr>
          <w:rFonts w:ascii="宋体" w:hAnsi="宋体" w:cs="黑体"/>
          <w:b/>
          <w:color w:val="auto"/>
          <w:sz w:val="48"/>
          <w:szCs w:val="48"/>
          <w:highlight w:val="none"/>
          <w:shd w:val="clear" w:color="060000" w:fill="auto"/>
        </w:rPr>
      </w:pPr>
      <w:bookmarkStart w:id="123" w:name="_Toc23610"/>
      <w:bookmarkStart w:id="124" w:name="_Toc15036"/>
      <w:r>
        <w:rPr>
          <w:rFonts w:ascii="宋体" w:hAnsi="宋体" w:cs="黑体"/>
          <w:b/>
          <w:color w:val="auto"/>
          <w:sz w:val="48"/>
          <w:szCs w:val="48"/>
          <w:highlight w:val="none"/>
          <w:shd w:val="clear" w:color="060000" w:fill="auto"/>
        </w:rPr>
        <w:t>第</w:t>
      </w:r>
      <w:r>
        <w:rPr>
          <w:rFonts w:hint="eastAsia" w:ascii="宋体" w:hAnsi="宋体" w:cs="黑体"/>
          <w:b/>
          <w:color w:val="auto"/>
          <w:sz w:val="48"/>
          <w:szCs w:val="48"/>
          <w:highlight w:val="none"/>
          <w:shd w:val="clear" w:color="060000" w:fill="auto"/>
        </w:rPr>
        <w:t>五</w:t>
      </w:r>
      <w:r>
        <w:rPr>
          <w:rFonts w:ascii="宋体" w:hAnsi="宋体" w:cs="黑体"/>
          <w:b/>
          <w:color w:val="auto"/>
          <w:sz w:val="48"/>
          <w:szCs w:val="48"/>
          <w:highlight w:val="none"/>
          <w:shd w:val="clear" w:color="060000" w:fill="auto"/>
        </w:rPr>
        <w:t>章</w:t>
      </w:r>
      <w:r>
        <w:rPr>
          <w:rFonts w:hint="eastAsia" w:ascii="宋体" w:hAnsi="宋体" w:cs="黑体"/>
          <w:b/>
          <w:color w:val="auto"/>
          <w:sz w:val="48"/>
          <w:szCs w:val="48"/>
          <w:highlight w:val="none"/>
          <w:shd w:val="clear" w:color="060000" w:fill="auto"/>
        </w:rPr>
        <w:t xml:space="preserve"> 投标文件格式</w:t>
      </w:r>
      <w:bookmarkEnd w:id="122"/>
      <w:bookmarkEnd w:id="123"/>
      <w:bookmarkEnd w:id="124"/>
    </w:p>
    <w:p w14:paraId="1CBF99FF">
      <w:pPr>
        <w:pStyle w:val="46"/>
        <w:ind w:firstLine="0" w:firstLineChars="0"/>
        <w:rPr>
          <w:rFonts w:ascii="宋体" w:hAnsi="宋体"/>
          <w:b/>
          <w:color w:val="auto"/>
          <w:sz w:val="32"/>
          <w:szCs w:val="32"/>
          <w:highlight w:val="none"/>
        </w:rPr>
      </w:pPr>
    </w:p>
    <w:p w14:paraId="2A3A3195">
      <w:pPr>
        <w:pStyle w:val="46"/>
        <w:ind w:firstLine="0" w:firstLineChars="0"/>
        <w:rPr>
          <w:rFonts w:ascii="宋体" w:hAnsi="宋体"/>
          <w:b/>
          <w:color w:val="auto"/>
          <w:sz w:val="32"/>
          <w:szCs w:val="32"/>
          <w:highlight w:val="none"/>
        </w:rPr>
      </w:pPr>
    </w:p>
    <w:p w14:paraId="273C56B5">
      <w:pPr>
        <w:pStyle w:val="46"/>
        <w:ind w:firstLine="0" w:firstLineChars="0"/>
        <w:rPr>
          <w:rFonts w:ascii="宋体" w:hAnsi="宋体"/>
          <w:b/>
          <w:color w:val="auto"/>
          <w:sz w:val="32"/>
          <w:szCs w:val="32"/>
          <w:highlight w:val="none"/>
        </w:rPr>
      </w:pPr>
    </w:p>
    <w:p w14:paraId="7AF9CF28">
      <w:pPr>
        <w:pStyle w:val="46"/>
        <w:ind w:firstLine="0" w:firstLineChars="0"/>
        <w:rPr>
          <w:rFonts w:ascii="宋体" w:hAnsi="宋体"/>
          <w:b/>
          <w:color w:val="auto"/>
          <w:sz w:val="32"/>
          <w:szCs w:val="32"/>
          <w:highlight w:val="none"/>
        </w:rPr>
      </w:pPr>
    </w:p>
    <w:p w14:paraId="0C549FBB">
      <w:pPr>
        <w:pStyle w:val="46"/>
        <w:ind w:firstLine="0" w:firstLineChars="0"/>
        <w:rPr>
          <w:rFonts w:ascii="宋体" w:hAnsi="宋体"/>
          <w:b/>
          <w:color w:val="auto"/>
          <w:sz w:val="32"/>
          <w:szCs w:val="32"/>
          <w:highlight w:val="none"/>
        </w:rPr>
      </w:pPr>
    </w:p>
    <w:p w14:paraId="79CF7155">
      <w:pPr>
        <w:pStyle w:val="46"/>
        <w:ind w:firstLine="0" w:firstLineChars="0"/>
        <w:rPr>
          <w:rFonts w:ascii="宋体" w:hAnsi="宋体"/>
          <w:b/>
          <w:color w:val="auto"/>
          <w:sz w:val="32"/>
          <w:szCs w:val="32"/>
          <w:highlight w:val="none"/>
        </w:rPr>
      </w:pPr>
    </w:p>
    <w:p w14:paraId="3AE9D7EC">
      <w:pPr>
        <w:pStyle w:val="46"/>
        <w:ind w:firstLine="0" w:firstLineChars="0"/>
        <w:rPr>
          <w:rFonts w:ascii="宋体" w:hAnsi="宋体"/>
          <w:b/>
          <w:color w:val="auto"/>
          <w:sz w:val="32"/>
          <w:szCs w:val="32"/>
          <w:highlight w:val="none"/>
        </w:rPr>
      </w:pPr>
    </w:p>
    <w:p w14:paraId="25102007">
      <w:pPr>
        <w:pStyle w:val="46"/>
        <w:ind w:firstLine="0" w:firstLineChars="0"/>
        <w:rPr>
          <w:rFonts w:ascii="宋体" w:hAnsi="宋体"/>
          <w:b/>
          <w:color w:val="auto"/>
          <w:sz w:val="32"/>
          <w:szCs w:val="32"/>
          <w:highlight w:val="none"/>
        </w:rPr>
      </w:pPr>
    </w:p>
    <w:p w14:paraId="6A58044C">
      <w:pPr>
        <w:pStyle w:val="46"/>
        <w:ind w:firstLine="0" w:firstLineChars="0"/>
        <w:rPr>
          <w:rFonts w:ascii="宋体" w:hAnsi="宋体"/>
          <w:b/>
          <w:color w:val="auto"/>
          <w:sz w:val="32"/>
          <w:szCs w:val="32"/>
          <w:highlight w:val="none"/>
        </w:rPr>
      </w:pPr>
    </w:p>
    <w:p w14:paraId="53F90CE7">
      <w:pPr>
        <w:pStyle w:val="46"/>
        <w:ind w:firstLine="0" w:firstLineChars="0"/>
        <w:rPr>
          <w:rFonts w:ascii="宋体" w:hAnsi="宋体"/>
          <w:b/>
          <w:color w:val="auto"/>
          <w:sz w:val="32"/>
          <w:szCs w:val="32"/>
          <w:highlight w:val="none"/>
        </w:rPr>
      </w:pPr>
    </w:p>
    <w:p w14:paraId="65FE537F">
      <w:pPr>
        <w:pStyle w:val="46"/>
        <w:ind w:firstLine="0" w:firstLineChars="0"/>
        <w:rPr>
          <w:rFonts w:ascii="宋体" w:hAnsi="宋体"/>
          <w:b/>
          <w:color w:val="auto"/>
          <w:sz w:val="32"/>
          <w:szCs w:val="32"/>
          <w:highlight w:val="none"/>
        </w:rPr>
      </w:pPr>
    </w:p>
    <w:p w14:paraId="31072954">
      <w:pPr>
        <w:pStyle w:val="46"/>
        <w:ind w:firstLine="0" w:firstLineChars="0"/>
        <w:rPr>
          <w:rFonts w:ascii="宋体" w:hAnsi="宋体"/>
          <w:b/>
          <w:color w:val="auto"/>
          <w:sz w:val="32"/>
          <w:szCs w:val="32"/>
          <w:highlight w:val="none"/>
        </w:rPr>
      </w:pPr>
    </w:p>
    <w:p w14:paraId="0626256B">
      <w:pPr>
        <w:pStyle w:val="46"/>
        <w:ind w:firstLine="0" w:firstLineChars="0"/>
        <w:rPr>
          <w:rFonts w:ascii="宋体" w:hAnsi="宋体"/>
          <w:b/>
          <w:color w:val="auto"/>
          <w:sz w:val="32"/>
          <w:szCs w:val="32"/>
          <w:highlight w:val="none"/>
        </w:rPr>
      </w:pPr>
    </w:p>
    <w:p w14:paraId="3E89D831">
      <w:pPr>
        <w:pStyle w:val="46"/>
        <w:numPr>
          <w:ilvl w:val="0"/>
          <w:numId w:val="6"/>
        </w:numPr>
        <w:ind w:firstLine="0" w:firstLineChars="0"/>
        <w:outlineLvl w:val="1"/>
        <w:rPr>
          <w:rFonts w:hint="eastAsia" w:ascii="仿宋" w:hAnsi="仿宋" w:eastAsia="仿宋"/>
          <w:b/>
          <w:color w:val="auto"/>
          <w:kern w:val="0"/>
          <w:sz w:val="28"/>
          <w:szCs w:val="28"/>
          <w:highlight w:val="none"/>
        </w:rPr>
      </w:pPr>
      <w:bookmarkStart w:id="125" w:name="_Toc4417"/>
      <w:bookmarkStart w:id="126" w:name="_Toc80800163"/>
      <w:bookmarkStart w:id="127" w:name="_Toc18806"/>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资格审查文件</w:t>
      </w:r>
      <w:bookmarkEnd w:id="125"/>
      <w:bookmarkEnd w:id="126"/>
      <w:bookmarkEnd w:id="127"/>
    </w:p>
    <w:p w14:paraId="0FA18E40">
      <w:pPr>
        <w:pStyle w:val="46"/>
        <w:numPr>
          <w:ilvl w:val="0"/>
          <w:numId w:val="0"/>
        </w:numPr>
        <w:outlineLvl w:val="1"/>
        <w:rPr>
          <w:rFonts w:hint="eastAsia" w:ascii="仿宋" w:hAnsi="仿宋" w:eastAsia="仿宋"/>
          <w:b/>
          <w:color w:val="auto"/>
          <w:kern w:val="0"/>
          <w:sz w:val="28"/>
          <w:szCs w:val="28"/>
          <w:highlight w:val="none"/>
        </w:rPr>
      </w:pPr>
    </w:p>
    <w:p w14:paraId="30EE7A9B">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50D8CCED">
      <w:pPr>
        <w:pStyle w:val="17"/>
        <w:jc w:val="center"/>
        <w:rPr>
          <w:rFonts w:ascii="黑体" w:hAnsi="黑体" w:eastAsia="黑体"/>
          <w:bCs/>
          <w:color w:val="auto"/>
          <w:sz w:val="84"/>
          <w:szCs w:val="84"/>
          <w:highlight w:val="none"/>
        </w:rPr>
      </w:pPr>
    </w:p>
    <w:p w14:paraId="0958642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D065339">
      <w:pPr>
        <w:widowControl w:val="0"/>
        <w:ind w:left="988"/>
        <w:jc w:val="center"/>
        <w:rPr>
          <w:rFonts w:ascii="宋体" w:hAnsi="宋体"/>
          <w:color w:val="auto"/>
          <w:kern w:val="0"/>
          <w:sz w:val="32"/>
          <w:szCs w:val="21"/>
          <w:highlight w:val="none"/>
          <w:u w:val="single"/>
        </w:rPr>
      </w:pPr>
    </w:p>
    <w:p w14:paraId="67BC4FB1">
      <w:pPr>
        <w:widowControl w:val="0"/>
        <w:ind w:left="988"/>
        <w:jc w:val="center"/>
        <w:rPr>
          <w:rFonts w:ascii="宋体" w:hAnsi="宋体"/>
          <w:color w:val="auto"/>
          <w:kern w:val="0"/>
          <w:sz w:val="32"/>
          <w:szCs w:val="21"/>
          <w:highlight w:val="none"/>
          <w:u w:val="single"/>
        </w:rPr>
      </w:pPr>
    </w:p>
    <w:p w14:paraId="426307C7">
      <w:pPr>
        <w:widowControl w:val="0"/>
        <w:ind w:left="0"/>
        <w:jc w:val="both"/>
        <w:rPr>
          <w:rFonts w:ascii="宋体" w:hAnsi="宋体"/>
          <w:color w:val="auto"/>
          <w:kern w:val="0"/>
          <w:sz w:val="32"/>
          <w:szCs w:val="21"/>
          <w:highlight w:val="none"/>
          <w:u w:val="single"/>
        </w:rPr>
      </w:pPr>
    </w:p>
    <w:p w14:paraId="19840699">
      <w:pPr>
        <w:widowControl w:val="0"/>
        <w:rPr>
          <w:rFonts w:ascii="宋体" w:hAnsi="宋体"/>
          <w:b/>
          <w:bCs/>
          <w:color w:val="auto"/>
          <w:kern w:val="0"/>
          <w:sz w:val="32"/>
          <w:szCs w:val="21"/>
          <w:highlight w:val="none"/>
        </w:rPr>
      </w:pPr>
    </w:p>
    <w:p w14:paraId="40E78B36">
      <w:pPr>
        <w:widowControl w:val="0"/>
        <w:rPr>
          <w:rFonts w:ascii="宋体" w:hAnsi="宋体"/>
          <w:b/>
          <w:bCs/>
          <w:color w:val="auto"/>
          <w:kern w:val="0"/>
          <w:sz w:val="32"/>
          <w:szCs w:val="21"/>
          <w:highlight w:val="none"/>
        </w:rPr>
      </w:pPr>
    </w:p>
    <w:p w14:paraId="3850CB12">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50A4E72D">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投标文件内容：</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资格审查文件</w:t>
      </w:r>
      <w:r>
        <w:rPr>
          <w:rFonts w:hint="eastAsia" w:ascii="方正小标宋简体" w:hAnsi="宋体" w:eastAsia="方正小标宋简体"/>
          <w:bCs/>
          <w:color w:val="auto"/>
          <w:kern w:val="0"/>
          <w:sz w:val="28"/>
          <w:szCs w:val="21"/>
          <w:highlight w:val="none"/>
          <w:u w:val="single"/>
        </w:rPr>
        <w:t xml:space="preserve">                 </w:t>
      </w:r>
    </w:p>
    <w:p w14:paraId="36042E3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16A09EE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06133534">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7B07155B">
      <w:pPr>
        <w:jc w:val="left"/>
        <w:rPr>
          <w:rFonts w:ascii="黑体" w:hAnsi="黑体" w:eastAsia="黑体"/>
          <w:color w:val="auto"/>
          <w:kern w:val="0"/>
          <w:sz w:val="36"/>
          <w:szCs w:val="36"/>
          <w:highlight w:val="none"/>
        </w:rPr>
      </w:pPr>
    </w:p>
    <w:p w14:paraId="25D395E4">
      <w:pPr>
        <w:jc w:val="left"/>
        <w:rPr>
          <w:rFonts w:ascii="黑体" w:hAnsi="黑体" w:eastAsia="黑体"/>
          <w:color w:val="auto"/>
          <w:kern w:val="0"/>
          <w:sz w:val="36"/>
          <w:szCs w:val="36"/>
          <w:highlight w:val="none"/>
        </w:rPr>
      </w:pPr>
    </w:p>
    <w:p w14:paraId="6394F3F4">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资格审查文件目录</w:t>
      </w:r>
    </w:p>
    <w:p w14:paraId="2376D6DE">
      <w:pPr>
        <w:adjustRightInd w:val="0"/>
        <w:snapToGrid w:val="0"/>
        <w:spacing w:line="360" w:lineRule="auto"/>
        <w:ind w:firstLine="480" w:firstLineChars="200"/>
        <w:rPr>
          <w:rFonts w:hAnsi="宋体"/>
          <w:color w:val="auto"/>
          <w:kern w:val="0"/>
          <w:sz w:val="24"/>
          <w:highlight w:val="none"/>
        </w:rPr>
      </w:pPr>
    </w:p>
    <w:p w14:paraId="43F1410E">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一、投标人营业执照；</w:t>
      </w:r>
    </w:p>
    <w:p w14:paraId="5CBC0C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二、投标人资质证书；</w:t>
      </w:r>
    </w:p>
    <w:p w14:paraId="081F75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23914C8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四、招标人要求提供的与投标人资格条件审查有关的其他证明材料（包括但不限于投标须知前附表1投标人资格要求提供的所有证明材料）： </w:t>
      </w:r>
    </w:p>
    <w:p w14:paraId="70DE709F">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7AF8B7FC">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30A8D580">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485EA75A">
      <w:pPr>
        <w:pStyle w:val="46"/>
        <w:ind w:firstLine="0" w:firstLineChars="0"/>
        <w:outlineLvl w:val="1"/>
        <w:rPr>
          <w:rFonts w:ascii="仿宋" w:hAnsi="仿宋" w:eastAsia="仿宋"/>
          <w:bCs/>
          <w:color w:val="auto"/>
          <w:kern w:val="0"/>
          <w:sz w:val="28"/>
          <w:szCs w:val="28"/>
          <w:highlight w:val="none"/>
        </w:rPr>
      </w:pPr>
      <w:r>
        <w:rPr>
          <w:rFonts w:ascii="方正小标宋简体" w:hAnsi="宋体" w:eastAsia="方正小标宋简体"/>
          <w:bCs/>
          <w:color w:val="auto"/>
          <w:kern w:val="0"/>
          <w:sz w:val="28"/>
          <w:highlight w:val="none"/>
        </w:rPr>
        <w:br w:type="page"/>
      </w:r>
      <w:bookmarkStart w:id="128" w:name="_Toc80800164"/>
      <w:bookmarkStart w:id="129" w:name="_Toc10021"/>
      <w:bookmarkStart w:id="130" w:name="_Toc1879"/>
      <w:r>
        <w:rPr>
          <w:rFonts w:hint="eastAsia" w:ascii="仿宋" w:hAnsi="仿宋" w:eastAsia="仿宋"/>
          <w:b/>
          <w:color w:val="auto"/>
          <w:kern w:val="0"/>
          <w:sz w:val="28"/>
          <w:szCs w:val="28"/>
          <w:highlight w:val="none"/>
        </w:rPr>
        <w:t>二、</w:t>
      </w:r>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投标函部分</w:t>
      </w:r>
      <w:bookmarkEnd w:id="128"/>
      <w:bookmarkEnd w:id="129"/>
      <w:bookmarkEnd w:id="130"/>
    </w:p>
    <w:p w14:paraId="1F82D1FD">
      <w:pPr>
        <w:pStyle w:val="17"/>
        <w:jc w:val="center"/>
        <w:rPr>
          <w:rFonts w:ascii="黑体" w:hAnsi="黑体" w:eastAsia="黑体"/>
          <w:bCs/>
          <w:color w:val="auto"/>
          <w:sz w:val="84"/>
          <w:szCs w:val="84"/>
          <w:highlight w:val="none"/>
        </w:rPr>
      </w:pPr>
    </w:p>
    <w:p w14:paraId="4CC5B687">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407647A">
      <w:pPr>
        <w:pStyle w:val="17"/>
        <w:jc w:val="center"/>
        <w:rPr>
          <w:rFonts w:ascii="黑体" w:hAnsi="黑体" w:eastAsia="黑体"/>
          <w:bCs/>
          <w:color w:val="auto"/>
          <w:sz w:val="84"/>
          <w:szCs w:val="84"/>
          <w:highlight w:val="none"/>
        </w:rPr>
      </w:pPr>
    </w:p>
    <w:p w14:paraId="0E46DECD">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584A703F">
      <w:pPr>
        <w:widowControl w:val="0"/>
        <w:ind w:left="988"/>
        <w:jc w:val="center"/>
        <w:rPr>
          <w:rFonts w:ascii="宋体" w:hAnsi="宋体"/>
          <w:color w:val="auto"/>
          <w:kern w:val="0"/>
          <w:sz w:val="32"/>
          <w:szCs w:val="21"/>
          <w:highlight w:val="none"/>
          <w:u w:val="single"/>
        </w:rPr>
      </w:pPr>
    </w:p>
    <w:p w14:paraId="7FAEDF96">
      <w:pPr>
        <w:widowControl w:val="0"/>
        <w:ind w:left="988"/>
        <w:jc w:val="center"/>
        <w:rPr>
          <w:rFonts w:ascii="宋体" w:hAnsi="宋体"/>
          <w:color w:val="auto"/>
          <w:kern w:val="0"/>
          <w:sz w:val="32"/>
          <w:szCs w:val="21"/>
          <w:highlight w:val="none"/>
          <w:u w:val="single"/>
        </w:rPr>
      </w:pPr>
    </w:p>
    <w:p w14:paraId="03325D8B">
      <w:pPr>
        <w:widowControl w:val="0"/>
        <w:ind w:left="988"/>
        <w:jc w:val="center"/>
        <w:rPr>
          <w:rFonts w:ascii="宋体" w:hAnsi="宋体"/>
          <w:color w:val="auto"/>
          <w:kern w:val="0"/>
          <w:sz w:val="32"/>
          <w:szCs w:val="21"/>
          <w:highlight w:val="none"/>
          <w:u w:val="single"/>
        </w:rPr>
      </w:pPr>
    </w:p>
    <w:p w14:paraId="30D1E5B2">
      <w:pPr>
        <w:widowControl w:val="0"/>
        <w:rPr>
          <w:rFonts w:ascii="宋体" w:hAnsi="宋体"/>
          <w:b/>
          <w:bCs/>
          <w:color w:val="auto"/>
          <w:kern w:val="0"/>
          <w:sz w:val="32"/>
          <w:szCs w:val="21"/>
          <w:highlight w:val="none"/>
        </w:rPr>
      </w:pPr>
    </w:p>
    <w:p w14:paraId="0943946B">
      <w:pPr>
        <w:widowControl w:val="0"/>
        <w:rPr>
          <w:rFonts w:ascii="宋体" w:hAnsi="宋体"/>
          <w:b/>
          <w:bCs/>
          <w:color w:val="auto"/>
          <w:kern w:val="0"/>
          <w:sz w:val="32"/>
          <w:szCs w:val="21"/>
          <w:highlight w:val="none"/>
        </w:rPr>
      </w:pPr>
    </w:p>
    <w:p w14:paraId="031BE177">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4A1AC19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投标函部分</w:t>
      </w:r>
      <w:r>
        <w:rPr>
          <w:rFonts w:hint="eastAsia" w:ascii="方正小标宋简体" w:hAnsi="宋体" w:eastAsia="方正小标宋简体"/>
          <w:bCs/>
          <w:color w:val="auto"/>
          <w:kern w:val="0"/>
          <w:sz w:val="28"/>
          <w:szCs w:val="21"/>
          <w:highlight w:val="none"/>
          <w:u w:val="single"/>
        </w:rPr>
        <w:t xml:space="preserve">              </w:t>
      </w:r>
    </w:p>
    <w:p w14:paraId="25EDFC7A">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7EC9EF17">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23B94DF1">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007A546">
      <w:pPr>
        <w:jc w:val="left"/>
        <w:rPr>
          <w:rFonts w:ascii="黑体" w:hAnsi="黑体" w:eastAsia="黑体"/>
          <w:color w:val="auto"/>
          <w:kern w:val="0"/>
          <w:sz w:val="36"/>
          <w:szCs w:val="36"/>
          <w:highlight w:val="none"/>
        </w:rPr>
      </w:pPr>
      <w:r>
        <w:rPr>
          <w:rFonts w:ascii="黑体" w:hAnsi="黑体" w:eastAsia="黑体"/>
          <w:color w:val="auto"/>
          <w:kern w:val="0"/>
          <w:sz w:val="36"/>
          <w:szCs w:val="36"/>
          <w:highlight w:val="none"/>
        </w:rPr>
        <w:br w:type="page"/>
      </w:r>
    </w:p>
    <w:p w14:paraId="339DDA7B">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投标函部分目录</w:t>
      </w:r>
    </w:p>
    <w:p w14:paraId="16A490A7">
      <w:pPr>
        <w:pStyle w:val="17"/>
        <w:jc w:val="center"/>
        <w:rPr>
          <w:rFonts w:ascii="楷体_GB2312"/>
          <w:b/>
          <w:bCs/>
          <w:color w:val="auto"/>
          <w:sz w:val="44"/>
          <w:highlight w:val="none"/>
        </w:rPr>
      </w:pPr>
    </w:p>
    <w:p w14:paraId="750F6F71">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一、法定代表人资格证明书</w:t>
      </w:r>
    </w:p>
    <w:p w14:paraId="66101C9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二、投标文件签署授权委托书</w:t>
      </w:r>
    </w:p>
    <w:p w14:paraId="123EEC1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三、投标函</w:t>
      </w:r>
    </w:p>
    <w:p w14:paraId="5AD966B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四、投标担保证明</w:t>
      </w:r>
    </w:p>
    <w:p w14:paraId="51EE74F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五、廉洁投标承诺书</w:t>
      </w:r>
    </w:p>
    <w:p w14:paraId="0E1013C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六、招标文件要求投标人提交的其他资料：</w:t>
      </w:r>
    </w:p>
    <w:p w14:paraId="1DA5584A">
      <w:pPr>
        <w:adjustRightInd w:val="0"/>
        <w:snapToGrid w:val="0"/>
        <w:spacing w:line="560" w:lineRule="exact"/>
        <w:ind w:firstLine="560" w:firstLineChars="200"/>
        <w:rPr>
          <w:rFonts w:ascii="仿宋_GB2312" w:hAnsi="宋体" w:eastAsia="仿宋_GB2312"/>
          <w:color w:val="auto"/>
          <w:kern w:val="0"/>
          <w:sz w:val="28"/>
          <w:szCs w:val="28"/>
          <w:highlight w:val="none"/>
        </w:rPr>
      </w:pPr>
      <w:r>
        <w:rPr>
          <w:rFonts w:hint="eastAsia" w:ascii="仿宋_GB2312" w:hAnsi="宋体" w:eastAsia="仿宋_GB2312"/>
          <w:color w:val="auto"/>
          <w:kern w:val="0"/>
          <w:sz w:val="28"/>
          <w:szCs w:val="28"/>
          <w:highlight w:val="none"/>
          <w:u w:val="single"/>
        </w:rPr>
        <w:t xml:space="preserve">                                             </w:t>
      </w:r>
    </w:p>
    <w:p w14:paraId="27507B1E">
      <w:pPr>
        <w:adjustRightInd w:val="0"/>
        <w:snapToGrid w:val="0"/>
        <w:spacing w:line="560" w:lineRule="exact"/>
        <w:ind w:firstLine="560" w:firstLineChars="200"/>
        <w:rPr>
          <w:rFonts w:ascii="仿宋_GB2312" w:hAnsi="宋体" w:eastAsia="仿宋_GB2312"/>
          <w:color w:val="auto"/>
          <w:kern w:val="0"/>
          <w:sz w:val="28"/>
          <w:szCs w:val="28"/>
          <w:highlight w:val="none"/>
          <w:u w:val="single"/>
        </w:rPr>
      </w:pPr>
      <w:r>
        <w:rPr>
          <w:rFonts w:hint="eastAsia" w:ascii="仿宋_GB2312" w:hAnsi="宋体" w:eastAsia="仿宋_GB2312"/>
          <w:color w:val="auto"/>
          <w:kern w:val="0"/>
          <w:sz w:val="28"/>
          <w:szCs w:val="28"/>
          <w:highlight w:val="none"/>
          <w:u w:val="single"/>
        </w:rPr>
        <w:t xml:space="preserve">                                              </w:t>
      </w:r>
    </w:p>
    <w:p w14:paraId="2BECF000">
      <w:pPr>
        <w:adjustRightInd w:val="0"/>
        <w:snapToGrid w:val="0"/>
        <w:spacing w:line="360" w:lineRule="auto"/>
        <w:jc w:val="center"/>
        <w:rPr>
          <w:rFonts w:ascii="黑体" w:hAnsi="黑体" w:eastAsia="黑体"/>
          <w:color w:val="auto"/>
          <w:kern w:val="0"/>
          <w:sz w:val="36"/>
          <w:szCs w:val="36"/>
          <w:highlight w:val="none"/>
        </w:rPr>
      </w:pPr>
      <w:r>
        <w:rPr>
          <w:rFonts w:ascii="宋体" w:hAnsi="宋体"/>
          <w:b/>
          <w:color w:val="auto"/>
          <w:sz w:val="32"/>
          <w:szCs w:val="32"/>
          <w:highlight w:val="none"/>
        </w:rPr>
        <w:br w:type="page"/>
      </w:r>
      <w:r>
        <w:rPr>
          <w:rFonts w:hint="eastAsia" w:ascii="黑体" w:hAnsi="黑体" w:eastAsia="黑体"/>
          <w:color w:val="auto"/>
          <w:kern w:val="0"/>
          <w:sz w:val="36"/>
          <w:szCs w:val="36"/>
          <w:highlight w:val="none"/>
        </w:rPr>
        <w:t>法定代表人资格证明书</w:t>
      </w:r>
    </w:p>
    <w:p w14:paraId="22621B91">
      <w:pPr>
        <w:pStyle w:val="17"/>
        <w:spacing w:line="360" w:lineRule="auto"/>
        <w:ind w:firstLine="480" w:firstLineChars="200"/>
        <w:rPr>
          <w:color w:val="auto"/>
          <w:sz w:val="24"/>
          <w:highlight w:val="none"/>
        </w:rPr>
      </w:pPr>
    </w:p>
    <w:p w14:paraId="33C68851">
      <w:pPr>
        <w:pStyle w:val="17"/>
        <w:spacing w:line="360" w:lineRule="auto"/>
        <w:ind w:left="279" w:leftChars="133"/>
        <w:rPr>
          <w:color w:val="auto"/>
          <w:sz w:val="28"/>
          <w:highlight w:val="none"/>
        </w:rPr>
      </w:pPr>
    </w:p>
    <w:p w14:paraId="23A1A03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单位名称：</w:t>
      </w:r>
      <w:r>
        <w:rPr>
          <w:rFonts w:hint="eastAsia" w:ascii="仿宋" w:hAnsi="仿宋" w:eastAsia="仿宋"/>
          <w:color w:val="auto"/>
          <w:sz w:val="28"/>
          <w:szCs w:val="28"/>
          <w:highlight w:val="none"/>
          <w:u w:val="single"/>
        </w:rPr>
        <w:t xml:space="preserve">                                                      </w:t>
      </w:r>
    </w:p>
    <w:p w14:paraId="5D3F07B5">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地    址：</w:t>
      </w:r>
      <w:r>
        <w:rPr>
          <w:rFonts w:hint="eastAsia" w:ascii="仿宋" w:hAnsi="仿宋" w:eastAsia="仿宋"/>
          <w:color w:val="auto"/>
          <w:sz w:val="28"/>
          <w:szCs w:val="28"/>
          <w:highlight w:val="none"/>
          <w:u w:val="single"/>
        </w:rPr>
        <w:t xml:space="preserve">                                                      </w:t>
      </w:r>
    </w:p>
    <w:p w14:paraId="141FBD8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姓名：</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年龄：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职务：</w:t>
      </w:r>
      <w:r>
        <w:rPr>
          <w:rFonts w:hint="eastAsia" w:ascii="仿宋" w:hAnsi="仿宋" w:eastAsia="仿宋"/>
          <w:color w:val="auto"/>
          <w:sz w:val="28"/>
          <w:szCs w:val="28"/>
          <w:highlight w:val="none"/>
          <w:u w:val="single"/>
        </w:rPr>
        <w:t xml:space="preserve">               </w:t>
      </w:r>
    </w:p>
    <w:p w14:paraId="2F16FB0C">
      <w:pPr>
        <w:pStyle w:val="17"/>
        <w:spacing w:line="480" w:lineRule="auto"/>
        <w:ind w:left="279" w:leftChars="133"/>
        <w:rPr>
          <w:rFonts w:ascii="仿宋" w:hAnsi="仿宋" w:eastAsia="仿宋"/>
          <w:color w:val="auto"/>
          <w:sz w:val="28"/>
          <w:szCs w:val="28"/>
          <w:highlight w:val="none"/>
        </w:rPr>
      </w:pPr>
      <w:r>
        <w:rPr>
          <w:rFonts w:hint="eastAsia" w:ascii="仿宋" w:hAnsi="仿宋" w:eastAsia="仿宋"/>
          <w:color w:val="auto"/>
          <w:sz w:val="28"/>
          <w:szCs w:val="28"/>
          <w:highlight w:val="none"/>
        </w:rPr>
        <w:t>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的法定代表人。</w:t>
      </w:r>
    </w:p>
    <w:p w14:paraId="5B26A63D">
      <w:pPr>
        <w:pStyle w:val="17"/>
        <w:spacing w:line="480" w:lineRule="auto"/>
        <w:ind w:left="359" w:leftChars="171"/>
        <w:rPr>
          <w:rFonts w:ascii="仿宋" w:hAnsi="仿宋" w:eastAsia="仿宋"/>
          <w:color w:val="auto"/>
          <w:sz w:val="28"/>
          <w:szCs w:val="28"/>
          <w:highlight w:val="none"/>
        </w:rPr>
      </w:pPr>
      <w:r>
        <w:rPr>
          <w:rFonts w:hint="eastAsia" w:ascii="仿宋" w:hAnsi="仿宋" w:eastAsia="仿宋"/>
          <w:color w:val="auto"/>
          <w:sz w:val="28"/>
          <w:szCs w:val="28"/>
          <w:highlight w:val="none"/>
        </w:rPr>
        <w:t>特此证明。</w:t>
      </w:r>
    </w:p>
    <w:p w14:paraId="142D6E4C">
      <w:pPr>
        <w:pStyle w:val="17"/>
        <w:spacing w:line="480" w:lineRule="auto"/>
        <w:ind w:left="359" w:leftChars="171"/>
        <w:rPr>
          <w:rFonts w:ascii="仿宋" w:hAnsi="仿宋" w:eastAsia="仿宋"/>
          <w:color w:val="auto"/>
          <w:sz w:val="28"/>
          <w:szCs w:val="28"/>
          <w:highlight w:val="none"/>
        </w:rPr>
      </w:pPr>
    </w:p>
    <w:p w14:paraId="0C5F307C">
      <w:pPr>
        <w:tabs>
          <w:tab w:val="left" w:pos="7740"/>
        </w:tabs>
        <w:rPr>
          <w:rFonts w:ascii="仿宋" w:hAnsi="仿宋" w:eastAsia="仿宋" w:cs="仿宋_GB2312"/>
          <w:color w:val="auto"/>
          <w:sz w:val="28"/>
          <w:szCs w:val="28"/>
          <w:highlight w:val="none"/>
        </w:rPr>
      </w:pPr>
    </w:p>
    <w:tbl>
      <w:tblPr>
        <w:tblStyle w:val="34"/>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3"/>
      </w:tblGrid>
      <w:tr w14:paraId="6FB0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8763" w:type="dxa"/>
            <w:vAlign w:val="center"/>
          </w:tcPr>
          <w:p w14:paraId="7942BC28">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粘贴法定代表人身份证复印件</w:t>
            </w:r>
          </w:p>
        </w:tc>
      </w:tr>
    </w:tbl>
    <w:p w14:paraId="755D577B">
      <w:pPr>
        <w:tabs>
          <w:tab w:val="left" w:pos="7740"/>
        </w:tabs>
        <w:rPr>
          <w:rFonts w:ascii="仿宋" w:hAnsi="仿宋" w:eastAsia="仿宋" w:cs="仿宋_GB2312"/>
          <w:color w:val="auto"/>
          <w:sz w:val="28"/>
          <w:szCs w:val="28"/>
          <w:highlight w:val="none"/>
        </w:rPr>
      </w:pPr>
    </w:p>
    <w:p w14:paraId="057F0DE2">
      <w:pPr>
        <w:pStyle w:val="17"/>
        <w:spacing w:line="480" w:lineRule="auto"/>
        <w:ind w:left="133" w:firstLine="720"/>
        <w:rPr>
          <w:rFonts w:ascii="仿宋" w:hAnsi="仿宋" w:eastAsia="仿宋"/>
          <w:color w:val="auto"/>
          <w:sz w:val="28"/>
          <w:szCs w:val="28"/>
          <w:highlight w:val="none"/>
        </w:rPr>
      </w:pPr>
    </w:p>
    <w:p w14:paraId="7E21B889">
      <w:pPr>
        <w:pStyle w:val="17"/>
        <w:spacing w:line="480" w:lineRule="auto"/>
        <w:ind w:left="133" w:firstLine="1470" w:firstLineChars="52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237085E2">
      <w:pPr>
        <w:pStyle w:val="17"/>
        <w:spacing w:line="480" w:lineRule="auto"/>
        <w:ind w:left="133" w:firstLine="1470" w:firstLineChars="525"/>
        <w:rPr>
          <w:rFonts w:ascii="仿宋" w:hAnsi="仿宋" w:eastAsia="仿宋"/>
          <w:color w:val="auto"/>
          <w:sz w:val="28"/>
          <w:szCs w:val="28"/>
          <w:highlight w:val="none"/>
          <w:u w:val="single"/>
        </w:rPr>
      </w:pPr>
    </w:p>
    <w:p w14:paraId="4B7F5C47">
      <w:pPr>
        <w:pStyle w:val="17"/>
        <w:spacing w:line="480" w:lineRule="auto"/>
        <w:ind w:left="133" w:firstLine="1470" w:firstLineChars="525"/>
        <w:rPr>
          <w:rFonts w:ascii="仿宋" w:hAnsi="仿宋" w:eastAsia="仿宋"/>
          <w:color w:val="auto"/>
          <w:sz w:val="28"/>
          <w:szCs w:val="28"/>
          <w:highlight w:val="none"/>
        </w:rPr>
      </w:pPr>
      <w:r>
        <w:rPr>
          <w:rFonts w:hint="eastAsia" w:ascii="仿宋" w:hAnsi="仿宋" w:eastAsia="仿宋"/>
          <w:color w:val="auto"/>
          <w:sz w:val="28"/>
          <w:szCs w:val="28"/>
          <w:highlight w:val="none"/>
        </w:rPr>
        <w:t>日         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0C0C8D30">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投标文件签署授权委托书</w:t>
      </w:r>
    </w:p>
    <w:p w14:paraId="211E39F1">
      <w:pPr>
        <w:pStyle w:val="17"/>
        <w:spacing w:afterLines="50" w:line="440" w:lineRule="exact"/>
        <w:jc w:val="center"/>
        <w:rPr>
          <w:rFonts w:ascii="华文细黑" w:hAnsi="宋体" w:eastAsia="华文细黑"/>
          <w:color w:val="auto"/>
          <w:sz w:val="44"/>
          <w:highlight w:val="none"/>
        </w:rPr>
      </w:pPr>
    </w:p>
    <w:p w14:paraId="28DC9C2C">
      <w:pPr>
        <w:pStyle w:val="17"/>
        <w:spacing w:line="560" w:lineRule="exact"/>
        <w:ind w:left="178" w:leftChars="85"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本授权委托书声明：我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(投标人名称)的法定代表人，现授权委托</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(单位名称)的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(姓名)为我公司签署</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投标文件的法定代表人的授权委托代理人，我承认代理人全权代表我所签署的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投标文件的内容。</w:t>
      </w:r>
    </w:p>
    <w:p w14:paraId="78885802">
      <w:pPr>
        <w:pStyle w:val="17"/>
        <w:spacing w:line="560" w:lineRule="exact"/>
        <w:ind w:left="178" w:leftChars="85"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代理人无转委托权，特此委托。</w:t>
      </w:r>
    </w:p>
    <w:p w14:paraId="6844CBB5">
      <w:pPr>
        <w:pStyle w:val="17"/>
        <w:spacing w:line="560" w:lineRule="exact"/>
        <w:ind w:left="85" w:firstLine="720"/>
        <w:rPr>
          <w:rFonts w:ascii="仿宋" w:hAnsi="仿宋" w:eastAsia="仿宋"/>
          <w:color w:val="auto"/>
          <w:sz w:val="28"/>
          <w:szCs w:val="28"/>
          <w:highlight w:val="none"/>
        </w:rPr>
      </w:pPr>
    </w:p>
    <w:tbl>
      <w:tblPr>
        <w:tblStyle w:val="34"/>
        <w:tblW w:w="8465" w:type="dxa"/>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5"/>
      </w:tblGrid>
      <w:tr w14:paraId="2208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trPr>
        <w:tc>
          <w:tcPr>
            <w:tcW w:w="8465" w:type="dxa"/>
            <w:vAlign w:val="center"/>
          </w:tcPr>
          <w:p w14:paraId="750A03C7">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粘贴委托代理人身份证复印件</w:t>
            </w:r>
          </w:p>
        </w:tc>
      </w:tr>
    </w:tbl>
    <w:p w14:paraId="4E9F8BEA">
      <w:pPr>
        <w:tabs>
          <w:tab w:val="left" w:pos="7740"/>
        </w:tabs>
        <w:spacing w:line="560" w:lineRule="exact"/>
        <w:ind w:firstLine="560" w:firstLineChars="200"/>
        <w:rPr>
          <w:rFonts w:ascii="仿宋" w:hAnsi="仿宋" w:eastAsia="仿宋" w:cs="仿宋_GB2312"/>
          <w:color w:val="auto"/>
          <w:sz w:val="28"/>
          <w:szCs w:val="28"/>
          <w:highlight w:val="none"/>
        </w:rPr>
      </w:pPr>
    </w:p>
    <w:p w14:paraId="6259D58B">
      <w:pPr>
        <w:pStyle w:val="17"/>
        <w:spacing w:line="560" w:lineRule="exact"/>
        <w:ind w:left="85" w:firstLine="560" w:firstLineChars="200"/>
        <w:rPr>
          <w:rFonts w:ascii="仿宋" w:hAnsi="仿宋" w:eastAsia="仿宋"/>
          <w:color w:val="auto"/>
          <w:sz w:val="28"/>
          <w:szCs w:val="28"/>
          <w:highlight w:val="none"/>
        </w:rPr>
      </w:pPr>
    </w:p>
    <w:p w14:paraId="401D94E7">
      <w:pPr>
        <w:pStyle w:val="17"/>
        <w:spacing w:line="560" w:lineRule="exact"/>
        <w:ind w:left="85" w:firstLine="560" w:firstLineChars="200"/>
        <w:rPr>
          <w:rFonts w:ascii="仿宋" w:hAnsi="仿宋" w:eastAsia="仿宋"/>
          <w:color w:val="auto"/>
          <w:sz w:val="28"/>
          <w:szCs w:val="28"/>
          <w:highlight w:val="none"/>
        </w:rPr>
      </w:pPr>
    </w:p>
    <w:p w14:paraId="3A4B8AEC">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代理人：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年龄：</w:t>
      </w:r>
      <w:r>
        <w:rPr>
          <w:rFonts w:hint="eastAsia" w:ascii="仿宋" w:hAnsi="仿宋" w:eastAsia="仿宋"/>
          <w:color w:val="auto"/>
          <w:sz w:val="28"/>
          <w:szCs w:val="28"/>
          <w:highlight w:val="none"/>
          <w:u w:val="single"/>
        </w:rPr>
        <w:t xml:space="preserve">             </w:t>
      </w:r>
    </w:p>
    <w:p w14:paraId="464B010B">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身份证号码：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职务：</w:t>
      </w:r>
      <w:r>
        <w:rPr>
          <w:rFonts w:hint="eastAsia" w:ascii="仿宋" w:hAnsi="仿宋" w:eastAsia="仿宋"/>
          <w:color w:val="auto"/>
          <w:sz w:val="28"/>
          <w:szCs w:val="28"/>
          <w:highlight w:val="none"/>
          <w:u w:val="single"/>
        </w:rPr>
        <w:t xml:space="preserve">               </w:t>
      </w:r>
    </w:p>
    <w:p w14:paraId="14FF752A">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44E93C16">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法定代表人(签字或盖章)：</w:t>
      </w:r>
      <w:r>
        <w:rPr>
          <w:rFonts w:hint="eastAsia" w:ascii="仿宋" w:hAnsi="仿宋" w:eastAsia="仿宋"/>
          <w:color w:val="auto"/>
          <w:sz w:val="28"/>
          <w:szCs w:val="28"/>
          <w:highlight w:val="none"/>
          <w:u w:val="single"/>
        </w:rPr>
        <w:t xml:space="preserve">                                 </w:t>
      </w:r>
    </w:p>
    <w:p w14:paraId="0922F722">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授权委托有效日期：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日至</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508AC800">
      <w:pPr>
        <w:pStyle w:val="17"/>
        <w:spacing w:line="560" w:lineRule="exact"/>
        <w:ind w:firstLine="480" w:firstLineChars="200"/>
        <w:rPr>
          <w:color w:val="auto"/>
          <w:sz w:val="24"/>
          <w:highlight w:val="none"/>
        </w:rPr>
      </w:pPr>
      <w:r>
        <w:rPr>
          <w:color w:val="auto"/>
          <w:sz w:val="24"/>
          <w:highlight w:val="none"/>
        </w:rPr>
        <w:br w:type="page"/>
      </w:r>
    </w:p>
    <w:p w14:paraId="408363B5">
      <w:pPr>
        <w:adjustRightInd w:val="0"/>
        <w:snapToGrid w:val="0"/>
        <w:spacing w:line="560" w:lineRule="exact"/>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函</w:t>
      </w:r>
    </w:p>
    <w:p w14:paraId="68F58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olor w:val="auto"/>
          <w:sz w:val="28"/>
          <w:szCs w:val="28"/>
          <w:highlight w:val="none"/>
          <w:u w:val="single"/>
        </w:rPr>
        <w:t xml:space="preserve">                       </w:t>
      </w:r>
    </w:p>
    <w:p w14:paraId="6B8D94D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1.根据已收到贵方的</w:t>
      </w:r>
      <w:r>
        <w:rPr>
          <w:rFonts w:hint="eastAsia" w:ascii="仿宋" w:hAnsi="仿宋" w:eastAsia="仿宋" w:cs="宋体"/>
          <w:color w:val="auto"/>
          <w:kern w:val="0"/>
          <w:sz w:val="28"/>
          <w:szCs w:val="28"/>
          <w:highlight w:val="none"/>
          <w:u w:val="single"/>
        </w:rPr>
        <w:t xml:space="preserve">                    </w:t>
      </w:r>
      <w:r>
        <w:rPr>
          <w:rFonts w:hint="eastAsia" w:ascii="仿宋" w:hAnsi="仿宋" w:eastAsia="仿宋"/>
          <w:color w:val="auto"/>
          <w:sz w:val="28"/>
          <w:szCs w:val="28"/>
          <w:highlight w:val="none"/>
        </w:rPr>
        <w:t>的招标文件，并已详细审核了全部招标文件及有关附件。</w:t>
      </w:r>
    </w:p>
    <w:p w14:paraId="2FF46E9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2.遵照《中华人民共和国招标投标法》等有关规定，经研究上述招标文件的投标须知、合同条款、需求标准、需求清单及其他有关文件后，我方承诺：愿以</w:t>
      </w:r>
    </w:p>
    <w:p w14:paraId="3EE866A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币种：</w:t>
      </w:r>
      <w:r>
        <w:rPr>
          <w:rFonts w:hint="eastAsia" w:ascii="仿宋" w:hAnsi="仿宋" w:eastAsia="仿宋"/>
          <w:color w:val="auto"/>
          <w:sz w:val="28"/>
          <w:szCs w:val="28"/>
          <w:highlight w:val="none"/>
          <w:u w:val="single"/>
        </w:rPr>
        <w:t xml:space="preserve">            </w:t>
      </w:r>
    </w:p>
    <w:p w14:paraId="1B71D8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5D570F9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(小写)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095546D9">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的投标报价并按上述合同条款、需求标准、需求清单等的要求完成上述招标项目内容并提交合格的成果文件。</w:t>
      </w:r>
    </w:p>
    <w:p w14:paraId="07B2C5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我方同意所递交的投标文件在投标须知规定的投标有效期内有效，在此期间内我方的投标有可能中标，我方将受此约束。如果在投标有效期内撤回投标或放弃中标资格，我方的投标担保将全部被没收，给贵方造成的损失超过我方投标担保金额的，贵方还有权要求我方对超过部分进行赔偿。</w:t>
      </w:r>
    </w:p>
    <w:p w14:paraId="71A06E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4.如果我方中标，我方保证按招标文件规定的服务周期，在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日历天内完成招标项目内容并提交符合招标文件要求的成果文件。</w:t>
      </w:r>
    </w:p>
    <w:p w14:paraId="33FB83E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5.除非另外达成协议并生效，贵方的中标通知书和本投标文件将成为约束双方的合同文件的组成部分。</w:t>
      </w:r>
    </w:p>
    <w:p w14:paraId="6145A02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6.我方的投标担保与本投标函同时递交。</w:t>
      </w:r>
    </w:p>
    <w:p w14:paraId="7741A71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投标担保采用：□投标保函或现金□支票□转账方式</w:t>
      </w:r>
    </w:p>
    <w:p w14:paraId="7E802B3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投标担保的币种：</w:t>
      </w:r>
      <w:r>
        <w:rPr>
          <w:rFonts w:hint="eastAsia" w:ascii="仿宋" w:hAnsi="仿宋" w:eastAsia="仿宋"/>
          <w:color w:val="auto"/>
          <w:sz w:val="28"/>
          <w:szCs w:val="28"/>
          <w:highlight w:val="none"/>
          <w:u w:val="single"/>
        </w:rPr>
        <w:t xml:space="preserve">                </w:t>
      </w:r>
    </w:p>
    <w:p w14:paraId="7240291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p>
    <w:p w14:paraId="563C1F18">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(小写) </w:t>
      </w:r>
      <w:r>
        <w:rPr>
          <w:rFonts w:hint="eastAsia" w:ascii="仿宋" w:hAnsi="仿宋" w:eastAsia="仿宋"/>
          <w:color w:val="auto"/>
          <w:sz w:val="28"/>
          <w:szCs w:val="28"/>
          <w:highlight w:val="none"/>
          <w:u w:val="single"/>
        </w:rPr>
        <w:t xml:space="preserve">                                   </w:t>
      </w:r>
    </w:p>
    <w:p w14:paraId="167ED27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如果我方中标，我方将实行项目经理负责制，并按投标文件配备项目管理班子。如未经招标人同意更换项目班子成员，招标人有权取消我公司的中标资格或单方面终止合同，由此造成的违约责任由我公司承担。</w:t>
      </w:r>
    </w:p>
    <w:p w14:paraId="51519910">
      <w:pPr>
        <w:spacing w:line="560" w:lineRule="exact"/>
        <w:ind w:firstLine="560" w:firstLineChars="200"/>
        <w:rPr>
          <w:rFonts w:ascii="仿宋" w:hAnsi="仿宋" w:eastAsia="仿宋"/>
          <w:color w:val="auto"/>
          <w:sz w:val="28"/>
          <w:szCs w:val="28"/>
          <w:highlight w:val="none"/>
        </w:rPr>
      </w:pPr>
    </w:p>
    <w:p w14:paraId="0A4625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5CA874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单位地址：</w:t>
      </w:r>
      <w:r>
        <w:rPr>
          <w:rFonts w:hint="eastAsia" w:ascii="仿宋" w:hAnsi="仿宋" w:eastAsia="仿宋"/>
          <w:color w:val="auto"/>
          <w:sz w:val="28"/>
          <w:szCs w:val="28"/>
          <w:highlight w:val="none"/>
          <w:u w:val="single"/>
        </w:rPr>
        <w:t xml:space="preserve">                                                           </w:t>
      </w:r>
    </w:p>
    <w:p w14:paraId="11DD3DD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法定代表人或其授权委托人(签字或盖章)：</w:t>
      </w:r>
      <w:r>
        <w:rPr>
          <w:rFonts w:hint="eastAsia" w:ascii="仿宋" w:hAnsi="仿宋" w:eastAsia="仿宋"/>
          <w:color w:val="auto"/>
          <w:sz w:val="28"/>
          <w:szCs w:val="28"/>
          <w:highlight w:val="none"/>
          <w:u w:val="single"/>
        </w:rPr>
        <w:t xml:space="preserve">                              </w:t>
      </w:r>
    </w:p>
    <w:p w14:paraId="4DE5DE4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邮政编码：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电话：</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传真：</w:t>
      </w:r>
      <w:r>
        <w:rPr>
          <w:rFonts w:hint="eastAsia" w:ascii="仿宋" w:hAnsi="仿宋" w:eastAsia="仿宋"/>
          <w:color w:val="auto"/>
          <w:sz w:val="28"/>
          <w:szCs w:val="28"/>
          <w:highlight w:val="none"/>
          <w:u w:val="single"/>
        </w:rPr>
        <w:t xml:space="preserve">              </w:t>
      </w:r>
    </w:p>
    <w:p w14:paraId="3A7D8B7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开户银行名称：</w:t>
      </w:r>
      <w:r>
        <w:rPr>
          <w:rFonts w:hint="eastAsia" w:ascii="仿宋" w:hAnsi="仿宋" w:eastAsia="仿宋"/>
          <w:color w:val="auto"/>
          <w:sz w:val="28"/>
          <w:szCs w:val="28"/>
          <w:highlight w:val="none"/>
          <w:u w:val="single"/>
        </w:rPr>
        <w:t xml:space="preserve">                                                       </w:t>
      </w:r>
    </w:p>
    <w:p w14:paraId="69F9F35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开户银行帐号：</w:t>
      </w:r>
      <w:r>
        <w:rPr>
          <w:rFonts w:hint="eastAsia" w:ascii="仿宋" w:hAnsi="仿宋" w:eastAsia="仿宋"/>
          <w:color w:val="auto"/>
          <w:sz w:val="28"/>
          <w:szCs w:val="28"/>
          <w:highlight w:val="none"/>
          <w:u w:val="single"/>
        </w:rPr>
        <w:t xml:space="preserve">                                                       </w:t>
      </w:r>
    </w:p>
    <w:p w14:paraId="447CA4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开户银行地址：</w:t>
      </w:r>
      <w:r>
        <w:rPr>
          <w:rFonts w:hint="eastAsia" w:ascii="仿宋" w:hAnsi="仿宋" w:eastAsia="仿宋"/>
          <w:color w:val="auto"/>
          <w:sz w:val="28"/>
          <w:szCs w:val="28"/>
          <w:highlight w:val="none"/>
          <w:u w:val="single"/>
        </w:rPr>
        <w:t xml:space="preserve">                                                       </w:t>
      </w:r>
    </w:p>
    <w:p w14:paraId="5AA402D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开户银行电话：</w:t>
      </w:r>
      <w:r>
        <w:rPr>
          <w:rFonts w:hint="eastAsia" w:ascii="仿宋" w:hAnsi="仿宋" w:eastAsia="仿宋"/>
          <w:color w:val="auto"/>
          <w:sz w:val="28"/>
          <w:szCs w:val="28"/>
          <w:highlight w:val="none"/>
          <w:u w:val="single"/>
        </w:rPr>
        <w:t xml:space="preserve">                                                       </w:t>
      </w:r>
    </w:p>
    <w:p w14:paraId="10AFA7D3">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p>
    <w:p w14:paraId="34AE4FF8">
      <w:pPr>
        <w:spacing w:line="560" w:lineRule="exact"/>
        <w:ind w:firstLine="560" w:firstLineChars="200"/>
        <w:rPr>
          <w:rFonts w:ascii="仿宋" w:hAnsi="仿宋" w:eastAsia="仿宋"/>
          <w:color w:val="auto"/>
          <w:sz w:val="28"/>
          <w:szCs w:val="28"/>
          <w:highlight w:val="none"/>
        </w:rPr>
      </w:pPr>
      <w:r>
        <w:rPr>
          <w:rFonts w:ascii="仿宋_GB2312" w:hAnsi="宋体" w:eastAsia="仿宋_GB2312"/>
          <w:color w:val="auto"/>
          <w:sz w:val="28"/>
          <w:szCs w:val="28"/>
          <w:highlight w:val="none"/>
          <w:u w:val="single"/>
        </w:rPr>
        <w:br w:type="page"/>
      </w:r>
      <w:r>
        <w:rPr>
          <w:rFonts w:hint="eastAsia" w:ascii="仿宋" w:hAnsi="仿宋" w:eastAsia="仿宋"/>
          <w:color w:val="auto"/>
          <w:sz w:val="28"/>
          <w:szCs w:val="28"/>
          <w:highlight w:val="none"/>
        </w:rPr>
        <w:t>投标保函或投标保证金缴纳凭证</w:t>
      </w:r>
    </w:p>
    <w:p w14:paraId="4901F794">
      <w:pPr>
        <w:adjustRightInd w:val="0"/>
        <w:snapToGrid w:val="0"/>
        <w:spacing w:line="560" w:lineRule="exact"/>
        <w:jc w:val="center"/>
        <w:rPr>
          <w:rFonts w:ascii="仿宋" w:hAnsi="仿宋" w:eastAsia="仿宋"/>
          <w:color w:val="auto"/>
          <w:sz w:val="28"/>
          <w:szCs w:val="28"/>
          <w:highlight w:val="none"/>
          <w:u w:val="single"/>
        </w:rPr>
      </w:pPr>
    </w:p>
    <w:p w14:paraId="238D0DBC">
      <w:pPr>
        <w:adjustRightInd w:val="0"/>
        <w:snapToGrid w:val="0"/>
        <w:spacing w:line="560" w:lineRule="exact"/>
        <w:jc w:val="center"/>
        <w:rPr>
          <w:rFonts w:ascii="仿宋" w:hAnsi="仿宋" w:eastAsia="仿宋"/>
          <w:color w:val="auto"/>
          <w:sz w:val="28"/>
          <w:szCs w:val="28"/>
          <w:highlight w:val="none"/>
          <w:u w:val="single"/>
        </w:rPr>
      </w:pPr>
    </w:p>
    <w:p w14:paraId="29CB1A34">
      <w:pPr>
        <w:adjustRightInd w:val="0"/>
        <w:snapToGrid w:val="0"/>
        <w:spacing w:line="560" w:lineRule="exact"/>
        <w:jc w:val="center"/>
        <w:rPr>
          <w:rFonts w:ascii="仿宋" w:hAnsi="仿宋" w:eastAsia="仿宋"/>
          <w:color w:val="auto"/>
          <w:sz w:val="28"/>
          <w:szCs w:val="28"/>
          <w:highlight w:val="none"/>
          <w:u w:val="single"/>
        </w:rPr>
      </w:pPr>
    </w:p>
    <w:tbl>
      <w:tblPr>
        <w:tblStyle w:val="34"/>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9"/>
      </w:tblGrid>
      <w:tr w14:paraId="2665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atLeast"/>
          <w:jc w:val="center"/>
        </w:trPr>
        <w:tc>
          <w:tcPr>
            <w:tcW w:w="9569" w:type="dxa"/>
            <w:vAlign w:val="top"/>
          </w:tcPr>
          <w:p w14:paraId="6E8E4CC8">
            <w:pPr>
              <w:spacing w:line="560" w:lineRule="exact"/>
              <w:ind w:firstLine="560" w:firstLineChars="20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（粘贴转帐或汇款的银行凭证复印件）</w:t>
            </w:r>
          </w:p>
          <w:p w14:paraId="266A7240">
            <w:pPr>
              <w:adjustRightInd w:val="0"/>
              <w:snapToGrid w:val="0"/>
              <w:spacing w:line="560" w:lineRule="exact"/>
              <w:jc w:val="center"/>
              <w:rPr>
                <w:rFonts w:ascii="仿宋" w:hAnsi="仿宋" w:eastAsia="仿宋"/>
                <w:color w:val="auto"/>
                <w:sz w:val="28"/>
                <w:szCs w:val="28"/>
                <w:highlight w:val="none"/>
                <w:u w:val="single"/>
              </w:rPr>
            </w:pPr>
          </w:p>
        </w:tc>
      </w:tr>
    </w:tbl>
    <w:p w14:paraId="3CF9741A">
      <w:pPr>
        <w:adjustRightInd w:val="0"/>
        <w:snapToGrid w:val="0"/>
        <w:spacing w:line="560" w:lineRule="exact"/>
        <w:jc w:val="center"/>
        <w:rPr>
          <w:rFonts w:ascii="黑体" w:hAnsi="黑体" w:eastAsia="黑体"/>
          <w:color w:val="auto"/>
          <w:kern w:val="0"/>
          <w:sz w:val="36"/>
          <w:szCs w:val="36"/>
          <w:highlight w:val="none"/>
        </w:rPr>
      </w:pPr>
      <w:r>
        <w:rPr>
          <w:rFonts w:ascii="仿宋_GB2312" w:hAnsi="宋体" w:eastAsia="仿宋_GB2312"/>
          <w:color w:val="auto"/>
          <w:sz w:val="28"/>
          <w:szCs w:val="28"/>
          <w:highlight w:val="none"/>
          <w:u w:val="single"/>
        </w:rPr>
        <w:br w:type="page"/>
      </w:r>
      <w:r>
        <w:rPr>
          <w:rFonts w:hint="eastAsia" w:ascii="黑体" w:hAnsi="黑体" w:eastAsia="黑体"/>
          <w:color w:val="auto"/>
          <w:kern w:val="0"/>
          <w:sz w:val="36"/>
          <w:szCs w:val="36"/>
          <w:highlight w:val="none"/>
        </w:rPr>
        <w:t>廉洁投标承诺书</w:t>
      </w:r>
    </w:p>
    <w:p w14:paraId="6396BEEC">
      <w:pPr>
        <w:pStyle w:val="46"/>
        <w:ind w:firstLine="562"/>
        <w:rPr>
          <w:rFonts w:ascii="宋体" w:hAnsi="宋体"/>
          <w:b/>
          <w:color w:val="auto"/>
          <w:kern w:val="0"/>
          <w:sz w:val="28"/>
          <w:szCs w:val="28"/>
          <w:highlight w:val="none"/>
        </w:rPr>
      </w:pPr>
    </w:p>
    <w:p w14:paraId="45787C3F">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u w:val="single"/>
        </w:rPr>
        <w:t xml:space="preserve">（招标人名称）   </w:t>
      </w:r>
      <w:r>
        <w:rPr>
          <w:rFonts w:hint="eastAsia" w:ascii="仿宋" w:hAnsi="仿宋" w:eastAsia="仿宋"/>
          <w:color w:val="auto"/>
          <w:kern w:val="0"/>
          <w:sz w:val="28"/>
          <w:szCs w:val="28"/>
          <w:highlight w:val="none"/>
        </w:rPr>
        <w:t>：</w:t>
      </w:r>
    </w:p>
    <w:p w14:paraId="30E7087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为积极配合贵单位进行的</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招标/采购工作，有效遏制不公平竞争和违规违纪问题的发生，确保招标/采购工作的公平、公正、公开，根据《中华人民共和国招标投标法》等有关法律、法规，以及政府及相关主管部门的有关条例、规定、办法等，本单位特此承诺：</w:t>
      </w:r>
    </w:p>
    <w:p w14:paraId="6C1C33A0">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一、自觉遵守招标投标相关法律法规。</w:t>
      </w:r>
    </w:p>
    <w:p w14:paraId="3C09C0D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二、主动遵照执行</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的招投标及采购规定，积极配合</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在招标及采购领域中的廉洁风险防控。</w:t>
      </w:r>
    </w:p>
    <w:p w14:paraId="1B23A517">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三、不采用不正当竞争手段妨碍、排挤其它投标单位或串通投标。</w:t>
      </w:r>
    </w:p>
    <w:p w14:paraId="5AAC3D35">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四、按照招标文件规定的方式进行投标，不隐瞒本单位投标资质的真实情况。</w:t>
      </w:r>
    </w:p>
    <w:p w14:paraId="637F5AF1">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五、在投标活动中不行贿，不给予或暗示给予招标工作人员任何不正当利益，不进行可能影响招投标公平、公正的任何活动。</w:t>
      </w:r>
    </w:p>
    <w:p w14:paraId="66F0A4E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六、在投标活动中自觉抵制来自招标工作人员的索贿行为。</w:t>
      </w:r>
    </w:p>
    <w:p w14:paraId="6BA7FD5A">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七、本单位若有违反承诺内容的行为，自愿接受相应处罚。</w:t>
      </w:r>
    </w:p>
    <w:p w14:paraId="5D1A311E">
      <w:pPr>
        <w:pStyle w:val="46"/>
        <w:spacing w:line="560" w:lineRule="exact"/>
        <w:ind w:firstLine="560"/>
        <w:rPr>
          <w:rFonts w:ascii="仿宋" w:hAnsi="仿宋" w:eastAsia="仿宋"/>
          <w:color w:val="auto"/>
          <w:kern w:val="0"/>
          <w:sz w:val="28"/>
          <w:szCs w:val="28"/>
          <w:highlight w:val="none"/>
        </w:rPr>
      </w:pPr>
    </w:p>
    <w:p w14:paraId="7F58C8F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投标单位：       （盖章）       </w:t>
      </w:r>
    </w:p>
    <w:p w14:paraId="44EA64A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法定代表人：     （签字）        </w:t>
      </w:r>
    </w:p>
    <w:p w14:paraId="3C2F96E0">
      <w:pPr>
        <w:pStyle w:val="46"/>
        <w:spacing w:line="560" w:lineRule="exact"/>
        <w:ind w:firstLine="560"/>
        <w:jc w:val="left"/>
        <w:rPr>
          <w:rFonts w:ascii="仿宋" w:hAnsi="仿宋" w:eastAsia="仿宋"/>
          <w:b/>
          <w:color w:val="auto"/>
          <w:sz w:val="28"/>
          <w:szCs w:val="28"/>
          <w:highlight w:val="none"/>
        </w:rPr>
      </w:pPr>
      <w:r>
        <w:rPr>
          <w:rFonts w:hint="eastAsia" w:ascii="仿宋" w:hAnsi="仿宋" w:eastAsia="仿宋"/>
          <w:color w:val="auto"/>
          <w:kern w:val="0"/>
          <w:sz w:val="28"/>
          <w:szCs w:val="28"/>
          <w:highlight w:val="none"/>
        </w:rPr>
        <w:t>授权委托人：     （签字）</w:t>
      </w:r>
    </w:p>
    <w:p w14:paraId="066C0619">
      <w:pPr>
        <w:spacing w:line="560" w:lineRule="exact"/>
        <w:ind w:firstLine="560" w:firstLineChars="200"/>
        <w:rPr>
          <w:rFonts w:ascii="仿宋_GB2312" w:hAnsi="宋体" w:eastAsia="仿宋_GB2312"/>
          <w:color w:val="auto"/>
          <w:sz w:val="28"/>
          <w:szCs w:val="28"/>
          <w:highlight w:val="none"/>
        </w:rPr>
      </w:pPr>
    </w:p>
    <w:p w14:paraId="2F2E4D26">
      <w:pPr>
        <w:pStyle w:val="46"/>
        <w:ind w:firstLine="0" w:firstLineChars="0"/>
        <w:outlineLvl w:val="1"/>
        <w:rPr>
          <w:rFonts w:ascii="仿宋_GB2312" w:hAnsi="宋体" w:eastAsia="仿宋_GB2312"/>
          <w:b/>
          <w:color w:val="auto"/>
          <w:kern w:val="0"/>
          <w:sz w:val="28"/>
          <w:szCs w:val="28"/>
          <w:highlight w:val="none"/>
        </w:rPr>
      </w:pPr>
      <w:bookmarkStart w:id="131" w:name="_Toc6207"/>
      <w:bookmarkStart w:id="132" w:name="_Toc80800165"/>
      <w:bookmarkStart w:id="133" w:name="_Toc5301"/>
      <w:r>
        <w:rPr>
          <w:rFonts w:hint="eastAsia" w:ascii="仿宋_GB2312" w:hAnsi="宋体" w:eastAsia="仿宋_GB2312"/>
          <w:b/>
          <w:color w:val="auto"/>
          <w:kern w:val="0"/>
          <w:sz w:val="28"/>
          <w:szCs w:val="28"/>
          <w:highlight w:val="none"/>
        </w:rPr>
        <w:t>三、投标文件格式--资信标部分</w:t>
      </w:r>
      <w:bookmarkEnd w:id="131"/>
      <w:bookmarkEnd w:id="132"/>
      <w:bookmarkEnd w:id="133"/>
    </w:p>
    <w:p w14:paraId="7C07C5C5">
      <w:pPr>
        <w:pStyle w:val="17"/>
        <w:jc w:val="center"/>
        <w:rPr>
          <w:rFonts w:hAnsi="宋体"/>
          <w:b/>
          <w:bCs/>
          <w:color w:val="auto"/>
          <w:sz w:val="72"/>
          <w:highlight w:val="none"/>
        </w:rPr>
      </w:pPr>
    </w:p>
    <w:p w14:paraId="204C6593">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91513ED">
      <w:pPr>
        <w:pStyle w:val="17"/>
        <w:jc w:val="center"/>
        <w:rPr>
          <w:rFonts w:ascii="黑体" w:hAnsi="黑体" w:eastAsia="黑体"/>
          <w:bCs/>
          <w:color w:val="auto"/>
          <w:sz w:val="84"/>
          <w:szCs w:val="84"/>
          <w:highlight w:val="none"/>
        </w:rPr>
      </w:pPr>
    </w:p>
    <w:p w14:paraId="6F195381">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8EFA6C2">
      <w:pPr>
        <w:widowControl w:val="0"/>
        <w:ind w:left="988"/>
        <w:jc w:val="center"/>
        <w:rPr>
          <w:rFonts w:ascii="宋体" w:hAnsi="宋体"/>
          <w:color w:val="auto"/>
          <w:kern w:val="0"/>
          <w:sz w:val="32"/>
          <w:szCs w:val="21"/>
          <w:highlight w:val="none"/>
          <w:u w:val="single"/>
        </w:rPr>
      </w:pPr>
    </w:p>
    <w:p w14:paraId="64DB3BE4">
      <w:pPr>
        <w:widowControl w:val="0"/>
        <w:ind w:left="988"/>
        <w:jc w:val="center"/>
        <w:rPr>
          <w:rFonts w:ascii="宋体" w:hAnsi="宋体"/>
          <w:color w:val="auto"/>
          <w:kern w:val="0"/>
          <w:sz w:val="32"/>
          <w:szCs w:val="21"/>
          <w:highlight w:val="none"/>
          <w:u w:val="single"/>
        </w:rPr>
      </w:pPr>
    </w:p>
    <w:p w14:paraId="1DBAEF4C">
      <w:pPr>
        <w:widowControl w:val="0"/>
        <w:ind w:left="988"/>
        <w:jc w:val="center"/>
        <w:rPr>
          <w:rFonts w:ascii="宋体" w:hAnsi="宋体"/>
          <w:color w:val="auto"/>
          <w:kern w:val="0"/>
          <w:sz w:val="32"/>
          <w:szCs w:val="21"/>
          <w:highlight w:val="none"/>
          <w:u w:val="single"/>
        </w:rPr>
      </w:pPr>
    </w:p>
    <w:p w14:paraId="59864551">
      <w:pPr>
        <w:widowControl w:val="0"/>
        <w:rPr>
          <w:rFonts w:ascii="宋体" w:hAnsi="宋体"/>
          <w:b/>
          <w:bCs/>
          <w:color w:val="auto"/>
          <w:kern w:val="0"/>
          <w:sz w:val="32"/>
          <w:szCs w:val="21"/>
          <w:highlight w:val="none"/>
        </w:rPr>
      </w:pPr>
    </w:p>
    <w:p w14:paraId="08F13B01">
      <w:pPr>
        <w:widowControl w:val="0"/>
        <w:rPr>
          <w:rFonts w:ascii="宋体" w:hAnsi="宋体"/>
          <w:b/>
          <w:bCs/>
          <w:color w:val="auto"/>
          <w:kern w:val="0"/>
          <w:sz w:val="32"/>
          <w:szCs w:val="21"/>
          <w:highlight w:val="none"/>
        </w:rPr>
      </w:pPr>
    </w:p>
    <w:p w14:paraId="4D701080">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01D8FB8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资信标部分</w:t>
      </w:r>
      <w:r>
        <w:rPr>
          <w:rFonts w:hint="eastAsia" w:ascii="方正小标宋简体" w:hAnsi="宋体" w:eastAsia="方正小标宋简体"/>
          <w:bCs/>
          <w:color w:val="auto"/>
          <w:kern w:val="0"/>
          <w:sz w:val="28"/>
          <w:szCs w:val="21"/>
          <w:highlight w:val="none"/>
          <w:u w:val="single"/>
        </w:rPr>
        <w:t xml:space="preserve">              </w:t>
      </w:r>
    </w:p>
    <w:p w14:paraId="28CE21A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36400C14">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60774F82">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3C4784A">
      <w:pPr>
        <w:widowControl w:val="0"/>
        <w:spacing w:line="480" w:lineRule="auto"/>
        <w:ind w:firstLine="843" w:firstLineChars="300"/>
        <w:rPr>
          <w:rFonts w:ascii="宋体" w:hAnsi="宋体"/>
          <w:b/>
          <w:bCs/>
          <w:color w:val="auto"/>
          <w:kern w:val="0"/>
          <w:sz w:val="28"/>
          <w:szCs w:val="21"/>
          <w:highlight w:val="none"/>
        </w:rPr>
      </w:pPr>
    </w:p>
    <w:p w14:paraId="5C66335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资信标投标文件目录</w:t>
      </w:r>
    </w:p>
    <w:p w14:paraId="090F37A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1、投标人资质情况；</w:t>
      </w:r>
    </w:p>
    <w:p w14:paraId="2481391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2、投标人注册资金、办公场地、员工数量、机械设备等规模情况；</w:t>
      </w:r>
    </w:p>
    <w:p w14:paraId="3D0350B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3、投标人营业收入等财务状况；</w:t>
      </w:r>
    </w:p>
    <w:p w14:paraId="0C82CE82">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4、投标人纳税情况；</w:t>
      </w:r>
    </w:p>
    <w:p w14:paraId="48C86F06">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5、投标人业绩情况；</w:t>
      </w:r>
    </w:p>
    <w:p w14:paraId="2B6F3511">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6、投标人获奖情况；</w:t>
      </w:r>
    </w:p>
    <w:p w14:paraId="5F2A4580">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7、</w:t>
      </w:r>
      <w:r>
        <w:rPr>
          <w:rFonts w:hint="eastAsia" w:ascii="仿宋" w:hAnsi="仿宋" w:eastAsia="仿宋"/>
          <w:bCs/>
          <w:color w:val="auto"/>
          <w:kern w:val="0"/>
          <w:sz w:val="28"/>
          <w:szCs w:val="28"/>
          <w:highlight w:val="none"/>
        </w:rPr>
        <w:t>招标人要求提供的与投标人资信评审有关的其他材料：</w:t>
      </w:r>
    </w:p>
    <w:p w14:paraId="7DCFA469">
      <w:pPr>
        <w:pStyle w:val="46"/>
        <w:spacing w:line="560" w:lineRule="exact"/>
        <w:ind w:firstLine="560"/>
        <w:jc w:val="left"/>
        <w:rPr>
          <w:rFonts w:ascii="仿宋" w:hAnsi="仿宋" w:eastAsia="仿宋"/>
          <w:bCs/>
          <w:color w:val="auto"/>
          <w:kern w:val="0"/>
          <w:sz w:val="28"/>
          <w:szCs w:val="28"/>
          <w:highlight w:val="none"/>
          <w:u w:val="single"/>
        </w:rPr>
      </w:pPr>
      <w:r>
        <w:rPr>
          <w:rFonts w:hint="eastAsia" w:ascii="仿宋" w:hAnsi="仿宋" w:eastAsia="仿宋"/>
          <w:bCs/>
          <w:color w:val="auto"/>
          <w:kern w:val="0"/>
          <w:sz w:val="28"/>
          <w:szCs w:val="28"/>
          <w:highlight w:val="none"/>
          <w:u w:val="single"/>
        </w:rPr>
        <w:t xml:space="preserve">                                                      </w:t>
      </w:r>
    </w:p>
    <w:p w14:paraId="4782B2CC">
      <w:pPr>
        <w:pStyle w:val="46"/>
        <w:spacing w:line="560" w:lineRule="exact"/>
        <w:ind w:firstLine="560"/>
        <w:jc w:val="center"/>
        <w:rPr>
          <w:rFonts w:ascii="仿宋" w:hAnsi="仿宋" w:eastAsia="仿宋"/>
          <w:color w:val="auto"/>
          <w:kern w:val="0"/>
          <w:sz w:val="28"/>
          <w:szCs w:val="28"/>
          <w:highlight w:val="none"/>
        </w:rPr>
      </w:pPr>
      <w:r>
        <w:rPr>
          <w:rFonts w:hint="eastAsia" w:ascii="仿宋" w:hAnsi="仿宋" w:eastAsia="仿宋"/>
          <w:color w:val="auto"/>
          <w:sz w:val="28"/>
          <w:highlight w:val="none"/>
        </w:rPr>
        <w:t>（无格式要求，投标人自拟）</w:t>
      </w:r>
    </w:p>
    <w:p w14:paraId="1498EF36">
      <w:pPr>
        <w:pStyle w:val="46"/>
        <w:ind w:firstLine="0" w:firstLineChars="0"/>
        <w:outlineLvl w:val="1"/>
        <w:rPr>
          <w:rFonts w:ascii="仿宋" w:hAnsi="仿宋" w:eastAsia="仿宋"/>
          <w:b/>
          <w:color w:val="auto"/>
          <w:kern w:val="0"/>
          <w:sz w:val="28"/>
          <w:szCs w:val="28"/>
          <w:highlight w:val="none"/>
        </w:rPr>
      </w:pPr>
      <w:r>
        <w:rPr>
          <w:rFonts w:ascii="仿宋_GB2312" w:hAnsi="宋体" w:eastAsia="仿宋_GB2312"/>
          <w:color w:val="auto"/>
          <w:kern w:val="0"/>
          <w:sz w:val="28"/>
          <w:szCs w:val="28"/>
          <w:highlight w:val="none"/>
        </w:rPr>
        <w:br w:type="page"/>
      </w:r>
      <w:bookmarkStart w:id="134" w:name="_Toc80800166"/>
      <w:bookmarkStart w:id="135" w:name="_Toc2971"/>
      <w:bookmarkStart w:id="136" w:name="_Toc13308"/>
      <w:r>
        <w:rPr>
          <w:rFonts w:hint="eastAsia" w:ascii="仿宋" w:hAnsi="仿宋" w:eastAsia="仿宋"/>
          <w:b/>
          <w:color w:val="auto"/>
          <w:kern w:val="0"/>
          <w:sz w:val="28"/>
          <w:szCs w:val="28"/>
          <w:highlight w:val="none"/>
        </w:rPr>
        <w:t>四、投标文件格式--技术标部分</w:t>
      </w:r>
      <w:bookmarkEnd w:id="134"/>
      <w:bookmarkEnd w:id="135"/>
      <w:bookmarkEnd w:id="136"/>
    </w:p>
    <w:p w14:paraId="1C84857D">
      <w:pPr>
        <w:pStyle w:val="17"/>
        <w:jc w:val="center"/>
        <w:rPr>
          <w:rFonts w:ascii="黑体" w:hAnsi="黑体" w:eastAsia="黑体"/>
          <w:bCs/>
          <w:color w:val="auto"/>
          <w:sz w:val="84"/>
          <w:szCs w:val="84"/>
          <w:highlight w:val="none"/>
        </w:rPr>
      </w:pPr>
    </w:p>
    <w:p w14:paraId="6B7097EA">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11F136AC">
      <w:pPr>
        <w:pStyle w:val="17"/>
        <w:jc w:val="center"/>
        <w:rPr>
          <w:rFonts w:ascii="黑体" w:hAnsi="黑体" w:eastAsia="黑体"/>
          <w:bCs/>
          <w:color w:val="auto"/>
          <w:sz w:val="84"/>
          <w:szCs w:val="84"/>
          <w:highlight w:val="none"/>
        </w:rPr>
      </w:pPr>
    </w:p>
    <w:p w14:paraId="325F25F4">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76553FA3">
      <w:pPr>
        <w:widowControl w:val="0"/>
        <w:ind w:left="988"/>
        <w:jc w:val="center"/>
        <w:rPr>
          <w:rFonts w:ascii="宋体" w:hAnsi="宋体"/>
          <w:color w:val="auto"/>
          <w:kern w:val="0"/>
          <w:sz w:val="32"/>
          <w:szCs w:val="21"/>
          <w:highlight w:val="none"/>
          <w:u w:val="single"/>
        </w:rPr>
      </w:pPr>
    </w:p>
    <w:p w14:paraId="2E4D59CA">
      <w:pPr>
        <w:widowControl w:val="0"/>
        <w:ind w:left="988"/>
        <w:jc w:val="center"/>
        <w:rPr>
          <w:rFonts w:ascii="宋体" w:hAnsi="宋体"/>
          <w:color w:val="auto"/>
          <w:kern w:val="0"/>
          <w:sz w:val="32"/>
          <w:szCs w:val="21"/>
          <w:highlight w:val="none"/>
          <w:u w:val="single"/>
        </w:rPr>
      </w:pPr>
    </w:p>
    <w:p w14:paraId="4C47A300">
      <w:pPr>
        <w:widowControl w:val="0"/>
        <w:ind w:left="988"/>
        <w:jc w:val="center"/>
        <w:rPr>
          <w:rFonts w:ascii="宋体" w:hAnsi="宋体"/>
          <w:color w:val="auto"/>
          <w:kern w:val="0"/>
          <w:sz w:val="32"/>
          <w:szCs w:val="21"/>
          <w:highlight w:val="none"/>
          <w:u w:val="single"/>
        </w:rPr>
      </w:pPr>
    </w:p>
    <w:p w14:paraId="6148ADA2">
      <w:pPr>
        <w:widowControl w:val="0"/>
        <w:rPr>
          <w:rFonts w:ascii="宋体" w:hAnsi="宋体"/>
          <w:b/>
          <w:bCs/>
          <w:color w:val="auto"/>
          <w:kern w:val="0"/>
          <w:sz w:val="32"/>
          <w:szCs w:val="21"/>
          <w:highlight w:val="none"/>
        </w:rPr>
      </w:pPr>
    </w:p>
    <w:p w14:paraId="5DCD671B">
      <w:pPr>
        <w:widowControl w:val="0"/>
        <w:rPr>
          <w:rFonts w:ascii="宋体" w:hAnsi="宋体"/>
          <w:b/>
          <w:bCs/>
          <w:color w:val="auto"/>
          <w:kern w:val="0"/>
          <w:sz w:val="32"/>
          <w:szCs w:val="21"/>
          <w:highlight w:val="none"/>
        </w:rPr>
      </w:pPr>
    </w:p>
    <w:p w14:paraId="52037878">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28B6EEF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技术标部分</w:t>
      </w:r>
      <w:r>
        <w:rPr>
          <w:rFonts w:hint="eastAsia" w:ascii="方正小标宋简体" w:hAnsi="宋体" w:eastAsia="方正小标宋简体"/>
          <w:bCs/>
          <w:color w:val="auto"/>
          <w:kern w:val="0"/>
          <w:sz w:val="28"/>
          <w:szCs w:val="21"/>
          <w:highlight w:val="none"/>
          <w:u w:val="single"/>
        </w:rPr>
        <w:t xml:space="preserve">              </w:t>
      </w:r>
    </w:p>
    <w:p w14:paraId="396A1DBF">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11575C1C">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7301CE79">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112EA4A0">
      <w:pPr>
        <w:pStyle w:val="14"/>
        <w:spacing w:line="276" w:lineRule="auto"/>
        <w:ind w:firstLine="0" w:firstLineChars="0"/>
        <w:contextualSpacing/>
        <w:rPr>
          <w:rFonts w:ascii="宋体" w:hAnsi="宋体"/>
          <w:b/>
          <w:color w:val="auto"/>
          <w:highlight w:val="none"/>
        </w:rPr>
        <w:sectPr>
          <w:pgSz w:w="12240" w:h="15840"/>
          <w:pgMar w:top="1440" w:right="1797" w:bottom="1440" w:left="1797" w:header="720" w:footer="720" w:gutter="0"/>
          <w:pgNumType w:fmt="decimal"/>
          <w:cols w:space="720" w:num="1"/>
        </w:sectPr>
      </w:pPr>
    </w:p>
    <w:p w14:paraId="5025ABB0">
      <w:pPr>
        <w:pStyle w:val="17"/>
        <w:spacing w:line="360" w:lineRule="auto"/>
        <w:ind w:firstLine="660"/>
        <w:jc w:val="center"/>
        <w:rPr>
          <w:rFonts w:ascii="华文细黑" w:hAnsi="宋体" w:eastAsia="华文细黑"/>
          <w:color w:val="auto"/>
          <w:sz w:val="44"/>
          <w:highlight w:val="none"/>
        </w:rPr>
      </w:pPr>
      <w:r>
        <w:rPr>
          <w:rFonts w:hint="eastAsia" w:ascii="华文细黑" w:hAnsi="宋体" w:eastAsia="华文细黑"/>
          <w:color w:val="auto"/>
          <w:sz w:val="44"/>
          <w:highlight w:val="none"/>
        </w:rPr>
        <w:t>技术标部分目录</w:t>
      </w:r>
    </w:p>
    <w:p w14:paraId="72E64524">
      <w:pPr>
        <w:pStyle w:val="17"/>
        <w:spacing w:line="520" w:lineRule="exact"/>
        <w:rPr>
          <w:b/>
          <w:bCs/>
          <w:color w:val="auto"/>
          <w:sz w:val="28"/>
          <w:highlight w:val="none"/>
        </w:rPr>
      </w:pPr>
    </w:p>
    <w:p w14:paraId="1E11C4A3">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1、项目重难点分析</w:t>
      </w:r>
    </w:p>
    <w:p w14:paraId="5BF7CFAE">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2、项目实施方案</w:t>
      </w:r>
    </w:p>
    <w:p w14:paraId="1503B76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3、项目质量保证措施</w:t>
      </w:r>
    </w:p>
    <w:p w14:paraId="530DDFF1">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4、项目进度保证措施</w:t>
      </w:r>
    </w:p>
    <w:p w14:paraId="4932F21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5、项目售后服务措施</w:t>
      </w:r>
    </w:p>
    <w:p w14:paraId="4A1B2378">
      <w:pPr>
        <w:pStyle w:val="17"/>
        <w:spacing w:line="48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6、项目管理班子配备情况</w:t>
      </w:r>
    </w:p>
    <w:p w14:paraId="5154FEFD">
      <w:pPr>
        <w:pStyle w:val="17"/>
        <w:spacing w:line="480" w:lineRule="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7、现场服务设备清单（包括但不限于第四章需求任务书要求提供的品类和数量）</w:t>
      </w:r>
    </w:p>
    <w:p w14:paraId="12C91D70">
      <w:pPr>
        <w:pStyle w:val="17"/>
        <w:spacing w:line="360" w:lineRule="auto"/>
        <w:ind w:firstLine="420"/>
        <w:jc w:val="center"/>
        <w:rPr>
          <w:color w:val="auto"/>
          <w:highlight w:val="none"/>
        </w:rPr>
      </w:pPr>
      <w:r>
        <w:rPr>
          <w:rFonts w:ascii="仿宋_GB2312" w:hAnsi="宋体" w:eastAsia="仿宋_GB2312"/>
          <w:color w:val="auto"/>
          <w:sz w:val="28"/>
          <w:szCs w:val="28"/>
          <w:highlight w:val="none"/>
        </w:rPr>
        <w:br w:type="page"/>
      </w:r>
    </w:p>
    <w:p w14:paraId="1D6F44E3">
      <w:pPr>
        <w:pStyle w:val="46"/>
        <w:spacing w:line="360" w:lineRule="auto"/>
        <w:ind w:firstLine="562"/>
        <w:jc w:val="left"/>
        <w:rPr>
          <w:rFonts w:ascii="宋体" w:hAnsi="宋体"/>
          <w:b/>
          <w:color w:val="auto"/>
          <w:sz w:val="28"/>
          <w:szCs w:val="28"/>
          <w:highlight w:val="none"/>
        </w:rPr>
      </w:pPr>
    </w:p>
    <w:p w14:paraId="4FFD7ABF">
      <w:pPr>
        <w:pStyle w:val="46"/>
        <w:ind w:firstLine="0" w:firstLineChars="0"/>
        <w:outlineLvl w:val="1"/>
        <w:rPr>
          <w:rFonts w:ascii="仿宋" w:hAnsi="仿宋" w:eastAsia="仿宋"/>
          <w:b/>
          <w:color w:val="auto"/>
          <w:kern w:val="0"/>
          <w:sz w:val="28"/>
          <w:szCs w:val="28"/>
          <w:highlight w:val="none"/>
        </w:rPr>
      </w:pPr>
      <w:bookmarkStart w:id="137" w:name="_Toc15767"/>
      <w:bookmarkStart w:id="138" w:name="_Toc11735"/>
      <w:bookmarkStart w:id="139" w:name="_Toc80800167"/>
      <w:r>
        <w:rPr>
          <w:rFonts w:hint="eastAsia" w:ascii="仿宋" w:hAnsi="仿宋" w:eastAsia="仿宋"/>
          <w:b/>
          <w:color w:val="auto"/>
          <w:kern w:val="0"/>
          <w:sz w:val="28"/>
          <w:szCs w:val="28"/>
          <w:highlight w:val="none"/>
        </w:rPr>
        <w:t>五、投标文件格式</w:t>
      </w:r>
      <w:r>
        <w:rPr>
          <w:rFonts w:ascii="仿宋" w:hAnsi="仿宋" w:eastAsia="仿宋"/>
          <w:b/>
          <w:color w:val="auto"/>
          <w:kern w:val="0"/>
          <w:sz w:val="28"/>
          <w:szCs w:val="28"/>
          <w:highlight w:val="none"/>
        </w:rPr>
        <w:t>—</w:t>
      </w:r>
      <w:r>
        <w:rPr>
          <w:rFonts w:hint="eastAsia" w:ascii="仿宋" w:hAnsi="仿宋" w:eastAsia="仿宋"/>
          <w:b/>
          <w:color w:val="auto"/>
          <w:kern w:val="0"/>
          <w:sz w:val="28"/>
          <w:szCs w:val="28"/>
          <w:highlight w:val="none"/>
        </w:rPr>
        <w:t>商务标部分</w:t>
      </w:r>
      <w:bookmarkEnd w:id="137"/>
      <w:bookmarkEnd w:id="138"/>
      <w:bookmarkEnd w:id="139"/>
    </w:p>
    <w:p w14:paraId="7DDEE45A">
      <w:pPr>
        <w:pStyle w:val="17"/>
        <w:jc w:val="center"/>
        <w:rPr>
          <w:rFonts w:ascii="黑体" w:hAnsi="黑体" w:eastAsia="黑体"/>
          <w:bCs/>
          <w:color w:val="auto"/>
          <w:sz w:val="84"/>
          <w:szCs w:val="84"/>
          <w:highlight w:val="none"/>
        </w:rPr>
      </w:pPr>
    </w:p>
    <w:p w14:paraId="380BCAF9">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7B531A35">
      <w:pPr>
        <w:pStyle w:val="17"/>
        <w:jc w:val="center"/>
        <w:rPr>
          <w:rFonts w:ascii="黑体" w:hAnsi="黑体" w:eastAsia="黑体"/>
          <w:bCs/>
          <w:color w:val="auto"/>
          <w:sz w:val="84"/>
          <w:szCs w:val="84"/>
          <w:highlight w:val="none"/>
        </w:rPr>
      </w:pPr>
    </w:p>
    <w:p w14:paraId="2E54CA5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6BF96FAE">
      <w:pPr>
        <w:widowControl w:val="0"/>
        <w:ind w:left="988"/>
        <w:jc w:val="center"/>
        <w:rPr>
          <w:rFonts w:ascii="宋体" w:hAnsi="宋体"/>
          <w:color w:val="auto"/>
          <w:kern w:val="0"/>
          <w:sz w:val="32"/>
          <w:szCs w:val="21"/>
          <w:highlight w:val="none"/>
          <w:u w:val="single"/>
        </w:rPr>
      </w:pPr>
    </w:p>
    <w:p w14:paraId="6C4024D1">
      <w:pPr>
        <w:widowControl w:val="0"/>
        <w:rPr>
          <w:rFonts w:ascii="宋体" w:hAnsi="宋体"/>
          <w:b/>
          <w:bCs/>
          <w:color w:val="auto"/>
          <w:kern w:val="0"/>
          <w:sz w:val="32"/>
          <w:szCs w:val="21"/>
          <w:highlight w:val="none"/>
        </w:rPr>
      </w:pPr>
    </w:p>
    <w:p w14:paraId="112E6EE8">
      <w:pPr>
        <w:widowControl w:val="0"/>
        <w:rPr>
          <w:rFonts w:ascii="宋体" w:hAnsi="宋体"/>
          <w:b/>
          <w:bCs/>
          <w:color w:val="auto"/>
          <w:kern w:val="0"/>
          <w:sz w:val="32"/>
          <w:szCs w:val="21"/>
          <w:highlight w:val="none"/>
        </w:rPr>
      </w:pPr>
    </w:p>
    <w:p w14:paraId="2687F4CD">
      <w:pPr>
        <w:widowControl w:val="0"/>
        <w:rPr>
          <w:rFonts w:ascii="宋体" w:hAnsi="宋体"/>
          <w:b/>
          <w:bCs/>
          <w:color w:val="auto"/>
          <w:kern w:val="0"/>
          <w:sz w:val="32"/>
          <w:szCs w:val="21"/>
          <w:highlight w:val="none"/>
        </w:rPr>
      </w:pPr>
    </w:p>
    <w:p w14:paraId="72F41B85">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 w:val="0"/>
          <w:bCs/>
          <w:color w:val="auto"/>
          <w:kern w:val="0"/>
          <w:sz w:val="28"/>
          <w:szCs w:val="21"/>
          <w:highlight w:val="none"/>
        </w:rPr>
        <w:t xml:space="preserve">  </w:t>
      </w:r>
      <w:r>
        <w:rPr>
          <w:rFonts w:hint="eastAsia" w:ascii="方正小标宋简体" w:hAnsi="宋体" w:eastAsia="方正小标宋简体"/>
          <w:bCs/>
          <w:color w:val="auto"/>
          <w:kern w:val="0"/>
          <w:sz w:val="28"/>
          <w:szCs w:val="21"/>
          <w:highlight w:val="none"/>
          <w:u w:val="single"/>
        </w:rPr>
        <w:t xml:space="preserve">                                      </w:t>
      </w:r>
    </w:p>
    <w:p w14:paraId="020ABD7C">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商务标部分</w:t>
      </w:r>
      <w:r>
        <w:rPr>
          <w:rFonts w:hint="eastAsia" w:ascii="方正小标宋简体" w:hAnsi="宋体" w:eastAsia="方正小标宋简体"/>
          <w:bCs/>
          <w:color w:val="auto"/>
          <w:kern w:val="0"/>
          <w:sz w:val="28"/>
          <w:szCs w:val="21"/>
          <w:highlight w:val="none"/>
          <w:u w:val="single"/>
        </w:rPr>
        <w:t xml:space="preserve">              </w:t>
      </w:r>
    </w:p>
    <w:p w14:paraId="23773F1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63702BB5">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3926F30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60FB1C69">
      <w:pPr>
        <w:pStyle w:val="14"/>
        <w:spacing w:line="276" w:lineRule="auto"/>
        <w:ind w:firstLine="0" w:firstLineChars="0"/>
        <w:contextualSpacing/>
        <w:rPr>
          <w:rFonts w:ascii="宋体" w:hAnsi="宋体"/>
          <w:b/>
          <w:color w:val="auto"/>
          <w:highlight w:val="none"/>
        </w:rPr>
        <w:sectPr>
          <w:headerReference r:id="rId13" w:type="default"/>
          <w:footerReference r:id="rId14" w:type="default"/>
          <w:pgSz w:w="12240" w:h="15840"/>
          <w:pgMar w:top="1440" w:right="1797" w:bottom="1440" w:left="1797" w:header="720" w:footer="720" w:gutter="0"/>
          <w:pgNumType w:fmt="decimal"/>
          <w:cols w:space="720" w:num="1"/>
        </w:sectPr>
      </w:pPr>
    </w:p>
    <w:p w14:paraId="0D20A22E">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商务标投标文件目录</w:t>
      </w:r>
    </w:p>
    <w:p w14:paraId="36CA361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1.投标总价</w:t>
      </w:r>
    </w:p>
    <w:p w14:paraId="4C75D848">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2.投标分项报价表</w:t>
      </w:r>
    </w:p>
    <w:p w14:paraId="50A8702F">
      <w:pPr>
        <w:pStyle w:val="46"/>
        <w:spacing w:line="360" w:lineRule="auto"/>
        <w:ind w:firstLine="560"/>
        <w:jc w:val="left"/>
        <w:rPr>
          <w:rFonts w:ascii="宋体" w:hAnsi="宋体" w:cs="黑体"/>
          <w:color w:val="auto"/>
          <w:sz w:val="28"/>
          <w:szCs w:val="28"/>
          <w:highlight w:val="none"/>
          <w:shd w:val="clear" w:color="050000" w:fill="auto"/>
        </w:rPr>
      </w:pPr>
    </w:p>
    <w:p w14:paraId="049B5895">
      <w:pPr>
        <w:pStyle w:val="46"/>
        <w:spacing w:line="360" w:lineRule="auto"/>
        <w:ind w:firstLine="560"/>
        <w:jc w:val="left"/>
        <w:rPr>
          <w:rFonts w:ascii="宋体" w:hAnsi="宋体" w:cs="黑体"/>
          <w:color w:val="auto"/>
          <w:sz w:val="28"/>
          <w:szCs w:val="28"/>
          <w:highlight w:val="none"/>
          <w:shd w:val="clear" w:color="050000" w:fill="auto"/>
        </w:rPr>
      </w:pPr>
    </w:p>
    <w:p w14:paraId="70F065F7">
      <w:pPr>
        <w:pStyle w:val="46"/>
        <w:spacing w:line="360" w:lineRule="auto"/>
        <w:ind w:firstLine="560"/>
        <w:jc w:val="left"/>
        <w:rPr>
          <w:rFonts w:ascii="宋体" w:hAnsi="宋体" w:cs="黑体"/>
          <w:color w:val="auto"/>
          <w:sz w:val="28"/>
          <w:szCs w:val="28"/>
          <w:highlight w:val="none"/>
          <w:shd w:val="clear" w:color="050000" w:fill="auto"/>
        </w:rPr>
      </w:pPr>
    </w:p>
    <w:p w14:paraId="554ED281">
      <w:pPr>
        <w:pStyle w:val="46"/>
        <w:spacing w:line="360" w:lineRule="auto"/>
        <w:ind w:firstLine="560"/>
        <w:jc w:val="left"/>
        <w:rPr>
          <w:rFonts w:ascii="宋体" w:hAnsi="宋体" w:cs="黑体"/>
          <w:color w:val="auto"/>
          <w:sz w:val="28"/>
          <w:szCs w:val="28"/>
          <w:highlight w:val="none"/>
          <w:shd w:val="clear" w:color="050000" w:fill="auto"/>
        </w:rPr>
      </w:pPr>
    </w:p>
    <w:p w14:paraId="73760C3B">
      <w:pPr>
        <w:pStyle w:val="46"/>
        <w:spacing w:line="360" w:lineRule="auto"/>
        <w:ind w:firstLine="560"/>
        <w:jc w:val="left"/>
        <w:rPr>
          <w:rFonts w:ascii="宋体" w:hAnsi="宋体" w:cs="黑体"/>
          <w:color w:val="auto"/>
          <w:sz w:val="28"/>
          <w:szCs w:val="28"/>
          <w:highlight w:val="none"/>
          <w:shd w:val="clear" w:color="050000" w:fill="auto"/>
        </w:rPr>
      </w:pPr>
    </w:p>
    <w:p w14:paraId="7B9F1FF4">
      <w:pPr>
        <w:pStyle w:val="46"/>
        <w:spacing w:line="360" w:lineRule="auto"/>
        <w:ind w:firstLine="560"/>
        <w:jc w:val="left"/>
        <w:rPr>
          <w:rFonts w:ascii="宋体" w:hAnsi="宋体" w:cs="黑体"/>
          <w:color w:val="auto"/>
          <w:sz w:val="28"/>
          <w:szCs w:val="28"/>
          <w:highlight w:val="none"/>
          <w:shd w:val="clear" w:color="050000" w:fill="auto"/>
        </w:rPr>
      </w:pPr>
    </w:p>
    <w:p w14:paraId="0D7C34D3">
      <w:pPr>
        <w:pStyle w:val="46"/>
        <w:spacing w:line="360" w:lineRule="auto"/>
        <w:ind w:firstLine="560"/>
        <w:jc w:val="left"/>
        <w:rPr>
          <w:rFonts w:ascii="宋体" w:hAnsi="宋体" w:cs="黑体"/>
          <w:color w:val="auto"/>
          <w:sz w:val="28"/>
          <w:szCs w:val="28"/>
          <w:highlight w:val="none"/>
          <w:shd w:val="clear" w:color="050000" w:fill="auto"/>
        </w:rPr>
      </w:pPr>
    </w:p>
    <w:p w14:paraId="1F55D305">
      <w:pPr>
        <w:pStyle w:val="46"/>
        <w:spacing w:line="360" w:lineRule="auto"/>
        <w:ind w:firstLine="560"/>
        <w:jc w:val="left"/>
        <w:rPr>
          <w:rFonts w:ascii="宋体" w:hAnsi="宋体" w:cs="黑体"/>
          <w:color w:val="auto"/>
          <w:sz w:val="28"/>
          <w:szCs w:val="28"/>
          <w:highlight w:val="none"/>
          <w:shd w:val="clear" w:color="050000" w:fill="auto"/>
        </w:rPr>
      </w:pPr>
    </w:p>
    <w:p w14:paraId="467058BC">
      <w:pPr>
        <w:jc w:val="left"/>
        <w:rPr>
          <w:rFonts w:ascii="宋体" w:hAnsi="宋体" w:cs="黑体"/>
          <w:color w:val="auto"/>
          <w:sz w:val="28"/>
          <w:szCs w:val="28"/>
          <w:highlight w:val="none"/>
          <w:shd w:val="clear" w:color="050000" w:fill="auto"/>
        </w:rPr>
      </w:pPr>
      <w:r>
        <w:rPr>
          <w:rFonts w:ascii="宋体" w:hAnsi="宋体" w:cs="黑体"/>
          <w:color w:val="auto"/>
          <w:sz w:val="28"/>
          <w:szCs w:val="28"/>
          <w:highlight w:val="none"/>
          <w:shd w:val="clear" w:color="050000" w:fill="auto"/>
        </w:rPr>
        <w:br w:type="page"/>
      </w:r>
    </w:p>
    <w:p w14:paraId="062C7F04">
      <w:pPr>
        <w:pStyle w:val="46"/>
        <w:spacing w:line="360" w:lineRule="auto"/>
        <w:ind w:firstLine="560"/>
        <w:jc w:val="left"/>
        <w:rPr>
          <w:rFonts w:ascii="宋体" w:hAnsi="宋体" w:cs="黑体"/>
          <w:color w:val="auto"/>
          <w:sz w:val="28"/>
          <w:szCs w:val="28"/>
          <w:highlight w:val="none"/>
          <w:shd w:val="clear" w:color="050000" w:fill="auto"/>
        </w:rPr>
      </w:pPr>
    </w:p>
    <w:p w14:paraId="06D3050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总 价</w:t>
      </w:r>
    </w:p>
    <w:p w14:paraId="790452C6">
      <w:pPr>
        <w:pStyle w:val="17"/>
        <w:spacing w:line="360" w:lineRule="auto"/>
        <w:jc w:val="center"/>
        <w:rPr>
          <w:rFonts w:ascii="华文细黑" w:hAnsi="宋体" w:eastAsia="华文细黑"/>
          <w:color w:val="auto"/>
          <w:sz w:val="44"/>
          <w:highlight w:val="none"/>
        </w:rPr>
      </w:pPr>
    </w:p>
    <w:p w14:paraId="45719BE2">
      <w:pPr>
        <w:pStyle w:val="17"/>
        <w:spacing w:afterLines="50" w:line="400" w:lineRule="exact"/>
        <w:ind w:firstLine="560" w:firstLineChars="200"/>
        <w:rPr>
          <w:rFonts w:hAnsi="宋体"/>
          <w:color w:val="auto"/>
          <w:sz w:val="28"/>
          <w:highlight w:val="none"/>
        </w:rPr>
      </w:pPr>
    </w:p>
    <w:p w14:paraId="4F83505F">
      <w:pPr>
        <w:pStyle w:val="17"/>
        <w:spacing w:line="400" w:lineRule="exact"/>
        <w:ind w:firstLine="560" w:firstLineChars="200"/>
        <w:jc w:val="left"/>
        <w:rPr>
          <w:rFonts w:ascii="仿宋" w:hAnsi="仿宋" w:eastAsia="仿宋"/>
          <w:color w:val="auto"/>
          <w:sz w:val="28"/>
          <w:highlight w:val="none"/>
          <w:u w:val="single"/>
        </w:rPr>
      </w:pPr>
      <w:r>
        <w:rPr>
          <w:rFonts w:hint="eastAsia" w:ascii="仿宋" w:hAnsi="仿宋" w:eastAsia="仿宋"/>
          <w:color w:val="auto"/>
          <w:sz w:val="28"/>
          <w:highlight w:val="none"/>
        </w:rPr>
        <w:t>招标人：</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6CD9DB31">
      <w:pPr>
        <w:pStyle w:val="17"/>
        <w:spacing w:line="400" w:lineRule="exact"/>
        <w:ind w:firstLine="1960" w:firstLineChars="700"/>
        <w:rPr>
          <w:rFonts w:ascii="仿宋" w:hAnsi="仿宋" w:eastAsia="仿宋"/>
          <w:color w:val="auto"/>
          <w:sz w:val="28"/>
          <w:highlight w:val="none"/>
        </w:rPr>
      </w:pPr>
    </w:p>
    <w:p w14:paraId="0EADBEBF">
      <w:pPr>
        <w:pStyle w:val="17"/>
        <w:spacing w:line="400" w:lineRule="exact"/>
        <w:ind w:firstLine="560" w:firstLineChars="200"/>
        <w:rPr>
          <w:rFonts w:ascii="仿宋" w:hAnsi="仿宋" w:eastAsia="仿宋"/>
          <w:color w:val="auto"/>
          <w:sz w:val="28"/>
          <w:highlight w:val="none"/>
        </w:rPr>
      </w:pPr>
      <w:r>
        <w:rPr>
          <w:rFonts w:hint="eastAsia" w:ascii="仿宋" w:hAnsi="仿宋" w:eastAsia="仿宋"/>
          <w:color w:val="auto"/>
          <w:sz w:val="28"/>
          <w:highlight w:val="none"/>
        </w:rPr>
        <w:t>招标项目名称：</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782E743">
      <w:pPr>
        <w:pStyle w:val="17"/>
        <w:spacing w:line="400" w:lineRule="exact"/>
        <w:ind w:firstLine="200"/>
        <w:rPr>
          <w:rFonts w:ascii="仿宋" w:hAnsi="仿宋" w:eastAsia="仿宋"/>
          <w:color w:val="auto"/>
          <w:sz w:val="28"/>
          <w:highlight w:val="none"/>
        </w:rPr>
      </w:pPr>
    </w:p>
    <w:p w14:paraId="07CDD8E5">
      <w:pPr>
        <w:pStyle w:val="17"/>
        <w:spacing w:line="400" w:lineRule="exact"/>
        <w:ind w:firstLine="560" w:firstLineChars="200"/>
        <w:rPr>
          <w:rFonts w:ascii="仿宋" w:hAnsi="仿宋" w:eastAsia="仿宋"/>
          <w:color w:val="auto"/>
          <w:sz w:val="28"/>
          <w:highlight w:val="none"/>
          <w:u w:val="single"/>
        </w:rPr>
      </w:pPr>
      <w:r>
        <w:rPr>
          <w:rFonts w:hint="eastAsia" w:ascii="仿宋" w:hAnsi="仿宋" w:eastAsia="仿宋"/>
          <w:color w:val="auto"/>
          <w:sz w:val="28"/>
          <w:highlight w:val="none"/>
        </w:rPr>
        <w:t>投标总价(大写)：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E974091">
      <w:pPr>
        <w:pStyle w:val="17"/>
        <w:spacing w:line="400" w:lineRule="exact"/>
        <w:ind w:firstLine="1680" w:firstLineChars="600"/>
        <w:rPr>
          <w:rFonts w:ascii="仿宋" w:hAnsi="仿宋" w:eastAsia="仿宋"/>
          <w:color w:val="auto"/>
          <w:sz w:val="28"/>
          <w:highlight w:val="none"/>
        </w:rPr>
      </w:pPr>
    </w:p>
    <w:p w14:paraId="6417E5D9">
      <w:pPr>
        <w:pStyle w:val="17"/>
        <w:spacing w:line="480" w:lineRule="auto"/>
        <w:ind w:firstLine="1680" w:firstLineChars="600"/>
        <w:rPr>
          <w:rFonts w:ascii="仿宋" w:hAnsi="仿宋" w:eastAsia="仿宋"/>
          <w:color w:val="auto"/>
          <w:sz w:val="28"/>
          <w:highlight w:val="none"/>
        </w:rPr>
      </w:pPr>
      <w:r>
        <w:rPr>
          <w:rFonts w:hint="eastAsia" w:ascii="仿宋" w:hAnsi="仿宋" w:eastAsia="仿宋"/>
          <w:color w:val="auto"/>
          <w:sz w:val="28"/>
          <w:highlight w:val="none"/>
        </w:rPr>
        <w:t>(小写)：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194BC7C">
      <w:pPr>
        <w:pStyle w:val="17"/>
        <w:spacing w:line="400" w:lineRule="exact"/>
        <w:ind w:firstLine="560" w:firstLineChars="200"/>
        <w:rPr>
          <w:rFonts w:ascii="仿宋" w:hAnsi="仿宋" w:eastAsia="仿宋"/>
          <w:color w:val="auto"/>
          <w:sz w:val="28"/>
          <w:highlight w:val="none"/>
        </w:rPr>
      </w:pPr>
    </w:p>
    <w:p w14:paraId="2D7CC621">
      <w:pPr>
        <w:pStyle w:val="17"/>
        <w:spacing w:line="400" w:lineRule="exact"/>
        <w:ind w:firstLine="560" w:firstLineChars="200"/>
        <w:rPr>
          <w:rFonts w:ascii="仿宋" w:hAnsi="仿宋" w:eastAsia="仿宋"/>
          <w:color w:val="auto"/>
          <w:sz w:val="28"/>
          <w:highlight w:val="none"/>
        </w:rPr>
      </w:pPr>
    </w:p>
    <w:p w14:paraId="41EFC6FA">
      <w:pPr>
        <w:pStyle w:val="17"/>
        <w:spacing w:line="400" w:lineRule="exact"/>
        <w:rPr>
          <w:rFonts w:ascii="仿宋" w:hAnsi="仿宋" w:eastAsia="仿宋"/>
          <w:color w:val="auto"/>
          <w:sz w:val="28"/>
          <w:highlight w:val="none"/>
        </w:rPr>
      </w:pPr>
    </w:p>
    <w:p w14:paraId="78FE654C">
      <w:pPr>
        <w:pStyle w:val="17"/>
        <w:spacing w:line="400" w:lineRule="exact"/>
        <w:ind w:firstLine="560" w:firstLineChars="200"/>
        <w:rPr>
          <w:rFonts w:ascii="仿宋" w:hAnsi="仿宋" w:eastAsia="仿宋"/>
          <w:color w:val="auto"/>
          <w:sz w:val="28"/>
          <w:highlight w:val="none"/>
        </w:rPr>
      </w:pPr>
    </w:p>
    <w:p w14:paraId="06957837">
      <w:pPr>
        <w:pStyle w:val="17"/>
        <w:spacing w:line="400" w:lineRule="exact"/>
        <w:ind w:firstLine="560" w:firstLineChars="200"/>
        <w:rPr>
          <w:rFonts w:ascii="仿宋" w:hAnsi="仿宋" w:eastAsia="仿宋"/>
          <w:color w:val="auto"/>
          <w:sz w:val="28"/>
          <w:highlight w:val="none"/>
        </w:rPr>
      </w:pPr>
    </w:p>
    <w:p w14:paraId="0D91D694">
      <w:pPr>
        <w:pStyle w:val="17"/>
        <w:spacing w:line="400" w:lineRule="exact"/>
        <w:rPr>
          <w:rFonts w:ascii="仿宋" w:hAnsi="仿宋" w:eastAsia="仿宋"/>
          <w:color w:val="auto"/>
          <w:sz w:val="28"/>
          <w:highlight w:val="none"/>
        </w:rPr>
      </w:pPr>
    </w:p>
    <w:p w14:paraId="29B0E6D4">
      <w:pPr>
        <w:pStyle w:val="17"/>
        <w:spacing w:line="400" w:lineRule="exact"/>
        <w:ind w:firstLine="560" w:firstLineChars="200"/>
        <w:rPr>
          <w:rFonts w:ascii="仿宋" w:hAnsi="仿宋" w:eastAsia="仿宋"/>
          <w:color w:val="auto"/>
          <w:sz w:val="28"/>
          <w:highlight w:val="none"/>
        </w:rPr>
      </w:pPr>
    </w:p>
    <w:p w14:paraId="5FEF5A61">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投  标  人(盖章)：</w:t>
      </w:r>
      <w:r>
        <w:rPr>
          <w:rFonts w:hint="eastAsia" w:ascii="仿宋" w:hAnsi="仿宋" w:eastAsia="仿宋"/>
          <w:color w:val="auto"/>
          <w:sz w:val="28"/>
          <w:highlight w:val="none"/>
          <w:u w:val="single"/>
        </w:rPr>
        <w:t xml:space="preserve">                                </w:t>
      </w:r>
    </w:p>
    <w:p w14:paraId="52F837A6">
      <w:pPr>
        <w:pStyle w:val="17"/>
        <w:spacing w:line="400" w:lineRule="exact"/>
        <w:ind w:firstLine="280" w:firstLineChars="100"/>
        <w:rPr>
          <w:rFonts w:ascii="仿宋" w:hAnsi="仿宋" w:eastAsia="仿宋"/>
          <w:color w:val="auto"/>
          <w:sz w:val="28"/>
          <w:highlight w:val="none"/>
        </w:rPr>
      </w:pPr>
    </w:p>
    <w:p w14:paraId="3C86EE70">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法定代表人或委托代理人(签字或盖章)：</w:t>
      </w:r>
      <w:r>
        <w:rPr>
          <w:rFonts w:hint="eastAsia" w:ascii="仿宋" w:hAnsi="仿宋" w:eastAsia="仿宋"/>
          <w:color w:val="auto"/>
          <w:sz w:val="28"/>
          <w:highlight w:val="none"/>
          <w:u w:val="single"/>
        </w:rPr>
        <w:t xml:space="preserve">              </w:t>
      </w:r>
    </w:p>
    <w:p w14:paraId="5478830F">
      <w:pPr>
        <w:pStyle w:val="17"/>
        <w:spacing w:line="400" w:lineRule="exact"/>
        <w:ind w:firstLine="1960" w:firstLineChars="700"/>
        <w:rPr>
          <w:rFonts w:ascii="仿宋" w:hAnsi="仿宋" w:eastAsia="仿宋"/>
          <w:color w:val="auto"/>
          <w:sz w:val="28"/>
          <w:highlight w:val="none"/>
        </w:rPr>
      </w:pPr>
    </w:p>
    <w:p w14:paraId="102E679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4F5E5D5A">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70A75C2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202139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05ADF6F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603DC392">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1C75699">
      <w:pPr>
        <w:adjustRightInd w:val="0"/>
        <w:snapToGrid w:val="0"/>
        <w:spacing w:line="360" w:lineRule="auto"/>
        <w:jc w:val="center"/>
        <w:rPr>
          <w:rFonts w:hint="eastAsia"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投标分项报价表</w:t>
      </w:r>
    </w:p>
    <w:p w14:paraId="2F10AC34">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招标项目名称：</w:t>
      </w:r>
      <w:r>
        <w:rPr>
          <w:rFonts w:hint="eastAsia" w:ascii="仿宋_GB2312" w:hAnsi="宋体" w:eastAsia="仿宋_GB2312"/>
          <w:color w:val="auto"/>
          <w:sz w:val="28"/>
          <w:szCs w:val="28"/>
          <w:highlight w:val="none"/>
          <w:lang w:val="en-US" w:eastAsia="zh-CN"/>
        </w:rPr>
        <w:t>精品34区/会展中心，精品5区、精品6区，招商行政中心(含案场)、巴南华府云邸/明昱阁项目</w:t>
      </w:r>
      <w:r>
        <w:rPr>
          <w:rFonts w:hint="eastAsia" w:ascii="仿宋_GB2312" w:hAnsi="宋体" w:eastAsia="仿宋_GB2312"/>
          <w:color w:val="auto"/>
          <w:sz w:val="28"/>
          <w:szCs w:val="28"/>
          <w:highlight w:val="none"/>
          <w:lang w:eastAsia="zh-CN"/>
        </w:rPr>
        <w:t>保洁服务</w:t>
      </w:r>
      <w:r>
        <w:rPr>
          <w:rFonts w:hint="eastAsia" w:ascii="仿宋_GB2312" w:hAnsi="宋体" w:eastAsia="仿宋_GB2312"/>
          <w:color w:val="auto"/>
          <w:sz w:val="28"/>
          <w:szCs w:val="28"/>
          <w:highlight w:val="none"/>
          <w:lang w:val="en-US" w:eastAsia="zh-CN"/>
        </w:rPr>
        <w:t>（第二次）</w:t>
      </w:r>
    </w:p>
    <w:tbl>
      <w:tblPr>
        <w:tblStyle w:val="34"/>
        <w:tblW w:w="85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3"/>
        <w:gridCol w:w="2278"/>
        <w:gridCol w:w="1564"/>
        <w:gridCol w:w="886"/>
        <w:gridCol w:w="1527"/>
        <w:gridCol w:w="1539"/>
      </w:tblGrid>
      <w:tr w14:paraId="41A8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6E58">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1268">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325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岗位类型</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77AA">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岗位数量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9AE0">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综合单价</w:t>
            </w:r>
            <w:r>
              <w:rPr>
                <w:rFonts w:hint="eastAsia" w:ascii="仿宋_GB2312" w:hAnsi="宋体" w:eastAsia="仿宋_GB2312" w:cs="仿宋_GB2312"/>
                <w:b/>
                <w:bCs/>
                <w:i w:val="0"/>
                <w:iCs w:val="0"/>
                <w:color w:val="000000"/>
                <w:kern w:val="0"/>
                <w:sz w:val="24"/>
                <w:szCs w:val="24"/>
                <w:u w:val="none"/>
                <w:lang w:val="en-US" w:eastAsia="zh-CN" w:bidi="ar"/>
              </w:rPr>
              <w:br w:type="textWrapping"/>
            </w:r>
            <w:r>
              <w:rPr>
                <w:rFonts w:hint="eastAsia" w:ascii="仿宋_GB2312" w:hAnsi="宋体" w:eastAsia="仿宋_GB2312" w:cs="仿宋_GB2312"/>
                <w:b/>
                <w:bCs/>
                <w:i w:val="0"/>
                <w:iCs w:val="0"/>
                <w:color w:val="000000"/>
                <w:kern w:val="0"/>
                <w:sz w:val="24"/>
                <w:szCs w:val="24"/>
                <w:u w:val="none"/>
                <w:lang w:val="en-US" w:eastAsia="zh-CN" w:bidi="ar"/>
              </w:rPr>
              <w:t>(元/人/月）</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7B77">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年度含税总价（元）</w:t>
            </w:r>
          </w:p>
        </w:tc>
      </w:tr>
      <w:tr w14:paraId="797D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AF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F592">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招商行政中心</w:t>
            </w:r>
          </w:p>
          <w:p w14:paraId="362EE5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（含案场）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53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写字楼普通岗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16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9ECB">
            <w:pPr>
              <w:jc w:val="center"/>
              <w:rPr>
                <w:rFonts w:hint="eastAsia" w:ascii="仿宋_GB2312" w:hAnsi="宋体" w:eastAsia="仿宋_GB2312" w:cs="仿宋_GB2312"/>
                <w:i w:val="0"/>
                <w:iCs w:val="0"/>
                <w:color w:val="000000"/>
                <w:sz w:val="24"/>
                <w:szCs w:val="24"/>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1DED">
            <w:pPr>
              <w:jc w:val="center"/>
              <w:rPr>
                <w:rFonts w:hint="eastAsia" w:ascii="仿宋_GB2312" w:hAnsi="宋体" w:eastAsia="仿宋_GB2312" w:cs="仿宋_GB2312"/>
                <w:i w:val="0"/>
                <w:iCs w:val="0"/>
                <w:color w:val="000000"/>
                <w:sz w:val="24"/>
                <w:szCs w:val="24"/>
                <w:u w:val="none"/>
              </w:rPr>
            </w:pPr>
          </w:p>
        </w:tc>
      </w:tr>
      <w:tr w14:paraId="0258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22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24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精品34区/会展中心</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6C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E0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2B4F">
            <w:pPr>
              <w:jc w:val="center"/>
              <w:rPr>
                <w:rFonts w:hint="eastAsia" w:ascii="仿宋_GB2312" w:hAnsi="宋体" w:eastAsia="仿宋_GB2312" w:cs="仿宋_GB2312"/>
                <w:i w:val="0"/>
                <w:iCs w:val="0"/>
                <w:color w:val="000000"/>
                <w:sz w:val="24"/>
                <w:szCs w:val="24"/>
                <w:u w:val="none"/>
              </w:rPr>
            </w:pP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C3E56">
            <w:pPr>
              <w:jc w:val="center"/>
              <w:rPr>
                <w:rFonts w:hint="eastAsia" w:ascii="仿宋_GB2312" w:hAnsi="宋体" w:eastAsia="仿宋_GB2312" w:cs="仿宋_GB2312"/>
                <w:i w:val="0"/>
                <w:iCs w:val="0"/>
                <w:color w:val="000000"/>
                <w:sz w:val="24"/>
                <w:szCs w:val="24"/>
                <w:u w:val="none"/>
              </w:rPr>
            </w:pPr>
          </w:p>
        </w:tc>
      </w:tr>
      <w:tr w14:paraId="5556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E1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9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精品5区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4C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E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10634">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B12C">
            <w:pPr>
              <w:jc w:val="center"/>
              <w:rPr>
                <w:rFonts w:hint="eastAsia" w:ascii="仿宋_GB2312" w:hAnsi="宋体" w:eastAsia="仿宋_GB2312" w:cs="仿宋_GB2312"/>
                <w:i w:val="0"/>
                <w:iCs w:val="0"/>
                <w:color w:val="000000"/>
                <w:sz w:val="24"/>
                <w:szCs w:val="24"/>
                <w:u w:val="none"/>
              </w:rPr>
            </w:pPr>
          </w:p>
        </w:tc>
      </w:tr>
      <w:tr w14:paraId="08EB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E2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3A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精品6区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EA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C5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13CF">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EBC2">
            <w:pPr>
              <w:jc w:val="center"/>
              <w:rPr>
                <w:rFonts w:hint="eastAsia" w:ascii="仿宋_GB2312" w:hAnsi="宋体" w:eastAsia="仿宋_GB2312" w:cs="仿宋_GB2312"/>
                <w:i w:val="0"/>
                <w:iCs w:val="0"/>
                <w:color w:val="000000"/>
                <w:sz w:val="24"/>
                <w:szCs w:val="24"/>
                <w:u w:val="none"/>
              </w:rPr>
            </w:pPr>
          </w:p>
        </w:tc>
      </w:tr>
      <w:tr w14:paraId="6C48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18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30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巴南华府云邸/明昱阁</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ED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6E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16127">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843B">
            <w:pPr>
              <w:jc w:val="center"/>
              <w:rPr>
                <w:rFonts w:hint="eastAsia" w:ascii="仿宋_GB2312" w:hAnsi="宋体" w:eastAsia="仿宋_GB2312" w:cs="仿宋_GB2312"/>
                <w:i w:val="0"/>
                <w:iCs w:val="0"/>
                <w:color w:val="000000"/>
                <w:sz w:val="24"/>
                <w:szCs w:val="24"/>
                <w:u w:val="none"/>
              </w:rPr>
            </w:pPr>
          </w:p>
        </w:tc>
      </w:tr>
      <w:tr w14:paraId="0A98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22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3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41C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投标总金额（元）</w:t>
            </w:r>
          </w:p>
        </w:tc>
        <w:tc>
          <w:tcPr>
            <w:tcW w:w="39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85392">
            <w:pPr>
              <w:jc w:val="center"/>
              <w:rPr>
                <w:rFonts w:hint="eastAsia" w:ascii="仿宋_GB2312" w:hAnsi="宋体" w:eastAsia="仿宋_GB2312" w:cs="仿宋_GB2312"/>
                <w:i w:val="0"/>
                <w:iCs w:val="0"/>
                <w:color w:val="000000"/>
                <w:sz w:val="24"/>
                <w:szCs w:val="24"/>
                <w:u w:val="none"/>
              </w:rPr>
            </w:pPr>
          </w:p>
        </w:tc>
      </w:tr>
    </w:tbl>
    <w:p w14:paraId="0F452B81">
      <w:pPr>
        <w:pStyle w:val="17"/>
        <w:spacing w:afterLines="50" w:line="520" w:lineRule="exact"/>
        <w:rPr>
          <w:rFonts w:hint="eastAsia" w:ascii="仿宋" w:hAnsi="仿宋" w:eastAsia="仿宋" w:cs="宋体"/>
          <w:color w:val="auto"/>
          <w:kern w:val="0"/>
          <w:sz w:val="24"/>
          <w:szCs w:val="24"/>
          <w:highlight w:val="none"/>
          <w:lang w:val="en-US" w:eastAsia="zh-CN"/>
        </w:rPr>
      </w:pPr>
      <w:r>
        <w:rPr>
          <w:rFonts w:hint="eastAsia" w:ascii="仿宋_GB2312" w:hAnsi="宋体" w:eastAsia="仿宋_GB2312"/>
          <w:color w:val="auto"/>
          <w:sz w:val="28"/>
          <w:szCs w:val="28"/>
          <w:highlight w:val="none"/>
        </w:rPr>
        <w:t xml:space="preserve">  </w:t>
      </w:r>
      <w:r>
        <w:rPr>
          <w:rFonts w:hint="eastAsia" w:ascii="仿宋" w:hAnsi="仿宋" w:eastAsia="仿宋" w:cs="宋体"/>
          <w:color w:val="auto"/>
          <w:kern w:val="0"/>
          <w:sz w:val="24"/>
          <w:szCs w:val="24"/>
          <w:highlight w:val="none"/>
          <w:lang w:val="en-US" w:eastAsia="zh-CN"/>
        </w:rPr>
        <w:t>1、本次投标报价包括完成本项目所有工作量和后续服务的全部费用。</w:t>
      </w:r>
    </w:p>
    <w:p w14:paraId="367DE0C2">
      <w:pPr>
        <w:pStyle w:val="17"/>
        <w:spacing w:afterLines="50" w:line="520" w:lineRule="exact"/>
        <w:ind w:firstLine="240" w:firstLineChars="100"/>
        <w:jc w:val="left"/>
        <w:rPr>
          <w:rFonts w:ascii="黑体" w:hAnsi="宋体" w:eastAsia="黑体"/>
          <w:b/>
          <w:bCs/>
          <w:color w:val="auto"/>
          <w:sz w:val="36"/>
          <w:highlight w:val="none"/>
        </w:rPr>
      </w:pPr>
      <w:r>
        <w:rPr>
          <w:rFonts w:hint="eastAsia" w:ascii="仿宋" w:hAnsi="仿宋" w:eastAsia="仿宋" w:cs="宋体"/>
          <w:color w:val="auto"/>
          <w:kern w:val="0"/>
          <w:sz w:val="24"/>
          <w:szCs w:val="24"/>
          <w:highlight w:val="none"/>
          <w:lang w:val="en-US" w:eastAsia="zh-CN"/>
        </w:rPr>
        <w:t>2、本次投标报价开具增值税</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发票税点为</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w:t>
      </w:r>
    </w:p>
    <w:p w14:paraId="2F71522E">
      <w:pPr>
        <w:adjustRightInd w:val="0"/>
        <w:snapToGrid w:val="0"/>
        <w:spacing w:line="360" w:lineRule="auto"/>
        <w:jc w:val="center"/>
        <w:rPr>
          <w:rFonts w:hAnsi="宋体"/>
          <w:color w:val="auto"/>
          <w:sz w:val="24"/>
          <w:highlight w:val="none"/>
        </w:rPr>
      </w:pPr>
      <w:r>
        <w:rPr>
          <w:rFonts w:ascii="黑体" w:hAnsi="宋体" w:eastAsia="黑体"/>
          <w:b/>
          <w:bCs/>
          <w:color w:val="auto"/>
          <w:sz w:val="36"/>
          <w:highlight w:val="none"/>
        </w:rPr>
        <w:br w:type="page"/>
      </w:r>
    </w:p>
    <w:p w14:paraId="7D0AF883">
      <w:pPr>
        <w:pStyle w:val="46"/>
        <w:ind w:firstLine="0" w:firstLineChars="0"/>
        <w:jc w:val="center"/>
        <w:outlineLvl w:val="0"/>
        <w:rPr>
          <w:rFonts w:ascii="宋体" w:hAnsi="宋体"/>
          <w:b/>
          <w:bCs/>
          <w:color w:val="auto"/>
          <w:kern w:val="0"/>
          <w:sz w:val="48"/>
          <w:szCs w:val="48"/>
          <w:highlight w:val="none"/>
        </w:rPr>
      </w:pPr>
      <w:bookmarkStart w:id="140" w:name="_Toc29118"/>
      <w:bookmarkStart w:id="141" w:name="_Toc8520"/>
      <w:bookmarkStart w:id="142" w:name="_Toc80800168"/>
      <w:r>
        <w:rPr>
          <w:rFonts w:hint="eastAsia" w:ascii="宋体" w:hAnsi="宋体"/>
          <w:b/>
          <w:bCs/>
          <w:color w:val="auto"/>
          <w:kern w:val="0"/>
          <w:sz w:val="48"/>
          <w:szCs w:val="48"/>
          <w:highlight w:val="none"/>
        </w:rPr>
        <w:t>第六章 中标通知书</w:t>
      </w:r>
      <w:bookmarkEnd w:id="140"/>
      <w:bookmarkEnd w:id="141"/>
      <w:bookmarkEnd w:id="142"/>
    </w:p>
    <w:p w14:paraId="514A983E">
      <w:pPr>
        <w:pStyle w:val="46"/>
        <w:ind w:firstLine="0" w:firstLineChars="0"/>
        <w:jc w:val="center"/>
        <w:rPr>
          <w:rFonts w:ascii="仿宋" w:hAnsi="仿宋" w:eastAsia="仿宋"/>
          <w:b/>
          <w:bCs/>
          <w:color w:val="auto"/>
          <w:kern w:val="0"/>
          <w:sz w:val="36"/>
          <w:szCs w:val="36"/>
          <w:highlight w:val="none"/>
        </w:rPr>
      </w:pPr>
    </w:p>
    <w:p w14:paraId="392502B3">
      <w:pPr>
        <w:spacing w:line="360" w:lineRule="auto"/>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w:t>
      </w:r>
    </w:p>
    <w:p w14:paraId="7ECCC488">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rPr>
        <w:t>我司</w:t>
      </w:r>
      <w:r>
        <w:rPr>
          <w:rFonts w:hint="eastAsia" w:ascii="仿宋" w:hAnsi="仿宋" w:eastAsia="仿宋" w:cs="仿宋_GB2312"/>
          <w:color w:val="auto"/>
          <w:sz w:val="28"/>
          <w:szCs w:val="28"/>
          <w:highlight w:val="none"/>
          <w:u w:val="single"/>
        </w:rPr>
        <w:t xml:space="preserve"> </w:t>
      </w:r>
      <w:r>
        <w:rPr>
          <w:rFonts w:hint="eastAsia" w:ascii="仿宋" w:hAnsi="仿宋" w:eastAsia="仿宋" w:cs="仿宋_GB2312"/>
          <w:color w:val="auto"/>
          <w:sz w:val="28"/>
          <w:szCs w:val="28"/>
          <w:highlight w:val="none"/>
          <w:u w:val="single"/>
          <w:lang w:val="en-US" w:eastAsia="zh-CN"/>
        </w:rPr>
        <w:t>精品34区/会展中心，精品5区、精品6区，招商行政中心(含案场)、巴南华府云邸/明昱阁项目</w:t>
      </w:r>
      <w:r>
        <w:rPr>
          <w:rFonts w:hint="eastAsia" w:ascii="仿宋" w:hAnsi="仿宋" w:eastAsia="仿宋" w:cs="仿宋_GB2312"/>
          <w:color w:val="auto"/>
          <w:sz w:val="28"/>
          <w:szCs w:val="28"/>
          <w:highlight w:val="none"/>
          <w:u w:val="single"/>
          <w:lang w:eastAsia="zh-CN"/>
        </w:rPr>
        <w:t>保洁服务（</w:t>
      </w:r>
      <w:r>
        <w:rPr>
          <w:rFonts w:hint="eastAsia" w:ascii="仿宋" w:hAnsi="仿宋" w:eastAsia="仿宋" w:cs="仿宋_GB2312"/>
          <w:color w:val="auto"/>
          <w:sz w:val="28"/>
          <w:szCs w:val="28"/>
          <w:highlight w:val="none"/>
          <w:u w:val="single"/>
          <w:lang w:val="en-US" w:eastAsia="zh-CN"/>
        </w:rPr>
        <w:t>第二次</w:t>
      </w:r>
      <w:r>
        <w:rPr>
          <w:rFonts w:hint="eastAsia" w:ascii="仿宋" w:hAnsi="仿宋" w:eastAsia="仿宋" w:cs="仿宋_GB2312"/>
          <w:color w:val="auto"/>
          <w:sz w:val="28"/>
          <w:szCs w:val="28"/>
          <w:highlight w:val="none"/>
          <w:u w:val="single"/>
          <w:lang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已于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日进行招标，经评定，现正式通知贵司，我司已选定贵司为</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中标单位，并接纳贵公司的投标文件：</w:t>
      </w:r>
    </w:p>
    <w:p w14:paraId="15F51CF7">
      <w:pPr>
        <w:spacing w:line="360" w:lineRule="auto"/>
        <w:ind w:left="705"/>
        <w:jc w:val="left"/>
        <w:rPr>
          <w:rFonts w:ascii="仿宋" w:hAnsi="仿宋" w:eastAsia="仿宋"/>
          <w:color w:val="auto"/>
          <w:sz w:val="28"/>
          <w:szCs w:val="28"/>
          <w:highlight w:val="none"/>
        </w:rPr>
      </w:pPr>
      <w:r>
        <w:rPr>
          <w:rFonts w:hint="eastAsia" w:ascii="仿宋" w:hAnsi="仿宋" w:eastAsia="仿宋" w:cs="宋体"/>
          <w:color w:val="auto"/>
          <w:kern w:val="0"/>
          <w:sz w:val="28"/>
          <w:szCs w:val="32"/>
          <w:highlight w:val="none"/>
        </w:rPr>
        <w:t>1、</w:t>
      </w:r>
      <w:r>
        <w:rPr>
          <w:rFonts w:hint="eastAsia" w:ascii="仿宋" w:hAnsi="仿宋" w:eastAsia="仿宋"/>
          <w:color w:val="auto"/>
          <w:sz w:val="28"/>
          <w:szCs w:val="28"/>
          <w:highlight w:val="none"/>
        </w:rPr>
        <w:t>中标价格：</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none"/>
        </w:rPr>
        <w:t>元</w:t>
      </w:r>
      <w:r>
        <w:rPr>
          <w:rFonts w:hint="eastAsia" w:ascii="仿宋" w:hAnsi="仿宋" w:eastAsia="仿宋"/>
          <w:color w:val="auto"/>
          <w:sz w:val="28"/>
          <w:szCs w:val="28"/>
          <w:highlight w:val="none"/>
        </w:rPr>
        <w:t>人民币（大写）：</w:t>
      </w:r>
      <w:r>
        <w:rPr>
          <w:rFonts w:hint="eastAsia" w:ascii="仿宋" w:hAnsi="仿宋" w:eastAsia="仿宋"/>
          <w:color w:val="auto"/>
          <w:sz w:val="28"/>
          <w:szCs w:val="28"/>
          <w:highlight w:val="none"/>
          <w:u w:val="single"/>
        </w:rPr>
        <w:t xml:space="preserve">       </w:t>
      </w:r>
      <w:r>
        <w:rPr>
          <w:rFonts w:hint="eastAsia" w:ascii="仿宋" w:hAnsi="仿宋" w:eastAsia="仿宋" w:cs="宋体"/>
          <w:color w:val="auto"/>
          <w:kern w:val="0"/>
          <w:sz w:val="28"/>
          <w:szCs w:val="32"/>
          <w:highlight w:val="none"/>
        </w:rPr>
        <w:t>；</w:t>
      </w:r>
    </w:p>
    <w:p w14:paraId="27944F51">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2、中标服务周期：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天</w:t>
      </w:r>
    </w:p>
    <w:p w14:paraId="4A7362CF">
      <w:pPr>
        <w:spacing w:line="360" w:lineRule="auto"/>
        <w:ind w:firstLine="700" w:firstLineChars="250"/>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3、项目负责人：</w:t>
      </w:r>
      <w:r>
        <w:rPr>
          <w:rFonts w:hint="eastAsia" w:ascii="仿宋" w:hAnsi="仿宋" w:eastAsia="仿宋"/>
          <w:color w:val="auto"/>
          <w:sz w:val="28"/>
          <w:szCs w:val="28"/>
          <w:highlight w:val="none"/>
          <w:u w:val="single"/>
        </w:rPr>
        <w:t xml:space="preserve">        </w:t>
      </w:r>
    </w:p>
    <w:p w14:paraId="7BABD415">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4、贵公司须在接到本通知后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日内与我司商议并签订合同。</w:t>
      </w:r>
    </w:p>
    <w:p w14:paraId="69C25308">
      <w:pPr>
        <w:spacing w:line="360" w:lineRule="auto"/>
        <w:ind w:firstLine="1120" w:firstLineChars="4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谨此函告</w:t>
      </w:r>
    </w:p>
    <w:p w14:paraId="454E3A76">
      <w:pPr>
        <w:spacing w:line="360" w:lineRule="auto"/>
        <w:rPr>
          <w:rFonts w:ascii="仿宋" w:hAnsi="仿宋" w:eastAsia="仿宋"/>
          <w:color w:val="auto"/>
          <w:sz w:val="28"/>
          <w:szCs w:val="28"/>
          <w:highlight w:val="none"/>
        </w:rPr>
      </w:pPr>
    </w:p>
    <w:p w14:paraId="277EDF0D">
      <w:pPr>
        <w:spacing w:line="360" w:lineRule="auto"/>
        <w:rPr>
          <w:rFonts w:ascii="仿宋" w:hAnsi="仿宋" w:eastAsia="仿宋"/>
          <w:color w:val="auto"/>
          <w:sz w:val="28"/>
          <w:szCs w:val="28"/>
          <w:highlight w:val="none"/>
        </w:rPr>
      </w:pPr>
    </w:p>
    <w:p w14:paraId="6E82257D">
      <w:pPr>
        <w:wordWrap w:val="0"/>
        <w:spacing w:line="360" w:lineRule="auto"/>
        <w:ind w:right="140"/>
        <w:jc w:val="right"/>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（招标人）   </w:t>
      </w:r>
    </w:p>
    <w:p w14:paraId="608BD67C">
      <w:pPr>
        <w:widowControl w:val="0"/>
        <w:spacing w:line="560" w:lineRule="exact"/>
        <w:ind w:firstLine="43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1961F54C">
      <w:pPr>
        <w:widowControl w:val="0"/>
        <w:spacing w:line="560" w:lineRule="exact"/>
        <w:rPr>
          <w:rFonts w:ascii="仿宋" w:hAnsi="仿宋" w:eastAsia="仿宋"/>
          <w:color w:val="auto"/>
          <w:sz w:val="28"/>
          <w:szCs w:val="28"/>
          <w:highlight w:val="none"/>
        </w:rPr>
      </w:pPr>
    </w:p>
    <w:p w14:paraId="097327BC">
      <w:pPr>
        <w:widowControl w:val="0"/>
        <w:spacing w:line="560" w:lineRule="exact"/>
        <w:rPr>
          <w:rFonts w:ascii="仿宋" w:hAnsi="仿宋" w:eastAsia="仿宋"/>
          <w:color w:val="auto"/>
          <w:sz w:val="28"/>
          <w:szCs w:val="28"/>
          <w:highlight w:val="none"/>
        </w:rPr>
      </w:pPr>
    </w:p>
    <w:p w14:paraId="23CFBA17">
      <w:pPr>
        <w:rPr>
          <w:color w:val="auto"/>
          <w:highlight w:val="none"/>
        </w:rPr>
      </w:pPr>
    </w:p>
    <w:p w14:paraId="2C98291B">
      <w:pPr>
        <w:rPr>
          <w:color w:val="auto"/>
          <w:highlight w:val="none"/>
        </w:rPr>
      </w:pPr>
    </w:p>
    <w:sectPr>
      <w:headerReference r:id="rId15" w:type="default"/>
      <w:pgSz w:w="12240" w:h="15840"/>
      <w:pgMar w:top="1440" w:right="1797" w:bottom="1440" w:left="1797"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Verdana">
    <w:panose1 w:val="020B0604030504040204"/>
    <w:charset w:val="00"/>
    <w:family w:val="auto"/>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E08FA">
    <w:pPr>
      <w:pStyle w:val="22"/>
      <w:tabs>
        <w:tab w:val="left" w:pos="5144"/>
        <w:tab w:val="clear" w:pos="4153"/>
      </w:tabs>
      <w:rPr>
        <w:rFonts w:hint="eastAsia" w:eastAsia="宋体"/>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4ED6">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B6D0C">
    <w:pPr>
      <w:pStyle w:val="22"/>
      <w:tabs>
        <w:tab w:val="left" w:pos="5144"/>
        <w:tab w:val="clear" w:pos="4153"/>
      </w:tabs>
      <w:rPr>
        <w:rFonts w:hint="eastAsia" w:eastAsia="宋体"/>
        <w:lang w:eastAsia="zh-CN"/>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CB8B">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iSLyMcBAACZAwAADgAAAAAAAAABACAAAAAeAQAAZHJzL2Uyb0RvYy54&#10;bWxQSwUGAAAAAAYABgBZAQAAVwUAAAAA&#10;">
              <v:fill on="f" focussize="0,0"/>
              <v:stroke on="f"/>
              <v:imagedata o:title=""/>
              <o:lock v:ext="edit" aspectratio="f"/>
              <v:textbox inset="0mm,0mm,0mm,0mm" style="mso-fit-shape-to-text:t;">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59823">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EEC5">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7a8ccBAACa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tuG4tgdtzjwy4/vl5+/L7++kWXR&#10;pw9QY9pDwMQ0vPUDbk3WLfsBnZn2oKLNXyREMI7qnq/qyiERkR+tV+t1hSGBsfmCOOz2PERI76S3&#10;JBsNjTi+oio/fYA0ps4puZrz99qYMkLj/nIgZvawW4/ZSsN+mBrf+/aMfHqcfEMdLjol5r1DYfOS&#10;zEacjf1sHEPUh65sUa4H4c0xYROlt1xhhJ0K48gKu2m98k48vpes2y+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Th7a8ccBAACaAwAADgAAAAAAAAABACAAAAAeAQAAZHJzL2Uyb0RvYy54&#10;bWxQSwUGAAAAAAYABgBZAQAAVwUAAAAA&#10;">
              <v:fill on="f" focussize="0,0"/>
              <v:stroke on="f"/>
              <v:imagedata o:title=""/>
              <o:lock v:ext="edit" aspectratio="f"/>
              <v:textbox inset="0mm,0mm,0mm,0mm" style="mso-fit-shape-to-text:t;">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E420">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n0fIMkBAACa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5&#10;zP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mfR8gyQEAAJoDAAAOAAAAAAAAAAEAIAAAAB4BAABkcnMvZTJvRG9j&#10;LnhtbFBLBQYAAAAABgAGAFkBAABZBQAAAAA=&#10;">
              <v:fill on="f" focussize="0,0"/>
              <v:stroke on="f"/>
              <v:imagedata o:title=""/>
              <o:lock v:ext="edit" aspectratio="f"/>
              <v:textbox inset="0mm,0mm,0mm,0mm" style="mso-fit-shape-to-text:t;">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2F4D">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142E">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2EF2">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00BC">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E666">
    <w:pPr>
      <w:pStyle w:val="2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06444">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1AFDC"/>
    <w:multiLevelType w:val="singleLevel"/>
    <w:tmpl w:val="89D1AFDC"/>
    <w:lvl w:ilvl="0" w:tentative="0">
      <w:start w:val="1"/>
      <w:numFmt w:val="chineseCounting"/>
      <w:suff w:val="nothing"/>
      <w:lvlText w:val="%1、"/>
      <w:lvlJc w:val="left"/>
      <w:rPr>
        <w:rFonts w:hint="eastAsia"/>
      </w:rPr>
    </w:lvl>
  </w:abstractNum>
  <w:abstractNum w:abstractNumId="1">
    <w:nsid w:val="C071863E"/>
    <w:multiLevelType w:val="singleLevel"/>
    <w:tmpl w:val="C071863E"/>
    <w:lvl w:ilvl="0" w:tentative="0">
      <w:start w:val="1"/>
      <w:numFmt w:val="decimal"/>
      <w:suff w:val="nothing"/>
      <w:lvlText w:val="%1、"/>
      <w:lvlJc w:val="left"/>
    </w:lvl>
  </w:abstractNum>
  <w:abstractNum w:abstractNumId="2">
    <w:nsid w:val="22A42E6C"/>
    <w:multiLevelType w:val="multilevel"/>
    <w:tmpl w:val="22A42E6C"/>
    <w:lvl w:ilvl="0" w:tentative="0">
      <w:start w:val="1"/>
      <w:numFmt w:val="decimal"/>
      <w:lvlText w:val="%1."/>
      <w:lvlJc w:val="left"/>
      <w:pPr>
        <w:ind w:left="420" w:hanging="420"/>
      </w:pPr>
      <w:rPr>
        <w:rFonts w:hint="default"/>
        <w:highlight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03F05DC"/>
    <w:multiLevelType w:val="singleLevel"/>
    <w:tmpl w:val="303F05DC"/>
    <w:lvl w:ilvl="0" w:tentative="0">
      <w:start w:val="3"/>
      <w:numFmt w:val="chineseCounting"/>
      <w:suff w:val="nothing"/>
      <w:lvlText w:val="%1、"/>
      <w:lvlJc w:val="left"/>
      <w:rPr>
        <w:rFonts w:hint="eastAsia"/>
      </w:rPr>
    </w:lvl>
  </w:abstractNum>
  <w:abstractNum w:abstractNumId="4">
    <w:nsid w:val="3F1A5535"/>
    <w:multiLevelType w:val="singleLevel"/>
    <w:tmpl w:val="3F1A5535"/>
    <w:lvl w:ilvl="0" w:tentative="0">
      <w:start w:val="3"/>
      <w:numFmt w:val="chineseCounting"/>
      <w:suff w:val="space"/>
      <w:lvlText w:val="第%1章"/>
      <w:lvlJc w:val="left"/>
      <w:rPr>
        <w:rFonts w:hint="eastAsia"/>
      </w:rPr>
    </w:lvl>
  </w:abstractNum>
  <w:abstractNum w:abstractNumId="5">
    <w:nsid w:val="6C3BDB6F"/>
    <w:multiLevelType w:val="singleLevel"/>
    <w:tmpl w:val="6C3BDB6F"/>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8"/>
  <w:bordersDoNotSurroundHeader w:val="0"/>
  <w:bordersDoNotSurroundFooter w:val="0"/>
  <w:documentProtection w:enforcement="0"/>
  <w:defaultTabStop w:val="420"/>
  <w:drawingGridHorizontalSpacing w:val="105"/>
  <w:displayHorizontalDrawingGridEvery w:val="1"/>
  <w:displayVerticalDrawingGridEvery w:val="1"/>
  <w:doNotShadeFormData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0B06"/>
    <w:rsid w:val="02873BB9"/>
    <w:rsid w:val="0374238F"/>
    <w:rsid w:val="03F434D0"/>
    <w:rsid w:val="04F548E2"/>
    <w:rsid w:val="05015EA4"/>
    <w:rsid w:val="06594D7C"/>
    <w:rsid w:val="08230990"/>
    <w:rsid w:val="0932487E"/>
    <w:rsid w:val="0BB21B28"/>
    <w:rsid w:val="0C5B40EC"/>
    <w:rsid w:val="0E7A7DAD"/>
    <w:rsid w:val="0E94216D"/>
    <w:rsid w:val="0FA91612"/>
    <w:rsid w:val="100C608A"/>
    <w:rsid w:val="120A0410"/>
    <w:rsid w:val="13250FB0"/>
    <w:rsid w:val="18C4126B"/>
    <w:rsid w:val="194523AC"/>
    <w:rsid w:val="1BC16D2A"/>
    <w:rsid w:val="1DFE6FCD"/>
    <w:rsid w:val="22CF0F38"/>
    <w:rsid w:val="24443260"/>
    <w:rsid w:val="264D1E81"/>
    <w:rsid w:val="266B0F78"/>
    <w:rsid w:val="27117D71"/>
    <w:rsid w:val="27F84A8D"/>
    <w:rsid w:val="2BA94429"/>
    <w:rsid w:val="2BDF11C1"/>
    <w:rsid w:val="2F1352F7"/>
    <w:rsid w:val="315F16D9"/>
    <w:rsid w:val="340D18C0"/>
    <w:rsid w:val="34A77018"/>
    <w:rsid w:val="36150094"/>
    <w:rsid w:val="38670E5A"/>
    <w:rsid w:val="39292CF8"/>
    <w:rsid w:val="3A7D0BD3"/>
    <w:rsid w:val="3B8D2517"/>
    <w:rsid w:val="3C074E47"/>
    <w:rsid w:val="3DA90835"/>
    <w:rsid w:val="3E775655"/>
    <w:rsid w:val="3F090ADD"/>
    <w:rsid w:val="44D5342A"/>
    <w:rsid w:val="46FC37FA"/>
    <w:rsid w:val="471E7C15"/>
    <w:rsid w:val="478351D6"/>
    <w:rsid w:val="478A0650"/>
    <w:rsid w:val="4A315EB1"/>
    <w:rsid w:val="4ACF7478"/>
    <w:rsid w:val="4BBA5AD8"/>
    <w:rsid w:val="4DC96400"/>
    <w:rsid w:val="4E4A5793"/>
    <w:rsid w:val="50A56CB1"/>
    <w:rsid w:val="573776C5"/>
    <w:rsid w:val="5C646350"/>
    <w:rsid w:val="5DB26EB1"/>
    <w:rsid w:val="5E745F14"/>
    <w:rsid w:val="5F394F39"/>
    <w:rsid w:val="62EA0E9B"/>
    <w:rsid w:val="642B3519"/>
    <w:rsid w:val="65385EEE"/>
    <w:rsid w:val="65CD613C"/>
    <w:rsid w:val="671E3D0F"/>
    <w:rsid w:val="678B3F86"/>
    <w:rsid w:val="6B5275DD"/>
    <w:rsid w:val="6BCE6C80"/>
    <w:rsid w:val="70182BA3"/>
    <w:rsid w:val="741E09A4"/>
    <w:rsid w:val="74BA3536"/>
    <w:rsid w:val="75D7705D"/>
    <w:rsid w:val="769431A0"/>
    <w:rsid w:val="76F1414E"/>
    <w:rsid w:val="7A684727"/>
    <w:rsid w:val="7D052701"/>
    <w:rsid w:val="7E2B5ACD"/>
    <w:rsid w:val="7FBD72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qFormat="1" w:unhideWhenUsed="0"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semiHidden="0" w:name="Body Text Indent 2"/>
    <w:lsdException w:qFormat="1" w:unhideWhenUsed="0" w:uiPriority="0" w:semiHidden="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nhideWhenUsed="0"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51"/>
    <w:qFormat/>
    <w:uiPriority w:val="0"/>
    <w:pPr>
      <w:keepNext/>
      <w:keepLines/>
      <w:widowControl w:val="0"/>
      <w:spacing w:before="340" w:after="330" w:line="576" w:lineRule="auto"/>
      <w:outlineLvl w:val="0"/>
    </w:pPr>
    <w:rPr>
      <w:b/>
      <w:bCs/>
      <w:kern w:val="44"/>
      <w:sz w:val="44"/>
      <w:szCs w:val="44"/>
    </w:rPr>
  </w:style>
  <w:style w:type="paragraph" w:styleId="3">
    <w:name w:val="heading 2"/>
    <w:basedOn w:val="1"/>
    <w:next w:val="1"/>
    <w:link w:val="52"/>
    <w:qFormat/>
    <w:uiPriority w:val="0"/>
    <w:pPr>
      <w:keepNext/>
      <w:keepLines/>
      <w:adjustRightInd w:val="0"/>
      <w:spacing w:before="260" w:after="260" w:line="416" w:lineRule="atLeast"/>
      <w:textAlignment w:val="baseline"/>
      <w:outlineLvl w:val="1"/>
    </w:pPr>
    <w:rPr>
      <w:rFonts w:ascii="Arial" w:hAnsi="Arial" w:eastAsia="黑体"/>
      <w:b/>
      <w:kern w:val="0"/>
      <w:sz w:val="32"/>
    </w:rPr>
  </w:style>
  <w:style w:type="paragraph" w:styleId="4">
    <w:name w:val="heading 3"/>
    <w:basedOn w:val="1"/>
    <w:next w:val="1"/>
    <w:link w:val="53"/>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4"/>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5"/>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56"/>
    <w:unhideWhenUsed/>
    <w:qFormat/>
    <w:uiPriority w:val="0"/>
    <w:pPr>
      <w:keepNext/>
      <w:keepLines/>
      <w:spacing w:before="240" w:after="64" w:line="320" w:lineRule="auto"/>
      <w:outlineLvl w:val="5"/>
    </w:pPr>
    <w:rPr>
      <w:rFonts w:ascii="Cambria" w:hAnsi="Cambria"/>
      <w:b/>
      <w:bCs/>
      <w:sz w:val="24"/>
      <w:szCs w:val="24"/>
    </w:rPr>
  </w:style>
  <w:style w:type="paragraph" w:styleId="8">
    <w:name w:val="heading 9"/>
    <w:basedOn w:val="1"/>
    <w:next w:val="1"/>
    <w:link w:val="57"/>
    <w:unhideWhenUsed/>
    <w:qFormat/>
    <w:uiPriority w:val="0"/>
    <w:pPr>
      <w:keepNext/>
      <w:keepLines/>
      <w:spacing w:before="240" w:after="64" w:line="320" w:lineRule="auto"/>
      <w:outlineLvl w:val="8"/>
    </w:pPr>
    <w:rPr>
      <w:rFonts w:ascii="Cambria" w:hAnsi="Cambria"/>
      <w:szCs w:val="21"/>
    </w:rPr>
  </w:style>
  <w:style w:type="character" w:default="1" w:styleId="35">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2520" w:leftChars="1200"/>
    </w:pPr>
  </w:style>
  <w:style w:type="paragraph" w:styleId="10">
    <w:name w:val="envelope address"/>
    <w:basedOn w:val="1"/>
    <w:semiHidden/>
    <w:qFormat/>
    <w:uiPriority w:val="0"/>
    <w:pPr>
      <w:widowControl w:val="0"/>
      <w:snapToGrid w:val="0"/>
      <w:ind w:left="100" w:leftChars="1400"/>
    </w:pPr>
    <w:rPr>
      <w:rFonts w:ascii="Arial" w:hAnsi="Arial" w:cs="Arial"/>
      <w:sz w:val="24"/>
      <w:szCs w:val="24"/>
    </w:rPr>
  </w:style>
  <w:style w:type="paragraph" w:styleId="11">
    <w:name w:val="Document Map"/>
    <w:basedOn w:val="1"/>
    <w:link w:val="58"/>
    <w:unhideWhenUsed/>
    <w:qFormat/>
    <w:uiPriority w:val="0"/>
    <w:rPr>
      <w:rFonts w:ascii="宋体"/>
      <w:sz w:val="18"/>
      <w:szCs w:val="18"/>
    </w:rPr>
  </w:style>
  <w:style w:type="paragraph" w:styleId="12">
    <w:name w:val="annotation text"/>
    <w:basedOn w:val="1"/>
    <w:link w:val="59"/>
    <w:unhideWhenUsed/>
    <w:qFormat/>
    <w:uiPriority w:val="0"/>
    <w:pPr>
      <w:jc w:val="left"/>
    </w:pPr>
  </w:style>
  <w:style w:type="paragraph" w:styleId="13">
    <w:name w:val="Body Text"/>
    <w:basedOn w:val="1"/>
    <w:link w:val="60"/>
    <w:unhideWhenUsed/>
    <w:qFormat/>
    <w:uiPriority w:val="0"/>
    <w:pPr>
      <w:spacing w:after="120"/>
    </w:pPr>
  </w:style>
  <w:style w:type="paragraph" w:styleId="14">
    <w:name w:val="Body Text Indent"/>
    <w:basedOn w:val="1"/>
    <w:link w:val="61"/>
    <w:unhideWhenUsed/>
    <w:qFormat/>
    <w:uiPriority w:val="0"/>
    <w:pPr>
      <w:spacing w:line="360" w:lineRule="auto"/>
      <w:ind w:firstLine="360" w:firstLineChars="150"/>
    </w:pPr>
    <w:rPr>
      <w:sz w:val="24"/>
      <w:szCs w:val="24"/>
    </w:rPr>
  </w:style>
  <w:style w:type="paragraph" w:styleId="15">
    <w:name w:val="toc 5"/>
    <w:basedOn w:val="1"/>
    <w:next w:val="1"/>
    <w:unhideWhenUsed/>
    <w:qFormat/>
    <w:uiPriority w:val="39"/>
    <w:pPr>
      <w:ind w:left="1680" w:leftChars="800"/>
    </w:pPr>
  </w:style>
  <w:style w:type="paragraph" w:styleId="16">
    <w:name w:val="toc 3"/>
    <w:basedOn w:val="1"/>
    <w:next w:val="1"/>
    <w:unhideWhenUsed/>
    <w:qFormat/>
    <w:uiPriority w:val="39"/>
    <w:pPr>
      <w:ind w:left="840" w:leftChars="400"/>
    </w:pPr>
  </w:style>
  <w:style w:type="paragraph" w:styleId="17">
    <w:name w:val="Plain Text"/>
    <w:basedOn w:val="1"/>
    <w:link w:val="62"/>
    <w:unhideWhenUsed/>
    <w:qFormat/>
    <w:uiPriority w:val="0"/>
    <w:pPr>
      <w:widowControl w:val="0"/>
    </w:pPr>
    <w:rPr>
      <w:rFonts w:ascii="宋体" w:hAnsi="Courier New"/>
      <w:kern w:val="0"/>
      <w:sz w:val="20"/>
      <w:szCs w:val="21"/>
    </w:rPr>
  </w:style>
  <w:style w:type="paragraph" w:styleId="18">
    <w:name w:val="toc 8"/>
    <w:basedOn w:val="1"/>
    <w:next w:val="1"/>
    <w:unhideWhenUsed/>
    <w:qFormat/>
    <w:uiPriority w:val="39"/>
    <w:pPr>
      <w:ind w:left="2940" w:leftChars="1400"/>
    </w:pPr>
  </w:style>
  <w:style w:type="paragraph" w:styleId="19">
    <w:name w:val="Date"/>
    <w:basedOn w:val="1"/>
    <w:next w:val="1"/>
    <w:link w:val="63"/>
    <w:qFormat/>
    <w:uiPriority w:val="0"/>
    <w:pPr>
      <w:ind w:left="100" w:leftChars="2500"/>
    </w:pPr>
  </w:style>
  <w:style w:type="paragraph" w:styleId="20">
    <w:name w:val="Body Text Indent 2"/>
    <w:basedOn w:val="1"/>
    <w:link w:val="64"/>
    <w:unhideWhenUsed/>
    <w:qFormat/>
    <w:uiPriority w:val="0"/>
    <w:pPr>
      <w:spacing w:after="120" w:line="480" w:lineRule="auto"/>
      <w:ind w:left="420" w:leftChars="200"/>
    </w:pPr>
  </w:style>
  <w:style w:type="paragraph" w:styleId="21">
    <w:name w:val="Balloon Text"/>
    <w:basedOn w:val="1"/>
    <w:link w:val="65"/>
    <w:unhideWhenUsed/>
    <w:qFormat/>
    <w:uiPriority w:val="99"/>
    <w:rPr>
      <w:sz w:val="18"/>
      <w:szCs w:val="18"/>
    </w:rPr>
  </w:style>
  <w:style w:type="paragraph" w:styleId="22">
    <w:name w:val="footer"/>
    <w:basedOn w:val="1"/>
    <w:link w:val="66"/>
    <w:unhideWhenUsed/>
    <w:qFormat/>
    <w:uiPriority w:val="99"/>
    <w:pPr>
      <w:tabs>
        <w:tab w:val="center" w:pos="4153"/>
        <w:tab w:val="right" w:pos="8306"/>
      </w:tabs>
      <w:snapToGrid w:val="0"/>
      <w:jc w:val="left"/>
    </w:pPr>
    <w:rPr>
      <w:sz w:val="18"/>
      <w:szCs w:val="18"/>
    </w:rPr>
  </w:style>
  <w:style w:type="paragraph" w:styleId="23">
    <w:name w:val="header"/>
    <w:basedOn w:val="1"/>
    <w:link w:val="67"/>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ind w:left="1260" w:leftChars="600"/>
    </w:pPr>
  </w:style>
  <w:style w:type="paragraph" w:styleId="26">
    <w:name w:val="toc 6"/>
    <w:basedOn w:val="1"/>
    <w:next w:val="1"/>
    <w:unhideWhenUsed/>
    <w:qFormat/>
    <w:uiPriority w:val="39"/>
    <w:pPr>
      <w:ind w:left="2100" w:leftChars="1000"/>
    </w:pPr>
  </w:style>
  <w:style w:type="paragraph" w:styleId="27">
    <w:name w:val="Body Text Indent 3"/>
    <w:basedOn w:val="1"/>
    <w:link w:val="68"/>
    <w:qFormat/>
    <w:uiPriority w:val="0"/>
    <w:pPr>
      <w:widowControl w:val="0"/>
      <w:spacing w:line="400" w:lineRule="exact"/>
      <w:ind w:firstLine="630"/>
    </w:pPr>
    <w:rPr>
      <w:rFonts w:ascii="宋体" w:hAnsi="宋体"/>
      <w:szCs w:val="24"/>
    </w:rPr>
  </w:style>
  <w:style w:type="paragraph" w:styleId="28">
    <w:name w:val="toc 2"/>
    <w:basedOn w:val="1"/>
    <w:next w:val="1"/>
    <w:unhideWhenUsed/>
    <w:qFormat/>
    <w:uiPriority w:val="39"/>
    <w:pPr>
      <w:ind w:left="420" w:leftChars="200"/>
    </w:pPr>
  </w:style>
  <w:style w:type="paragraph" w:styleId="29">
    <w:name w:val="toc 9"/>
    <w:basedOn w:val="1"/>
    <w:next w:val="1"/>
    <w:unhideWhenUsed/>
    <w:qFormat/>
    <w:uiPriority w:val="39"/>
    <w:pPr>
      <w:ind w:left="3360" w:leftChars="1600"/>
    </w:pPr>
  </w:style>
  <w:style w:type="paragraph" w:styleId="30">
    <w:name w:val="Normal (Web)"/>
    <w:basedOn w:val="1"/>
    <w:unhideWhenUsed/>
    <w:qFormat/>
    <w:uiPriority w:val="0"/>
    <w:pPr>
      <w:spacing w:before="100" w:beforeAutospacing="1" w:after="100" w:afterAutospacing="1"/>
      <w:jc w:val="left"/>
    </w:pPr>
    <w:rPr>
      <w:rFonts w:ascii="宋体" w:hAnsi="宋体" w:cs="宋体"/>
      <w:kern w:val="0"/>
      <w:sz w:val="24"/>
      <w:szCs w:val="24"/>
    </w:rPr>
  </w:style>
  <w:style w:type="paragraph" w:styleId="31">
    <w:name w:val="index 1"/>
    <w:basedOn w:val="1"/>
    <w:next w:val="1"/>
    <w:semiHidden/>
    <w:qFormat/>
    <w:uiPriority w:val="0"/>
    <w:pPr>
      <w:widowControl w:val="0"/>
      <w:spacing w:line="360" w:lineRule="auto"/>
    </w:pPr>
    <w:rPr>
      <w:rFonts w:ascii="宋体"/>
      <w:b/>
      <w:color w:val="0000FF"/>
      <w:sz w:val="24"/>
      <w:szCs w:val="24"/>
    </w:rPr>
  </w:style>
  <w:style w:type="paragraph" w:styleId="32">
    <w:name w:val="annotation subject"/>
    <w:basedOn w:val="12"/>
    <w:next w:val="12"/>
    <w:link w:val="69"/>
    <w:unhideWhenUsed/>
    <w:qFormat/>
    <w:uiPriority w:val="0"/>
    <w:rPr>
      <w:b/>
      <w:bCs/>
    </w:rPr>
  </w:style>
  <w:style w:type="paragraph" w:styleId="33">
    <w:name w:val="Body Text First Indent 2"/>
    <w:basedOn w:val="14"/>
    <w:link w:val="70"/>
    <w:qFormat/>
    <w:uiPriority w:val="0"/>
    <w:pPr>
      <w:widowControl w:val="0"/>
      <w:ind w:firstLine="420" w:firstLineChars="200"/>
    </w:pPr>
    <w:rPr>
      <w:rFonts w:ascii="宋体"/>
      <w:szCs w:val="20"/>
    </w:rPr>
  </w:style>
  <w:style w:type="character" w:styleId="36">
    <w:name w:val="Strong"/>
    <w:basedOn w:val="35"/>
    <w:qFormat/>
    <w:uiPriority w:val="0"/>
    <w:rPr>
      <w:b/>
      <w:bCs/>
    </w:rPr>
  </w:style>
  <w:style w:type="character" w:styleId="37">
    <w:name w:val="Emphasis"/>
    <w:basedOn w:val="35"/>
    <w:qFormat/>
    <w:uiPriority w:val="0"/>
    <w:rPr>
      <w:i/>
      <w:iCs/>
    </w:rPr>
  </w:style>
  <w:style w:type="character" w:styleId="38">
    <w:name w:val="Hyperlink"/>
    <w:unhideWhenUsed/>
    <w:qFormat/>
    <w:uiPriority w:val="99"/>
    <w:rPr>
      <w:color w:val="0000FF"/>
      <w:u w:val="single"/>
    </w:rPr>
  </w:style>
  <w:style w:type="character" w:styleId="39">
    <w:name w:val="annotation reference"/>
    <w:unhideWhenUsed/>
    <w:qFormat/>
    <w:uiPriority w:val="0"/>
    <w:rPr>
      <w:sz w:val="21"/>
      <w:szCs w:val="21"/>
    </w:rPr>
  </w:style>
  <w:style w:type="character" w:styleId="40">
    <w:name w:val="HTML Sample"/>
    <w:semiHidden/>
    <w:qFormat/>
    <w:uiPriority w:val="0"/>
    <w:rPr>
      <w:rFonts w:ascii="Courier New" w:hAnsi="Courier New" w:cs="Courier New"/>
    </w:rPr>
  </w:style>
  <w:style w:type="paragraph" w:customStyle="1" w:styleId="41">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Revision"/>
    <w:semiHidden/>
    <w:qFormat/>
    <w:uiPriority w:val="99"/>
    <w:rPr>
      <w:rFonts w:ascii="Times New Roman" w:hAnsi="Times New Roman" w:eastAsia="宋体" w:cs="Times New Roman"/>
      <w:kern w:val="2"/>
      <w:sz w:val="21"/>
      <w:lang w:val="en-US" w:eastAsia="zh-CN" w:bidi="ar-SA"/>
    </w:rPr>
  </w:style>
  <w:style w:type="paragraph" w:customStyle="1" w:styleId="43">
    <w:name w:val="p0"/>
    <w:basedOn w:val="1"/>
    <w:qFormat/>
    <w:uiPriority w:val="0"/>
    <w:rPr>
      <w:rFonts w:ascii="Calibri" w:hAnsi="Calibri" w:cs="宋体"/>
      <w:kern w:val="0"/>
      <w:szCs w:val="21"/>
    </w:rPr>
  </w:style>
  <w:style w:type="paragraph" w:customStyle="1" w:styleId="44">
    <w:name w:val="List Paragraph1"/>
    <w:basedOn w:val="1"/>
    <w:qFormat/>
    <w:uiPriority w:val="99"/>
    <w:pPr>
      <w:ind w:firstLine="420" w:firstLineChars="200"/>
    </w:pPr>
  </w:style>
  <w:style w:type="paragraph" w:customStyle="1" w:styleId="45">
    <w:name w:val="列出段落1"/>
    <w:basedOn w:val="1"/>
    <w:qFormat/>
    <w:uiPriority w:val="34"/>
    <w:pPr>
      <w:widowControl w:val="0"/>
      <w:ind w:firstLine="420" w:firstLineChars="200"/>
    </w:pPr>
    <w:rPr>
      <w:rFonts w:ascii="Calibri" w:hAnsi="Calibri"/>
      <w:szCs w:val="22"/>
    </w:rPr>
  </w:style>
  <w:style w:type="paragraph" w:customStyle="1" w:styleId="46">
    <w:name w:val="List Paragraph"/>
    <w:basedOn w:val="1"/>
    <w:qFormat/>
    <w:uiPriority w:val="34"/>
    <w:pPr>
      <w:widowControl w:val="0"/>
      <w:ind w:firstLine="420" w:firstLineChars="200"/>
    </w:pPr>
    <w:rPr>
      <w:szCs w:val="24"/>
    </w:rPr>
  </w:style>
  <w:style w:type="paragraph" w:customStyle="1" w:styleId="47">
    <w:name w:val="Char1 Char Char Char"/>
    <w:basedOn w:val="1"/>
    <w:qFormat/>
    <w:uiPriority w:val="0"/>
    <w:pPr>
      <w:widowControl w:val="0"/>
      <w:spacing w:line="360" w:lineRule="auto"/>
      <w:ind w:left="230" w:leftChars="230"/>
    </w:pPr>
    <w:rPr>
      <w:rFonts w:ascii="Arial" w:hAnsi="Arial" w:cs="Arial"/>
      <w:sz w:val="20"/>
    </w:rPr>
  </w:style>
  <w:style w:type="paragraph" w:customStyle="1" w:styleId="48">
    <w:name w:val="Char"/>
    <w:basedOn w:val="1"/>
    <w:qFormat/>
    <w:uiPriority w:val="0"/>
    <w:pPr>
      <w:spacing w:after="160" w:line="240" w:lineRule="exact"/>
      <w:jc w:val="left"/>
    </w:pPr>
    <w:rPr>
      <w:rFonts w:ascii="Verdana" w:hAnsi="Verdana" w:eastAsia="仿宋_GB2312"/>
      <w:spacing w:val="-4"/>
      <w:kern w:val="0"/>
      <w:sz w:val="24"/>
      <w:lang w:eastAsia="en-US"/>
    </w:rPr>
  </w:style>
  <w:style w:type="paragraph" w:customStyle="1" w:styleId="49">
    <w:name w:val="正文文本缩进 34"/>
    <w:basedOn w:val="1"/>
    <w:qFormat/>
    <w:uiPriority w:val="0"/>
    <w:pPr>
      <w:spacing w:after="120"/>
      <w:ind w:left="420" w:leftChars="200"/>
    </w:pPr>
    <w:rPr>
      <w:kern w:val="0"/>
      <w:sz w:val="16"/>
      <w:szCs w:val="16"/>
    </w:rPr>
  </w:style>
  <w:style w:type="paragraph" w:customStyle="1" w:styleId="50">
    <w:name w:val="Body Text Indent 3"/>
    <w:basedOn w:val="1"/>
    <w:qFormat/>
    <w:uiPriority w:val="0"/>
    <w:pPr>
      <w:spacing w:after="120"/>
      <w:ind w:left="420" w:leftChars="200"/>
    </w:pPr>
    <w:rPr>
      <w:sz w:val="16"/>
      <w:szCs w:val="16"/>
    </w:rPr>
  </w:style>
  <w:style w:type="character" w:customStyle="1" w:styleId="51">
    <w:name w:val="标题 1 Char"/>
    <w:link w:val="2"/>
    <w:qFormat/>
    <w:uiPriority w:val="0"/>
    <w:rPr>
      <w:b/>
      <w:bCs/>
      <w:kern w:val="44"/>
      <w:sz w:val="44"/>
      <w:szCs w:val="44"/>
    </w:rPr>
  </w:style>
  <w:style w:type="character" w:customStyle="1" w:styleId="52">
    <w:name w:val="标题 2 Char"/>
    <w:link w:val="3"/>
    <w:qFormat/>
    <w:uiPriority w:val="0"/>
    <w:rPr>
      <w:rFonts w:ascii="Arial" w:hAnsi="Arial" w:eastAsia="黑体"/>
      <w:b/>
      <w:sz w:val="32"/>
    </w:rPr>
  </w:style>
  <w:style w:type="character" w:customStyle="1" w:styleId="53">
    <w:name w:val="标题 3 Char"/>
    <w:basedOn w:val="35"/>
    <w:link w:val="4"/>
    <w:qFormat/>
    <w:uiPriority w:val="0"/>
    <w:rPr>
      <w:b/>
      <w:bCs/>
      <w:kern w:val="2"/>
      <w:sz w:val="32"/>
      <w:szCs w:val="32"/>
    </w:rPr>
  </w:style>
  <w:style w:type="character" w:customStyle="1" w:styleId="54">
    <w:name w:val="标题 4 Char"/>
    <w:basedOn w:val="35"/>
    <w:link w:val="5"/>
    <w:qFormat/>
    <w:uiPriority w:val="0"/>
    <w:rPr>
      <w:rFonts w:ascii="Cambria" w:hAnsi="Cambria" w:eastAsia="宋体" w:cs="Times New Roman"/>
      <w:b/>
      <w:bCs/>
      <w:kern w:val="2"/>
      <w:sz w:val="28"/>
      <w:szCs w:val="28"/>
    </w:rPr>
  </w:style>
  <w:style w:type="character" w:customStyle="1" w:styleId="55">
    <w:name w:val="标题 5 Char"/>
    <w:basedOn w:val="35"/>
    <w:link w:val="6"/>
    <w:qFormat/>
    <w:uiPriority w:val="0"/>
    <w:rPr>
      <w:b/>
      <w:bCs/>
      <w:kern w:val="2"/>
      <w:sz w:val="28"/>
      <w:szCs w:val="28"/>
    </w:rPr>
  </w:style>
  <w:style w:type="character" w:customStyle="1" w:styleId="56">
    <w:name w:val="标题 6 Char"/>
    <w:basedOn w:val="35"/>
    <w:link w:val="7"/>
    <w:qFormat/>
    <w:uiPriority w:val="0"/>
    <w:rPr>
      <w:rFonts w:ascii="Cambria" w:hAnsi="Cambria" w:eastAsia="宋体" w:cs="Times New Roman"/>
      <w:b/>
      <w:bCs/>
      <w:kern w:val="2"/>
      <w:sz w:val="24"/>
      <w:szCs w:val="24"/>
    </w:rPr>
  </w:style>
  <w:style w:type="character" w:customStyle="1" w:styleId="57">
    <w:name w:val="标题 9 Char"/>
    <w:basedOn w:val="35"/>
    <w:link w:val="8"/>
    <w:semiHidden/>
    <w:qFormat/>
    <w:uiPriority w:val="0"/>
    <w:rPr>
      <w:rFonts w:ascii="Cambria" w:hAnsi="Cambria" w:eastAsia="宋体" w:cs="Times New Roman"/>
      <w:kern w:val="2"/>
      <w:sz w:val="21"/>
      <w:szCs w:val="21"/>
    </w:rPr>
  </w:style>
  <w:style w:type="character" w:customStyle="1" w:styleId="58">
    <w:name w:val="文档结构图 Char"/>
    <w:link w:val="11"/>
    <w:qFormat/>
    <w:uiPriority w:val="0"/>
    <w:rPr>
      <w:rFonts w:ascii="宋体"/>
      <w:kern w:val="2"/>
      <w:sz w:val="18"/>
      <w:szCs w:val="18"/>
    </w:rPr>
  </w:style>
  <w:style w:type="character" w:customStyle="1" w:styleId="59">
    <w:name w:val="批注文字 Char"/>
    <w:link w:val="12"/>
    <w:qFormat/>
    <w:uiPriority w:val="0"/>
    <w:rPr>
      <w:kern w:val="2"/>
      <w:sz w:val="21"/>
    </w:rPr>
  </w:style>
  <w:style w:type="character" w:customStyle="1" w:styleId="60">
    <w:name w:val="正文文本 Char"/>
    <w:basedOn w:val="35"/>
    <w:link w:val="13"/>
    <w:semiHidden/>
    <w:qFormat/>
    <w:uiPriority w:val="0"/>
    <w:rPr>
      <w:kern w:val="2"/>
      <w:sz w:val="21"/>
    </w:rPr>
  </w:style>
  <w:style w:type="character" w:customStyle="1" w:styleId="61">
    <w:name w:val="正文文本缩进 Char"/>
    <w:link w:val="14"/>
    <w:qFormat/>
    <w:uiPriority w:val="0"/>
    <w:rPr>
      <w:kern w:val="2"/>
      <w:sz w:val="24"/>
      <w:szCs w:val="24"/>
    </w:rPr>
  </w:style>
  <w:style w:type="character" w:customStyle="1" w:styleId="62">
    <w:name w:val="纯文本 Char"/>
    <w:link w:val="17"/>
    <w:qFormat/>
    <w:locked/>
    <w:uiPriority w:val="0"/>
    <w:rPr>
      <w:rFonts w:ascii="宋体" w:hAnsi="Courier New"/>
      <w:szCs w:val="21"/>
      <w:lang w:bidi="ar-SA"/>
    </w:rPr>
  </w:style>
  <w:style w:type="character" w:customStyle="1" w:styleId="63">
    <w:name w:val="日期 Char"/>
    <w:basedOn w:val="35"/>
    <w:link w:val="19"/>
    <w:qFormat/>
    <w:uiPriority w:val="0"/>
    <w:rPr>
      <w:kern w:val="2"/>
      <w:sz w:val="21"/>
    </w:rPr>
  </w:style>
  <w:style w:type="character" w:customStyle="1" w:styleId="64">
    <w:name w:val="正文文本缩进 2 Char"/>
    <w:basedOn w:val="35"/>
    <w:link w:val="20"/>
    <w:semiHidden/>
    <w:qFormat/>
    <w:uiPriority w:val="0"/>
    <w:rPr>
      <w:kern w:val="2"/>
      <w:sz w:val="21"/>
    </w:rPr>
  </w:style>
  <w:style w:type="character" w:customStyle="1" w:styleId="65">
    <w:name w:val="批注框文本 Char"/>
    <w:link w:val="21"/>
    <w:semiHidden/>
    <w:qFormat/>
    <w:uiPriority w:val="99"/>
    <w:rPr>
      <w:kern w:val="2"/>
      <w:sz w:val="18"/>
      <w:szCs w:val="18"/>
    </w:rPr>
  </w:style>
  <w:style w:type="character" w:customStyle="1" w:styleId="66">
    <w:name w:val="页脚 Char"/>
    <w:link w:val="22"/>
    <w:qFormat/>
    <w:uiPriority w:val="99"/>
    <w:rPr>
      <w:kern w:val="2"/>
      <w:sz w:val="18"/>
      <w:szCs w:val="18"/>
    </w:rPr>
  </w:style>
  <w:style w:type="character" w:customStyle="1" w:styleId="67">
    <w:name w:val="页眉 Char"/>
    <w:link w:val="23"/>
    <w:qFormat/>
    <w:uiPriority w:val="99"/>
    <w:rPr>
      <w:kern w:val="2"/>
      <w:sz w:val="18"/>
      <w:szCs w:val="18"/>
    </w:rPr>
  </w:style>
  <w:style w:type="character" w:customStyle="1" w:styleId="68">
    <w:name w:val="正文文本缩进 3 Char"/>
    <w:basedOn w:val="35"/>
    <w:link w:val="27"/>
    <w:qFormat/>
    <w:uiPriority w:val="0"/>
    <w:rPr>
      <w:rFonts w:ascii="宋体" w:hAnsi="宋体"/>
      <w:kern w:val="2"/>
      <w:sz w:val="21"/>
      <w:szCs w:val="24"/>
    </w:rPr>
  </w:style>
  <w:style w:type="character" w:customStyle="1" w:styleId="69">
    <w:name w:val="批注主题 Char"/>
    <w:link w:val="32"/>
    <w:qFormat/>
    <w:uiPriority w:val="0"/>
    <w:rPr>
      <w:b/>
      <w:bCs/>
      <w:kern w:val="2"/>
      <w:sz w:val="21"/>
    </w:rPr>
  </w:style>
  <w:style w:type="character" w:customStyle="1" w:styleId="70">
    <w:name w:val="正文首行缩进 2 Char"/>
    <w:basedOn w:val="61"/>
    <w:link w:val="33"/>
    <w:qFormat/>
    <w:uiPriority w:val="0"/>
    <w:rPr>
      <w:rFonts w:ascii="宋体"/>
    </w:rPr>
  </w:style>
  <w:style w:type="character" w:customStyle="1" w:styleId="71">
    <w:name w:val="标题 9 字符"/>
    <w:qFormat/>
    <w:uiPriority w:val="0"/>
    <w:rPr>
      <w:rFonts w:ascii="Arial" w:hAnsi="Arial" w:eastAsia="黑体" w:cs="Times New Roman"/>
      <w:kern w:val="0"/>
      <w:szCs w:val="21"/>
    </w:rPr>
  </w:style>
  <w:style w:type="character" w:customStyle="1" w:styleId="72">
    <w:name w:val="font61"/>
    <w:basedOn w:val="35"/>
    <w:qFormat/>
    <w:uiPriority w:val="0"/>
    <w:rPr>
      <w:rFonts w:hint="eastAsia" w:ascii="宋体" w:hAnsi="宋体" w:eastAsia="宋体" w:cs="宋体"/>
      <w:b/>
      <w:bCs/>
      <w:color w:val="000000"/>
      <w:sz w:val="18"/>
      <w:szCs w:val="18"/>
      <w:u w:val="none"/>
    </w:rPr>
  </w:style>
  <w:style w:type="character" w:customStyle="1" w:styleId="73">
    <w:name w:val="font41"/>
    <w:basedOn w:val="35"/>
    <w:qFormat/>
    <w:uiPriority w:val="0"/>
    <w:rPr>
      <w:rFonts w:hint="eastAsia" w:ascii="微软雅黑" w:hAnsi="微软雅黑" w:eastAsia="微软雅黑" w:cs="微软雅黑"/>
      <w:b/>
      <w:bCs/>
      <w:color w:val="000000"/>
      <w:sz w:val="18"/>
      <w:szCs w:val="18"/>
      <w:u w:val="none"/>
    </w:rPr>
  </w:style>
  <w:style w:type="character" w:customStyle="1" w:styleId="74">
    <w:name w:val="font91"/>
    <w:basedOn w:val="35"/>
    <w:qFormat/>
    <w:uiPriority w:val="0"/>
    <w:rPr>
      <w:rFonts w:hint="eastAsia" w:ascii="宋体" w:hAnsi="宋体" w:eastAsia="宋体" w:cs="宋体"/>
      <w:color w:val="000000"/>
      <w:sz w:val="24"/>
      <w:szCs w:val="24"/>
      <w:u w:val="single"/>
    </w:rPr>
  </w:style>
  <w:style w:type="character" w:customStyle="1" w:styleId="75">
    <w:name w:val="font21"/>
    <w:basedOn w:val="3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wmf"/><Relationship Id="rId17" Type="http://schemas.openxmlformats.org/officeDocument/2006/relationships/oleObject" Target="embeddings/oleObject1.bin"/><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103</Pages>
  <Words>18621</Words>
  <Characters>19869</Characters>
  <Lines>212</Lines>
  <Paragraphs>59</Paragraphs>
  <TotalTime>91</TotalTime>
  <ScaleCrop>false</ScaleCrop>
  <LinksUpToDate>false</LinksUpToDate>
  <CharactersWithSpaces>20953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2021-07-14T03:22:00Z</dcterms:created>
  <dc:creator>Administrator</dc:creator>
  <cp:lastModifiedBy>李家乐</cp:lastModifiedBy>
  <cp:lastPrinted>2026-02-11T05:46:00Z</cp:lastPrinted>
  <dcterms:modified xsi:type="dcterms:W3CDTF">2026-07-03T01:11:49Z</dcterms:modified>
  <dc:title>深圳第一亚太物业管理有限公司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4CA5B56286EA4F37959D1C3687C8789D_13</vt:lpwstr>
  </property>
  <property fmtid="{D5CDD505-2E9C-101B-9397-08002B2CF9AE}" pid="4" name="KSOTemplateDocerSaveRecord">
    <vt:lpwstr>eyJoZGlkIjoiOTJkMjhkMGYxYzA1OGY3N2EzZmJmODFlY2U5NmVlYTUiLCJ1c2VySWQiOiI0NjA0OTI0MDYifQ==</vt:lpwstr>
  </property>
</Properties>
</file>