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435012">
      <w:pPr>
        <w:spacing w:line="276" w:lineRule="auto"/>
        <w:jc w:val="both"/>
        <w:rPr>
          <w:rFonts w:ascii="宋体" w:hAnsi="宋体" w:cs="Calibri"/>
          <w:b/>
          <w:color w:val="auto"/>
          <w:sz w:val="44"/>
          <w:highlight w:val="none"/>
          <w:shd w:val="clear" w:color="060000" w:fill="auto"/>
        </w:rPr>
      </w:pPr>
    </w:p>
    <w:p w14:paraId="2388522C">
      <w:pPr>
        <w:spacing w:line="276" w:lineRule="auto"/>
        <w:jc w:val="center"/>
        <w:rPr>
          <w:rFonts w:ascii="宋体" w:hAnsi="宋体" w:cs="Calibri"/>
          <w:b/>
          <w:color w:val="auto"/>
          <w:sz w:val="44"/>
          <w:highlight w:val="none"/>
          <w:shd w:val="clear" w:color="060000" w:fill="auto"/>
        </w:rPr>
      </w:pPr>
    </w:p>
    <w:p w14:paraId="592DF21C">
      <w:pPr>
        <w:spacing w:line="276" w:lineRule="auto"/>
        <w:jc w:val="center"/>
        <w:rPr>
          <w:rFonts w:hint="eastAsia" w:ascii="黑体" w:hAnsi="黑体" w:eastAsia="黑体" w:cs="黑体"/>
          <w:color w:val="auto"/>
          <w:sz w:val="52"/>
          <w:szCs w:val="52"/>
          <w:highlight w:val="none"/>
          <w:shd w:val="clear" w:color="060000" w:fill="auto"/>
          <w:lang w:eastAsia="zh-CN"/>
        </w:rPr>
      </w:pPr>
      <w:r>
        <w:rPr>
          <w:rFonts w:hint="eastAsia" w:ascii="黑体" w:hAnsi="黑体" w:eastAsia="黑体" w:cs="黑体"/>
          <w:color w:val="auto"/>
          <w:sz w:val="52"/>
          <w:szCs w:val="52"/>
          <w:highlight w:val="none"/>
          <w:shd w:val="clear" w:color="060000" w:fill="auto"/>
          <w:lang w:eastAsia="zh-CN"/>
        </w:rPr>
        <w:t>深圳第一亚太物业管理有限公司</w:t>
      </w:r>
    </w:p>
    <w:p w14:paraId="0E16BA23">
      <w:pPr>
        <w:spacing w:line="276" w:lineRule="auto"/>
        <w:jc w:val="center"/>
        <w:rPr>
          <w:rFonts w:hint="eastAsia" w:ascii="黑体" w:hAnsi="黑体" w:eastAsia="黑体" w:cs="黑体"/>
          <w:b/>
          <w:color w:val="auto"/>
          <w:sz w:val="48"/>
          <w:highlight w:val="none"/>
          <w:shd w:val="clear" w:color="060000" w:fill="auto"/>
        </w:rPr>
      </w:pPr>
    </w:p>
    <w:p w14:paraId="580417C6">
      <w:pPr>
        <w:spacing w:line="276" w:lineRule="auto"/>
        <w:jc w:val="center"/>
        <w:rPr>
          <w:rFonts w:hint="eastAsia" w:ascii="黑体" w:hAnsi="黑体" w:eastAsia="黑体" w:cs="黑体"/>
          <w:b/>
          <w:color w:val="auto"/>
          <w:sz w:val="48"/>
          <w:highlight w:val="none"/>
          <w:shd w:val="clear" w:color="060000" w:fill="auto"/>
        </w:rPr>
      </w:pPr>
    </w:p>
    <w:p w14:paraId="4AF3C109">
      <w:pPr>
        <w:spacing w:line="276" w:lineRule="auto"/>
        <w:jc w:val="center"/>
        <w:rPr>
          <w:rFonts w:hint="eastAsia" w:ascii="黑体" w:hAnsi="黑体" w:eastAsia="黑体" w:cs="黑体"/>
          <w:color w:val="auto"/>
          <w:sz w:val="72"/>
          <w:szCs w:val="72"/>
          <w:highlight w:val="none"/>
          <w:shd w:val="clear" w:color="060000" w:fill="auto"/>
        </w:rPr>
      </w:pPr>
      <w:r>
        <w:rPr>
          <w:rFonts w:hint="eastAsia" w:ascii="黑体" w:hAnsi="黑体" w:eastAsia="黑体" w:cs="黑体"/>
          <w:color w:val="auto"/>
          <w:sz w:val="72"/>
          <w:szCs w:val="72"/>
          <w:highlight w:val="none"/>
          <w:shd w:val="clear" w:color="060000" w:fill="auto"/>
        </w:rPr>
        <w:t>非依法必须招标项目</w:t>
      </w:r>
    </w:p>
    <w:p w14:paraId="157F9479">
      <w:pPr>
        <w:spacing w:line="276" w:lineRule="auto"/>
        <w:jc w:val="center"/>
        <w:rPr>
          <w:rFonts w:ascii="宋体" w:hAnsi="宋体" w:cs="黑体"/>
          <w:b/>
          <w:color w:val="auto"/>
          <w:sz w:val="72"/>
          <w:highlight w:val="none"/>
          <w:shd w:val="clear" w:color="060000" w:fill="auto"/>
        </w:rPr>
      </w:pPr>
      <w:r>
        <w:rPr>
          <w:rFonts w:hint="eastAsia" w:ascii="黑体" w:hAnsi="黑体" w:eastAsia="黑体" w:cs="黑体"/>
          <w:color w:val="auto"/>
          <w:sz w:val="72"/>
          <w:szCs w:val="72"/>
          <w:highlight w:val="none"/>
          <w:shd w:val="clear" w:color="060000" w:fill="auto"/>
        </w:rPr>
        <w:t>服务类招标文件</w:t>
      </w:r>
    </w:p>
    <w:p w14:paraId="04F62CE4">
      <w:pPr>
        <w:spacing w:line="276" w:lineRule="auto"/>
        <w:jc w:val="center"/>
        <w:rPr>
          <w:rFonts w:ascii="宋体" w:hAnsi="宋体" w:cs="黑体"/>
          <w:b/>
          <w:color w:val="auto"/>
          <w:sz w:val="72"/>
          <w:highlight w:val="none"/>
          <w:shd w:val="clear" w:color="060000" w:fill="auto"/>
        </w:rPr>
      </w:pPr>
    </w:p>
    <w:p w14:paraId="4DC21617">
      <w:pPr>
        <w:spacing w:line="276" w:lineRule="auto"/>
        <w:ind w:firstLine="31680"/>
        <w:jc w:val="center"/>
        <w:rPr>
          <w:rFonts w:ascii="宋体" w:hAnsi="宋体" w:cs="黑体"/>
          <w:b/>
          <w:color w:val="auto"/>
          <w:sz w:val="44"/>
          <w:highlight w:val="none"/>
          <w:shd w:val="clear" w:color="060000" w:fill="auto"/>
        </w:rPr>
      </w:pPr>
    </w:p>
    <w:p w14:paraId="02858260">
      <w:pPr>
        <w:spacing w:line="276" w:lineRule="auto"/>
        <w:ind w:firstLine="31680"/>
        <w:jc w:val="center"/>
        <w:rPr>
          <w:rFonts w:ascii="宋体" w:hAnsi="宋体" w:cs="黑体"/>
          <w:b/>
          <w:color w:val="auto"/>
          <w:sz w:val="44"/>
          <w:highlight w:val="none"/>
          <w:shd w:val="clear" w:color="060000" w:fill="auto"/>
        </w:rPr>
      </w:pPr>
    </w:p>
    <w:p w14:paraId="4ABCBD2E">
      <w:pPr>
        <w:spacing w:line="276" w:lineRule="auto"/>
        <w:ind w:left="-30076"/>
        <w:rPr>
          <w:rFonts w:ascii="宋体" w:hAnsi="宋体" w:cs="Calibri"/>
          <w:b/>
          <w:color w:val="auto"/>
          <w:sz w:val="44"/>
          <w:highlight w:val="none"/>
          <w:shd w:val="clear" w:color="060000" w:fill="auto"/>
        </w:rPr>
      </w:pPr>
    </w:p>
    <w:p w14:paraId="529AFA10">
      <w:pPr>
        <w:spacing w:line="560" w:lineRule="exact"/>
        <w:ind w:left="2878" w:leftChars="304" w:hanging="2240" w:hangingChars="700"/>
        <w:jc w:val="left"/>
        <w:rPr>
          <w:rFonts w:hint="default" w:ascii="黑体" w:hAnsi="黑体" w:eastAsia="仿宋" w:cs="黑体"/>
          <w:color w:val="auto"/>
          <w:sz w:val="32"/>
          <w:szCs w:val="32"/>
          <w:highlight w:val="none"/>
          <w:u w:val="single"/>
          <w:shd w:val="clear" w:color="050000" w:fill="auto"/>
          <w:lang w:val="en-US" w:eastAsia="zh-CN"/>
        </w:rPr>
      </w:pPr>
      <w:r>
        <w:rPr>
          <w:rFonts w:hint="eastAsia" w:ascii="黑体" w:hAnsi="黑体" w:eastAsia="黑体" w:cs="黑体"/>
          <w:color w:val="auto"/>
          <w:sz w:val="32"/>
          <w:szCs w:val="32"/>
          <w:highlight w:val="none"/>
          <w:shd w:val="clear" w:color="050000" w:fill="auto"/>
        </w:rPr>
        <w:t>招标项目名称：</w:t>
      </w:r>
      <w:r>
        <w:rPr>
          <w:rFonts w:hint="eastAsia" w:ascii="仿宋" w:hAnsi="仿宋" w:eastAsia="仿宋" w:cs="仿宋"/>
          <w:color w:val="auto"/>
          <w:sz w:val="32"/>
          <w:szCs w:val="32"/>
          <w:highlight w:val="none"/>
          <w:u w:val="single"/>
          <w:lang w:val="en-US" w:eastAsia="zh-CN"/>
        </w:rPr>
        <w:t>重庆华南城2026年度巴南华府伴遖山/巴南华府景云/招商中心/精品3456区/会展中心/奥莱小镇项目</w:t>
      </w:r>
      <w:r>
        <w:rPr>
          <w:rFonts w:hint="eastAsia" w:ascii="仿宋" w:hAnsi="仿宋" w:eastAsia="仿宋"/>
          <w:color w:val="auto"/>
          <w:sz w:val="32"/>
          <w:szCs w:val="32"/>
          <w:highlight w:val="none"/>
          <w:u w:val="single"/>
          <w:lang w:val="en-US" w:eastAsia="zh-CN"/>
        </w:rPr>
        <w:t>绿化养护服务</w:t>
      </w:r>
    </w:p>
    <w:p w14:paraId="7FADBD1C">
      <w:pPr>
        <w:spacing w:line="560" w:lineRule="exact"/>
        <w:ind w:firstLine="640" w:firstLineChars="200"/>
        <w:jc w:val="left"/>
        <w:rPr>
          <w:rFonts w:hint="eastAsia" w:ascii="黑体" w:hAnsi="黑体" w:eastAsia="黑体" w:cs="黑体"/>
          <w:color w:val="auto"/>
          <w:sz w:val="32"/>
          <w:highlight w:val="none"/>
          <w:u w:val="single"/>
          <w:shd w:val="clear" w:color="050000" w:fill="auto"/>
        </w:rPr>
      </w:pPr>
      <w:r>
        <w:rPr>
          <w:rFonts w:hint="eastAsia" w:ascii="黑体" w:hAnsi="黑体" w:eastAsia="黑体" w:cs="黑体"/>
          <w:color w:val="auto"/>
          <w:sz w:val="32"/>
          <w:szCs w:val="32"/>
          <w:highlight w:val="none"/>
          <w:shd w:val="clear" w:color="050000" w:fill="auto"/>
        </w:rPr>
        <w:t xml:space="preserve">项 目 地 </w:t>
      </w:r>
      <w:r>
        <w:rPr>
          <w:rFonts w:hint="eastAsia" w:ascii="黑体" w:hAnsi="黑体" w:eastAsia="黑体" w:cs="黑体"/>
          <w:color w:val="auto"/>
          <w:sz w:val="32"/>
          <w:szCs w:val="32"/>
          <w:highlight w:val="none"/>
          <w:shd w:val="clear" w:color="050000" w:fill="auto"/>
          <w:lang w:val="en-US" w:eastAsia="zh-CN"/>
        </w:rPr>
        <w:t xml:space="preserve"> </w:t>
      </w:r>
      <w:r>
        <w:rPr>
          <w:rFonts w:hint="eastAsia" w:ascii="黑体" w:hAnsi="黑体" w:eastAsia="黑体" w:cs="黑体"/>
          <w:color w:val="auto"/>
          <w:sz w:val="32"/>
          <w:szCs w:val="32"/>
          <w:highlight w:val="none"/>
          <w:shd w:val="clear" w:color="050000" w:fill="auto"/>
        </w:rPr>
        <w:t>点：</w:t>
      </w:r>
      <w:r>
        <w:rPr>
          <w:rFonts w:hint="eastAsia" w:ascii="仿宋" w:hAnsi="仿宋" w:eastAsia="仿宋" w:cs="仿宋"/>
          <w:color w:val="auto"/>
          <w:sz w:val="32"/>
          <w:szCs w:val="32"/>
          <w:highlight w:val="none"/>
          <w:u w:val="single"/>
          <w:lang w:val="en-US" w:eastAsia="zh-CN"/>
        </w:rPr>
        <w:t xml:space="preserve">重庆市巴南区南彭公路物流基地东城大道8号  </w:t>
      </w:r>
    </w:p>
    <w:p w14:paraId="0B2347AC">
      <w:pPr>
        <w:snapToGrid w:val="0"/>
        <w:spacing w:before="312" w:beforeLines="100" w:after="156" w:afterLines="50" w:line="360" w:lineRule="auto"/>
        <w:ind w:firstLine="640" w:firstLineChars="200"/>
        <w:jc w:val="both"/>
        <w:rPr>
          <w:rFonts w:hint="eastAsia" w:ascii="黑体" w:hAnsi="黑体" w:eastAsia="黑体" w:cs="黑体"/>
          <w:color w:val="auto"/>
          <w:sz w:val="32"/>
          <w:highlight w:val="none"/>
          <w:u w:val="single"/>
          <w:shd w:val="clear" w:color="060000" w:fill="auto"/>
        </w:rPr>
      </w:pPr>
      <w:r>
        <w:rPr>
          <w:rFonts w:hint="eastAsia" w:ascii="黑体" w:hAnsi="黑体" w:eastAsia="黑体" w:cs="黑体"/>
          <w:color w:val="auto"/>
          <w:sz w:val="32"/>
          <w:highlight w:val="none"/>
          <w:shd w:val="clear" w:color="050000" w:fill="auto"/>
        </w:rPr>
        <w:t xml:space="preserve">招 </w:t>
      </w:r>
      <w:r>
        <w:rPr>
          <w:rFonts w:hint="eastAsia" w:ascii="黑体" w:hAnsi="黑体" w:eastAsia="黑体" w:cs="黑体"/>
          <w:color w:val="auto"/>
          <w:sz w:val="32"/>
          <w:highlight w:val="none"/>
          <w:shd w:val="clear" w:color="050000" w:fill="auto"/>
          <w:lang w:val="en-US" w:eastAsia="zh-CN"/>
        </w:rPr>
        <w:t xml:space="preserve">  </w:t>
      </w:r>
      <w:r>
        <w:rPr>
          <w:rFonts w:hint="eastAsia" w:ascii="黑体" w:hAnsi="黑体" w:eastAsia="黑体" w:cs="黑体"/>
          <w:color w:val="auto"/>
          <w:sz w:val="32"/>
          <w:highlight w:val="none"/>
          <w:shd w:val="clear" w:color="050000" w:fill="auto"/>
        </w:rPr>
        <w:t xml:space="preserve">标 </w:t>
      </w:r>
      <w:r>
        <w:rPr>
          <w:rFonts w:hint="eastAsia" w:ascii="黑体" w:hAnsi="黑体" w:eastAsia="黑体" w:cs="黑体"/>
          <w:color w:val="auto"/>
          <w:sz w:val="32"/>
          <w:highlight w:val="none"/>
          <w:shd w:val="clear" w:color="050000" w:fill="auto"/>
          <w:lang w:val="en-US" w:eastAsia="zh-CN"/>
        </w:rPr>
        <w:t xml:space="preserve">  </w:t>
      </w:r>
      <w:r>
        <w:rPr>
          <w:rFonts w:hint="eastAsia" w:ascii="黑体" w:hAnsi="黑体" w:eastAsia="黑体" w:cs="黑体"/>
          <w:color w:val="auto"/>
          <w:sz w:val="32"/>
          <w:highlight w:val="none"/>
          <w:shd w:val="clear" w:color="050000" w:fill="auto"/>
        </w:rPr>
        <w:t>人：</w:t>
      </w:r>
      <w:r>
        <w:rPr>
          <w:rFonts w:hint="eastAsia" w:ascii="仿宋" w:hAnsi="仿宋" w:eastAsia="仿宋" w:cs="仿宋"/>
          <w:color w:val="auto"/>
          <w:sz w:val="32"/>
          <w:szCs w:val="32"/>
          <w:highlight w:val="none"/>
          <w:u w:val="single"/>
          <w:lang w:val="en-US" w:eastAsia="zh-CN"/>
        </w:rPr>
        <w:t>深圳第一亚太物业管理有限公司重庆分公司</w:t>
      </w:r>
    </w:p>
    <w:p w14:paraId="1B464235">
      <w:pPr>
        <w:spacing w:line="360" w:lineRule="auto"/>
        <w:jc w:val="center"/>
        <w:rPr>
          <w:rFonts w:hint="eastAsia" w:ascii="黑体" w:hAnsi="黑体" w:eastAsia="黑体" w:cs="黑体"/>
          <w:color w:val="auto"/>
          <w:sz w:val="32"/>
          <w:highlight w:val="none"/>
          <w:shd w:val="clear" w:color="050000" w:fill="auto"/>
        </w:rPr>
      </w:pPr>
    </w:p>
    <w:p w14:paraId="307BFB22">
      <w:pPr>
        <w:pStyle w:val="66"/>
        <w:spacing w:line="360" w:lineRule="auto"/>
        <w:ind w:firstLine="3962" w:firstLineChars="900"/>
        <w:jc w:val="both"/>
        <w:rPr>
          <w:rFonts w:ascii="微软雅黑" w:hAnsi="宋体" w:eastAsia="微软雅黑"/>
          <w:color w:val="auto"/>
          <w:sz w:val="44"/>
          <w:szCs w:val="44"/>
          <w:highlight w:val="none"/>
        </w:rPr>
      </w:pPr>
      <w:r>
        <w:rPr>
          <w:rFonts w:hint="eastAsia" w:ascii="微软雅黑" w:hAnsi="宋体" w:eastAsia="微软雅黑"/>
          <w:color w:val="auto"/>
          <w:sz w:val="44"/>
          <w:szCs w:val="44"/>
          <w:highlight w:val="none"/>
          <w:lang w:val="zh-CN"/>
        </w:rPr>
        <w:t>目 录</w:t>
      </w:r>
    </w:p>
    <w:p w14:paraId="6B8E3D80">
      <w:pPr>
        <w:pStyle w:val="25"/>
        <w:tabs>
          <w:tab w:val="right" w:leader="dot" w:pos="9440"/>
        </w:tabs>
      </w:pPr>
      <w:r>
        <w:rPr>
          <w:rStyle w:val="42"/>
          <w:rFonts w:hint="eastAsia" w:ascii="黑体" w:hAnsi="黑体" w:eastAsia="黑体" w:cs="黑体"/>
          <w:b w:val="0"/>
          <w:i w:val="0"/>
          <w:iCs w:val="0"/>
          <w:caps w:val="0"/>
          <w:color w:val="auto"/>
          <w:kern w:val="0"/>
          <w:sz w:val="28"/>
          <w:szCs w:val="28"/>
          <w:highlight w:val="none"/>
        </w:rPr>
        <w:fldChar w:fldCharType="begin"/>
      </w:r>
      <w:r>
        <w:rPr>
          <w:rStyle w:val="42"/>
          <w:rFonts w:hint="eastAsia" w:ascii="黑体" w:hAnsi="黑体" w:eastAsia="黑体" w:cs="黑体"/>
          <w:b w:val="0"/>
          <w:i w:val="0"/>
          <w:iCs w:val="0"/>
          <w:caps w:val="0"/>
          <w:color w:val="auto"/>
          <w:kern w:val="0"/>
          <w:sz w:val="28"/>
          <w:szCs w:val="28"/>
          <w:highlight w:val="none"/>
        </w:rPr>
        <w:instrText xml:space="preserve"> TOC \o "1-4" \h \z \u </w:instrText>
      </w:r>
      <w:r>
        <w:rPr>
          <w:rStyle w:val="42"/>
          <w:rFonts w:hint="eastAsia" w:ascii="黑体" w:hAnsi="黑体" w:eastAsia="黑体" w:cs="黑体"/>
          <w:b w:val="0"/>
          <w:i w:val="0"/>
          <w:iCs w:val="0"/>
          <w:caps w:val="0"/>
          <w:color w:val="auto"/>
          <w:kern w:val="0"/>
          <w:sz w:val="28"/>
          <w:szCs w:val="28"/>
          <w:highlight w:val="none"/>
        </w:rPr>
        <w:fldChar w:fldCharType="separate"/>
      </w:r>
      <w:r>
        <w:rPr>
          <w:rFonts w:hint="eastAsia" w:ascii="黑体" w:hAnsi="黑体" w:eastAsia="黑体" w:cs="黑体"/>
          <w:i w:val="0"/>
          <w:iCs w:val="0"/>
          <w:caps w:val="0"/>
          <w:color w:val="auto"/>
          <w:kern w:val="0"/>
          <w:szCs w:val="28"/>
          <w:highlight w:val="none"/>
        </w:rPr>
        <w:fldChar w:fldCharType="begin"/>
      </w:r>
      <w:r>
        <w:rPr>
          <w:rFonts w:hint="eastAsia" w:ascii="黑体" w:hAnsi="黑体" w:eastAsia="黑体" w:cs="黑体"/>
          <w:i w:val="0"/>
          <w:iCs w:val="0"/>
          <w:caps w:val="0"/>
          <w:kern w:val="0"/>
          <w:szCs w:val="28"/>
          <w:highlight w:val="none"/>
        </w:rPr>
        <w:instrText xml:space="preserve"> HYPERLINK \l _Toc20807 </w:instrText>
      </w:r>
      <w:r>
        <w:rPr>
          <w:rFonts w:hint="eastAsia" w:ascii="黑体" w:hAnsi="黑体" w:eastAsia="黑体" w:cs="黑体"/>
          <w:i w:val="0"/>
          <w:iCs w:val="0"/>
          <w:caps w:val="0"/>
          <w:kern w:val="0"/>
          <w:szCs w:val="28"/>
          <w:highlight w:val="none"/>
        </w:rPr>
        <w:fldChar w:fldCharType="separate"/>
      </w:r>
      <w:r>
        <w:rPr>
          <w:rFonts w:hint="eastAsia" w:ascii="黑体" w:hAnsi="黑体" w:eastAsia="黑体" w:cs="黑体"/>
          <w:szCs w:val="44"/>
          <w:highlight w:val="none"/>
          <w:shd w:val="clear" w:color="060000" w:fill="auto"/>
        </w:rPr>
        <w:t>第一章</w:t>
      </w:r>
      <w:r>
        <w:rPr>
          <w:rFonts w:hint="eastAsia" w:ascii="黑体" w:hAnsi="黑体" w:eastAsia="黑体" w:cs="宋体"/>
          <w:szCs w:val="44"/>
          <w:highlight w:val="none"/>
          <w:shd w:val="clear" w:color="060000" w:fill="auto"/>
        </w:rPr>
        <w:t xml:space="preserve"> </w:t>
      </w:r>
      <w:r>
        <w:rPr>
          <w:rFonts w:hint="eastAsia" w:ascii="黑体" w:hAnsi="黑体" w:eastAsia="黑体" w:cs="黑体"/>
          <w:szCs w:val="44"/>
          <w:highlight w:val="none"/>
          <w:shd w:val="clear" w:color="060000" w:fill="auto"/>
        </w:rPr>
        <w:t>致投标人</w:t>
      </w:r>
      <w:r>
        <w:tab/>
      </w:r>
      <w:r>
        <w:fldChar w:fldCharType="begin"/>
      </w:r>
      <w:r>
        <w:instrText xml:space="preserve"> PAGEREF _Toc20807 \h </w:instrText>
      </w:r>
      <w:r>
        <w:fldChar w:fldCharType="separate"/>
      </w:r>
      <w:r>
        <w:t>3</w:t>
      </w:r>
      <w:r>
        <w:fldChar w:fldCharType="end"/>
      </w:r>
      <w:r>
        <w:rPr>
          <w:rFonts w:hint="eastAsia" w:ascii="黑体" w:hAnsi="黑体" w:eastAsia="黑体" w:cs="黑体"/>
          <w:i w:val="0"/>
          <w:iCs w:val="0"/>
          <w:caps w:val="0"/>
          <w:color w:val="auto"/>
          <w:kern w:val="0"/>
          <w:szCs w:val="28"/>
          <w:highlight w:val="none"/>
        </w:rPr>
        <w:fldChar w:fldCharType="end"/>
      </w:r>
    </w:p>
    <w:p w14:paraId="4E088ADC">
      <w:pPr>
        <w:pStyle w:val="25"/>
        <w:tabs>
          <w:tab w:val="right" w:leader="dot" w:pos="9440"/>
        </w:tabs>
      </w:pPr>
      <w:r>
        <w:rPr>
          <w:rFonts w:hint="eastAsia" w:ascii="黑体" w:hAnsi="黑体" w:eastAsia="黑体" w:cs="黑体"/>
          <w:i w:val="0"/>
          <w:iCs w:val="0"/>
          <w:caps/>
          <w:color w:val="auto"/>
          <w:kern w:val="0"/>
          <w:szCs w:val="28"/>
          <w:highlight w:val="none"/>
        </w:rPr>
        <w:fldChar w:fldCharType="begin"/>
      </w:r>
      <w:r>
        <w:rPr>
          <w:rFonts w:hint="eastAsia" w:ascii="黑体" w:hAnsi="黑体" w:eastAsia="黑体" w:cs="黑体"/>
          <w:i w:val="0"/>
          <w:iCs w:val="0"/>
          <w:caps/>
          <w:kern w:val="0"/>
          <w:szCs w:val="28"/>
          <w:highlight w:val="none"/>
        </w:rPr>
        <w:instrText xml:space="preserve"> HYPERLINK \l _Toc28593 </w:instrText>
      </w:r>
      <w:r>
        <w:rPr>
          <w:rFonts w:hint="eastAsia" w:ascii="黑体" w:hAnsi="黑体" w:eastAsia="黑体" w:cs="黑体"/>
          <w:i w:val="0"/>
          <w:iCs w:val="0"/>
          <w:caps/>
          <w:kern w:val="0"/>
          <w:szCs w:val="28"/>
          <w:highlight w:val="none"/>
        </w:rPr>
        <w:fldChar w:fldCharType="separate"/>
      </w:r>
      <w:r>
        <w:rPr>
          <w:rFonts w:hint="eastAsia" w:ascii="黑体" w:hAnsi="黑体" w:eastAsia="黑体"/>
          <w:szCs w:val="48"/>
          <w:highlight w:val="none"/>
          <w:shd w:val="clear" w:color="060000" w:fill="auto"/>
        </w:rPr>
        <w:t>第二章 投标须知</w:t>
      </w:r>
      <w:r>
        <w:tab/>
      </w:r>
      <w:r>
        <w:fldChar w:fldCharType="begin"/>
      </w:r>
      <w:r>
        <w:instrText xml:space="preserve"> PAGEREF _Toc28593 \h </w:instrText>
      </w:r>
      <w:r>
        <w:fldChar w:fldCharType="separate"/>
      </w:r>
      <w:r>
        <w:t>5</w:t>
      </w:r>
      <w:r>
        <w:fldChar w:fldCharType="end"/>
      </w:r>
      <w:r>
        <w:rPr>
          <w:rFonts w:hint="eastAsia" w:ascii="黑体" w:hAnsi="黑体" w:eastAsia="黑体" w:cs="黑体"/>
          <w:i w:val="0"/>
          <w:iCs w:val="0"/>
          <w:caps/>
          <w:color w:val="auto"/>
          <w:kern w:val="0"/>
          <w:szCs w:val="28"/>
          <w:highlight w:val="none"/>
        </w:rPr>
        <w:fldChar w:fldCharType="end"/>
      </w:r>
    </w:p>
    <w:p w14:paraId="41885008">
      <w:pPr>
        <w:pStyle w:val="29"/>
        <w:tabs>
          <w:tab w:val="right" w:leader="dot" w:pos="9440"/>
        </w:tabs>
        <w:rPr>
          <w:rFonts w:hint="eastAsia" w:ascii="仿宋" w:hAnsi="仿宋" w:eastAsia="仿宋"/>
          <w:bCs/>
          <w:kern w:val="0"/>
          <w:szCs w:val="28"/>
          <w:highlight w:val="none"/>
        </w:rPr>
      </w:pP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HYPERLINK \l _Toc13630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一、投标须知前附件</w:t>
      </w:r>
      <w:r>
        <w:rPr>
          <w:rFonts w:hint="eastAsia" w:ascii="仿宋" w:hAnsi="仿宋" w:eastAsia="仿宋"/>
          <w:bCs/>
          <w:kern w:val="0"/>
          <w:szCs w:val="28"/>
          <w:highlight w:val="none"/>
        </w:rPr>
        <w:tab/>
      </w: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PAGEREF _Toc13630 \h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5</w:t>
      </w:r>
      <w:r>
        <w:rPr>
          <w:rFonts w:hint="eastAsia" w:ascii="仿宋" w:hAnsi="仿宋" w:eastAsia="仿宋"/>
          <w:bCs/>
          <w:kern w:val="0"/>
          <w:szCs w:val="28"/>
          <w:highlight w:val="none"/>
        </w:rPr>
        <w:fldChar w:fldCharType="end"/>
      </w:r>
      <w:r>
        <w:rPr>
          <w:rFonts w:hint="eastAsia" w:ascii="仿宋" w:hAnsi="仿宋" w:eastAsia="仿宋"/>
          <w:bCs/>
          <w:kern w:val="0"/>
          <w:szCs w:val="28"/>
          <w:highlight w:val="none"/>
        </w:rPr>
        <w:fldChar w:fldCharType="end"/>
      </w:r>
    </w:p>
    <w:p w14:paraId="011F14BF">
      <w:pPr>
        <w:pStyle w:val="29"/>
        <w:tabs>
          <w:tab w:val="right" w:leader="dot" w:pos="9440"/>
        </w:tabs>
        <w:rPr>
          <w:rFonts w:hint="eastAsia" w:ascii="仿宋" w:hAnsi="仿宋" w:eastAsia="仿宋"/>
          <w:bCs/>
          <w:kern w:val="0"/>
          <w:szCs w:val="28"/>
          <w:highlight w:val="none"/>
        </w:rPr>
      </w:pP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HYPERLINK \l _Toc11495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（一）投标须知前附表1</w:t>
      </w:r>
      <w:r>
        <w:rPr>
          <w:rFonts w:hint="eastAsia" w:ascii="仿宋" w:hAnsi="仿宋" w:eastAsia="仿宋"/>
          <w:bCs/>
          <w:kern w:val="0"/>
          <w:szCs w:val="28"/>
          <w:highlight w:val="none"/>
        </w:rPr>
        <w:tab/>
      </w: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PAGEREF _Toc11495 \h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5</w:t>
      </w:r>
      <w:r>
        <w:rPr>
          <w:rFonts w:hint="eastAsia" w:ascii="仿宋" w:hAnsi="仿宋" w:eastAsia="仿宋"/>
          <w:bCs/>
          <w:kern w:val="0"/>
          <w:szCs w:val="28"/>
          <w:highlight w:val="none"/>
        </w:rPr>
        <w:fldChar w:fldCharType="end"/>
      </w:r>
      <w:r>
        <w:rPr>
          <w:rFonts w:hint="eastAsia" w:ascii="仿宋" w:hAnsi="仿宋" w:eastAsia="仿宋"/>
          <w:bCs/>
          <w:kern w:val="0"/>
          <w:szCs w:val="28"/>
          <w:highlight w:val="none"/>
        </w:rPr>
        <w:fldChar w:fldCharType="end"/>
      </w:r>
    </w:p>
    <w:p w14:paraId="3F1349EF">
      <w:pPr>
        <w:pStyle w:val="29"/>
        <w:tabs>
          <w:tab w:val="right" w:leader="dot" w:pos="9440"/>
        </w:tabs>
        <w:rPr>
          <w:rFonts w:hint="eastAsia" w:ascii="仿宋" w:hAnsi="仿宋" w:eastAsia="仿宋"/>
          <w:bCs/>
          <w:kern w:val="0"/>
          <w:szCs w:val="28"/>
          <w:highlight w:val="none"/>
        </w:rPr>
      </w:pP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HYPERLINK \l _Toc11504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lang w:val="en-US" w:eastAsia="zh-CN"/>
        </w:rPr>
        <w:t>巴南华府伴遖山/巴南华府景云/招商中心/精品3456区/会展中心/奥莱小镇项目</w:t>
      </w:r>
      <w:r>
        <w:rPr>
          <w:rFonts w:hint="eastAsia" w:ascii="仿宋" w:hAnsi="仿宋" w:eastAsia="仿宋"/>
          <w:bCs/>
          <w:kern w:val="0"/>
          <w:szCs w:val="28"/>
          <w:highlight w:val="none"/>
        </w:rPr>
        <w:tab/>
      </w: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PAGEREF _Toc11504 \h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5</w:t>
      </w:r>
      <w:r>
        <w:rPr>
          <w:rFonts w:hint="eastAsia" w:ascii="仿宋" w:hAnsi="仿宋" w:eastAsia="仿宋"/>
          <w:bCs/>
          <w:kern w:val="0"/>
          <w:szCs w:val="28"/>
          <w:highlight w:val="none"/>
        </w:rPr>
        <w:fldChar w:fldCharType="end"/>
      </w:r>
      <w:r>
        <w:rPr>
          <w:rFonts w:hint="eastAsia" w:ascii="仿宋" w:hAnsi="仿宋" w:eastAsia="仿宋"/>
          <w:bCs/>
          <w:kern w:val="0"/>
          <w:szCs w:val="28"/>
          <w:highlight w:val="none"/>
        </w:rPr>
        <w:fldChar w:fldCharType="end"/>
      </w:r>
    </w:p>
    <w:p w14:paraId="1FA0446A">
      <w:pPr>
        <w:pStyle w:val="29"/>
        <w:tabs>
          <w:tab w:val="right" w:leader="dot" w:pos="9440"/>
        </w:tabs>
        <w:rPr>
          <w:rFonts w:hint="eastAsia" w:ascii="仿宋" w:hAnsi="仿宋" w:eastAsia="仿宋"/>
          <w:bCs/>
          <w:kern w:val="0"/>
          <w:szCs w:val="28"/>
          <w:highlight w:val="none"/>
        </w:rPr>
      </w:pP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HYPERLINK \l _Toc30717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（二）投标须知前附表2</w:t>
      </w:r>
      <w:r>
        <w:rPr>
          <w:rFonts w:hint="eastAsia" w:ascii="仿宋" w:hAnsi="仿宋" w:eastAsia="仿宋"/>
          <w:bCs/>
          <w:kern w:val="0"/>
          <w:szCs w:val="28"/>
          <w:highlight w:val="none"/>
        </w:rPr>
        <w:tab/>
      </w: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PAGEREF _Toc30717 \h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9</w:t>
      </w:r>
      <w:r>
        <w:rPr>
          <w:rFonts w:hint="eastAsia" w:ascii="仿宋" w:hAnsi="仿宋" w:eastAsia="仿宋"/>
          <w:bCs/>
          <w:kern w:val="0"/>
          <w:szCs w:val="28"/>
          <w:highlight w:val="none"/>
        </w:rPr>
        <w:fldChar w:fldCharType="end"/>
      </w:r>
      <w:r>
        <w:rPr>
          <w:rFonts w:hint="eastAsia" w:ascii="仿宋" w:hAnsi="仿宋" w:eastAsia="仿宋"/>
          <w:bCs/>
          <w:kern w:val="0"/>
          <w:szCs w:val="28"/>
          <w:highlight w:val="none"/>
        </w:rPr>
        <w:fldChar w:fldCharType="end"/>
      </w:r>
    </w:p>
    <w:p w14:paraId="74AD50FC">
      <w:pPr>
        <w:pStyle w:val="29"/>
        <w:tabs>
          <w:tab w:val="right" w:leader="dot" w:pos="9440"/>
        </w:tabs>
        <w:rPr>
          <w:rFonts w:hint="eastAsia" w:ascii="仿宋" w:hAnsi="仿宋" w:eastAsia="仿宋"/>
          <w:bCs/>
          <w:kern w:val="0"/>
          <w:szCs w:val="28"/>
          <w:highlight w:val="none"/>
        </w:rPr>
      </w:pP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HYPERLINK \l _Toc29897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（三）投标须知前附件</w:t>
      </w:r>
      <w:r>
        <w:rPr>
          <w:rFonts w:hint="eastAsia" w:ascii="仿宋" w:hAnsi="仿宋" w:eastAsia="仿宋"/>
          <w:bCs/>
          <w:kern w:val="0"/>
          <w:szCs w:val="28"/>
          <w:highlight w:val="none"/>
        </w:rPr>
        <w:tab/>
      </w: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PAGEREF _Toc29897 \h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11</w:t>
      </w:r>
      <w:r>
        <w:rPr>
          <w:rFonts w:hint="eastAsia" w:ascii="仿宋" w:hAnsi="仿宋" w:eastAsia="仿宋"/>
          <w:bCs/>
          <w:kern w:val="0"/>
          <w:szCs w:val="28"/>
          <w:highlight w:val="none"/>
        </w:rPr>
        <w:fldChar w:fldCharType="end"/>
      </w:r>
      <w:r>
        <w:rPr>
          <w:rFonts w:hint="eastAsia" w:ascii="仿宋" w:hAnsi="仿宋" w:eastAsia="仿宋"/>
          <w:bCs/>
          <w:kern w:val="0"/>
          <w:szCs w:val="28"/>
          <w:highlight w:val="none"/>
        </w:rPr>
        <w:fldChar w:fldCharType="end"/>
      </w:r>
    </w:p>
    <w:p w14:paraId="18FC1704">
      <w:pPr>
        <w:pStyle w:val="29"/>
        <w:tabs>
          <w:tab w:val="right" w:leader="dot" w:pos="9440"/>
        </w:tabs>
        <w:rPr>
          <w:rFonts w:hint="eastAsia" w:ascii="仿宋" w:hAnsi="仿宋" w:eastAsia="仿宋"/>
          <w:bCs/>
          <w:kern w:val="0"/>
          <w:szCs w:val="28"/>
          <w:highlight w:val="none"/>
        </w:rPr>
      </w:pP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HYPERLINK \l _Toc26169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附件一：</w:t>
      </w:r>
      <w:r>
        <w:rPr>
          <w:rFonts w:hint="eastAsia" w:ascii="仿宋" w:hAnsi="仿宋" w:eastAsia="仿宋"/>
          <w:bCs/>
          <w:kern w:val="0"/>
          <w:szCs w:val="28"/>
          <w:highlight w:val="none"/>
          <w:lang w:val="en-US" w:eastAsia="zh-CN"/>
        </w:rPr>
        <w:t>招标公告</w:t>
      </w:r>
      <w:r>
        <w:rPr>
          <w:rFonts w:hint="eastAsia" w:ascii="仿宋" w:hAnsi="仿宋" w:eastAsia="仿宋"/>
          <w:bCs/>
          <w:kern w:val="0"/>
          <w:szCs w:val="28"/>
          <w:highlight w:val="none"/>
        </w:rPr>
        <w:tab/>
      </w: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PAGEREF _Toc26169 \h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11</w:t>
      </w:r>
      <w:r>
        <w:rPr>
          <w:rFonts w:hint="eastAsia" w:ascii="仿宋" w:hAnsi="仿宋" w:eastAsia="仿宋"/>
          <w:bCs/>
          <w:kern w:val="0"/>
          <w:szCs w:val="28"/>
          <w:highlight w:val="none"/>
        </w:rPr>
        <w:fldChar w:fldCharType="end"/>
      </w:r>
      <w:r>
        <w:rPr>
          <w:rFonts w:hint="eastAsia" w:ascii="仿宋" w:hAnsi="仿宋" w:eastAsia="仿宋"/>
          <w:bCs/>
          <w:kern w:val="0"/>
          <w:szCs w:val="28"/>
          <w:highlight w:val="none"/>
        </w:rPr>
        <w:fldChar w:fldCharType="end"/>
      </w:r>
    </w:p>
    <w:p w14:paraId="76068D94">
      <w:pPr>
        <w:pStyle w:val="29"/>
        <w:tabs>
          <w:tab w:val="right" w:leader="dot" w:pos="9440"/>
        </w:tabs>
        <w:rPr>
          <w:rFonts w:hint="eastAsia" w:ascii="仿宋" w:hAnsi="仿宋" w:eastAsia="仿宋"/>
          <w:bCs/>
          <w:kern w:val="0"/>
          <w:szCs w:val="28"/>
          <w:highlight w:val="none"/>
        </w:rPr>
      </w:pP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HYPERLINK \l _Toc5476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附件二：投标文件否决性条款摘要</w:t>
      </w:r>
      <w:r>
        <w:rPr>
          <w:rFonts w:hint="eastAsia" w:ascii="仿宋" w:hAnsi="仿宋" w:eastAsia="仿宋"/>
          <w:bCs/>
          <w:kern w:val="0"/>
          <w:szCs w:val="28"/>
          <w:highlight w:val="none"/>
        </w:rPr>
        <w:tab/>
      </w: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PAGEREF _Toc5476 \h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13</w:t>
      </w:r>
      <w:r>
        <w:rPr>
          <w:rFonts w:hint="eastAsia" w:ascii="仿宋" w:hAnsi="仿宋" w:eastAsia="仿宋"/>
          <w:bCs/>
          <w:kern w:val="0"/>
          <w:szCs w:val="28"/>
          <w:highlight w:val="none"/>
        </w:rPr>
        <w:fldChar w:fldCharType="end"/>
      </w:r>
      <w:r>
        <w:rPr>
          <w:rFonts w:hint="eastAsia" w:ascii="仿宋" w:hAnsi="仿宋" w:eastAsia="仿宋"/>
          <w:bCs/>
          <w:kern w:val="0"/>
          <w:szCs w:val="28"/>
          <w:highlight w:val="none"/>
        </w:rPr>
        <w:fldChar w:fldCharType="end"/>
      </w:r>
    </w:p>
    <w:p w14:paraId="3EAA6F64">
      <w:pPr>
        <w:pStyle w:val="29"/>
        <w:tabs>
          <w:tab w:val="right" w:leader="dot" w:pos="9440"/>
        </w:tabs>
        <w:rPr>
          <w:rFonts w:hint="eastAsia" w:ascii="仿宋" w:hAnsi="仿宋" w:eastAsia="仿宋"/>
          <w:bCs/>
          <w:kern w:val="0"/>
          <w:szCs w:val="28"/>
          <w:highlight w:val="none"/>
        </w:rPr>
      </w:pP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HYPERLINK \l _Toc3236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附件三：评标程序和评标方法</w:t>
      </w:r>
      <w:r>
        <w:rPr>
          <w:rFonts w:hint="eastAsia" w:ascii="仿宋" w:hAnsi="仿宋" w:eastAsia="仿宋"/>
          <w:bCs/>
          <w:kern w:val="0"/>
          <w:szCs w:val="28"/>
          <w:highlight w:val="none"/>
        </w:rPr>
        <w:tab/>
      </w: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PAGEREF _Toc3236 \h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15</w:t>
      </w:r>
      <w:r>
        <w:rPr>
          <w:rFonts w:hint="eastAsia" w:ascii="仿宋" w:hAnsi="仿宋" w:eastAsia="仿宋"/>
          <w:bCs/>
          <w:kern w:val="0"/>
          <w:szCs w:val="28"/>
          <w:highlight w:val="none"/>
        </w:rPr>
        <w:fldChar w:fldCharType="end"/>
      </w:r>
      <w:r>
        <w:rPr>
          <w:rFonts w:hint="eastAsia" w:ascii="仿宋" w:hAnsi="仿宋" w:eastAsia="仿宋"/>
          <w:bCs/>
          <w:kern w:val="0"/>
          <w:szCs w:val="28"/>
          <w:highlight w:val="none"/>
        </w:rPr>
        <w:fldChar w:fldCharType="end"/>
      </w:r>
    </w:p>
    <w:p w14:paraId="41ED72F0">
      <w:pPr>
        <w:pStyle w:val="29"/>
        <w:tabs>
          <w:tab w:val="right" w:leader="dot" w:pos="9440"/>
        </w:tabs>
        <w:rPr>
          <w:rFonts w:hint="eastAsia" w:ascii="仿宋" w:hAnsi="仿宋" w:eastAsia="仿宋"/>
          <w:bCs/>
          <w:kern w:val="0"/>
          <w:szCs w:val="28"/>
          <w:highlight w:val="none"/>
        </w:rPr>
      </w:pP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HYPERLINK \l _Toc11022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二、投标须知</w:t>
      </w:r>
      <w:r>
        <w:rPr>
          <w:rFonts w:hint="eastAsia" w:ascii="仿宋" w:hAnsi="仿宋" w:eastAsia="仿宋"/>
          <w:bCs/>
          <w:kern w:val="0"/>
          <w:szCs w:val="28"/>
          <w:highlight w:val="none"/>
        </w:rPr>
        <w:tab/>
      </w: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PAGEREF _Toc11022 \h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27</w:t>
      </w:r>
      <w:r>
        <w:rPr>
          <w:rFonts w:hint="eastAsia" w:ascii="仿宋" w:hAnsi="仿宋" w:eastAsia="仿宋"/>
          <w:bCs/>
          <w:kern w:val="0"/>
          <w:szCs w:val="28"/>
          <w:highlight w:val="none"/>
        </w:rPr>
        <w:fldChar w:fldCharType="end"/>
      </w:r>
      <w:r>
        <w:rPr>
          <w:rFonts w:hint="eastAsia" w:ascii="仿宋" w:hAnsi="仿宋" w:eastAsia="仿宋"/>
          <w:bCs/>
          <w:kern w:val="0"/>
          <w:szCs w:val="28"/>
          <w:highlight w:val="none"/>
        </w:rPr>
        <w:fldChar w:fldCharType="end"/>
      </w:r>
    </w:p>
    <w:p w14:paraId="47781AFA">
      <w:pPr>
        <w:pStyle w:val="29"/>
        <w:tabs>
          <w:tab w:val="right" w:leader="dot" w:pos="9440"/>
        </w:tabs>
        <w:rPr>
          <w:rFonts w:hint="eastAsia" w:ascii="仿宋" w:hAnsi="仿宋" w:eastAsia="仿宋"/>
          <w:bCs/>
          <w:kern w:val="0"/>
          <w:szCs w:val="28"/>
          <w:highlight w:val="none"/>
        </w:rPr>
      </w:pP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HYPERLINK \l _Toc19458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（一）总则</w:t>
      </w:r>
      <w:r>
        <w:rPr>
          <w:rFonts w:hint="eastAsia" w:ascii="仿宋" w:hAnsi="仿宋" w:eastAsia="仿宋"/>
          <w:bCs/>
          <w:kern w:val="0"/>
          <w:szCs w:val="28"/>
          <w:highlight w:val="none"/>
        </w:rPr>
        <w:tab/>
      </w: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PAGEREF _Toc19458 \h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27</w:t>
      </w:r>
      <w:r>
        <w:rPr>
          <w:rFonts w:hint="eastAsia" w:ascii="仿宋" w:hAnsi="仿宋" w:eastAsia="仿宋"/>
          <w:bCs/>
          <w:kern w:val="0"/>
          <w:szCs w:val="28"/>
          <w:highlight w:val="none"/>
        </w:rPr>
        <w:fldChar w:fldCharType="end"/>
      </w:r>
      <w:r>
        <w:rPr>
          <w:rFonts w:hint="eastAsia" w:ascii="仿宋" w:hAnsi="仿宋" w:eastAsia="仿宋"/>
          <w:bCs/>
          <w:kern w:val="0"/>
          <w:szCs w:val="28"/>
          <w:highlight w:val="none"/>
        </w:rPr>
        <w:fldChar w:fldCharType="end"/>
      </w:r>
    </w:p>
    <w:p w14:paraId="69106AAE">
      <w:pPr>
        <w:pStyle w:val="29"/>
        <w:tabs>
          <w:tab w:val="right" w:leader="dot" w:pos="9440"/>
        </w:tabs>
        <w:rPr>
          <w:rFonts w:hint="eastAsia" w:ascii="仿宋" w:hAnsi="仿宋" w:eastAsia="仿宋"/>
          <w:bCs/>
          <w:kern w:val="0"/>
          <w:szCs w:val="28"/>
          <w:highlight w:val="none"/>
        </w:rPr>
      </w:pP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HYPERLINK \l _Toc6787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（二）招标文件</w:t>
      </w:r>
      <w:r>
        <w:rPr>
          <w:rFonts w:hint="eastAsia" w:ascii="仿宋" w:hAnsi="仿宋" w:eastAsia="仿宋"/>
          <w:bCs/>
          <w:kern w:val="0"/>
          <w:szCs w:val="28"/>
          <w:highlight w:val="none"/>
        </w:rPr>
        <w:tab/>
      </w: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PAGEREF _Toc6787 \h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28</w:t>
      </w:r>
      <w:r>
        <w:rPr>
          <w:rFonts w:hint="eastAsia" w:ascii="仿宋" w:hAnsi="仿宋" w:eastAsia="仿宋"/>
          <w:bCs/>
          <w:kern w:val="0"/>
          <w:szCs w:val="28"/>
          <w:highlight w:val="none"/>
        </w:rPr>
        <w:fldChar w:fldCharType="end"/>
      </w:r>
      <w:r>
        <w:rPr>
          <w:rFonts w:hint="eastAsia" w:ascii="仿宋" w:hAnsi="仿宋" w:eastAsia="仿宋"/>
          <w:bCs/>
          <w:kern w:val="0"/>
          <w:szCs w:val="28"/>
          <w:highlight w:val="none"/>
        </w:rPr>
        <w:fldChar w:fldCharType="end"/>
      </w:r>
    </w:p>
    <w:p w14:paraId="6BBFFBB3">
      <w:pPr>
        <w:pStyle w:val="29"/>
        <w:tabs>
          <w:tab w:val="right" w:leader="dot" w:pos="9440"/>
        </w:tabs>
        <w:rPr>
          <w:rFonts w:hint="eastAsia" w:ascii="仿宋" w:hAnsi="仿宋" w:eastAsia="仿宋"/>
          <w:bCs/>
          <w:kern w:val="0"/>
          <w:szCs w:val="28"/>
          <w:highlight w:val="none"/>
        </w:rPr>
      </w:pP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HYPERLINK \l _Toc26902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（三）投标文件的编制</w:t>
      </w:r>
      <w:r>
        <w:rPr>
          <w:rFonts w:hint="eastAsia" w:ascii="仿宋" w:hAnsi="仿宋" w:eastAsia="仿宋"/>
          <w:bCs/>
          <w:kern w:val="0"/>
          <w:szCs w:val="28"/>
          <w:highlight w:val="none"/>
        </w:rPr>
        <w:tab/>
      </w: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PAGEREF _Toc26902 \h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31</w:t>
      </w:r>
      <w:r>
        <w:rPr>
          <w:rFonts w:hint="eastAsia" w:ascii="仿宋" w:hAnsi="仿宋" w:eastAsia="仿宋"/>
          <w:bCs/>
          <w:kern w:val="0"/>
          <w:szCs w:val="28"/>
          <w:highlight w:val="none"/>
        </w:rPr>
        <w:fldChar w:fldCharType="end"/>
      </w:r>
      <w:r>
        <w:rPr>
          <w:rFonts w:hint="eastAsia" w:ascii="仿宋" w:hAnsi="仿宋" w:eastAsia="仿宋"/>
          <w:bCs/>
          <w:kern w:val="0"/>
          <w:szCs w:val="28"/>
          <w:highlight w:val="none"/>
        </w:rPr>
        <w:fldChar w:fldCharType="end"/>
      </w:r>
    </w:p>
    <w:p w14:paraId="6CA3012B">
      <w:pPr>
        <w:pStyle w:val="29"/>
        <w:tabs>
          <w:tab w:val="right" w:leader="dot" w:pos="9440"/>
        </w:tabs>
        <w:rPr>
          <w:rFonts w:hint="eastAsia" w:ascii="仿宋" w:hAnsi="仿宋" w:eastAsia="仿宋"/>
          <w:bCs/>
          <w:kern w:val="0"/>
          <w:szCs w:val="28"/>
          <w:highlight w:val="none"/>
        </w:rPr>
      </w:pP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HYPERLINK \l _Toc9352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（四）投标文件的提交</w:t>
      </w:r>
      <w:r>
        <w:rPr>
          <w:rFonts w:hint="eastAsia" w:ascii="仿宋" w:hAnsi="仿宋" w:eastAsia="仿宋"/>
          <w:bCs/>
          <w:kern w:val="0"/>
          <w:szCs w:val="28"/>
          <w:highlight w:val="none"/>
        </w:rPr>
        <w:tab/>
      </w: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PAGEREF _Toc9352 \h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36</w:t>
      </w:r>
      <w:r>
        <w:rPr>
          <w:rFonts w:hint="eastAsia" w:ascii="仿宋" w:hAnsi="仿宋" w:eastAsia="仿宋"/>
          <w:bCs/>
          <w:kern w:val="0"/>
          <w:szCs w:val="28"/>
          <w:highlight w:val="none"/>
        </w:rPr>
        <w:fldChar w:fldCharType="end"/>
      </w:r>
      <w:r>
        <w:rPr>
          <w:rFonts w:hint="eastAsia" w:ascii="仿宋" w:hAnsi="仿宋" w:eastAsia="仿宋"/>
          <w:bCs/>
          <w:kern w:val="0"/>
          <w:szCs w:val="28"/>
          <w:highlight w:val="none"/>
        </w:rPr>
        <w:fldChar w:fldCharType="end"/>
      </w:r>
    </w:p>
    <w:p w14:paraId="470E4F81">
      <w:pPr>
        <w:pStyle w:val="29"/>
        <w:tabs>
          <w:tab w:val="right" w:leader="dot" w:pos="9440"/>
        </w:tabs>
        <w:rPr>
          <w:rFonts w:hint="eastAsia" w:ascii="仿宋" w:hAnsi="仿宋" w:eastAsia="仿宋"/>
          <w:bCs/>
          <w:kern w:val="0"/>
          <w:szCs w:val="28"/>
          <w:highlight w:val="none"/>
        </w:rPr>
      </w:pP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HYPERLINK \l _Toc15455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（五）资格后审</w:t>
      </w:r>
      <w:r>
        <w:rPr>
          <w:rFonts w:hint="eastAsia" w:ascii="仿宋" w:hAnsi="仿宋" w:eastAsia="仿宋"/>
          <w:bCs/>
          <w:kern w:val="0"/>
          <w:szCs w:val="28"/>
          <w:highlight w:val="none"/>
        </w:rPr>
        <w:tab/>
      </w: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PAGEREF _Toc15455 \h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37</w:t>
      </w:r>
      <w:r>
        <w:rPr>
          <w:rFonts w:hint="eastAsia" w:ascii="仿宋" w:hAnsi="仿宋" w:eastAsia="仿宋"/>
          <w:bCs/>
          <w:kern w:val="0"/>
          <w:szCs w:val="28"/>
          <w:highlight w:val="none"/>
        </w:rPr>
        <w:fldChar w:fldCharType="end"/>
      </w:r>
      <w:r>
        <w:rPr>
          <w:rFonts w:hint="eastAsia" w:ascii="仿宋" w:hAnsi="仿宋" w:eastAsia="仿宋"/>
          <w:bCs/>
          <w:kern w:val="0"/>
          <w:szCs w:val="28"/>
          <w:highlight w:val="none"/>
        </w:rPr>
        <w:fldChar w:fldCharType="end"/>
      </w:r>
    </w:p>
    <w:p w14:paraId="51D7169F">
      <w:pPr>
        <w:pStyle w:val="29"/>
        <w:tabs>
          <w:tab w:val="right" w:leader="dot" w:pos="9440"/>
        </w:tabs>
        <w:rPr>
          <w:rFonts w:hint="eastAsia" w:ascii="仿宋" w:hAnsi="仿宋" w:eastAsia="仿宋"/>
          <w:bCs/>
          <w:kern w:val="0"/>
          <w:szCs w:val="28"/>
          <w:highlight w:val="none"/>
        </w:rPr>
      </w:pP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HYPERLINK \l _Toc5958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（六）开标</w:t>
      </w:r>
      <w:r>
        <w:rPr>
          <w:rFonts w:hint="eastAsia" w:ascii="仿宋" w:hAnsi="仿宋" w:eastAsia="仿宋"/>
          <w:bCs/>
          <w:kern w:val="0"/>
          <w:szCs w:val="28"/>
          <w:highlight w:val="none"/>
        </w:rPr>
        <w:tab/>
      </w: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PAGEREF _Toc5958 \h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38</w:t>
      </w:r>
      <w:r>
        <w:rPr>
          <w:rFonts w:hint="eastAsia" w:ascii="仿宋" w:hAnsi="仿宋" w:eastAsia="仿宋"/>
          <w:bCs/>
          <w:kern w:val="0"/>
          <w:szCs w:val="28"/>
          <w:highlight w:val="none"/>
        </w:rPr>
        <w:fldChar w:fldCharType="end"/>
      </w:r>
      <w:r>
        <w:rPr>
          <w:rFonts w:hint="eastAsia" w:ascii="仿宋" w:hAnsi="仿宋" w:eastAsia="仿宋"/>
          <w:bCs/>
          <w:kern w:val="0"/>
          <w:szCs w:val="28"/>
          <w:highlight w:val="none"/>
        </w:rPr>
        <w:fldChar w:fldCharType="end"/>
      </w:r>
    </w:p>
    <w:p w14:paraId="6BEEDEAE">
      <w:pPr>
        <w:pStyle w:val="29"/>
        <w:tabs>
          <w:tab w:val="right" w:leader="dot" w:pos="9440"/>
        </w:tabs>
        <w:rPr>
          <w:rFonts w:hint="eastAsia" w:ascii="仿宋" w:hAnsi="仿宋" w:eastAsia="仿宋"/>
          <w:bCs/>
          <w:kern w:val="0"/>
          <w:szCs w:val="28"/>
          <w:highlight w:val="none"/>
        </w:rPr>
      </w:pP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HYPERLINK \l _Toc23674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（七）评  标</w:t>
      </w:r>
      <w:r>
        <w:rPr>
          <w:rFonts w:hint="eastAsia" w:ascii="仿宋" w:hAnsi="仿宋" w:eastAsia="仿宋"/>
          <w:bCs/>
          <w:kern w:val="0"/>
          <w:szCs w:val="28"/>
          <w:highlight w:val="none"/>
        </w:rPr>
        <w:tab/>
      </w: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PAGEREF _Toc23674 \h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39</w:t>
      </w:r>
      <w:r>
        <w:rPr>
          <w:rFonts w:hint="eastAsia" w:ascii="仿宋" w:hAnsi="仿宋" w:eastAsia="仿宋"/>
          <w:bCs/>
          <w:kern w:val="0"/>
          <w:szCs w:val="28"/>
          <w:highlight w:val="none"/>
        </w:rPr>
        <w:fldChar w:fldCharType="end"/>
      </w:r>
      <w:r>
        <w:rPr>
          <w:rFonts w:hint="eastAsia" w:ascii="仿宋" w:hAnsi="仿宋" w:eastAsia="仿宋"/>
          <w:bCs/>
          <w:kern w:val="0"/>
          <w:szCs w:val="28"/>
          <w:highlight w:val="none"/>
        </w:rPr>
        <w:fldChar w:fldCharType="end"/>
      </w:r>
    </w:p>
    <w:p w14:paraId="39C4AA95">
      <w:pPr>
        <w:pStyle w:val="29"/>
        <w:tabs>
          <w:tab w:val="right" w:leader="dot" w:pos="9440"/>
        </w:tabs>
        <w:rPr>
          <w:rFonts w:hint="eastAsia" w:ascii="仿宋" w:hAnsi="仿宋" w:eastAsia="仿宋"/>
          <w:bCs/>
          <w:kern w:val="0"/>
          <w:szCs w:val="28"/>
          <w:highlight w:val="none"/>
        </w:rPr>
      </w:pP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HYPERLINK \l _Toc5014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（八）定标</w:t>
      </w:r>
      <w:r>
        <w:rPr>
          <w:rFonts w:hint="eastAsia" w:ascii="仿宋" w:hAnsi="仿宋" w:eastAsia="仿宋"/>
          <w:bCs/>
          <w:kern w:val="0"/>
          <w:szCs w:val="28"/>
          <w:highlight w:val="none"/>
        </w:rPr>
        <w:tab/>
      </w: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PAGEREF _Toc5014 \h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44</w:t>
      </w:r>
      <w:r>
        <w:rPr>
          <w:rFonts w:hint="eastAsia" w:ascii="仿宋" w:hAnsi="仿宋" w:eastAsia="仿宋"/>
          <w:bCs/>
          <w:kern w:val="0"/>
          <w:szCs w:val="28"/>
          <w:highlight w:val="none"/>
        </w:rPr>
        <w:fldChar w:fldCharType="end"/>
      </w:r>
      <w:r>
        <w:rPr>
          <w:rFonts w:hint="eastAsia" w:ascii="仿宋" w:hAnsi="仿宋" w:eastAsia="仿宋"/>
          <w:bCs/>
          <w:kern w:val="0"/>
          <w:szCs w:val="28"/>
          <w:highlight w:val="none"/>
        </w:rPr>
        <w:fldChar w:fldCharType="end"/>
      </w:r>
    </w:p>
    <w:p w14:paraId="4A1C0964">
      <w:pPr>
        <w:pStyle w:val="29"/>
        <w:tabs>
          <w:tab w:val="right" w:leader="dot" w:pos="9440"/>
        </w:tabs>
        <w:rPr>
          <w:rFonts w:hint="eastAsia" w:ascii="仿宋" w:hAnsi="仿宋" w:eastAsia="仿宋"/>
          <w:bCs/>
          <w:kern w:val="0"/>
          <w:szCs w:val="28"/>
          <w:highlight w:val="none"/>
        </w:rPr>
      </w:pP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HYPERLINK \l _Toc197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（九）中标通知书</w:t>
      </w:r>
      <w:r>
        <w:rPr>
          <w:rFonts w:hint="eastAsia" w:ascii="仿宋" w:hAnsi="仿宋" w:eastAsia="仿宋"/>
          <w:bCs/>
          <w:kern w:val="0"/>
          <w:szCs w:val="28"/>
          <w:highlight w:val="none"/>
        </w:rPr>
        <w:tab/>
      </w: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PAGEREF _Toc197 \h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45</w:t>
      </w:r>
      <w:r>
        <w:rPr>
          <w:rFonts w:hint="eastAsia" w:ascii="仿宋" w:hAnsi="仿宋" w:eastAsia="仿宋"/>
          <w:bCs/>
          <w:kern w:val="0"/>
          <w:szCs w:val="28"/>
          <w:highlight w:val="none"/>
        </w:rPr>
        <w:fldChar w:fldCharType="end"/>
      </w:r>
      <w:r>
        <w:rPr>
          <w:rFonts w:hint="eastAsia" w:ascii="仿宋" w:hAnsi="仿宋" w:eastAsia="仿宋"/>
          <w:bCs/>
          <w:kern w:val="0"/>
          <w:szCs w:val="28"/>
          <w:highlight w:val="none"/>
        </w:rPr>
        <w:fldChar w:fldCharType="end"/>
      </w:r>
    </w:p>
    <w:p w14:paraId="1C32FF93">
      <w:pPr>
        <w:pStyle w:val="29"/>
        <w:tabs>
          <w:tab w:val="right" w:leader="dot" w:pos="9440"/>
        </w:tabs>
        <w:rPr>
          <w:rFonts w:hint="eastAsia" w:ascii="仿宋" w:hAnsi="仿宋" w:eastAsia="仿宋"/>
          <w:bCs/>
          <w:kern w:val="0"/>
          <w:szCs w:val="28"/>
          <w:highlight w:val="none"/>
        </w:rPr>
      </w:pP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HYPERLINK \l _Toc19874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（十）合同授予</w:t>
      </w:r>
      <w:r>
        <w:rPr>
          <w:rFonts w:hint="eastAsia" w:ascii="仿宋" w:hAnsi="仿宋" w:eastAsia="仿宋"/>
          <w:bCs/>
          <w:kern w:val="0"/>
          <w:szCs w:val="28"/>
          <w:highlight w:val="none"/>
        </w:rPr>
        <w:tab/>
      </w: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PAGEREF _Toc19874 \h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46</w:t>
      </w:r>
      <w:r>
        <w:rPr>
          <w:rFonts w:hint="eastAsia" w:ascii="仿宋" w:hAnsi="仿宋" w:eastAsia="仿宋"/>
          <w:bCs/>
          <w:kern w:val="0"/>
          <w:szCs w:val="28"/>
          <w:highlight w:val="none"/>
        </w:rPr>
        <w:fldChar w:fldCharType="end"/>
      </w:r>
      <w:r>
        <w:rPr>
          <w:rFonts w:hint="eastAsia" w:ascii="仿宋" w:hAnsi="仿宋" w:eastAsia="仿宋"/>
          <w:bCs/>
          <w:kern w:val="0"/>
          <w:szCs w:val="28"/>
          <w:highlight w:val="none"/>
        </w:rPr>
        <w:fldChar w:fldCharType="end"/>
      </w:r>
    </w:p>
    <w:p w14:paraId="1A0C6E26">
      <w:pPr>
        <w:pStyle w:val="29"/>
        <w:tabs>
          <w:tab w:val="right" w:leader="dot" w:pos="9440"/>
        </w:tabs>
      </w:pP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HYPERLINK \l _Toc1534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（十一）其他</w:t>
      </w:r>
      <w:r>
        <w:rPr>
          <w:rFonts w:hint="eastAsia" w:ascii="仿宋" w:hAnsi="仿宋" w:eastAsia="仿宋"/>
          <w:bCs/>
          <w:kern w:val="0"/>
          <w:szCs w:val="28"/>
          <w:highlight w:val="none"/>
        </w:rPr>
        <w:tab/>
      </w:r>
      <w:r>
        <w:rPr>
          <w:rFonts w:hint="eastAsia" w:ascii="仿宋" w:hAnsi="仿宋" w:eastAsia="仿宋"/>
          <w:bCs/>
          <w:kern w:val="0"/>
          <w:szCs w:val="28"/>
          <w:highlight w:val="none"/>
        </w:rPr>
        <w:fldChar w:fldCharType="begin"/>
      </w:r>
      <w:r>
        <w:rPr>
          <w:rFonts w:hint="eastAsia" w:ascii="仿宋" w:hAnsi="仿宋" w:eastAsia="仿宋"/>
          <w:bCs/>
          <w:kern w:val="0"/>
          <w:szCs w:val="28"/>
          <w:highlight w:val="none"/>
        </w:rPr>
        <w:instrText xml:space="preserve"> PAGEREF _Toc1534 \h </w:instrText>
      </w:r>
      <w:r>
        <w:rPr>
          <w:rFonts w:hint="eastAsia" w:ascii="仿宋" w:hAnsi="仿宋" w:eastAsia="仿宋"/>
          <w:bCs/>
          <w:kern w:val="0"/>
          <w:szCs w:val="28"/>
          <w:highlight w:val="none"/>
        </w:rPr>
        <w:fldChar w:fldCharType="separate"/>
      </w:r>
      <w:r>
        <w:rPr>
          <w:rFonts w:hint="eastAsia" w:ascii="仿宋" w:hAnsi="仿宋" w:eastAsia="仿宋"/>
          <w:bCs/>
          <w:kern w:val="0"/>
          <w:szCs w:val="28"/>
          <w:highlight w:val="none"/>
        </w:rPr>
        <w:t>46</w:t>
      </w:r>
      <w:r>
        <w:rPr>
          <w:rFonts w:hint="eastAsia" w:ascii="仿宋" w:hAnsi="仿宋" w:eastAsia="仿宋"/>
          <w:bCs/>
          <w:kern w:val="0"/>
          <w:szCs w:val="28"/>
          <w:highlight w:val="none"/>
        </w:rPr>
        <w:fldChar w:fldCharType="end"/>
      </w:r>
      <w:r>
        <w:rPr>
          <w:rFonts w:hint="eastAsia" w:ascii="仿宋" w:hAnsi="仿宋" w:eastAsia="仿宋"/>
          <w:bCs/>
          <w:kern w:val="0"/>
          <w:szCs w:val="28"/>
          <w:highlight w:val="none"/>
        </w:rPr>
        <w:fldChar w:fldCharType="end"/>
      </w:r>
    </w:p>
    <w:p w14:paraId="6AC81234">
      <w:pPr>
        <w:pStyle w:val="25"/>
        <w:tabs>
          <w:tab w:val="right" w:leader="dot" w:pos="9440"/>
        </w:tabs>
      </w:pPr>
      <w:r>
        <w:rPr>
          <w:rFonts w:hint="eastAsia" w:ascii="黑体" w:hAnsi="黑体" w:eastAsia="黑体" w:cs="黑体"/>
          <w:i w:val="0"/>
          <w:iCs w:val="0"/>
          <w:caps/>
          <w:color w:val="auto"/>
          <w:kern w:val="0"/>
          <w:szCs w:val="28"/>
          <w:highlight w:val="none"/>
        </w:rPr>
        <w:fldChar w:fldCharType="begin"/>
      </w:r>
      <w:r>
        <w:rPr>
          <w:rFonts w:hint="eastAsia" w:ascii="黑体" w:hAnsi="黑体" w:eastAsia="黑体" w:cs="黑体"/>
          <w:i w:val="0"/>
          <w:iCs w:val="0"/>
          <w:caps/>
          <w:kern w:val="0"/>
          <w:szCs w:val="28"/>
          <w:highlight w:val="none"/>
        </w:rPr>
        <w:instrText xml:space="preserve"> HYPERLINK \l _Toc11135 </w:instrText>
      </w:r>
      <w:r>
        <w:rPr>
          <w:rFonts w:hint="eastAsia" w:ascii="黑体" w:hAnsi="黑体" w:eastAsia="黑体" w:cs="黑体"/>
          <w:i w:val="0"/>
          <w:iCs w:val="0"/>
          <w:caps/>
          <w:kern w:val="0"/>
          <w:szCs w:val="28"/>
          <w:highlight w:val="none"/>
        </w:rPr>
        <w:fldChar w:fldCharType="separate"/>
      </w:r>
      <w:r>
        <w:rPr>
          <w:rFonts w:ascii="黑体" w:hAnsi="黑体" w:eastAsia="黑体"/>
          <w:szCs w:val="48"/>
          <w:highlight w:val="none"/>
          <w:shd w:val="clear" w:color="060000" w:fill="auto"/>
        </w:rPr>
        <w:t>第</w:t>
      </w:r>
      <w:r>
        <w:rPr>
          <w:rFonts w:hint="eastAsia" w:ascii="黑体" w:hAnsi="黑体" w:eastAsia="黑体"/>
          <w:szCs w:val="48"/>
          <w:highlight w:val="none"/>
          <w:shd w:val="clear" w:color="060000" w:fill="auto"/>
        </w:rPr>
        <w:t>三</w:t>
      </w:r>
      <w:r>
        <w:rPr>
          <w:rFonts w:ascii="黑体" w:hAnsi="黑体" w:eastAsia="黑体"/>
          <w:szCs w:val="48"/>
          <w:highlight w:val="none"/>
          <w:shd w:val="clear" w:color="060000" w:fill="auto"/>
        </w:rPr>
        <w:t xml:space="preserve">章 </w:t>
      </w:r>
      <w:r>
        <w:rPr>
          <w:rFonts w:hint="eastAsia" w:ascii="黑体" w:hAnsi="黑体" w:eastAsia="黑体"/>
          <w:szCs w:val="48"/>
          <w:highlight w:val="none"/>
          <w:shd w:val="clear" w:color="060000" w:fill="auto"/>
        </w:rPr>
        <w:t>合同文本及条款</w:t>
      </w:r>
      <w:r>
        <w:tab/>
      </w:r>
      <w:r>
        <w:fldChar w:fldCharType="begin"/>
      </w:r>
      <w:r>
        <w:instrText xml:space="preserve"> PAGEREF _Toc11135 \h </w:instrText>
      </w:r>
      <w:r>
        <w:fldChar w:fldCharType="separate"/>
      </w:r>
      <w:r>
        <w:t>48</w:t>
      </w:r>
      <w:r>
        <w:fldChar w:fldCharType="end"/>
      </w:r>
      <w:r>
        <w:rPr>
          <w:rFonts w:hint="eastAsia" w:ascii="黑体" w:hAnsi="黑体" w:eastAsia="黑体" w:cs="黑体"/>
          <w:i w:val="0"/>
          <w:iCs w:val="0"/>
          <w:caps/>
          <w:color w:val="auto"/>
          <w:kern w:val="0"/>
          <w:szCs w:val="28"/>
          <w:highlight w:val="none"/>
        </w:rPr>
        <w:fldChar w:fldCharType="end"/>
      </w:r>
    </w:p>
    <w:p w14:paraId="45E8A197">
      <w:pPr>
        <w:pStyle w:val="25"/>
        <w:tabs>
          <w:tab w:val="right" w:leader="dot" w:pos="9440"/>
        </w:tabs>
      </w:pPr>
      <w:r>
        <w:rPr>
          <w:rFonts w:hint="eastAsia" w:ascii="黑体" w:hAnsi="黑体" w:eastAsia="黑体" w:cs="黑体"/>
          <w:i w:val="0"/>
          <w:iCs w:val="0"/>
          <w:caps/>
          <w:color w:val="auto"/>
          <w:kern w:val="0"/>
          <w:szCs w:val="28"/>
          <w:highlight w:val="none"/>
        </w:rPr>
        <w:fldChar w:fldCharType="begin"/>
      </w:r>
      <w:r>
        <w:rPr>
          <w:rFonts w:hint="eastAsia" w:ascii="黑体" w:hAnsi="黑体" w:eastAsia="黑体" w:cs="黑体"/>
          <w:i w:val="0"/>
          <w:iCs w:val="0"/>
          <w:caps/>
          <w:kern w:val="0"/>
          <w:szCs w:val="28"/>
          <w:highlight w:val="none"/>
        </w:rPr>
        <w:instrText xml:space="preserve"> HYPERLINK \l _Toc3311 </w:instrText>
      </w:r>
      <w:r>
        <w:rPr>
          <w:rFonts w:hint="eastAsia" w:ascii="黑体" w:hAnsi="黑体" w:eastAsia="黑体" w:cs="黑体"/>
          <w:i w:val="0"/>
          <w:iCs w:val="0"/>
          <w:caps/>
          <w:kern w:val="0"/>
          <w:szCs w:val="28"/>
          <w:highlight w:val="none"/>
        </w:rPr>
        <w:fldChar w:fldCharType="separate"/>
      </w:r>
      <w:r>
        <w:rPr>
          <w:rFonts w:hint="eastAsia" w:ascii="黑体" w:hAnsi="黑体" w:eastAsia="黑体" w:cs="黑体"/>
          <w:bCs/>
          <w:szCs w:val="28"/>
          <w:highlight w:val="none"/>
        </w:rPr>
        <w:t>第一条    受托物业基本情况</w:t>
      </w:r>
      <w:r>
        <w:tab/>
      </w:r>
      <w:r>
        <w:fldChar w:fldCharType="begin"/>
      </w:r>
      <w:r>
        <w:instrText xml:space="preserve"> PAGEREF _Toc3311 \h </w:instrText>
      </w:r>
      <w:r>
        <w:fldChar w:fldCharType="separate"/>
      </w:r>
      <w:r>
        <w:t>69</w:t>
      </w:r>
      <w:r>
        <w:fldChar w:fldCharType="end"/>
      </w:r>
      <w:r>
        <w:rPr>
          <w:rFonts w:hint="eastAsia" w:ascii="黑体" w:hAnsi="黑体" w:eastAsia="黑体" w:cs="黑体"/>
          <w:i w:val="0"/>
          <w:iCs w:val="0"/>
          <w:caps/>
          <w:color w:val="auto"/>
          <w:kern w:val="0"/>
          <w:szCs w:val="28"/>
          <w:highlight w:val="none"/>
        </w:rPr>
        <w:fldChar w:fldCharType="end"/>
      </w:r>
    </w:p>
    <w:p w14:paraId="0B55901D">
      <w:pPr>
        <w:pStyle w:val="25"/>
        <w:tabs>
          <w:tab w:val="right" w:leader="dot" w:pos="9440"/>
        </w:tabs>
      </w:pPr>
      <w:r>
        <w:rPr>
          <w:rFonts w:hint="eastAsia" w:ascii="黑体" w:hAnsi="黑体" w:eastAsia="黑体" w:cs="黑体"/>
          <w:i w:val="0"/>
          <w:iCs w:val="0"/>
          <w:caps/>
          <w:color w:val="auto"/>
          <w:kern w:val="0"/>
          <w:szCs w:val="28"/>
          <w:highlight w:val="none"/>
        </w:rPr>
        <w:fldChar w:fldCharType="begin"/>
      </w:r>
      <w:r>
        <w:rPr>
          <w:rFonts w:hint="eastAsia" w:ascii="黑体" w:hAnsi="黑体" w:eastAsia="黑体" w:cs="黑体"/>
          <w:i w:val="0"/>
          <w:iCs w:val="0"/>
          <w:caps/>
          <w:kern w:val="0"/>
          <w:szCs w:val="28"/>
          <w:highlight w:val="none"/>
        </w:rPr>
        <w:instrText xml:space="preserve"> HYPERLINK \l _Toc31152 </w:instrText>
      </w:r>
      <w:r>
        <w:rPr>
          <w:rFonts w:hint="eastAsia" w:ascii="黑体" w:hAnsi="黑体" w:eastAsia="黑体" w:cs="黑体"/>
          <w:i w:val="0"/>
          <w:iCs w:val="0"/>
          <w:caps/>
          <w:kern w:val="0"/>
          <w:szCs w:val="28"/>
          <w:highlight w:val="none"/>
        </w:rPr>
        <w:fldChar w:fldCharType="separate"/>
      </w:r>
      <w:r>
        <w:rPr>
          <w:rFonts w:hint="eastAsia" w:ascii="黑体" w:hAnsi="黑体" w:eastAsia="黑体" w:cs="黑体"/>
          <w:bCs/>
          <w:szCs w:val="28"/>
          <w:highlight w:val="none"/>
        </w:rPr>
        <w:t>第二条    委托管理事项</w:t>
      </w:r>
      <w:r>
        <w:tab/>
      </w:r>
      <w:r>
        <w:fldChar w:fldCharType="begin"/>
      </w:r>
      <w:r>
        <w:instrText xml:space="preserve"> PAGEREF _Toc31152 \h </w:instrText>
      </w:r>
      <w:r>
        <w:fldChar w:fldCharType="separate"/>
      </w:r>
      <w:r>
        <w:t>69</w:t>
      </w:r>
      <w:r>
        <w:fldChar w:fldCharType="end"/>
      </w:r>
      <w:r>
        <w:rPr>
          <w:rFonts w:hint="eastAsia" w:ascii="黑体" w:hAnsi="黑体" w:eastAsia="黑体" w:cs="黑体"/>
          <w:i w:val="0"/>
          <w:iCs w:val="0"/>
          <w:caps/>
          <w:color w:val="auto"/>
          <w:kern w:val="0"/>
          <w:szCs w:val="28"/>
          <w:highlight w:val="none"/>
        </w:rPr>
        <w:fldChar w:fldCharType="end"/>
      </w:r>
    </w:p>
    <w:p w14:paraId="131B9C1E">
      <w:pPr>
        <w:pStyle w:val="25"/>
        <w:tabs>
          <w:tab w:val="right" w:leader="dot" w:pos="9440"/>
        </w:tabs>
      </w:pPr>
      <w:r>
        <w:rPr>
          <w:rFonts w:hint="eastAsia" w:ascii="黑体" w:hAnsi="黑体" w:eastAsia="黑体" w:cs="黑体"/>
          <w:i w:val="0"/>
          <w:iCs w:val="0"/>
          <w:caps/>
          <w:color w:val="auto"/>
          <w:kern w:val="0"/>
          <w:szCs w:val="28"/>
          <w:highlight w:val="none"/>
        </w:rPr>
        <w:fldChar w:fldCharType="begin"/>
      </w:r>
      <w:r>
        <w:rPr>
          <w:rFonts w:hint="eastAsia" w:ascii="黑体" w:hAnsi="黑体" w:eastAsia="黑体" w:cs="黑体"/>
          <w:i w:val="0"/>
          <w:iCs w:val="0"/>
          <w:caps/>
          <w:kern w:val="0"/>
          <w:szCs w:val="28"/>
          <w:highlight w:val="none"/>
        </w:rPr>
        <w:instrText xml:space="preserve"> HYPERLINK \l _Toc11115 </w:instrText>
      </w:r>
      <w:r>
        <w:rPr>
          <w:rFonts w:hint="eastAsia" w:ascii="黑体" w:hAnsi="黑体" w:eastAsia="黑体" w:cs="黑体"/>
          <w:i w:val="0"/>
          <w:iCs w:val="0"/>
          <w:caps/>
          <w:kern w:val="0"/>
          <w:szCs w:val="28"/>
          <w:highlight w:val="none"/>
        </w:rPr>
        <w:fldChar w:fldCharType="separate"/>
      </w:r>
      <w:r>
        <w:rPr>
          <w:rFonts w:hint="eastAsia" w:ascii="黑体" w:hAnsi="黑体" w:eastAsia="黑体" w:cs="黑体"/>
          <w:bCs/>
          <w:szCs w:val="28"/>
          <w:highlight w:val="none"/>
        </w:rPr>
        <w:t>第三条    协议期限</w:t>
      </w:r>
      <w:r>
        <w:tab/>
      </w:r>
      <w:r>
        <w:fldChar w:fldCharType="begin"/>
      </w:r>
      <w:r>
        <w:instrText xml:space="preserve"> PAGEREF _Toc11115 \h </w:instrText>
      </w:r>
      <w:r>
        <w:fldChar w:fldCharType="separate"/>
      </w:r>
      <w:r>
        <w:t>69</w:t>
      </w:r>
      <w:r>
        <w:fldChar w:fldCharType="end"/>
      </w:r>
      <w:r>
        <w:rPr>
          <w:rFonts w:hint="eastAsia" w:ascii="黑体" w:hAnsi="黑体" w:eastAsia="黑体" w:cs="黑体"/>
          <w:i w:val="0"/>
          <w:iCs w:val="0"/>
          <w:caps/>
          <w:color w:val="auto"/>
          <w:kern w:val="0"/>
          <w:szCs w:val="28"/>
          <w:highlight w:val="none"/>
        </w:rPr>
        <w:fldChar w:fldCharType="end"/>
      </w:r>
    </w:p>
    <w:p w14:paraId="4D6AD985">
      <w:pPr>
        <w:pStyle w:val="25"/>
        <w:tabs>
          <w:tab w:val="right" w:leader="dot" w:pos="9440"/>
        </w:tabs>
      </w:pPr>
      <w:r>
        <w:rPr>
          <w:rFonts w:hint="eastAsia" w:ascii="黑体" w:hAnsi="黑体" w:eastAsia="黑体" w:cs="黑体"/>
          <w:i w:val="0"/>
          <w:iCs w:val="0"/>
          <w:caps/>
          <w:color w:val="auto"/>
          <w:kern w:val="0"/>
          <w:szCs w:val="28"/>
          <w:highlight w:val="none"/>
        </w:rPr>
        <w:fldChar w:fldCharType="begin"/>
      </w:r>
      <w:r>
        <w:rPr>
          <w:rFonts w:hint="eastAsia" w:ascii="黑体" w:hAnsi="黑体" w:eastAsia="黑体" w:cs="黑体"/>
          <w:i w:val="0"/>
          <w:iCs w:val="0"/>
          <w:caps/>
          <w:kern w:val="0"/>
          <w:szCs w:val="28"/>
          <w:highlight w:val="none"/>
        </w:rPr>
        <w:instrText xml:space="preserve"> HYPERLINK \l _Toc27828 </w:instrText>
      </w:r>
      <w:r>
        <w:rPr>
          <w:rFonts w:hint="eastAsia" w:ascii="黑体" w:hAnsi="黑体" w:eastAsia="黑体" w:cs="黑体"/>
          <w:i w:val="0"/>
          <w:iCs w:val="0"/>
          <w:caps/>
          <w:kern w:val="0"/>
          <w:szCs w:val="28"/>
          <w:highlight w:val="none"/>
        </w:rPr>
        <w:fldChar w:fldCharType="separate"/>
      </w:r>
      <w:r>
        <w:rPr>
          <w:rFonts w:hint="eastAsia" w:ascii="黑体" w:hAnsi="黑体" w:eastAsia="黑体" w:cs="黑体"/>
          <w:bCs/>
          <w:szCs w:val="28"/>
          <w:highlight w:val="none"/>
        </w:rPr>
        <w:t>第四条    甲方的权利和义务</w:t>
      </w:r>
      <w:r>
        <w:tab/>
      </w:r>
      <w:r>
        <w:fldChar w:fldCharType="begin"/>
      </w:r>
      <w:r>
        <w:instrText xml:space="preserve"> PAGEREF _Toc27828 \h </w:instrText>
      </w:r>
      <w:r>
        <w:fldChar w:fldCharType="separate"/>
      </w:r>
      <w:r>
        <w:t>69</w:t>
      </w:r>
      <w:r>
        <w:fldChar w:fldCharType="end"/>
      </w:r>
      <w:r>
        <w:rPr>
          <w:rFonts w:hint="eastAsia" w:ascii="黑体" w:hAnsi="黑体" w:eastAsia="黑体" w:cs="黑体"/>
          <w:i w:val="0"/>
          <w:iCs w:val="0"/>
          <w:caps/>
          <w:color w:val="auto"/>
          <w:kern w:val="0"/>
          <w:szCs w:val="28"/>
          <w:highlight w:val="none"/>
        </w:rPr>
        <w:fldChar w:fldCharType="end"/>
      </w:r>
    </w:p>
    <w:p w14:paraId="2C45667D">
      <w:pPr>
        <w:pStyle w:val="25"/>
        <w:tabs>
          <w:tab w:val="right" w:leader="dot" w:pos="9440"/>
        </w:tabs>
      </w:pPr>
      <w:r>
        <w:rPr>
          <w:rFonts w:hint="eastAsia" w:ascii="黑体" w:hAnsi="黑体" w:eastAsia="黑体" w:cs="黑体"/>
          <w:i w:val="0"/>
          <w:iCs w:val="0"/>
          <w:caps/>
          <w:color w:val="auto"/>
          <w:kern w:val="0"/>
          <w:szCs w:val="28"/>
          <w:highlight w:val="none"/>
        </w:rPr>
        <w:fldChar w:fldCharType="begin"/>
      </w:r>
      <w:r>
        <w:rPr>
          <w:rFonts w:hint="eastAsia" w:ascii="黑体" w:hAnsi="黑体" w:eastAsia="黑体" w:cs="黑体"/>
          <w:i w:val="0"/>
          <w:iCs w:val="0"/>
          <w:caps/>
          <w:kern w:val="0"/>
          <w:szCs w:val="28"/>
          <w:highlight w:val="none"/>
        </w:rPr>
        <w:instrText xml:space="preserve"> HYPERLINK \l _Toc10779 </w:instrText>
      </w:r>
      <w:r>
        <w:rPr>
          <w:rFonts w:hint="eastAsia" w:ascii="黑体" w:hAnsi="黑体" w:eastAsia="黑体" w:cs="黑体"/>
          <w:i w:val="0"/>
          <w:iCs w:val="0"/>
          <w:caps/>
          <w:kern w:val="0"/>
          <w:szCs w:val="28"/>
          <w:highlight w:val="none"/>
        </w:rPr>
        <w:fldChar w:fldCharType="separate"/>
      </w:r>
      <w:r>
        <w:rPr>
          <w:rFonts w:hint="eastAsia" w:ascii="黑体" w:hAnsi="黑体" w:eastAsia="黑体" w:cs="黑体"/>
          <w:bCs/>
          <w:szCs w:val="28"/>
          <w:highlight w:val="none"/>
        </w:rPr>
        <w:t>第五条    乙方的权利和义务</w:t>
      </w:r>
      <w:r>
        <w:tab/>
      </w:r>
      <w:r>
        <w:fldChar w:fldCharType="begin"/>
      </w:r>
      <w:r>
        <w:instrText xml:space="preserve"> PAGEREF _Toc10779 \h </w:instrText>
      </w:r>
      <w:r>
        <w:fldChar w:fldCharType="separate"/>
      </w:r>
      <w:r>
        <w:t>70</w:t>
      </w:r>
      <w:r>
        <w:fldChar w:fldCharType="end"/>
      </w:r>
      <w:r>
        <w:rPr>
          <w:rFonts w:hint="eastAsia" w:ascii="黑体" w:hAnsi="黑体" w:eastAsia="黑体" w:cs="黑体"/>
          <w:i w:val="0"/>
          <w:iCs w:val="0"/>
          <w:caps/>
          <w:color w:val="auto"/>
          <w:kern w:val="0"/>
          <w:szCs w:val="28"/>
          <w:highlight w:val="none"/>
        </w:rPr>
        <w:fldChar w:fldCharType="end"/>
      </w:r>
    </w:p>
    <w:p w14:paraId="00545269">
      <w:pPr>
        <w:pStyle w:val="25"/>
        <w:tabs>
          <w:tab w:val="right" w:leader="dot" w:pos="9440"/>
        </w:tabs>
      </w:pPr>
      <w:r>
        <w:rPr>
          <w:rFonts w:hint="eastAsia" w:ascii="黑体" w:hAnsi="黑体" w:eastAsia="黑体" w:cs="黑体"/>
          <w:i w:val="0"/>
          <w:iCs w:val="0"/>
          <w:caps/>
          <w:color w:val="auto"/>
          <w:kern w:val="0"/>
          <w:szCs w:val="28"/>
          <w:highlight w:val="none"/>
        </w:rPr>
        <w:fldChar w:fldCharType="begin"/>
      </w:r>
      <w:r>
        <w:rPr>
          <w:rFonts w:hint="eastAsia" w:ascii="黑体" w:hAnsi="黑体" w:eastAsia="黑体" w:cs="黑体"/>
          <w:i w:val="0"/>
          <w:iCs w:val="0"/>
          <w:caps/>
          <w:kern w:val="0"/>
          <w:szCs w:val="28"/>
          <w:highlight w:val="none"/>
        </w:rPr>
        <w:instrText xml:space="preserve"> HYPERLINK \l _Toc8204 </w:instrText>
      </w:r>
      <w:r>
        <w:rPr>
          <w:rFonts w:hint="eastAsia" w:ascii="黑体" w:hAnsi="黑体" w:eastAsia="黑体" w:cs="黑体"/>
          <w:i w:val="0"/>
          <w:iCs w:val="0"/>
          <w:caps/>
          <w:kern w:val="0"/>
          <w:szCs w:val="28"/>
          <w:highlight w:val="none"/>
        </w:rPr>
        <w:fldChar w:fldCharType="separate"/>
      </w:r>
      <w:r>
        <w:rPr>
          <w:rFonts w:hint="eastAsia" w:ascii="黑体" w:hAnsi="黑体" w:eastAsia="黑体" w:cs="黑体"/>
          <w:bCs/>
          <w:szCs w:val="28"/>
          <w:highlight w:val="none"/>
        </w:rPr>
        <w:t>第六条    违约责任</w:t>
      </w:r>
      <w:r>
        <w:tab/>
      </w:r>
      <w:r>
        <w:fldChar w:fldCharType="begin"/>
      </w:r>
      <w:r>
        <w:instrText xml:space="preserve"> PAGEREF _Toc8204 \h </w:instrText>
      </w:r>
      <w:r>
        <w:fldChar w:fldCharType="separate"/>
      </w:r>
      <w:r>
        <w:t>72</w:t>
      </w:r>
      <w:r>
        <w:fldChar w:fldCharType="end"/>
      </w:r>
      <w:r>
        <w:rPr>
          <w:rFonts w:hint="eastAsia" w:ascii="黑体" w:hAnsi="黑体" w:eastAsia="黑体" w:cs="黑体"/>
          <w:i w:val="0"/>
          <w:iCs w:val="0"/>
          <w:caps/>
          <w:color w:val="auto"/>
          <w:kern w:val="0"/>
          <w:szCs w:val="28"/>
          <w:highlight w:val="none"/>
        </w:rPr>
        <w:fldChar w:fldCharType="end"/>
      </w:r>
    </w:p>
    <w:p w14:paraId="6E8FF298">
      <w:pPr>
        <w:pStyle w:val="25"/>
        <w:tabs>
          <w:tab w:val="right" w:leader="dot" w:pos="9440"/>
        </w:tabs>
      </w:pPr>
      <w:r>
        <w:rPr>
          <w:rFonts w:hint="eastAsia" w:ascii="黑体" w:hAnsi="黑体" w:eastAsia="黑体" w:cs="黑体"/>
          <w:i w:val="0"/>
          <w:iCs w:val="0"/>
          <w:caps/>
          <w:color w:val="auto"/>
          <w:kern w:val="0"/>
          <w:szCs w:val="28"/>
          <w:highlight w:val="none"/>
        </w:rPr>
        <w:fldChar w:fldCharType="begin"/>
      </w:r>
      <w:r>
        <w:rPr>
          <w:rFonts w:hint="eastAsia" w:ascii="黑体" w:hAnsi="黑体" w:eastAsia="黑体" w:cs="黑体"/>
          <w:i w:val="0"/>
          <w:iCs w:val="0"/>
          <w:caps/>
          <w:kern w:val="0"/>
          <w:szCs w:val="28"/>
          <w:highlight w:val="none"/>
        </w:rPr>
        <w:instrText xml:space="preserve"> HYPERLINK \l _Toc24060 </w:instrText>
      </w:r>
      <w:r>
        <w:rPr>
          <w:rFonts w:hint="eastAsia" w:ascii="黑体" w:hAnsi="黑体" w:eastAsia="黑体" w:cs="黑体"/>
          <w:i w:val="0"/>
          <w:iCs w:val="0"/>
          <w:caps/>
          <w:kern w:val="0"/>
          <w:szCs w:val="28"/>
          <w:highlight w:val="none"/>
        </w:rPr>
        <w:fldChar w:fldCharType="separate"/>
      </w:r>
      <w:r>
        <w:rPr>
          <w:rFonts w:hint="eastAsia" w:ascii="黑体" w:hAnsi="黑体" w:eastAsia="黑体" w:cs="黑体"/>
          <w:bCs/>
          <w:szCs w:val="28"/>
          <w:highlight w:val="none"/>
        </w:rPr>
        <w:t>第七条    其他事项</w:t>
      </w:r>
      <w:r>
        <w:tab/>
      </w:r>
      <w:r>
        <w:fldChar w:fldCharType="begin"/>
      </w:r>
      <w:r>
        <w:instrText xml:space="preserve"> PAGEREF _Toc24060 \h </w:instrText>
      </w:r>
      <w:r>
        <w:fldChar w:fldCharType="separate"/>
      </w:r>
      <w:r>
        <w:t>72</w:t>
      </w:r>
      <w:r>
        <w:fldChar w:fldCharType="end"/>
      </w:r>
      <w:r>
        <w:rPr>
          <w:rFonts w:hint="eastAsia" w:ascii="黑体" w:hAnsi="黑体" w:eastAsia="黑体" w:cs="黑体"/>
          <w:i w:val="0"/>
          <w:iCs w:val="0"/>
          <w:caps/>
          <w:color w:val="auto"/>
          <w:kern w:val="0"/>
          <w:szCs w:val="28"/>
          <w:highlight w:val="none"/>
        </w:rPr>
        <w:fldChar w:fldCharType="end"/>
      </w:r>
    </w:p>
    <w:p w14:paraId="59C90F63">
      <w:pPr>
        <w:pStyle w:val="25"/>
        <w:tabs>
          <w:tab w:val="right" w:leader="dot" w:pos="9440"/>
        </w:tabs>
      </w:pPr>
      <w:r>
        <w:rPr>
          <w:rFonts w:hint="eastAsia" w:ascii="黑体" w:hAnsi="黑体" w:eastAsia="黑体" w:cs="黑体"/>
          <w:i w:val="0"/>
          <w:iCs w:val="0"/>
          <w:caps/>
          <w:color w:val="auto"/>
          <w:kern w:val="0"/>
          <w:szCs w:val="28"/>
          <w:highlight w:val="none"/>
        </w:rPr>
        <w:fldChar w:fldCharType="begin"/>
      </w:r>
      <w:r>
        <w:rPr>
          <w:rFonts w:hint="eastAsia" w:ascii="黑体" w:hAnsi="黑体" w:eastAsia="黑体" w:cs="黑体"/>
          <w:i w:val="0"/>
          <w:iCs w:val="0"/>
          <w:caps/>
          <w:kern w:val="0"/>
          <w:szCs w:val="28"/>
          <w:highlight w:val="none"/>
        </w:rPr>
        <w:instrText xml:space="preserve"> HYPERLINK \l _Toc1622 </w:instrText>
      </w:r>
      <w:r>
        <w:rPr>
          <w:rFonts w:hint="eastAsia" w:ascii="黑体" w:hAnsi="黑体" w:eastAsia="黑体" w:cs="黑体"/>
          <w:i w:val="0"/>
          <w:iCs w:val="0"/>
          <w:caps/>
          <w:kern w:val="0"/>
          <w:szCs w:val="28"/>
          <w:highlight w:val="none"/>
        </w:rPr>
        <w:fldChar w:fldCharType="separate"/>
      </w:r>
      <w:r>
        <w:rPr>
          <w:rFonts w:hint="eastAsia" w:ascii="黑体" w:hAnsi="黑体" w:eastAsia="黑体" w:cs="黑体"/>
          <w:szCs w:val="48"/>
          <w:highlight w:val="none"/>
          <w:shd w:val="clear" w:color="060000" w:fill="auto"/>
          <w:lang w:val="en-US" w:eastAsia="zh-CN"/>
        </w:rPr>
        <w:t xml:space="preserve">第四章 </w:t>
      </w:r>
      <w:r>
        <w:rPr>
          <w:rFonts w:hint="eastAsia" w:ascii="黑体" w:hAnsi="黑体" w:eastAsia="黑体" w:cs="黑体"/>
          <w:szCs w:val="48"/>
          <w:highlight w:val="none"/>
          <w:shd w:val="clear" w:color="060000" w:fill="auto"/>
        </w:rPr>
        <w:t>需求任务书</w:t>
      </w:r>
      <w:r>
        <w:tab/>
      </w:r>
      <w:r>
        <w:fldChar w:fldCharType="begin"/>
      </w:r>
      <w:r>
        <w:instrText xml:space="preserve"> PAGEREF _Toc1622 \h </w:instrText>
      </w:r>
      <w:r>
        <w:fldChar w:fldCharType="separate"/>
      </w:r>
      <w:r>
        <w:t>74</w:t>
      </w:r>
      <w:r>
        <w:fldChar w:fldCharType="end"/>
      </w:r>
      <w:r>
        <w:rPr>
          <w:rFonts w:hint="eastAsia" w:ascii="黑体" w:hAnsi="黑体" w:eastAsia="黑体" w:cs="黑体"/>
          <w:i w:val="0"/>
          <w:iCs w:val="0"/>
          <w:caps/>
          <w:color w:val="auto"/>
          <w:kern w:val="0"/>
          <w:szCs w:val="28"/>
          <w:highlight w:val="none"/>
        </w:rPr>
        <w:fldChar w:fldCharType="end"/>
      </w:r>
    </w:p>
    <w:p w14:paraId="426F306B">
      <w:pPr>
        <w:pStyle w:val="25"/>
        <w:tabs>
          <w:tab w:val="right" w:leader="dot" w:pos="9440"/>
        </w:tabs>
      </w:pPr>
      <w:r>
        <w:rPr>
          <w:rFonts w:hint="eastAsia" w:ascii="黑体" w:hAnsi="黑体" w:eastAsia="黑体" w:cs="黑体"/>
          <w:i w:val="0"/>
          <w:iCs w:val="0"/>
          <w:caps/>
          <w:color w:val="auto"/>
          <w:kern w:val="0"/>
          <w:szCs w:val="28"/>
          <w:highlight w:val="none"/>
        </w:rPr>
        <w:fldChar w:fldCharType="begin"/>
      </w:r>
      <w:r>
        <w:rPr>
          <w:rFonts w:hint="eastAsia" w:ascii="黑体" w:hAnsi="黑体" w:eastAsia="黑体" w:cs="黑体"/>
          <w:i w:val="0"/>
          <w:iCs w:val="0"/>
          <w:caps/>
          <w:kern w:val="0"/>
          <w:szCs w:val="28"/>
          <w:highlight w:val="none"/>
        </w:rPr>
        <w:instrText xml:space="preserve"> HYPERLINK \l _Toc25206 </w:instrText>
      </w:r>
      <w:r>
        <w:rPr>
          <w:rFonts w:hint="eastAsia" w:ascii="黑体" w:hAnsi="黑体" w:eastAsia="黑体" w:cs="黑体"/>
          <w:i w:val="0"/>
          <w:iCs w:val="0"/>
          <w:caps/>
          <w:kern w:val="0"/>
          <w:szCs w:val="28"/>
          <w:highlight w:val="none"/>
        </w:rPr>
        <w:fldChar w:fldCharType="separate"/>
      </w:r>
      <w:r>
        <w:rPr>
          <w:rFonts w:ascii="宋体" w:hAnsi="宋体" w:cs="黑体"/>
          <w:szCs w:val="48"/>
          <w:highlight w:val="none"/>
          <w:shd w:val="clear" w:color="060000" w:fill="auto"/>
        </w:rPr>
        <w:t>第</w:t>
      </w:r>
      <w:r>
        <w:rPr>
          <w:rFonts w:hint="eastAsia" w:ascii="宋体" w:hAnsi="宋体" w:cs="黑体"/>
          <w:szCs w:val="48"/>
          <w:highlight w:val="none"/>
          <w:shd w:val="clear" w:color="060000" w:fill="auto"/>
        </w:rPr>
        <w:t>五</w:t>
      </w:r>
      <w:r>
        <w:rPr>
          <w:rFonts w:ascii="宋体" w:hAnsi="宋体" w:cs="黑体"/>
          <w:szCs w:val="48"/>
          <w:highlight w:val="none"/>
          <w:shd w:val="clear" w:color="060000" w:fill="auto"/>
        </w:rPr>
        <w:t>章</w:t>
      </w:r>
      <w:r>
        <w:rPr>
          <w:rFonts w:hint="eastAsia" w:ascii="宋体" w:hAnsi="宋体" w:cs="黑体"/>
          <w:szCs w:val="48"/>
          <w:highlight w:val="none"/>
          <w:shd w:val="clear" w:color="060000" w:fill="auto"/>
        </w:rPr>
        <w:t xml:space="preserve"> 投标文件格式</w:t>
      </w:r>
      <w:r>
        <w:tab/>
      </w:r>
      <w:r>
        <w:fldChar w:fldCharType="begin"/>
      </w:r>
      <w:r>
        <w:instrText xml:space="preserve"> PAGEREF _Toc25206 \h </w:instrText>
      </w:r>
      <w:r>
        <w:fldChar w:fldCharType="separate"/>
      </w:r>
      <w:r>
        <w:t>75</w:t>
      </w:r>
      <w:r>
        <w:fldChar w:fldCharType="end"/>
      </w:r>
      <w:r>
        <w:rPr>
          <w:rFonts w:hint="eastAsia" w:ascii="黑体" w:hAnsi="黑体" w:eastAsia="黑体" w:cs="黑体"/>
          <w:i w:val="0"/>
          <w:iCs w:val="0"/>
          <w:caps/>
          <w:color w:val="auto"/>
          <w:kern w:val="0"/>
          <w:szCs w:val="28"/>
          <w:highlight w:val="none"/>
        </w:rPr>
        <w:fldChar w:fldCharType="end"/>
      </w:r>
    </w:p>
    <w:p w14:paraId="142823B8">
      <w:pPr>
        <w:pStyle w:val="29"/>
        <w:tabs>
          <w:tab w:val="right" w:leader="dot" w:pos="9440"/>
        </w:tabs>
      </w:pPr>
      <w:r>
        <w:rPr>
          <w:rFonts w:hint="eastAsia" w:ascii="黑体" w:hAnsi="黑体" w:eastAsia="黑体" w:cs="黑体"/>
          <w:i w:val="0"/>
          <w:iCs w:val="0"/>
          <w:caps/>
          <w:color w:val="auto"/>
          <w:kern w:val="0"/>
          <w:szCs w:val="28"/>
          <w:highlight w:val="none"/>
        </w:rPr>
        <w:fldChar w:fldCharType="begin"/>
      </w:r>
      <w:r>
        <w:rPr>
          <w:rFonts w:hint="eastAsia" w:ascii="黑体" w:hAnsi="黑体" w:eastAsia="黑体" w:cs="黑体"/>
          <w:i w:val="0"/>
          <w:iCs w:val="0"/>
          <w:caps/>
          <w:kern w:val="0"/>
          <w:szCs w:val="28"/>
          <w:highlight w:val="none"/>
        </w:rPr>
        <w:instrText xml:space="preserve"> HYPERLINK \l _Toc7035 </w:instrText>
      </w:r>
      <w:r>
        <w:rPr>
          <w:rFonts w:hint="eastAsia" w:ascii="黑体" w:hAnsi="黑体" w:eastAsia="黑体" w:cs="黑体"/>
          <w:i w:val="0"/>
          <w:iCs w:val="0"/>
          <w:caps/>
          <w:kern w:val="0"/>
          <w:szCs w:val="28"/>
          <w:highlight w:val="none"/>
        </w:rPr>
        <w:fldChar w:fldCharType="separate"/>
      </w:r>
      <w:r>
        <w:rPr>
          <w:rFonts w:hint="eastAsia" w:ascii="仿宋" w:hAnsi="仿宋" w:eastAsia="仿宋"/>
          <w:kern w:val="0"/>
          <w:szCs w:val="28"/>
        </w:rPr>
        <w:t xml:space="preserve">一、 </w:t>
      </w:r>
      <w:r>
        <w:rPr>
          <w:rFonts w:hint="eastAsia" w:ascii="仿宋" w:hAnsi="仿宋" w:eastAsia="仿宋"/>
          <w:bCs/>
          <w:kern w:val="0"/>
          <w:szCs w:val="28"/>
          <w:highlight w:val="none"/>
        </w:rPr>
        <w:t>投标文件格式--</w:t>
      </w:r>
      <w:r>
        <w:rPr>
          <w:rFonts w:hint="eastAsia" w:ascii="仿宋" w:hAnsi="仿宋" w:eastAsia="仿宋"/>
          <w:kern w:val="0"/>
          <w:szCs w:val="28"/>
          <w:highlight w:val="none"/>
        </w:rPr>
        <w:t>资格审查文件</w:t>
      </w:r>
      <w:r>
        <w:tab/>
      </w:r>
      <w:r>
        <w:fldChar w:fldCharType="begin"/>
      </w:r>
      <w:r>
        <w:instrText xml:space="preserve"> PAGEREF _Toc7035 \h </w:instrText>
      </w:r>
      <w:r>
        <w:fldChar w:fldCharType="separate"/>
      </w:r>
      <w:r>
        <w:t>76</w:t>
      </w:r>
      <w:r>
        <w:fldChar w:fldCharType="end"/>
      </w:r>
      <w:r>
        <w:rPr>
          <w:rFonts w:hint="eastAsia" w:ascii="黑体" w:hAnsi="黑体" w:eastAsia="黑体" w:cs="黑体"/>
          <w:i w:val="0"/>
          <w:iCs w:val="0"/>
          <w:caps/>
          <w:color w:val="auto"/>
          <w:kern w:val="0"/>
          <w:szCs w:val="28"/>
          <w:highlight w:val="none"/>
        </w:rPr>
        <w:fldChar w:fldCharType="end"/>
      </w:r>
    </w:p>
    <w:p w14:paraId="5ED7800E">
      <w:pPr>
        <w:pStyle w:val="29"/>
        <w:tabs>
          <w:tab w:val="right" w:leader="dot" w:pos="9440"/>
        </w:tabs>
      </w:pPr>
      <w:r>
        <w:rPr>
          <w:rFonts w:hint="eastAsia" w:ascii="黑体" w:hAnsi="黑体" w:eastAsia="黑体" w:cs="黑体"/>
          <w:i w:val="0"/>
          <w:iCs w:val="0"/>
          <w:caps/>
          <w:color w:val="auto"/>
          <w:kern w:val="0"/>
          <w:szCs w:val="28"/>
          <w:highlight w:val="none"/>
        </w:rPr>
        <w:fldChar w:fldCharType="begin"/>
      </w:r>
      <w:r>
        <w:rPr>
          <w:rFonts w:hint="eastAsia" w:ascii="黑体" w:hAnsi="黑体" w:eastAsia="黑体" w:cs="黑体"/>
          <w:i w:val="0"/>
          <w:iCs w:val="0"/>
          <w:caps/>
          <w:kern w:val="0"/>
          <w:szCs w:val="28"/>
          <w:highlight w:val="none"/>
        </w:rPr>
        <w:instrText xml:space="preserve"> HYPERLINK \l _Toc24944 </w:instrText>
      </w:r>
      <w:r>
        <w:rPr>
          <w:rFonts w:hint="eastAsia" w:ascii="黑体" w:hAnsi="黑体" w:eastAsia="黑体" w:cs="黑体"/>
          <w:i w:val="0"/>
          <w:iCs w:val="0"/>
          <w:caps/>
          <w:kern w:val="0"/>
          <w:szCs w:val="28"/>
          <w:highlight w:val="none"/>
        </w:rPr>
        <w:fldChar w:fldCharType="separate"/>
      </w:r>
      <w:r>
        <w:rPr>
          <w:rFonts w:hint="eastAsia" w:ascii="仿宋" w:hAnsi="仿宋" w:eastAsia="仿宋"/>
          <w:kern w:val="0"/>
          <w:szCs w:val="28"/>
          <w:highlight w:val="none"/>
        </w:rPr>
        <w:t>二、</w:t>
      </w:r>
      <w:r>
        <w:rPr>
          <w:rFonts w:hint="eastAsia" w:ascii="仿宋" w:hAnsi="仿宋" w:eastAsia="仿宋"/>
          <w:bCs/>
          <w:kern w:val="0"/>
          <w:szCs w:val="28"/>
          <w:highlight w:val="none"/>
        </w:rPr>
        <w:t>投标文件格式--</w:t>
      </w:r>
      <w:r>
        <w:rPr>
          <w:rFonts w:hint="eastAsia" w:ascii="仿宋" w:hAnsi="仿宋" w:eastAsia="仿宋"/>
          <w:kern w:val="0"/>
          <w:szCs w:val="28"/>
          <w:highlight w:val="none"/>
        </w:rPr>
        <w:t>投标函部分</w:t>
      </w:r>
      <w:r>
        <w:tab/>
      </w:r>
      <w:r>
        <w:fldChar w:fldCharType="begin"/>
      </w:r>
      <w:r>
        <w:instrText xml:space="preserve"> PAGEREF _Toc24944 \h </w:instrText>
      </w:r>
      <w:r>
        <w:fldChar w:fldCharType="separate"/>
      </w:r>
      <w:r>
        <w:t>78</w:t>
      </w:r>
      <w:r>
        <w:fldChar w:fldCharType="end"/>
      </w:r>
      <w:r>
        <w:rPr>
          <w:rFonts w:hint="eastAsia" w:ascii="黑体" w:hAnsi="黑体" w:eastAsia="黑体" w:cs="黑体"/>
          <w:i w:val="0"/>
          <w:iCs w:val="0"/>
          <w:caps/>
          <w:color w:val="auto"/>
          <w:kern w:val="0"/>
          <w:szCs w:val="28"/>
          <w:highlight w:val="none"/>
        </w:rPr>
        <w:fldChar w:fldCharType="end"/>
      </w:r>
    </w:p>
    <w:p w14:paraId="57FDAC66">
      <w:pPr>
        <w:pStyle w:val="29"/>
        <w:tabs>
          <w:tab w:val="right" w:leader="dot" w:pos="9440"/>
        </w:tabs>
      </w:pPr>
      <w:r>
        <w:rPr>
          <w:rFonts w:hint="eastAsia" w:ascii="黑体" w:hAnsi="黑体" w:eastAsia="黑体" w:cs="黑体"/>
          <w:i w:val="0"/>
          <w:iCs w:val="0"/>
          <w:caps/>
          <w:color w:val="auto"/>
          <w:kern w:val="0"/>
          <w:szCs w:val="28"/>
          <w:highlight w:val="none"/>
        </w:rPr>
        <w:fldChar w:fldCharType="begin"/>
      </w:r>
      <w:r>
        <w:rPr>
          <w:rFonts w:hint="eastAsia" w:ascii="黑体" w:hAnsi="黑体" w:eastAsia="黑体" w:cs="黑体"/>
          <w:i w:val="0"/>
          <w:iCs w:val="0"/>
          <w:caps/>
          <w:kern w:val="0"/>
          <w:szCs w:val="28"/>
          <w:highlight w:val="none"/>
        </w:rPr>
        <w:instrText xml:space="preserve"> HYPERLINK \l _Toc28920 </w:instrText>
      </w:r>
      <w:r>
        <w:rPr>
          <w:rFonts w:hint="eastAsia" w:ascii="黑体" w:hAnsi="黑体" w:eastAsia="黑体" w:cs="黑体"/>
          <w:i w:val="0"/>
          <w:iCs w:val="0"/>
          <w:caps/>
          <w:kern w:val="0"/>
          <w:szCs w:val="28"/>
          <w:highlight w:val="none"/>
        </w:rPr>
        <w:fldChar w:fldCharType="separate"/>
      </w:r>
      <w:r>
        <w:rPr>
          <w:rFonts w:hint="eastAsia" w:ascii="仿宋" w:hAnsi="仿宋" w:eastAsia="仿宋"/>
          <w:kern w:val="0"/>
          <w:szCs w:val="28"/>
          <w:highlight w:val="none"/>
        </w:rPr>
        <w:t>三、投标文件格式--资信标部分</w:t>
      </w:r>
      <w:r>
        <w:tab/>
      </w:r>
      <w:r>
        <w:fldChar w:fldCharType="begin"/>
      </w:r>
      <w:r>
        <w:instrText xml:space="preserve"> PAGEREF _Toc28920 \h </w:instrText>
      </w:r>
      <w:r>
        <w:fldChar w:fldCharType="separate"/>
      </w:r>
      <w:r>
        <w:t>86</w:t>
      </w:r>
      <w:r>
        <w:fldChar w:fldCharType="end"/>
      </w:r>
      <w:r>
        <w:rPr>
          <w:rFonts w:hint="eastAsia" w:ascii="黑体" w:hAnsi="黑体" w:eastAsia="黑体" w:cs="黑体"/>
          <w:i w:val="0"/>
          <w:iCs w:val="0"/>
          <w:caps/>
          <w:color w:val="auto"/>
          <w:kern w:val="0"/>
          <w:szCs w:val="28"/>
          <w:highlight w:val="none"/>
        </w:rPr>
        <w:fldChar w:fldCharType="end"/>
      </w:r>
    </w:p>
    <w:p w14:paraId="48BCC1FF">
      <w:pPr>
        <w:pStyle w:val="29"/>
        <w:tabs>
          <w:tab w:val="right" w:leader="dot" w:pos="9440"/>
        </w:tabs>
      </w:pPr>
      <w:r>
        <w:rPr>
          <w:rFonts w:hint="eastAsia" w:ascii="黑体" w:hAnsi="黑体" w:eastAsia="黑体" w:cs="黑体"/>
          <w:i w:val="0"/>
          <w:iCs w:val="0"/>
          <w:caps/>
          <w:color w:val="auto"/>
          <w:kern w:val="0"/>
          <w:szCs w:val="28"/>
          <w:highlight w:val="none"/>
        </w:rPr>
        <w:fldChar w:fldCharType="begin"/>
      </w:r>
      <w:r>
        <w:rPr>
          <w:rFonts w:hint="eastAsia" w:ascii="黑体" w:hAnsi="黑体" w:eastAsia="黑体" w:cs="黑体"/>
          <w:i w:val="0"/>
          <w:iCs w:val="0"/>
          <w:caps/>
          <w:kern w:val="0"/>
          <w:szCs w:val="28"/>
          <w:highlight w:val="none"/>
        </w:rPr>
        <w:instrText xml:space="preserve"> HYPERLINK \l _Toc16597 </w:instrText>
      </w:r>
      <w:r>
        <w:rPr>
          <w:rFonts w:hint="eastAsia" w:ascii="黑体" w:hAnsi="黑体" w:eastAsia="黑体" w:cs="黑体"/>
          <w:i w:val="0"/>
          <w:iCs w:val="0"/>
          <w:caps/>
          <w:kern w:val="0"/>
          <w:szCs w:val="28"/>
          <w:highlight w:val="none"/>
        </w:rPr>
        <w:fldChar w:fldCharType="separate"/>
      </w:r>
      <w:r>
        <w:rPr>
          <w:rFonts w:hint="eastAsia" w:ascii="仿宋" w:hAnsi="仿宋" w:eastAsia="仿宋"/>
          <w:kern w:val="0"/>
          <w:szCs w:val="28"/>
          <w:highlight w:val="none"/>
        </w:rPr>
        <w:t>四、投标文件格式--技术标部分</w:t>
      </w:r>
      <w:r>
        <w:tab/>
      </w:r>
      <w:r>
        <w:fldChar w:fldCharType="begin"/>
      </w:r>
      <w:r>
        <w:instrText xml:space="preserve"> PAGEREF _Toc16597 \h </w:instrText>
      </w:r>
      <w:r>
        <w:fldChar w:fldCharType="separate"/>
      </w:r>
      <w:r>
        <w:t>88</w:t>
      </w:r>
      <w:r>
        <w:fldChar w:fldCharType="end"/>
      </w:r>
      <w:r>
        <w:rPr>
          <w:rFonts w:hint="eastAsia" w:ascii="黑体" w:hAnsi="黑体" w:eastAsia="黑体" w:cs="黑体"/>
          <w:i w:val="0"/>
          <w:iCs w:val="0"/>
          <w:caps/>
          <w:color w:val="auto"/>
          <w:kern w:val="0"/>
          <w:szCs w:val="28"/>
          <w:highlight w:val="none"/>
        </w:rPr>
        <w:fldChar w:fldCharType="end"/>
      </w:r>
    </w:p>
    <w:p w14:paraId="6963013E">
      <w:pPr>
        <w:pStyle w:val="29"/>
        <w:tabs>
          <w:tab w:val="right" w:leader="dot" w:pos="9440"/>
        </w:tabs>
      </w:pPr>
      <w:r>
        <w:rPr>
          <w:rFonts w:hint="eastAsia" w:ascii="黑体" w:hAnsi="黑体" w:eastAsia="黑体" w:cs="黑体"/>
          <w:i w:val="0"/>
          <w:iCs w:val="0"/>
          <w:caps/>
          <w:color w:val="auto"/>
          <w:kern w:val="0"/>
          <w:szCs w:val="28"/>
          <w:highlight w:val="none"/>
        </w:rPr>
        <w:fldChar w:fldCharType="begin"/>
      </w:r>
      <w:r>
        <w:rPr>
          <w:rFonts w:hint="eastAsia" w:ascii="黑体" w:hAnsi="黑体" w:eastAsia="黑体" w:cs="黑体"/>
          <w:i w:val="0"/>
          <w:iCs w:val="0"/>
          <w:caps/>
          <w:kern w:val="0"/>
          <w:szCs w:val="28"/>
          <w:highlight w:val="none"/>
        </w:rPr>
        <w:instrText xml:space="preserve"> HYPERLINK \l _Toc11728 </w:instrText>
      </w:r>
      <w:r>
        <w:rPr>
          <w:rFonts w:hint="eastAsia" w:ascii="黑体" w:hAnsi="黑体" w:eastAsia="黑体" w:cs="黑体"/>
          <w:i w:val="0"/>
          <w:iCs w:val="0"/>
          <w:caps/>
          <w:kern w:val="0"/>
          <w:szCs w:val="28"/>
          <w:highlight w:val="none"/>
        </w:rPr>
        <w:fldChar w:fldCharType="separate"/>
      </w:r>
      <w:r>
        <w:rPr>
          <w:rFonts w:hint="eastAsia" w:ascii="仿宋" w:hAnsi="仿宋" w:eastAsia="仿宋"/>
          <w:kern w:val="0"/>
          <w:szCs w:val="28"/>
          <w:highlight w:val="none"/>
        </w:rPr>
        <w:t>五、投标文件格式</w:t>
      </w:r>
      <w:r>
        <w:rPr>
          <w:rFonts w:ascii="仿宋" w:hAnsi="仿宋" w:eastAsia="仿宋"/>
          <w:kern w:val="0"/>
          <w:szCs w:val="28"/>
          <w:highlight w:val="none"/>
        </w:rPr>
        <w:t>—</w:t>
      </w:r>
      <w:r>
        <w:rPr>
          <w:rFonts w:hint="eastAsia" w:ascii="仿宋" w:hAnsi="仿宋" w:eastAsia="仿宋"/>
          <w:kern w:val="0"/>
          <w:szCs w:val="28"/>
          <w:highlight w:val="none"/>
        </w:rPr>
        <w:t>商务标部分</w:t>
      </w:r>
      <w:r>
        <w:tab/>
      </w:r>
      <w:r>
        <w:fldChar w:fldCharType="begin"/>
      </w:r>
      <w:r>
        <w:instrText xml:space="preserve"> PAGEREF _Toc11728 \h </w:instrText>
      </w:r>
      <w:r>
        <w:fldChar w:fldCharType="separate"/>
      </w:r>
      <w:r>
        <w:t>90</w:t>
      </w:r>
      <w:r>
        <w:fldChar w:fldCharType="end"/>
      </w:r>
      <w:r>
        <w:rPr>
          <w:rFonts w:hint="eastAsia" w:ascii="黑体" w:hAnsi="黑体" w:eastAsia="黑体" w:cs="黑体"/>
          <w:i w:val="0"/>
          <w:iCs w:val="0"/>
          <w:caps/>
          <w:color w:val="auto"/>
          <w:kern w:val="0"/>
          <w:szCs w:val="28"/>
          <w:highlight w:val="none"/>
        </w:rPr>
        <w:fldChar w:fldCharType="end"/>
      </w:r>
    </w:p>
    <w:p w14:paraId="37710F20">
      <w:pPr>
        <w:pStyle w:val="25"/>
        <w:tabs>
          <w:tab w:val="right" w:leader="dot" w:pos="9440"/>
        </w:tabs>
      </w:pPr>
      <w:r>
        <w:rPr>
          <w:rFonts w:hint="eastAsia" w:ascii="黑体" w:hAnsi="黑体" w:eastAsia="黑体" w:cs="黑体"/>
          <w:i w:val="0"/>
          <w:iCs w:val="0"/>
          <w:caps/>
          <w:color w:val="auto"/>
          <w:kern w:val="0"/>
          <w:szCs w:val="28"/>
          <w:highlight w:val="none"/>
        </w:rPr>
        <w:fldChar w:fldCharType="begin"/>
      </w:r>
      <w:r>
        <w:rPr>
          <w:rFonts w:hint="eastAsia" w:ascii="黑体" w:hAnsi="黑体" w:eastAsia="黑体" w:cs="黑体"/>
          <w:i w:val="0"/>
          <w:iCs w:val="0"/>
          <w:caps/>
          <w:kern w:val="0"/>
          <w:szCs w:val="28"/>
          <w:highlight w:val="none"/>
        </w:rPr>
        <w:instrText xml:space="preserve"> HYPERLINK \l _Toc2398 </w:instrText>
      </w:r>
      <w:r>
        <w:rPr>
          <w:rFonts w:hint="eastAsia" w:ascii="黑体" w:hAnsi="黑体" w:eastAsia="黑体" w:cs="黑体"/>
          <w:i w:val="0"/>
          <w:iCs w:val="0"/>
          <w:caps/>
          <w:kern w:val="0"/>
          <w:szCs w:val="28"/>
          <w:highlight w:val="none"/>
        </w:rPr>
        <w:fldChar w:fldCharType="separate"/>
      </w:r>
      <w:r>
        <w:rPr>
          <w:rFonts w:hint="eastAsia" w:ascii="宋体" w:hAnsi="宋体"/>
          <w:bCs/>
          <w:kern w:val="0"/>
          <w:szCs w:val="48"/>
          <w:highlight w:val="none"/>
        </w:rPr>
        <w:t>第六章 中标通知书</w:t>
      </w:r>
      <w:r>
        <w:tab/>
      </w:r>
      <w:r>
        <w:fldChar w:fldCharType="begin"/>
      </w:r>
      <w:r>
        <w:instrText xml:space="preserve"> PAGEREF _Toc2398 \h </w:instrText>
      </w:r>
      <w:r>
        <w:fldChar w:fldCharType="separate"/>
      </w:r>
      <w:r>
        <w:t>94</w:t>
      </w:r>
      <w:r>
        <w:fldChar w:fldCharType="end"/>
      </w:r>
      <w:r>
        <w:rPr>
          <w:rFonts w:hint="eastAsia" w:ascii="黑体" w:hAnsi="黑体" w:eastAsia="黑体" w:cs="黑体"/>
          <w:i w:val="0"/>
          <w:iCs w:val="0"/>
          <w:caps/>
          <w:color w:val="auto"/>
          <w:kern w:val="0"/>
          <w:szCs w:val="28"/>
          <w:highlight w:val="none"/>
        </w:rPr>
        <w:fldChar w:fldCharType="end"/>
      </w:r>
    </w:p>
    <w:p w14:paraId="0BD0FB5D">
      <w:pPr>
        <w:spacing w:line="360" w:lineRule="auto"/>
        <w:rPr>
          <w:rStyle w:val="42"/>
          <w:rFonts w:hint="eastAsia" w:ascii="黑体" w:hAnsi="黑体" w:eastAsia="黑体" w:cs="黑体"/>
          <w:caps/>
          <w:color w:val="auto"/>
          <w:kern w:val="0"/>
          <w:sz w:val="28"/>
          <w:szCs w:val="28"/>
          <w:highlight w:val="none"/>
        </w:rPr>
      </w:pPr>
      <w:r>
        <w:rPr>
          <w:rFonts w:hint="eastAsia" w:ascii="黑体" w:hAnsi="黑体" w:eastAsia="黑体" w:cs="黑体"/>
          <w:i w:val="0"/>
          <w:iCs w:val="0"/>
          <w:caps/>
          <w:color w:val="auto"/>
          <w:kern w:val="0"/>
          <w:szCs w:val="28"/>
          <w:highlight w:val="none"/>
        </w:rPr>
        <w:fldChar w:fldCharType="end"/>
      </w:r>
    </w:p>
    <w:p w14:paraId="37EE2AFF">
      <w:pPr>
        <w:jc w:val="left"/>
        <w:rPr>
          <w:rStyle w:val="42"/>
          <w:rFonts w:ascii="创艺简标宋" w:hAnsi="黑体" w:eastAsia="创艺简标宋" w:cs="Calibri"/>
          <w:caps/>
          <w:color w:val="auto"/>
          <w:kern w:val="0"/>
          <w:sz w:val="28"/>
          <w:szCs w:val="28"/>
          <w:highlight w:val="none"/>
          <w:u w:val="none"/>
        </w:rPr>
      </w:pPr>
      <w:r>
        <w:rPr>
          <w:rStyle w:val="42"/>
          <w:rFonts w:ascii="创艺简标宋" w:hAnsi="黑体" w:eastAsia="创艺简标宋" w:cs="Calibri"/>
          <w:caps/>
          <w:color w:val="auto"/>
          <w:kern w:val="0"/>
          <w:sz w:val="28"/>
          <w:szCs w:val="28"/>
          <w:highlight w:val="none"/>
          <w:u w:val="none"/>
        </w:rPr>
        <w:br w:type="page"/>
      </w:r>
    </w:p>
    <w:p w14:paraId="186DC2E5">
      <w:pPr>
        <w:keepNext/>
        <w:keepLines/>
        <w:spacing w:line="560" w:lineRule="exact"/>
        <w:jc w:val="center"/>
        <w:outlineLvl w:val="0"/>
        <w:rPr>
          <w:rFonts w:ascii="黑体" w:hAnsi="黑体" w:eastAsia="黑体" w:cs="黑体"/>
          <w:color w:val="auto"/>
          <w:sz w:val="44"/>
          <w:szCs w:val="44"/>
          <w:highlight w:val="none"/>
          <w:shd w:val="clear" w:color="050000" w:fill="auto"/>
        </w:rPr>
      </w:pPr>
      <w:bookmarkStart w:id="0" w:name="_Toc20807"/>
      <w:bookmarkStart w:id="1" w:name="_Toc18158"/>
      <w:r>
        <w:rPr>
          <w:rFonts w:hint="eastAsia" w:ascii="黑体" w:hAnsi="黑体" w:eastAsia="黑体" w:cs="黑体"/>
          <w:color w:val="auto"/>
          <w:sz w:val="44"/>
          <w:szCs w:val="44"/>
          <w:highlight w:val="none"/>
          <w:shd w:val="clear" w:color="060000" w:fill="auto"/>
        </w:rPr>
        <w:t>第一章</w:t>
      </w:r>
      <w:r>
        <w:rPr>
          <w:rFonts w:hint="eastAsia" w:ascii="黑体" w:hAnsi="黑体" w:eastAsia="黑体" w:cs="宋体"/>
          <w:color w:val="auto"/>
          <w:sz w:val="44"/>
          <w:szCs w:val="44"/>
          <w:highlight w:val="none"/>
          <w:shd w:val="clear" w:color="060000" w:fill="auto"/>
        </w:rPr>
        <w:t xml:space="preserve"> </w:t>
      </w:r>
      <w:r>
        <w:rPr>
          <w:rFonts w:hint="eastAsia" w:ascii="黑体" w:hAnsi="黑体" w:eastAsia="黑体" w:cs="黑体"/>
          <w:color w:val="auto"/>
          <w:sz w:val="44"/>
          <w:szCs w:val="44"/>
          <w:highlight w:val="none"/>
          <w:shd w:val="clear" w:color="060000" w:fill="auto"/>
        </w:rPr>
        <w:t>致投标人</w:t>
      </w:r>
      <w:bookmarkEnd w:id="0"/>
      <w:bookmarkEnd w:id="1"/>
    </w:p>
    <w:p w14:paraId="622D7E47">
      <w:pPr>
        <w:widowControl w:val="0"/>
        <w:spacing w:line="560" w:lineRule="exact"/>
        <w:ind w:firstLine="560" w:firstLineChars="200"/>
        <w:rPr>
          <w:rFonts w:ascii="仿宋_GB2312" w:hAnsi="宋体" w:eastAsia="仿宋_GB2312"/>
          <w:color w:val="auto"/>
          <w:sz w:val="28"/>
          <w:szCs w:val="28"/>
          <w:highlight w:val="none"/>
        </w:rPr>
      </w:pPr>
    </w:p>
    <w:p w14:paraId="5450BA0D">
      <w:pPr>
        <w:widowControl w:val="0"/>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一、本招标文件是依据招标投标有关法律、法规、规章和规范性文件，根据本次招标</w:t>
      </w:r>
      <w:r>
        <w:rPr>
          <w:rFonts w:hint="eastAsia" w:ascii="仿宋" w:hAnsi="仿宋" w:eastAsia="仿宋"/>
          <w:color w:val="auto"/>
          <w:sz w:val="28"/>
          <w:szCs w:val="28"/>
          <w:highlight w:val="none"/>
          <w:lang w:eastAsia="zh-CN"/>
        </w:rPr>
        <w:t>项目</w:t>
      </w:r>
      <w:r>
        <w:rPr>
          <w:rFonts w:hint="eastAsia" w:ascii="仿宋" w:hAnsi="仿宋" w:eastAsia="仿宋"/>
          <w:color w:val="auto"/>
          <w:sz w:val="28"/>
          <w:szCs w:val="28"/>
          <w:highlight w:val="none"/>
        </w:rPr>
        <w:t>的特点和需要编制而成。招标文件的编制遵循了公开、公平、公正和诚实信用的原则。招标文件所包含的内容已清楚地反映了本次招标的规模、性质以及资信、商务和技术要求等。我们要求投标人必须完全响应本招标文件的实质性内容。</w:t>
      </w:r>
    </w:p>
    <w:p w14:paraId="5405FC2A">
      <w:pPr>
        <w:widowControl w:val="0"/>
        <w:spacing w:line="560" w:lineRule="exact"/>
        <w:ind w:firstLine="560" w:firstLineChars="200"/>
        <w:rPr>
          <w:rFonts w:ascii="仿宋" w:hAnsi="仿宋" w:eastAsia="仿宋"/>
          <w:color w:val="auto"/>
          <w:sz w:val="28"/>
          <w:szCs w:val="28"/>
          <w:highlight w:val="none"/>
        </w:rPr>
      </w:pPr>
      <w:bookmarkStart w:id="2" w:name="_Toc130835209"/>
      <w:bookmarkStart w:id="3" w:name="_Toc203810203"/>
      <w:bookmarkStart w:id="4" w:name="_Toc130830412"/>
      <w:bookmarkStart w:id="5" w:name="_Toc130835683"/>
      <w:bookmarkStart w:id="6" w:name="_Toc269970459"/>
      <w:bookmarkStart w:id="7" w:name="_Toc203358554"/>
      <w:r>
        <w:rPr>
          <w:rFonts w:hint="eastAsia" w:ascii="仿宋" w:hAnsi="仿宋" w:eastAsia="仿宋"/>
          <w:color w:val="auto"/>
          <w:sz w:val="28"/>
          <w:szCs w:val="28"/>
          <w:highlight w:val="none"/>
        </w:rPr>
        <w:t>二、投标人获取招标文件后，应仔细阅读招标文件及附件的全部内容，招标文件与附件具有同等效力。</w:t>
      </w:r>
    </w:p>
    <w:p w14:paraId="5F94CB2E">
      <w:pPr>
        <w:widowControl w:val="0"/>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三、投标人在投标截止时间前，应及时收悉有关本次招标</w:t>
      </w:r>
      <w:r>
        <w:rPr>
          <w:rFonts w:hint="eastAsia" w:ascii="仿宋" w:hAnsi="仿宋" w:eastAsia="仿宋"/>
          <w:color w:val="auto"/>
          <w:sz w:val="28"/>
          <w:szCs w:val="28"/>
          <w:highlight w:val="none"/>
          <w:lang w:eastAsia="zh-CN"/>
        </w:rPr>
        <w:t>项目</w:t>
      </w:r>
      <w:r>
        <w:rPr>
          <w:rFonts w:hint="eastAsia" w:ascii="仿宋" w:hAnsi="仿宋" w:eastAsia="仿宋"/>
          <w:color w:val="auto"/>
          <w:sz w:val="28"/>
          <w:szCs w:val="28"/>
          <w:highlight w:val="none"/>
        </w:rPr>
        <w:t>招标文件的答疑、补遗内容。招标文件、答疑、补遗内容不一致时，以最后发出的为准。</w:t>
      </w:r>
    </w:p>
    <w:p w14:paraId="15FD4E70">
      <w:pPr>
        <w:widowControl w:val="0"/>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四、投标人应在遵循招标文件的各项规定和要求的前提下，编制投标文件。编制投标文件时，应注意：</w:t>
      </w:r>
    </w:p>
    <w:p w14:paraId="66B83A92">
      <w:pPr>
        <w:widowControl w:val="0"/>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1．投标文件必须满足招标文件中的实质性要求和条件。投标文件的所有否决性条款已在“投标须知前附件一”中汇总明示，若出现其中任何一个情形的，其投标将会被否决。</w:t>
      </w:r>
    </w:p>
    <w:p w14:paraId="0CE6926C">
      <w:pPr>
        <w:widowControl w:val="0"/>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2．投标人对招标文件有不同意见或不明之处，应通过书面形式，向招标人质疑，求得彻底澄清。若招标人不接受投标人提出的意见，投标人必须按招标文件办理，而不应在投标文件中加进额外的条件。</w:t>
      </w:r>
    </w:p>
    <w:p w14:paraId="3FC9F581">
      <w:pPr>
        <w:widowControl w:val="0"/>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五、投标人在提交投标文件时，应注意：</w:t>
      </w:r>
    </w:p>
    <w:p w14:paraId="759371F2">
      <w:pPr>
        <w:widowControl w:val="0"/>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1．投标人应严格按照招标文件的要求进行投标文件的密封和标记。</w:t>
      </w:r>
    </w:p>
    <w:p w14:paraId="71A0AD5C">
      <w:pPr>
        <w:widowControl w:val="0"/>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2．投标人应当在招标文件要求提交投标文件的截止时间前，将投标文件送达指定地址。</w:t>
      </w:r>
    </w:p>
    <w:p w14:paraId="5B8791CE">
      <w:pPr>
        <w:widowControl w:val="0"/>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六、其他应该注意的：</w:t>
      </w:r>
    </w:p>
    <w:p w14:paraId="566367D0">
      <w:pPr>
        <w:widowControl w:val="0"/>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1、投标人提交投标文件，参加开标会和抽签的必须是投标人的法定代表人或其授权委托代理人，并持身份证明文件。非上述人员不得参加上述投标活动，否则由此产生的不利后果由投标人自行承担。</w:t>
      </w:r>
    </w:p>
    <w:p w14:paraId="6C375687">
      <w:pPr>
        <w:widowControl w:val="0"/>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2、投标人须对投标资料的真实性负责。招标人有权将投标文件的部分或全部内容向外公示，若公示期间收到有关弄虚作假投诉的，招标人将提请有关行政管理部门查处。</w:t>
      </w:r>
    </w:p>
    <w:p w14:paraId="6326644F">
      <w:pPr>
        <w:widowControl w:val="0"/>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4、若投标人资质证书被暂扣或吊销，但仍参与投标的，招标人将取消其投标或中标资格、没收其投标保证金，并提请有关行政管理部门对其进行行政处罚。</w:t>
      </w:r>
    </w:p>
    <w:bookmarkEnd w:id="2"/>
    <w:bookmarkEnd w:id="3"/>
    <w:bookmarkEnd w:id="4"/>
    <w:bookmarkEnd w:id="5"/>
    <w:bookmarkEnd w:id="6"/>
    <w:bookmarkEnd w:id="7"/>
    <w:p w14:paraId="00732CF2">
      <w:pPr>
        <w:widowControl w:val="0"/>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七、本招标文件的解释权归招标人，即</w:t>
      </w:r>
      <w:bookmarkStart w:id="8" w:name="_Toc130835227"/>
      <w:bookmarkStart w:id="9" w:name="_Toc203810222"/>
      <w:bookmarkStart w:id="10" w:name="_Toc269970479"/>
      <w:bookmarkStart w:id="11" w:name="_Toc130830430"/>
      <w:bookmarkStart w:id="12" w:name="_Toc203358573"/>
      <w:bookmarkStart w:id="13" w:name="_Toc130835701"/>
      <w:r>
        <w:rPr>
          <w:rFonts w:hint="eastAsia" w:ascii="仿宋" w:hAnsi="仿宋" w:eastAsia="仿宋"/>
          <w:color w:val="auto"/>
          <w:sz w:val="28"/>
          <w:szCs w:val="28"/>
          <w:highlight w:val="none"/>
          <w:lang w:eastAsia="zh-CN"/>
        </w:rPr>
        <w:t>深圳第一亚太物业管理有限公司</w:t>
      </w:r>
      <w:r>
        <w:rPr>
          <w:rFonts w:hint="eastAsia" w:ascii="仿宋" w:hAnsi="仿宋" w:eastAsia="仿宋"/>
          <w:color w:val="auto"/>
          <w:sz w:val="28"/>
          <w:szCs w:val="28"/>
          <w:highlight w:val="none"/>
        </w:rPr>
        <w:t>。</w:t>
      </w:r>
    </w:p>
    <w:bookmarkEnd w:id="8"/>
    <w:bookmarkEnd w:id="9"/>
    <w:bookmarkEnd w:id="10"/>
    <w:bookmarkEnd w:id="11"/>
    <w:bookmarkEnd w:id="12"/>
    <w:bookmarkEnd w:id="13"/>
    <w:p w14:paraId="033B670A">
      <w:pPr>
        <w:widowControl w:val="0"/>
        <w:spacing w:line="560" w:lineRule="exact"/>
        <w:ind w:firstLine="560" w:firstLineChars="200"/>
        <w:rPr>
          <w:rFonts w:ascii="仿宋" w:hAnsi="仿宋" w:eastAsia="仿宋"/>
          <w:color w:val="auto"/>
          <w:sz w:val="28"/>
          <w:szCs w:val="28"/>
          <w:highlight w:val="none"/>
        </w:rPr>
      </w:pPr>
    </w:p>
    <w:p w14:paraId="3A377115">
      <w:pPr>
        <w:widowControl w:val="0"/>
        <w:spacing w:line="560" w:lineRule="exact"/>
        <w:ind w:firstLine="560" w:firstLineChars="200"/>
        <w:jc w:val="right"/>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lang w:eastAsia="zh-CN"/>
        </w:rPr>
        <w:t>深圳第一亚太物业管理有限公司</w:t>
      </w:r>
      <w:r>
        <w:rPr>
          <w:rFonts w:hint="eastAsia" w:ascii="仿宋" w:hAnsi="仿宋" w:eastAsia="仿宋"/>
          <w:color w:val="auto"/>
          <w:sz w:val="28"/>
          <w:szCs w:val="28"/>
          <w:highlight w:val="none"/>
          <w:lang w:val="en-US" w:eastAsia="zh-CN"/>
        </w:rPr>
        <w:t>重庆分公司</w:t>
      </w:r>
    </w:p>
    <w:p w14:paraId="0D4C6E0A">
      <w:pPr>
        <w:widowControl w:val="0"/>
        <w:spacing w:line="560" w:lineRule="exact"/>
        <w:ind w:firstLine="560" w:firstLineChars="200"/>
        <w:jc w:val="right"/>
        <w:rPr>
          <w:rFonts w:ascii="仿宋" w:hAnsi="仿宋" w:eastAsia="仿宋"/>
          <w:color w:val="auto"/>
          <w:sz w:val="28"/>
          <w:szCs w:val="28"/>
          <w:highlight w:val="none"/>
        </w:rPr>
        <w:sectPr>
          <w:headerReference r:id="rId4" w:type="first"/>
          <w:footerReference r:id="rId6" w:type="first"/>
          <w:headerReference r:id="rId3" w:type="default"/>
          <w:footerReference r:id="rId5" w:type="default"/>
          <w:pgSz w:w="11907" w:h="16840"/>
          <w:pgMar w:top="1418" w:right="1249" w:bottom="1418" w:left="1218" w:header="851" w:footer="680" w:gutter="0"/>
          <w:pgNumType w:fmt="decimal"/>
          <w:cols w:space="720" w:num="1"/>
          <w:titlePg/>
          <w:docGrid w:linePitch="286" w:charSpace="0"/>
        </w:sectPr>
      </w:pPr>
      <w:r>
        <w:rPr>
          <w:rFonts w:hint="eastAsia" w:ascii="仿宋" w:hAnsi="仿宋" w:eastAsia="仿宋"/>
          <w:color w:val="auto"/>
          <w:sz w:val="28"/>
          <w:szCs w:val="28"/>
          <w:highlight w:val="none"/>
          <w:u w:val="none"/>
        </w:rPr>
        <w:t>二〇二</w:t>
      </w:r>
      <w:r>
        <w:rPr>
          <w:rFonts w:hint="eastAsia" w:ascii="仿宋" w:hAnsi="仿宋" w:eastAsia="仿宋"/>
          <w:color w:val="auto"/>
          <w:sz w:val="28"/>
          <w:szCs w:val="28"/>
          <w:highlight w:val="none"/>
          <w:u w:val="none"/>
          <w:lang w:val="en-US" w:eastAsia="zh-CN"/>
        </w:rPr>
        <w:t>六</w:t>
      </w:r>
      <w:r>
        <w:rPr>
          <w:rFonts w:hint="eastAsia" w:ascii="仿宋" w:hAnsi="仿宋" w:eastAsia="仿宋"/>
          <w:color w:val="auto"/>
          <w:sz w:val="28"/>
          <w:szCs w:val="28"/>
          <w:highlight w:val="none"/>
          <w:u w:val="none"/>
        </w:rPr>
        <w:t>年</w:t>
      </w:r>
      <w:r>
        <w:rPr>
          <w:rFonts w:hint="eastAsia" w:ascii="仿宋" w:hAnsi="仿宋" w:eastAsia="仿宋"/>
          <w:color w:val="auto"/>
          <w:sz w:val="28"/>
          <w:szCs w:val="28"/>
          <w:highlight w:val="none"/>
          <w:u w:val="none"/>
          <w:lang w:val="en-US" w:eastAsia="zh-CN"/>
        </w:rPr>
        <w:t>六</w:t>
      </w:r>
      <w:r>
        <w:rPr>
          <w:rFonts w:hint="eastAsia" w:ascii="仿宋" w:hAnsi="仿宋" w:eastAsia="仿宋"/>
          <w:color w:val="auto"/>
          <w:sz w:val="28"/>
          <w:szCs w:val="28"/>
          <w:highlight w:val="none"/>
          <w:u w:val="none"/>
        </w:rPr>
        <w:t>月</w:t>
      </w:r>
      <w:r>
        <w:rPr>
          <w:rFonts w:hint="eastAsia" w:ascii="仿宋" w:hAnsi="仿宋" w:eastAsia="仿宋"/>
          <w:color w:val="auto"/>
          <w:sz w:val="28"/>
          <w:szCs w:val="28"/>
          <w:highlight w:val="none"/>
        </w:rPr>
        <w:t xml:space="preserve">   </w:t>
      </w:r>
    </w:p>
    <w:p w14:paraId="2F550D24">
      <w:pPr>
        <w:rPr>
          <w:color w:val="auto"/>
          <w:highlight w:val="none"/>
          <w:shd w:val="clear" w:color="060000" w:fill="auto"/>
        </w:rPr>
      </w:pPr>
    </w:p>
    <w:p w14:paraId="4D37A9D8">
      <w:pPr>
        <w:pStyle w:val="2"/>
        <w:spacing w:before="0" w:after="0" w:line="560" w:lineRule="exact"/>
        <w:jc w:val="center"/>
        <w:rPr>
          <w:rFonts w:ascii="黑体" w:hAnsi="黑体" w:eastAsia="黑体"/>
          <w:color w:val="auto"/>
          <w:sz w:val="48"/>
          <w:szCs w:val="48"/>
          <w:highlight w:val="none"/>
          <w:shd w:val="clear" w:color="060000" w:fill="auto"/>
        </w:rPr>
      </w:pPr>
      <w:bookmarkStart w:id="14" w:name="_Toc28593"/>
      <w:bookmarkStart w:id="15" w:name="_Toc23194"/>
      <w:r>
        <w:rPr>
          <w:rFonts w:hint="eastAsia" w:ascii="黑体" w:hAnsi="黑体" w:eastAsia="黑体"/>
          <w:color w:val="auto"/>
          <w:sz w:val="48"/>
          <w:szCs w:val="48"/>
          <w:highlight w:val="none"/>
          <w:shd w:val="clear" w:color="060000" w:fill="auto"/>
        </w:rPr>
        <w:t>第二章 投标须知</w:t>
      </w:r>
      <w:bookmarkEnd w:id="14"/>
      <w:bookmarkEnd w:id="15"/>
    </w:p>
    <w:p w14:paraId="6311E933">
      <w:pPr>
        <w:rPr>
          <w:rFonts w:ascii="黑体" w:hAnsi="黑体" w:eastAsia="黑体"/>
          <w:color w:val="auto"/>
          <w:sz w:val="44"/>
          <w:szCs w:val="44"/>
          <w:highlight w:val="none"/>
        </w:rPr>
      </w:pPr>
    </w:p>
    <w:p w14:paraId="6FC6986A">
      <w:pPr>
        <w:pStyle w:val="3"/>
        <w:spacing w:before="0" w:after="0" w:line="560" w:lineRule="exact"/>
        <w:jc w:val="center"/>
        <w:rPr>
          <w:rFonts w:ascii="黑体" w:hAnsi="黑体"/>
          <w:b w:val="0"/>
          <w:color w:val="auto"/>
          <w:sz w:val="44"/>
          <w:szCs w:val="44"/>
          <w:highlight w:val="none"/>
        </w:rPr>
      </w:pPr>
      <w:bookmarkStart w:id="16" w:name="_Toc13630"/>
      <w:bookmarkStart w:id="17" w:name="_Toc4281"/>
      <w:r>
        <w:rPr>
          <w:rFonts w:hint="eastAsia" w:ascii="黑体" w:hAnsi="黑体"/>
          <w:b w:val="0"/>
          <w:color w:val="auto"/>
          <w:sz w:val="44"/>
          <w:szCs w:val="44"/>
          <w:highlight w:val="none"/>
        </w:rPr>
        <w:t>一、投标须知前附件</w:t>
      </w:r>
      <w:bookmarkEnd w:id="16"/>
      <w:bookmarkEnd w:id="17"/>
    </w:p>
    <w:p w14:paraId="22C9AFAD">
      <w:pPr>
        <w:rPr>
          <w:color w:val="auto"/>
          <w:highlight w:val="none"/>
        </w:rPr>
      </w:pPr>
    </w:p>
    <w:p w14:paraId="6E5101D2">
      <w:pPr>
        <w:pStyle w:val="4"/>
        <w:spacing w:before="0" w:after="0" w:line="560" w:lineRule="exact"/>
        <w:jc w:val="center"/>
        <w:rPr>
          <w:rFonts w:ascii="黑体" w:hAnsi="黑体" w:eastAsia="黑体"/>
          <w:b w:val="0"/>
          <w:color w:val="auto"/>
          <w:sz w:val="36"/>
          <w:szCs w:val="36"/>
          <w:highlight w:val="none"/>
        </w:rPr>
      </w:pPr>
      <w:bookmarkStart w:id="18" w:name="_Toc1632"/>
      <w:bookmarkStart w:id="19" w:name="_Toc11495"/>
      <w:r>
        <w:rPr>
          <w:rFonts w:hint="eastAsia" w:ascii="黑体" w:hAnsi="黑体" w:eastAsia="黑体"/>
          <w:b w:val="0"/>
          <w:color w:val="auto"/>
          <w:sz w:val="36"/>
          <w:szCs w:val="36"/>
          <w:highlight w:val="none"/>
        </w:rPr>
        <w:t>（一）投标须知前附表1</w:t>
      </w:r>
      <w:bookmarkEnd w:id="18"/>
      <w:bookmarkEnd w:id="19"/>
    </w:p>
    <w:p w14:paraId="660DC1DD">
      <w:pPr>
        <w:rPr>
          <w:color w:val="auto"/>
          <w:highlight w:val="none"/>
          <w:shd w:val="clear" w:color="060000" w:fill="auto"/>
        </w:rPr>
      </w:pPr>
    </w:p>
    <w:tbl>
      <w:tblPr>
        <w:tblStyle w:val="35"/>
        <w:tblpPr w:leftFromText="180" w:rightFromText="180" w:vertAnchor="text" w:horzAnchor="page" w:tblpX="1481" w:tblpY="237"/>
        <w:tblOverlap w:val="never"/>
        <w:tblW w:w="9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1"/>
        <w:gridCol w:w="1984"/>
        <w:gridCol w:w="6619"/>
      </w:tblGrid>
      <w:tr w14:paraId="4F4E0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1" w:type="dxa"/>
            <w:tcBorders>
              <w:top w:val="single" w:color="000000" w:sz="4" w:space="0"/>
              <w:left w:val="single" w:color="000000" w:sz="4" w:space="0"/>
              <w:bottom w:val="single" w:color="000000" w:sz="4" w:space="0"/>
              <w:right w:val="single" w:color="000000" w:sz="6" w:space="0"/>
            </w:tcBorders>
            <w:tcMar>
              <w:left w:w="108" w:type="dxa"/>
              <w:right w:w="108" w:type="dxa"/>
            </w:tcMar>
            <w:vAlign w:val="center"/>
          </w:tcPr>
          <w:p w14:paraId="7B812984">
            <w:pPr>
              <w:widowControl w:val="0"/>
              <w:spacing w:line="400" w:lineRule="exact"/>
              <w:jc w:val="center"/>
              <w:rPr>
                <w:rFonts w:ascii="仿宋" w:hAnsi="仿宋" w:eastAsia="仿宋"/>
                <w:b/>
                <w:color w:val="auto"/>
                <w:sz w:val="28"/>
                <w:szCs w:val="28"/>
                <w:highlight w:val="none"/>
              </w:rPr>
            </w:pPr>
            <w:r>
              <w:rPr>
                <w:rFonts w:hint="eastAsia" w:ascii="仿宋" w:hAnsi="仿宋" w:eastAsia="仿宋"/>
                <w:b/>
                <w:color w:val="auto"/>
                <w:sz w:val="28"/>
                <w:szCs w:val="28"/>
                <w:highlight w:val="none"/>
              </w:rPr>
              <w:t>序号</w:t>
            </w:r>
          </w:p>
        </w:tc>
        <w:tc>
          <w:tcPr>
            <w:tcW w:w="1984" w:type="dxa"/>
            <w:tcBorders>
              <w:top w:val="single" w:color="000000" w:sz="4" w:space="0"/>
              <w:left w:val="single" w:color="000000" w:sz="6" w:space="0"/>
              <w:bottom w:val="single" w:color="000000" w:sz="4" w:space="0"/>
              <w:right w:val="single" w:color="000000" w:sz="6" w:space="0"/>
            </w:tcBorders>
            <w:tcMar>
              <w:left w:w="108" w:type="dxa"/>
              <w:right w:w="108" w:type="dxa"/>
            </w:tcMar>
            <w:vAlign w:val="center"/>
          </w:tcPr>
          <w:p w14:paraId="7BC61C07">
            <w:pPr>
              <w:widowControl w:val="0"/>
              <w:spacing w:line="400" w:lineRule="exact"/>
              <w:jc w:val="center"/>
              <w:rPr>
                <w:rFonts w:ascii="仿宋" w:hAnsi="仿宋" w:eastAsia="仿宋"/>
                <w:b/>
                <w:color w:val="auto"/>
                <w:sz w:val="28"/>
                <w:szCs w:val="28"/>
                <w:highlight w:val="none"/>
              </w:rPr>
            </w:pPr>
            <w:r>
              <w:rPr>
                <w:rFonts w:hint="eastAsia" w:ascii="仿宋" w:hAnsi="仿宋" w:eastAsia="仿宋"/>
                <w:b/>
                <w:color w:val="auto"/>
                <w:sz w:val="28"/>
                <w:szCs w:val="28"/>
                <w:highlight w:val="none"/>
              </w:rPr>
              <w:t>内 容</w:t>
            </w:r>
          </w:p>
        </w:tc>
        <w:tc>
          <w:tcPr>
            <w:tcW w:w="6619"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14:paraId="348EB62E">
            <w:pPr>
              <w:widowControl w:val="0"/>
              <w:spacing w:line="400" w:lineRule="exact"/>
              <w:jc w:val="center"/>
              <w:rPr>
                <w:rFonts w:ascii="仿宋" w:hAnsi="仿宋" w:eastAsia="仿宋"/>
                <w:b/>
                <w:color w:val="auto"/>
                <w:sz w:val="28"/>
                <w:szCs w:val="28"/>
                <w:highlight w:val="none"/>
              </w:rPr>
            </w:pPr>
            <w:r>
              <w:rPr>
                <w:rFonts w:hint="eastAsia" w:ascii="仿宋" w:hAnsi="仿宋" w:eastAsia="仿宋"/>
                <w:b/>
                <w:color w:val="auto"/>
                <w:sz w:val="28"/>
                <w:szCs w:val="28"/>
                <w:highlight w:val="none"/>
              </w:rPr>
              <w:t>规   定</w:t>
            </w:r>
          </w:p>
        </w:tc>
      </w:tr>
      <w:tr w14:paraId="73A5E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F0FF067">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1</w:t>
            </w:r>
          </w:p>
        </w:tc>
        <w:tc>
          <w:tcPr>
            <w:tcW w:w="198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E55A39B">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招 标 人</w:t>
            </w:r>
          </w:p>
        </w:tc>
        <w:tc>
          <w:tcPr>
            <w:tcW w:w="66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DC05985">
            <w:pPr>
              <w:tabs>
                <w:tab w:val="left" w:pos="51"/>
              </w:tabs>
              <w:snapToGrid w:val="0"/>
              <w:spacing w:line="276" w:lineRule="auto"/>
              <w:jc w:val="left"/>
              <w:rPr>
                <w:rFonts w:hint="eastAsia" w:ascii="仿宋" w:hAnsi="仿宋" w:eastAsia="宋体"/>
                <w:color w:val="auto"/>
                <w:sz w:val="28"/>
                <w:szCs w:val="28"/>
                <w:highlight w:val="none"/>
                <w:lang w:eastAsia="zh-CN"/>
              </w:rPr>
            </w:pPr>
            <w:r>
              <w:rPr>
                <w:rFonts w:hint="eastAsia" w:ascii="仿宋" w:hAnsi="仿宋" w:eastAsia="仿宋" w:cs="Times New Roman"/>
                <w:color w:val="auto"/>
                <w:kern w:val="2"/>
                <w:sz w:val="28"/>
                <w:szCs w:val="28"/>
                <w:highlight w:val="none"/>
                <w:lang w:val="en-US" w:eastAsia="zh-CN" w:bidi="ar-SA"/>
              </w:rPr>
              <w:t>深圳第一亚太物业管理有限公司重庆分公司</w:t>
            </w:r>
          </w:p>
        </w:tc>
      </w:tr>
      <w:tr w14:paraId="43773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881DA5D">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2</w:t>
            </w:r>
          </w:p>
        </w:tc>
        <w:tc>
          <w:tcPr>
            <w:tcW w:w="198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3C818E8">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招标项目名称</w:t>
            </w:r>
          </w:p>
        </w:tc>
        <w:tc>
          <w:tcPr>
            <w:tcW w:w="66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BFC4204">
            <w:pPr>
              <w:pStyle w:val="71"/>
              <w:widowControl w:val="0"/>
              <w:wordWrap/>
              <w:adjustRightInd/>
              <w:snapToGrid/>
              <w:spacing w:before="0" w:after="0" w:line="400" w:lineRule="exact"/>
              <w:ind w:left="0" w:leftChars="0" w:right="0" w:firstLine="0" w:firstLineChars="0"/>
              <w:jc w:val="left"/>
              <w:textAlignment w:val="auto"/>
              <w:outlineLvl w:val="1"/>
              <w:rPr>
                <w:rFonts w:ascii="仿宋" w:hAnsi="仿宋" w:eastAsia="仿宋"/>
                <w:color w:val="auto"/>
                <w:sz w:val="28"/>
                <w:szCs w:val="28"/>
                <w:highlight w:val="none"/>
              </w:rPr>
            </w:pPr>
            <w:bookmarkStart w:id="20" w:name="_Toc19112"/>
            <w:bookmarkStart w:id="21" w:name="_Toc16551"/>
            <w:bookmarkStart w:id="22" w:name="_Toc11504"/>
            <w:r>
              <w:rPr>
                <w:rFonts w:hint="eastAsia" w:ascii="仿宋" w:hAnsi="仿宋" w:eastAsia="仿宋" w:cs="Times New Roman"/>
                <w:color w:val="auto"/>
                <w:sz w:val="28"/>
                <w:szCs w:val="28"/>
                <w:highlight w:val="none"/>
                <w:u w:val="none"/>
                <w:shd w:val="clear" w:color="auto" w:fill="auto"/>
                <w:lang w:val="en-US" w:eastAsia="zh-CN"/>
              </w:rPr>
              <w:t>巴南华府</w:t>
            </w:r>
            <w:bookmarkEnd w:id="20"/>
            <w:bookmarkEnd w:id="21"/>
            <w:r>
              <w:rPr>
                <w:rFonts w:hint="eastAsia" w:ascii="仿宋" w:hAnsi="仿宋" w:eastAsia="仿宋" w:cs="Times New Roman"/>
                <w:color w:val="auto"/>
                <w:sz w:val="28"/>
                <w:szCs w:val="28"/>
                <w:highlight w:val="none"/>
                <w:u w:val="none"/>
                <w:shd w:val="clear" w:color="auto" w:fill="auto"/>
                <w:lang w:val="en-US" w:eastAsia="zh-CN"/>
              </w:rPr>
              <w:t>伴遖山/巴南华府景云/招商中心/精品3456区/会展中心/奥莱小镇项目</w:t>
            </w:r>
            <w:bookmarkEnd w:id="22"/>
          </w:p>
        </w:tc>
      </w:tr>
      <w:tr w14:paraId="6A333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7190BC8">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3</w:t>
            </w:r>
          </w:p>
        </w:tc>
        <w:tc>
          <w:tcPr>
            <w:tcW w:w="198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26E74F6">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项目地点</w:t>
            </w:r>
          </w:p>
        </w:tc>
        <w:tc>
          <w:tcPr>
            <w:tcW w:w="66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EE8447E">
            <w:pPr>
              <w:pStyle w:val="71"/>
              <w:spacing w:line="400" w:lineRule="exact"/>
              <w:ind w:firstLine="0" w:firstLineChars="0"/>
              <w:jc w:val="left"/>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lang w:val="en-US" w:eastAsia="zh-CN"/>
              </w:rPr>
              <w:t>重庆市巴南区南彭公路物流基地东城大道8号</w:t>
            </w:r>
          </w:p>
        </w:tc>
      </w:tr>
      <w:tr w14:paraId="6A1B2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533C9DD">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4</w:t>
            </w:r>
          </w:p>
        </w:tc>
        <w:tc>
          <w:tcPr>
            <w:tcW w:w="198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1FDDCFF">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资金来源</w:t>
            </w:r>
          </w:p>
        </w:tc>
        <w:tc>
          <w:tcPr>
            <w:tcW w:w="66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1A910BE">
            <w:pPr>
              <w:pStyle w:val="71"/>
              <w:spacing w:line="400" w:lineRule="exact"/>
              <w:ind w:left="357" w:hanging="357" w:firstLineChars="0"/>
              <w:rPr>
                <w:rFonts w:ascii="仿宋" w:hAnsi="仿宋" w:eastAsia="仿宋"/>
                <w:color w:val="auto"/>
                <w:sz w:val="28"/>
                <w:szCs w:val="28"/>
                <w:highlight w:val="none"/>
                <w:u w:val="single"/>
              </w:rPr>
            </w:pPr>
            <w:r>
              <w:rPr>
                <w:rFonts w:hint="eastAsia" w:ascii="仿宋" w:hAnsi="仿宋" w:eastAsia="仿宋"/>
                <w:color w:val="auto"/>
                <w:sz w:val="28"/>
                <w:szCs w:val="28"/>
                <w:highlight w:val="none"/>
                <w:lang w:eastAsia="zh-CN"/>
              </w:rPr>
              <w:t>□</w:t>
            </w:r>
            <w:r>
              <w:rPr>
                <w:rFonts w:hint="eastAsia" w:ascii="仿宋" w:hAnsi="仿宋" w:eastAsia="仿宋"/>
                <w:color w:val="auto"/>
                <w:sz w:val="28"/>
                <w:szCs w:val="28"/>
                <w:highlight w:val="none"/>
              </w:rPr>
              <w:t>国有资金</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u w:val="single"/>
                <w:lang w:val="en-US" w:eastAsia="zh-CN"/>
              </w:rPr>
              <w:t>/</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w:t>
            </w:r>
            <w:r>
              <w:rPr>
                <w:rFonts w:hint="eastAsia" w:ascii="仿宋" w:hAnsi="仿宋" w:eastAsia="仿宋"/>
                <w:color w:val="auto"/>
                <w:sz w:val="28"/>
                <w:szCs w:val="28"/>
                <w:highlight w:val="none"/>
                <w:lang w:eastAsia="zh-CN"/>
              </w:rPr>
              <w:t>☑</w:t>
            </w:r>
            <w:r>
              <w:rPr>
                <w:rFonts w:hint="eastAsia" w:ascii="仿宋" w:hAnsi="仿宋" w:eastAsia="仿宋"/>
                <w:color w:val="auto"/>
                <w:sz w:val="28"/>
                <w:szCs w:val="28"/>
                <w:highlight w:val="none"/>
              </w:rPr>
              <w:t>其他资金</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u w:val="single"/>
                <w:lang w:eastAsia="zh-CN"/>
              </w:rPr>
              <w:t>企业自筹</w:t>
            </w:r>
            <w:r>
              <w:rPr>
                <w:rFonts w:hint="eastAsia" w:ascii="仿宋" w:hAnsi="仿宋" w:eastAsia="仿宋"/>
                <w:color w:val="auto"/>
                <w:sz w:val="28"/>
                <w:szCs w:val="28"/>
                <w:highlight w:val="none"/>
                <w:u w:val="single"/>
                <w:lang w:val="en-US" w:eastAsia="zh-CN"/>
              </w:rPr>
              <w:t>100%</w:t>
            </w:r>
            <w:r>
              <w:rPr>
                <w:rFonts w:hint="eastAsia" w:ascii="仿宋" w:hAnsi="仿宋" w:eastAsia="仿宋"/>
                <w:color w:val="auto"/>
                <w:sz w:val="28"/>
                <w:szCs w:val="28"/>
                <w:highlight w:val="none"/>
                <w:u w:val="single"/>
              </w:rPr>
              <w:t xml:space="preserve">   </w:t>
            </w:r>
          </w:p>
        </w:tc>
      </w:tr>
      <w:tr w14:paraId="12927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02EF66D">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5</w:t>
            </w:r>
          </w:p>
        </w:tc>
        <w:tc>
          <w:tcPr>
            <w:tcW w:w="198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8978806">
            <w:pPr>
              <w:pStyle w:val="71"/>
              <w:spacing w:line="400" w:lineRule="exact"/>
              <w:ind w:firstLine="0"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总投资额</w:t>
            </w:r>
          </w:p>
        </w:tc>
        <w:tc>
          <w:tcPr>
            <w:tcW w:w="66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151EE2C">
            <w:pPr>
              <w:pStyle w:val="71"/>
              <w:spacing w:line="400" w:lineRule="exact"/>
              <w:ind w:left="357" w:hanging="357" w:firstLineChars="0"/>
              <w:rPr>
                <w:rFonts w:ascii="仿宋" w:hAnsi="仿宋" w:eastAsia="仿宋"/>
                <w:color w:val="auto"/>
                <w:sz w:val="28"/>
                <w:szCs w:val="28"/>
                <w:highlight w:val="none"/>
              </w:rPr>
            </w:pP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u w:val="single"/>
                <w:lang w:val="en-US" w:eastAsia="zh-CN"/>
              </w:rPr>
              <w:t>/</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万元</w:t>
            </w:r>
          </w:p>
        </w:tc>
      </w:tr>
      <w:tr w14:paraId="40990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42F23EF">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6</w:t>
            </w:r>
          </w:p>
        </w:tc>
        <w:tc>
          <w:tcPr>
            <w:tcW w:w="198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81A8765">
            <w:pPr>
              <w:pStyle w:val="71"/>
              <w:spacing w:line="400" w:lineRule="exact"/>
              <w:ind w:firstLine="0"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招标范围</w:t>
            </w:r>
          </w:p>
          <w:p w14:paraId="23EB2196">
            <w:pPr>
              <w:pStyle w:val="71"/>
              <w:spacing w:line="400" w:lineRule="exact"/>
              <w:ind w:firstLine="0"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及内容</w:t>
            </w:r>
          </w:p>
        </w:tc>
        <w:tc>
          <w:tcPr>
            <w:tcW w:w="66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1CB1A13">
            <w:pPr>
              <w:pStyle w:val="71"/>
              <w:spacing w:line="400" w:lineRule="exact"/>
              <w:ind w:firstLine="0" w:firstLineChars="0"/>
              <w:jc w:val="left"/>
              <w:rPr>
                <w:rFonts w:ascii="仿宋" w:hAnsi="仿宋" w:eastAsia="仿宋"/>
                <w:color w:val="auto"/>
                <w:sz w:val="28"/>
                <w:szCs w:val="28"/>
                <w:highlight w:val="none"/>
              </w:rPr>
            </w:pPr>
            <w:r>
              <w:rPr>
                <w:rFonts w:hint="eastAsia" w:ascii="仿宋" w:hAnsi="仿宋" w:eastAsia="仿宋" w:cs="Times New Roman"/>
                <w:color w:val="auto"/>
                <w:sz w:val="28"/>
                <w:szCs w:val="28"/>
                <w:highlight w:val="none"/>
                <w:u w:val="none"/>
                <w:shd w:val="clear" w:color="auto" w:fill="auto"/>
                <w:lang w:val="en-US" w:eastAsia="zh-CN"/>
              </w:rPr>
              <w:t>巴南华府伴遖山/巴南华府景云/招商中心/精品3456区/会展中心/奥莱小镇项目的</w:t>
            </w:r>
            <w:r>
              <w:rPr>
                <w:rFonts w:hint="eastAsia" w:ascii="仿宋" w:hAnsi="仿宋" w:eastAsia="仿宋" w:cs="Times New Roman"/>
                <w:color w:val="auto"/>
                <w:kern w:val="2"/>
                <w:sz w:val="28"/>
                <w:szCs w:val="28"/>
                <w:highlight w:val="none"/>
                <w:lang w:val="en-US" w:eastAsia="zh-CN" w:bidi="ar-SA"/>
              </w:rPr>
              <w:t>绿化养护服务工作。</w:t>
            </w:r>
          </w:p>
        </w:tc>
      </w:tr>
      <w:tr w14:paraId="60C8C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9" w:hRule="atLeast"/>
        </w:trPr>
        <w:tc>
          <w:tcPr>
            <w:tcW w:w="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8908055">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7</w:t>
            </w:r>
          </w:p>
        </w:tc>
        <w:tc>
          <w:tcPr>
            <w:tcW w:w="198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56CC49F">
            <w:pPr>
              <w:pStyle w:val="71"/>
              <w:spacing w:line="400" w:lineRule="exact"/>
              <w:ind w:firstLine="0"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招标方式</w:t>
            </w:r>
          </w:p>
        </w:tc>
        <w:tc>
          <w:tcPr>
            <w:tcW w:w="66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D37DAD1">
            <w:pPr>
              <w:autoSpaceDE w:val="0"/>
              <w:autoSpaceDN w:val="0"/>
              <w:adjustRightInd w:val="0"/>
              <w:spacing w:line="400" w:lineRule="exact"/>
              <w:jc w:val="left"/>
              <w:rPr>
                <w:rFonts w:ascii="仿宋" w:hAnsi="仿宋" w:eastAsia="仿宋"/>
                <w:color w:val="auto"/>
                <w:sz w:val="28"/>
                <w:szCs w:val="28"/>
                <w:highlight w:val="none"/>
              </w:rPr>
            </w:pPr>
            <w:r>
              <w:rPr>
                <w:rFonts w:hint="eastAsia" w:ascii="仿宋" w:hAnsi="仿宋" w:eastAsia="仿宋"/>
                <w:color w:val="auto"/>
                <w:sz w:val="28"/>
                <w:szCs w:val="28"/>
                <w:highlight w:val="none"/>
                <w:lang w:eastAsia="zh-CN"/>
              </w:rPr>
              <w:t>☑</w:t>
            </w:r>
            <w:r>
              <w:rPr>
                <w:rFonts w:hint="eastAsia" w:ascii="仿宋" w:hAnsi="仿宋" w:eastAsia="仿宋"/>
                <w:color w:val="auto"/>
                <w:sz w:val="28"/>
                <w:szCs w:val="28"/>
                <w:highlight w:val="none"/>
              </w:rPr>
              <w:t>公开招标</w:t>
            </w:r>
          </w:p>
          <w:p w14:paraId="45247529">
            <w:pPr>
              <w:autoSpaceDE w:val="0"/>
              <w:autoSpaceDN w:val="0"/>
              <w:adjustRightInd w:val="0"/>
              <w:spacing w:line="400" w:lineRule="exact"/>
              <w:jc w:val="left"/>
              <w:rPr>
                <w:rFonts w:ascii="仿宋" w:hAnsi="仿宋" w:eastAsia="仿宋"/>
                <w:color w:val="auto"/>
                <w:sz w:val="28"/>
                <w:szCs w:val="28"/>
                <w:highlight w:val="none"/>
              </w:rPr>
            </w:pPr>
            <w:r>
              <w:rPr>
                <w:rFonts w:hint="eastAsia" w:ascii="仿宋" w:hAnsi="仿宋" w:eastAsia="仿宋"/>
                <w:color w:val="auto"/>
                <w:sz w:val="28"/>
                <w:szCs w:val="28"/>
                <w:highlight w:val="none"/>
                <w:lang w:eastAsia="zh-CN"/>
              </w:rPr>
              <w:t>□</w:t>
            </w:r>
            <w:r>
              <w:rPr>
                <w:rFonts w:hint="eastAsia" w:ascii="仿宋" w:hAnsi="仿宋" w:eastAsia="仿宋"/>
                <w:color w:val="auto"/>
                <w:sz w:val="28"/>
                <w:szCs w:val="28"/>
                <w:highlight w:val="none"/>
              </w:rPr>
              <w:t>邀请招标</w:t>
            </w:r>
          </w:p>
        </w:tc>
      </w:tr>
      <w:tr w14:paraId="34DDC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9" w:hRule="atLeast"/>
        </w:trPr>
        <w:tc>
          <w:tcPr>
            <w:tcW w:w="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FFDEABB">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8</w:t>
            </w:r>
          </w:p>
        </w:tc>
        <w:tc>
          <w:tcPr>
            <w:tcW w:w="198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E446246">
            <w:pPr>
              <w:pStyle w:val="71"/>
              <w:spacing w:line="400" w:lineRule="exact"/>
              <w:ind w:firstLine="0"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投标人</w:t>
            </w:r>
          </w:p>
          <w:p w14:paraId="491531B8">
            <w:pPr>
              <w:pStyle w:val="71"/>
              <w:spacing w:line="400" w:lineRule="exact"/>
              <w:ind w:firstLine="0"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资格要求</w:t>
            </w:r>
          </w:p>
        </w:tc>
        <w:tc>
          <w:tcPr>
            <w:tcW w:w="66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2C71C1D">
            <w:pPr>
              <w:autoSpaceDE w:val="0"/>
              <w:autoSpaceDN w:val="0"/>
              <w:spacing w:after="0" w:line="560" w:lineRule="exact"/>
              <w:rPr>
                <w:rFonts w:hint="eastAsia"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lang w:eastAsia="zh-CN"/>
              </w:rPr>
              <w:t>（一）</w:t>
            </w:r>
            <w:r>
              <w:rPr>
                <w:rFonts w:hint="eastAsia" w:ascii="仿宋" w:hAnsi="仿宋" w:eastAsia="仿宋" w:cs="Times New Roman"/>
                <w:color w:val="auto"/>
                <w:sz w:val="28"/>
                <w:szCs w:val="28"/>
                <w:highlight w:val="none"/>
              </w:rPr>
              <w:t xml:space="preserve">企业资格要求： </w:t>
            </w:r>
          </w:p>
          <w:p w14:paraId="4716B74D">
            <w:pPr>
              <w:widowControl/>
              <w:wordWrap/>
              <w:adjustRightInd w:val="0"/>
              <w:snapToGrid w:val="0"/>
              <w:spacing w:after="0" w:line="560" w:lineRule="exact"/>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rPr>
              <w:t>1</w:t>
            </w:r>
            <w:r>
              <w:rPr>
                <w:rFonts w:hint="eastAsia" w:ascii="仿宋" w:hAnsi="仿宋" w:eastAsia="仿宋" w:cs="Times New Roman"/>
                <w:color w:val="auto"/>
                <w:sz w:val="28"/>
                <w:szCs w:val="28"/>
                <w:highlight w:val="none"/>
                <w:lang w:val="en-US" w:eastAsia="zh-CN"/>
              </w:rPr>
              <w:t>.</w:t>
            </w:r>
            <w:r>
              <w:rPr>
                <w:rFonts w:hint="eastAsia" w:ascii="仿宋" w:hAnsi="仿宋" w:eastAsia="仿宋" w:cs="Times New Roman"/>
                <w:color w:val="auto"/>
                <w:sz w:val="28"/>
                <w:szCs w:val="28"/>
                <w:highlight w:val="none"/>
                <w:lang w:eastAsia="zh-CN"/>
              </w:rPr>
              <w:t>投标单位</w:t>
            </w:r>
            <w:r>
              <w:rPr>
                <w:rFonts w:hint="eastAsia" w:ascii="仿宋" w:hAnsi="仿宋" w:eastAsia="仿宋" w:cs="Times New Roman"/>
                <w:color w:val="auto"/>
                <w:sz w:val="28"/>
                <w:szCs w:val="28"/>
                <w:highlight w:val="none"/>
              </w:rPr>
              <w:t>必须为中华人民共和国境内注册且合法运作的企业，或法人授权的、合法注册的分支机构，或其他组织</w:t>
            </w:r>
            <w:r>
              <w:rPr>
                <w:rFonts w:hint="eastAsia" w:ascii="仿宋" w:hAnsi="仿宋" w:eastAsia="仿宋" w:cs="Times New Roman"/>
                <w:color w:val="auto"/>
                <w:sz w:val="28"/>
                <w:szCs w:val="28"/>
                <w:highlight w:val="none"/>
                <w:lang w:eastAsia="zh-CN"/>
              </w:rPr>
              <w:t>，</w:t>
            </w:r>
            <w:r>
              <w:rPr>
                <w:rFonts w:hint="eastAsia" w:ascii="仿宋" w:hAnsi="仿宋" w:eastAsia="仿宋" w:cs="Times New Roman"/>
                <w:color w:val="auto"/>
                <w:sz w:val="28"/>
                <w:szCs w:val="28"/>
                <w:highlight w:val="none"/>
              </w:rPr>
              <w:t>具有从事</w:t>
            </w:r>
            <w:r>
              <w:rPr>
                <w:rFonts w:hint="eastAsia" w:ascii="仿宋" w:hAnsi="仿宋" w:eastAsia="仿宋" w:cs="Times New Roman"/>
                <w:color w:val="auto"/>
                <w:sz w:val="28"/>
                <w:szCs w:val="28"/>
                <w:highlight w:val="none"/>
                <w:lang w:val="en-US" w:eastAsia="zh-CN"/>
              </w:rPr>
              <w:t>绿化养护</w:t>
            </w:r>
            <w:r>
              <w:rPr>
                <w:rFonts w:hint="eastAsia" w:ascii="仿宋" w:hAnsi="仿宋" w:eastAsia="仿宋" w:cs="Times New Roman"/>
                <w:color w:val="auto"/>
                <w:sz w:val="28"/>
                <w:szCs w:val="28"/>
                <w:highlight w:val="none"/>
              </w:rPr>
              <w:t>外包服务相关经营范围和能力。</w:t>
            </w:r>
            <w:r>
              <w:rPr>
                <w:rFonts w:hint="eastAsia" w:ascii="仿宋" w:hAnsi="仿宋" w:eastAsia="仿宋" w:cs="Times New Roman"/>
                <w:color w:val="auto"/>
                <w:sz w:val="28"/>
                <w:szCs w:val="28"/>
                <w:highlight w:val="none"/>
                <w:lang w:eastAsia="zh-CN"/>
              </w:rPr>
              <w:t>投标单位</w:t>
            </w:r>
            <w:r>
              <w:rPr>
                <w:rFonts w:hint="eastAsia" w:ascii="仿宋" w:hAnsi="仿宋" w:eastAsia="仿宋" w:cs="Times New Roman"/>
                <w:color w:val="auto"/>
                <w:sz w:val="28"/>
                <w:szCs w:val="28"/>
                <w:highlight w:val="none"/>
              </w:rPr>
              <w:t>必须提供营业执照复印件，因新版营业执照未体现营业范围及注册资金，若已更换新版营业执照，</w:t>
            </w:r>
            <w:r>
              <w:rPr>
                <w:rFonts w:hint="eastAsia" w:ascii="仿宋" w:hAnsi="仿宋" w:eastAsia="仿宋" w:cs="Times New Roman"/>
                <w:color w:val="auto"/>
                <w:sz w:val="28"/>
                <w:szCs w:val="28"/>
                <w:highlight w:val="none"/>
                <w:lang w:eastAsia="zh-CN"/>
              </w:rPr>
              <w:t>投标单位</w:t>
            </w:r>
            <w:r>
              <w:rPr>
                <w:rFonts w:hint="eastAsia" w:ascii="仿宋" w:hAnsi="仿宋" w:eastAsia="仿宋" w:cs="Times New Roman"/>
                <w:color w:val="auto"/>
                <w:sz w:val="28"/>
                <w:szCs w:val="28"/>
                <w:highlight w:val="none"/>
              </w:rPr>
              <w:t>须同时提供商事主体临时信用信息平台http://www.gsxt.gov.cn/index.html或市场主体信息查询平台中相关备案情况截图</w:t>
            </w:r>
            <w:r>
              <w:rPr>
                <w:rFonts w:hint="eastAsia" w:ascii="仿宋" w:hAnsi="仿宋" w:eastAsia="仿宋" w:cs="Times New Roman"/>
                <w:color w:val="auto"/>
                <w:sz w:val="28"/>
                <w:szCs w:val="28"/>
                <w:highlight w:val="none"/>
                <w:lang w:eastAsia="zh-CN"/>
              </w:rPr>
              <w:t>。</w:t>
            </w:r>
          </w:p>
          <w:p w14:paraId="4FB7970F">
            <w:pPr>
              <w:autoSpaceDE w:val="0"/>
              <w:autoSpaceDN w:val="0"/>
              <w:spacing w:after="0" w:line="560" w:lineRule="exact"/>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rPr>
              <w:t>2</w:t>
            </w:r>
            <w:r>
              <w:rPr>
                <w:rFonts w:hint="eastAsia" w:ascii="仿宋" w:hAnsi="仿宋" w:eastAsia="仿宋" w:cs="Times New Roman"/>
                <w:color w:val="auto"/>
                <w:sz w:val="28"/>
                <w:szCs w:val="28"/>
                <w:highlight w:val="none"/>
                <w:lang w:val="en-US" w:eastAsia="zh-CN"/>
              </w:rPr>
              <w:t>.</w:t>
            </w:r>
            <w:r>
              <w:rPr>
                <w:rFonts w:hint="eastAsia" w:ascii="仿宋" w:hAnsi="仿宋" w:eastAsia="仿宋" w:cs="Times New Roman"/>
                <w:color w:val="auto"/>
                <w:sz w:val="28"/>
                <w:szCs w:val="28"/>
                <w:highlight w:val="none"/>
                <w:lang w:eastAsia="zh-CN"/>
              </w:rPr>
              <w:t>投标单位注册资金必须为人民币100万元(含)以上，并在工商部门登记成立1年(含)以上的企业。(投标单位必须提供营业执照复印件加盖公章，分支机构以总公司注册资金为准)。</w:t>
            </w:r>
          </w:p>
          <w:p w14:paraId="0EE76C5C">
            <w:pPr>
              <w:autoSpaceDE w:val="0"/>
              <w:autoSpaceDN w:val="0"/>
              <w:spacing w:after="0" w:line="560" w:lineRule="exact"/>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eastAsia="zh-CN"/>
              </w:rPr>
              <w:t>3.投标单位在参加本项目投标活动前</w:t>
            </w:r>
            <w:r>
              <w:rPr>
                <w:rFonts w:hint="eastAsia" w:ascii="仿宋" w:hAnsi="仿宋" w:eastAsia="仿宋" w:cs="Times New Roman"/>
                <w:color w:val="auto"/>
                <w:sz w:val="28"/>
                <w:szCs w:val="28"/>
                <w:highlight w:val="none"/>
                <w:lang w:val="en-US" w:eastAsia="zh-CN"/>
              </w:rPr>
              <w:t>三年至今</w:t>
            </w:r>
            <w:r>
              <w:rPr>
                <w:rFonts w:hint="eastAsia" w:ascii="仿宋" w:hAnsi="仿宋" w:eastAsia="仿宋" w:cs="Times New Roman"/>
                <w:color w:val="auto"/>
                <w:sz w:val="28"/>
                <w:szCs w:val="28"/>
                <w:highlight w:val="none"/>
                <w:lang w:eastAsia="zh-CN"/>
              </w:rPr>
              <w:t>，在经营活动中无重大违法记录，无不良业绩、无不良信用记录。（投标单位提供自我承诺和“国家企业信用信息公示系统”中公示的行政处罚信息、列入经营异常名录信息、列入严重违法失信名单（黑名单）信息截图） 。</w:t>
            </w:r>
          </w:p>
          <w:p w14:paraId="5A652A9E">
            <w:pPr>
              <w:autoSpaceDE w:val="0"/>
              <w:autoSpaceDN w:val="0"/>
              <w:spacing w:after="0" w:line="560" w:lineRule="exact"/>
              <w:rPr>
                <w:rFonts w:hint="eastAsia" w:ascii="仿宋" w:hAnsi="仿宋" w:eastAsia="仿宋" w:cs="Times New Roman"/>
                <w:color w:val="auto"/>
                <w:sz w:val="28"/>
                <w:szCs w:val="28"/>
                <w:highlight w:val="none"/>
                <w:lang w:eastAsia="zh-CN"/>
              </w:rPr>
            </w:pPr>
            <w:r>
              <w:rPr>
                <w:rFonts w:hint="eastAsia" w:ascii="仿宋" w:hAnsi="仿宋" w:eastAsia="仿宋" w:cs="Times New Roman"/>
                <w:color w:val="auto"/>
                <w:sz w:val="28"/>
                <w:szCs w:val="28"/>
                <w:highlight w:val="none"/>
                <w:lang w:eastAsia="zh-CN"/>
              </w:rPr>
              <w:t>4.投标单位参加本次招标采购活动，不存在单位负责人为同一人或者存在直接控股、管理关系的其他供应商参与我司同一标段投标或者未划分标段的同一招标项目投标，投标单位提供承诺函（格式自拟）。</w:t>
            </w:r>
          </w:p>
          <w:p w14:paraId="0182D914">
            <w:pPr>
              <w:autoSpaceDE w:val="0"/>
              <w:autoSpaceDN w:val="0"/>
              <w:spacing w:after="0" w:line="560" w:lineRule="exact"/>
              <w:rPr>
                <w:rFonts w:hint="eastAsia" w:ascii="仿宋" w:hAnsi="仿宋" w:eastAsia="仿宋" w:cs="Times New Roman"/>
                <w:color w:val="auto"/>
                <w:sz w:val="28"/>
                <w:szCs w:val="28"/>
                <w:highlight w:val="none"/>
                <w:lang w:eastAsia="zh-CN"/>
              </w:rPr>
            </w:pPr>
            <w:r>
              <w:rPr>
                <w:rFonts w:hint="eastAsia" w:ascii="仿宋" w:hAnsi="仿宋" w:eastAsia="仿宋" w:cs="Times New Roman"/>
                <w:color w:val="auto"/>
                <w:sz w:val="28"/>
                <w:szCs w:val="28"/>
                <w:highlight w:val="none"/>
                <w:lang w:eastAsia="zh-CN"/>
              </w:rPr>
              <w:t>5.投标单位参加本次招标采购活动，不存在和其他供应商在同一采购项目中，同时委托同一个自然人、同一家庭的人员、同一单位的人员作为代理人的行为，投标单位提供承诺函（格式自拟）。</w:t>
            </w:r>
          </w:p>
          <w:p w14:paraId="52C32EA5">
            <w:pPr>
              <w:autoSpaceDE w:val="0"/>
              <w:autoSpaceDN w:val="0"/>
              <w:spacing w:after="0" w:line="560" w:lineRule="exact"/>
              <w:rPr>
                <w:rFonts w:hint="eastAsia" w:ascii="仿宋" w:hAnsi="仿宋" w:eastAsia="仿宋" w:cs="Times New Roman"/>
                <w:color w:val="auto"/>
                <w:sz w:val="28"/>
                <w:szCs w:val="28"/>
                <w:highlight w:val="none"/>
                <w:lang w:eastAsia="zh-CN"/>
              </w:rPr>
            </w:pPr>
            <w:r>
              <w:rPr>
                <w:rFonts w:hint="eastAsia" w:ascii="仿宋" w:hAnsi="仿宋" w:eastAsia="仿宋" w:cs="Times New Roman"/>
                <w:color w:val="auto"/>
                <w:sz w:val="28"/>
                <w:szCs w:val="28"/>
                <w:highlight w:val="none"/>
                <w:lang w:eastAsia="zh-CN"/>
              </w:rPr>
              <w:t>6.投标单位完全接受和满足本项目招标文件中规定的实质性要求，如对招标文件有异议，已在投标截止时间届满前依法进行维权救济，不存在对招标文件有异议的同时又参加投标以求侥幸中标或者为实现其他非法目的的行为，投标单位提供承诺函（格式自拟）。</w:t>
            </w:r>
          </w:p>
          <w:p w14:paraId="05332CC5">
            <w:pPr>
              <w:numPr>
                <w:ilvl w:val="0"/>
                <w:numId w:val="0"/>
              </w:numPr>
              <w:autoSpaceDE w:val="0"/>
              <w:autoSpaceDN w:val="0"/>
              <w:spacing w:after="0" w:line="560" w:lineRule="exact"/>
              <w:rPr>
                <w:rFonts w:hint="eastAsia" w:ascii="仿宋" w:hAnsi="仿宋" w:eastAsia="仿宋" w:cs="Times New Roman"/>
                <w:color w:val="auto"/>
                <w:sz w:val="28"/>
                <w:szCs w:val="28"/>
                <w:highlight w:val="none"/>
              </w:rPr>
            </w:pPr>
            <w:r>
              <w:rPr>
                <w:rFonts w:hint="eastAsia" w:ascii="仿宋" w:hAnsi="仿宋" w:eastAsia="仿宋" w:cs="Times New Roman"/>
                <w:color w:val="auto"/>
                <w:kern w:val="2"/>
                <w:sz w:val="28"/>
                <w:szCs w:val="28"/>
                <w:highlight w:val="none"/>
                <w:lang w:val="en-US" w:eastAsia="zh-CN" w:bidi="ar-SA"/>
              </w:rPr>
              <w:t>（二）</w:t>
            </w:r>
            <w:r>
              <w:rPr>
                <w:rFonts w:hint="eastAsia" w:ascii="仿宋" w:hAnsi="仿宋" w:eastAsia="仿宋" w:cs="Times New Roman"/>
                <w:color w:val="auto"/>
                <w:sz w:val="28"/>
                <w:szCs w:val="28"/>
                <w:highlight w:val="none"/>
              </w:rPr>
              <w:t>业绩要求：</w:t>
            </w:r>
          </w:p>
          <w:p w14:paraId="204E4901">
            <w:pPr>
              <w:autoSpaceDE w:val="0"/>
              <w:autoSpaceDN w:val="0"/>
              <w:spacing w:after="0" w:line="560" w:lineRule="exact"/>
              <w:ind w:firstLine="560" w:firstLineChars="200"/>
              <w:rPr>
                <w:rFonts w:ascii="仿宋" w:hAnsi="仿宋" w:eastAsia="仿宋"/>
                <w:color w:val="auto"/>
                <w:sz w:val="28"/>
                <w:szCs w:val="28"/>
                <w:highlight w:val="none"/>
              </w:rPr>
            </w:pPr>
            <w:r>
              <w:rPr>
                <w:rFonts w:hint="eastAsia" w:ascii="仿宋" w:hAnsi="仿宋" w:eastAsia="仿宋" w:cs="Times New Roman"/>
                <w:color w:val="auto"/>
                <w:sz w:val="28"/>
                <w:szCs w:val="28"/>
                <w:highlight w:val="none"/>
              </w:rPr>
              <w:t>投标单位具有合同有效期内，绿化养护服务项目不少于2个(投标单位必须提供合同复印件关键页并加盖公章）。</w:t>
            </w:r>
          </w:p>
        </w:tc>
      </w:tr>
      <w:tr w14:paraId="6BCD8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7" w:hRule="atLeast"/>
        </w:trPr>
        <w:tc>
          <w:tcPr>
            <w:tcW w:w="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E3B874F">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9</w:t>
            </w:r>
          </w:p>
        </w:tc>
        <w:tc>
          <w:tcPr>
            <w:tcW w:w="198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9F9C166">
            <w:pPr>
              <w:pStyle w:val="71"/>
              <w:spacing w:line="400" w:lineRule="exact"/>
              <w:ind w:firstLine="0"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投标人项目负责人资格要求</w:t>
            </w:r>
          </w:p>
        </w:tc>
        <w:tc>
          <w:tcPr>
            <w:tcW w:w="66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1641B2B">
            <w:pPr>
              <w:autoSpaceDE w:val="0"/>
              <w:autoSpaceDN w:val="0"/>
              <w:adjustRightInd w:val="0"/>
              <w:spacing w:line="400" w:lineRule="exact"/>
              <w:jc w:val="left"/>
              <w:rPr>
                <w:rFonts w:ascii="仿宋" w:hAnsi="仿宋" w:eastAsia="仿宋"/>
                <w:color w:val="auto"/>
                <w:sz w:val="28"/>
                <w:szCs w:val="28"/>
                <w:highlight w:val="none"/>
              </w:rPr>
            </w:pPr>
            <w:r>
              <w:rPr>
                <w:rFonts w:hint="eastAsia" w:ascii="仿宋" w:hAnsi="仿宋" w:eastAsia="仿宋" w:cs="Times New Roman"/>
                <w:color w:val="auto"/>
                <w:sz w:val="28"/>
                <w:szCs w:val="28"/>
                <w:highlight w:val="none"/>
                <w:lang w:val="en-US" w:eastAsia="zh-CN"/>
              </w:rPr>
              <w:t>高中</w:t>
            </w:r>
            <w:r>
              <w:rPr>
                <w:rFonts w:hint="eastAsia" w:ascii="仿宋" w:hAnsi="仿宋" w:eastAsia="仿宋" w:cs="Times New Roman"/>
                <w:color w:val="auto"/>
                <w:sz w:val="28"/>
                <w:szCs w:val="28"/>
                <w:highlight w:val="none"/>
              </w:rPr>
              <w:t>以上学历，年龄不得超过</w:t>
            </w:r>
            <w:r>
              <w:rPr>
                <w:rFonts w:hint="eastAsia" w:ascii="仿宋" w:hAnsi="仿宋" w:eastAsia="仿宋" w:cs="Times New Roman"/>
                <w:color w:val="auto"/>
                <w:sz w:val="28"/>
                <w:szCs w:val="28"/>
                <w:highlight w:val="none"/>
                <w:lang w:val="en-US" w:eastAsia="zh-CN"/>
              </w:rPr>
              <w:t>50</w:t>
            </w:r>
            <w:r>
              <w:rPr>
                <w:rFonts w:hint="eastAsia" w:ascii="仿宋" w:hAnsi="仿宋" w:eastAsia="仿宋" w:cs="Times New Roman"/>
                <w:color w:val="auto"/>
                <w:sz w:val="28"/>
                <w:szCs w:val="28"/>
                <w:highlight w:val="none"/>
              </w:rPr>
              <w:t>周岁，从事本岗位</w:t>
            </w:r>
            <w:r>
              <w:rPr>
                <w:rFonts w:hint="eastAsia" w:ascii="仿宋" w:hAnsi="仿宋" w:eastAsia="仿宋" w:cs="Times New Roman"/>
                <w:color w:val="auto"/>
                <w:sz w:val="28"/>
                <w:szCs w:val="28"/>
                <w:highlight w:val="none"/>
                <w:lang w:val="en-US" w:eastAsia="zh-CN"/>
              </w:rPr>
              <w:t>5</w:t>
            </w:r>
            <w:r>
              <w:rPr>
                <w:rFonts w:hint="eastAsia" w:ascii="仿宋" w:hAnsi="仿宋" w:eastAsia="仿宋" w:cs="Times New Roman"/>
                <w:color w:val="auto"/>
                <w:sz w:val="28"/>
                <w:szCs w:val="28"/>
                <w:highlight w:val="none"/>
              </w:rPr>
              <w:t>年以上专业工作经验</w:t>
            </w:r>
            <w:r>
              <w:rPr>
                <w:rFonts w:hint="eastAsia" w:ascii="仿宋" w:hAnsi="仿宋" w:eastAsia="仿宋" w:cs="Times New Roman"/>
                <w:color w:val="auto"/>
                <w:sz w:val="28"/>
                <w:szCs w:val="28"/>
                <w:highlight w:val="none"/>
                <w:lang w:eastAsia="zh-CN"/>
              </w:rPr>
              <w:t>。</w:t>
            </w:r>
          </w:p>
        </w:tc>
      </w:tr>
      <w:tr w14:paraId="7C6BA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FDDCED8">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10</w:t>
            </w:r>
          </w:p>
        </w:tc>
        <w:tc>
          <w:tcPr>
            <w:tcW w:w="198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DA3123C">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资格审查</w:t>
            </w:r>
          </w:p>
          <w:p w14:paraId="07C197FC">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方式</w:t>
            </w:r>
          </w:p>
        </w:tc>
        <w:tc>
          <w:tcPr>
            <w:tcW w:w="66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904B71F">
            <w:pPr>
              <w:pStyle w:val="71"/>
              <w:spacing w:line="400" w:lineRule="exact"/>
              <w:ind w:left="357" w:hanging="357" w:firstLineChars="0"/>
              <w:jc w:val="left"/>
              <w:rPr>
                <w:rFonts w:ascii="仿宋" w:hAnsi="仿宋" w:eastAsia="仿宋"/>
                <w:color w:val="auto"/>
                <w:sz w:val="28"/>
                <w:szCs w:val="28"/>
                <w:highlight w:val="none"/>
              </w:rPr>
            </w:pPr>
            <w:r>
              <w:rPr>
                <w:rFonts w:hint="eastAsia" w:ascii="仿宋" w:hAnsi="仿宋" w:eastAsia="仿宋"/>
                <w:color w:val="auto"/>
                <w:sz w:val="28"/>
                <w:szCs w:val="28"/>
                <w:highlight w:val="none"/>
                <w:lang w:eastAsia="zh-CN"/>
              </w:rPr>
              <w:t>□</w:t>
            </w:r>
            <w:r>
              <w:rPr>
                <w:rFonts w:hint="eastAsia" w:ascii="仿宋" w:hAnsi="仿宋" w:eastAsia="仿宋"/>
                <w:color w:val="auto"/>
                <w:sz w:val="28"/>
                <w:szCs w:val="28"/>
                <w:highlight w:val="none"/>
              </w:rPr>
              <w:t>资格预审</w:t>
            </w:r>
          </w:p>
          <w:p w14:paraId="704B811C">
            <w:pPr>
              <w:pStyle w:val="71"/>
              <w:spacing w:line="400" w:lineRule="exact"/>
              <w:ind w:left="357" w:hanging="357" w:firstLineChars="0"/>
              <w:jc w:val="left"/>
              <w:rPr>
                <w:rFonts w:ascii="仿宋" w:hAnsi="仿宋" w:eastAsia="仿宋"/>
                <w:color w:val="auto"/>
                <w:sz w:val="28"/>
                <w:szCs w:val="28"/>
                <w:highlight w:val="none"/>
              </w:rPr>
            </w:pPr>
            <w:r>
              <w:rPr>
                <w:rFonts w:hint="eastAsia" w:ascii="仿宋" w:hAnsi="仿宋" w:eastAsia="仿宋"/>
                <w:color w:val="auto"/>
                <w:sz w:val="28"/>
                <w:szCs w:val="28"/>
                <w:highlight w:val="none"/>
                <w:lang w:eastAsia="zh-CN"/>
              </w:rPr>
              <w:t>☑</w:t>
            </w:r>
            <w:r>
              <w:rPr>
                <w:rFonts w:hint="eastAsia" w:ascii="仿宋" w:hAnsi="仿宋" w:eastAsia="仿宋"/>
                <w:color w:val="auto"/>
                <w:sz w:val="28"/>
                <w:szCs w:val="28"/>
                <w:highlight w:val="none"/>
              </w:rPr>
              <w:t>资格后审</w:t>
            </w:r>
          </w:p>
          <w:p w14:paraId="013D2345">
            <w:pPr>
              <w:topLinePunct/>
              <w:adjustRightInd w:val="0"/>
              <w:snapToGrid w:val="0"/>
              <w:spacing w:line="520" w:lineRule="exact"/>
              <w:rPr>
                <w:rFonts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□投标报名</w:t>
            </w:r>
          </w:p>
          <w:p w14:paraId="649D7FB0">
            <w:pPr>
              <w:pStyle w:val="71"/>
              <w:spacing w:line="400" w:lineRule="exact"/>
              <w:ind w:left="357" w:hanging="357" w:firstLineChars="0"/>
              <w:jc w:val="left"/>
              <w:rPr>
                <w:rFonts w:ascii="仿宋" w:hAnsi="仿宋" w:eastAsia="仿宋"/>
                <w:color w:val="auto"/>
                <w:sz w:val="28"/>
                <w:szCs w:val="28"/>
                <w:highlight w:val="none"/>
              </w:rPr>
            </w:pPr>
            <w:r>
              <w:rPr>
                <w:rFonts w:hint="eastAsia" w:ascii="仿宋" w:hAnsi="仿宋" w:eastAsia="仿宋"/>
                <w:color w:val="auto"/>
                <w:sz w:val="28"/>
                <w:szCs w:val="28"/>
                <w:highlight w:val="none"/>
                <w:lang w:eastAsia="zh-CN"/>
              </w:rPr>
              <w:t>□</w:t>
            </w:r>
            <w:r>
              <w:rPr>
                <w:rFonts w:hint="eastAsia" w:ascii="仿宋" w:hAnsi="仿宋" w:eastAsia="仿宋"/>
                <w:color w:val="auto"/>
                <w:sz w:val="28"/>
                <w:szCs w:val="28"/>
                <w:highlight w:val="none"/>
              </w:rPr>
              <w:t>投标邀请</w:t>
            </w:r>
          </w:p>
        </w:tc>
      </w:tr>
      <w:tr w14:paraId="00B04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2B4A6D2">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11</w:t>
            </w:r>
          </w:p>
        </w:tc>
        <w:tc>
          <w:tcPr>
            <w:tcW w:w="198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5388447">
            <w:pPr>
              <w:spacing w:line="360" w:lineRule="auto"/>
              <w:jc w:val="center"/>
              <w:rPr>
                <w:rFonts w:ascii="仿宋" w:hAnsi="仿宋" w:eastAsia="仿宋" w:cs="宋体"/>
                <w:color w:val="auto"/>
                <w:sz w:val="28"/>
                <w:szCs w:val="28"/>
                <w:highlight w:val="none"/>
              </w:rPr>
            </w:pPr>
            <w:r>
              <w:rPr>
                <w:rFonts w:hint="eastAsia" w:ascii="仿宋" w:hAnsi="仿宋" w:eastAsia="仿宋" w:cs="宋体"/>
                <w:color w:val="auto"/>
                <w:sz w:val="28"/>
                <w:szCs w:val="28"/>
                <w:highlight w:val="none"/>
              </w:rPr>
              <w:t>是否接受</w:t>
            </w:r>
          </w:p>
          <w:p w14:paraId="2B2222BD">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s="宋体"/>
                <w:color w:val="auto"/>
                <w:sz w:val="28"/>
                <w:szCs w:val="28"/>
                <w:highlight w:val="none"/>
              </w:rPr>
              <w:t>联合体投标</w:t>
            </w:r>
          </w:p>
        </w:tc>
        <w:tc>
          <w:tcPr>
            <w:tcW w:w="66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29DBCBA">
            <w:pPr>
              <w:pStyle w:val="71"/>
              <w:spacing w:line="400" w:lineRule="exact"/>
              <w:ind w:left="357" w:hanging="357" w:firstLineChars="0"/>
              <w:jc w:val="left"/>
              <w:rPr>
                <w:rFonts w:ascii="仿宋" w:hAnsi="仿宋" w:eastAsia="仿宋"/>
                <w:color w:val="auto"/>
                <w:sz w:val="28"/>
                <w:szCs w:val="28"/>
                <w:highlight w:val="none"/>
              </w:rPr>
            </w:pPr>
            <w:r>
              <w:rPr>
                <w:rFonts w:hint="eastAsia" w:ascii="仿宋" w:hAnsi="仿宋" w:eastAsia="仿宋" w:cs="宋体"/>
                <w:color w:val="auto"/>
                <w:sz w:val="28"/>
                <w:szCs w:val="28"/>
                <w:highlight w:val="none"/>
                <w:lang w:eastAsia="zh-CN"/>
              </w:rPr>
              <w:t>☑</w:t>
            </w:r>
            <w:r>
              <w:rPr>
                <w:rFonts w:hint="eastAsia" w:ascii="仿宋" w:hAnsi="仿宋" w:eastAsia="仿宋" w:cs="宋体"/>
                <w:color w:val="auto"/>
                <w:sz w:val="28"/>
                <w:szCs w:val="28"/>
                <w:highlight w:val="none"/>
              </w:rPr>
              <w:t>不接受   □接受</w:t>
            </w:r>
          </w:p>
        </w:tc>
      </w:tr>
      <w:tr w14:paraId="53FF9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C32F608">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12</w:t>
            </w:r>
          </w:p>
        </w:tc>
        <w:tc>
          <w:tcPr>
            <w:tcW w:w="198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65BC624">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投标报价</w:t>
            </w:r>
          </w:p>
          <w:p w14:paraId="0D6B7455">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要求</w:t>
            </w:r>
          </w:p>
        </w:tc>
        <w:tc>
          <w:tcPr>
            <w:tcW w:w="66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6A87E1A">
            <w:pPr>
              <w:pStyle w:val="71"/>
              <w:spacing w:line="400" w:lineRule="exact"/>
              <w:ind w:firstLine="0" w:firstLineChars="0"/>
              <w:rPr>
                <w:rFonts w:hint="eastAsia" w:ascii="仿宋" w:hAnsi="仿宋" w:eastAsia="仿宋"/>
                <w:color w:val="auto"/>
                <w:sz w:val="28"/>
                <w:szCs w:val="28"/>
                <w:highlight w:val="none"/>
                <w:lang w:eastAsia="zh-CN"/>
              </w:rPr>
            </w:pPr>
            <w:r>
              <w:rPr>
                <w:rFonts w:hint="eastAsia" w:ascii="仿宋" w:hAnsi="仿宋" w:eastAsia="仿宋" w:cs="Times New Roman"/>
                <w:color w:val="auto"/>
                <w:sz w:val="28"/>
                <w:szCs w:val="28"/>
                <w:highlight w:val="none"/>
                <w:lang w:eastAsia="zh-CN"/>
              </w:rPr>
              <w:t>（</w:t>
            </w:r>
            <w:r>
              <w:rPr>
                <w:rFonts w:hint="eastAsia" w:ascii="仿宋" w:hAnsi="仿宋" w:eastAsia="仿宋" w:cs="Times New Roman"/>
                <w:color w:val="auto"/>
                <w:sz w:val="28"/>
                <w:szCs w:val="28"/>
                <w:highlight w:val="none"/>
                <w:lang w:val="en-US" w:eastAsia="zh-CN"/>
              </w:rPr>
              <w:t>一）</w:t>
            </w:r>
            <w:r>
              <w:rPr>
                <w:rFonts w:hint="eastAsia" w:ascii="仿宋" w:hAnsi="仿宋" w:eastAsia="仿宋" w:cs="Times New Roman"/>
                <w:color w:val="auto"/>
                <w:sz w:val="28"/>
                <w:szCs w:val="28"/>
                <w:highlight w:val="none"/>
              </w:rPr>
              <w:t>本项目投标报价上限为</w:t>
            </w:r>
            <w:r>
              <w:rPr>
                <w:rFonts w:hint="eastAsia" w:ascii="仿宋_GB2312" w:hAnsi="仿宋_GB2312" w:eastAsia="仿宋_GB2312" w:cs="仿宋_GB2312"/>
                <w:bCs/>
                <w:color w:val="auto"/>
                <w:sz w:val="28"/>
                <w:szCs w:val="28"/>
                <w:highlight w:val="none"/>
                <w:lang w:val="en-US" w:eastAsia="zh-CN"/>
              </w:rPr>
              <w:t>695,000.00元</w:t>
            </w:r>
            <w:r>
              <w:rPr>
                <w:rFonts w:hint="eastAsia" w:ascii="仿宋" w:hAnsi="仿宋" w:eastAsia="仿宋"/>
                <w:color w:val="auto"/>
                <w:sz w:val="28"/>
                <w:szCs w:val="28"/>
                <w:highlight w:val="none"/>
                <w:lang w:val="en-US" w:eastAsia="zh-CN"/>
              </w:rPr>
              <w:t>（含税）</w:t>
            </w:r>
            <w:r>
              <w:rPr>
                <w:rFonts w:hint="eastAsia" w:ascii="仿宋" w:hAnsi="仿宋" w:eastAsia="仿宋" w:cs="Times New Roman"/>
                <w:color w:val="auto"/>
                <w:sz w:val="28"/>
                <w:szCs w:val="28"/>
                <w:highlight w:val="none"/>
              </w:rPr>
              <w:t>，</w:t>
            </w:r>
            <w:r>
              <w:rPr>
                <w:rFonts w:hint="eastAsia" w:ascii="仿宋" w:hAnsi="仿宋" w:eastAsia="仿宋"/>
                <w:color w:val="auto"/>
                <w:sz w:val="28"/>
                <w:szCs w:val="28"/>
                <w:highlight w:val="none"/>
              </w:rPr>
              <w:t>超过上限价的投标文件将被否决</w:t>
            </w:r>
            <w:r>
              <w:rPr>
                <w:rFonts w:hint="eastAsia" w:ascii="仿宋" w:hAnsi="仿宋" w:eastAsia="仿宋"/>
                <w:color w:val="auto"/>
                <w:sz w:val="28"/>
                <w:szCs w:val="28"/>
                <w:highlight w:val="none"/>
                <w:lang w:eastAsia="zh-CN"/>
              </w:rPr>
              <w:t>。</w:t>
            </w:r>
          </w:p>
          <w:p w14:paraId="07D8A573">
            <w:pPr>
              <w:pStyle w:val="71"/>
              <w:spacing w:line="400" w:lineRule="exact"/>
              <w:ind w:firstLine="0" w:firstLineChars="0"/>
              <w:rPr>
                <w:rFonts w:hint="eastAsia" w:ascii="仿宋" w:hAnsi="仿宋" w:eastAsia="仿宋"/>
                <w:color w:val="auto"/>
                <w:sz w:val="28"/>
                <w:szCs w:val="28"/>
                <w:highlight w:val="none"/>
                <w:lang w:eastAsia="zh-CN"/>
              </w:rPr>
            </w:pPr>
            <w:r>
              <w:rPr>
                <w:rFonts w:hint="eastAsia" w:ascii="仿宋" w:hAnsi="仿宋" w:eastAsia="仿宋"/>
                <w:color w:val="auto"/>
                <w:sz w:val="28"/>
                <w:szCs w:val="28"/>
                <w:highlight w:val="none"/>
                <w:lang w:eastAsia="zh-CN"/>
              </w:rPr>
              <w:t>（</w:t>
            </w:r>
            <w:r>
              <w:rPr>
                <w:rFonts w:hint="eastAsia" w:ascii="仿宋" w:hAnsi="仿宋" w:eastAsia="仿宋"/>
                <w:color w:val="auto"/>
                <w:sz w:val="28"/>
                <w:szCs w:val="28"/>
                <w:highlight w:val="none"/>
                <w:lang w:val="en-US" w:eastAsia="zh-CN"/>
              </w:rPr>
              <w:t>二）</w:t>
            </w:r>
            <w:r>
              <w:rPr>
                <w:rFonts w:hint="eastAsia" w:ascii="仿宋" w:hAnsi="仿宋" w:eastAsia="仿宋"/>
                <w:color w:val="auto"/>
                <w:sz w:val="28"/>
                <w:szCs w:val="28"/>
                <w:highlight w:val="none"/>
              </w:rPr>
              <w:t>本项目</w:t>
            </w:r>
            <w:r>
              <w:rPr>
                <w:rFonts w:hint="eastAsia" w:ascii="仿宋" w:hAnsi="仿宋" w:eastAsia="仿宋"/>
                <w:color w:val="auto"/>
                <w:sz w:val="28"/>
                <w:szCs w:val="28"/>
                <w:highlight w:val="none"/>
                <w:lang w:val="en-US" w:eastAsia="zh-CN"/>
              </w:rPr>
              <w:t>绿化养护</w:t>
            </w:r>
            <w:r>
              <w:rPr>
                <w:rFonts w:hint="eastAsia" w:ascii="仿宋" w:hAnsi="仿宋" w:eastAsia="仿宋"/>
                <w:color w:val="auto"/>
                <w:sz w:val="28"/>
                <w:szCs w:val="28"/>
                <w:highlight w:val="none"/>
              </w:rPr>
              <w:t>服务报价方式为单价包干</w:t>
            </w:r>
            <w:r>
              <w:rPr>
                <w:rFonts w:ascii="仿宋" w:hAnsi="仿宋" w:eastAsia="仿宋"/>
                <w:color w:val="auto"/>
                <w:sz w:val="28"/>
                <w:szCs w:val="28"/>
                <w:highlight w:val="none"/>
              </w:rPr>
              <w:t>。</w:t>
            </w:r>
            <w:r>
              <w:rPr>
                <w:rFonts w:hint="eastAsia" w:ascii="仿宋" w:hAnsi="仿宋" w:eastAsia="仿宋"/>
                <w:color w:val="auto"/>
                <w:sz w:val="28"/>
                <w:szCs w:val="28"/>
                <w:highlight w:val="none"/>
              </w:rPr>
              <w:t xml:space="preserve"> </w:t>
            </w:r>
          </w:p>
        </w:tc>
      </w:tr>
      <w:tr w14:paraId="53A56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0" w:hRule="atLeast"/>
        </w:trPr>
        <w:tc>
          <w:tcPr>
            <w:tcW w:w="901" w:type="dxa"/>
            <w:tcBorders>
              <w:top w:val="single" w:color="auto"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2A748DC">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13</w:t>
            </w:r>
          </w:p>
        </w:tc>
        <w:tc>
          <w:tcPr>
            <w:tcW w:w="1984" w:type="dxa"/>
            <w:tcBorders>
              <w:top w:val="single" w:color="auto"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EA65342">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投标货币</w:t>
            </w:r>
          </w:p>
        </w:tc>
        <w:tc>
          <w:tcPr>
            <w:tcW w:w="6619" w:type="dxa"/>
            <w:tcBorders>
              <w:top w:val="single" w:color="auto"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F784E22">
            <w:pPr>
              <w:pStyle w:val="71"/>
              <w:spacing w:line="400" w:lineRule="exact"/>
              <w:ind w:left="700" w:hanging="700" w:hangingChars="250"/>
              <w:rPr>
                <w:rFonts w:ascii="仿宋" w:hAnsi="仿宋" w:eastAsia="仿宋"/>
                <w:color w:val="auto"/>
                <w:sz w:val="28"/>
                <w:szCs w:val="28"/>
                <w:highlight w:val="none"/>
              </w:rPr>
            </w:pPr>
            <w:r>
              <w:rPr>
                <w:rFonts w:hint="eastAsia" w:ascii="仿宋" w:hAnsi="仿宋" w:eastAsia="仿宋"/>
                <w:color w:val="auto"/>
                <w:sz w:val="28"/>
                <w:szCs w:val="28"/>
                <w:highlight w:val="none"/>
                <w:lang w:eastAsia="zh-CN"/>
              </w:rPr>
              <w:t>☑</w:t>
            </w:r>
            <w:r>
              <w:rPr>
                <w:rFonts w:hint="eastAsia" w:ascii="仿宋" w:hAnsi="仿宋" w:eastAsia="仿宋"/>
                <w:color w:val="auto"/>
                <w:sz w:val="28"/>
                <w:szCs w:val="28"/>
                <w:highlight w:val="none"/>
              </w:rPr>
              <w:t>人民币</w:t>
            </w:r>
          </w:p>
          <w:p w14:paraId="60F62892">
            <w:pPr>
              <w:pStyle w:val="71"/>
              <w:spacing w:line="400" w:lineRule="exact"/>
              <w:ind w:left="700" w:hanging="700" w:hangingChars="250"/>
              <w:rPr>
                <w:rFonts w:ascii="仿宋" w:hAnsi="仿宋" w:eastAsia="仿宋"/>
                <w:color w:val="auto"/>
                <w:sz w:val="28"/>
                <w:szCs w:val="28"/>
                <w:highlight w:val="none"/>
              </w:rPr>
            </w:pPr>
            <w:r>
              <w:rPr>
                <w:rFonts w:hint="eastAsia" w:ascii="仿宋" w:hAnsi="仿宋" w:eastAsia="仿宋"/>
                <w:color w:val="auto"/>
                <w:sz w:val="28"/>
                <w:szCs w:val="28"/>
                <w:highlight w:val="none"/>
              </w:rPr>
              <w:t>□其他</w:t>
            </w:r>
          </w:p>
        </w:tc>
      </w:tr>
      <w:tr w14:paraId="1E6E9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0" w:hRule="atLeast"/>
        </w:trPr>
        <w:tc>
          <w:tcPr>
            <w:tcW w:w="901" w:type="dxa"/>
            <w:tcBorders>
              <w:top w:val="single" w:color="auto"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D02EF13">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14</w:t>
            </w:r>
          </w:p>
        </w:tc>
        <w:tc>
          <w:tcPr>
            <w:tcW w:w="1984" w:type="dxa"/>
            <w:tcBorders>
              <w:top w:val="single" w:color="auto"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B24A52E">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服务周期要求</w:t>
            </w:r>
          </w:p>
        </w:tc>
        <w:tc>
          <w:tcPr>
            <w:tcW w:w="6619" w:type="dxa"/>
            <w:tcBorders>
              <w:top w:val="single" w:color="auto"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47A0055">
            <w:pPr>
              <w:spacing w:line="400" w:lineRule="exact"/>
              <w:rPr>
                <w:rFonts w:hint="eastAsia" w:ascii="仿宋" w:hAnsi="仿宋" w:eastAsia="仿宋"/>
                <w:color w:val="auto"/>
                <w:sz w:val="28"/>
                <w:szCs w:val="28"/>
                <w:highlight w:val="none"/>
                <w:lang w:eastAsia="zh-CN"/>
              </w:rPr>
            </w:pPr>
            <w:r>
              <w:rPr>
                <w:rFonts w:hint="eastAsia" w:ascii="仿宋" w:hAnsi="仿宋" w:eastAsia="仿宋" w:cs="Times New Roman"/>
                <w:color w:val="auto"/>
                <w:sz w:val="28"/>
                <w:szCs w:val="28"/>
                <w:highlight w:val="none"/>
                <w:lang w:val="en-US" w:eastAsia="zh-CN"/>
              </w:rPr>
              <w:t>2026年8月1日至2027年7月31日，履约评价优秀可续约，续约不超过两次且总续约时间不超过24个月</w:t>
            </w:r>
          </w:p>
        </w:tc>
      </w:tr>
      <w:tr w14:paraId="7A432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D8C449A">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14</w:t>
            </w:r>
          </w:p>
        </w:tc>
        <w:tc>
          <w:tcPr>
            <w:tcW w:w="198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BDFD9B5">
            <w:pPr>
              <w:pStyle w:val="71"/>
              <w:spacing w:line="400" w:lineRule="exact"/>
              <w:ind w:firstLine="0"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投标担保金额及方式</w:t>
            </w:r>
          </w:p>
        </w:tc>
        <w:tc>
          <w:tcPr>
            <w:tcW w:w="66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9043A6A">
            <w:pPr>
              <w:spacing w:line="400" w:lineRule="exact"/>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投标担保金额：人民币</w:t>
            </w:r>
            <w:r>
              <w:rPr>
                <w:rFonts w:hint="eastAsia" w:ascii="仿宋" w:hAnsi="仿宋" w:eastAsia="仿宋"/>
                <w:color w:val="auto"/>
                <w:sz w:val="28"/>
                <w:szCs w:val="28"/>
                <w:highlight w:val="none"/>
                <w:lang w:val="en-US" w:eastAsia="zh-CN"/>
              </w:rPr>
              <w:t>贰</w:t>
            </w:r>
            <w:r>
              <w:rPr>
                <w:rFonts w:hint="eastAsia" w:ascii="仿宋" w:hAnsi="仿宋" w:eastAsia="仿宋"/>
                <w:color w:val="auto"/>
                <w:sz w:val="28"/>
                <w:szCs w:val="28"/>
                <w:highlight w:val="none"/>
              </w:rPr>
              <w:t>仟元</w:t>
            </w:r>
            <w:r>
              <w:rPr>
                <w:rFonts w:hint="eastAsia" w:ascii="仿宋" w:hAnsi="仿宋" w:eastAsia="仿宋"/>
                <w:color w:val="auto"/>
                <w:sz w:val="28"/>
                <w:szCs w:val="28"/>
                <w:highlight w:val="none"/>
                <w:u w:val="none"/>
                <w:lang w:val="en-US" w:eastAsia="zh-CN"/>
              </w:rPr>
              <w:t>整</w:t>
            </w:r>
          </w:p>
          <w:p w14:paraId="5E9C7EEB">
            <w:pPr>
              <w:spacing w:line="400" w:lineRule="exact"/>
              <w:rPr>
                <w:rFonts w:ascii="仿宋" w:hAnsi="仿宋" w:eastAsia="仿宋"/>
                <w:color w:val="auto"/>
                <w:sz w:val="28"/>
                <w:szCs w:val="28"/>
                <w:highlight w:val="none"/>
              </w:rPr>
            </w:pPr>
            <w:r>
              <w:rPr>
                <w:rFonts w:hint="eastAsia" w:ascii="仿宋" w:hAnsi="仿宋" w:eastAsia="仿宋"/>
                <w:color w:val="auto"/>
                <w:sz w:val="28"/>
                <w:szCs w:val="28"/>
                <w:highlight w:val="none"/>
              </w:rPr>
              <w:t>投标担保形式：</w:t>
            </w:r>
          </w:p>
          <w:p w14:paraId="214C8175">
            <w:pPr>
              <w:spacing w:line="400" w:lineRule="exact"/>
              <w:rPr>
                <w:rFonts w:ascii="仿宋" w:hAnsi="仿宋" w:eastAsia="仿宋"/>
                <w:color w:val="auto"/>
                <w:sz w:val="28"/>
                <w:szCs w:val="28"/>
                <w:highlight w:val="none"/>
              </w:rPr>
            </w:pPr>
            <w:r>
              <w:rPr>
                <w:rFonts w:hint="eastAsia" w:ascii="仿宋" w:hAnsi="仿宋" w:eastAsia="仿宋"/>
                <w:color w:val="auto"/>
                <w:sz w:val="28"/>
                <w:szCs w:val="28"/>
                <w:highlight w:val="none"/>
              </w:rPr>
              <w:t>□投标保函</w:t>
            </w:r>
          </w:p>
          <w:p w14:paraId="3A5BE218">
            <w:pPr>
              <w:spacing w:line="400" w:lineRule="exact"/>
              <w:rPr>
                <w:rFonts w:ascii="仿宋" w:hAnsi="仿宋" w:eastAsia="仿宋"/>
                <w:color w:val="auto"/>
                <w:sz w:val="28"/>
                <w:szCs w:val="28"/>
                <w:highlight w:val="none"/>
              </w:rPr>
            </w:pPr>
            <w:r>
              <w:rPr>
                <w:rFonts w:hint="eastAsia" w:ascii="仿宋" w:hAnsi="仿宋" w:eastAsia="仿宋"/>
                <w:color w:val="auto"/>
                <w:sz w:val="28"/>
                <w:szCs w:val="28"/>
                <w:highlight w:val="none"/>
                <w:lang w:eastAsia="zh-CN"/>
              </w:rPr>
              <w:t>☑</w:t>
            </w:r>
            <w:r>
              <w:rPr>
                <w:rFonts w:hint="eastAsia" w:ascii="仿宋" w:hAnsi="仿宋" w:eastAsia="仿宋"/>
                <w:color w:val="auto"/>
                <w:sz w:val="28"/>
                <w:szCs w:val="28"/>
                <w:highlight w:val="none"/>
              </w:rPr>
              <w:t>现金（银行转账）</w:t>
            </w:r>
          </w:p>
          <w:p w14:paraId="6EAADDF2">
            <w:pPr>
              <w:spacing w:line="400" w:lineRule="exact"/>
              <w:rPr>
                <w:rFonts w:ascii="仿宋" w:hAnsi="仿宋" w:eastAsia="仿宋"/>
                <w:color w:val="auto"/>
                <w:sz w:val="28"/>
                <w:szCs w:val="28"/>
                <w:highlight w:val="none"/>
              </w:rPr>
            </w:pPr>
            <w:r>
              <w:rPr>
                <w:rFonts w:hint="eastAsia" w:ascii="仿宋" w:hAnsi="仿宋" w:eastAsia="仿宋"/>
                <w:color w:val="auto"/>
                <w:sz w:val="28"/>
                <w:szCs w:val="28"/>
                <w:highlight w:val="none"/>
              </w:rPr>
              <w:t>招标人名称：</w:t>
            </w:r>
            <w:r>
              <w:rPr>
                <w:rFonts w:hint="eastAsia" w:ascii="仿宋" w:hAnsi="仿宋" w:eastAsia="仿宋" w:cs="仿宋"/>
                <w:bCs/>
                <w:color w:val="auto"/>
                <w:sz w:val="28"/>
                <w:szCs w:val="28"/>
                <w:highlight w:val="none"/>
                <w:u w:val="single"/>
              </w:rPr>
              <w:t>深圳第一亚太物业管理有限公司</w:t>
            </w:r>
            <w:r>
              <w:rPr>
                <w:rFonts w:hint="eastAsia" w:ascii="仿宋" w:hAnsi="仿宋" w:eastAsia="仿宋" w:cs="仿宋"/>
                <w:bCs/>
                <w:color w:val="auto"/>
                <w:sz w:val="28"/>
                <w:szCs w:val="28"/>
                <w:highlight w:val="none"/>
                <w:u w:val="single"/>
                <w:lang w:eastAsia="zh-CN"/>
              </w:rPr>
              <w:t>重庆</w:t>
            </w:r>
            <w:r>
              <w:rPr>
                <w:rFonts w:hint="eastAsia" w:ascii="仿宋" w:hAnsi="仿宋" w:eastAsia="仿宋" w:cs="仿宋"/>
                <w:bCs/>
                <w:color w:val="auto"/>
                <w:sz w:val="28"/>
                <w:szCs w:val="28"/>
                <w:highlight w:val="none"/>
                <w:u w:val="single"/>
                <w:lang w:val="en-US" w:eastAsia="zh-CN"/>
              </w:rPr>
              <w:t>分公司</w:t>
            </w:r>
          </w:p>
          <w:p w14:paraId="30DEFD2C">
            <w:pPr>
              <w:spacing w:line="400" w:lineRule="exact"/>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地址：</w:t>
            </w:r>
            <w:r>
              <w:rPr>
                <w:rFonts w:hint="eastAsia" w:ascii="仿宋" w:hAnsi="仿宋" w:eastAsia="仿宋"/>
                <w:color w:val="auto"/>
                <w:sz w:val="28"/>
                <w:szCs w:val="28"/>
                <w:highlight w:val="none"/>
                <w:u w:val="single"/>
                <w:lang w:eastAsia="zh-CN"/>
              </w:rPr>
              <w:t>重庆市巴南区南彭公路物流基地东城大道8号</w:t>
            </w:r>
          </w:p>
          <w:p w14:paraId="11050716">
            <w:pPr>
              <w:spacing w:line="400" w:lineRule="exact"/>
              <w:rPr>
                <w:rFonts w:ascii="仿宋" w:hAnsi="仿宋" w:eastAsia="仿宋"/>
                <w:color w:val="auto"/>
                <w:sz w:val="28"/>
                <w:szCs w:val="28"/>
                <w:highlight w:val="none"/>
              </w:rPr>
            </w:pPr>
            <w:r>
              <w:rPr>
                <w:rFonts w:hint="eastAsia" w:ascii="仿宋" w:hAnsi="仿宋" w:eastAsia="仿宋"/>
                <w:color w:val="auto"/>
                <w:sz w:val="28"/>
                <w:szCs w:val="28"/>
                <w:highlight w:val="none"/>
              </w:rPr>
              <w:t>开户银行：</w:t>
            </w:r>
            <w:r>
              <w:rPr>
                <w:rFonts w:hint="eastAsia" w:ascii="仿宋" w:hAnsi="仿宋" w:eastAsia="仿宋" w:cs="Times New Roman"/>
                <w:color w:val="auto"/>
                <w:sz w:val="28"/>
                <w:szCs w:val="28"/>
                <w:highlight w:val="none"/>
                <w:u w:val="single"/>
              </w:rPr>
              <w:t xml:space="preserve">中国建设银行股份有限公司重庆巴南融汇半岛支行 </w:t>
            </w:r>
            <w:r>
              <w:rPr>
                <w:rFonts w:hint="eastAsia" w:ascii="仿宋" w:hAnsi="仿宋" w:eastAsia="仿宋" w:cs="Times New Roman"/>
                <w:color w:val="auto"/>
                <w:sz w:val="28"/>
                <w:szCs w:val="28"/>
                <w:highlight w:val="none"/>
              </w:rPr>
              <w:t xml:space="preserve"> </w:t>
            </w:r>
          </w:p>
          <w:p w14:paraId="0E9BB687">
            <w:pPr>
              <w:pStyle w:val="18"/>
              <w:adjustRightInd w:val="0"/>
              <w:snapToGrid w:val="0"/>
              <w:rPr>
                <w:rFonts w:hint="default" w:hAnsi="宋体" w:cs="宋体"/>
                <w:bCs/>
                <w:color w:val="auto"/>
                <w:sz w:val="24"/>
                <w:szCs w:val="24"/>
                <w:highlight w:val="none"/>
                <w:u w:val="single"/>
                <w:lang w:val="en-US"/>
              </w:rPr>
            </w:pPr>
            <w:r>
              <w:rPr>
                <w:rFonts w:hint="eastAsia" w:ascii="仿宋" w:hAnsi="仿宋" w:eastAsia="仿宋"/>
                <w:color w:val="auto"/>
                <w:sz w:val="28"/>
                <w:szCs w:val="28"/>
                <w:highlight w:val="none"/>
                <w:lang w:val="en-US" w:eastAsia="zh-CN"/>
              </w:rPr>
              <w:t>账</w:t>
            </w:r>
            <w:r>
              <w:rPr>
                <w:rFonts w:hint="eastAsia" w:ascii="仿宋" w:hAnsi="仿宋" w:eastAsia="仿宋"/>
                <w:color w:val="auto"/>
                <w:sz w:val="28"/>
                <w:szCs w:val="28"/>
                <w:highlight w:val="none"/>
              </w:rPr>
              <w:t>号：</w:t>
            </w:r>
            <w:r>
              <w:rPr>
                <w:rFonts w:hint="eastAsia" w:ascii="仿宋" w:hAnsi="仿宋" w:eastAsia="仿宋" w:cs="Times New Roman"/>
                <w:color w:val="auto"/>
                <w:sz w:val="28"/>
                <w:szCs w:val="28"/>
                <w:highlight w:val="none"/>
                <w:u w:val="single"/>
                <w:lang w:val="en-US" w:eastAsia="zh-CN"/>
              </w:rPr>
              <w:t>50001116800052500555</w:t>
            </w:r>
          </w:p>
          <w:p w14:paraId="55D45CF5">
            <w:pPr>
              <w:pStyle w:val="71"/>
              <w:spacing w:line="400" w:lineRule="exact"/>
              <w:ind w:left="353" w:leftChars="168" w:firstLine="140" w:firstLineChars="50"/>
              <w:rPr>
                <w:rFonts w:ascii="仿宋" w:hAnsi="仿宋" w:eastAsia="仿宋"/>
                <w:color w:val="auto"/>
                <w:sz w:val="28"/>
                <w:szCs w:val="28"/>
                <w:highlight w:val="none"/>
              </w:rPr>
            </w:pPr>
            <w:r>
              <w:rPr>
                <w:rFonts w:hint="eastAsia" w:ascii="仿宋" w:hAnsi="仿宋" w:eastAsia="仿宋"/>
                <w:color w:val="auto"/>
                <w:sz w:val="28"/>
                <w:szCs w:val="28"/>
                <w:highlight w:val="none"/>
              </w:rPr>
              <w:t>需备注“</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u w:val="single"/>
                <w:lang w:eastAsia="zh-CN"/>
              </w:rPr>
              <w:t>重庆</w:t>
            </w:r>
            <w:r>
              <w:rPr>
                <w:rFonts w:hint="eastAsia" w:ascii="仿宋" w:hAnsi="仿宋" w:eastAsia="仿宋" w:cs="Times New Roman"/>
                <w:color w:val="auto"/>
                <w:kern w:val="2"/>
                <w:sz w:val="28"/>
                <w:szCs w:val="28"/>
                <w:highlight w:val="none"/>
                <w:u w:val="single"/>
                <w:lang w:val="en-US" w:eastAsia="zh-CN" w:bidi="ar-SA"/>
              </w:rPr>
              <w:t>华南城2026度绿化养护外包服务</w:t>
            </w:r>
            <w:r>
              <w:rPr>
                <w:rFonts w:hint="eastAsia" w:ascii="仿宋" w:hAnsi="仿宋" w:eastAsia="仿宋"/>
                <w:color w:val="auto"/>
                <w:sz w:val="28"/>
                <w:szCs w:val="28"/>
                <w:highlight w:val="none"/>
              </w:rPr>
              <w:t>投标保证金”</w:t>
            </w:r>
            <w:r>
              <w:rPr>
                <w:rFonts w:hint="eastAsia" w:ascii="仿宋" w:hAnsi="仿宋" w:eastAsia="仿宋"/>
                <w:color w:val="auto"/>
                <w:sz w:val="28"/>
                <w:szCs w:val="28"/>
                <w:highlight w:val="none"/>
                <w:lang w:eastAsia="zh-CN"/>
              </w:rPr>
              <w:t>。</w:t>
            </w:r>
          </w:p>
        </w:tc>
      </w:tr>
      <w:tr w14:paraId="3C1BD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76A71B6">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15</w:t>
            </w:r>
          </w:p>
        </w:tc>
        <w:tc>
          <w:tcPr>
            <w:tcW w:w="198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54D8794">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投标文件组成及份数</w:t>
            </w:r>
          </w:p>
        </w:tc>
        <w:tc>
          <w:tcPr>
            <w:tcW w:w="66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AA2641D">
            <w:pPr>
              <w:pStyle w:val="71"/>
              <w:spacing w:line="400" w:lineRule="exact"/>
              <w:ind w:firstLine="0" w:firstLineChars="0"/>
              <w:rPr>
                <w:rFonts w:ascii="仿宋" w:hAnsi="仿宋" w:eastAsia="仿宋"/>
                <w:color w:val="auto"/>
                <w:sz w:val="28"/>
                <w:szCs w:val="28"/>
                <w:highlight w:val="none"/>
              </w:rPr>
            </w:pPr>
            <w:r>
              <w:rPr>
                <w:rFonts w:hint="eastAsia" w:ascii="仿宋" w:hAnsi="仿宋" w:eastAsia="仿宋"/>
                <w:color w:val="auto"/>
                <w:sz w:val="28"/>
                <w:szCs w:val="28"/>
                <w:highlight w:val="none"/>
              </w:rPr>
              <w:t>☑资格审查文件：正本</w:t>
            </w:r>
            <w:r>
              <w:rPr>
                <w:rFonts w:hint="eastAsia" w:ascii="仿宋" w:hAnsi="仿宋" w:eastAsia="仿宋"/>
                <w:color w:val="auto"/>
                <w:sz w:val="28"/>
                <w:szCs w:val="28"/>
                <w:highlight w:val="none"/>
                <w:u w:val="single"/>
              </w:rPr>
              <w:t xml:space="preserve">  壹  </w:t>
            </w:r>
            <w:r>
              <w:rPr>
                <w:rFonts w:hint="eastAsia" w:ascii="仿宋" w:hAnsi="仿宋" w:eastAsia="仿宋"/>
                <w:color w:val="auto"/>
                <w:sz w:val="28"/>
                <w:szCs w:val="28"/>
                <w:highlight w:val="none"/>
              </w:rPr>
              <w:t>份；副本</w:t>
            </w:r>
            <w:r>
              <w:rPr>
                <w:rFonts w:hint="eastAsia" w:ascii="仿宋" w:hAnsi="仿宋" w:eastAsia="仿宋"/>
                <w:color w:val="auto"/>
                <w:sz w:val="28"/>
                <w:szCs w:val="28"/>
                <w:highlight w:val="none"/>
                <w:u w:val="single"/>
              </w:rPr>
              <w:t xml:space="preserve">  壹  </w:t>
            </w:r>
            <w:r>
              <w:rPr>
                <w:rFonts w:hint="eastAsia" w:ascii="仿宋" w:hAnsi="仿宋" w:eastAsia="仿宋"/>
                <w:color w:val="auto"/>
                <w:sz w:val="28"/>
                <w:szCs w:val="28"/>
                <w:highlight w:val="none"/>
              </w:rPr>
              <w:t>份</w:t>
            </w:r>
          </w:p>
          <w:p w14:paraId="1795A8B8">
            <w:pPr>
              <w:pStyle w:val="71"/>
              <w:spacing w:line="400" w:lineRule="exact"/>
              <w:ind w:firstLine="0" w:firstLineChars="0"/>
              <w:rPr>
                <w:rFonts w:ascii="仿宋" w:hAnsi="仿宋" w:eastAsia="仿宋"/>
                <w:color w:val="auto"/>
                <w:sz w:val="28"/>
                <w:szCs w:val="28"/>
                <w:highlight w:val="none"/>
              </w:rPr>
            </w:pPr>
            <w:r>
              <w:rPr>
                <w:rFonts w:hint="eastAsia" w:ascii="仿宋" w:hAnsi="仿宋" w:eastAsia="仿宋"/>
                <w:color w:val="auto"/>
                <w:sz w:val="28"/>
                <w:szCs w:val="28"/>
                <w:highlight w:val="none"/>
              </w:rPr>
              <w:t>☑投标函部分：  正本</w:t>
            </w:r>
            <w:r>
              <w:rPr>
                <w:rFonts w:hint="eastAsia" w:ascii="仿宋" w:hAnsi="仿宋" w:eastAsia="仿宋"/>
                <w:color w:val="auto"/>
                <w:sz w:val="28"/>
                <w:szCs w:val="28"/>
                <w:highlight w:val="none"/>
                <w:u w:val="single"/>
              </w:rPr>
              <w:t xml:space="preserve">  壹  </w:t>
            </w:r>
            <w:r>
              <w:rPr>
                <w:rFonts w:hint="eastAsia" w:ascii="仿宋" w:hAnsi="仿宋" w:eastAsia="仿宋"/>
                <w:color w:val="auto"/>
                <w:sz w:val="28"/>
                <w:szCs w:val="28"/>
                <w:highlight w:val="none"/>
              </w:rPr>
              <w:t>份；副本</w:t>
            </w:r>
            <w:r>
              <w:rPr>
                <w:rFonts w:hint="eastAsia" w:ascii="仿宋" w:hAnsi="仿宋" w:eastAsia="仿宋"/>
                <w:color w:val="auto"/>
                <w:sz w:val="28"/>
                <w:szCs w:val="28"/>
                <w:highlight w:val="none"/>
                <w:u w:val="single"/>
              </w:rPr>
              <w:t xml:space="preserve">  壹  </w:t>
            </w:r>
            <w:r>
              <w:rPr>
                <w:rFonts w:hint="eastAsia" w:ascii="仿宋" w:hAnsi="仿宋" w:eastAsia="仿宋"/>
                <w:color w:val="auto"/>
                <w:sz w:val="28"/>
                <w:szCs w:val="28"/>
                <w:highlight w:val="none"/>
              </w:rPr>
              <w:t>份</w:t>
            </w:r>
          </w:p>
          <w:p w14:paraId="5EDC4C06">
            <w:pPr>
              <w:pStyle w:val="71"/>
              <w:spacing w:line="400" w:lineRule="exact"/>
              <w:ind w:firstLine="0" w:firstLineChars="0"/>
              <w:rPr>
                <w:rFonts w:ascii="仿宋" w:hAnsi="仿宋" w:eastAsia="仿宋"/>
                <w:color w:val="auto"/>
                <w:sz w:val="28"/>
                <w:szCs w:val="28"/>
                <w:highlight w:val="none"/>
              </w:rPr>
            </w:pPr>
            <w:r>
              <w:rPr>
                <w:rFonts w:hint="eastAsia" w:ascii="仿宋" w:hAnsi="仿宋" w:eastAsia="仿宋"/>
                <w:color w:val="auto"/>
                <w:sz w:val="28"/>
                <w:szCs w:val="28"/>
                <w:highlight w:val="none"/>
              </w:rPr>
              <w:t>☑商务标部分：  正本</w:t>
            </w:r>
            <w:r>
              <w:rPr>
                <w:rFonts w:hint="eastAsia" w:ascii="仿宋" w:hAnsi="仿宋" w:eastAsia="仿宋"/>
                <w:color w:val="auto"/>
                <w:sz w:val="28"/>
                <w:szCs w:val="28"/>
                <w:highlight w:val="none"/>
                <w:u w:val="single"/>
              </w:rPr>
              <w:t xml:space="preserve">  壹  </w:t>
            </w:r>
            <w:r>
              <w:rPr>
                <w:rFonts w:hint="eastAsia" w:ascii="仿宋" w:hAnsi="仿宋" w:eastAsia="仿宋"/>
                <w:color w:val="auto"/>
                <w:sz w:val="28"/>
                <w:szCs w:val="28"/>
                <w:highlight w:val="none"/>
              </w:rPr>
              <w:t>份；副本</w:t>
            </w:r>
            <w:r>
              <w:rPr>
                <w:rFonts w:hint="eastAsia" w:ascii="仿宋" w:hAnsi="仿宋" w:eastAsia="仿宋"/>
                <w:color w:val="auto"/>
                <w:sz w:val="28"/>
                <w:szCs w:val="28"/>
                <w:highlight w:val="none"/>
                <w:u w:val="single"/>
              </w:rPr>
              <w:t xml:space="preserve">  壹  </w:t>
            </w:r>
            <w:r>
              <w:rPr>
                <w:rFonts w:hint="eastAsia" w:ascii="仿宋" w:hAnsi="仿宋" w:eastAsia="仿宋"/>
                <w:color w:val="auto"/>
                <w:sz w:val="28"/>
                <w:szCs w:val="28"/>
                <w:highlight w:val="none"/>
              </w:rPr>
              <w:t>份</w:t>
            </w:r>
          </w:p>
          <w:p w14:paraId="646625D6">
            <w:pPr>
              <w:pStyle w:val="71"/>
              <w:spacing w:line="400" w:lineRule="exact"/>
              <w:ind w:firstLine="0" w:firstLineChars="0"/>
              <w:rPr>
                <w:rFonts w:ascii="仿宋" w:hAnsi="仿宋" w:eastAsia="仿宋"/>
                <w:color w:val="auto"/>
                <w:sz w:val="28"/>
                <w:szCs w:val="28"/>
                <w:highlight w:val="none"/>
              </w:rPr>
            </w:pPr>
            <w:r>
              <w:rPr>
                <w:rFonts w:hint="eastAsia" w:ascii="仿宋" w:hAnsi="仿宋" w:eastAsia="仿宋"/>
                <w:color w:val="auto"/>
                <w:sz w:val="28"/>
                <w:szCs w:val="28"/>
                <w:highlight w:val="none"/>
              </w:rPr>
              <w:t>☑资信标部分：  正本</w:t>
            </w:r>
            <w:r>
              <w:rPr>
                <w:rFonts w:hint="eastAsia" w:ascii="仿宋" w:hAnsi="仿宋" w:eastAsia="仿宋"/>
                <w:color w:val="auto"/>
                <w:sz w:val="28"/>
                <w:szCs w:val="28"/>
                <w:highlight w:val="none"/>
                <w:u w:val="single"/>
              </w:rPr>
              <w:t xml:space="preserve">  壹  </w:t>
            </w:r>
            <w:r>
              <w:rPr>
                <w:rFonts w:hint="eastAsia" w:ascii="仿宋" w:hAnsi="仿宋" w:eastAsia="仿宋"/>
                <w:color w:val="auto"/>
                <w:sz w:val="28"/>
                <w:szCs w:val="28"/>
                <w:highlight w:val="none"/>
              </w:rPr>
              <w:t>份；副本</w:t>
            </w:r>
            <w:r>
              <w:rPr>
                <w:rFonts w:hint="eastAsia" w:ascii="仿宋" w:hAnsi="仿宋" w:eastAsia="仿宋"/>
                <w:color w:val="auto"/>
                <w:sz w:val="28"/>
                <w:szCs w:val="28"/>
                <w:highlight w:val="none"/>
                <w:u w:val="single"/>
              </w:rPr>
              <w:t xml:space="preserve">  壹  </w:t>
            </w:r>
            <w:r>
              <w:rPr>
                <w:rFonts w:hint="eastAsia" w:ascii="仿宋" w:hAnsi="仿宋" w:eastAsia="仿宋"/>
                <w:color w:val="auto"/>
                <w:sz w:val="28"/>
                <w:szCs w:val="28"/>
                <w:highlight w:val="none"/>
              </w:rPr>
              <w:t>份</w:t>
            </w:r>
          </w:p>
          <w:p w14:paraId="467A7C5C">
            <w:pPr>
              <w:pStyle w:val="71"/>
              <w:spacing w:line="400" w:lineRule="exact"/>
              <w:ind w:firstLine="0" w:firstLineChars="0"/>
              <w:rPr>
                <w:rFonts w:hint="eastAsia" w:ascii="仿宋" w:hAnsi="仿宋" w:eastAsia="仿宋"/>
                <w:color w:val="auto"/>
                <w:sz w:val="28"/>
                <w:szCs w:val="28"/>
                <w:highlight w:val="none"/>
              </w:rPr>
            </w:pPr>
            <w:r>
              <w:rPr>
                <w:rFonts w:hint="eastAsia" w:ascii="仿宋" w:hAnsi="仿宋" w:eastAsia="仿宋"/>
                <w:color w:val="auto"/>
                <w:sz w:val="28"/>
                <w:szCs w:val="28"/>
                <w:highlight w:val="none"/>
              </w:rPr>
              <w:t>☑技术标部分：  正本</w:t>
            </w:r>
            <w:r>
              <w:rPr>
                <w:rFonts w:hint="eastAsia" w:ascii="仿宋" w:hAnsi="仿宋" w:eastAsia="仿宋"/>
                <w:color w:val="auto"/>
                <w:sz w:val="28"/>
                <w:szCs w:val="28"/>
                <w:highlight w:val="none"/>
                <w:u w:val="single"/>
              </w:rPr>
              <w:t xml:space="preserve">  壹  </w:t>
            </w:r>
            <w:r>
              <w:rPr>
                <w:rFonts w:hint="eastAsia" w:ascii="仿宋" w:hAnsi="仿宋" w:eastAsia="仿宋"/>
                <w:color w:val="auto"/>
                <w:sz w:val="28"/>
                <w:szCs w:val="28"/>
                <w:highlight w:val="none"/>
              </w:rPr>
              <w:t>份；副本</w:t>
            </w:r>
            <w:r>
              <w:rPr>
                <w:rFonts w:hint="eastAsia" w:ascii="仿宋" w:hAnsi="仿宋" w:eastAsia="仿宋"/>
                <w:color w:val="auto"/>
                <w:sz w:val="28"/>
                <w:szCs w:val="28"/>
                <w:highlight w:val="none"/>
                <w:u w:val="single"/>
              </w:rPr>
              <w:t xml:space="preserve">  肆  </w:t>
            </w:r>
            <w:r>
              <w:rPr>
                <w:rFonts w:hint="eastAsia" w:ascii="仿宋" w:hAnsi="仿宋" w:eastAsia="仿宋"/>
                <w:color w:val="auto"/>
                <w:sz w:val="28"/>
                <w:szCs w:val="28"/>
                <w:highlight w:val="none"/>
              </w:rPr>
              <w:t>份</w:t>
            </w:r>
          </w:p>
          <w:p w14:paraId="568A459D">
            <w:pPr>
              <w:spacing w:line="400" w:lineRule="exact"/>
              <w:rPr>
                <w:rFonts w:ascii="仿宋" w:hAnsi="仿宋" w:eastAsia="仿宋"/>
                <w:color w:val="auto"/>
                <w:sz w:val="28"/>
                <w:szCs w:val="28"/>
                <w:highlight w:val="none"/>
              </w:rPr>
            </w:pPr>
            <w:r>
              <w:rPr>
                <w:rFonts w:hint="eastAsia" w:ascii="仿宋" w:hAnsi="仿宋" w:eastAsia="仿宋"/>
                <w:color w:val="auto"/>
                <w:sz w:val="28"/>
                <w:szCs w:val="28"/>
                <w:highlight w:val="none"/>
              </w:rPr>
              <w:t>电子文档U盘：壹份（Word/PDF/PPT格式）</w:t>
            </w:r>
          </w:p>
          <w:p w14:paraId="3F7D7016">
            <w:pPr>
              <w:pStyle w:val="71"/>
              <w:spacing w:line="400" w:lineRule="exact"/>
              <w:ind w:firstLine="0" w:firstLineChars="0"/>
              <w:rPr>
                <w:rFonts w:ascii="仿宋" w:hAnsi="仿宋" w:eastAsia="仿宋"/>
                <w:color w:val="auto"/>
                <w:sz w:val="28"/>
                <w:szCs w:val="28"/>
                <w:highlight w:val="none"/>
              </w:rPr>
            </w:pPr>
            <w:r>
              <w:rPr>
                <w:rFonts w:hint="eastAsia" w:ascii="仿宋" w:hAnsi="仿宋" w:eastAsia="仿宋"/>
                <w:color w:val="auto"/>
                <w:sz w:val="28"/>
                <w:szCs w:val="28"/>
                <w:highlight w:val="none"/>
              </w:rPr>
              <w:t>注：如电子文件与纸质文件不符，以纸质文件为准。</w:t>
            </w:r>
          </w:p>
        </w:tc>
      </w:tr>
      <w:tr w14:paraId="6BC8C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AABA0AC">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16</w:t>
            </w:r>
          </w:p>
        </w:tc>
        <w:tc>
          <w:tcPr>
            <w:tcW w:w="198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C25F43C">
            <w:pPr>
              <w:pStyle w:val="71"/>
              <w:spacing w:line="400" w:lineRule="exact"/>
              <w:ind w:firstLine="0"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评标方法及标准</w:t>
            </w:r>
          </w:p>
        </w:tc>
        <w:tc>
          <w:tcPr>
            <w:tcW w:w="66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1DD5FC3">
            <w:pPr>
              <w:pStyle w:val="18"/>
              <w:spacing w:line="400" w:lineRule="exact"/>
              <w:rPr>
                <w:rFonts w:ascii="仿宋" w:hAnsi="仿宋" w:eastAsia="仿宋"/>
                <w:color w:val="auto"/>
                <w:sz w:val="28"/>
                <w:szCs w:val="28"/>
                <w:highlight w:val="none"/>
              </w:rPr>
            </w:pPr>
            <w:r>
              <w:rPr>
                <w:rFonts w:hint="eastAsia" w:ascii="仿宋" w:hAnsi="仿宋" w:eastAsia="仿宋"/>
                <w:color w:val="auto"/>
                <w:sz w:val="28"/>
                <w:szCs w:val="28"/>
                <w:highlight w:val="none"/>
                <w:lang w:eastAsia="zh-CN"/>
              </w:rPr>
              <w:t>☑</w:t>
            </w:r>
            <w:r>
              <w:rPr>
                <w:rFonts w:hint="eastAsia" w:ascii="仿宋" w:hAnsi="仿宋" w:eastAsia="仿宋"/>
                <w:color w:val="auto"/>
                <w:sz w:val="28"/>
                <w:szCs w:val="28"/>
                <w:highlight w:val="none"/>
              </w:rPr>
              <w:t>综合评审法</w:t>
            </w:r>
          </w:p>
          <w:p w14:paraId="71E5E165">
            <w:pPr>
              <w:pStyle w:val="18"/>
              <w:spacing w:line="400" w:lineRule="exact"/>
              <w:rPr>
                <w:rFonts w:ascii="仿宋" w:hAnsi="仿宋" w:eastAsia="仿宋"/>
                <w:color w:val="auto"/>
                <w:sz w:val="28"/>
                <w:szCs w:val="28"/>
                <w:highlight w:val="none"/>
              </w:rPr>
            </w:pPr>
            <w:r>
              <w:rPr>
                <w:rFonts w:hint="eastAsia" w:ascii="仿宋" w:hAnsi="仿宋" w:eastAsia="仿宋"/>
                <w:color w:val="auto"/>
                <w:sz w:val="28"/>
                <w:szCs w:val="28"/>
                <w:highlight w:val="none"/>
              </w:rPr>
              <w:t>□信用商务法</w:t>
            </w:r>
          </w:p>
          <w:p w14:paraId="06829C0B">
            <w:pPr>
              <w:pStyle w:val="71"/>
              <w:spacing w:line="400" w:lineRule="exact"/>
              <w:ind w:left="357" w:hanging="357" w:firstLineChars="0"/>
              <w:rPr>
                <w:rFonts w:ascii="仿宋" w:hAnsi="仿宋" w:eastAsia="仿宋"/>
                <w:color w:val="auto"/>
                <w:sz w:val="28"/>
                <w:szCs w:val="28"/>
                <w:highlight w:val="none"/>
              </w:rPr>
            </w:pPr>
            <w:r>
              <w:rPr>
                <w:rFonts w:hint="eastAsia" w:ascii="仿宋" w:hAnsi="仿宋" w:eastAsia="仿宋"/>
                <w:color w:val="auto"/>
                <w:sz w:val="28"/>
                <w:szCs w:val="28"/>
                <w:highlight w:val="none"/>
              </w:rPr>
              <w:t>□定性评审法</w:t>
            </w:r>
          </w:p>
        </w:tc>
      </w:tr>
      <w:tr w14:paraId="627D7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D88D593">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17</w:t>
            </w:r>
          </w:p>
        </w:tc>
        <w:tc>
          <w:tcPr>
            <w:tcW w:w="198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914700A">
            <w:pPr>
              <w:pStyle w:val="71"/>
              <w:spacing w:line="400" w:lineRule="exact"/>
              <w:ind w:firstLine="0" w:firstLineChars="0"/>
              <w:jc w:val="center"/>
              <w:rPr>
                <w:rFonts w:ascii="仿宋" w:hAnsi="仿宋" w:eastAsia="仿宋"/>
                <w:color w:val="auto"/>
                <w:sz w:val="28"/>
                <w:szCs w:val="28"/>
                <w:highlight w:val="none"/>
              </w:rPr>
            </w:pPr>
            <w:r>
              <w:rPr>
                <w:rFonts w:hint="eastAsia" w:ascii="仿宋" w:hAnsi="仿宋" w:eastAsia="仿宋" w:cs="宋体"/>
                <w:color w:val="auto"/>
                <w:kern w:val="0"/>
                <w:sz w:val="28"/>
                <w:szCs w:val="28"/>
                <w:highlight w:val="none"/>
              </w:rPr>
              <w:t>评标委员会的人员组成</w:t>
            </w:r>
          </w:p>
        </w:tc>
        <w:tc>
          <w:tcPr>
            <w:tcW w:w="66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27A0646">
            <w:pPr>
              <w:pStyle w:val="18"/>
              <w:spacing w:line="400" w:lineRule="exact"/>
              <w:rPr>
                <w:rFonts w:ascii="仿宋" w:hAnsi="仿宋" w:eastAsia="仿宋"/>
                <w:color w:val="auto"/>
                <w:sz w:val="28"/>
                <w:szCs w:val="28"/>
                <w:highlight w:val="none"/>
              </w:rPr>
            </w:pPr>
            <w:r>
              <w:rPr>
                <w:rFonts w:hint="eastAsia" w:ascii="仿宋" w:hAnsi="仿宋" w:eastAsia="仿宋" w:cs="宋体"/>
                <w:color w:val="auto"/>
                <w:sz w:val="28"/>
                <w:szCs w:val="28"/>
                <w:highlight w:val="none"/>
              </w:rPr>
              <w:t>由招标人依法组建</w:t>
            </w:r>
          </w:p>
        </w:tc>
      </w:tr>
      <w:tr w14:paraId="76904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0DF6D09">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18</w:t>
            </w:r>
          </w:p>
        </w:tc>
        <w:tc>
          <w:tcPr>
            <w:tcW w:w="198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664647D">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中标人的确定方式</w:t>
            </w:r>
          </w:p>
        </w:tc>
        <w:tc>
          <w:tcPr>
            <w:tcW w:w="66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990A8B5">
            <w:pPr>
              <w:pStyle w:val="18"/>
              <w:spacing w:line="400" w:lineRule="exact"/>
              <w:rPr>
                <w:rFonts w:ascii="仿宋" w:hAnsi="仿宋" w:eastAsia="仿宋"/>
                <w:color w:val="auto"/>
                <w:sz w:val="28"/>
                <w:szCs w:val="28"/>
                <w:highlight w:val="none"/>
              </w:rPr>
            </w:pPr>
            <w:r>
              <w:rPr>
                <w:rFonts w:hint="eastAsia" w:ascii="仿宋" w:hAnsi="仿宋" w:eastAsia="仿宋"/>
                <w:color w:val="auto"/>
                <w:sz w:val="28"/>
                <w:szCs w:val="28"/>
                <w:highlight w:val="none"/>
                <w:lang w:eastAsia="zh-CN"/>
              </w:rPr>
              <w:t>□</w:t>
            </w:r>
            <w:r>
              <w:rPr>
                <w:rFonts w:hint="eastAsia" w:ascii="仿宋" w:hAnsi="仿宋" w:eastAsia="仿宋"/>
                <w:color w:val="auto"/>
                <w:sz w:val="28"/>
                <w:szCs w:val="28"/>
                <w:highlight w:val="none"/>
              </w:rPr>
              <w:t>评定分离：评标委员会评审后推荐无排序的</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名投标人给招标人，由招标人的招标领导小组通过民主决策确定一名中标人。</w:t>
            </w:r>
          </w:p>
          <w:p w14:paraId="74360D84">
            <w:pPr>
              <w:pStyle w:val="18"/>
              <w:spacing w:line="400" w:lineRule="exact"/>
              <w:rPr>
                <w:rFonts w:ascii="仿宋" w:hAnsi="仿宋" w:eastAsia="仿宋"/>
                <w:color w:val="auto"/>
                <w:sz w:val="28"/>
                <w:szCs w:val="28"/>
                <w:highlight w:val="none"/>
              </w:rPr>
            </w:pPr>
            <w:r>
              <w:rPr>
                <w:rFonts w:hint="eastAsia" w:ascii="仿宋" w:hAnsi="仿宋" w:eastAsia="仿宋"/>
                <w:color w:val="auto"/>
                <w:sz w:val="28"/>
                <w:szCs w:val="28"/>
                <w:highlight w:val="none"/>
                <w:lang w:eastAsia="zh-CN"/>
              </w:rPr>
              <w:t>☑</w:t>
            </w:r>
            <w:r>
              <w:rPr>
                <w:rFonts w:ascii="仿宋" w:hAnsi="仿宋" w:eastAsia="仿宋"/>
                <w:color w:val="auto"/>
                <w:sz w:val="28"/>
                <w:szCs w:val="28"/>
                <w:highlight w:val="none"/>
              </w:rPr>
              <w:t>招标</w:t>
            </w:r>
            <w:r>
              <w:rPr>
                <w:rFonts w:hint="eastAsia" w:ascii="仿宋" w:hAnsi="仿宋" w:eastAsia="仿宋"/>
                <w:color w:val="auto"/>
                <w:sz w:val="28"/>
                <w:szCs w:val="28"/>
                <w:highlight w:val="none"/>
              </w:rPr>
              <w:t>人</w:t>
            </w:r>
            <w:r>
              <w:rPr>
                <w:rFonts w:ascii="仿宋" w:hAnsi="仿宋" w:eastAsia="仿宋"/>
                <w:color w:val="auto"/>
                <w:sz w:val="28"/>
                <w:szCs w:val="28"/>
                <w:highlight w:val="none"/>
              </w:rPr>
              <w:t>授权开标小组或评标委员会直接确定中标人</w:t>
            </w:r>
          </w:p>
        </w:tc>
      </w:tr>
      <w:tr w14:paraId="798E2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0" w:hRule="atLeast"/>
        </w:trPr>
        <w:tc>
          <w:tcPr>
            <w:tcW w:w="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D3EF538">
            <w:pPr>
              <w:pStyle w:val="71"/>
              <w:spacing w:line="400" w:lineRule="exact"/>
              <w:ind w:left="357" w:hanging="357"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19</w:t>
            </w:r>
          </w:p>
        </w:tc>
        <w:tc>
          <w:tcPr>
            <w:tcW w:w="198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433A31C">
            <w:pPr>
              <w:pStyle w:val="71"/>
              <w:spacing w:line="400" w:lineRule="exact"/>
              <w:ind w:firstLine="0" w:firstLineChars="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履约担保</w:t>
            </w:r>
          </w:p>
        </w:tc>
        <w:tc>
          <w:tcPr>
            <w:tcW w:w="66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136FFBA">
            <w:pPr>
              <w:autoSpaceDE w:val="0"/>
              <w:autoSpaceDN w:val="0"/>
              <w:spacing w:line="560" w:lineRule="exact"/>
              <w:rPr>
                <w:rFonts w:ascii="仿宋" w:hAnsi="仿宋" w:eastAsia="仿宋"/>
                <w:color w:val="auto"/>
                <w:kern w:val="0"/>
                <w:sz w:val="28"/>
                <w:szCs w:val="28"/>
                <w:highlight w:val="none"/>
              </w:rPr>
            </w:pPr>
            <w:r>
              <w:rPr>
                <w:rFonts w:ascii="仿宋" w:hAnsi="仿宋" w:eastAsia="仿宋"/>
                <w:color w:val="auto"/>
                <w:kern w:val="0"/>
                <w:sz w:val="28"/>
                <w:szCs w:val="28"/>
                <w:highlight w:val="none"/>
              </w:rPr>
              <w:t>履约担保的形式：</w:t>
            </w:r>
            <w:r>
              <w:rPr>
                <w:rFonts w:hint="eastAsia" w:ascii="仿宋" w:hAnsi="仿宋" w:eastAsia="仿宋"/>
                <w:color w:val="auto"/>
                <w:kern w:val="0"/>
                <w:sz w:val="28"/>
                <w:szCs w:val="28"/>
                <w:highlight w:val="none"/>
              </w:rPr>
              <w:t>☑</w:t>
            </w:r>
            <w:r>
              <w:rPr>
                <w:rFonts w:ascii="仿宋" w:hAnsi="仿宋" w:eastAsia="仿宋"/>
                <w:color w:val="auto"/>
                <w:kern w:val="0"/>
                <w:sz w:val="28"/>
                <w:szCs w:val="28"/>
                <w:highlight w:val="none"/>
              </w:rPr>
              <w:t xml:space="preserve">现金、转账  </w:t>
            </w:r>
          </w:p>
          <w:p w14:paraId="14D2D8AC">
            <w:pPr>
              <w:pStyle w:val="18"/>
              <w:spacing w:line="400" w:lineRule="exact"/>
              <w:rPr>
                <w:rFonts w:hint="default" w:ascii="仿宋" w:hAnsi="仿宋" w:eastAsia="仿宋"/>
                <w:color w:val="auto"/>
                <w:sz w:val="28"/>
                <w:szCs w:val="28"/>
                <w:highlight w:val="none"/>
                <w:lang w:val="en-US" w:eastAsia="zh-CN"/>
              </w:rPr>
            </w:pPr>
            <w:r>
              <w:rPr>
                <w:rFonts w:ascii="仿宋" w:hAnsi="仿宋" w:eastAsia="仿宋"/>
                <w:color w:val="auto"/>
                <w:sz w:val="28"/>
                <w:szCs w:val="28"/>
                <w:highlight w:val="none"/>
              </w:rPr>
              <w:t>履约担保的金额：合同签署后进场前</w:t>
            </w:r>
            <w:r>
              <w:rPr>
                <w:rFonts w:hint="eastAsia" w:ascii="仿宋" w:hAnsi="仿宋" w:eastAsia="仿宋"/>
                <w:color w:val="auto"/>
                <w:sz w:val="28"/>
                <w:szCs w:val="28"/>
                <w:highlight w:val="none"/>
                <w:lang w:val="en-US" w:eastAsia="zh-CN"/>
              </w:rPr>
              <w:t>应先</w:t>
            </w:r>
            <w:r>
              <w:rPr>
                <w:rFonts w:ascii="仿宋" w:hAnsi="仿宋" w:eastAsia="仿宋"/>
                <w:color w:val="auto"/>
                <w:sz w:val="28"/>
                <w:szCs w:val="28"/>
                <w:highlight w:val="none"/>
              </w:rPr>
              <w:t>缴纳</w:t>
            </w:r>
            <w:r>
              <w:rPr>
                <w:rFonts w:hint="eastAsia" w:ascii="仿宋" w:hAnsi="仿宋" w:eastAsia="仿宋"/>
                <w:color w:val="auto"/>
                <w:sz w:val="28"/>
                <w:szCs w:val="28"/>
                <w:highlight w:val="none"/>
              </w:rPr>
              <w:t>合同</w:t>
            </w:r>
            <w:r>
              <w:rPr>
                <w:rFonts w:ascii="仿宋" w:hAnsi="仿宋" w:eastAsia="仿宋"/>
                <w:color w:val="auto"/>
                <w:sz w:val="28"/>
                <w:szCs w:val="28"/>
                <w:highlight w:val="none"/>
              </w:rPr>
              <w:t>履约保证金</w:t>
            </w:r>
            <w:r>
              <w:rPr>
                <w:rFonts w:hint="eastAsia" w:ascii="仿宋" w:hAnsi="仿宋" w:eastAsia="仿宋"/>
                <w:color w:val="auto"/>
                <w:sz w:val="28"/>
                <w:szCs w:val="28"/>
                <w:highlight w:val="none"/>
                <w:lang w:val="en-US" w:eastAsia="zh-CN"/>
              </w:rPr>
              <w:t>50000.00（大写伍万元整</w:t>
            </w:r>
            <w:r>
              <w:rPr>
                <w:rFonts w:hint="eastAsia" w:ascii="仿宋" w:hAnsi="仿宋" w:eastAsia="仿宋"/>
                <w:color w:val="auto"/>
                <w:sz w:val="28"/>
                <w:szCs w:val="28"/>
                <w:highlight w:val="none"/>
                <w:lang w:eastAsia="zh-CN"/>
              </w:rPr>
              <w:t>）</w:t>
            </w:r>
            <w:r>
              <w:rPr>
                <w:rFonts w:ascii="仿宋" w:hAnsi="仿宋" w:eastAsia="仿宋"/>
                <w:color w:val="auto"/>
                <w:sz w:val="28"/>
                <w:szCs w:val="28"/>
                <w:highlight w:val="none"/>
              </w:rPr>
              <w:t>，在合同履约完毕且无任何纠纷后无息返还。</w:t>
            </w:r>
          </w:p>
        </w:tc>
      </w:tr>
    </w:tbl>
    <w:p w14:paraId="4C2D71BA">
      <w:pPr>
        <w:rPr>
          <w:rFonts w:hint="eastAsia"/>
          <w:color w:val="auto"/>
          <w:sz w:val="28"/>
          <w:szCs w:val="28"/>
          <w:highlight w:val="none"/>
        </w:rPr>
      </w:pPr>
      <w:bookmarkStart w:id="23" w:name="_Toc387313497"/>
      <w:bookmarkStart w:id="24" w:name="_Toc387313377"/>
      <w:bookmarkStart w:id="25" w:name="_Toc405384929"/>
    </w:p>
    <w:p w14:paraId="31072CA9">
      <w:pPr>
        <w:pStyle w:val="71"/>
        <w:spacing w:line="360" w:lineRule="auto"/>
        <w:ind w:left="0" w:leftChars="0" w:firstLine="0" w:firstLineChars="0"/>
        <w:rPr>
          <w:rFonts w:ascii="宋体" w:hAnsi="宋体"/>
          <w:b/>
          <w:bCs/>
          <w:color w:val="auto"/>
          <w:kern w:val="0"/>
          <w:sz w:val="28"/>
          <w:szCs w:val="28"/>
          <w:highlight w:val="none"/>
        </w:rPr>
      </w:pPr>
      <w:r>
        <w:rPr>
          <w:rFonts w:ascii="宋体" w:hAnsi="宋体"/>
          <w:b/>
          <w:bCs/>
          <w:color w:val="auto"/>
          <w:kern w:val="0"/>
          <w:sz w:val="28"/>
          <w:szCs w:val="28"/>
          <w:highlight w:val="none"/>
        </w:rPr>
        <w:br w:type="page"/>
      </w:r>
    </w:p>
    <w:p w14:paraId="0E7178A2">
      <w:pPr>
        <w:pStyle w:val="4"/>
        <w:spacing w:before="0" w:after="0" w:line="560" w:lineRule="exact"/>
        <w:jc w:val="center"/>
        <w:rPr>
          <w:rFonts w:ascii="黑体" w:hAnsi="黑体" w:eastAsia="黑体"/>
          <w:b w:val="0"/>
          <w:color w:val="auto"/>
          <w:sz w:val="36"/>
          <w:szCs w:val="36"/>
          <w:highlight w:val="none"/>
        </w:rPr>
      </w:pPr>
      <w:bookmarkStart w:id="26" w:name="_Toc23313"/>
      <w:bookmarkStart w:id="27" w:name="_Toc30717"/>
      <w:r>
        <w:rPr>
          <w:rFonts w:hint="eastAsia" w:ascii="黑体" w:hAnsi="黑体" w:eastAsia="黑体"/>
          <w:b w:val="0"/>
          <w:color w:val="auto"/>
          <w:sz w:val="36"/>
          <w:szCs w:val="36"/>
          <w:highlight w:val="none"/>
        </w:rPr>
        <w:t>（二）投标须知前附表2</w:t>
      </w:r>
      <w:bookmarkEnd w:id="26"/>
      <w:bookmarkEnd w:id="27"/>
    </w:p>
    <w:p w14:paraId="6D20FF80">
      <w:pPr>
        <w:rPr>
          <w:color w:val="auto"/>
          <w:highlight w:val="none"/>
        </w:rPr>
      </w:pPr>
    </w:p>
    <w:tbl>
      <w:tblPr>
        <w:tblStyle w:val="35"/>
        <w:tblW w:w="48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878"/>
        <w:gridCol w:w="5718"/>
      </w:tblGrid>
      <w:tr w14:paraId="7A80F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2" w:type="pct"/>
            <w:noWrap w:val="0"/>
            <w:vAlign w:val="center"/>
          </w:tcPr>
          <w:p w14:paraId="3977042D">
            <w:pPr>
              <w:adjustRightInd w:val="0"/>
              <w:snapToGrid w:val="0"/>
              <w:spacing w:line="400" w:lineRule="exact"/>
              <w:jc w:val="center"/>
              <w:rPr>
                <w:rFonts w:ascii="仿宋" w:hAnsi="仿宋" w:eastAsia="仿宋" w:cs="Courier New"/>
                <w:b/>
                <w:color w:val="auto"/>
                <w:kern w:val="0"/>
                <w:sz w:val="28"/>
                <w:szCs w:val="28"/>
                <w:highlight w:val="none"/>
              </w:rPr>
            </w:pPr>
            <w:r>
              <w:rPr>
                <w:rFonts w:hint="eastAsia" w:ascii="仿宋" w:hAnsi="仿宋" w:eastAsia="仿宋" w:cs="Courier New"/>
                <w:b/>
                <w:color w:val="auto"/>
                <w:kern w:val="0"/>
                <w:sz w:val="28"/>
                <w:szCs w:val="28"/>
                <w:highlight w:val="none"/>
              </w:rPr>
              <w:t>序号</w:t>
            </w:r>
          </w:p>
        </w:tc>
        <w:tc>
          <w:tcPr>
            <w:tcW w:w="1102" w:type="pct"/>
            <w:noWrap w:val="0"/>
            <w:vAlign w:val="center"/>
          </w:tcPr>
          <w:p w14:paraId="6A94CEEA">
            <w:pPr>
              <w:adjustRightInd w:val="0"/>
              <w:snapToGrid w:val="0"/>
              <w:spacing w:line="400" w:lineRule="exact"/>
              <w:jc w:val="center"/>
              <w:rPr>
                <w:rFonts w:ascii="仿宋" w:hAnsi="仿宋" w:eastAsia="仿宋" w:cs="Courier New"/>
                <w:b/>
                <w:color w:val="auto"/>
                <w:kern w:val="0"/>
                <w:sz w:val="28"/>
                <w:szCs w:val="28"/>
                <w:highlight w:val="none"/>
              </w:rPr>
            </w:pPr>
            <w:r>
              <w:rPr>
                <w:rFonts w:hint="eastAsia" w:ascii="仿宋" w:hAnsi="仿宋" w:eastAsia="仿宋" w:cs="Courier New"/>
                <w:b/>
                <w:color w:val="auto"/>
                <w:kern w:val="0"/>
                <w:sz w:val="28"/>
                <w:szCs w:val="28"/>
                <w:highlight w:val="none"/>
              </w:rPr>
              <w:t>内容</w:t>
            </w:r>
          </w:p>
        </w:tc>
        <w:tc>
          <w:tcPr>
            <w:tcW w:w="3355" w:type="pct"/>
            <w:noWrap w:val="0"/>
            <w:vAlign w:val="center"/>
          </w:tcPr>
          <w:p w14:paraId="6BCB9001">
            <w:pPr>
              <w:adjustRightInd w:val="0"/>
              <w:snapToGrid w:val="0"/>
              <w:spacing w:line="400" w:lineRule="exact"/>
              <w:jc w:val="center"/>
              <w:rPr>
                <w:rFonts w:ascii="仿宋" w:hAnsi="仿宋" w:eastAsia="仿宋" w:cs="Courier New"/>
                <w:b/>
                <w:color w:val="auto"/>
                <w:kern w:val="0"/>
                <w:sz w:val="28"/>
                <w:szCs w:val="28"/>
                <w:highlight w:val="none"/>
              </w:rPr>
            </w:pPr>
            <w:r>
              <w:rPr>
                <w:rFonts w:hint="eastAsia" w:ascii="仿宋" w:hAnsi="仿宋" w:eastAsia="仿宋" w:cs="Courier New"/>
                <w:b/>
                <w:color w:val="auto"/>
                <w:kern w:val="0"/>
                <w:sz w:val="28"/>
                <w:szCs w:val="28"/>
                <w:highlight w:val="none"/>
              </w:rPr>
              <w:t>规定</w:t>
            </w:r>
          </w:p>
        </w:tc>
      </w:tr>
      <w:tr w14:paraId="737F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jc w:val="center"/>
        </w:trPr>
        <w:tc>
          <w:tcPr>
            <w:tcW w:w="542" w:type="pct"/>
            <w:noWrap w:val="0"/>
            <w:vAlign w:val="center"/>
          </w:tcPr>
          <w:p w14:paraId="10DEB321">
            <w:pPr>
              <w:adjustRightInd w:val="0"/>
              <w:snapToGrid w:val="0"/>
              <w:spacing w:line="400" w:lineRule="exact"/>
              <w:jc w:val="center"/>
              <w:rPr>
                <w:rFonts w:ascii="仿宋" w:hAnsi="仿宋" w:eastAsia="仿宋" w:cs="Courier New"/>
                <w:color w:val="auto"/>
                <w:kern w:val="0"/>
                <w:sz w:val="28"/>
                <w:szCs w:val="28"/>
                <w:highlight w:val="none"/>
              </w:rPr>
            </w:pPr>
            <w:r>
              <w:rPr>
                <w:rFonts w:hint="eastAsia" w:ascii="仿宋" w:hAnsi="仿宋" w:eastAsia="仿宋" w:cs="Courier New"/>
                <w:color w:val="auto"/>
                <w:kern w:val="0"/>
                <w:sz w:val="28"/>
                <w:szCs w:val="28"/>
                <w:highlight w:val="none"/>
              </w:rPr>
              <w:t>1</w:t>
            </w:r>
          </w:p>
        </w:tc>
        <w:tc>
          <w:tcPr>
            <w:tcW w:w="1102" w:type="pct"/>
            <w:noWrap w:val="0"/>
            <w:vAlign w:val="center"/>
          </w:tcPr>
          <w:p w14:paraId="2A3B0E34">
            <w:pPr>
              <w:adjustRightInd w:val="0"/>
              <w:snapToGrid w:val="0"/>
              <w:spacing w:line="400" w:lineRule="exact"/>
              <w:jc w:val="center"/>
              <w:rPr>
                <w:rFonts w:ascii="仿宋" w:hAnsi="仿宋" w:eastAsia="仿宋" w:cs="Courier New"/>
                <w:color w:val="auto"/>
                <w:kern w:val="0"/>
                <w:sz w:val="28"/>
                <w:szCs w:val="28"/>
                <w:highlight w:val="none"/>
              </w:rPr>
            </w:pPr>
            <w:r>
              <w:rPr>
                <w:rFonts w:hint="eastAsia" w:ascii="仿宋" w:hAnsi="仿宋" w:eastAsia="仿宋"/>
                <w:color w:val="auto"/>
                <w:sz w:val="28"/>
                <w:szCs w:val="28"/>
                <w:highlight w:val="none"/>
              </w:rPr>
              <w:t>招标文件的获取</w:t>
            </w:r>
          </w:p>
        </w:tc>
        <w:tc>
          <w:tcPr>
            <w:tcW w:w="3355" w:type="pct"/>
            <w:noWrap w:val="0"/>
            <w:vAlign w:val="center"/>
          </w:tcPr>
          <w:p w14:paraId="41D4808E">
            <w:pPr>
              <w:adjustRightInd/>
              <w:snapToGrid w:val="0"/>
              <w:spacing w:line="276" w:lineRule="auto"/>
              <w:rPr>
                <w:rFonts w:ascii="仿宋" w:hAnsi="仿宋" w:eastAsia="仿宋" w:cs="Courier New"/>
                <w:color w:val="auto"/>
                <w:kern w:val="0"/>
                <w:sz w:val="28"/>
                <w:szCs w:val="28"/>
                <w:highlight w:val="none"/>
              </w:rPr>
            </w:pPr>
            <w:r>
              <w:rPr>
                <w:rFonts w:hint="eastAsia" w:ascii="仿宋" w:hAnsi="仿宋" w:eastAsia="仿宋" w:cs="Courier New"/>
                <w:color w:val="auto"/>
                <w:kern w:val="0"/>
                <w:sz w:val="28"/>
                <w:szCs w:val="28"/>
                <w:highlight w:val="none"/>
              </w:rPr>
              <w:t>时间：</w:t>
            </w:r>
            <w:r>
              <w:rPr>
                <w:rFonts w:hint="eastAsia" w:ascii="仿宋" w:hAnsi="仿宋" w:eastAsia="仿宋" w:cs="Times New Roman"/>
                <w:color w:val="auto"/>
                <w:sz w:val="28"/>
                <w:szCs w:val="28"/>
                <w:highlight w:val="none"/>
                <w:u w:val="single"/>
                <w:lang w:val="en-US" w:eastAsia="zh-CN"/>
              </w:rPr>
              <w:t>2026</w:t>
            </w:r>
            <w:r>
              <w:rPr>
                <w:rFonts w:hint="eastAsia" w:ascii="仿宋" w:hAnsi="仿宋" w:eastAsia="仿宋" w:cs="Times New Roman"/>
                <w:color w:val="auto"/>
                <w:sz w:val="28"/>
                <w:szCs w:val="28"/>
                <w:highlight w:val="none"/>
                <w:u w:val="single"/>
              </w:rPr>
              <w:t>年</w:t>
            </w:r>
            <w:r>
              <w:rPr>
                <w:rFonts w:hint="eastAsia" w:ascii="仿宋" w:hAnsi="仿宋" w:eastAsia="仿宋" w:cs="Times New Roman"/>
                <w:color w:val="auto"/>
                <w:sz w:val="28"/>
                <w:szCs w:val="28"/>
                <w:highlight w:val="none"/>
                <w:u w:val="single"/>
                <w:lang w:val="en-US" w:eastAsia="zh-CN"/>
              </w:rPr>
              <w:t>6</w:t>
            </w:r>
            <w:r>
              <w:rPr>
                <w:rFonts w:hint="eastAsia" w:ascii="仿宋" w:hAnsi="仿宋" w:eastAsia="仿宋" w:cs="Times New Roman"/>
                <w:color w:val="auto"/>
                <w:sz w:val="28"/>
                <w:szCs w:val="28"/>
                <w:highlight w:val="none"/>
                <w:u w:val="single"/>
              </w:rPr>
              <w:t>月</w:t>
            </w:r>
            <w:r>
              <w:rPr>
                <w:rFonts w:hint="eastAsia" w:ascii="仿宋" w:hAnsi="仿宋" w:eastAsia="仿宋" w:cs="Times New Roman"/>
                <w:color w:val="auto"/>
                <w:sz w:val="28"/>
                <w:szCs w:val="28"/>
                <w:highlight w:val="none"/>
                <w:u w:val="single"/>
                <w:lang w:val="en-US" w:eastAsia="zh-CN"/>
              </w:rPr>
              <w:t>9</w:t>
            </w:r>
            <w:r>
              <w:rPr>
                <w:rFonts w:hint="eastAsia" w:ascii="仿宋" w:hAnsi="仿宋" w:eastAsia="仿宋" w:cs="Times New Roman"/>
                <w:color w:val="auto"/>
                <w:sz w:val="28"/>
                <w:szCs w:val="28"/>
                <w:highlight w:val="none"/>
                <w:u w:val="single"/>
              </w:rPr>
              <w:t>日</w:t>
            </w:r>
          </w:p>
          <w:p w14:paraId="5794E75F">
            <w:pPr>
              <w:adjustRightInd w:val="0"/>
              <w:snapToGrid w:val="0"/>
              <w:spacing w:line="400" w:lineRule="exact"/>
              <w:rPr>
                <w:rFonts w:ascii="仿宋" w:hAnsi="仿宋" w:eastAsia="仿宋" w:cs="Courier New"/>
                <w:color w:val="auto"/>
                <w:kern w:val="0"/>
                <w:sz w:val="28"/>
                <w:szCs w:val="28"/>
                <w:highlight w:val="none"/>
                <w:u w:val="single"/>
              </w:rPr>
            </w:pPr>
            <w:r>
              <w:rPr>
                <w:rFonts w:hint="eastAsia" w:ascii="仿宋" w:hAnsi="仿宋" w:eastAsia="仿宋" w:cs="Courier New"/>
                <w:color w:val="auto"/>
                <w:kern w:val="0"/>
                <w:sz w:val="28"/>
                <w:szCs w:val="28"/>
                <w:highlight w:val="none"/>
              </w:rPr>
              <w:t>地点：</w:t>
            </w:r>
            <w:bookmarkStart w:id="99" w:name="_GoBack"/>
            <w:r>
              <w:rPr>
                <w:rFonts w:hint="eastAsia" w:ascii="仿宋" w:hAnsi="仿宋" w:eastAsia="仿宋"/>
                <w:color w:val="auto"/>
                <w:sz w:val="28"/>
                <w:szCs w:val="28"/>
                <w:highlight w:val="none"/>
                <w:u w:val="single"/>
                <w:lang w:val="en-US" w:eastAsia="zh-CN"/>
              </w:rPr>
              <w:t>重庆市巴南区东城大道8号</w:t>
            </w:r>
            <w:r>
              <w:rPr>
                <w:rFonts w:hint="eastAsia" w:ascii="仿宋" w:hAnsi="仿宋" w:eastAsia="仿宋" w:cs="仿宋"/>
                <w:color w:val="auto"/>
                <w:sz w:val="28"/>
                <w:szCs w:val="28"/>
                <w:highlight w:val="none"/>
                <w:u w:val="single"/>
                <w:lang w:val="en-US" w:eastAsia="zh-CN"/>
              </w:rPr>
              <w:t>招商行政中心2楼</w:t>
            </w:r>
            <w:r>
              <w:rPr>
                <w:rFonts w:hint="eastAsia" w:ascii="仿宋" w:hAnsi="仿宋" w:eastAsia="仿宋" w:cs="Courier New"/>
                <w:color w:val="auto"/>
                <w:kern w:val="0"/>
                <w:sz w:val="28"/>
                <w:szCs w:val="28"/>
                <w:highlight w:val="none"/>
                <w:u w:val="single"/>
                <w:lang w:val="en-US" w:eastAsia="zh-CN"/>
              </w:rPr>
              <w:t>或登录深圳阳光采购平台免费下载</w:t>
            </w:r>
            <w:bookmarkEnd w:id="99"/>
          </w:p>
        </w:tc>
      </w:tr>
      <w:tr w14:paraId="5E895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542" w:type="pct"/>
            <w:noWrap w:val="0"/>
            <w:vAlign w:val="center"/>
          </w:tcPr>
          <w:p w14:paraId="5CBB9C55">
            <w:pPr>
              <w:adjustRightInd w:val="0"/>
              <w:snapToGrid w:val="0"/>
              <w:spacing w:line="400" w:lineRule="exact"/>
              <w:jc w:val="center"/>
              <w:rPr>
                <w:rFonts w:ascii="仿宋" w:hAnsi="仿宋" w:eastAsia="仿宋" w:cs="Courier New"/>
                <w:color w:val="auto"/>
                <w:kern w:val="0"/>
                <w:sz w:val="28"/>
                <w:szCs w:val="28"/>
                <w:highlight w:val="none"/>
              </w:rPr>
            </w:pPr>
            <w:r>
              <w:rPr>
                <w:rFonts w:hint="eastAsia" w:ascii="仿宋" w:hAnsi="仿宋" w:eastAsia="仿宋" w:cs="Courier New"/>
                <w:color w:val="auto"/>
                <w:kern w:val="0"/>
                <w:sz w:val="28"/>
                <w:szCs w:val="28"/>
                <w:highlight w:val="none"/>
              </w:rPr>
              <w:t>2</w:t>
            </w:r>
          </w:p>
        </w:tc>
        <w:tc>
          <w:tcPr>
            <w:tcW w:w="1102" w:type="pct"/>
            <w:noWrap w:val="0"/>
            <w:vAlign w:val="center"/>
          </w:tcPr>
          <w:p w14:paraId="546C9E53">
            <w:pPr>
              <w:adjustRightInd w:val="0"/>
              <w:snapToGrid w:val="0"/>
              <w:spacing w:line="400" w:lineRule="exact"/>
              <w:jc w:val="center"/>
              <w:rPr>
                <w:rFonts w:ascii="仿宋" w:hAnsi="仿宋" w:eastAsia="仿宋" w:cs="Courier New"/>
                <w:color w:val="auto"/>
                <w:kern w:val="0"/>
                <w:sz w:val="28"/>
                <w:szCs w:val="28"/>
                <w:highlight w:val="none"/>
              </w:rPr>
            </w:pPr>
            <w:r>
              <w:rPr>
                <w:rFonts w:hint="eastAsia" w:ascii="仿宋" w:hAnsi="仿宋" w:eastAsia="仿宋" w:cs="Courier New"/>
                <w:color w:val="auto"/>
                <w:kern w:val="0"/>
                <w:sz w:val="28"/>
                <w:szCs w:val="28"/>
                <w:highlight w:val="none"/>
              </w:rPr>
              <w:t>投标文件递交</w:t>
            </w:r>
          </w:p>
        </w:tc>
        <w:tc>
          <w:tcPr>
            <w:tcW w:w="3355" w:type="pct"/>
            <w:noWrap w:val="0"/>
            <w:vAlign w:val="center"/>
          </w:tcPr>
          <w:p w14:paraId="36C902F6">
            <w:pPr>
              <w:adjustRightInd w:val="0"/>
              <w:snapToGrid w:val="0"/>
              <w:spacing w:line="400" w:lineRule="exact"/>
              <w:rPr>
                <w:rFonts w:ascii="仿宋" w:hAnsi="仿宋" w:eastAsia="仿宋" w:cs="Courier New"/>
                <w:color w:val="auto"/>
                <w:kern w:val="0"/>
                <w:sz w:val="28"/>
                <w:szCs w:val="28"/>
                <w:highlight w:val="none"/>
              </w:rPr>
            </w:pPr>
            <w:r>
              <w:rPr>
                <w:rFonts w:hint="eastAsia" w:ascii="仿宋" w:hAnsi="仿宋" w:eastAsia="仿宋" w:cs="Courier New"/>
                <w:color w:val="auto"/>
                <w:kern w:val="0"/>
                <w:sz w:val="28"/>
                <w:szCs w:val="28"/>
                <w:highlight w:val="none"/>
              </w:rPr>
              <w:t>截止时间：</w:t>
            </w:r>
            <w:r>
              <w:rPr>
                <w:rFonts w:hint="eastAsia" w:ascii="仿宋" w:hAnsi="仿宋" w:eastAsia="仿宋" w:cs="Courier New"/>
                <w:color w:val="auto"/>
                <w:kern w:val="0"/>
                <w:sz w:val="28"/>
                <w:szCs w:val="28"/>
                <w:highlight w:val="none"/>
                <w:u w:val="single"/>
                <w:lang w:val="en-US" w:eastAsia="zh-CN"/>
              </w:rPr>
              <w:t>2026</w:t>
            </w:r>
            <w:r>
              <w:rPr>
                <w:rFonts w:hint="eastAsia" w:ascii="仿宋" w:hAnsi="仿宋" w:eastAsia="仿宋" w:cs="Courier New"/>
                <w:color w:val="auto"/>
                <w:kern w:val="0"/>
                <w:sz w:val="28"/>
                <w:szCs w:val="28"/>
                <w:highlight w:val="none"/>
                <w:u w:val="single"/>
              </w:rPr>
              <w:t>年</w:t>
            </w:r>
            <w:r>
              <w:rPr>
                <w:rFonts w:hint="eastAsia" w:ascii="仿宋" w:hAnsi="仿宋" w:eastAsia="仿宋" w:cs="Courier New"/>
                <w:color w:val="auto"/>
                <w:kern w:val="0"/>
                <w:sz w:val="28"/>
                <w:szCs w:val="28"/>
                <w:highlight w:val="none"/>
                <w:u w:val="single"/>
                <w:lang w:val="en-US" w:eastAsia="zh-CN"/>
              </w:rPr>
              <w:t>6</w:t>
            </w:r>
            <w:r>
              <w:rPr>
                <w:rFonts w:hint="eastAsia" w:ascii="仿宋" w:hAnsi="仿宋" w:eastAsia="仿宋" w:cs="Courier New"/>
                <w:color w:val="auto"/>
                <w:kern w:val="0"/>
                <w:sz w:val="28"/>
                <w:szCs w:val="28"/>
                <w:highlight w:val="none"/>
                <w:u w:val="single"/>
              </w:rPr>
              <w:t>月</w:t>
            </w:r>
            <w:r>
              <w:rPr>
                <w:rFonts w:hint="eastAsia" w:ascii="仿宋" w:hAnsi="仿宋" w:eastAsia="仿宋" w:cs="Courier New"/>
                <w:color w:val="auto"/>
                <w:kern w:val="0"/>
                <w:sz w:val="28"/>
                <w:szCs w:val="28"/>
                <w:highlight w:val="none"/>
                <w:u w:val="single"/>
                <w:lang w:val="en-US" w:eastAsia="zh-CN"/>
              </w:rPr>
              <w:t>23</w:t>
            </w:r>
            <w:r>
              <w:rPr>
                <w:rFonts w:hint="eastAsia" w:ascii="仿宋" w:hAnsi="仿宋" w:eastAsia="仿宋" w:cs="Courier New"/>
                <w:color w:val="auto"/>
                <w:kern w:val="0"/>
                <w:sz w:val="28"/>
                <w:szCs w:val="28"/>
                <w:highlight w:val="none"/>
                <w:u w:val="single"/>
              </w:rPr>
              <w:t>日</w:t>
            </w:r>
            <w:r>
              <w:rPr>
                <w:rFonts w:hint="eastAsia" w:ascii="仿宋" w:hAnsi="仿宋" w:eastAsia="仿宋" w:cs="Courier New"/>
                <w:color w:val="auto"/>
                <w:kern w:val="0"/>
                <w:sz w:val="28"/>
                <w:szCs w:val="28"/>
                <w:highlight w:val="none"/>
                <w:u w:val="single"/>
                <w:lang w:val="en-US" w:eastAsia="zh-CN"/>
              </w:rPr>
              <w:t>10</w:t>
            </w:r>
            <w:r>
              <w:rPr>
                <w:rFonts w:hint="eastAsia" w:ascii="仿宋" w:hAnsi="仿宋" w:eastAsia="仿宋" w:cs="Courier New"/>
                <w:color w:val="auto"/>
                <w:kern w:val="0"/>
                <w:sz w:val="28"/>
                <w:szCs w:val="28"/>
                <w:highlight w:val="none"/>
                <w:u w:val="single"/>
              </w:rPr>
              <w:t>时</w:t>
            </w:r>
            <w:r>
              <w:rPr>
                <w:rFonts w:hint="eastAsia" w:ascii="仿宋" w:hAnsi="仿宋" w:eastAsia="仿宋" w:cs="Times New Roman"/>
                <w:color w:val="auto"/>
                <w:kern w:val="2"/>
                <w:sz w:val="28"/>
                <w:szCs w:val="28"/>
                <w:highlight w:val="none"/>
                <w:u w:val="single"/>
                <w:lang w:val="en-US" w:eastAsia="zh-CN" w:bidi="ar-SA"/>
              </w:rPr>
              <w:t>00分</w:t>
            </w:r>
          </w:p>
          <w:p w14:paraId="371AC9AB">
            <w:pPr>
              <w:adjustRightInd w:val="0"/>
              <w:snapToGrid w:val="0"/>
              <w:spacing w:line="400" w:lineRule="exact"/>
              <w:rPr>
                <w:rFonts w:ascii="仿宋" w:hAnsi="仿宋" w:eastAsia="仿宋" w:cs="Courier New"/>
                <w:color w:val="auto"/>
                <w:kern w:val="0"/>
                <w:sz w:val="28"/>
                <w:szCs w:val="28"/>
                <w:highlight w:val="none"/>
              </w:rPr>
            </w:pPr>
            <w:r>
              <w:rPr>
                <w:rFonts w:hint="eastAsia" w:ascii="仿宋" w:hAnsi="仿宋" w:eastAsia="仿宋" w:cs="Courier New"/>
                <w:color w:val="auto"/>
                <w:kern w:val="0"/>
                <w:sz w:val="28"/>
                <w:szCs w:val="28"/>
                <w:highlight w:val="none"/>
              </w:rPr>
              <w:t>地    点：</w:t>
            </w:r>
            <w:r>
              <w:rPr>
                <w:rFonts w:hint="eastAsia" w:ascii="仿宋" w:hAnsi="仿宋" w:eastAsia="仿宋"/>
                <w:color w:val="auto"/>
                <w:sz w:val="28"/>
                <w:szCs w:val="28"/>
                <w:highlight w:val="none"/>
                <w:u w:val="single"/>
                <w:lang w:val="en-US" w:eastAsia="zh-CN"/>
              </w:rPr>
              <w:t>重庆市巴南区东城大道8号</w:t>
            </w:r>
            <w:r>
              <w:rPr>
                <w:rFonts w:hint="eastAsia" w:ascii="仿宋" w:hAnsi="仿宋" w:eastAsia="仿宋" w:cs="仿宋"/>
                <w:color w:val="auto"/>
                <w:sz w:val="28"/>
                <w:szCs w:val="28"/>
                <w:highlight w:val="none"/>
                <w:u w:val="single"/>
                <w:lang w:val="en-US" w:eastAsia="zh-CN"/>
              </w:rPr>
              <w:t>招商行政中心2楼</w:t>
            </w:r>
          </w:p>
        </w:tc>
      </w:tr>
      <w:tr w14:paraId="2F3CE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42" w:type="pct"/>
            <w:noWrap w:val="0"/>
            <w:vAlign w:val="center"/>
          </w:tcPr>
          <w:p w14:paraId="08921204">
            <w:pPr>
              <w:adjustRightInd w:val="0"/>
              <w:snapToGrid w:val="0"/>
              <w:spacing w:line="400" w:lineRule="exact"/>
              <w:jc w:val="center"/>
              <w:rPr>
                <w:rFonts w:ascii="仿宋" w:hAnsi="仿宋" w:eastAsia="仿宋" w:cs="Courier New"/>
                <w:color w:val="auto"/>
                <w:kern w:val="0"/>
                <w:sz w:val="28"/>
                <w:szCs w:val="28"/>
                <w:highlight w:val="none"/>
              </w:rPr>
            </w:pPr>
            <w:r>
              <w:rPr>
                <w:rFonts w:hint="eastAsia" w:ascii="仿宋" w:hAnsi="仿宋" w:eastAsia="仿宋" w:cs="Courier New"/>
                <w:color w:val="auto"/>
                <w:kern w:val="0"/>
                <w:sz w:val="28"/>
                <w:szCs w:val="28"/>
                <w:highlight w:val="none"/>
              </w:rPr>
              <w:t>3</w:t>
            </w:r>
          </w:p>
        </w:tc>
        <w:tc>
          <w:tcPr>
            <w:tcW w:w="1102" w:type="pct"/>
            <w:noWrap w:val="0"/>
            <w:vAlign w:val="center"/>
          </w:tcPr>
          <w:p w14:paraId="28F0A022">
            <w:pPr>
              <w:adjustRightInd w:val="0"/>
              <w:snapToGrid w:val="0"/>
              <w:spacing w:line="400" w:lineRule="exact"/>
              <w:jc w:val="center"/>
              <w:rPr>
                <w:rFonts w:ascii="仿宋" w:hAnsi="仿宋" w:eastAsia="仿宋" w:cs="Courier New"/>
                <w:color w:val="auto"/>
                <w:kern w:val="0"/>
                <w:sz w:val="28"/>
                <w:szCs w:val="28"/>
                <w:highlight w:val="none"/>
              </w:rPr>
            </w:pPr>
            <w:r>
              <w:rPr>
                <w:rFonts w:hint="eastAsia" w:ascii="仿宋" w:hAnsi="仿宋" w:eastAsia="仿宋" w:cs="Courier New"/>
                <w:color w:val="auto"/>
                <w:kern w:val="0"/>
                <w:sz w:val="28"/>
                <w:szCs w:val="28"/>
                <w:highlight w:val="none"/>
              </w:rPr>
              <w:t>投标有效期</w:t>
            </w:r>
          </w:p>
        </w:tc>
        <w:tc>
          <w:tcPr>
            <w:tcW w:w="3355" w:type="pct"/>
            <w:noWrap w:val="0"/>
            <w:vAlign w:val="center"/>
          </w:tcPr>
          <w:p w14:paraId="5CB9E93F">
            <w:pPr>
              <w:adjustRightInd w:val="0"/>
              <w:snapToGrid w:val="0"/>
              <w:spacing w:line="400" w:lineRule="exact"/>
              <w:rPr>
                <w:rFonts w:ascii="仿宋" w:hAnsi="仿宋" w:eastAsia="仿宋" w:cs="Courier New"/>
                <w:color w:val="auto"/>
                <w:kern w:val="0"/>
                <w:sz w:val="28"/>
                <w:szCs w:val="28"/>
                <w:highlight w:val="none"/>
              </w:rPr>
            </w:pPr>
            <w:r>
              <w:rPr>
                <w:rFonts w:hint="eastAsia" w:ascii="仿宋" w:hAnsi="仿宋" w:eastAsia="仿宋" w:cs="Courier New"/>
                <w:color w:val="auto"/>
                <w:kern w:val="0"/>
                <w:sz w:val="28"/>
                <w:szCs w:val="28"/>
                <w:highlight w:val="none"/>
                <w:u w:val="single"/>
              </w:rPr>
              <w:t xml:space="preserve">   </w:t>
            </w:r>
            <w:r>
              <w:rPr>
                <w:rFonts w:hint="eastAsia" w:ascii="仿宋" w:hAnsi="仿宋" w:eastAsia="仿宋" w:cs="Courier New"/>
                <w:color w:val="auto"/>
                <w:kern w:val="0"/>
                <w:sz w:val="28"/>
                <w:szCs w:val="28"/>
                <w:highlight w:val="none"/>
                <w:u w:val="single"/>
                <w:lang w:val="en-US" w:eastAsia="zh-CN"/>
              </w:rPr>
              <w:t>90</w:t>
            </w:r>
            <w:r>
              <w:rPr>
                <w:rFonts w:hint="eastAsia" w:ascii="仿宋" w:hAnsi="仿宋" w:eastAsia="仿宋" w:cs="Courier New"/>
                <w:color w:val="auto"/>
                <w:kern w:val="0"/>
                <w:sz w:val="28"/>
                <w:szCs w:val="28"/>
                <w:highlight w:val="none"/>
                <w:u w:val="single"/>
              </w:rPr>
              <w:t xml:space="preserve">  </w:t>
            </w:r>
            <w:r>
              <w:rPr>
                <w:rFonts w:hint="eastAsia" w:ascii="仿宋" w:hAnsi="仿宋" w:eastAsia="仿宋" w:cs="Courier New"/>
                <w:color w:val="auto"/>
                <w:kern w:val="0"/>
                <w:sz w:val="28"/>
                <w:szCs w:val="28"/>
                <w:highlight w:val="none"/>
              </w:rPr>
              <w:t>日历天（从投标截止之日算起）</w:t>
            </w:r>
          </w:p>
        </w:tc>
      </w:tr>
      <w:tr w14:paraId="4236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5" w:hRule="atLeast"/>
          <w:jc w:val="center"/>
        </w:trPr>
        <w:tc>
          <w:tcPr>
            <w:tcW w:w="542" w:type="pct"/>
            <w:noWrap w:val="0"/>
            <w:vAlign w:val="center"/>
          </w:tcPr>
          <w:p w14:paraId="60BE3DB4">
            <w:pPr>
              <w:adjustRightInd w:val="0"/>
              <w:snapToGrid w:val="0"/>
              <w:spacing w:line="400" w:lineRule="exact"/>
              <w:jc w:val="center"/>
              <w:rPr>
                <w:rFonts w:ascii="仿宋" w:hAnsi="仿宋" w:eastAsia="仿宋" w:cs="Courier New"/>
                <w:color w:val="auto"/>
                <w:kern w:val="0"/>
                <w:sz w:val="28"/>
                <w:szCs w:val="28"/>
                <w:highlight w:val="none"/>
              </w:rPr>
            </w:pPr>
            <w:r>
              <w:rPr>
                <w:rFonts w:hint="eastAsia" w:ascii="仿宋" w:hAnsi="仿宋" w:eastAsia="仿宋" w:cs="Courier New"/>
                <w:color w:val="auto"/>
                <w:kern w:val="0"/>
                <w:sz w:val="28"/>
                <w:szCs w:val="28"/>
                <w:highlight w:val="none"/>
              </w:rPr>
              <w:t>4</w:t>
            </w:r>
          </w:p>
        </w:tc>
        <w:tc>
          <w:tcPr>
            <w:tcW w:w="1102" w:type="pct"/>
            <w:noWrap w:val="0"/>
            <w:vAlign w:val="center"/>
          </w:tcPr>
          <w:p w14:paraId="5AAF1A4F">
            <w:pPr>
              <w:adjustRightInd w:val="0"/>
              <w:snapToGrid w:val="0"/>
              <w:spacing w:line="400" w:lineRule="exact"/>
              <w:jc w:val="center"/>
              <w:rPr>
                <w:rFonts w:ascii="仿宋" w:hAnsi="仿宋" w:eastAsia="仿宋" w:cs="Courier New"/>
                <w:color w:val="auto"/>
                <w:kern w:val="0"/>
                <w:sz w:val="28"/>
                <w:szCs w:val="28"/>
                <w:highlight w:val="none"/>
              </w:rPr>
            </w:pPr>
            <w:r>
              <w:rPr>
                <w:rFonts w:hint="eastAsia" w:ascii="仿宋" w:hAnsi="仿宋" w:eastAsia="仿宋" w:cs="Courier New"/>
                <w:color w:val="auto"/>
                <w:kern w:val="0"/>
                <w:sz w:val="28"/>
                <w:szCs w:val="28"/>
                <w:highlight w:val="none"/>
              </w:rPr>
              <w:t>招标人对招标文件的澄清或修改、答疑的期限、方式</w:t>
            </w:r>
          </w:p>
        </w:tc>
        <w:tc>
          <w:tcPr>
            <w:tcW w:w="3355" w:type="pct"/>
            <w:noWrap w:val="0"/>
            <w:vAlign w:val="center"/>
          </w:tcPr>
          <w:p w14:paraId="4B01581D">
            <w:pPr>
              <w:adjustRightInd w:val="0"/>
              <w:snapToGrid w:val="0"/>
              <w:spacing w:line="400" w:lineRule="exact"/>
              <w:jc w:val="left"/>
              <w:rPr>
                <w:rFonts w:ascii="仿宋" w:hAnsi="仿宋" w:eastAsia="仿宋" w:cs="Courier New"/>
                <w:color w:val="auto"/>
                <w:kern w:val="0"/>
                <w:sz w:val="28"/>
                <w:szCs w:val="28"/>
                <w:highlight w:val="none"/>
              </w:rPr>
            </w:pPr>
            <w:r>
              <w:rPr>
                <w:rFonts w:hint="eastAsia" w:ascii="仿宋" w:hAnsi="仿宋" w:eastAsia="仿宋" w:cs="Courier New"/>
                <w:color w:val="auto"/>
                <w:kern w:val="0"/>
                <w:sz w:val="28"/>
                <w:szCs w:val="28"/>
                <w:highlight w:val="none"/>
              </w:rPr>
              <w:t>投标人质疑期限：在投标截止日期前</w:t>
            </w:r>
            <w:r>
              <w:rPr>
                <w:rFonts w:hint="eastAsia" w:ascii="仿宋" w:hAnsi="仿宋" w:eastAsia="仿宋" w:cs="Courier New"/>
                <w:bCs/>
                <w:color w:val="auto"/>
                <w:kern w:val="0"/>
                <w:sz w:val="28"/>
                <w:szCs w:val="28"/>
                <w:highlight w:val="none"/>
                <w:u w:val="single"/>
              </w:rPr>
              <w:t xml:space="preserve">  </w:t>
            </w:r>
            <w:r>
              <w:rPr>
                <w:rFonts w:hint="eastAsia" w:ascii="仿宋" w:hAnsi="仿宋" w:eastAsia="仿宋" w:cs="Courier New"/>
                <w:bCs/>
                <w:color w:val="auto"/>
                <w:kern w:val="0"/>
                <w:sz w:val="28"/>
                <w:szCs w:val="28"/>
                <w:highlight w:val="none"/>
                <w:u w:val="single"/>
                <w:lang w:val="en-US" w:eastAsia="zh-CN"/>
              </w:rPr>
              <w:t>3</w:t>
            </w:r>
            <w:r>
              <w:rPr>
                <w:rFonts w:hint="eastAsia" w:ascii="仿宋" w:hAnsi="仿宋" w:eastAsia="仿宋" w:cs="Courier New"/>
                <w:bCs/>
                <w:color w:val="auto"/>
                <w:kern w:val="0"/>
                <w:sz w:val="28"/>
                <w:szCs w:val="28"/>
                <w:highlight w:val="none"/>
                <w:u w:val="single"/>
              </w:rPr>
              <w:t xml:space="preserve">  </w:t>
            </w:r>
            <w:r>
              <w:rPr>
                <w:rFonts w:hint="eastAsia" w:ascii="仿宋" w:hAnsi="仿宋" w:eastAsia="仿宋" w:cs="Courier New"/>
                <w:color w:val="auto"/>
                <w:kern w:val="0"/>
                <w:sz w:val="28"/>
                <w:szCs w:val="28"/>
                <w:highlight w:val="none"/>
              </w:rPr>
              <w:t>日（不少于3日）</w:t>
            </w:r>
          </w:p>
          <w:p w14:paraId="2EBE54D6">
            <w:pPr>
              <w:adjustRightInd w:val="0"/>
              <w:snapToGrid w:val="0"/>
              <w:spacing w:line="400" w:lineRule="exact"/>
              <w:jc w:val="left"/>
              <w:rPr>
                <w:rFonts w:ascii="仿宋" w:hAnsi="仿宋" w:eastAsia="仿宋" w:cs="Courier New"/>
                <w:color w:val="auto"/>
                <w:kern w:val="0"/>
                <w:sz w:val="28"/>
                <w:szCs w:val="28"/>
                <w:highlight w:val="none"/>
              </w:rPr>
            </w:pPr>
            <w:r>
              <w:rPr>
                <w:rFonts w:hint="eastAsia" w:ascii="仿宋" w:hAnsi="仿宋" w:eastAsia="仿宋" w:cs="Courier New"/>
                <w:color w:val="auto"/>
                <w:kern w:val="0"/>
                <w:sz w:val="28"/>
                <w:szCs w:val="28"/>
                <w:highlight w:val="none"/>
              </w:rPr>
              <w:t>招标人澄清或修补、答疑期限：在投标截止日期前</w:t>
            </w:r>
            <w:r>
              <w:rPr>
                <w:rFonts w:hint="eastAsia" w:ascii="仿宋" w:hAnsi="仿宋" w:eastAsia="仿宋" w:cs="Courier New"/>
                <w:color w:val="auto"/>
                <w:kern w:val="0"/>
                <w:sz w:val="28"/>
                <w:szCs w:val="28"/>
                <w:highlight w:val="none"/>
                <w:u w:val="single"/>
              </w:rPr>
              <w:t xml:space="preserve">  </w:t>
            </w:r>
            <w:r>
              <w:rPr>
                <w:rFonts w:hint="eastAsia" w:ascii="仿宋" w:hAnsi="仿宋" w:eastAsia="仿宋" w:cs="Courier New"/>
                <w:color w:val="auto"/>
                <w:kern w:val="0"/>
                <w:sz w:val="28"/>
                <w:szCs w:val="28"/>
                <w:highlight w:val="none"/>
                <w:u w:val="single"/>
                <w:lang w:val="en-US" w:eastAsia="zh-CN"/>
              </w:rPr>
              <w:t>2</w:t>
            </w:r>
            <w:r>
              <w:rPr>
                <w:rFonts w:hint="eastAsia" w:ascii="仿宋" w:hAnsi="仿宋" w:eastAsia="仿宋" w:cs="Courier New"/>
                <w:color w:val="auto"/>
                <w:kern w:val="0"/>
                <w:sz w:val="28"/>
                <w:szCs w:val="28"/>
                <w:highlight w:val="none"/>
                <w:u w:val="single"/>
              </w:rPr>
              <w:t xml:space="preserve">  </w:t>
            </w:r>
            <w:r>
              <w:rPr>
                <w:rFonts w:hint="eastAsia" w:ascii="仿宋" w:hAnsi="仿宋" w:eastAsia="仿宋" w:cs="Courier New"/>
                <w:color w:val="auto"/>
                <w:kern w:val="0"/>
                <w:sz w:val="28"/>
                <w:szCs w:val="28"/>
                <w:highlight w:val="none"/>
              </w:rPr>
              <w:t>日（不少于2日）</w:t>
            </w:r>
          </w:p>
          <w:p w14:paraId="0D8AB2C8">
            <w:pPr>
              <w:pStyle w:val="71"/>
              <w:spacing w:line="400" w:lineRule="exact"/>
              <w:ind w:firstLine="0" w:firstLineChars="0"/>
              <w:rPr>
                <w:rFonts w:ascii="仿宋" w:hAnsi="仿宋" w:eastAsia="仿宋"/>
                <w:color w:val="auto"/>
                <w:sz w:val="28"/>
                <w:szCs w:val="28"/>
                <w:highlight w:val="none"/>
              </w:rPr>
            </w:pPr>
            <w:r>
              <w:rPr>
                <w:rFonts w:hint="eastAsia" w:ascii="仿宋" w:hAnsi="仿宋" w:eastAsia="仿宋"/>
                <w:color w:val="auto"/>
                <w:sz w:val="28"/>
                <w:szCs w:val="28"/>
                <w:highlight w:val="none"/>
              </w:rPr>
              <w:t>投标人提交质疑问题的方式：以书面形式递交</w:t>
            </w:r>
          </w:p>
          <w:p w14:paraId="7BEAD8F0">
            <w:pPr>
              <w:pStyle w:val="71"/>
              <w:spacing w:line="400" w:lineRule="exact"/>
              <w:ind w:firstLine="0" w:firstLineChars="0"/>
              <w:rPr>
                <w:rFonts w:ascii="仿宋" w:hAnsi="仿宋" w:eastAsia="仿宋" w:cs="Courier New"/>
                <w:color w:val="auto"/>
                <w:kern w:val="0"/>
                <w:sz w:val="28"/>
                <w:szCs w:val="28"/>
                <w:highlight w:val="none"/>
              </w:rPr>
            </w:pPr>
            <w:r>
              <w:rPr>
                <w:rFonts w:hint="eastAsia" w:ascii="仿宋" w:hAnsi="仿宋" w:eastAsia="仿宋"/>
                <w:color w:val="auto"/>
                <w:sz w:val="28"/>
                <w:szCs w:val="28"/>
                <w:highlight w:val="none"/>
              </w:rPr>
              <w:t xml:space="preserve">招标人发出答疑补遗的方式：书面形式发送 </w:t>
            </w:r>
          </w:p>
        </w:tc>
      </w:tr>
      <w:tr w14:paraId="3B03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jc w:val="center"/>
        </w:trPr>
        <w:tc>
          <w:tcPr>
            <w:tcW w:w="542" w:type="pct"/>
            <w:noWrap w:val="0"/>
            <w:vAlign w:val="center"/>
          </w:tcPr>
          <w:p w14:paraId="62CEDCC1">
            <w:pPr>
              <w:adjustRightInd w:val="0"/>
              <w:snapToGrid w:val="0"/>
              <w:spacing w:line="400" w:lineRule="exact"/>
              <w:jc w:val="center"/>
              <w:rPr>
                <w:rFonts w:ascii="仿宋" w:hAnsi="仿宋" w:eastAsia="仿宋" w:cs="Courier New"/>
                <w:color w:val="auto"/>
                <w:kern w:val="0"/>
                <w:sz w:val="28"/>
                <w:szCs w:val="28"/>
                <w:highlight w:val="none"/>
              </w:rPr>
            </w:pPr>
            <w:r>
              <w:rPr>
                <w:rFonts w:hint="eastAsia" w:ascii="仿宋" w:hAnsi="仿宋" w:eastAsia="仿宋" w:cs="Courier New"/>
                <w:color w:val="auto"/>
                <w:kern w:val="0"/>
                <w:sz w:val="28"/>
                <w:szCs w:val="28"/>
                <w:highlight w:val="none"/>
              </w:rPr>
              <w:t>5</w:t>
            </w:r>
          </w:p>
        </w:tc>
        <w:tc>
          <w:tcPr>
            <w:tcW w:w="1102" w:type="pct"/>
            <w:noWrap w:val="0"/>
            <w:vAlign w:val="center"/>
          </w:tcPr>
          <w:p w14:paraId="3470BC7D">
            <w:pPr>
              <w:adjustRightInd w:val="0"/>
              <w:snapToGrid w:val="0"/>
              <w:spacing w:line="400" w:lineRule="exact"/>
              <w:jc w:val="center"/>
              <w:rPr>
                <w:rFonts w:ascii="仿宋" w:hAnsi="仿宋" w:eastAsia="仿宋" w:cs="Courier New"/>
                <w:color w:val="auto"/>
                <w:kern w:val="0"/>
                <w:sz w:val="28"/>
                <w:szCs w:val="28"/>
                <w:highlight w:val="none"/>
              </w:rPr>
            </w:pPr>
            <w:r>
              <w:rPr>
                <w:rFonts w:hint="eastAsia" w:ascii="仿宋" w:hAnsi="仿宋" w:eastAsia="仿宋"/>
                <w:color w:val="auto"/>
                <w:sz w:val="28"/>
                <w:szCs w:val="28"/>
                <w:highlight w:val="none"/>
              </w:rPr>
              <w:t>开标会</w:t>
            </w:r>
          </w:p>
        </w:tc>
        <w:tc>
          <w:tcPr>
            <w:tcW w:w="3355" w:type="pct"/>
            <w:noWrap w:val="0"/>
            <w:vAlign w:val="center"/>
          </w:tcPr>
          <w:p w14:paraId="72218B17">
            <w:pPr>
              <w:adjustRightInd/>
              <w:snapToGrid w:val="0"/>
              <w:spacing w:line="276" w:lineRule="auto"/>
              <w:rPr>
                <w:rFonts w:ascii="仿宋" w:hAnsi="仿宋" w:eastAsia="仿宋" w:cs="Courier New"/>
                <w:color w:val="auto"/>
                <w:kern w:val="0"/>
                <w:sz w:val="28"/>
                <w:szCs w:val="28"/>
                <w:highlight w:val="none"/>
              </w:rPr>
            </w:pPr>
            <w:r>
              <w:rPr>
                <w:rFonts w:hint="eastAsia" w:ascii="仿宋" w:hAnsi="仿宋" w:eastAsia="仿宋" w:cs="Courier New"/>
                <w:color w:val="auto"/>
                <w:kern w:val="0"/>
                <w:sz w:val="28"/>
                <w:szCs w:val="28"/>
                <w:highlight w:val="none"/>
              </w:rPr>
              <w:t>时间：</w:t>
            </w:r>
            <w:r>
              <w:rPr>
                <w:rFonts w:hint="eastAsia" w:ascii="仿宋" w:hAnsi="仿宋" w:eastAsia="仿宋" w:cs="Courier New"/>
                <w:color w:val="auto"/>
                <w:kern w:val="0"/>
                <w:sz w:val="28"/>
                <w:szCs w:val="28"/>
                <w:highlight w:val="none"/>
                <w:u w:val="single"/>
                <w:lang w:val="en-US" w:eastAsia="zh-CN"/>
              </w:rPr>
              <w:t>2026</w:t>
            </w:r>
            <w:r>
              <w:rPr>
                <w:rFonts w:hint="eastAsia" w:ascii="仿宋" w:hAnsi="仿宋" w:eastAsia="仿宋" w:cs="Courier New"/>
                <w:color w:val="auto"/>
                <w:kern w:val="0"/>
                <w:sz w:val="28"/>
                <w:szCs w:val="28"/>
                <w:highlight w:val="none"/>
                <w:u w:val="single"/>
              </w:rPr>
              <w:t>年</w:t>
            </w:r>
            <w:r>
              <w:rPr>
                <w:rFonts w:hint="eastAsia" w:ascii="仿宋" w:hAnsi="仿宋" w:eastAsia="仿宋" w:cs="Courier New"/>
                <w:color w:val="auto"/>
                <w:kern w:val="0"/>
                <w:sz w:val="28"/>
                <w:szCs w:val="28"/>
                <w:highlight w:val="none"/>
                <w:u w:val="single"/>
                <w:lang w:val="en-US" w:eastAsia="zh-CN"/>
              </w:rPr>
              <w:t>6</w:t>
            </w:r>
            <w:r>
              <w:rPr>
                <w:rFonts w:hint="eastAsia" w:ascii="仿宋" w:hAnsi="仿宋" w:eastAsia="仿宋" w:cs="Courier New"/>
                <w:color w:val="auto"/>
                <w:kern w:val="0"/>
                <w:sz w:val="28"/>
                <w:szCs w:val="28"/>
                <w:highlight w:val="none"/>
                <w:u w:val="single"/>
              </w:rPr>
              <w:t>月</w:t>
            </w:r>
            <w:r>
              <w:rPr>
                <w:rFonts w:hint="eastAsia" w:ascii="仿宋" w:hAnsi="仿宋" w:eastAsia="仿宋" w:cs="Courier New"/>
                <w:color w:val="auto"/>
                <w:kern w:val="0"/>
                <w:sz w:val="28"/>
                <w:szCs w:val="28"/>
                <w:highlight w:val="none"/>
                <w:u w:val="single"/>
                <w:lang w:val="en-US" w:eastAsia="zh-CN"/>
              </w:rPr>
              <w:t>23</w:t>
            </w:r>
            <w:r>
              <w:rPr>
                <w:rFonts w:hint="eastAsia" w:ascii="仿宋" w:hAnsi="仿宋" w:eastAsia="仿宋" w:cs="Courier New"/>
                <w:color w:val="auto"/>
                <w:kern w:val="0"/>
                <w:sz w:val="28"/>
                <w:szCs w:val="28"/>
                <w:highlight w:val="none"/>
                <w:u w:val="single"/>
              </w:rPr>
              <w:t>日</w:t>
            </w:r>
            <w:r>
              <w:rPr>
                <w:rFonts w:hint="eastAsia" w:ascii="仿宋" w:hAnsi="仿宋" w:eastAsia="仿宋" w:cs="Courier New"/>
                <w:color w:val="auto"/>
                <w:kern w:val="0"/>
                <w:sz w:val="28"/>
                <w:szCs w:val="28"/>
                <w:highlight w:val="none"/>
                <w:u w:val="single"/>
                <w:lang w:val="en-US" w:eastAsia="zh-CN"/>
              </w:rPr>
              <w:t>14</w:t>
            </w:r>
            <w:r>
              <w:rPr>
                <w:rFonts w:hint="eastAsia" w:ascii="仿宋" w:hAnsi="仿宋" w:eastAsia="仿宋" w:cs="Courier New"/>
                <w:color w:val="auto"/>
                <w:kern w:val="0"/>
                <w:sz w:val="28"/>
                <w:szCs w:val="28"/>
                <w:highlight w:val="none"/>
                <w:u w:val="single"/>
              </w:rPr>
              <w:t>时</w:t>
            </w:r>
            <w:r>
              <w:rPr>
                <w:rFonts w:hint="eastAsia" w:ascii="仿宋" w:hAnsi="仿宋" w:eastAsia="仿宋" w:cs="Times New Roman"/>
                <w:color w:val="auto"/>
                <w:kern w:val="2"/>
                <w:sz w:val="28"/>
                <w:szCs w:val="28"/>
                <w:highlight w:val="none"/>
                <w:u w:val="single"/>
                <w:lang w:val="en-US" w:eastAsia="zh-CN" w:bidi="ar-SA"/>
              </w:rPr>
              <w:t>00分</w:t>
            </w:r>
          </w:p>
          <w:p w14:paraId="68C05BB3">
            <w:pPr>
              <w:adjustRightInd w:val="0"/>
              <w:snapToGrid w:val="0"/>
              <w:spacing w:line="400" w:lineRule="exact"/>
              <w:rPr>
                <w:rFonts w:hint="eastAsia" w:ascii="仿宋" w:hAnsi="仿宋" w:eastAsia="仿宋" w:cs="仿宋"/>
                <w:color w:val="auto"/>
                <w:kern w:val="2"/>
                <w:sz w:val="28"/>
                <w:szCs w:val="28"/>
                <w:highlight w:val="none"/>
                <w:u w:val="single"/>
              </w:rPr>
            </w:pPr>
            <w:r>
              <w:rPr>
                <w:rFonts w:hint="eastAsia" w:ascii="仿宋" w:hAnsi="仿宋" w:eastAsia="仿宋" w:cs="Courier New"/>
                <w:color w:val="auto"/>
                <w:kern w:val="0"/>
                <w:sz w:val="28"/>
                <w:szCs w:val="28"/>
                <w:highlight w:val="none"/>
              </w:rPr>
              <w:t>地点：</w:t>
            </w:r>
            <w:r>
              <w:rPr>
                <w:rFonts w:hint="eastAsia" w:ascii="仿宋" w:hAnsi="仿宋" w:eastAsia="仿宋"/>
                <w:color w:val="auto"/>
                <w:sz w:val="28"/>
                <w:szCs w:val="28"/>
                <w:highlight w:val="none"/>
                <w:u w:val="single"/>
                <w:lang w:val="en-US" w:eastAsia="zh-CN"/>
              </w:rPr>
              <w:t>重庆市巴南区东城大道8号</w:t>
            </w:r>
            <w:r>
              <w:rPr>
                <w:rFonts w:hint="eastAsia" w:ascii="仿宋" w:hAnsi="仿宋" w:eastAsia="仿宋" w:cs="仿宋"/>
                <w:color w:val="auto"/>
                <w:sz w:val="28"/>
                <w:szCs w:val="28"/>
                <w:highlight w:val="none"/>
                <w:u w:val="single"/>
                <w:lang w:val="en-US" w:eastAsia="zh-CN"/>
              </w:rPr>
              <w:t>招商行政中心2楼</w:t>
            </w:r>
          </w:p>
        </w:tc>
      </w:tr>
      <w:tr w14:paraId="58487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542" w:type="pct"/>
            <w:noWrap w:val="0"/>
            <w:vAlign w:val="center"/>
          </w:tcPr>
          <w:p w14:paraId="4A0D28FF">
            <w:pPr>
              <w:adjustRightInd w:val="0"/>
              <w:snapToGrid w:val="0"/>
              <w:spacing w:line="400" w:lineRule="exact"/>
              <w:jc w:val="center"/>
              <w:rPr>
                <w:rFonts w:ascii="仿宋" w:hAnsi="仿宋" w:eastAsia="仿宋" w:cs="Courier New"/>
                <w:color w:val="auto"/>
                <w:kern w:val="0"/>
                <w:sz w:val="28"/>
                <w:szCs w:val="28"/>
                <w:highlight w:val="none"/>
              </w:rPr>
            </w:pPr>
            <w:r>
              <w:rPr>
                <w:rFonts w:hint="eastAsia" w:ascii="仿宋" w:hAnsi="仿宋" w:eastAsia="仿宋" w:cs="Courier New"/>
                <w:color w:val="auto"/>
                <w:kern w:val="0"/>
                <w:sz w:val="28"/>
                <w:szCs w:val="28"/>
                <w:highlight w:val="none"/>
              </w:rPr>
              <w:t>6</w:t>
            </w:r>
          </w:p>
        </w:tc>
        <w:tc>
          <w:tcPr>
            <w:tcW w:w="1102" w:type="pct"/>
            <w:noWrap w:val="0"/>
            <w:vAlign w:val="center"/>
          </w:tcPr>
          <w:p w14:paraId="5BA3AF38">
            <w:pPr>
              <w:adjustRightInd w:val="0"/>
              <w:snapToGrid w:val="0"/>
              <w:spacing w:line="400" w:lineRule="exact"/>
              <w:jc w:val="center"/>
              <w:rPr>
                <w:rFonts w:ascii="仿宋" w:hAnsi="仿宋" w:eastAsia="仿宋" w:cs="Courier New"/>
                <w:color w:val="auto"/>
                <w:kern w:val="0"/>
                <w:sz w:val="28"/>
                <w:szCs w:val="28"/>
                <w:highlight w:val="none"/>
              </w:rPr>
            </w:pPr>
            <w:r>
              <w:rPr>
                <w:rFonts w:hint="eastAsia" w:ascii="仿宋" w:hAnsi="仿宋" w:eastAsia="仿宋" w:cs="Courier New"/>
                <w:color w:val="auto"/>
                <w:kern w:val="0"/>
                <w:sz w:val="28"/>
                <w:szCs w:val="28"/>
                <w:highlight w:val="none"/>
              </w:rPr>
              <w:t>发出中标通知书</w:t>
            </w:r>
          </w:p>
        </w:tc>
        <w:tc>
          <w:tcPr>
            <w:tcW w:w="3355" w:type="pct"/>
            <w:noWrap w:val="0"/>
            <w:vAlign w:val="center"/>
          </w:tcPr>
          <w:p w14:paraId="25E81C22">
            <w:pPr>
              <w:adjustRightInd w:val="0"/>
              <w:snapToGrid w:val="0"/>
              <w:spacing w:line="400" w:lineRule="exact"/>
              <w:rPr>
                <w:rFonts w:ascii="仿宋" w:hAnsi="仿宋" w:eastAsia="仿宋" w:cs="Courier New"/>
                <w:color w:val="auto"/>
                <w:kern w:val="0"/>
                <w:sz w:val="28"/>
                <w:szCs w:val="28"/>
                <w:highlight w:val="none"/>
              </w:rPr>
            </w:pPr>
            <w:r>
              <w:rPr>
                <w:rFonts w:hint="eastAsia" w:ascii="仿宋" w:hAnsi="仿宋" w:eastAsia="仿宋" w:cs="Courier New"/>
                <w:color w:val="auto"/>
                <w:kern w:val="0"/>
                <w:sz w:val="28"/>
                <w:szCs w:val="28"/>
                <w:highlight w:val="none"/>
              </w:rPr>
              <w:t>投标有效期满30天前</w:t>
            </w:r>
          </w:p>
        </w:tc>
      </w:tr>
      <w:tr w14:paraId="58157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542" w:type="pct"/>
            <w:noWrap w:val="0"/>
            <w:vAlign w:val="center"/>
          </w:tcPr>
          <w:p w14:paraId="55663EEC">
            <w:pPr>
              <w:adjustRightInd w:val="0"/>
              <w:snapToGrid w:val="0"/>
              <w:spacing w:line="400" w:lineRule="exact"/>
              <w:jc w:val="center"/>
              <w:rPr>
                <w:rFonts w:ascii="仿宋" w:hAnsi="仿宋" w:eastAsia="仿宋" w:cs="Courier New"/>
                <w:color w:val="auto"/>
                <w:kern w:val="0"/>
                <w:sz w:val="28"/>
                <w:szCs w:val="28"/>
                <w:highlight w:val="none"/>
              </w:rPr>
            </w:pPr>
            <w:r>
              <w:rPr>
                <w:rFonts w:hint="eastAsia" w:ascii="仿宋" w:hAnsi="仿宋" w:eastAsia="仿宋" w:cs="Courier New"/>
                <w:color w:val="auto"/>
                <w:kern w:val="0"/>
                <w:sz w:val="28"/>
                <w:szCs w:val="28"/>
                <w:highlight w:val="none"/>
              </w:rPr>
              <w:t>7</w:t>
            </w:r>
          </w:p>
        </w:tc>
        <w:tc>
          <w:tcPr>
            <w:tcW w:w="1102" w:type="pct"/>
            <w:noWrap w:val="0"/>
            <w:vAlign w:val="center"/>
          </w:tcPr>
          <w:p w14:paraId="09CE8AB1">
            <w:pPr>
              <w:adjustRightInd w:val="0"/>
              <w:snapToGrid w:val="0"/>
              <w:spacing w:line="400" w:lineRule="exact"/>
              <w:jc w:val="center"/>
              <w:rPr>
                <w:rFonts w:ascii="仿宋" w:hAnsi="仿宋" w:eastAsia="仿宋" w:cs="Courier New"/>
                <w:color w:val="auto"/>
                <w:kern w:val="0"/>
                <w:sz w:val="28"/>
                <w:szCs w:val="28"/>
                <w:highlight w:val="none"/>
              </w:rPr>
            </w:pPr>
            <w:r>
              <w:rPr>
                <w:rFonts w:hint="eastAsia" w:ascii="仿宋" w:hAnsi="仿宋" w:eastAsia="仿宋" w:cs="Courier New"/>
                <w:color w:val="auto"/>
                <w:kern w:val="0"/>
                <w:sz w:val="28"/>
                <w:szCs w:val="28"/>
                <w:highlight w:val="none"/>
              </w:rPr>
              <w:t>签订合同</w:t>
            </w:r>
          </w:p>
        </w:tc>
        <w:tc>
          <w:tcPr>
            <w:tcW w:w="3355" w:type="pct"/>
            <w:noWrap w:val="0"/>
            <w:vAlign w:val="center"/>
          </w:tcPr>
          <w:p w14:paraId="5EBFA091">
            <w:pPr>
              <w:adjustRightInd w:val="0"/>
              <w:snapToGrid w:val="0"/>
              <w:spacing w:line="400" w:lineRule="exac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收到中标通知书30天内</w:t>
            </w:r>
          </w:p>
        </w:tc>
      </w:tr>
      <w:tr w14:paraId="44DA7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42" w:type="pct"/>
            <w:noWrap w:val="0"/>
            <w:vAlign w:val="center"/>
          </w:tcPr>
          <w:p w14:paraId="331C1BB4">
            <w:pPr>
              <w:adjustRightInd w:val="0"/>
              <w:snapToGrid w:val="0"/>
              <w:spacing w:line="400" w:lineRule="exact"/>
              <w:jc w:val="center"/>
              <w:rPr>
                <w:rFonts w:hint="eastAsia" w:ascii="仿宋" w:hAnsi="仿宋" w:eastAsia="仿宋" w:cs="Courier New"/>
                <w:color w:val="auto"/>
                <w:kern w:val="0"/>
                <w:sz w:val="28"/>
                <w:szCs w:val="28"/>
                <w:highlight w:val="none"/>
                <w:lang w:val="en-US" w:eastAsia="zh-CN"/>
              </w:rPr>
            </w:pPr>
            <w:r>
              <w:rPr>
                <w:rFonts w:hint="eastAsia" w:ascii="仿宋" w:hAnsi="仿宋" w:eastAsia="仿宋" w:cs="Courier New"/>
                <w:color w:val="auto"/>
                <w:kern w:val="0"/>
                <w:sz w:val="28"/>
                <w:szCs w:val="28"/>
                <w:highlight w:val="none"/>
                <w:lang w:val="en-US" w:eastAsia="zh-CN"/>
              </w:rPr>
              <w:t>8</w:t>
            </w:r>
          </w:p>
        </w:tc>
        <w:tc>
          <w:tcPr>
            <w:tcW w:w="1102" w:type="pct"/>
            <w:noWrap w:val="0"/>
            <w:vAlign w:val="center"/>
          </w:tcPr>
          <w:p w14:paraId="38DF8BCD">
            <w:pPr>
              <w:adjustRightInd w:val="0"/>
              <w:snapToGrid w:val="0"/>
              <w:spacing w:line="400" w:lineRule="exact"/>
              <w:jc w:val="center"/>
              <w:rPr>
                <w:rFonts w:hint="eastAsia" w:ascii="仿宋" w:hAnsi="仿宋" w:eastAsia="仿宋" w:cs="Courier New"/>
                <w:color w:val="auto"/>
                <w:kern w:val="0"/>
                <w:sz w:val="28"/>
                <w:szCs w:val="28"/>
                <w:highlight w:val="none"/>
                <w:lang w:val="en-US" w:eastAsia="zh-CN"/>
              </w:rPr>
            </w:pPr>
            <w:r>
              <w:rPr>
                <w:rFonts w:hint="eastAsia" w:ascii="仿宋" w:hAnsi="仿宋" w:eastAsia="仿宋" w:cs="Courier New"/>
                <w:color w:val="auto"/>
                <w:kern w:val="0"/>
                <w:sz w:val="28"/>
                <w:szCs w:val="28"/>
                <w:highlight w:val="none"/>
                <w:lang w:val="en-US" w:eastAsia="zh-CN"/>
              </w:rPr>
              <w:t>其它</w:t>
            </w:r>
          </w:p>
        </w:tc>
        <w:tc>
          <w:tcPr>
            <w:tcW w:w="3355" w:type="pct"/>
            <w:noWrap w:val="0"/>
            <w:vAlign w:val="center"/>
          </w:tcPr>
          <w:p w14:paraId="0B18DF0C">
            <w:pPr>
              <w:adjustRightInd w:val="0"/>
              <w:snapToGrid w:val="0"/>
              <w:spacing w:line="400" w:lineRule="exac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拟派项目负责人需进行述标答辩</w:t>
            </w:r>
          </w:p>
          <w:p w14:paraId="079C45B0">
            <w:pPr>
              <w:adjustRightInd w:val="0"/>
              <w:snapToGrid w:val="0"/>
              <w:spacing w:line="400" w:lineRule="exac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1.述标答辩时间:202</w:t>
            </w:r>
            <w:r>
              <w:rPr>
                <w:rFonts w:hint="eastAsia" w:ascii="仿宋" w:hAnsi="仿宋" w:eastAsia="仿宋"/>
                <w:color w:val="auto"/>
                <w:kern w:val="0"/>
                <w:sz w:val="28"/>
                <w:szCs w:val="28"/>
                <w:highlight w:val="none"/>
                <w:lang w:val="en-US" w:eastAsia="zh-CN"/>
              </w:rPr>
              <w:t>6</w:t>
            </w:r>
            <w:r>
              <w:rPr>
                <w:rFonts w:hint="eastAsia" w:ascii="仿宋" w:hAnsi="仿宋" w:eastAsia="仿宋"/>
                <w:color w:val="auto"/>
                <w:kern w:val="0"/>
                <w:sz w:val="28"/>
                <w:szCs w:val="28"/>
                <w:highlight w:val="none"/>
              </w:rPr>
              <w:t>年</w:t>
            </w:r>
            <w:r>
              <w:rPr>
                <w:rFonts w:hint="eastAsia" w:ascii="仿宋" w:hAnsi="仿宋" w:eastAsia="仿宋"/>
                <w:color w:val="auto"/>
                <w:kern w:val="0"/>
                <w:sz w:val="28"/>
                <w:szCs w:val="28"/>
                <w:highlight w:val="none"/>
                <w:lang w:val="en-US" w:eastAsia="zh-CN"/>
              </w:rPr>
              <w:t>6</w:t>
            </w:r>
            <w:r>
              <w:rPr>
                <w:rFonts w:hint="eastAsia" w:ascii="仿宋" w:hAnsi="仿宋" w:eastAsia="仿宋"/>
                <w:color w:val="auto"/>
                <w:kern w:val="0"/>
                <w:sz w:val="28"/>
                <w:szCs w:val="28"/>
                <w:highlight w:val="none"/>
              </w:rPr>
              <w:t>月</w:t>
            </w:r>
            <w:r>
              <w:rPr>
                <w:rFonts w:hint="eastAsia" w:ascii="仿宋" w:hAnsi="仿宋" w:eastAsia="仿宋"/>
                <w:color w:val="auto"/>
                <w:kern w:val="0"/>
                <w:sz w:val="28"/>
                <w:szCs w:val="28"/>
                <w:highlight w:val="none"/>
                <w:lang w:val="en-US" w:eastAsia="zh-CN"/>
              </w:rPr>
              <w:t>23</w:t>
            </w:r>
            <w:r>
              <w:rPr>
                <w:rFonts w:hint="eastAsia" w:ascii="仿宋" w:hAnsi="仿宋" w:eastAsia="仿宋"/>
                <w:color w:val="auto"/>
                <w:kern w:val="0"/>
                <w:sz w:val="28"/>
                <w:szCs w:val="28"/>
                <w:highlight w:val="none"/>
              </w:rPr>
              <w:t>日</w:t>
            </w:r>
            <w:r>
              <w:rPr>
                <w:rFonts w:hint="eastAsia" w:ascii="仿宋" w:hAnsi="仿宋" w:eastAsia="仿宋"/>
                <w:color w:val="auto"/>
                <w:kern w:val="0"/>
                <w:sz w:val="28"/>
                <w:szCs w:val="28"/>
                <w:highlight w:val="none"/>
                <w:lang w:val="en-US" w:eastAsia="zh-CN"/>
              </w:rPr>
              <w:t>14</w:t>
            </w:r>
            <w:r>
              <w:rPr>
                <w:rFonts w:hint="eastAsia" w:ascii="仿宋" w:hAnsi="仿宋" w:eastAsia="仿宋"/>
                <w:color w:val="auto"/>
                <w:kern w:val="0"/>
                <w:sz w:val="28"/>
                <w:szCs w:val="28"/>
                <w:highlight w:val="none"/>
              </w:rPr>
              <w:t>:</w:t>
            </w:r>
            <w:r>
              <w:rPr>
                <w:rFonts w:hint="eastAsia" w:ascii="仿宋" w:hAnsi="仿宋" w:eastAsia="仿宋"/>
                <w:color w:val="auto"/>
                <w:kern w:val="0"/>
                <w:sz w:val="28"/>
                <w:szCs w:val="28"/>
                <w:highlight w:val="none"/>
                <w:lang w:val="en-US" w:eastAsia="zh-CN"/>
              </w:rPr>
              <w:t>0</w:t>
            </w:r>
            <w:r>
              <w:rPr>
                <w:rFonts w:hint="eastAsia" w:ascii="仿宋" w:hAnsi="仿宋" w:eastAsia="仿宋"/>
                <w:color w:val="auto"/>
                <w:kern w:val="0"/>
                <w:sz w:val="28"/>
                <w:szCs w:val="28"/>
                <w:highlight w:val="none"/>
              </w:rPr>
              <w:t>0（暂定，若有调整，以招标人通知为准。）</w:t>
            </w:r>
          </w:p>
          <w:p w14:paraId="57F48286">
            <w:pPr>
              <w:adjustRightInd w:val="0"/>
              <w:snapToGrid w:val="0"/>
              <w:spacing w:line="400" w:lineRule="exact"/>
              <w:rPr>
                <w:rFonts w:hint="default" w:ascii="仿宋" w:hAnsi="仿宋" w:eastAsia="仿宋"/>
                <w:color w:val="auto"/>
                <w:sz w:val="28"/>
                <w:szCs w:val="28"/>
                <w:highlight w:val="none"/>
                <w:u w:val="single"/>
                <w:lang w:val="en-US" w:eastAsia="zh-CN"/>
              </w:rPr>
            </w:pPr>
            <w:r>
              <w:rPr>
                <w:rFonts w:hint="eastAsia" w:ascii="仿宋" w:hAnsi="仿宋" w:eastAsia="仿宋"/>
                <w:color w:val="auto"/>
                <w:kern w:val="0"/>
                <w:sz w:val="28"/>
                <w:szCs w:val="28"/>
                <w:highlight w:val="none"/>
              </w:rPr>
              <w:t>2.述标答辩地点:</w:t>
            </w:r>
            <w:r>
              <w:rPr>
                <w:rFonts w:hint="eastAsia" w:ascii="仿宋" w:hAnsi="仿宋" w:eastAsia="仿宋" w:cs="Courier New"/>
                <w:color w:val="auto"/>
                <w:kern w:val="0"/>
                <w:sz w:val="28"/>
                <w:szCs w:val="28"/>
                <w:highlight w:val="none"/>
                <w:u w:val="single"/>
                <w:lang w:val="en-US" w:eastAsia="zh-CN"/>
              </w:rPr>
              <w:t>重庆市巴南区东城大道8号华南城招商行政中心二楼</w:t>
            </w:r>
          </w:p>
          <w:p w14:paraId="6AC8B6AA">
            <w:pPr>
              <w:adjustRightInd w:val="0"/>
              <w:snapToGrid w:val="0"/>
              <w:spacing w:line="400" w:lineRule="exac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3.述标答辩要求：</w:t>
            </w:r>
          </w:p>
          <w:p w14:paraId="0986ADA6">
            <w:pPr>
              <w:adjustRightInd w:val="0"/>
              <w:snapToGrid w:val="0"/>
              <w:spacing w:line="400" w:lineRule="exact"/>
              <w:rPr>
                <w:rFonts w:hint="eastAsia" w:ascii="仿宋" w:hAnsi="仿宋" w:eastAsia="仿宋"/>
                <w:color w:val="auto"/>
                <w:kern w:val="0"/>
                <w:sz w:val="28"/>
                <w:szCs w:val="28"/>
                <w:highlight w:val="none"/>
              </w:rPr>
            </w:pPr>
            <w:r>
              <w:rPr>
                <w:rFonts w:hint="eastAsia" w:ascii="仿宋" w:hAnsi="仿宋" w:eastAsia="仿宋"/>
                <w:color w:val="auto"/>
                <w:sz w:val="28"/>
                <w:szCs w:val="28"/>
                <w:highlight w:val="none"/>
              </w:rPr>
              <w:t>(1)拟派项目负责人需持授权委托书、身份证原件、复印件及最近1个月的社保缴纳证明等资料进行身份核验。(2)围绕技术标评审的要求进行述标，形式不限。(3)述标答辩时间不超过15分钟，其中述标时限10分钟，答辩时间时限5分钟。</w:t>
            </w:r>
          </w:p>
        </w:tc>
      </w:tr>
    </w:tbl>
    <w:p w14:paraId="0619C1F6">
      <w:pPr>
        <w:rPr>
          <w:color w:val="auto"/>
          <w:highlight w:val="none"/>
        </w:rPr>
      </w:pPr>
    </w:p>
    <w:p w14:paraId="18FF481C">
      <w:pPr>
        <w:pStyle w:val="71"/>
        <w:spacing w:line="360" w:lineRule="auto"/>
        <w:ind w:firstLine="562"/>
        <w:rPr>
          <w:rFonts w:ascii="宋体" w:hAnsi="宋体"/>
          <w:b/>
          <w:bCs/>
          <w:color w:val="auto"/>
          <w:kern w:val="0"/>
          <w:sz w:val="28"/>
          <w:szCs w:val="28"/>
          <w:highlight w:val="none"/>
        </w:rPr>
      </w:pPr>
      <w:r>
        <w:rPr>
          <w:rFonts w:ascii="宋体" w:hAnsi="宋体"/>
          <w:b/>
          <w:bCs/>
          <w:color w:val="auto"/>
          <w:kern w:val="0"/>
          <w:sz w:val="28"/>
          <w:szCs w:val="28"/>
          <w:highlight w:val="none"/>
        </w:rPr>
        <w:br w:type="page"/>
      </w:r>
    </w:p>
    <w:bookmarkEnd w:id="23"/>
    <w:bookmarkEnd w:id="24"/>
    <w:bookmarkEnd w:id="25"/>
    <w:p w14:paraId="7627810A">
      <w:pPr>
        <w:pStyle w:val="4"/>
        <w:spacing w:before="0" w:after="0" w:line="560" w:lineRule="exact"/>
        <w:jc w:val="center"/>
        <w:rPr>
          <w:rFonts w:ascii="黑体" w:hAnsi="黑体" w:eastAsia="黑体"/>
          <w:color w:val="auto"/>
          <w:sz w:val="36"/>
          <w:szCs w:val="36"/>
          <w:highlight w:val="none"/>
        </w:rPr>
      </w:pPr>
      <w:bookmarkStart w:id="28" w:name="_Toc24980"/>
      <w:bookmarkStart w:id="29" w:name="_Toc7583"/>
      <w:bookmarkStart w:id="30" w:name="_Toc80800143"/>
      <w:bookmarkStart w:id="31" w:name="_Toc29897"/>
      <w:bookmarkStart w:id="32" w:name="_Toc80800160"/>
      <w:r>
        <w:rPr>
          <w:rFonts w:hint="eastAsia" w:ascii="黑体" w:hAnsi="黑体" w:eastAsia="黑体"/>
          <w:color w:val="auto"/>
          <w:sz w:val="36"/>
          <w:szCs w:val="36"/>
          <w:highlight w:val="none"/>
        </w:rPr>
        <w:t>（三）投标须知前附件</w:t>
      </w:r>
      <w:bookmarkEnd w:id="28"/>
      <w:bookmarkEnd w:id="29"/>
      <w:bookmarkEnd w:id="30"/>
      <w:bookmarkEnd w:id="31"/>
    </w:p>
    <w:p w14:paraId="308F6C69">
      <w:pPr>
        <w:pStyle w:val="5"/>
        <w:spacing w:before="0" w:after="0" w:line="560" w:lineRule="exact"/>
        <w:ind w:firstLine="643"/>
        <w:rPr>
          <w:rFonts w:hint="default" w:ascii="仿宋" w:hAnsi="仿宋" w:eastAsia="仿宋"/>
          <w:color w:val="auto"/>
          <w:kern w:val="0"/>
          <w:sz w:val="32"/>
          <w:szCs w:val="32"/>
          <w:highlight w:val="none"/>
          <w:lang w:val="en-US" w:eastAsia="zh-CN"/>
        </w:rPr>
      </w:pPr>
      <w:bookmarkStart w:id="33" w:name="_Toc80800144"/>
      <w:bookmarkStart w:id="34" w:name="_Toc26169"/>
      <w:bookmarkStart w:id="35" w:name="_Toc31308"/>
      <w:r>
        <w:rPr>
          <w:rFonts w:hint="eastAsia" w:ascii="仿宋" w:hAnsi="仿宋" w:eastAsia="仿宋"/>
          <w:color w:val="auto"/>
          <w:kern w:val="0"/>
          <w:sz w:val="32"/>
          <w:szCs w:val="32"/>
          <w:highlight w:val="none"/>
        </w:rPr>
        <w:t>附件一：</w:t>
      </w:r>
      <w:bookmarkEnd w:id="33"/>
      <w:r>
        <w:rPr>
          <w:rFonts w:hint="eastAsia" w:ascii="仿宋" w:hAnsi="仿宋" w:eastAsia="仿宋"/>
          <w:color w:val="auto"/>
          <w:kern w:val="0"/>
          <w:sz w:val="32"/>
          <w:szCs w:val="32"/>
          <w:highlight w:val="none"/>
          <w:lang w:val="en-US" w:eastAsia="zh-CN"/>
        </w:rPr>
        <w:t>招标公告</w:t>
      </w:r>
      <w:bookmarkEnd w:id="34"/>
      <w:bookmarkEnd w:id="35"/>
    </w:p>
    <w:p w14:paraId="63B7C57A">
      <w:pPr>
        <w:ind w:right="560"/>
        <w:jc w:val="center"/>
        <w:rPr>
          <w:rFonts w:ascii="黑体" w:hAnsi="黑体" w:eastAsia="黑体" w:cs="宋体"/>
          <w:color w:val="auto"/>
          <w:kern w:val="0"/>
          <w:sz w:val="44"/>
          <w:szCs w:val="44"/>
          <w:highlight w:val="none"/>
        </w:rPr>
      </w:pPr>
      <w:r>
        <w:rPr>
          <w:rFonts w:hint="eastAsia" w:ascii="黑体" w:hAnsi="黑体" w:eastAsia="黑体" w:cs="宋体"/>
          <w:color w:val="auto"/>
          <w:kern w:val="0"/>
          <w:sz w:val="44"/>
          <w:szCs w:val="44"/>
          <w:highlight w:val="none"/>
        </w:rPr>
        <w:t>招标公告</w:t>
      </w:r>
    </w:p>
    <w:p w14:paraId="699D748A">
      <w:pPr>
        <w:spacing w:line="560" w:lineRule="exact"/>
        <w:ind w:firstLine="562" w:firstLineChars="200"/>
        <w:rPr>
          <w:rFonts w:ascii="仿宋" w:hAnsi="仿宋" w:eastAsia="仿宋"/>
          <w:b/>
          <w:color w:val="auto"/>
          <w:sz w:val="28"/>
          <w:szCs w:val="28"/>
          <w:highlight w:val="none"/>
          <w:u w:val="single"/>
        </w:rPr>
      </w:pPr>
      <w:r>
        <w:rPr>
          <w:rFonts w:hint="eastAsia" w:ascii="仿宋" w:hAnsi="仿宋" w:eastAsia="仿宋"/>
          <w:b/>
          <w:color w:val="auto"/>
          <w:sz w:val="28"/>
          <w:szCs w:val="28"/>
          <w:highlight w:val="none"/>
        </w:rPr>
        <w:t>一、招标项目名称：</w:t>
      </w:r>
      <w:r>
        <w:rPr>
          <w:rFonts w:hint="eastAsia" w:ascii="仿宋" w:hAnsi="仿宋" w:eastAsia="仿宋"/>
          <w:b/>
          <w:color w:val="auto"/>
          <w:sz w:val="28"/>
          <w:szCs w:val="28"/>
          <w:highlight w:val="none"/>
          <w:u w:val="single"/>
        </w:rPr>
        <w:t xml:space="preserve"> </w:t>
      </w:r>
      <w:r>
        <w:rPr>
          <w:rFonts w:hint="eastAsia" w:ascii="仿宋" w:hAnsi="仿宋" w:eastAsia="仿宋"/>
          <w:color w:val="auto"/>
          <w:sz w:val="28"/>
          <w:szCs w:val="28"/>
          <w:highlight w:val="none"/>
          <w:u w:val="single"/>
        </w:rPr>
        <w:t>详见投标须知前附表1</w:t>
      </w:r>
      <w:r>
        <w:rPr>
          <w:rFonts w:hint="eastAsia" w:ascii="仿宋" w:hAnsi="仿宋" w:eastAsia="仿宋"/>
          <w:b/>
          <w:color w:val="auto"/>
          <w:sz w:val="28"/>
          <w:szCs w:val="28"/>
          <w:highlight w:val="none"/>
          <w:u w:val="single"/>
        </w:rPr>
        <w:t xml:space="preserve"> </w:t>
      </w:r>
    </w:p>
    <w:p w14:paraId="6952C847">
      <w:pPr>
        <w:spacing w:line="560" w:lineRule="exact"/>
        <w:ind w:firstLine="562" w:firstLineChars="200"/>
        <w:rPr>
          <w:rFonts w:ascii="仿宋" w:hAnsi="仿宋" w:eastAsia="仿宋"/>
          <w:color w:val="auto"/>
          <w:sz w:val="28"/>
          <w:szCs w:val="28"/>
          <w:highlight w:val="none"/>
        </w:rPr>
      </w:pPr>
      <w:r>
        <w:rPr>
          <w:rFonts w:hint="eastAsia" w:ascii="仿宋" w:hAnsi="仿宋" w:eastAsia="仿宋"/>
          <w:b/>
          <w:color w:val="auto"/>
          <w:sz w:val="28"/>
          <w:szCs w:val="28"/>
          <w:highlight w:val="none"/>
        </w:rPr>
        <w:t>二、招标方式：</w:t>
      </w:r>
      <w:r>
        <w:rPr>
          <w:rFonts w:hint="eastAsia" w:ascii="仿宋" w:hAnsi="仿宋" w:eastAsia="仿宋"/>
          <w:color w:val="auto"/>
          <w:sz w:val="28"/>
          <w:szCs w:val="28"/>
          <w:highlight w:val="none"/>
          <w:u w:val="single"/>
        </w:rPr>
        <w:t>公开招标</w:t>
      </w:r>
    </w:p>
    <w:p w14:paraId="728ED764">
      <w:pPr>
        <w:spacing w:line="560" w:lineRule="exact"/>
        <w:ind w:firstLine="562" w:firstLineChars="200"/>
        <w:rPr>
          <w:rFonts w:ascii="仿宋" w:hAnsi="仿宋" w:eastAsia="仿宋"/>
          <w:b/>
          <w:color w:val="auto"/>
          <w:sz w:val="28"/>
          <w:szCs w:val="28"/>
          <w:highlight w:val="none"/>
          <w:u w:val="single"/>
        </w:rPr>
      </w:pPr>
      <w:r>
        <w:rPr>
          <w:rFonts w:hint="eastAsia" w:ascii="仿宋" w:hAnsi="仿宋" w:eastAsia="仿宋"/>
          <w:b/>
          <w:color w:val="auto"/>
          <w:sz w:val="28"/>
          <w:szCs w:val="28"/>
          <w:highlight w:val="none"/>
        </w:rPr>
        <w:t>三、项目地点：</w:t>
      </w:r>
      <w:r>
        <w:rPr>
          <w:rFonts w:hint="eastAsia" w:ascii="仿宋" w:hAnsi="仿宋" w:eastAsia="仿宋"/>
          <w:b/>
          <w:color w:val="auto"/>
          <w:sz w:val="28"/>
          <w:szCs w:val="28"/>
          <w:highlight w:val="none"/>
          <w:u w:val="single"/>
        </w:rPr>
        <w:t xml:space="preserve"> </w:t>
      </w:r>
      <w:r>
        <w:rPr>
          <w:rFonts w:hint="eastAsia" w:ascii="仿宋" w:hAnsi="仿宋" w:eastAsia="仿宋"/>
          <w:color w:val="auto"/>
          <w:sz w:val="28"/>
          <w:szCs w:val="28"/>
          <w:highlight w:val="none"/>
          <w:u w:val="single"/>
        </w:rPr>
        <w:t>详见投标须知前附表1</w:t>
      </w:r>
      <w:r>
        <w:rPr>
          <w:rFonts w:hint="eastAsia" w:ascii="仿宋" w:hAnsi="仿宋" w:eastAsia="仿宋"/>
          <w:b/>
          <w:color w:val="auto"/>
          <w:sz w:val="28"/>
          <w:szCs w:val="28"/>
          <w:highlight w:val="none"/>
          <w:u w:val="single"/>
        </w:rPr>
        <w:t xml:space="preserve">                                         </w:t>
      </w:r>
    </w:p>
    <w:p w14:paraId="27220EBF">
      <w:pPr>
        <w:spacing w:line="560" w:lineRule="exact"/>
        <w:ind w:firstLine="562" w:firstLineChars="200"/>
        <w:rPr>
          <w:rFonts w:ascii="仿宋" w:hAnsi="仿宋" w:eastAsia="仿宋"/>
          <w:b/>
          <w:color w:val="auto"/>
          <w:sz w:val="28"/>
          <w:szCs w:val="28"/>
          <w:highlight w:val="none"/>
          <w:u w:val="single"/>
        </w:rPr>
      </w:pPr>
      <w:r>
        <w:rPr>
          <w:rFonts w:hint="eastAsia" w:ascii="仿宋" w:hAnsi="仿宋" w:eastAsia="仿宋"/>
          <w:b/>
          <w:color w:val="auto"/>
          <w:sz w:val="28"/>
          <w:szCs w:val="28"/>
          <w:highlight w:val="none"/>
        </w:rPr>
        <w:t>四、投标上限价：</w:t>
      </w:r>
      <w:r>
        <w:rPr>
          <w:rFonts w:hint="eastAsia" w:ascii="仿宋" w:hAnsi="仿宋" w:eastAsia="仿宋"/>
          <w:b/>
          <w:color w:val="auto"/>
          <w:sz w:val="28"/>
          <w:szCs w:val="28"/>
          <w:highlight w:val="none"/>
          <w:u w:val="single"/>
        </w:rPr>
        <w:t xml:space="preserve"> </w:t>
      </w:r>
      <w:r>
        <w:rPr>
          <w:rFonts w:hint="eastAsia" w:ascii="仿宋" w:hAnsi="仿宋" w:eastAsia="仿宋"/>
          <w:color w:val="auto"/>
          <w:sz w:val="28"/>
          <w:szCs w:val="28"/>
          <w:highlight w:val="none"/>
          <w:u w:val="single"/>
        </w:rPr>
        <w:t xml:space="preserve">详见投标须知前附表1 </w:t>
      </w:r>
      <w:r>
        <w:rPr>
          <w:rFonts w:hint="eastAsia" w:ascii="仿宋" w:hAnsi="仿宋" w:eastAsia="仿宋"/>
          <w:b/>
          <w:color w:val="auto"/>
          <w:sz w:val="28"/>
          <w:szCs w:val="28"/>
          <w:highlight w:val="none"/>
          <w:u w:val="single"/>
        </w:rPr>
        <w:t xml:space="preserve">                                     </w:t>
      </w:r>
    </w:p>
    <w:p w14:paraId="1D028934">
      <w:pPr>
        <w:spacing w:line="560" w:lineRule="exact"/>
        <w:ind w:firstLine="562" w:firstLineChars="200"/>
        <w:rPr>
          <w:rFonts w:ascii="仿宋" w:hAnsi="仿宋" w:eastAsia="仿宋"/>
          <w:b/>
          <w:color w:val="auto"/>
          <w:sz w:val="28"/>
          <w:szCs w:val="28"/>
          <w:highlight w:val="none"/>
          <w:u w:val="single"/>
        </w:rPr>
      </w:pPr>
      <w:r>
        <w:rPr>
          <w:rFonts w:hint="eastAsia" w:ascii="仿宋" w:hAnsi="仿宋" w:eastAsia="仿宋"/>
          <w:b/>
          <w:color w:val="auto"/>
          <w:sz w:val="28"/>
          <w:szCs w:val="28"/>
          <w:highlight w:val="none"/>
        </w:rPr>
        <w:t>五、招标范围及主要内容：</w:t>
      </w:r>
      <w:r>
        <w:rPr>
          <w:rFonts w:hint="eastAsia" w:ascii="仿宋" w:hAnsi="仿宋" w:eastAsia="仿宋"/>
          <w:b/>
          <w:color w:val="auto"/>
          <w:sz w:val="28"/>
          <w:szCs w:val="28"/>
          <w:highlight w:val="none"/>
          <w:u w:val="single"/>
        </w:rPr>
        <w:t xml:space="preserve"> </w:t>
      </w:r>
      <w:r>
        <w:rPr>
          <w:rFonts w:hint="eastAsia" w:ascii="仿宋" w:hAnsi="仿宋" w:eastAsia="仿宋"/>
          <w:color w:val="auto"/>
          <w:sz w:val="28"/>
          <w:szCs w:val="28"/>
          <w:highlight w:val="none"/>
          <w:u w:val="single"/>
        </w:rPr>
        <w:t xml:space="preserve">详见投标须知前附表1 </w:t>
      </w:r>
      <w:r>
        <w:rPr>
          <w:rFonts w:hint="eastAsia" w:ascii="仿宋" w:hAnsi="仿宋" w:eastAsia="仿宋"/>
          <w:b/>
          <w:color w:val="auto"/>
          <w:sz w:val="28"/>
          <w:szCs w:val="28"/>
          <w:highlight w:val="none"/>
          <w:u w:val="single"/>
        </w:rPr>
        <w:t xml:space="preserve">                             </w:t>
      </w:r>
    </w:p>
    <w:p w14:paraId="3B6DF1E1">
      <w:pPr>
        <w:spacing w:line="560" w:lineRule="exact"/>
        <w:ind w:firstLine="562" w:firstLineChars="200"/>
        <w:rPr>
          <w:rFonts w:ascii="仿宋" w:hAnsi="仿宋" w:eastAsia="仿宋"/>
          <w:b/>
          <w:color w:val="auto"/>
          <w:sz w:val="28"/>
          <w:szCs w:val="28"/>
          <w:highlight w:val="none"/>
          <w:u w:val="single"/>
        </w:rPr>
      </w:pPr>
      <w:r>
        <w:rPr>
          <w:rFonts w:hint="eastAsia" w:ascii="仿宋" w:hAnsi="仿宋" w:eastAsia="仿宋"/>
          <w:b/>
          <w:color w:val="auto"/>
          <w:sz w:val="28"/>
          <w:szCs w:val="28"/>
          <w:highlight w:val="none"/>
        </w:rPr>
        <w:t>六、服务周期要求：</w:t>
      </w:r>
      <w:r>
        <w:rPr>
          <w:rFonts w:hint="eastAsia" w:ascii="仿宋" w:hAnsi="仿宋" w:eastAsia="仿宋"/>
          <w:b/>
          <w:color w:val="auto"/>
          <w:sz w:val="28"/>
          <w:szCs w:val="28"/>
          <w:highlight w:val="none"/>
          <w:u w:val="single"/>
        </w:rPr>
        <w:t xml:space="preserve">       </w:t>
      </w:r>
      <w:r>
        <w:rPr>
          <w:rFonts w:hint="eastAsia" w:ascii="仿宋" w:hAnsi="仿宋" w:eastAsia="仿宋"/>
          <w:color w:val="auto"/>
          <w:sz w:val="28"/>
          <w:szCs w:val="28"/>
          <w:highlight w:val="none"/>
          <w:u w:val="single"/>
        </w:rPr>
        <w:t xml:space="preserve">详见投标须知前附表1 </w:t>
      </w:r>
      <w:r>
        <w:rPr>
          <w:rFonts w:hint="eastAsia" w:ascii="仿宋" w:hAnsi="仿宋" w:eastAsia="仿宋"/>
          <w:b/>
          <w:color w:val="auto"/>
          <w:sz w:val="28"/>
          <w:szCs w:val="28"/>
          <w:highlight w:val="none"/>
          <w:u w:val="single"/>
        </w:rPr>
        <w:t xml:space="preserve">                                </w:t>
      </w:r>
    </w:p>
    <w:p w14:paraId="6ED214A3">
      <w:pPr>
        <w:spacing w:line="560" w:lineRule="exact"/>
        <w:ind w:firstLine="562" w:firstLineChars="200"/>
        <w:rPr>
          <w:rFonts w:ascii="仿宋" w:hAnsi="仿宋" w:eastAsia="仿宋"/>
          <w:b/>
          <w:color w:val="auto"/>
          <w:sz w:val="28"/>
          <w:szCs w:val="28"/>
          <w:highlight w:val="none"/>
          <w:u w:val="single"/>
        </w:rPr>
      </w:pPr>
      <w:r>
        <w:rPr>
          <w:rFonts w:hint="eastAsia" w:ascii="仿宋" w:hAnsi="仿宋" w:eastAsia="仿宋"/>
          <w:b/>
          <w:color w:val="auto"/>
          <w:sz w:val="28"/>
          <w:szCs w:val="28"/>
          <w:highlight w:val="none"/>
        </w:rPr>
        <w:t>七、评标方法：</w:t>
      </w:r>
      <w:r>
        <w:rPr>
          <w:rFonts w:hint="eastAsia" w:ascii="仿宋" w:hAnsi="仿宋" w:eastAsia="仿宋"/>
          <w:b/>
          <w:color w:val="auto"/>
          <w:sz w:val="28"/>
          <w:szCs w:val="28"/>
          <w:highlight w:val="none"/>
          <w:u w:val="single"/>
        </w:rPr>
        <w:t xml:space="preserve">           </w:t>
      </w:r>
      <w:r>
        <w:rPr>
          <w:rFonts w:hint="eastAsia" w:ascii="仿宋" w:hAnsi="仿宋" w:eastAsia="仿宋"/>
          <w:color w:val="auto"/>
          <w:sz w:val="28"/>
          <w:szCs w:val="28"/>
          <w:highlight w:val="none"/>
          <w:u w:val="single"/>
        </w:rPr>
        <w:t xml:space="preserve">详见投标须知前附表1 </w:t>
      </w:r>
      <w:r>
        <w:rPr>
          <w:rFonts w:hint="eastAsia" w:ascii="仿宋" w:hAnsi="仿宋" w:eastAsia="仿宋"/>
          <w:b/>
          <w:color w:val="auto"/>
          <w:sz w:val="28"/>
          <w:szCs w:val="28"/>
          <w:highlight w:val="none"/>
          <w:u w:val="single"/>
        </w:rPr>
        <w:t xml:space="preserve">                                          </w:t>
      </w:r>
    </w:p>
    <w:p w14:paraId="5F412CF2">
      <w:pPr>
        <w:spacing w:line="560" w:lineRule="exact"/>
        <w:ind w:firstLine="562" w:firstLineChars="200"/>
        <w:rPr>
          <w:rFonts w:ascii="仿宋" w:hAnsi="仿宋" w:eastAsia="仿宋"/>
          <w:b/>
          <w:color w:val="auto"/>
          <w:sz w:val="28"/>
          <w:szCs w:val="28"/>
          <w:highlight w:val="none"/>
          <w:u w:val="single"/>
        </w:rPr>
      </w:pPr>
      <w:r>
        <w:rPr>
          <w:rFonts w:hint="eastAsia" w:ascii="仿宋" w:hAnsi="仿宋" w:eastAsia="仿宋"/>
          <w:b/>
          <w:color w:val="auto"/>
          <w:sz w:val="28"/>
          <w:szCs w:val="28"/>
          <w:highlight w:val="none"/>
        </w:rPr>
        <w:t>八、中标人的确定方式：</w:t>
      </w:r>
      <w:r>
        <w:rPr>
          <w:rFonts w:hint="eastAsia" w:ascii="仿宋" w:hAnsi="仿宋" w:eastAsia="仿宋"/>
          <w:b/>
          <w:color w:val="auto"/>
          <w:sz w:val="28"/>
          <w:szCs w:val="28"/>
          <w:highlight w:val="none"/>
          <w:u w:val="single"/>
        </w:rPr>
        <w:t xml:space="preserve">   </w:t>
      </w:r>
      <w:r>
        <w:rPr>
          <w:rFonts w:hint="eastAsia" w:ascii="仿宋" w:hAnsi="仿宋" w:eastAsia="仿宋"/>
          <w:color w:val="auto"/>
          <w:sz w:val="28"/>
          <w:szCs w:val="28"/>
          <w:highlight w:val="none"/>
          <w:u w:val="single"/>
        </w:rPr>
        <w:t xml:space="preserve">详见投标须知前附表1 </w:t>
      </w:r>
      <w:r>
        <w:rPr>
          <w:rFonts w:hint="eastAsia" w:ascii="仿宋" w:hAnsi="仿宋" w:eastAsia="仿宋"/>
          <w:b/>
          <w:color w:val="auto"/>
          <w:sz w:val="28"/>
          <w:szCs w:val="28"/>
          <w:highlight w:val="none"/>
          <w:u w:val="single"/>
        </w:rPr>
        <w:t xml:space="preserve">                                 </w:t>
      </w:r>
    </w:p>
    <w:p w14:paraId="10A90ED0">
      <w:pPr>
        <w:spacing w:line="560" w:lineRule="exact"/>
        <w:ind w:firstLine="562" w:firstLineChars="200"/>
        <w:rPr>
          <w:rFonts w:ascii="仿宋" w:hAnsi="仿宋" w:eastAsia="仿宋"/>
          <w:b/>
          <w:color w:val="auto"/>
          <w:sz w:val="28"/>
          <w:szCs w:val="28"/>
          <w:highlight w:val="none"/>
          <w:u w:val="single"/>
        </w:rPr>
      </w:pPr>
      <w:r>
        <w:rPr>
          <w:rFonts w:hint="eastAsia" w:ascii="仿宋" w:hAnsi="仿宋" w:eastAsia="仿宋"/>
          <w:b/>
          <w:color w:val="auto"/>
          <w:sz w:val="28"/>
          <w:szCs w:val="28"/>
          <w:highlight w:val="none"/>
        </w:rPr>
        <w:t>九、投标申请人资格要求：</w:t>
      </w:r>
      <w:r>
        <w:rPr>
          <w:rFonts w:hint="eastAsia" w:ascii="仿宋" w:hAnsi="仿宋" w:eastAsia="仿宋"/>
          <w:b/>
          <w:color w:val="auto"/>
          <w:sz w:val="28"/>
          <w:szCs w:val="28"/>
          <w:highlight w:val="none"/>
          <w:u w:val="single"/>
        </w:rPr>
        <w:t xml:space="preserve"> </w:t>
      </w:r>
      <w:r>
        <w:rPr>
          <w:rFonts w:hint="eastAsia" w:ascii="仿宋" w:hAnsi="仿宋" w:eastAsia="仿宋"/>
          <w:color w:val="auto"/>
          <w:sz w:val="28"/>
          <w:szCs w:val="28"/>
          <w:highlight w:val="none"/>
          <w:u w:val="single"/>
        </w:rPr>
        <w:t xml:space="preserve">详见投标须知前附表1 </w:t>
      </w:r>
      <w:r>
        <w:rPr>
          <w:rFonts w:hint="eastAsia" w:ascii="仿宋" w:hAnsi="仿宋" w:eastAsia="仿宋"/>
          <w:b/>
          <w:color w:val="auto"/>
          <w:sz w:val="28"/>
          <w:szCs w:val="28"/>
          <w:highlight w:val="none"/>
          <w:u w:val="single"/>
        </w:rPr>
        <w:t xml:space="preserve">                      </w:t>
      </w:r>
    </w:p>
    <w:p w14:paraId="12E8233C">
      <w:pPr>
        <w:spacing w:line="560" w:lineRule="exact"/>
        <w:ind w:firstLine="562" w:firstLineChars="200"/>
        <w:rPr>
          <w:rFonts w:ascii="仿宋" w:hAnsi="仿宋" w:eastAsia="仿宋"/>
          <w:b/>
          <w:color w:val="auto"/>
          <w:sz w:val="28"/>
          <w:szCs w:val="28"/>
          <w:highlight w:val="none"/>
          <w:u w:val="single"/>
        </w:rPr>
      </w:pPr>
      <w:r>
        <w:rPr>
          <w:rFonts w:hint="eastAsia" w:ascii="仿宋" w:hAnsi="仿宋" w:eastAsia="仿宋"/>
          <w:b/>
          <w:color w:val="auto"/>
          <w:sz w:val="28"/>
          <w:szCs w:val="28"/>
          <w:highlight w:val="none"/>
        </w:rPr>
        <w:t>十、拟派项目负责人资格要求：</w:t>
      </w:r>
      <w:r>
        <w:rPr>
          <w:rFonts w:hint="eastAsia" w:ascii="仿宋" w:hAnsi="仿宋" w:eastAsia="仿宋"/>
          <w:color w:val="auto"/>
          <w:sz w:val="28"/>
          <w:szCs w:val="28"/>
          <w:highlight w:val="none"/>
          <w:u w:val="single"/>
        </w:rPr>
        <w:t>详见投标须知前附表1</w:t>
      </w:r>
    </w:p>
    <w:p w14:paraId="7EFACE75">
      <w:pPr>
        <w:spacing w:line="560" w:lineRule="exact"/>
        <w:ind w:firstLine="562" w:firstLineChars="200"/>
        <w:rPr>
          <w:rFonts w:ascii="仿宋" w:hAnsi="仿宋" w:eastAsia="仿宋"/>
          <w:b/>
          <w:color w:val="auto"/>
          <w:sz w:val="28"/>
          <w:szCs w:val="28"/>
          <w:highlight w:val="none"/>
        </w:rPr>
      </w:pPr>
      <w:r>
        <w:rPr>
          <w:rFonts w:hint="eastAsia" w:ascii="仿宋" w:hAnsi="仿宋" w:eastAsia="仿宋"/>
          <w:b/>
          <w:color w:val="auto"/>
          <w:sz w:val="28"/>
          <w:szCs w:val="28"/>
          <w:highlight w:val="none"/>
        </w:rPr>
        <w:t>十一、招标文件的获取</w:t>
      </w:r>
    </w:p>
    <w:p w14:paraId="40AB9562">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（一）投标申请人资格条件符合招标公告要求的，招标人将向合格投标报名单位免费发放招标文件。</w:t>
      </w:r>
    </w:p>
    <w:p w14:paraId="41CCB5E8">
      <w:pPr>
        <w:spacing w:line="560" w:lineRule="exact"/>
        <w:ind w:firstLine="560" w:firstLineChars="200"/>
        <w:rPr>
          <w:rFonts w:ascii="仿宋" w:hAnsi="仿宋" w:eastAsia="仿宋"/>
          <w:color w:val="auto"/>
          <w:sz w:val="28"/>
          <w:szCs w:val="28"/>
          <w:highlight w:val="none"/>
          <w:u w:val="single"/>
        </w:rPr>
      </w:pPr>
      <w:r>
        <w:rPr>
          <w:rFonts w:hint="eastAsia" w:ascii="仿宋" w:hAnsi="仿宋" w:eastAsia="仿宋"/>
          <w:color w:val="auto"/>
          <w:sz w:val="28"/>
          <w:szCs w:val="28"/>
          <w:highlight w:val="none"/>
        </w:rPr>
        <w:t>（二）招标文件领取时间：</w:t>
      </w:r>
      <w:r>
        <w:rPr>
          <w:rFonts w:hint="eastAsia" w:ascii="仿宋" w:hAnsi="仿宋" w:eastAsia="仿宋"/>
          <w:color w:val="auto"/>
          <w:sz w:val="28"/>
          <w:szCs w:val="28"/>
          <w:highlight w:val="none"/>
          <w:u w:val="single"/>
        </w:rPr>
        <w:t xml:space="preserve"> 详见投标须知前附表</w:t>
      </w:r>
      <w:r>
        <w:rPr>
          <w:rFonts w:hint="eastAsia" w:ascii="仿宋" w:hAnsi="仿宋" w:eastAsia="仿宋"/>
          <w:color w:val="auto"/>
          <w:sz w:val="28"/>
          <w:szCs w:val="28"/>
          <w:highlight w:val="none"/>
          <w:u w:val="single"/>
          <w:lang w:val="en-US" w:eastAsia="zh-CN"/>
        </w:rPr>
        <w:t>2</w:t>
      </w:r>
      <w:r>
        <w:rPr>
          <w:rFonts w:hint="eastAsia" w:ascii="仿宋" w:hAnsi="仿宋" w:eastAsia="仿宋"/>
          <w:color w:val="auto"/>
          <w:sz w:val="28"/>
          <w:szCs w:val="28"/>
          <w:highlight w:val="none"/>
          <w:u w:val="single"/>
        </w:rPr>
        <w:t xml:space="preserve">                        </w:t>
      </w:r>
    </w:p>
    <w:p w14:paraId="1F0B069C">
      <w:pPr>
        <w:spacing w:line="560" w:lineRule="exact"/>
        <w:ind w:firstLine="560" w:firstLineChars="200"/>
        <w:rPr>
          <w:rFonts w:ascii="仿宋" w:hAnsi="仿宋" w:eastAsia="仿宋"/>
          <w:color w:val="auto"/>
          <w:sz w:val="28"/>
          <w:szCs w:val="28"/>
          <w:highlight w:val="none"/>
          <w:u w:val="single"/>
        </w:rPr>
      </w:pPr>
      <w:r>
        <w:rPr>
          <w:rFonts w:hint="eastAsia" w:ascii="仿宋" w:hAnsi="仿宋" w:eastAsia="仿宋"/>
          <w:color w:val="auto"/>
          <w:sz w:val="28"/>
          <w:szCs w:val="28"/>
          <w:highlight w:val="none"/>
        </w:rPr>
        <w:t>（三）招标文件领取地点：</w:t>
      </w:r>
      <w:r>
        <w:rPr>
          <w:rFonts w:hint="eastAsia" w:ascii="仿宋" w:hAnsi="仿宋" w:eastAsia="仿宋"/>
          <w:color w:val="auto"/>
          <w:sz w:val="28"/>
          <w:szCs w:val="28"/>
          <w:highlight w:val="none"/>
          <w:u w:val="single"/>
        </w:rPr>
        <w:t xml:space="preserve"> 详见投标须知前附表</w:t>
      </w:r>
      <w:r>
        <w:rPr>
          <w:rFonts w:hint="eastAsia" w:ascii="仿宋" w:hAnsi="仿宋" w:eastAsia="仿宋"/>
          <w:color w:val="auto"/>
          <w:sz w:val="28"/>
          <w:szCs w:val="28"/>
          <w:highlight w:val="none"/>
          <w:u w:val="single"/>
          <w:lang w:val="en-US" w:eastAsia="zh-CN"/>
        </w:rPr>
        <w:t>2</w:t>
      </w:r>
      <w:r>
        <w:rPr>
          <w:rFonts w:hint="eastAsia" w:ascii="仿宋" w:hAnsi="仿宋" w:eastAsia="仿宋"/>
          <w:color w:val="auto"/>
          <w:sz w:val="28"/>
          <w:szCs w:val="28"/>
          <w:highlight w:val="none"/>
          <w:u w:val="single"/>
        </w:rPr>
        <w:t xml:space="preserve">                                     </w:t>
      </w:r>
    </w:p>
    <w:p w14:paraId="49A4FB87">
      <w:pPr>
        <w:spacing w:line="560" w:lineRule="exact"/>
        <w:ind w:firstLine="560" w:firstLineChars="200"/>
        <w:rPr>
          <w:rFonts w:ascii="仿宋" w:hAnsi="仿宋" w:eastAsia="仿宋"/>
          <w:color w:val="auto"/>
          <w:sz w:val="28"/>
          <w:szCs w:val="28"/>
          <w:highlight w:val="none"/>
          <w:u w:val="single"/>
        </w:rPr>
      </w:pPr>
      <w:r>
        <w:rPr>
          <w:rFonts w:hint="eastAsia" w:ascii="仿宋" w:hAnsi="仿宋" w:eastAsia="仿宋"/>
          <w:color w:val="auto"/>
          <w:sz w:val="28"/>
          <w:szCs w:val="28"/>
          <w:highlight w:val="none"/>
        </w:rPr>
        <w:t>（四）需携带资料：</w:t>
      </w:r>
      <w:r>
        <w:rPr>
          <w:rFonts w:hint="eastAsia" w:ascii="仿宋" w:hAnsi="仿宋" w:eastAsia="仿宋"/>
          <w:color w:val="auto"/>
          <w:sz w:val="28"/>
          <w:szCs w:val="28"/>
          <w:highlight w:val="none"/>
          <w:u w:val="single"/>
        </w:rPr>
        <w:t xml:space="preserve">  /  </w:t>
      </w:r>
    </w:p>
    <w:p w14:paraId="472CC08D">
      <w:pPr>
        <w:spacing w:line="560" w:lineRule="exact"/>
        <w:ind w:firstLine="562" w:firstLineChars="200"/>
        <w:rPr>
          <w:rFonts w:ascii="仿宋" w:hAnsi="仿宋" w:eastAsia="仿宋"/>
          <w:b/>
          <w:color w:val="auto"/>
          <w:sz w:val="28"/>
          <w:szCs w:val="28"/>
          <w:highlight w:val="none"/>
        </w:rPr>
      </w:pPr>
      <w:r>
        <w:rPr>
          <w:rFonts w:hint="eastAsia" w:ascii="仿宋" w:hAnsi="仿宋" w:eastAsia="仿宋"/>
          <w:b/>
          <w:color w:val="auto"/>
          <w:sz w:val="28"/>
          <w:szCs w:val="28"/>
          <w:highlight w:val="none"/>
        </w:rPr>
        <w:t>十二、投标文件的递交</w:t>
      </w:r>
    </w:p>
    <w:p w14:paraId="11B93B9F">
      <w:pPr>
        <w:wordWrap w:val="0"/>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（一）截标时间：</w:t>
      </w:r>
      <w:r>
        <w:rPr>
          <w:rFonts w:hint="eastAsia" w:ascii="仿宋" w:hAnsi="仿宋" w:eastAsia="仿宋"/>
          <w:color w:val="auto"/>
          <w:sz w:val="28"/>
          <w:szCs w:val="28"/>
          <w:highlight w:val="none"/>
          <w:u w:val="single"/>
        </w:rPr>
        <w:t xml:space="preserve"> 详见投标须知前附表</w:t>
      </w:r>
      <w:r>
        <w:rPr>
          <w:rFonts w:hint="eastAsia" w:ascii="仿宋" w:hAnsi="仿宋" w:eastAsia="仿宋"/>
          <w:color w:val="auto"/>
          <w:sz w:val="28"/>
          <w:szCs w:val="28"/>
          <w:highlight w:val="none"/>
          <w:u w:val="single"/>
          <w:lang w:val="en-US" w:eastAsia="zh-CN"/>
        </w:rPr>
        <w:t>2</w:t>
      </w:r>
      <w:r>
        <w:rPr>
          <w:rFonts w:hint="eastAsia" w:ascii="仿宋" w:hAnsi="仿宋" w:eastAsia="仿宋"/>
          <w:color w:val="auto"/>
          <w:sz w:val="28"/>
          <w:szCs w:val="28"/>
          <w:highlight w:val="none"/>
          <w:u w:val="single"/>
        </w:rPr>
        <w:t xml:space="preserve">                      </w:t>
      </w:r>
    </w:p>
    <w:p w14:paraId="7A46CBB0">
      <w:pPr>
        <w:spacing w:line="560" w:lineRule="exact"/>
        <w:ind w:firstLine="560" w:firstLineChars="200"/>
        <w:rPr>
          <w:rFonts w:ascii="仿宋" w:hAnsi="仿宋" w:eastAsia="仿宋"/>
          <w:color w:val="auto"/>
          <w:sz w:val="28"/>
          <w:szCs w:val="28"/>
          <w:highlight w:val="none"/>
          <w:u w:val="single"/>
        </w:rPr>
      </w:pPr>
      <w:r>
        <w:rPr>
          <w:rFonts w:hint="eastAsia" w:ascii="仿宋" w:hAnsi="仿宋" w:eastAsia="仿宋"/>
          <w:color w:val="auto"/>
          <w:sz w:val="28"/>
          <w:szCs w:val="28"/>
          <w:highlight w:val="none"/>
        </w:rPr>
        <w:t>（二）截标地点：</w:t>
      </w:r>
      <w:r>
        <w:rPr>
          <w:rFonts w:hint="eastAsia" w:ascii="仿宋" w:hAnsi="仿宋" w:eastAsia="仿宋"/>
          <w:color w:val="auto"/>
          <w:sz w:val="28"/>
          <w:szCs w:val="28"/>
          <w:highlight w:val="none"/>
          <w:u w:val="single"/>
        </w:rPr>
        <w:t xml:space="preserve">  详见投标须知前附表</w:t>
      </w:r>
      <w:r>
        <w:rPr>
          <w:rFonts w:hint="eastAsia" w:ascii="仿宋" w:hAnsi="仿宋" w:eastAsia="仿宋"/>
          <w:color w:val="auto"/>
          <w:sz w:val="28"/>
          <w:szCs w:val="28"/>
          <w:highlight w:val="none"/>
          <w:u w:val="single"/>
          <w:lang w:val="en-US" w:eastAsia="zh-CN"/>
        </w:rPr>
        <w:t>2</w:t>
      </w:r>
      <w:r>
        <w:rPr>
          <w:rFonts w:hint="eastAsia" w:ascii="仿宋" w:hAnsi="仿宋" w:eastAsia="仿宋"/>
          <w:color w:val="auto"/>
          <w:sz w:val="28"/>
          <w:szCs w:val="28"/>
          <w:highlight w:val="none"/>
          <w:u w:val="single"/>
        </w:rPr>
        <w:t xml:space="preserve">           </w:t>
      </w:r>
    </w:p>
    <w:p w14:paraId="7B49BAF3">
      <w:pPr>
        <w:spacing w:line="560" w:lineRule="exact"/>
        <w:ind w:firstLine="562" w:firstLineChars="200"/>
        <w:rPr>
          <w:rFonts w:ascii="仿宋" w:hAnsi="仿宋" w:eastAsia="仿宋"/>
          <w:b/>
          <w:color w:val="auto"/>
          <w:sz w:val="28"/>
          <w:szCs w:val="28"/>
          <w:highlight w:val="none"/>
        </w:rPr>
      </w:pPr>
      <w:r>
        <w:rPr>
          <w:rFonts w:hint="eastAsia" w:ascii="仿宋" w:hAnsi="仿宋" w:eastAsia="仿宋"/>
          <w:b/>
          <w:color w:val="auto"/>
          <w:sz w:val="28"/>
          <w:szCs w:val="28"/>
          <w:highlight w:val="none"/>
        </w:rPr>
        <w:t>十三、发布公告的媒介</w:t>
      </w:r>
    </w:p>
    <w:p w14:paraId="70E23166">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本次招标公告在</w:t>
      </w:r>
      <w:r>
        <w:rPr>
          <w:rFonts w:ascii="仿宋" w:hAnsi="仿宋" w:eastAsia="仿宋" w:cs="Courier New"/>
          <w:color w:val="auto"/>
          <w:kern w:val="0"/>
          <w:sz w:val="28"/>
          <w:szCs w:val="28"/>
          <w:highlight w:val="none"/>
        </w:rPr>
        <w:t>https://www.szygcgpt.com/</w:t>
      </w:r>
      <w:r>
        <w:rPr>
          <w:rFonts w:hint="eastAsia" w:ascii="仿宋" w:hAnsi="仿宋" w:eastAsia="仿宋" w:cs="Courier New"/>
          <w:color w:val="auto"/>
          <w:kern w:val="0"/>
          <w:sz w:val="28"/>
          <w:szCs w:val="28"/>
          <w:highlight w:val="none"/>
        </w:rPr>
        <w:t>（市属国企阳光采购服务平台）</w:t>
      </w:r>
      <w:r>
        <w:rPr>
          <w:rFonts w:hint="eastAsia" w:ascii="仿宋" w:hAnsi="仿宋" w:eastAsia="仿宋"/>
          <w:color w:val="auto"/>
          <w:sz w:val="28"/>
          <w:szCs w:val="28"/>
          <w:highlight w:val="none"/>
        </w:rPr>
        <w:t>上发布。</w:t>
      </w:r>
    </w:p>
    <w:p w14:paraId="465A803E">
      <w:pPr>
        <w:spacing w:line="560" w:lineRule="exact"/>
        <w:ind w:firstLine="562" w:firstLineChars="200"/>
        <w:rPr>
          <w:rFonts w:ascii="仿宋" w:hAnsi="仿宋" w:eastAsia="仿宋"/>
          <w:b/>
          <w:color w:val="auto"/>
          <w:sz w:val="28"/>
          <w:szCs w:val="28"/>
          <w:highlight w:val="none"/>
        </w:rPr>
      </w:pPr>
      <w:r>
        <w:rPr>
          <w:rFonts w:hint="eastAsia" w:ascii="仿宋" w:hAnsi="仿宋" w:eastAsia="仿宋"/>
          <w:b/>
          <w:color w:val="auto"/>
          <w:sz w:val="28"/>
          <w:szCs w:val="28"/>
          <w:highlight w:val="none"/>
        </w:rPr>
        <w:t>十</w:t>
      </w:r>
      <w:r>
        <w:rPr>
          <w:rFonts w:ascii="仿宋" w:hAnsi="仿宋" w:eastAsia="仿宋"/>
          <w:b/>
          <w:color w:val="auto"/>
          <w:sz w:val="28"/>
          <w:szCs w:val="28"/>
          <w:highlight w:val="none"/>
        </w:rPr>
        <w:t>四</w:t>
      </w:r>
      <w:r>
        <w:rPr>
          <w:rFonts w:hint="eastAsia" w:ascii="仿宋" w:hAnsi="仿宋" w:eastAsia="仿宋"/>
          <w:b/>
          <w:color w:val="auto"/>
          <w:sz w:val="28"/>
          <w:szCs w:val="28"/>
          <w:highlight w:val="none"/>
        </w:rPr>
        <w:t>、联系方式</w:t>
      </w:r>
    </w:p>
    <w:p w14:paraId="73A421A1">
      <w:pPr>
        <w:spacing w:line="560" w:lineRule="exact"/>
        <w:ind w:firstLine="560" w:firstLineChars="200"/>
        <w:rPr>
          <w:rFonts w:ascii="仿宋" w:hAnsi="仿宋" w:eastAsia="仿宋"/>
          <w:color w:val="auto"/>
          <w:sz w:val="28"/>
          <w:szCs w:val="28"/>
          <w:highlight w:val="none"/>
          <w:u w:val="single"/>
        </w:rPr>
      </w:pPr>
      <w:r>
        <w:rPr>
          <w:rFonts w:hint="eastAsia" w:ascii="仿宋" w:hAnsi="仿宋" w:eastAsia="仿宋"/>
          <w:color w:val="auto"/>
          <w:sz w:val="28"/>
          <w:szCs w:val="28"/>
          <w:highlight w:val="none"/>
        </w:rPr>
        <w:t>（一）联系人：</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u w:val="single"/>
          <w:lang w:val="en-US" w:eastAsia="zh-CN"/>
        </w:rPr>
        <w:t>侯红娟</w:t>
      </w:r>
      <w:r>
        <w:rPr>
          <w:rFonts w:hint="eastAsia" w:ascii="仿宋" w:hAnsi="仿宋" w:eastAsia="仿宋"/>
          <w:color w:val="auto"/>
          <w:sz w:val="28"/>
          <w:szCs w:val="28"/>
          <w:highlight w:val="none"/>
          <w:u w:val="single"/>
        </w:rPr>
        <w:t xml:space="preserve">           </w:t>
      </w:r>
    </w:p>
    <w:p w14:paraId="381EE210">
      <w:pPr>
        <w:spacing w:line="560" w:lineRule="exact"/>
        <w:ind w:firstLine="560" w:firstLineChars="200"/>
        <w:rPr>
          <w:rFonts w:ascii="仿宋" w:hAnsi="仿宋" w:eastAsia="仿宋"/>
          <w:color w:val="auto"/>
          <w:sz w:val="28"/>
          <w:szCs w:val="28"/>
          <w:highlight w:val="none"/>
          <w:u w:val="single"/>
        </w:rPr>
      </w:pPr>
      <w:r>
        <w:rPr>
          <w:rFonts w:hint="eastAsia" w:ascii="仿宋" w:hAnsi="仿宋" w:eastAsia="仿宋"/>
          <w:color w:val="auto"/>
          <w:sz w:val="28"/>
          <w:szCs w:val="28"/>
          <w:highlight w:val="none"/>
        </w:rPr>
        <w:t>（二）联系电话：</w:t>
      </w:r>
      <w:r>
        <w:rPr>
          <w:rFonts w:hint="eastAsia" w:ascii="仿宋" w:hAnsi="仿宋" w:eastAsia="仿宋"/>
          <w:color w:val="auto"/>
          <w:sz w:val="28"/>
          <w:szCs w:val="28"/>
          <w:highlight w:val="none"/>
          <w:u w:val="single"/>
        </w:rPr>
        <w:t xml:space="preserve">   </w:t>
      </w:r>
      <w:r>
        <w:rPr>
          <w:rFonts w:hint="eastAsia" w:ascii="仿宋" w:hAnsi="仿宋" w:eastAsia="仿宋" w:cs="Times New Roman"/>
          <w:color w:val="auto"/>
          <w:kern w:val="2"/>
          <w:sz w:val="28"/>
          <w:szCs w:val="28"/>
          <w:highlight w:val="none"/>
          <w:u w:val="single"/>
          <w:lang w:val="en-US" w:eastAsia="zh-CN" w:bidi="ar-SA"/>
        </w:rPr>
        <w:t>15123369571</w:t>
      </w:r>
      <w:r>
        <w:rPr>
          <w:rFonts w:hint="eastAsia" w:ascii="仿宋" w:hAnsi="仿宋" w:eastAsia="仿宋"/>
          <w:color w:val="auto"/>
          <w:sz w:val="28"/>
          <w:szCs w:val="28"/>
          <w:highlight w:val="none"/>
          <w:u w:val="single"/>
        </w:rPr>
        <w:t xml:space="preserve">     </w:t>
      </w:r>
    </w:p>
    <w:p w14:paraId="1974773F">
      <w:pPr>
        <w:spacing w:line="560" w:lineRule="exact"/>
        <w:ind w:firstLine="560" w:firstLineChars="200"/>
        <w:rPr>
          <w:rFonts w:ascii="仿宋" w:hAnsi="仿宋" w:eastAsia="仿宋"/>
          <w:color w:val="auto"/>
          <w:sz w:val="28"/>
          <w:szCs w:val="28"/>
          <w:highlight w:val="none"/>
          <w:u w:val="single"/>
        </w:rPr>
      </w:pPr>
      <w:r>
        <w:rPr>
          <w:rFonts w:hint="eastAsia" w:ascii="仿宋" w:hAnsi="仿宋" w:eastAsia="仿宋"/>
          <w:color w:val="auto"/>
          <w:sz w:val="28"/>
          <w:szCs w:val="28"/>
          <w:highlight w:val="none"/>
        </w:rPr>
        <w:t>（三）传真：</w:t>
      </w:r>
      <w:r>
        <w:rPr>
          <w:rFonts w:hint="eastAsia" w:ascii="仿宋" w:hAnsi="仿宋" w:eastAsia="仿宋"/>
          <w:color w:val="auto"/>
          <w:sz w:val="28"/>
          <w:szCs w:val="28"/>
          <w:highlight w:val="none"/>
          <w:u w:val="single"/>
        </w:rPr>
        <w:t xml:space="preserve">        /                </w:t>
      </w:r>
    </w:p>
    <w:p w14:paraId="711BC992">
      <w:pPr>
        <w:spacing w:line="560" w:lineRule="exact"/>
        <w:ind w:firstLine="560" w:firstLineChars="200"/>
        <w:rPr>
          <w:rFonts w:ascii="仿宋" w:hAnsi="仿宋" w:eastAsia="仿宋"/>
          <w:color w:val="auto"/>
          <w:sz w:val="28"/>
          <w:szCs w:val="28"/>
          <w:highlight w:val="none"/>
          <w:u w:val="single"/>
        </w:rPr>
      </w:pPr>
      <w:r>
        <w:rPr>
          <w:rFonts w:hint="eastAsia" w:ascii="仿宋" w:hAnsi="仿宋" w:eastAsia="仿宋"/>
          <w:color w:val="auto"/>
          <w:sz w:val="28"/>
          <w:szCs w:val="28"/>
          <w:highlight w:val="none"/>
        </w:rPr>
        <w:t>（四）电子邮箱：</w:t>
      </w:r>
      <w:r>
        <w:rPr>
          <w:rFonts w:hint="eastAsia" w:ascii="仿宋" w:hAnsi="仿宋" w:eastAsia="仿宋"/>
          <w:color w:val="auto"/>
          <w:sz w:val="28"/>
          <w:szCs w:val="28"/>
          <w:highlight w:val="none"/>
          <w:u w:val="single"/>
          <w:lang w:val="en-US" w:eastAsia="zh-CN"/>
        </w:rPr>
        <w:t>houhongjuan@csc-sz.com</w:t>
      </w:r>
      <w:r>
        <w:rPr>
          <w:rFonts w:hint="eastAsia" w:ascii="仿宋" w:hAnsi="仿宋" w:eastAsia="仿宋"/>
          <w:color w:val="auto"/>
          <w:sz w:val="28"/>
          <w:szCs w:val="28"/>
          <w:highlight w:val="none"/>
          <w:u w:val="single"/>
        </w:rPr>
        <w:t xml:space="preserve">  </w:t>
      </w:r>
    </w:p>
    <w:p w14:paraId="08C524C1">
      <w:pPr>
        <w:spacing w:line="560" w:lineRule="exact"/>
        <w:ind w:firstLine="560" w:firstLineChars="200"/>
        <w:rPr>
          <w:rFonts w:ascii="仿宋" w:hAnsi="仿宋" w:eastAsia="仿宋"/>
          <w:color w:val="auto"/>
          <w:sz w:val="28"/>
          <w:szCs w:val="28"/>
          <w:highlight w:val="none"/>
          <w:u w:val="single"/>
        </w:rPr>
      </w:pPr>
      <w:r>
        <w:rPr>
          <w:rFonts w:hint="eastAsia" w:ascii="仿宋" w:hAnsi="仿宋" w:eastAsia="仿宋"/>
          <w:color w:val="auto"/>
          <w:sz w:val="28"/>
          <w:szCs w:val="28"/>
          <w:highlight w:val="none"/>
        </w:rPr>
        <w:t>（五）地址：</w:t>
      </w:r>
      <w:r>
        <w:rPr>
          <w:rFonts w:hint="eastAsia" w:ascii="仿宋" w:hAnsi="仿宋" w:eastAsia="仿宋"/>
          <w:color w:val="auto"/>
          <w:sz w:val="28"/>
          <w:szCs w:val="28"/>
          <w:highlight w:val="none"/>
          <w:u w:val="single"/>
        </w:rPr>
        <w:t>详见投标须知前附表</w:t>
      </w:r>
      <w:r>
        <w:rPr>
          <w:rFonts w:hint="eastAsia" w:ascii="仿宋" w:hAnsi="仿宋" w:eastAsia="仿宋"/>
          <w:color w:val="auto"/>
          <w:sz w:val="28"/>
          <w:szCs w:val="28"/>
          <w:highlight w:val="none"/>
          <w:u w:val="single"/>
          <w:lang w:val="en-US" w:eastAsia="zh-CN"/>
        </w:rPr>
        <w:t>2</w:t>
      </w:r>
      <w:r>
        <w:rPr>
          <w:rFonts w:hint="eastAsia" w:ascii="仿宋" w:hAnsi="仿宋" w:eastAsia="仿宋"/>
          <w:color w:val="auto"/>
          <w:sz w:val="28"/>
          <w:szCs w:val="28"/>
          <w:highlight w:val="none"/>
          <w:u w:val="single"/>
        </w:rPr>
        <w:t xml:space="preserve"> </w:t>
      </w:r>
    </w:p>
    <w:p w14:paraId="1EDA68DE">
      <w:pPr>
        <w:spacing w:line="560" w:lineRule="exact"/>
        <w:jc w:val="left"/>
        <w:rPr>
          <w:rFonts w:ascii="仿宋" w:hAnsi="仿宋" w:eastAsia="仿宋"/>
          <w:color w:val="auto"/>
          <w:sz w:val="28"/>
          <w:szCs w:val="28"/>
          <w:highlight w:val="none"/>
        </w:rPr>
      </w:pPr>
    </w:p>
    <w:p w14:paraId="3BC11F93">
      <w:pPr>
        <w:spacing w:line="560" w:lineRule="exact"/>
        <w:jc w:val="left"/>
        <w:rPr>
          <w:rFonts w:ascii="仿宋" w:hAnsi="仿宋" w:eastAsia="仿宋"/>
          <w:color w:val="auto"/>
          <w:sz w:val="28"/>
          <w:szCs w:val="28"/>
          <w:highlight w:val="none"/>
          <w:u w:val="single"/>
        </w:rPr>
      </w:pPr>
      <w:r>
        <w:rPr>
          <w:rFonts w:hint="eastAsia" w:ascii="仿宋" w:hAnsi="仿宋" w:eastAsia="仿宋"/>
          <w:color w:val="auto"/>
          <w:sz w:val="28"/>
          <w:szCs w:val="28"/>
          <w:highlight w:val="none"/>
        </w:rPr>
        <w:t xml:space="preserve">            招标人：</w:t>
      </w:r>
      <w:r>
        <w:rPr>
          <w:rFonts w:hint="eastAsia" w:ascii="仿宋" w:hAnsi="仿宋" w:eastAsia="仿宋"/>
          <w:color w:val="auto"/>
          <w:sz w:val="28"/>
          <w:szCs w:val="28"/>
          <w:highlight w:val="none"/>
          <w:u w:val="single"/>
        </w:rPr>
        <w:t>深圳第一亚太物业管理有限公司</w:t>
      </w:r>
      <w:r>
        <w:rPr>
          <w:rFonts w:hint="eastAsia" w:ascii="仿宋" w:hAnsi="仿宋" w:eastAsia="仿宋"/>
          <w:color w:val="auto"/>
          <w:sz w:val="28"/>
          <w:szCs w:val="28"/>
          <w:highlight w:val="none"/>
          <w:u w:val="single"/>
          <w:lang w:val="en-US" w:eastAsia="zh-CN"/>
        </w:rPr>
        <w:t>重庆</w:t>
      </w:r>
      <w:r>
        <w:rPr>
          <w:rFonts w:hint="eastAsia" w:ascii="仿宋" w:hAnsi="仿宋" w:eastAsia="仿宋"/>
          <w:color w:val="auto"/>
          <w:sz w:val="28"/>
          <w:szCs w:val="28"/>
          <w:highlight w:val="none"/>
          <w:u w:val="single"/>
        </w:rPr>
        <w:t>分公司</w:t>
      </w:r>
    </w:p>
    <w:p w14:paraId="6E4EF0E4">
      <w:pPr>
        <w:spacing w:line="560" w:lineRule="exact"/>
        <w:ind w:firstLine="560" w:firstLineChars="200"/>
        <w:jc w:val="left"/>
        <w:rPr>
          <w:rFonts w:ascii="仿宋" w:hAnsi="仿宋" w:eastAsia="仿宋" w:cs="仿宋_GB2312"/>
          <w:color w:val="auto"/>
          <w:kern w:val="0"/>
          <w:sz w:val="28"/>
          <w:szCs w:val="28"/>
          <w:highlight w:val="none"/>
        </w:rPr>
      </w:pPr>
      <w:r>
        <w:rPr>
          <w:rFonts w:hint="eastAsia" w:ascii="仿宋" w:hAnsi="仿宋" w:eastAsia="仿宋" w:cs="仿宋_GB2312"/>
          <w:color w:val="auto"/>
          <w:kern w:val="0"/>
          <w:sz w:val="28"/>
          <w:szCs w:val="28"/>
          <w:highlight w:val="none"/>
        </w:rPr>
        <w:t xml:space="preserve">                                              </w:t>
      </w:r>
    </w:p>
    <w:p w14:paraId="76F4B416">
      <w:pPr>
        <w:spacing w:line="560" w:lineRule="exact"/>
        <w:ind w:firstLine="560" w:firstLineChars="200"/>
        <w:jc w:val="left"/>
        <w:rPr>
          <w:rFonts w:ascii="仿宋" w:hAnsi="仿宋" w:eastAsia="仿宋" w:cs="仿宋_GB2312"/>
          <w:color w:val="auto"/>
          <w:kern w:val="0"/>
          <w:sz w:val="28"/>
          <w:szCs w:val="28"/>
          <w:highlight w:val="none"/>
        </w:rPr>
      </w:pPr>
      <w:r>
        <w:rPr>
          <w:rFonts w:hint="eastAsia" w:ascii="仿宋" w:hAnsi="仿宋" w:eastAsia="仿宋" w:cs="仿宋_GB2312"/>
          <w:color w:val="auto"/>
          <w:kern w:val="0"/>
          <w:sz w:val="28"/>
          <w:szCs w:val="28"/>
          <w:highlight w:val="none"/>
        </w:rPr>
        <w:t xml:space="preserve">                                 202</w:t>
      </w:r>
      <w:r>
        <w:rPr>
          <w:rFonts w:hint="eastAsia" w:ascii="仿宋" w:hAnsi="仿宋" w:eastAsia="仿宋" w:cs="仿宋_GB2312"/>
          <w:color w:val="auto"/>
          <w:kern w:val="0"/>
          <w:sz w:val="28"/>
          <w:szCs w:val="28"/>
          <w:highlight w:val="none"/>
          <w:lang w:val="en-US" w:eastAsia="zh-CN"/>
        </w:rPr>
        <w:t>6</w:t>
      </w:r>
      <w:r>
        <w:rPr>
          <w:rFonts w:hint="eastAsia" w:ascii="仿宋" w:hAnsi="仿宋" w:eastAsia="仿宋" w:cs="仿宋_GB2312"/>
          <w:color w:val="auto"/>
          <w:kern w:val="0"/>
          <w:sz w:val="28"/>
          <w:szCs w:val="28"/>
          <w:highlight w:val="none"/>
        </w:rPr>
        <w:t>年</w:t>
      </w:r>
      <w:r>
        <w:rPr>
          <w:rFonts w:hint="eastAsia" w:ascii="仿宋" w:hAnsi="仿宋" w:eastAsia="仿宋" w:cs="仿宋_GB2312"/>
          <w:color w:val="auto"/>
          <w:kern w:val="0"/>
          <w:sz w:val="28"/>
          <w:szCs w:val="28"/>
          <w:highlight w:val="none"/>
          <w:lang w:val="en-US" w:eastAsia="zh-CN"/>
        </w:rPr>
        <w:t>6</w:t>
      </w:r>
      <w:r>
        <w:rPr>
          <w:rFonts w:hint="eastAsia" w:ascii="仿宋" w:hAnsi="仿宋" w:eastAsia="仿宋" w:cs="仿宋_GB2312"/>
          <w:color w:val="auto"/>
          <w:kern w:val="0"/>
          <w:sz w:val="28"/>
          <w:szCs w:val="28"/>
          <w:highlight w:val="none"/>
        </w:rPr>
        <w:t>月</w:t>
      </w:r>
      <w:r>
        <w:rPr>
          <w:rFonts w:hint="eastAsia" w:ascii="仿宋" w:hAnsi="仿宋" w:eastAsia="仿宋" w:cs="仿宋_GB2312"/>
          <w:color w:val="auto"/>
          <w:kern w:val="0"/>
          <w:sz w:val="28"/>
          <w:szCs w:val="28"/>
          <w:highlight w:val="none"/>
          <w:lang w:val="en-US" w:eastAsia="zh-CN"/>
        </w:rPr>
        <w:t>9</w:t>
      </w:r>
      <w:r>
        <w:rPr>
          <w:rFonts w:hint="eastAsia" w:ascii="仿宋" w:hAnsi="仿宋" w:eastAsia="仿宋" w:cs="仿宋_GB2312"/>
          <w:color w:val="auto"/>
          <w:kern w:val="0"/>
          <w:sz w:val="28"/>
          <w:szCs w:val="28"/>
          <w:highlight w:val="none"/>
        </w:rPr>
        <w:t>日</w:t>
      </w:r>
    </w:p>
    <w:p w14:paraId="3B8AC192">
      <w:pPr>
        <w:spacing w:line="560" w:lineRule="exact"/>
        <w:ind w:firstLine="560" w:firstLineChars="200"/>
        <w:jc w:val="left"/>
        <w:rPr>
          <w:rFonts w:ascii="仿宋" w:hAnsi="仿宋" w:eastAsia="仿宋" w:cs="仿宋_GB2312"/>
          <w:color w:val="auto"/>
          <w:kern w:val="0"/>
          <w:sz w:val="28"/>
          <w:szCs w:val="28"/>
          <w:highlight w:val="none"/>
        </w:rPr>
      </w:pPr>
    </w:p>
    <w:p w14:paraId="52692CED">
      <w:pPr>
        <w:spacing w:line="560" w:lineRule="exact"/>
        <w:ind w:firstLine="560" w:firstLineChars="200"/>
        <w:jc w:val="left"/>
        <w:rPr>
          <w:rFonts w:hint="eastAsia" w:ascii="仿宋" w:hAnsi="仿宋" w:eastAsia="仿宋" w:cs="Times New Roman"/>
          <w:color w:val="auto"/>
          <w:sz w:val="28"/>
          <w:szCs w:val="28"/>
          <w:highlight w:val="none"/>
        </w:rPr>
      </w:pPr>
    </w:p>
    <w:p w14:paraId="5D1FB08B">
      <w:pPr>
        <w:spacing w:line="560" w:lineRule="exact"/>
        <w:ind w:firstLine="560" w:firstLineChars="200"/>
        <w:jc w:val="left"/>
        <w:rPr>
          <w:rFonts w:ascii="仿宋_GB2312" w:hAnsi="仿宋" w:eastAsia="仿宋_GB2312" w:cs="仿宋_GB2312"/>
          <w:color w:val="auto"/>
          <w:kern w:val="0"/>
          <w:sz w:val="28"/>
          <w:szCs w:val="28"/>
          <w:highlight w:val="none"/>
        </w:rPr>
      </w:pPr>
      <w:r>
        <w:rPr>
          <w:rFonts w:ascii="仿宋_GB2312" w:hAnsi="仿宋" w:eastAsia="仿宋_GB2312" w:cs="仿宋_GB2312"/>
          <w:color w:val="auto"/>
          <w:kern w:val="0"/>
          <w:sz w:val="28"/>
          <w:szCs w:val="28"/>
          <w:highlight w:val="none"/>
        </w:rPr>
        <w:br w:type="page"/>
      </w:r>
    </w:p>
    <w:p w14:paraId="346E9FA3">
      <w:pPr>
        <w:pStyle w:val="5"/>
        <w:spacing w:before="0" w:after="0" w:line="560" w:lineRule="exact"/>
        <w:rPr>
          <w:rFonts w:ascii="仿宋" w:hAnsi="仿宋" w:eastAsia="仿宋"/>
          <w:color w:val="auto"/>
          <w:kern w:val="0"/>
          <w:sz w:val="32"/>
          <w:szCs w:val="32"/>
          <w:highlight w:val="none"/>
        </w:rPr>
      </w:pPr>
      <w:bookmarkStart w:id="36" w:name="_Toc1274"/>
      <w:bookmarkStart w:id="37" w:name="_Toc80800145"/>
      <w:bookmarkStart w:id="38" w:name="_Toc5476"/>
      <w:r>
        <w:rPr>
          <w:rFonts w:hint="eastAsia" w:ascii="仿宋" w:hAnsi="仿宋" w:eastAsia="仿宋"/>
          <w:color w:val="auto"/>
          <w:kern w:val="0"/>
          <w:sz w:val="32"/>
          <w:szCs w:val="32"/>
          <w:highlight w:val="none"/>
        </w:rPr>
        <w:t>附件二：投标文件否决性条款摘要</w:t>
      </w:r>
      <w:bookmarkEnd w:id="36"/>
      <w:bookmarkEnd w:id="37"/>
      <w:bookmarkEnd w:id="38"/>
    </w:p>
    <w:p w14:paraId="29A0D8B1">
      <w:pPr>
        <w:adjustRightInd w:val="0"/>
        <w:snapToGrid w:val="0"/>
        <w:spacing w:line="360" w:lineRule="auto"/>
        <w:ind w:firstLine="643" w:firstLineChars="200"/>
        <w:jc w:val="center"/>
        <w:rPr>
          <w:rFonts w:ascii="仿宋_GB2312" w:eastAsia="仿宋_GB2312"/>
          <w:b/>
          <w:color w:val="auto"/>
          <w:kern w:val="0"/>
          <w:sz w:val="32"/>
          <w:szCs w:val="32"/>
          <w:highlight w:val="none"/>
        </w:rPr>
      </w:pPr>
    </w:p>
    <w:p w14:paraId="618F2EB0">
      <w:pPr>
        <w:adjustRightInd w:val="0"/>
        <w:snapToGrid w:val="0"/>
        <w:spacing w:line="360" w:lineRule="auto"/>
        <w:ind w:firstLine="720" w:firstLineChars="200"/>
        <w:jc w:val="center"/>
        <w:rPr>
          <w:rFonts w:ascii="黑体" w:hAnsi="黑体" w:eastAsia="黑体"/>
          <w:color w:val="auto"/>
          <w:kern w:val="0"/>
          <w:sz w:val="36"/>
          <w:szCs w:val="36"/>
          <w:highlight w:val="none"/>
        </w:rPr>
      </w:pPr>
      <w:r>
        <w:rPr>
          <w:rFonts w:hint="eastAsia" w:ascii="黑体" w:hAnsi="黑体" w:eastAsia="黑体"/>
          <w:color w:val="auto"/>
          <w:kern w:val="0"/>
          <w:sz w:val="36"/>
          <w:szCs w:val="36"/>
          <w:highlight w:val="none"/>
        </w:rPr>
        <w:t>投标文件否决性条款摘要</w:t>
      </w:r>
    </w:p>
    <w:p w14:paraId="34495728">
      <w:pPr>
        <w:adjustRightInd w:val="0"/>
        <w:snapToGrid w:val="0"/>
        <w:spacing w:line="560" w:lineRule="exact"/>
        <w:ind w:firstLine="562" w:firstLineChars="200"/>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一、</w:t>
      </w:r>
      <w:r>
        <w:rPr>
          <w:rFonts w:hint="eastAsia" w:ascii="仿宋" w:hAnsi="仿宋" w:eastAsia="仿宋"/>
          <w:b/>
          <w:color w:val="auto"/>
          <w:kern w:val="0"/>
          <w:sz w:val="28"/>
          <w:szCs w:val="28"/>
          <w:highlight w:val="none"/>
        </w:rPr>
        <w:t>开标阶段，投标文件不予受理的情形</w:t>
      </w:r>
      <w:r>
        <w:rPr>
          <w:rFonts w:hint="eastAsia" w:ascii="仿宋" w:hAnsi="仿宋" w:eastAsia="仿宋"/>
          <w:b/>
          <w:bCs/>
          <w:color w:val="auto"/>
          <w:kern w:val="0"/>
          <w:sz w:val="28"/>
          <w:szCs w:val="28"/>
          <w:highlight w:val="none"/>
        </w:rPr>
        <w:t xml:space="preserve">： </w:t>
      </w:r>
    </w:p>
    <w:p w14:paraId="26DE3750">
      <w:pPr>
        <w:adjustRightInd w:val="0"/>
        <w:snapToGrid w:val="0"/>
        <w:spacing w:line="560" w:lineRule="exact"/>
        <w:ind w:firstLine="560" w:firstLineChars="20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w:t>
      </w:r>
      <w:r>
        <w:rPr>
          <w:rFonts w:hint="eastAsia" w:ascii="仿宋" w:hAnsi="仿宋" w:eastAsia="仿宋"/>
          <w:color w:val="auto"/>
          <w:kern w:val="0"/>
          <w:sz w:val="28"/>
          <w:szCs w:val="28"/>
          <w:highlight w:val="none"/>
        </w:rPr>
        <w:t>在投标截止时间以后逾期送达的或者未送达指定地点的；</w:t>
      </w:r>
    </w:p>
    <w:p w14:paraId="034F423B">
      <w:pPr>
        <w:adjustRightInd w:val="0"/>
        <w:snapToGrid w:val="0"/>
        <w:spacing w:line="560" w:lineRule="exact"/>
        <w:ind w:firstLine="560" w:firstLineChars="2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2、投标文件中的投标资格证明文件不合格的；</w:t>
      </w:r>
    </w:p>
    <w:p w14:paraId="5BC24072">
      <w:pPr>
        <w:adjustRightInd w:val="0"/>
        <w:snapToGrid w:val="0"/>
        <w:spacing w:line="560" w:lineRule="exact"/>
        <w:ind w:firstLine="560" w:firstLineChars="200"/>
        <w:rPr>
          <w:rFonts w:ascii="仿宋" w:hAnsi="仿宋" w:eastAsia="仿宋"/>
          <w:color w:val="auto"/>
          <w:kern w:val="0"/>
          <w:sz w:val="28"/>
          <w:szCs w:val="28"/>
          <w:highlight w:val="none"/>
        </w:rPr>
      </w:pPr>
      <w:r>
        <w:rPr>
          <w:rFonts w:hint="eastAsia" w:ascii="仿宋" w:hAnsi="仿宋" w:eastAsia="仿宋"/>
          <w:bCs/>
          <w:color w:val="auto"/>
          <w:kern w:val="0"/>
          <w:sz w:val="28"/>
          <w:szCs w:val="28"/>
          <w:highlight w:val="none"/>
        </w:rPr>
        <w:t>3、</w:t>
      </w:r>
      <w:r>
        <w:rPr>
          <w:rFonts w:hint="eastAsia" w:ascii="仿宋" w:hAnsi="仿宋" w:eastAsia="仿宋"/>
          <w:color w:val="auto"/>
          <w:kern w:val="0"/>
          <w:sz w:val="28"/>
          <w:szCs w:val="28"/>
          <w:highlight w:val="none"/>
        </w:rPr>
        <w:t>投标文件的投标报价高于投标报价上限的；</w:t>
      </w:r>
    </w:p>
    <w:p w14:paraId="4A5FB053">
      <w:pPr>
        <w:adjustRightInd w:val="0"/>
        <w:snapToGrid w:val="0"/>
        <w:spacing w:line="560" w:lineRule="exact"/>
        <w:ind w:firstLine="560" w:firstLineChars="2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4、</w:t>
      </w:r>
      <w:r>
        <w:rPr>
          <w:rFonts w:hint="eastAsia" w:ascii="仿宋" w:hAnsi="仿宋" w:eastAsia="仿宋"/>
          <w:bCs/>
          <w:color w:val="auto"/>
          <w:sz w:val="28"/>
          <w:szCs w:val="28"/>
          <w:highlight w:val="none"/>
        </w:rPr>
        <w:t>投标文件承诺的服务周期超过招标文件要求的；</w:t>
      </w:r>
    </w:p>
    <w:p w14:paraId="27B8AF01">
      <w:pPr>
        <w:adjustRightInd w:val="0"/>
        <w:snapToGrid w:val="0"/>
        <w:spacing w:line="560" w:lineRule="exact"/>
        <w:ind w:firstLine="560" w:firstLineChars="200"/>
        <w:rPr>
          <w:rFonts w:ascii="仿宋" w:hAnsi="仿宋" w:eastAsia="仿宋"/>
          <w:bCs/>
          <w:color w:val="auto"/>
          <w:kern w:val="0"/>
          <w:sz w:val="28"/>
          <w:szCs w:val="28"/>
          <w:highlight w:val="none"/>
        </w:rPr>
      </w:pPr>
      <w:r>
        <w:rPr>
          <w:rFonts w:hint="eastAsia" w:ascii="仿宋" w:hAnsi="仿宋" w:eastAsia="仿宋"/>
          <w:color w:val="auto"/>
          <w:kern w:val="0"/>
          <w:sz w:val="28"/>
          <w:szCs w:val="28"/>
          <w:highlight w:val="none"/>
        </w:rPr>
        <w:t>5、未按招标文件要求提交投标保函原件的或资信标未提供投标保函复印件的(采用投标保函形式情形),投标人未按招标文件要求在资信标提供投标保证金转账凭证复印件的或截标后投标保证金未到账的(采用银行转账形式情形)，投标人在开标结束前未提交投标保函原件或在截标前投标保证金未到账的。；（需提供投标担保情形）；</w:t>
      </w:r>
    </w:p>
    <w:p w14:paraId="6F9D5BFA">
      <w:pPr>
        <w:adjustRightInd w:val="0"/>
        <w:snapToGrid w:val="0"/>
        <w:spacing w:line="560" w:lineRule="exact"/>
        <w:ind w:firstLine="560" w:firstLineChars="2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6、未按招标文件规定提交《投标函》的，且未按规定加盖投标人印章</w:t>
      </w:r>
      <w:r>
        <w:rPr>
          <w:rFonts w:hint="eastAsia" w:ascii="仿宋" w:hAnsi="仿宋" w:eastAsia="仿宋"/>
          <w:color w:val="auto"/>
          <w:kern w:val="0"/>
          <w:sz w:val="28"/>
          <w:szCs w:val="28"/>
          <w:highlight w:val="none"/>
          <w:lang w:eastAsia="zh-CN"/>
        </w:rPr>
        <w:t>或</w:t>
      </w:r>
      <w:r>
        <w:rPr>
          <w:rFonts w:hint="eastAsia" w:ascii="仿宋" w:hAnsi="仿宋" w:eastAsia="仿宋"/>
          <w:color w:val="auto"/>
          <w:kern w:val="0"/>
          <w:sz w:val="28"/>
          <w:szCs w:val="28"/>
          <w:highlight w:val="none"/>
        </w:rPr>
        <w:t>未经法定代表人或其委托代理人签字(或盖章)的；</w:t>
      </w:r>
    </w:p>
    <w:p w14:paraId="47F17E6B">
      <w:pPr>
        <w:adjustRightInd w:val="0"/>
        <w:snapToGrid w:val="0"/>
        <w:spacing w:line="560" w:lineRule="exact"/>
        <w:ind w:firstLine="560" w:firstLineChars="2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7、投标文件中存在投标人名称不统一、投标人名称与投标人公章不一致、投标文件中的招标人名称与招标文件不一致的；</w:t>
      </w:r>
    </w:p>
    <w:p w14:paraId="555D9C30">
      <w:pPr>
        <w:adjustRightInd w:val="0"/>
        <w:snapToGrid w:val="0"/>
        <w:spacing w:line="560" w:lineRule="exact"/>
        <w:ind w:firstLine="560" w:firstLineChars="2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8、投标文件的有关内容未按本须知规定加盖投标人印章、或未经法定代表人或其委托代理人签字(或盖章)、或由委托代理人签字(或盖章)但未随投标文件一起提供“投标文件签署授权委托书”原件的；</w:t>
      </w:r>
    </w:p>
    <w:p w14:paraId="6C26E75B">
      <w:pPr>
        <w:adjustRightInd w:val="0"/>
        <w:snapToGrid w:val="0"/>
        <w:spacing w:line="560" w:lineRule="exact"/>
        <w:ind w:firstLine="560" w:firstLineChars="2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9、招标人要求提交投标文件电子文档，但投标人未提交或提交的电子文档不符合本须知要求的；</w:t>
      </w:r>
    </w:p>
    <w:p w14:paraId="185A4805">
      <w:pPr>
        <w:adjustRightInd w:val="0"/>
        <w:snapToGrid w:val="0"/>
        <w:spacing w:line="560" w:lineRule="exact"/>
        <w:ind w:firstLine="560" w:firstLineChars="2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10、组成联合体投标的，投标文件中未按规定提交联合体各方共同投标协议的；</w:t>
      </w:r>
    </w:p>
    <w:p w14:paraId="5B1C63F8">
      <w:pPr>
        <w:adjustRightInd w:val="0"/>
        <w:snapToGrid w:val="0"/>
        <w:spacing w:line="560" w:lineRule="exact"/>
        <w:ind w:firstLine="560" w:firstLineChars="2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11、参加联合体的各成员再以自己的名义单独投标的，或同时参加两个（含两个）以上的联合体投标的；</w:t>
      </w:r>
    </w:p>
    <w:p w14:paraId="1B2C284E">
      <w:pPr>
        <w:adjustRightInd w:val="0"/>
        <w:snapToGrid w:val="0"/>
        <w:spacing w:line="560" w:lineRule="exact"/>
        <w:ind w:firstLine="560" w:firstLineChars="2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12、投标人没有实质性响应招标文件要求的。</w:t>
      </w:r>
    </w:p>
    <w:p w14:paraId="5B4A8C53">
      <w:pPr>
        <w:adjustRightInd w:val="0"/>
        <w:snapToGrid w:val="0"/>
        <w:spacing w:line="560" w:lineRule="exact"/>
        <w:ind w:firstLine="562" w:firstLineChars="200"/>
        <w:rPr>
          <w:rFonts w:ascii="仿宋" w:hAnsi="仿宋" w:eastAsia="仿宋"/>
          <w:color w:val="auto"/>
          <w:kern w:val="0"/>
          <w:sz w:val="28"/>
          <w:szCs w:val="28"/>
          <w:highlight w:val="none"/>
        </w:rPr>
      </w:pPr>
      <w:r>
        <w:rPr>
          <w:rFonts w:hint="eastAsia" w:ascii="仿宋" w:hAnsi="仿宋" w:eastAsia="仿宋"/>
          <w:b/>
          <w:color w:val="auto"/>
          <w:kern w:val="0"/>
          <w:sz w:val="28"/>
          <w:szCs w:val="28"/>
          <w:highlight w:val="none"/>
        </w:rPr>
        <w:t>二、评标阶段有关无效标的情形：</w:t>
      </w:r>
      <w:r>
        <w:rPr>
          <w:rFonts w:hint="eastAsia" w:ascii="仿宋" w:hAnsi="仿宋" w:eastAsia="仿宋"/>
          <w:color w:val="auto"/>
          <w:kern w:val="0"/>
          <w:sz w:val="28"/>
          <w:szCs w:val="28"/>
          <w:highlight w:val="none"/>
        </w:rPr>
        <w:t xml:space="preserve"> </w:t>
      </w:r>
    </w:p>
    <w:p w14:paraId="08865CED">
      <w:pPr>
        <w:adjustRightInd w:val="0"/>
        <w:snapToGrid w:val="0"/>
        <w:spacing w:line="560" w:lineRule="exact"/>
        <w:ind w:firstLine="560" w:firstLineChars="200"/>
        <w:rPr>
          <w:rFonts w:ascii="仿宋" w:hAnsi="仿宋" w:eastAsia="仿宋"/>
          <w:color w:val="auto"/>
          <w:kern w:val="0"/>
          <w:sz w:val="28"/>
          <w:szCs w:val="28"/>
          <w:highlight w:val="none"/>
        </w:rPr>
      </w:pPr>
      <w:r>
        <w:rPr>
          <w:rFonts w:hint="eastAsia" w:ascii="仿宋" w:hAnsi="仿宋" w:eastAsia="仿宋"/>
          <w:bCs/>
          <w:color w:val="auto"/>
          <w:kern w:val="0"/>
          <w:sz w:val="28"/>
          <w:szCs w:val="28"/>
          <w:highlight w:val="none"/>
        </w:rPr>
        <w:t>1</w:t>
      </w:r>
      <w:r>
        <w:rPr>
          <w:rFonts w:hint="eastAsia" w:ascii="仿宋" w:hAnsi="仿宋" w:eastAsia="仿宋"/>
          <w:color w:val="auto"/>
          <w:kern w:val="0"/>
          <w:sz w:val="28"/>
          <w:szCs w:val="28"/>
          <w:highlight w:val="none"/>
        </w:rPr>
        <w:t>、《投标函》未按招标文件规定填写、漏填或内容填写错误的；</w:t>
      </w:r>
    </w:p>
    <w:p w14:paraId="19536A64">
      <w:pPr>
        <w:tabs>
          <w:tab w:val="left" w:pos="6285"/>
        </w:tabs>
        <w:adjustRightInd w:val="0"/>
        <w:snapToGrid w:val="0"/>
        <w:spacing w:line="560" w:lineRule="exact"/>
        <w:ind w:firstLine="560" w:firstLineChars="2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2、投标人资格条件不符合国家有关规定和招标文件要求的；</w:t>
      </w:r>
    </w:p>
    <w:p w14:paraId="280FAFAB">
      <w:pPr>
        <w:tabs>
          <w:tab w:val="left" w:pos="6285"/>
        </w:tabs>
        <w:adjustRightInd w:val="0"/>
        <w:snapToGrid w:val="0"/>
        <w:spacing w:line="560" w:lineRule="exact"/>
        <w:ind w:firstLine="560" w:firstLineChars="2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3、投标人以他人的名义投标或出现串通投标、弄虚作假情形的；</w:t>
      </w:r>
    </w:p>
    <w:p w14:paraId="36DA2BC2">
      <w:pPr>
        <w:tabs>
          <w:tab w:val="left" w:pos="6285"/>
        </w:tabs>
        <w:adjustRightInd w:val="0"/>
        <w:snapToGrid w:val="0"/>
        <w:spacing w:line="560" w:lineRule="exact"/>
        <w:ind w:firstLine="560" w:firstLineChars="2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4、投标文件中附有招标人不能接受的条件的。</w:t>
      </w:r>
    </w:p>
    <w:p w14:paraId="6D8D2626">
      <w:pPr>
        <w:tabs>
          <w:tab w:val="left" w:pos="6285"/>
        </w:tabs>
        <w:adjustRightInd w:val="0"/>
        <w:snapToGrid w:val="0"/>
        <w:spacing w:line="560" w:lineRule="exact"/>
        <w:ind w:firstLine="562" w:firstLineChars="200"/>
        <w:rPr>
          <w:rFonts w:ascii="仿宋" w:hAnsi="仿宋" w:eastAsia="仿宋"/>
          <w:b/>
          <w:color w:val="auto"/>
          <w:kern w:val="0"/>
          <w:sz w:val="28"/>
          <w:szCs w:val="28"/>
          <w:highlight w:val="none"/>
        </w:rPr>
      </w:pPr>
      <w:r>
        <w:rPr>
          <w:rFonts w:hint="eastAsia" w:ascii="仿宋" w:hAnsi="仿宋" w:eastAsia="仿宋"/>
          <w:b/>
          <w:color w:val="auto"/>
          <w:kern w:val="0"/>
          <w:sz w:val="28"/>
          <w:szCs w:val="28"/>
          <w:highlight w:val="none"/>
        </w:rPr>
        <w:t>三、评标阶段有关废标的情形：</w:t>
      </w:r>
    </w:p>
    <w:p w14:paraId="5391E3BE">
      <w:pPr>
        <w:tabs>
          <w:tab w:val="left" w:pos="6285"/>
        </w:tabs>
        <w:adjustRightInd w:val="0"/>
        <w:snapToGrid w:val="0"/>
        <w:spacing w:line="560" w:lineRule="exact"/>
        <w:ind w:firstLine="560" w:firstLineChars="2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1、评标委员会根据招标文件的规定对投标文件的投标价格进行调整，投标人不接受调整方式、调整后价格，或调整后价格超出招标控制价的；</w:t>
      </w:r>
    </w:p>
    <w:p w14:paraId="6D36E277">
      <w:pPr>
        <w:tabs>
          <w:tab w:val="left" w:pos="6285"/>
        </w:tabs>
        <w:adjustRightInd w:val="0"/>
        <w:snapToGrid w:val="0"/>
        <w:spacing w:line="560" w:lineRule="exact"/>
        <w:ind w:firstLine="560" w:firstLineChars="2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2、投标文件不满足招标文件规定的任何一项实质性要求的；</w:t>
      </w:r>
    </w:p>
    <w:p w14:paraId="294573C6">
      <w:pPr>
        <w:tabs>
          <w:tab w:val="left" w:pos="6285"/>
        </w:tabs>
        <w:adjustRightInd w:val="0"/>
        <w:snapToGrid w:val="0"/>
        <w:spacing w:line="560" w:lineRule="exact"/>
        <w:ind w:firstLine="560" w:firstLineChars="2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3、</w:t>
      </w:r>
      <w:r>
        <w:rPr>
          <w:rFonts w:hint="eastAsia" w:ascii="仿宋" w:hAnsi="仿宋" w:eastAsia="仿宋"/>
          <w:snapToGrid w:val="0"/>
          <w:color w:val="auto"/>
          <w:kern w:val="0"/>
          <w:sz w:val="28"/>
          <w:szCs w:val="28"/>
          <w:highlight w:val="none"/>
        </w:rPr>
        <w:t>评标委员会认定的其他串通投标、弄虚作假情形</w:t>
      </w:r>
      <w:r>
        <w:rPr>
          <w:rFonts w:hint="eastAsia" w:ascii="仿宋" w:hAnsi="仿宋" w:eastAsia="仿宋"/>
          <w:color w:val="auto"/>
          <w:kern w:val="0"/>
          <w:sz w:val="28"/>
          <w:szCs w:val="28"/>
          <w:highlight w:val="none"/>
        </w:rPr>
        <w:t>。</w:t>
      </w:r>
    </w:p>
    <w:p w14:paraId="3354717C">
      <w:pPr>
        <w:adjustRightInd w:val="0"/>
        <w:snapToGrid w:val="0"/>
        <w:spacing w:line="560" w:lineRule="exact"/>
        <w:ind w:firstLine="0" w:firstLineChars="0"/>
        <w:jc w:val="left"/>
        <w:rPr>
          <w:rFonts w:ascii="仿宋" w:hAnsi="仿宋" w:eastAsia="仿宋"/>
          <w:color w:val="auto"/>
          <w:kern w:val="0"/>
          <w:sz w:val="28"/>
          <w:szCs w:val="28"/>
          <w:highlight w:val="none"/>
        </w:rPr>
      </w:pPr>
    </w:p>
    <w:p w14:paraId="680848A2">
      <w:pPr>
        <w:pStyle w:val="34"/>
        <w:rPr>
          <w:rFonts w:ascii="仿宋" w:hAnsi="仿宋" w:eastAsia="仿宋"/>
          <w:color w:val="auto"/>
          <w:kern w:val="0"/>
          <w:sz w:val="28"/>
          <w:szCs w:val="28"/>
          <w:highlight w:val="none"/>
        </w:rPr>
      </w:pPr>
    </w:p>
    <w:p w14:paraId="146A0EC5">
      <w:pPr>
        <w:pStyle w:val="34"/>
        <w:rPr>
          <w:rFonts w:ascii="仿宋" w:hAnsi="仿宋" w:eastAsia="仿宋"/>
          <w:color w:val="auto"/>
          <w:kern w:val="0"/>
          <w:sz w:val="28"/>
          <w:szCs w:val="28"/>
          <w:highlight w:val="none"/>
        </w:rPr>
      </w:pPr>
    </w:p>
    <w:p w14:paraId="7D5AE5ED">
      <w:pPr>
        <w:adjustRightInd w:val="0"/>
        <w:snapToGrid w:val="0"/>
        <w:spacing w:line="560" w:lineRule="exact"/>
        <w:ind w:firstLine="0" w:firstLineChars="0"/>
        <w:jc w:val="left"/>
        <w:rPr>
          <w:rFonts w:ascii="仿宋" w:hAnsi="仿宋" w:eastAsia="仿宋"/>
          <w:color w:val="auto"/>
          <w:kern w:val="0"/>
          <w:sz w:val="28"/>
          <w:szCs w:val="28"/>
          <w:highlight w:val="none"/>
        </w:rPr>
      </w:pPr>
    </w:p>
    <w:p w14:paraId="734B3D36">
      <w:pPr>
        <w:pStyle w:val="5"/>
        <w:spacing w:before="0" w:after="0" w:line="560" w:lineRule="exact"/>
        <w:rPr>
          <w:rFonts w:hint="eastAsia" w:ascii="仿宋" w:hAnsi="仿宋" w:eastAsia="仿宋"/>
          <w:color w:val="auto"/>
          <w:kern w:val="0"/>
          <w:sz w:val="32"/>
          <w:szCs w:val="32"/>
          <w:highlight w:val="none"/>
        </w:rPr>
      </w:pPr>
      <w:bookmarkStart w:id="39" w:name="_Toc80800146"/>
    </w:p>
    <w:p w14:paraId="690DDF61">
      <w:pPr>
        <w:pStyle w:val="5"/>
        <w:spacing w:before="0" w:after="0" w:line="560" w:lineRule="exact"/>
        <w:rPr>
          <w:rFonts w:hint="eastAsia" w:ascii="仿宋" w:hAnsi="仿宋" w:eastAsia="仿宋"/>
          <w:color w:val="auto"/>
          <w:kern w:val="0"/>
          <w:sz w:val="32"/>
          <w:szCs w:val="32"/>
          <w:highlight w:val="none"/>
        </w:rPr>
      </w:pPr>
    </w:p>
    <w:p w14:paraId="6AF759A2">
      <w:pPr>
        <w:pStyle w:val="5"/>
        <w:spacing w:before="0" w:after="0" w:line="560" w:lineRule="exact"/>
        <w:rPr>
          <w:rFonts w:ascii="仿宋" w:hAnsi="仿宋" w:eastAsia="仿宋"/>
          <w:color w:val="auto"/>
          <w:kern w:val="0"/>
          <w:sz w:val="32"/>
          <w:szCs w:val="32"/>
          <w:highlight w:val="none"/>
        </w:rPr>
      </w:pPr>
      <w:bookmarkStart w:id="40" w:name="_Toc18656"/>
      <w:bookmarkStart w:id="41" w:name="_Toc3236"/>
      <w:r>
        <w:rPr>
          <w:rFonts w:hint="eastAsia" w:ascii="仿宋" w:hAnsi="仿宋" w:eastAsia="仿宋"/>
          <w:color w:val="auto"/>
          <w:kern w:val="0"/>
          <w:sz w:val="32"/>
          <w:szCs w:val="32"/>
          <w:highlight w:val="none"/>
        </w:rPr>
        <w:t>附件三：评标程序和评标方法</w:t>
      </w:r>
      <w:bookmarkEnd w:id="39"/>
      <w:bookmarkEnd w:id="40"/>
      <w:bookmarkEnd w:id="41"/>
    </w:p>
    <w:p w14:paraId="3F3133BB">
      <w:pPr>
        <w:rPr>
          <w:color w:val="auto"/>
          <w:highlight w:val="none"/>
        </w:rPr>
      </w:pPr>
    </w:p>
    <w:p w14:paraId="5E0DA0C5">
      <w:pPr>
        <w:pStyle w:val="6"/>
        <w:spacing w:before="0" w:after="0" w:line="480" w:lineRule="auto"/>
        <w:jc w:val="center"/>
        <w:rPr>
          <w:rFonts w:ascii="黑体" w:hAnsi="黑体" w:eastAsia="黑体"/>
          <w:color w:val="auto"/>
          <w:sz w:val="32"/>
          <w:szCs w:val="32"/>
          <w:highlight w:val="none"/>
        </w:rPr>
      </w:pPr>
      <w:r>
        <w:rPr>
          <w:rFonts w:hint="eastAsia" w:ascii="黑体" w:hAnsi="黑体" w:eastAsia="黑体"/>
          <w:color w:val="auto"/>
          <w:sz w:val="32"/>
          <w:szCs w:val="32"/>
          <w:highlight w:val="none"/>
        </w:rPr>
        <w:t>一、评标程序</w:t>
      </w:r>
    </w:p>
    <w:p w14:paraId="736AAAEB">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1.评标委员会推选一名成员担任主任委员，负责协调、组织评标活动的实施。（主任委员与评标委员会的其他成员享有同等的表决权）</w:t>
      </w:r>
    </w:p>
    <w:p w14:paraId="4C61CB5F">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2.评标委员会了解项目概况（包括项目的重点、难点）、评标内容、评标方法、招标文件中须注意的事项、以及建议评标的要点。</w:t>
      </w:r>
    </w:p>
    <w:p w14:paraId="42EABD24">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3.评标委员会成员熟悉招标文件、开标情况一览表，研究评标重点及具体分工。</w:t>
      </w:r>
    </w:p>
    <w:p w14:paraId="2A57C555">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4.评标过程中发现有评标资料不齐全的情况，评标委员会应向工作人员反映，要求补充。</w:t>
      </w:r>
    </w:p>
    <w:p w14:paraId="75A56A31">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5.评标委员会成员按照各自分工，根据招标文件规定的评标标准和方法，对投标文件进行系统的评审和比较。评审分初步评审和详细评审。经初步评审合格的投标文件，评标委员会对其技术部分和商务部分作进一步评审、比较。</w:t>
      </w:r>
    </w:p>
    <w:p w14:paraId="28F20DA6">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6．填写有关评标记录。由一名评标专家负责汇总评标打分，并由评标委员会主任委员进行复核。</w:t>
      </w:r>
    </w:p>
    <w:p w14:paraId="6DE3A05D">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7.评标过程中出现的争议，应当提交评标委员会集体讨论形成一致意见，不能形成一致意见的应在充分讨论后予以表决。</w:t>
      </w:r>
    </w:p>
    <w:p w14:paraId="1C84714A">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8.对需要投标人澄清、说明、补正的，应当进行答辩，并作好记录。</w:t>
      </w:r>
    </w:p>
    <w:p w14:paraId="6B54DEFE">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9.对评判为无效标或废标的情况进行详细的记录和说明，并告知相应的投标人，允许其进行解释，但不影响评判的最终结果。</w:t>
      </w:r>
    </w:p>
    <w:p w14:paraId="70136583">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10.对发现的违法、违规（嫌疑）行为，应当在评标报告中做出详细说明，做好取证工作。</w:t>
      </w:r>
    </w:p>
    <w:p w14:paraId="5F5E8CFD">
      <w:pPr>
        <w:pStyle w:val="31"/>
        <w:spacing w:before="0" w:beforeAutospacing="0" w:after="0" w:afterAutospacing="0"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11.由评标委员会主任委员或其指定的其他评标委员会成员填写评标报告，</w:t>
      </w:r>
      <w:r>
        <w:rPr>
          <w:rFonts w:ascii="仿宋" w:hAnsi="仿宋" w:eastAsia="仿宋"/>
          <w:color w:val="auto"/>
          <w:sz w:val="28"/>
          <w:szCs w:val="28"/>
          <w:highlight w:val="none"/>
        </w:rPr>
        <w:t xml:space="preserve"> 评标报告由评标委员会全体成员签字。对评标结论持有异议的评标委员会成员可以书面方式阐述其不同意见和理由。评标委员会成员拒绝在评标报告上签字且不陈述其不同意见和理由的，视为同意评标结论。评标委员会应当对此</w:t>
      </w:r>
      <w:r>
        <w:rPr>
          <w:rFonts w:hint="eastAsia" w:ascii="仿宋" w:hAnsi="仿宋" w:eastAsia="仿宋"/>
          <w:color w:val="auto"/>
          <w:sz w:val="28"/>
          <w:szCs w:val="28"/>
          <w:highlight w:val="none"/>
        </w:rPr>
        <w:t>做出</w:t>
      </w:r>
      <w:r>
        <w:rPr>
          <w:rFonts w:ascii="仿宋" w:hAnsi="仿宋" w:eastAsia="仿宋"/>
          <w:color w:val="auto"/>
          <w:sz w:val="28"/>
          <w:szCs w:val="28"/>
          <w:highlight w:val="none"/>
        </w:rPr>
        <w:t>书面说明并记录在案。</w:t>
      </w:r>
    </w:p>
    <w:p w14:paraId="6617F4BB">
      <w:pPr>
        <w:rPr>
          <w:color w:val="auto"/>
          <w:highlight w:val="none"/>
        </w:rPr>
      </w:pPr>
    </w:p>
    <w:p w14:paraId="1B968815">
      <w:pPr>
        <w:pStyle w:val="6"/>
        <w:spacing w:before="0" w:after="0" w:line="480" w:lineRule="auto"/>
        <w:jc w:val="center"/>
        <w:rPr>
          <w:rFonts w:ascii="黑体" w:hAnsi="黑体" w:eastAsia="黑体"/>
          <w:color w:val="auto"/>
          <w:sz w:val="32"/>
          <w:szCs w:val="32"/>
          <w:highlight w:val="none"/>
        </w:rPr>
      </w:pPr>
      <w:r>
        <w:rPr>
          <w:rFonts w:hint="eastAsia" w:ascii="黑体" w:hAnsi="黑体" w:eastAsia="黑体"/>
          <w:color w:val="auto"/>
          <w:sz w:val="32"/>
          <w:szCs w:val="32"/>
          <w:highlight w:val="none"/>
        </w:rPr>
        <w:t>二、评标方法</w:t>
      </w:r>
    </w:p>
    <w:p w14:paraId="6FA95AF7">
      <w:pPr>
        <w:spacing w:line="360" w:lineRule="auto"/>
        <w:ind w:firstLine="562" w:firstLineChars="200"/>
        <w:rPr>
          <w:rFonts w:ascii="仿宋" w:hAnsi="仿宋" w:eastAsia="仿宋"/>
          <w:color w:val="auto"/>
          <w:sz w:val="28"/>
          <w:szCs w:val="28"/>
          <w:highlight w:val="none"/>
        </w:rPr>
      </w:pPr>
      <w:r>
        <w:rPr>
          <w:rFonts w:hint="eastAsia" w:ascii="仿宋" w:hAnsi="仿宋" w:eastAsia="仿宋"/>
          <w:b/>
          <w:color w:val="auto"/>
          <w:sz w:val="28"/>
          <w:szCs w:val="28"/>
          <w:highlight w:val="none"/>
        </w:rPr>
        <w:t>1.本招标</w:t>
      </w:r>
      <w:r>
        <w:rPr>
          <w:rFonts w:hint="eastAsia" w:ascii="仿宋" w:hAnsi="仿宋" w:eastAsia="仿宋"/>
          <w:b/>
          <w:color w:val="auto"/>
          <w:sz w:val="28"/>
          <w:szCs w:val="28"/>
          <w:highlight w:val="none"/>
          <w:lang w:eastAsia="zh-CN"/>
        </w:rPr>
        <w:t>项目</w:t>
      </w:r>
      <w:r>
        <w:rPr>
          <w:rFonts w:hint="eastAsia" w:ascii="仿宋" w:hAnsi="仿宋" w:eastAsia="仿宋"/>
          <w:b/>
          <w:color w:val="auto"/>
          <w:sz w:val="28"/>
          <w:szCs w:val="28"/>
          <w:highlight w:val="none"/>
        </w:rPr>
        <w:t>的评标办法采用：</w:t>
      </w:r>
    </w:p>
    <w:tbl>
      <w:tblPr>
        <w:tblStyle w:val="35"/>
        <w:tblW w:w="8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7"/>
        <w:gridCol w:w="2709"/>
        <w:gridCol w:w="2709"/>
      </w:tblGrid>
      <w:tr w14:paraId="5293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2797" w:type="dxa"/>
            <w:tcBorders>
              <w:top w:val="single" w:color="auto" w:sz="6" w:space="0"/>
              <w:left w:val="single" w:color="auto" w:sz="4" w:space="0"/>
              <w:bottom w:val="single" w:color="auto" w:sz="6" w:space="0"/>
              <w:right w:val="single" w:color="auto" w:sz="6" w:space="0"/>
            </w:tcBorders>
            <w:vAlign w:val="center"/>
          </w:tcPr>
          <w:p w14:paraId="04FF5E8B">
            <w:pPr>
              <w:pStyle w:val="18"/>
              <w:spacing w:line="400" w:lineRule="exact"/>
              <w:jc w:val="center"/>
              <w:rPr>
                <w:rFonts w:ascii="仿宋" w:hAnsi="仿宋" w:eastAsia="仿宋"/>
                <w:b/>
                <w:color w:val="auto"/>
                <w:sz w:val="28"/>
                <w:szCs w:val="28"/>
                <w:highlight w:val="none"/>
              </w:rPr>
            </w:pPr>
            <w:r>
              <w:rPr>
                <w:rFonts w:hint="eastAsia" w:ascii="仿宋" w:hAnsi="仿宋" w:eastAsia="仿宋"/>
                <w:b/>
                <w:color w:val="auto"/>
                <w:sz w:val="28"/>
                <w:szCs w:val="28"/>
                <w:highlight w:val="none"/>
              </w:rPr>
              <w:t>评标方法</w:t>
            </w:r>
          </w:p>
        </w:tc>
        <w:tc>
          <w:tcPr>
            <w:tcW w:w="2709" w:type="dxa"/>
            <w:tcBorders>
              <w:top w:val="single" w:color="auto" w:sz="6" w:space="0"/>
              <w:left w:val="single" w:color="auto" w:sz="4" w:space="0"/>
              <w:bottom w:val="single" w:color="auto" w:sz="6" w:space="0"/>
              <w:right w:val="single" w:color="auto" w:sz="6" w:space="0"/>
            </w:tcBorders>
            <w:vAlign w:val="center"/>
          </w:tcPr>
          <w:p w14:paraId="4BDE4C8F">
            <w:pPr>
              <w:pStyle w:val="18"/>
              <w:spacing w:line="400" w:lineRule="exact"/>
              <w:jc w:val="center"/>
              <w:rPr>
                <w:rFonts w:ascii="仿宋" w:hAnsi="仿宋" w:eastAsia="仿宋"/>
                <w:b/>
                <w:color w:val="auto"/>
                <w:sz w:val="28"/>
                <w:szCs w:val="28"/>
                <w:highlight w:val="none"/>
              </w:rPr>
            </w:pPr>
            <w:r>
              <w:rPr>
                <w:rFonts w:hint="eastAsia" w:ascii="仿宋" w:hAnsi="仿宋" w:eastAsia="仿宋"/>
                <w:b/>
                <w:color w:val="auto"/>
                <w:sz w:val="28"/>
                <w:szCs w:val="28"/>
                <w:highlight w:val="none"/>
              </w:rPr>
              <w:t>评审内容</w:t>
            </w:r>
          </w:p>
        </w:tc>
        <w:tc>
          <w:tcPr>
            <w:tcW w:w="2709" w:type="dxa"/>
            <w:tcBorders>
              <w:top w:val="single" w:color="auto" w:sz="6" w:space="0"/>
              <w:left w:val="single" w:color="auto" w:sz="4" w:space="0"/>
              <w:bottom w:val="single" w:color="auto" w:sz="6" w:space="0"/>
              <w:right w:val="single" w:color="auto" w:sz="6" w:space="0"/>
            </w:tcBorders>
            <w:vAlign w:val="top"/>
          </w:tcPr>
          <w:p w14:paraId="4D66F274">
            <w:pPr>
              <w:pStyle w:val="18"/>
              <w:spacing w:line="400" w:lineRule="exact"/>
              <w:jc w:val="center"/>
              <w:rPr>
                <w:rFonts w:ascii="仿宋" w:hAnsi="仿宋" w:eastAsia="仿宋"/>
                <w:b/>
                <w:color w:val="auto"/>
                <w:sz w:val="28"/>
                <w:szCs w:val="28"/>
                <w:highlight w:val="none"/>
              </w:rPr>
            </w:pPr>
            <w:r>
              <w:rPr>
                <w:rFonts w:hint="eastAsia" w:ascii="仿宋" w:hAnsi="仿宋" w:eastAsia="仿宋"/>
                <w:b/>
                <w:color w:val="auto"/>
                <w:sz w:val="28"/>
                <w:szCs w:val="28"/>
                <w:highlight w:val="none"/>
              </w:rPr>
              <w:t>备注</w:t>
            </w:r>
          </w:p>
        </w:tc>
      </w:tr>
      <w:tr w14:paraId="3DFA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2797" w:type="dxa"/>
            <w:tcBorders>
              <w:top w:val="single" w:color="auto" w:sz="6" w:space="0"/>
              <w:left w:val="single" w:color="auto" w:sz="4" w:space="0"/>
              <w:bottom w:val="single" w:color="auto" w:sz="6" w:space="0"/>
              <w:right w:val="single" w:color="auto" w:sz="6" w:space="0"/>
            </w:tcBorders>
            <w:vAlign w:val="center"/>
          </w:tcPr>
          <w:p w14:paraId="15E9433B">
            <w:pPr>
              <w:pStyle w:val="18"/>
              <w:spacing w:line="400" w:lineRule="exact"/>
              <w:jc w:val="center"/>
              <w:rPr>
                <w:rFonts w:ascii="仿宋" w:hAnsi="仿宋" w:eastAsia="仿宋"/>
                <w:color w:val="auto"/>
                <w:sz w:val="28"/>
                <w:szCs w:val="28"/>
                <w:highlight w:val="none"/>
              </w:rPr>
            </w:pPr>
            <w:r>
              <w:rPr>
                <w:rFonts w:hint="eastAsia" w:ascii="仿宋" w:hAnsi="仿宋" w:eastAsia="仿宋"/>
                <w:color w:val="auto"/>
                <w:sz w:val="28"/>
                <w:szCs w:val="28"/>
                <w:highlight w:val="none"/>
                <w:lang w:eastAsia="zh-CN"/>
              </w:rPr>
              <w:t>☑</w:t>
            </w:r>
            <w:r>
              <w:rPr>
                <w:rFonts w:hint="eastAsia" w:ascii="仿宋" w:hAnsi="仿宋" w:eastAsia="仿宋"/>
                <w:color w:val="auto"/>
                <w:sz w:val="28"/>
                <w:szCs w:val="28"/>
                <w:highlight w:val="none"/>
              </w:rPr>
              <w:t>综合评分法</w:t>
            </w:r>
          </w:p>
        </w:tc>
        <w:tc>
          <w:tcPr>
            <w:tcW w:w="2709" w:type="dxa"/>
            <w:tcBorders>
              <w:top w:val="single" w:color="auto" w:sz="6" w:space="0"/>
              <w:left w:val="single" w:color="auto" w:sz="4" w:space="0"/>
              <w:bottom w:val="single" w:color="auto" w:sz="6" w:space="0"/>
              <w:right w:val="single" w:color="auto" w:sz="6" w:space="0"/>
            </w:tcBorders>
            <w:vAlign w:val="center"/>
          </w:tcPr>
          <w:p w14:paraId="21F30BD2">
            <w:pPr>
              <w:pStyle w:val="18"/>
              <w:spacing w:line="400" w:lineRule="exact"/>
              <w:jc w:val="left"/>
              <w:rPr>
                <w:rFonts w:ascii="仿宋" w:hAnsi="仿宋" w:eastAsia="仿宋"/>
                <w:color w:val="auto"/>
                <w:sz w:val="28"/>
                <w:szCs w:val="28"/>
                <w:highlight w:val="none"/>
              </w:rPr>
            </w:pPr>
            <w:r>
              <w:rPr>
                <w:rFonts w:hint="eastAsia" w:ascii="仿宋" w:hAnsi="仿宋" w:eastAsia="仿宋"/>
                <w:color w:val="auto"/>
                <w:sz w:val="28"/>
                <w:szCs w:val="28"/>
                <w:highlight w:val="none"/>
              </w:rPr>
              <w:t>资信、商务、技术</w:t>
            </w:r>
          </w:p>
        </w:tc>
        <w:tc>
          <w:tcPr>
            <w:tcW w:w="2709" w:type="dxa"/>
            <w:tcBorders>
              <w:top w:val="single" w:color="auto" w:sz="6" w:space="0"/>
              <w:left w:val="single" w:color="auto" w:sz="4" w:space="0"/>
              <w:bottom w:val="single" w:color="auto" w:sz="6" w:space="0"/>
              <w:right w:val="single" w:color="auto" w:sz="6" w:space="0"/>
            </w:tcBorders>
            <w:vAlign w:val="top"/>
          </w:tcPr>
          <w:p w14:paraId="67D727A2">
            <w:pPr>
              <w:pStyle w:val="18"/>
              <w:spacing w:line="400" w:lineRule="exact"/>
              <w:jc w:val="left"/>
              <w:rPr>
                <w:rFonts w:ascii="仿宋" w:hAnsi="仿宋" w:eastAsia="仿宋"/>
                <w:color w:val="auto"/>
                <w:sz w:val="28"/>
                <w:szCs w:val="28"/>
                <w:highlight w:val="none"/>
              </w:rPr>
            </w:pPr>
          </w:p>
        </w:tc>
      </w:tr>
      <w:tr w14:paraId="447F9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2797" w:type="dxa"/>
            <w:tcBorders>
              <w:top w:val="single" w:color="auto" w:sz="6" w:space="0"/>
              <w:left w:val="single" w:color="auto" w:sz="4" w:space="0"/>
              <w:bottom w:val="single" w:color="auto" w:sz="6" w:space="0"/>
              <w:right w:val="single" w:color="auto" w:sz="6" w:space="0"/>
            </w:tcBorders>
            <w:vAlign w:val="center"/>
          </w:tcPr>
          <w:p w14:paraId="144999B7">
            <w:pPr>
              <w:pStyle w:val="18"/>
              <w:spacing w:line="400" w:lineRule="exact"/>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□信用商务法</w:t>
            </w:r>
          </w:p>
        </w:tc>
        <w:tc>
          <w:tcPr>
            <w:tcW w:w="2709" w:type="dxa"/>
            <w:tcBorders>
              <w:top w:val="single" w:color="auto" w:sz="6" w:space="0"/>
              <w:left w:val="single" w:color="auto" w:sz="4" w:space="0"/>
              <w:bottom w:val="single" w:color="auto" w:sz="6" w:space="0"/>
              <w:right w:val="single" w:color="auto" w:sz="6" w:space="0"/>
            </w:tcBorders>
            <w:vAlign w:val="center"/>
          </w:tcPr>
          <w:p w14:paraId="7DBDA457">
            <w:pPr>
              <w:pStyle w:val="18"/>
              <w:spacing w:line="400" w:lineRule="exact"/>
              <w:jc w:val="left"/>
              <w:rPr>
                <w:rFonts w:ascii="仿宋" w:hAnsi="仿宋" w:eastAsia="仿宋"/>
                <w:color w:val="auto"/>
                <w:sz w:val="28"/>
                <w:szCs w:val="28"/>
                <w:highlight w:val="none"/>
              </w:rPr>
            </w:pPr>
            <w:r>
              <w:rPr>
                <w:rFonts w:hint="eastAsia" w:ascii="仿宋" w:hAnsi="仿宋" w:eastAsia="仿宋"/>
                <w:color w:val="auto"/>
                <w:sz w:val="28"/>
                <w:szCs w:val="28"/>
                <w:highlight w:val="none"/>
              </w:rPr>
              <w:t>资信、商务</w:t>
            </w:r>
          </w:p>
        </w:tc>
        <w:tc>
          <w:tcPr>
            <w:tcW w:w="2709" w:type="dxa"/>
            <w:tcBorders>
              <w:top w:val="single" w:color="auto" w:sz="6" w:space="0"/>
              <w:left w:val="single" w:color="auto" w:sz="4" w:space="0"/>
              <w:bottom w:val="single" w:color="auto" w:sz="6" w:space="0"/>
              <w:right w:val="single" w:color="auto" w:sz="6" w:space="0"/>
            </w:tcBorders>
            <w:vAlign w:val="top"/>
          </w:tcPr>
          <w:p w14:paraId="0D797970">
            <w:pPr>
              <w:pStyle w:val="18"/>
              <w:spacing w:line="400" w:lineRule="exact"/>
              <w:jc w:val="left"/>
              <w:rPr>
                <w:rFonts w:ascii="仿宋" w:hAnsi="仿宋" w:eastAsia="仿宋"/>
                <w:color w:val="auto"/>
                <w:sz w:val="28"/>
                <w:szCs w:val="28"/>
                <w:highlight w:val="none"/>
              </w:rPr>
            </w:pPr>
          </w:p>
        </w:tc>
      </w:tr>
      <w:tr w14:paraId="6BA8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2797" w:type="dxa"/>
            <w:tcBorders>
              <w:top w:val="single" w:color="auto" w:sz="6" w:space="0"/>
              <w:left w:val="single" w:color="auto" w:sz="4" w:space="0"/>
              <w:bottom w:val="single" w:color="auto" w:sz="6" w:space="0"/>
              <w:right w:val="single" w:color="auto" w:sz="6" w:space="0"/>
            </w:tcBorders>
            <w:vAlign w:val="center"/>
          </w:tcPr>
          <w:p w14:paraId="6080E1B7">
            <w:pPr>
              <w:pStyle w:val="18"/>
              <w:spacing w:line="400" w:lineRule="exact"/>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□定性评审法</w:t>
            </w:r>
          </w:p>
        </w:tc>
        <w:tc>
          <w:tcPr>
            <w:tcW w:w="2709" w:type="dxa"/>
            <w:tcBorders>
              <w:top w:val="single" w:color="auto" w:sz="6" w:space="0"/>
              <w:left w:val="single" w:color="auto" w:sz="4" w:space="0"/>
              <w:bottom w:val="single" w:color="auto" w:sz="6" w:space="0"/>
              <w:right w:val="single" w:color="auto" w:sz="6" w:space="0"/>
            </w:tcBorders>
            <w:vAlign w:val="center"/>
          </w:tcPr>
          <w:p w14:paraId="16CB5F72">
            <w:pPr>
              <w:pStyle w:val="18"/>
              <w:spacing w:line="400" w:lineRule="exact"/>
              <w:jc w:val="left"/>
              <w:rPr>
                <w:rFonts w:ascii="仿宋" w:hAnsi="仿宋" w:eastAsia="仿宋"/>
                <w:color w:val="auto"/>
                <w:sz w:val="28"/>
                <w:szCs w:val="28"/>
                <w:highlight w:val="none"/>
              </w:rPr>
            </w:pPr>
            <w:r>
              <w:rPr>
                <w:rFonts w:hint="eastAsia" w:ascii="仿宋" w:hAnsi="仿宋" w:eastAsia="仿宋"/>
                <w:color w:val="auto"/>
                <w:sz w:val="28"/>
                <w:szCs w:val="28"/>
                <w:highlight w:val="none"/>
              </w:rPr>
              <w:t>商务、技术</w:t>
            </w:r>
          </w:p>
        </w:tc>
        <w:tc>
          <w:tcPr>
            <w:tcW w:w="2709" w:type="dxa"/>
            <w:tcBorders>
              <w:top w:val="single" w:color="auto" w:sz="6" w:space="0"/>
              <w:left w:val="single" w:color="auto" w:sz="4" w:space="0"/>
              <w:bottom w:val="single" w:color="auto" w:sz="6" w:space="0"/>
              <w:right w:val="single" w:color="auto" w:sz="6" w:space="0"/>
            </w:tcBorders>
            <w:vAlign w:val="top"/>
          </w:tcPr>
          <w:p w14:paraId="1DB3E7B0">
            <w:pPr>
              <w:pStyle w:val="18"/>
              <w:spacing w:line="400" w:lineRule="exact"/>
              <w:jc w:val="left"/>
              <w:rPr>
                <w:rFonts w:ascii="仿宋" w:hAnsi="仿宋" w:eastAsia="仿宋"/>
                <w:color w:val="auto"/>
                <w:sz w:val="28"/>
                <w:szCs w:val="28"/>
                <w:highlight w:val="none"/>
              </w:rPr>
            </w:pPr>
          </w:p>
        </w:tc>
      </w:tr>
    </w:tbl>
    <w:p w14:paraId="0F587973">
      <w:pPr>
        <w:spacing w:line="360" w:lineRule="auto"/>
        <w:ind w:firstLine="562" w:firstLineChars="200"/>
        <w:rPr>
          <w:rFonts w:ascii="仿宋" w:hAnsi="仿宋" w:eastAsia="仿宋"/>
          <w:b/>
          <w:color w:val="auto"/>
          <w:sz w:val="28"/>
          <w:szCs w:val="28"/>
          <w:highlight w:val="none"/>
        </w:rPr>
      </w:pPr>
    </w:p>
    <w:p w14:paraId="5F5652D2">
      <w:pPr>
        <w:spacing w:line="360" w:lineRule="auto"/>
        <w:ind w:firstLine="562" w:firstLineChars="200"/>
        <w:rPr>
          <w:rFonts w:ascii="仿宋" w:hAnsi="仿宋" w:eastAsia="仿宋"/>
          <w:b/>
          <w:color w:val="auto"/>
          <w:sz w:val="28"/>
          <w:szCs w:val="28"/>
          <w:highlight w:val="none"/>
        </w:rPr>
      </w:pPr>
      <w:r>
        <w:rPr>
          <w:rFonts w:hint="eastAsia" w:ascii="仿宋" w:hAnsi="仿宋" w:eastAsia="仿宋"/>
          <w:b/>
          <w:color w:val="auto"/>
          <w:sz w:val="28"/>
          <w:szCs w:val="28"/>
          <w:highlight w:val="none"/>
        </w:rPr>
        <w:t>2.综合评分法</w:t>
      </w:r>
    </w:p>
    <w:p w14:paraId="789415EE">
      <w:pPr>
        <w:spacing w:line="360" w:lineRule="auto"/>
        <w:ind w:firstLine="560" w:firstLineChars="200"/>
        <w:rPr>
          <w:rFonts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2.1招标人在开标会上根据招标文件中投标文件不予受理情形的规定，对资格审查合格的投标人的投标文件是否应当受理进行审查，然后将应当受理的投标文件提交评标委员会评审；</w:t>
      </w:r>
    </w:p>
    <w:p w14:paraId="6039701E">
      <w:pPr>
        <w:spacing w:line="360" w:lineRule="auto"/>
        <w:ind w:firstLine="560" w:firstLineChars="200"/>
        <w:rPr>
          <w:rFonts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2.2评标委员会分别根据招标文件无效标情形的规定，对所有应当受理的投标文件进行初步评审；</w:t>
      </w:r>
    </w:p>
    <w:p w14:paraId="51A18216">
      <w:pPr>
        <w:spacing w:line="360" w:lineRule="auto"/>
        <w:ind w:firstLine="560" w:firstLineChars="200"/>
        <w:rPr>
          <w:rFonts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2.3评标委员会首先对通过初步评审的各投标人的技术标进行详细评审。即：各成员根据招标文件规定的技术标评分规则（见评标方法附件），对投标文件独立进行技术标评分。各成员的评分结果去掉最高、最低分后取算术平均值作为该投标人最后技术标评审得分。在后续评审中该得分不得更改；</w:t>
      </w:r>
    </w:p>
    <w:p w14:paraId="7B51C873">
      <w:pPr>
        <w:spacing w:line="360" w:lineRule="auto"/>
        <w:ind w:firstLine="560" w:firstLineChars="200"/>
        <w:rPr>
          <w:rFonts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2.4评标委员会在完成技术标评审后，接着对初步评审合格的各投标人商务标进行详细评审并打分；</w:t>
      </w:r>
    </w:p>
    <w:p w14:paraId="3B2E4A08">
      <w:pPr>
        <w:spacing w:line="360" w:lineRule="auto"/>
        <w:ind w:firstLine="560" w:firstLineChars="200"/>
        <w:rPr>
          <w:rFonts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2.5评标委员会在完成商务标评审后，对初步评审合格的各投标人资信标进行详细评审并打分；</w:t>
      </w:r>
    </w:p>
    <w:p w14:paraId="2D3944E5">
      <w:pPr>
        <w:spacing w:line="360" w:lineRule="auto"/>
        <w:ind w:firstLine="560" w:firstLineChars="200"/>
        <w:rPr>
          <w:rFonts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2.6最后，评标委员会应当按照下列公式计算评审总得分：</w:t>
      </w:r>
    </w:p>
    <w:p w14:paraId="19FEAEC2">
      <w:pPr>
        <w:spacing w:line="360" w:lineRule="auto"/>
        <w:ind w:firstLine="562" w:firstLineChars="200"/>
        <w:rPr>
          <w:rFonts w:ascii="仿宋" w:hAnsi="仿宋" w:eastAsia="仿宋"/>
          <w:b/>
          <w:color w:val="auto"/>
          <w:sz w:val="28"/>
          <w:szCs w:val="28"/>
          <w:highlight w:val="none"/>
        </w:rPr>
      </w:pPr>
      <w:r>
        <w:rPr>
          <w:rFonts w:ascii="仿宋" w:hAnsi="仿宋" w:eastAsia="仿宋" w:cs="Times New Roman"/>
          <w:b/>
          <w:color w:val="auto"/>
          <w:kern w:val="2"/>
          <w:position w:val="-12"/>
          <w:sz w:val="28"/>
          <w:szCs w:val="28"/>
          <w:highlight w:val="none"/>
          <w:lang w:val="en-US" w:eastAsia="zh-CN" w:bidi="ar-SA"/>
        </w:rPr>
        <w:object>
          <v:shape id="_x0000_i1025" o:spt="75" type="#_x0000_t75" style="height:18pt;width:141.75pt;" o:ole="t" fillcolor="#FFFFFF" filled="f" o:preferrelative="t" stroked="f" coordsize="21600,21600">
            <v:path/>
            <v:fill on="f" color2="#FFFFFF" focussize="0,0"/>
            <v:stroke on="f"/>
            <v:imagedata r:id="rId18" gain="65536f" blacklevel="0f" gamma="0" o:title=""/>
            <o:lock v:ext="edit" position="f" selection="f" grouping="f" rotation="f" cropping="f" text="f" aspectratio="t"/>
            <w10:wrap type="none"/>
            <w10:anchorlock/>
          </v:shape>
          <o:OLEObject Type="Embed" ProgID="Equation.3" ShapeID="_x0000_i1025" DrawAspect="Content" ObjectID="_1468075725" r:id="rId17">
            <o:LockedField>false</o:LockedField>
          </o:OLEObject>
        </w:object>
      </w:r>
    </w:p>
    <w:p w14:paraId="0F5A853D">
      <w:pPr>
        <w:spacing w:line="36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N</w:t>
      </w:r>
      <w:r>
        <w:rPr>
          <w:rFonts w:ascii="仿宋" w:hAnsi="仿宋" w:eastAsia="仿宋"/>
          <w:color w:val="auto"/>
          <w:sz w:val="28"/>
          <w:szCs w:val="28"/>
          <w:highlight w:val="none"/>
        </w:rPr>
        <w:t>—</w:t>
      </w:r>
      <w:r>
        <w:rPr>
          <w:rFonts w:hint="eastAsia" w:ascii="仿宋" w:hAnsi="仿宋" w:eastAsia="仿宋"/>
          <w:color w:val="auto"/>
          <w:sz w:val="28"/>
          <w:szCs w:val="28"/>
          <w:highlight w:val="none"/>
        </w:rPr>
        <w:t>评审总得分（得分取值保留到小数点后两位）；</w:t>
      </w:r>
    </w:p>
    <w:p w14:paraId="46A7C8B4">
      <w:pPr>
        <w:spacing w:line="36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J</w:t>
      </w:r>
      <w:r>
        <w:rPr>
          <w:rFonts w:ascii="仿宋" w:hAnsi="仿宋" w:eastAsia="仿宋"/>
          <w:color w:val="auto"/>
          <w:sz w:val="28"/>
          <w:szCs w:val="28"/>
          <w:highlight w:val="none"/>
        </w:rPr>
        <w:t>—</w:t>
      </w:r>
      <w:r>
        <w:rPr>
          <w:rFonts w:hint="eastAsia" w:ascii="仿宋" w:hAnsi="仿宋" w:eastAsia="仿宋"/>
          <w:color w:val="auto"/>
          <w:sz w:val="28"/>
          <w:szCs w:val="28"/>
          <w:highlight w:val="none"/>
        </w:rPr>
        <w:t>技术标评审得分（得分取值保留到小数点后两位）；</w:t>
      </w:r>
    </w:p>
    <w:p w14:paraId="05A5B508">
      <w:pPr>
        <w:spacing w:line="36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S</w:t>
      </w:r>
      <w:r>
        <w:rPr>
          <w:rFonts w:ascii="仿宋" w:hAnsi="仿宋" w:eastAsia="仿宋"/>
          <w:color w:val="auto"/>
          <w:sz w:val="28"/>
          <w:szCs w:val="28"/>
          <w:highlight w:val="none"/>
        </w:rPr>
        <w:t>—</w:t>
      </w:r>
      <w:r>
        <w:rPr>
          <w:rFonts w:hint="eastAsia" w:ascii="仿宋" w:hAnsi="仿宋" w:eastAsia="仿宋"/>
          <w:color w:val="auto"/>
          <w:sz w:val="28"/>
          <w:szCs w:val="28"/>
          <w:highlight w:val="none"/>
        </w:rPr>
        <w:t>商务标评审得分（得分取值保留到小数点后两位）；</w:t>
      </w:r>
    </w:p>
    <w:p w14:paraId="332E989D">
      <w:pPr>
        <w:spacing w:line="360" w:lineRule="auto"/>
        <w:ind w:firstLine="560" w:firstLineChars="200"/>
        <w:jc w:val="left"/>
        <w:rPr>
          <w:rFonts w:ascii="仿宋" w:hAnsi="仿宋" w:eastAsia="仿宋"/>
          <w:color w:val="auto"/>
          <w:sz w:val="28"/>
          <w:szCs w:val="28"/>
          <w:highlight w:val="none"/>
        </w:rPr>
      </w:pPr>
      <w:r>
        <w:rPr>
          <w:rFonts w:hint="eastAsia" w:ascii="仿宋" w:hAnsi="仿宋" w:eastAsia="仿宋"/>
          <w:color w:val="auto"/>
          <w:sz w:val="28"/>
          <w:szCs w:val="28"/>
          <w:highlight w:val="none"/>
        </w:rPr>
        <w:t>X</w:t>
      </w:r>
      <w:r>
        <w:rPr>
          <w:rFonts w:ascii="仿宋" w:hAnsi="仿宋" w:eastAsia="仿宋"/>
          <w:color w:val="auto"/>
          <w:sz w:val="28"/>
          <w:szCs w:val="28"/>
          <w:highlight w:val="none"/>
        </w:rPr>
        <w:t>—</w:t>
      </w:r>
      <w:r>
        <w:rPr>
          <w:rFonts w:hint="eastAsia" w:ascii="仿宋" w:hAnsi="仿宋" w:eastAsia="仿宋"/>
          <w:color w:val="auto"/>
          <w:sz w:val="28"/>
          <w:szCs w:val="28"/>
          <w:highlight w:val="none"/>
        </w:rPr>
        <w:t xml:space="preserve">资信标评审得分（得分取值保留到小数点后两位）； </w:t>
      </w:r>
    </w:p>
    <w:p w14:paraId="5F396562">
      <w:pPr>
        <w:spacing w:line="360" w:lineRule="auto"/>
        <w:ind w:firstLine="560" w:firstLineChars="200"/>
        <w:jc w:val="left"/>
        <w:rPr>
          <w:rFonts w:ascii="仿宋" w:hAnsi="仿宋" w:eastAsia="仿宋"/>
          <w:color w:val="auto"/>
          <w:sz w:val="28"/>
          <w:szCs w:val="28"/>
          <w:highlight w:val="none"/>
        </w:rPr>
      </w:pPr>
      <w:r>
        <w:rPr>
          <w:rFonts w:hint="eastAsia" w:ascii="仿宋" w:hAnsi="仿宋" w:eastAsia="仿宋"/>
          <w:color w:val="auto"/>
          <w:sz w:val="28"/>
          <w:szCs w:val="28"/>
          <w:highlight w:val="none"/>
        </w:rPr>
        <w:t>A1</w:t>
      </w:r>
      <w:r>
        <w:rPr>
          <w:rFonts w:ascii="仿宋" w:hAnsi="仿宋" w:eastAsia="仿宋"/>
          <w:color w:val="auto"/>
          <w:sz w:val="28"/>
          <w:szCs w:val="28"/>
          <w:highlight w:val="none"/>
        </w:rPr>
        <w:t>—</w:t>
      </w:r>
      <w:r>
        <w:rPr>
          <w:rFonts w:hint="eastAsia" w:ascii="仿宋" w:hAnsi="仿宋" w:eastAsia="仿宋"/>
          <w:color w:val="auto"/>
          <w:sz w:val="28"/>
          <w:szCs w:val="28"/>
          <w:highlight w:val="none"/>
        </w:rPr>
        <w:t>技术标评审得分权重，按</w:t>
      </w:r>
      <w:permStart w:id="0" w:edGrp="everyone"/>
      <w:r>
        <w:rPr>
          <w:rFonts w:hint="eastAsia" w:ascii="仿宋" w:hAnsi="仿宋" w:eastAsia="仿宋"/>
          <w:b/>
          <w:bCs/>
          <w:color w:val="auto"/>
          <w:sz w:val="28"/>
          <w:szCs w:val="28"/>
          <w:highlight w:val="none"/>
          <w:u w:val="single"/>
        </w:rPr>
        <w:t xml:space="preserve">  </w:t>
      </w:r>
      <w:r>
        <w:rPr>
          <w:rFonts w:hint="eastAsia" w:ascii="仿宋" w:hAnsi="仿宋" w:eastAsia="仿宋"/>
          <w:b/>
          <w:bCs/>
          <w:color w:val="auto"/>
          <w:sz w:val="28"/>
          <w:szCs w:val="28"/>
          <w:highlight w:val="none"/>
          <w:u w:val="single"/>
          <w:lang w:val="en-US" w:eastAsia="zh-CN"/>
        </w:rPr>
        <w:t>60</w:t>
      </w:r>
      <w:r>
        <w:rPr>
          <w:rFonts w:hint="eastAsia" w:ascii="仿宋" w:hAnsi="仿宋" w:eastAsia="仿宋"/>
          <w:b/>
          <w:bCs/>
          <w:color w:val="auto"/>
          <w:sz w:val="28"/>
          <w:szCs w:val="28"/>
          <w:highlight w:val="none"/>
          <w:u w:val="single"/>
        </w:rPr>
        <w:t xml:space="preserve">  </w:t>
      </w:r>
      <w:permEnd w:id="0"/>
      <w:r>
        <w:rPr>
          <w:rFonts w:hint="eastAsia" w:ascii="仿宋" w:hAnsi="仿宋" w:eastAsia="仿宋"/>
          <w:color w:val="auto"/>
          <w:sz w:val="28"/>
          <w:szCs w:val="28"/>
          <w:highlight w:val="none"/>
        </w:rPr>
        <w:t>%计；</w:t>
      </w:r>
    </w:p>
    <w:p w14:paraId="3AFB35E0">
      <w:pPr>
        <w:spacing w:line="360" w:lineRule="auto"/>
        <w:ind w:firstLine="560" w:firstLineChars="200"/>
        <w:jc w:val="left"/>
        <w:rPr>
          <w:rFonts w:ascii="仿宋" w:hAnsi="仿宋" w:eastAsia="仿宋"/>
          <w:color w:val="auto"/>
          <w:sz w:val="28"/>
          <w:szCs w:val="28"/>
          <w:highlight w:val="none"/>
        </w:rPr>
      </w:pPr>
      <w:r>
        <w:rPr>
          <w:rFonts w:hint="eastAsia" w:ascii="仿宋" w:hAnsi="仿宋" w:eastAsia="仿宋"/>
          <w:color w:val="auto"/>
          <w:sz w:val="28"/>
          <w:szCs w:val="28"/>
          <w:highlight w:val="none"/>
        </w:rPr>
        <w:t>A2</w:t>
      </w:r>
      <w:r>
        <w:rPr>
          <w:rFonts w:ascii="仿宋" w:hAnsi="仿宋" w:eastAsia="仿宋"/>
          <w:color w:val="auto"/>
          <w:sz w:val="28"/>
          <w:szCs w:val="28"/>
          <w:highlight w:val="none"/>
        </w:rPr>
        <w:t>—</w:t>
      </w:r>
      <w:r>
        <w:rPr>
          <w:rFonts w:hint="eastAsia" w:ascii="仿宋" w:hAnsi="仿宋" w:eastAsia="仿宋"/>
          <w:color w:val="auto"/>
          <w:sz w:val="28"/>
          <w:szCs w:val="28"/>
          <w:highlight w:val="none"/>
        </w:rPr>
        <w:t>商务标评审得分权重，按</w:t>
      </w:r>
      <w:permStart w:id="1" w:edGrp="everyone"/>
      <w:r>
        <w:rPr>
          <w:rFonts w:hint="eastAsia" w:ascii="仿宋" w:hAnsi="仿宋" w:eastAsia="仿宋"/>
          <w:b/>
          <w:bCs/>
          <w:color w:val="auto"/>
          <w:sz w:val="28"/>
          <w:szCs w:val="28"/>
          <w:highlight w:val="none"/>
          <w:u w:val="single"/>
        </w:rPr>
        <w:t xml:space="preserve">  </w:t>
      </w:r>
      <w:r>
        <w:rPr>
          <w:rFonts w:hint="eastAsia" w:ascii="仿宋" w:hAnsi="仿宋" w:eastAsia="仿宋"/>
          <w:b/>
          <w:bCs/>
          <w:color w:val="auto"/>
          <w:sz w:val="28"/>
          <w:szCs w:val="28"/>
          <w:highlight w:val="none"/>
          <w:u w:val="single"/>
          <w:lang w:val="en-US" w:eastAsia="zh-CN"/>
        </w:rPr>
        <w:t>30</w:t>
      </w:r>
      <w:r>
        <w:rPr>
          <w:rFonts w:hint="eastAsia" w:ascii="仿宋" w:hAnsi="仿宋" w:eastAsia="仿宋"/>
          <w:b/>
          <w:bCs/>
          <w:color w:val="auto"/>
          <w:sz w:val="28"/>
          <w:szCs w:val="28"/>
          <w:highlight w:val="none"/>
          <w:u w:val="single"/>
        </w:rPr>
        <w:t xml:space="preserve">  </w:t>
      </w:r>
      <w:permEnd w:id="1"/>
      <w:r>
        <w:rPr>
          <w:rFonts w:hint="eastAsia" w:ascii="仿宋" w:hAnsi="仿宋" w:eastAsia="仿宋"/>
          <w:color w:val="auto"/>
          <w:sz w:val="28"/>
          <w:szCs w:val="28"/>
          <w:highlight w:val="none"/>
        </w:rPr>
        <w:t>%计；</w:t>
      </w:r>
    </w:p>
    <w:p w14:paraId="1A14D763">
      <w:pPr>
        <w:spacing w:line="360" w:lineRule="auto"/>
        <w:ind w:firstLine="560" w:firstLineChars="200"/>
        <w:jc w:val="left"/>
        <w:rPr>
          <w:rFonts w:ascii="仿宋" w:hAnsi="仿宋" w:eastAsia="仿宋"/>
          <w:color w:val="auto"/>
          <w:sz w:val="28"/>
          <w:szCs w:val="28"/>
          <w:highlight w:val="none"/>
        </w:rPr>
      </w:pPr>
      <w:r>
        <w:rPr>
          <w:rFonts w:hint="eastAsia" w:ascii="仿宋" w:hAnsi="仿宋" w:eastAsia="仿宋"/>
          <w:color w:val="auto"/>
          <w:sz w:val="28"/>
          <w:szCs w:val="28"/>
          <w:highlight w:val="none"/>
        </w:rPr>
        <w:t>A3</w:t>
      </w:r>
      <w:r>
        <w:rPr>
          <w:rFonts w:ascii="仿宋" w:hAnsi="仿宋" w:eastAsia="仿宋"/>
          <w:color w:val="auto"/>
          <w:sz w:val="28"/>
          <w:szCs w:val="28"/>
          <w:highlight w:val="none"/>
        </w:rPr>
        <w:t>—</w:t>
      </w:r>
      <w:r>
        <w:rPr>
          <w:rFonts w:hint="eastAsia" w:ascii="仿宋" w:hAnsi="仿宋" w:eastAsia="仿宋"/>
          <w:color w:val="auto"/>
          <w:sz w:val="28"/>
          <w:szCs w:val="28"/>
          <w:highlight w:val="none"/>
        </w:rPr>
        <w:t>资信标评审得分权重，按</w:t>
      </w:r>
      <w:permStart w:id="2" w:edGrp="everyone"/>
      <w:r>
        <w:rPr>
          <w:rFonts w:hint="eastAsia" w:ascii="仿宋" w:hAnsi="仿宋" w:eastAsia="仿宋"/>
          <w:b/>
          <w:bCs/>
          <w:color w:val="auto"/>
          <w:sz w:val="28"/>
          <w:szCs w:val="28"/>
          <w:highlight w:val="none"/>
          <w:u w:val="single"/>
        </w:rPr>
        <w:t xml:space="preserve">  </w:t>
      </w:r>
      <w:r>
        <w:rPr>
          <w:rFonts w:hint="eastAsia" w:ascii="仿宋" w:hAnsi="仿宋" w:eastAsia="仿宋"/>
          <w:b/>
          <w:bCs/>
          <w:color w:val="auto"/>
          <w:sz w:val="28"/>
          <w:szCs w:val="28"/>
          <w:highlight w:val="none"/>
          <w:u w:val="single"/>
          <w:lang w:val="en-US" w:eastAsia="zh-CN"/>
        </w:rPr>
        <w:t>10</w:t>
      </w:r>
      <w:r>
        <w:rPr>
          <w:rFonts w:hint="eastAsia" w:ascii="仿宋" w:hAnsi="仿宋" w:eastAsia="仿宋"/>
          <w:b/>
          <w:bCs/>
          <w:color w:val="auto"/>
          <w:sz w:val="28"/>
          <w:szCs w:val="28"/>
          <w:highlight w:val="none"/>
          <w:u w:val="single"/>
        </w:rPr>
        <w:t xml:space="preserve">  </w:t>
      </w:r>
      <w:permEnd w:id="2"/>
      <w:r>
        <w:rPr>
          <w:rFonts w:hint="eastAsia" w:ascii="仿宋" w:hAnsi="仿宋" w:eastAsia="仿宋"/>
          <w:color w:val="auto"/>
          <w:sz w:val="28"/>
          <w:szCs w:val="28"/>
          <w:highlight w:val="none"/>
        </w:rPr>
        <w:t>%计；</w:t>
      </w:r>
    </w:p>
    <w:p w14:paraId="7417C372">
      <w:pPr>
        <w:spacing w:line="36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[A1+A2+A3=1，A2≥30%, A3≤10%]</w:t>
      </w:r>
    </w:p>
    <w:p w14:paraId="7A8B918A">
      <w:pPr>
        <w:spacing w:line="360" w:lineRule="auto"/>
        <w:ind w:firstLine="560" w:firstLineChars="200"/>
        <w:rPr>
          <w:rFonts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2.7评标委员会应当按评审总得分从高至低的顺序，按照“投标前须知附表1”第17项约定推荐中标候选人，并形成评标报告；</w:t>
      </w:r>
    </w:p>
    <w:p w14:paraId="4E3C3631">
      <w:pPr>
        <w:spacing w:line="360" w:lineRule="auto"/>
        <w:ind w:firstLine="560" w:firstLineChars="200"/>
        <w:rPr>
          <w:rFonts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2.8若出现评审总得分相同且影响到推荐中标候选人时，按技术标得分从高至低的顺序推荐；若出现技术标得分也相同的情形，按商务标得分从高至低的顺序推荐；若出现商务标得分仍相同的情形，采用大号中签的抽签方式推荐。</w:t>
      </w:r>
    </w:p>
    <w:p w14:paraId="25647A71">
      <w:pPr>
        <w:spacing w:line="360" w:lineRule="auto"/>
        <w:ind w:firstLine="562" w:firstLineChars="200"/>
        <w:rPr>
          <w:rFonts w:ascii="仿宋" w:hAnsi="仿宋" w:eastAsia="仿宋"/>
          <w:b/>
          <w:color w:val="auto"/>
          <w:sz w:val="28"/>
          <w:szCs w:val="28"/>
          <w:highlight w:val="none"/>
        </w:rPr>
      </w:pPr>
      <w:r>
        <w:rPr>
          <w:rFonts w:hint="eastAsia" w:ascii="仿宋" w:hAnsi="仿宋" w:eastAsia="仿宋"/>
          <w:b/>
          <w:color w:val="auto"/>
          <w:sz w:val="28"/>
          <w:szCs w:val="28"/>
          <w:highlight w:val="none"/>
        </w:rPr>
        <w:t>3.信用商务评审法</w:t>
      </w:r>
    </w:p>
    <w:p w14:paraId="407B7886">
      <w:pPr>
        <w:spacing w:line="360" w:lineRule="auto"/>
        <w:ind w:firstLine="560" w:firstLineChars="200"/>
        <w:rPr>
          <w:rFonts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3.1招标人在开标会上根据招标文件中投标文件不予受理情形的规定，对投标人的投标文件是否应当受理进行审查，然后将应当受理的投标文件提交评标委员会评审；</w:t>
      </w:r>
    </w:p>
    <w:p w14:paraId="63FFEC22">
      <w:pPr>
        <w:spacing w:line="360" w:lineRule="auto"/>
        <w:ind w:firstLine="560" w:firstLineChars="200"/>
        <w:rPr>
          <w:rFonts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3.2评标委员会根据招标文件初步评审内容的规定，对所有应当受理的投标文件进行初步评审；</w:t>
      </w:r>
    </w:p>
    <w:p w14:paraId="03F0D6CB">
      <w:pPr>
        <w:spacing w:line="360" w:lineRule="auto"/>
        <w:ind w:firstLine="560" w:firstLineChars="200"/>
        <w:rPr>
          <w:rFonts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3.3评标委员会对所有初步评审合格的各投标人的商务标进行详细评审，并计算出商务标得分；</w:t>
      </w:r>
    </w:p>
    <w:p w14:paraId="5DD8FB54">
      <w:pPr>
        <w:spacing w:line="360" w:lineRule="auto"/>
        <w:ind w:firstLine="560" w:firstLineChars="200"/>
        <w:rPr>
          <w:rFonts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3.4评标委员会在完成商务标评审后，对初步评审合格的各投标人资信标进行详细评审并打分；</w:t>
      </w:r>
    </w:p>
    <w:p w14:paraId="3574C39D">
      <w:pPr>
        <w:spacing w:line="360" w:lineRule="auto"/>
        <w:ind w:firstLine="560" w:firstLineChars="200"/>
        <w:rPr>
          <w:rFonts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3.5最后，评标委员会应当按照下列公式计算评审总得分：</w:t>
      </w:r>
    </w:p>
    <w:p w14:paraId="52B584B2">
      <w:pPr>
        <w:spacing w:line="360" w:lineRule="auto"/>
        <w:ind w:firstLine="560" w:firstLineChars="200"/>
        <w:rPr>
          <w:rFonts w:ascii="仿宋" w:hAnsi="仿宋" w:eastAsia="仿宋"/>
          <w:color w:val="auto"/>
          <w:sz w:val="28"/>
          <w:szCs w:val="28"/>
          <w:highlight w:val="none"/>
        </w:rPr>
      </w:pPr>
      <w:r>
        <w:rPr>
          <w:rFonts w:ascii="仿宋" w:hAnsi="仿宋" w:eastAsia="仿宋" w:cs="Times New Roman"/>
          <w:color w:val="auto"/>
          <w:kern w:val="2"/>
          <w:sz w:val="28"/>
          <w:szCs w:val="28"/>
          <w:highlight w:val="none"/>
          <w:lang w:val="en-US" w:eastAsia="zh-CN" w:bidi="ar-SA"/>
        </w:rPr>
        <w:object>
          <v:shape id="_x0000_i1026" o:spt="75" type="#_x0000_t75" style="height:18pt;width:101.25pt;" o:ole="t" fillcolor="#FFFFFF" filled="f" o:preferrelative="t" stroked="f" coordsize="21600,21600">
            <v:path/>
            <v:fill on="f" color2="#FFFFFF" focussize="0,0"/>
            <v:stroke on="f"/>
            <v:imagedata r:id="rId20" gain="65536f" blacklevel="0f" gamma="0" o:title=""/>
            <o:lock v:ext="edit" position="f" selection="f" grouping="f" rotation="f" cropping="f" text="f" aspectratio="t"/>
            <w10:wrap type="none"/>
            <w10:anchorlock/>
          </v:shape>
          <o:OLEObject Type="Embed" ProgID="Equation.3" ShapeID="_x0000_i1026" DrawAspect="Content" ObjectID="_1468075726" r:id="rId19">
            <o:LockedField>false</o:LockedField>
          </o:OLEObject>
        </w:object>
      </w:r>
    </w:p>
    <w:p w14:paraId="2135AC77">
      <w:pPr>
        <w:spacing w:line="36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N—评审总得分（得分取值保留到小数点后两位）；</w:t>
      </w:r>
    </w:p>
    <w:p w14:paraId="31163ACB">
      <w:pPr>
        <w:spacing w:line="36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S—商务标评审得分（得分取值保留到小数点后两位）；</w:t>
      </w:r>
    </w:p>
    <w:p w14:paraId="3FB20309">
      <w:pPr>
        <w:spacing w:line="36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X</w:t>
      </w:r>
      <w:r>
        <w:rPr>
          <w:rFonts w:ascii="仿宋" w:hAnsi="仿宋" w:eastAsia="仿宋"/>
          <w:color w:val="auto"/>
          <w:sz w:val="28"/>
          <w:szCs w:val="28"/>
          <w:highlight w:val="none"/>
        </w:rPr>
        <w:t>—</w:t>
      </w:r>
      <w:r>
        <w:rPr>
          <w:rFonts w:hint="eastAsia" w:ascii="仿宋" w:hAnsi="仿宋" w:eastAsia="仿宋"/>
          <w:color w:val="auto"/>
          <w:sz w:val="28"/>
          <w:szCs w:val="28"/>
          <w:highlight w:val="none"/>
        </w:rPr>
        <w:t>资信标评审得分（得分取值保留到小数点后两位）；</w:t>
      </w:r>
    </w:p>
    <w:p w14:paraId="653448A6">
      <w:pPr>
        <w:spacing w:line="36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A2—商务标评审得分权重，按</w:t>
      </w:r>
      <w:permStart w:id="3" w:edGrp="everyone"/>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u w:val="single"/>
          <w:lang w:val="en-US" w:eastAsia="zh-CN"/>
        </w:rPr>
        <w:t>/</w:t>
      </w:r>
      <w:r>
        <w:rPr>
          <w:rFonts w:hint="eastAsia" w:ascii="仿宋" w:hAnsi="仿宋" w:eastAsia="仿宋"/>
          <w:color w:val="auto"/>
          <w:sz w:val="28"/>
          <w:szCs w:val="28"/>
          <w:highlight w:val="none"/>
          <w:u w:val="single"/>
        </w:rPr>
        <w:t xml:space="preserve"> </w:t>
      </w:r>
      <w:permEnd w:id="3"/>
      <w:r>
        <w:rPr>
          <w:rFonts w:hint="eastAsia" w:ascii="仿宋" w:hAnsi="仿宋" w:eastAsia="仿宋"/>
          <w:color w:val="auto"/>
          <w:sz w:val="28"/>
          <w:szCs w:val="28"/>
          <w:highlight w:val="none"/>
        </w:rPr>
        <w:t>%计；</w:t>
      </w:r>
    </w:p>
    <w:p w14:paraId="0F1A49FC">
      <w:pPr>
        <w:spacing w:line="36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A3—资信标评审得分权重，按</w:t>
      </w:r>
      <w:permStart w:id="4" w:edGrp="everyone"/>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u w:val="single"/>
          <w:lang w:val="en-US" w:eastAsia="zh-CN"/>
        </w:rPr>
        <w:t>/</w:t>
      </w:r>
      <w:r>
        <w:rPr>
          <w:rFonts w:hint="eastAsia" w:ascii="仿宋" w:hAnsi="仿宋" w:eastAsia="仿宋"/>
          <w:color w:val="auto"/>
          <w:sz w:val="28"/>
          <w:szCs w:val="28"/>
          <w:highlight w:val="none"/>
          <w:u w:val="single"/>
        </w:rPr>
        <w:t xml:space="preserve">  </w:t>
      </w:r>
      <w:permEnd w:id="4"/>
      <w:r>
        <w:rPr>
          <w:rFonts w:hint="eastAsia" w:ascii="仿宋" w:hAnsi="仿宋" w:eastAsia="仿宋"/>
          <w:color w:val="auto"/>
          <w:sz w:val="28"/>
          <w:szCs w:val="28"/>
          <w:highlight w:val="none"/>
        </w:rPr>
        <w:t>%计；</w:t>
      </w:r>
    </w:p>
    <w:p w14:paraId="6BCC4AD3">
      <w:pPr>
        <w:spacing w:line="36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[A2+A3=1，A3≤30%]</w:t>
      </w:r>
    </w:p>
    <w:p w14:paraId="621B15D6">
      <w:pPr>
        <w:spacing w:line="360" w:lineRule="auto"/>
        <w:ind w:firstLine="560" w:firstLineChars="200"/>
        <w:rPr>
          <w:rFonts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3.6评标委员会应当按评审总得分从高至低的顺序，按照“投标前须知附表1”第17项约定推荐中标候选人，并形成评标报告；</w:t>
      </w:r>
    </w:p>
    <w:p w14:paraId="70E21536">
      <w:pPr>
        <w:spacing w:line="360" w:lineRule="auto"/>
        <w:ind w:firstLine="560" w:firstLineChars="200"/>
        <w:rPr>
          <w:rFonts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3.7若出现评审总得分相同且影响到推荐中标候选人时，按商务标得分从高至低的顺序推荐；若出现商务标得分也相同的情形，按资信标得分从高至低的顺序推荐；若出现资信标得分仍相同的情形，采用大号中签的抽签方式推荐。</w:t>
      </w:r>
    </w:p>
    <w:p w14:paraId="2B8FAB01">
      <w:pPr>
        <w:spacing w:line="360" w:lineRule="auto"/>
        <w:ind w:firstLine="562" w:firstLineChars="200"/>
        <w:rPr>
          <w:rFonts w:ascii="仿宋" w:hAnsi="仿宋" w:eastAsia="仿宋"/>
          <w:b/>
          <w:color w:val="auto"/>
          <w:sz w:val="28"/>
          <w:szCs w:val="28"/>
          <w:highlight w:val="none"/>
        </w:rPr>
      </w:pPr>
      <w:r>
        <w:rPr>
          <w:rFonts w:hint="eastAsia" w:ascii="仿宋" w:hAnsi="仿宋" w:eastAsia="仿宋"/>
          <w:b/>
          <w:color w:val="auto"/>
          <w:sz w:val="28"/>
          <w:szCs w:val="28"/>
          <w:highlight w:val="none"/>
        </w:rPr>
        <w:t>4.定性评审法</w:t>
      </w:r>
    </w:p>
    <w:p w14:paraId="00F9FC65">
      <w:pPr>
        <w:spacing w:line="360" w:lineRule="auto"/>
        <w:ind w:firstLine="560" w:firstLineChars="200"/>
        <w:rPr>
          <w:rFonts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4.1招标人在开标会上根据招标文件中投标文件不予受理情形的规定，对投标人的投标文件是否应当受理进行审查，然后将应当受理的投标文件提交评标委员会评审；</w:t>
      </w:r>
    </w:p>
    <w:p w14:paraId="284AC4BB">
      <w:pPr>
        <w:spacing w:line="360" w:lineRule="auto"/>
        <w:ind w:firstLine="560" w:firstLineChars="200"/>
        <w:rPr>
          <w:rFonts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4.2评标委员会根据招标文件初步评审内容的规定，对所有应当受理的投标文件进行初步评审；</w:t>
      </w:r>
    </w:p>
    <w:p w14:paraId="00EB2F6C">
      <w:pPr>
        <w:spacing w:line="360" w:lineRule="auto"/>
        <w:ind w:firstLine="560" w:firstLineChars="200"/>
        <w:rPr>
          <w:rFonts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4.3评标委员会对通过初步评审的各投标人的技术标及商务标同时进行详细评审。即：各成员根据招标文件规定的技术标及商务标评审要素（见评标方法附件），各成员须对投标文件独立进行评审并提出评审意见，经讨论汇总后形成综合评审意见，内容主要包括：对各投标文件是否满足招标文件所有要求提出意见，指出各投标文件中存在的缺陷和问题，签订合同前应注意和澄清的事项,并推荐</w:t>
      </w:r>
      <w:r>
        <w:rPr>
          <w:rFonts w:hint="eastAsia" w:ascii="仿宋" w:hAnsi="仿宋" w:eastAsia="仿宋" w:cs="宋体"/>
          <w:color w:val="auto"/>
          <w:kern w:val="0"/>
          <w:sz w:val="28"/>
          <w:szCs w:val="28"/>
          <w:highlight w:val="none"/>
          <w:u w:val="single"/>
        </w:rPr>
        <w:t xml:space="preserve">  </w:t>
      </w:r>
      <w:r>
        <w:rPr>
          <w:rFonts w:hint="eastAsia" w:ascii="仿宋" w:hAnsi="仿宋" w:eastAsia="仿宋" w:cs="宋体"/>
          <w:color w:val="auto"/>
          <w:kern w:val="0"/>
          <w:sz w:val="28"/>
          <w:szCs w:val="28"/>
          <w:highlight w:val="none"/>
          <w:u w:val="single"/>
          <w:lang w:val="en-US" w:eastAsia="zh-CN"/>
        </w:rPr>
        <w:t>/</w:t>
      </w:r>
      <w:r>
        <w:rPr>
          <w:rFonts w:hint="eastAsia" w:ascii="仿宋" w:hAnsi="仿宋" w:eastAsia="仿宋" w:cs="宋体"/>
          <w:color w:val="auto"/>
          <w:kern w:val="0"/>
          <w:sz w:val="28"/>
          <w:szCs w:val="28"/>
          <w:highlight w:val="none"/>
          <w:u w:val="single"/>
        </w:rPr>
        <w:t xml:space="preserve">  </w:t>
      </w:r>
      <w:r>
        <w:rPr>
          <w:rFonts w:hint="eastAsia" w:ascii="仿宋" w:hAnsi="仿宋" w:eastAsia="仿宋" w:cs="宋体"/>
          <w:color w:val="auto"/>
          <w:kern w:val="0"/>
          <w:sz w:val="28"/>
          <w:szCs w:val="28"/>
          <w:highlight w:val="none"/>
        </w:rPr>
        <w:t>名无排序的中标候选人；</w:t>
      </w:r>
    </w:p>
    <w:p w14:paraId="0B42579C">
      <w:pPr>
        <w:spacing w:line="360" w:lineRule="auto"/>
        <w:ind w:firstLine="560" w:firstLineChars="200"/>
        <w:rPr>
          <w:rFonts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4.4评标委员会将综合评审意见整理成评标报告后，提交给招标人。</w:t>
      </w:r>
    </w:p>
    <w:p w14:paraId="781EAC34">
      <w:pPr>
        <w:spacing w:line="360" w:lineRule="auto"/>
        <w:ind w:firstLine="0" w:firstLineChars="0"/>
        <w:jc w:val="both"/>
        <w:rPr>
          <w:rFonts w:ascii="仿宋" w:hAnsi="仿宋" w:eastAsia="仿宋" w:cs="宋体"/>
          <w:color w:val="auto"/>
          <w:kern w:val="0"/>
          <w:sz w:val="28"/>
          <w:szCs w:val="28"/>
          <w:highlight w:val="none"/>
        </w:rPr>
      </w:pPr>
    </w:p>
    <w:p w14:paraId="36AB68CE">
      <w:pPr>
        <w:spacing w:line="360" w:lineRule="auto"/>
        <w:ind w:firstLine="0" w:firstLineChars="0"/>
        <w:jc w:val="both"/>
        <w:rPr>
          <w:rFonts w:ascii="仿宋" w:hAnsi="仿宋" w:eastAsia="仿宋" w:cs="宋体"/>
          <w:color w:val="auto"/>
          <w:kern w:val="0"/>
          <w:sz w:val="28"/>
          <w:szCs w:val="28"/>
          <w:highlight w:val="none"/>
        </w:rPr>
        <w:sectPr>
          <w:headerReference r:id="rId7" w:type="default"/>
          <w:footerReference r:id="rId8" w:type="default"/>
          <w:pgSz w:w="12240" w:h="15840"/>
          <w:pgMar w:top="1440" w:right="1797" w:bottom="1440" w:left="1797" w:header="720" w:footer="720" w:gutter="0"/>
          <w:pgNumType w:fmt="decimal"/>
          <w:cols w:space="720" w:num="1"/>
        </w:sectPr>
      </w:pPr>
    </w:p>
    <w:p w14:paraId="46ABAA40">
      <w:pPr>
        <w:spacing w:line="360" w:lineRule="auto"/>
        <w:ind w:firstLine="3200" w:firstLineChars="1000"/>
        <w:rPr>
          <w:rFonts w:ascii="黑体" w:hAnsi="黑体" w:eastAsia="黑体"/>
          <w:color w:val="auto"/>
          <w:sz w:val="32"/>
          <w:szCs w:val="32"/>
          <w:highlight w:val="none"/>
        </w:rPr>
      </w:pPr>
      <w:r>
        <w:rPr>
          <w:rFonts w:hint="eastAsia" w:ascii="黑体" w:hAnsi="黑体" w:eastAsia="黑体"/>
          <w:color w:val="auto"/>
          <w:sz w:val="32"/>
          <w:szCs w:val="32"/>
          <w:highlight w:val="none"/>
        </w:rPr>
        <w:t>三、评标方法附件</w:t>
      </w:r>
    </w:p>
    <w:p w14:paraId="60A678ED">
      <w:pPr>
        <w:pStyle w:val="7"/>
        <w:ind w:firstLine="640"/>
        <w:jc w:val="center"/>
        <w:rPr>
          <w:rFonts w:ascii="黑体" w:hAnsi="黑体" w:eastAsia="黑体"/>
          <w:color w:val="auto"/>
          <w:sz w:val="32"/>
          <w:szCs w:val="32"/>
          <w:highlight w:val="none"/>
        </w:rPr>
      </w:pPr>
      <w:r>
        <w:rPr>
          <w:rFonts w:hint="eastAsia" w:ascii="黑体" w:hAnsi="黑体" w:eastAsia="黑体"/>
          <w:color w:val="auto"/>
          <w:sz w:val="32"/>
          <w:szCs w:val="32"/>
          <w:highlight w:val="none"/>
        </w:rPr>
        <w:t>（一）技术标评审表</w:t>
      </w:r>
    </w:p>
    <w:p w14:paraId="1C9255EA">
      <w:pPr>
        <w:spacing w:line="360" w:lineRule="auto"/>
        <w:ind w:firstLine="600" w:firstLineChars="200"/>
        <w:jc w:val="center"/>
        <w:rPr>
          <w:rFonts w:ascii="黑体" w:hAnsi="黑体" w:eastAsia="黑体"/>
          <w:color w:val="auto"/>
          <w:sz w:val="30"/>
          <w:szCs w:val="30"/>
          <w:highlight w:val="none"/>
        </w:rPr>
      </w:pPr>
      <w:r>
        <w:rPr>
          <w:rFonts w:hint="eastAsia" w:ascii="黑体" w:hAnsi="黑体" w:eastAsia="黑体"/>
          <w:color w:val="auto"/>
          <w:sz w:val="30"/>
          <w:szCs w:val="30"/>
          <w:highlight w:val="none"/>
        </w:rPr>
        <w:t>1.技术标定量评审表</w:t>
      </w:r>
    </w:p>
    <w:p w14:paraId="5DB7CFC8">
      <w:pPr>
        <w:spacing w:line="360" w:lineRule="auto"/>
        <w:ind w:firstLine="482" w:firstLineChars="200"/>
        <w:jc w:val="left"/>
        <w:rPr>
          <w:rFonts w:ascii="华文细黑" w:hAnsi="华文细黑" w:eastAsia="黑体"/>
          <w:b/>
          <w:color w:val="auto"/>
          <w:sz w:val="36"/>
          <w:highlight w:val="none"/>
        </w:rPr>
      </w:pPr>
      <w:r>
        <w:rPr>
          <w:rFonts w:hint="eastAsia" w:ascii="仿宋" w:hAnsi="仿宋" w:eastAsia="仿宋"/>
          <w:b/>
          <w:color w:val="auto"/>
          <w:sz w:val="24"/>
          <w:szCs w:val="24"/>
          <w:highlight w:val="none"/>
          <w:lang w:eastAsia="zh-CN"/>
        </w:rPr>
        <w:t>项目</w:t>
      </w:r>
      <w:r>
        <w:rPr>
          <w:rFonts w:hint="eastAsia" w:ascii="仿宋" w:hAnsi="仿宋" w:eastAsia="仿宋"/>
          <w:b/>
          <w:color w:val="auto"/>
          <w:sz w:val="24"/>
          <w:szCs w:val="24"/>
          <w:highlight w:val="none"/>
        </w:rPr>
        <w:t>名称：</w:t>
      </w:r>
      <w:r>
        <w:rPr>
          <w:rFonts w:hint="eastAsia" w:ascii="仿宋" w:hAnsi="仿宋" w:eastAsia="仿宋"/>
          <w:b/>
          <w:color w:val="auto"/>
          <w:sz w:val="24"/>
          <w:szCs w:val="24"/>
          <w:highlight w:val="none"/>
          <w:lang w:val="en-US" w:eastAsia="zh-CN"/>
        </w:rPr>
        <w:t>重庆</w:t>
      </w:r>
      <w:r>
        <w:rPr>
          <w:rFonts w:hint="eastAsia" w:ascii="仿宋" w:hAnsi="仿宋" w:eastAsia="仿宋"/>
          <w:b/>
          <w:color w:val="auto"/>
          <w:sz w:val="24"/>
          <w:szCs w:val="24"/>
          <w:highlight w:val="none"/>
          <w:lang w:eastAsia="zh-CN"/>
        </w:rPr>
        <w:t>华南城2026年度</w:t>
      </w:r>
      <w:r>
        <w:rPr>
          <w:rFonts w:hint="eastAsia" w:ascii="仿宋" w:hAnsi="仿宋" w:eastAsia="仿宋"/>
          <w:b/>
          <w:color w:val="auto"/>
          <w:sz w:val="24"/>
          <w:szCs w:val="24"/>
          <w:highlight w:val="none"/>
          <w:lang w:val="en-US" w:eastAsia="zh-CN"/>
        </w:rPr>
        <w:t>绿化养护</w:t>
      </w:r>
      <w:r>
        <w:rPr>
          <w:rFonts w:hint="eastAsia" w:ascii="仿宋" w:hAnsi="仿宋" w:eastAsia="仿宋"/>
          <w:b/>
          <w:color w:val="auto"/>
          <w:sz w:val="24"/>
          <w:szCs w:val="24"/>
          <w:highlight w:val="none"/>
          <w:lang w:eastAsia="zh-CN"/>
        </w:rPr>
        <w:t>外包服务</w:t>
      </w:r>
    </w:p>
    <w:tbl>
      <w:tblPr>
        <w:tblStyle w:val="35"/>
        <w:tblW w:w="9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1321"/>
        <w:gridCol w:w="6476"/>
        <w:gridCol w:w="1300"/>
      </w:tblGrid>
      <w:tr w14:paraId="2F804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2" w:hRule="atLeast"/>
        </w:trPr>
        <w:tc>
          <w:tcPr>
            <w:tcW w:w="518" w:type="dxa"/>
            <w:vAlign w:val="center"/>
          </w:tcPr>
          <w:p w14:paraId="783DE515">
            <w:pPr>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序号</w:t>
            </w:r>
          </w:p>
        </w:tc>
        <w:tc>
          <w:tcPr>
            <w:tcW w:w="1321" w:type="dxa"/>
            <w:vAlign w:val="center"/>
          </w:tcPr>
          <w:p w14:paraId="70C41ED8">
            <w:pPr>
              <w:jc w:val="center"/>
              <w:rPr>
                <w:rFonts w:ascii="仿宋" w:hAnsi="仿宋" w:eastAsia="仿宋"/>
                <w:b/>
                <w:color w:val="auto"/>
                <w:sz w:val="24"/>
                <w:szCs w:val="24"/>
                <w:highlight w:val="none"/>
              </w:rPr>
            </w:pPr>
            <w:r>
              <w:rPr>
                <w:rFonts w:hint="eastAsia" w:ascii="仿宋" w:hAnsi="仿宋" w:eastAsia="仿宋" w:cs="Times New Roman"/>
                <w:b/>
                <w:color w:val="auto"/>
                <w:sz w:val="24"/>
                <w:szCs w:val="24"/>
                <w:highlight w:val="none"/>
              </w:rPr>
              <w:t>评审内容 及要求</w:t>
            </w:r>
          </w:p>
        </w:tc>
        <w:tc>
          <w:tcPr>
            <w:tcW w:w="6476" w:type="dxa"/>
            <w:vAlign w:val="center"/>
          </w:tcPr>
          <w:p w14:paraId="6C051C5F">
            <w:pPr>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分值范围</w:t>
            </w:r>
          </w:p>
        </w:tc>
        <w:tc>
          <w:tcPr>
            <w:tcW w:w="1300" w:type="dxa"/>
            <w:vAlign w:val="center"/>
          </w:tcPr>
          <w:p w14:paraId="06D19791">
            <w:pPr>
              <w:jc w:val="center"/>
              <w:rPr>
                <w:rFonts w:hint="eastAsia" w:ascii="仿宋" w:hAnsi="仿宋" w:eastAsia="仿宋"/>
                <w:b/>
                <w:color w:val="auto"/>
                <w:sz w:val="24"/>
                <w:szCs w:val="24"/>
                <w:highlight w:val="none"/>
                <w:lang w:eastAsia="zh-CN"/>
              </w:rPr>
            </w:pPr>
            <w:r>
              <w:rPr>
                <w:rFonts w:hint="eastAsia" w:ascii="仿宋" w:hAnsi="仿宋" w:eastAsia="仿宋"/>
                <w:b/>
                <w:color w:val="auto"/>
                <w:sz w:val="24"/>
                <w:szCs w:val="24"/>
                <w:highlight w:val="none"/>
              </w:rPr>
              <w:t>投标人</w:t>
            </w:r>
            <w:r>
              <w:rPr>
                <w:rFonts w:hint="eastAsia" w:ascii="仿宋" w:hAnsi="仿宋" w:eastAsia="仿宋"/>
                <w:b/>
                <w:color w:val="auto"/>
                <w:sz w:val="24"/>
                <w:szCs w:val="24"/>
                <w:highlight w:val="none"/>
                <w:lang w:val="en-US" w:eastAsia="zh-CN"/>
              </w:rPr>
              <w:t>1</w:t>
            </w:r>
          </w:p>
        </w:tc>
      </w:tr>
      <w:tr w14:paraId="0B8EA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exact"/>
        </w:trPr>
        <w:tc>
          <w:tcPr>
            <w:tcW w:w="518" w:type="dxa"/>
            <w:vMerge w:val="restart"/>
            <w:vAlign w:val="center"/>
          </w:tcPr>
          <w:p w14:paraId="11B0A62D">
            <w:pPr>
              <w:widowControl w:val="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1</w:t>
            </w:r>
          </w:p>
        </w:tc>
        <w:tc>
          <w:tcPr>
            <w:tcW w:w="1321" w:type="dxa"/>
            <w:vMerge w:val="restart"/>
            <w:vAlign w:val="center"/>
          </w:tcPr>
          <w:p w14:paraId="039B665F">
            <w:pPr>
              <w:jc w:val="left"/>
              <w:rPr>
                <w:rFonts w:ascii="仿宋" w:hAnsi="仿宋" w:eastAsia="仿宋"/>
                <w:color w:val="auto"/>
                <w:sz w:val="24"/>
                <w:szCs w:val="24"/>
                <w:highlight w:val="none"/>
              </w:rPr>
            </w:pPr>
            <w:r>
              <w:rPr>
                <w:rFonts w:hint="eastAsia" w:ascii="仿宋" w:hAnsi="仿宋" w:eastAsia="仿宋" w:cs="仿宋"/>
                <w:color w:val="auto"/>
                <w:kern w:val="0"/>
                <w:sz w:val="21"/>
                <w:szCs w:val="21"/>
                <w:highlight w:val="none"/>
                <w:lang w:val="en-US" w:eastAsia="zh-CN" w:bidi="ar-SA"/>
              </w:rPr>
              <w:t>服务方案（36分）</w:t>
            </w:r>
          </w:p>
        </w:tc>
        <w:tc>
          <w:tcPr>
            <w:tcW w:w="6476" w:type="dxa"/>
            <w:vAlign w:val="center"/>
          </w:tcPr>
          <w:p w14:paraId="0B5C5BB5">
            <w:pPr>
              <w:pStyle w:val="14"/>
              <w:jc w:val="both"/>
              <w:rPr>
                <w:rFonts w:ascii="仿宋" w:hAnsi="仿宋" w:eastAsia="仿宋" w:cs="Times New Roman"/>
                <w:color w:val="auto"/>
                <w:kern w:val="2"/>
                <w:sz w:val="24"/>
                <w:szCs w:val="24"/>
                <w:highlight w:val="none"/>
                <w:lang w:val="en-US" w:eastAsia="zh-CN" w:bidi="ar-SA"/>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、投标方案中有各项服务的服务标准，且符合</w:t>
            </w:r>
            <w:r>
              <w:rPr>
                <w:rFonts w:hint="eastAsia" w:ascii="仿宋" w:hAnsi="仿宋" w:eastAsia="仿宋" w:cs="仿宋"/>
                <w:color w:val="auto"/>
                <w:szCs w:val="21"/>
                <w:highlight w:val="none"/>
                <w:lang w:val="en-US" w:eastAsia="zh-CN"/>
              </w:rPr>
              <w:t>招标需求</w:t>
            </w:r>
            <w:r>
              <w:rPr>
                <w:rFonts w:hint="eastAsia" w:ascii="仿宋" w:hAnsi="仿宋" w:eastAsia="仿宋" w:cs="仿宋"/>
                <w:color w:val="auto"/>
                <w:szCs w:val="21"/>
                <w:highlight w:val="none"/>
              </w:rPr>
              <w:t>，得：1-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分，不满足得0分</w:t>
            </w:r>
            <w:r>
              <w:rPr>
                <w:rFonts w:hint="eastAsia" w:ascii="仿宋" w:hAnsi="仿宋" w:eastAsia="仿宋" w:cs="仿宋"/>
                <w:color w:val="auto"/>
                <w:szCs w:val="21"/>
                <w:highlight w:val="none"/>
                <w:lang w:eastAsia="zh-CN"/>
              </w:rPr>
              <w:t>。</w:t>
            </w:r>
          </w:p>
        </w:tc>
        <w:tc>
          <w:tcPr>
            <w:tcW w:w="1300" w:type="dxa"/>
            <w:vAlign w:val="center"/>
          </w:tcPr>
          <w:p w14:paraId="41264239">
            <w:pPr>
              <w:jc w:val="center"/>
              <w:rPr>
                <w:rFonts w:ascii="仿宋" w:hAnsi="仿宋" w:eastAsia="仿宋"/>
                <w:color w:val="auto"/>
                <w:sz w:val="24"/>
                <w:szCs w:val="24"/>
                <w:highlight w:val="none"/>
              </w:rPr>
            </w:pPr>
          </w:p>
        </w:tc>
      </w:tr>
      <w:tr w14:paraId="746E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trPr>
        <w:tc>
          <w:tcPr>
            <w:tcW w:w="518" w:type="dxa"/>
            <w:vMerge w:val="continue"/>
            <w:vAlign w:val="center"/>
          </w:tcPr>
          <w:p w14:paraId="226B5BAD">
            <w:pPr>
              <w:widowControl w:val="0"/>
              <w:jc w:val="center"/>
              <w:rPr>
                <w:rFonts w:hint="default" w:ascii="仿宋" w:hAnsi="仿宋" w:eastAsia="仿宋"/>
                <w:color w:val="auto"/>
                <w:sz w:val="24"/>
                <w:szCs w:val="24"/>
                <w:highlight w:val="none"/>
                <w:lang w:val="en-US" w:eastAsia="zh-CN"/>
              </w:rPr>
            </w:pPr>
            <w:r>
              <w:rPr>
                <w:rFonts w:hint="eastAsia" w:ascii="仿宋" w:hAnsi="仿宋" w:eastAsia="仿宋"/>
                <w:color w:val="auto"/>
                <w:sz w:val="24"/>
                <w:szCs w:val="24"/>
                <w:highlight w:val="none"/>
                <w:lang w:val="en-US" w:eastAsia="zh-CN"/>
              </w:rPr>
              <w:t>2.</w:t>
            </w:r>
          </w:p>
        </w:tc>
        <w:tc>
          <w:tcPr>
            <w:tcW w:w="1321" w:type="dxa"/>
            <w:vMerge w:val="continue"/>
            <w:vAlign w:val="center"/>
          </w:tcPr>
          <w:p w14:paraId="69F2E6F8">
            <w:pPr>
              <w:jc w:val="left"/>
              <w:rPr>
                <w:rFonts w:ascii="仿宋" w:hAnsi="仿宋" w:eastAsia="仿宋"/>
                <w:color w:val="auto"/>
                <w:sz w:val="24"/>
                <w:szCs w:val="24"/>
                <w:highlight w:val="none"/>
              </w:rPr>
            </w:pPr>
          </w:p>
        </w:tc>
        <w:tc>
          <w:tcPr>
            <w:tcW w:w="6476" w:type="dxa"/>
            <w:vAlign w:val="center"/>
          </w:tcPr>
          <w:p w14:paraId="7E24F88C">
            <w:pPr>
              <w:pStyle w:val="14"/>
              <w:jc w:val="both"/>
              <w:rPr>
                <w:rFonts w:ascii="仿宋" w:hAnsi="仿宋" w:eastAsia="仿宋" w:cs="Times New Roman"/>
                <w:color w:val="auto"/>
                <w:kern w:val="2"/>
                <w:sz w:val="24"/>
                <w:szCs w:val="24"/>
                <w:highlight w:val="none"/>
                <w:lang w:val="en-US" w:eastAsia="zh-CN" w:bidi="ar-SA"/>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、投标方案中有合理的管理类、作业类的流程，符合项目要求，得：1-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分，不满足得0分</w:t>
            </w:r>
            <w:r>
              <w:rPr>
                <w:rFonts w:hint="eastAsia" w:ascii="仿宋" w:hAnsi="仿宋" w:eastAsia="仿宋" w:cs="仿宋"/>
                <w:color w:val="auto"/>
                <w:szCs w:val="21"/>
                <w:highlight w:val="none"/>
                <w:lang w:eastAsia="zh-CN"/>
              </w:rPr>
              <w:t>。</w:t>
            </w:r>
          </w:p>
        </w:tc>
        <w:tc>
          <w:tcPr>
            <w:tcW w:w="1300" w:type="dxa"/>
            <w:vAlign w:val="center"/>
          </w:tcPr>
          <w:p w14:paraId="1E86C3AD">
            <w:pPr>
              <w:jc w:val="center"/>
              <w:rPr>
                <w:rFonts w:ascii="仿宋" w:hAnsi="仿宋" w:eastAsia="仿宋"/>
                <w:color w:val="auto"/>
                <w:sz w:val="24"/>
                <w:szCs w:val="24"/>
                <w:highlight w:val="none"/>
              </w:rPr>
            </w:pPr>
          </w:p>
        </w:tc>
      </w:tr>
      <w:tr w14:paraId="72B59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exact"/>
        </w:trPr>
        <w:tc>
          <w:tcPr>
            <w:tcW w:w="518" w:type="dxa"/>
            <w:vMerge w:val="continue"/>
            <w:vAlign w:val="center"/>
          </w:tcPr>
          <w:p w14:paraId="7A76AA39">
            <w:pPr>
              <w:widowControl w:val="0"/>
              <w:jc w:val="center"/>
              <w:rPr>
                <w:rFonts w:hint="default" w:ascii="仿宋" w:hAnsi="仿宋" w:eastAsia="仿宋"/>
                <w:color w:val="auto"/>
                <w:sz w:val="24"/>
                <w:szCs w:val="24"/>
                <w:highlight w:val="none"/>
                <w:lang w:val="en-US" w:eastAsia="zh-CN"/>
              </w:rPr>
            </w:pPr>
            <w:r>
              <w:rPr>
                <w:rFonts w:hint="eastAsia" w:ascii="仿宋" w:hAnsi="仿宋" w:eastAsia="仿宋"/>
                <w:color w:val="auto"/>
                <w:sz w:val="24"/>
                <w:szCs w:val="24"/>
                <w:highlight w:val="none"/>
                <w:lang w:val="en-US" w:eastAsia="zh-CN"/>
              </w:rPr>
              <w:t>3.</w:t>
            </w:r>
          </w:p>
        </w:tc>
        <w:tc>
          <w:tcPr>
            <w:tcW w:w="1321" w:type="dxa"/>
            <w:vMerge w:val="continue"/>
            <w:vAlign w:val="center"/>
          </w:tcPr>
          <w:p w14:paraId="1DEEA60D">
            <w:pPr>
              <w:jc w:val="left"/>
              <w:rPr>
                <w:rFonts w:ascii="仿宋" w:hAnsi="仿宋" w:eastAsia="仿宋"/>
                <w:color w:val="auto"/>
                <w:sz w:val="24"/>
                <w:szCs w:val="24"/>
                <w:highlight w:val="none"/>
              </w:rPr>
            </w:pPr>
          </w:p>
        </w:tc>
        <w:tc>
          <w:tcPr>
            <w:tcW w:w="6476" w:type="dxa"/>
            <w:vAlign w:val="center"/>
          </w:tcPr>
          <w:p w14:paraId="7F8955F8">
            <w:pPr>
              <w:pStyle w:val="14"/>
              <w:jc w:val="both"/>
              <w:rPr>
                <w:rFonts w:ascii="仿宋" w:hAnsi="仿宋" w:eastAsia="仿宋" w:cs="Times New Roman"/>
                <w:color w:val="auto"/>
                <w:kern w:val="2"/>
                <w:sz w:val="24"/>
                <w:szCs w:val="24"/>
                <w:highlight w:val="none"/>
                <w:lang w:val="en-US" w:eastAsia="zh-CN" w:bidi="ar-SA"/>
              </w:rPr>
            </w:pP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、投标方案有</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品质监管标准，且标准详细、合理，得：1-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分，不满足得0分</w:t>
            </w:r>
            <w:r>
              <w:rPr>
                <w:rFonts w:hint="eastAsia" w:ascii="仿宋" w:hAnsi="仿宋" w:eastAsia="仿宋" w:cs="仿宋"/>
                <w:color w:val="auto"/>
                <w:szCs w:val="21"/>
                <w:highlight w:val="none"/>
                <w:lang w:eastAsia="zh-CN"/>
              </w:rPr>
              <w:t>。</w:t>
            </w:r>
          </w:p>
        </w:tc>
        <w:tc>
          <w:tcPr>
            <w:tcW w:w="1300" w:type="dxa"/>
            <w:vAlign w:val="center"/>
          </w:tcPr>
          <w:p w14:paraId="016294F4">
            <w:pPr>
              <w:jc w:val="center"/>
              <w:rPr>
                <w:rFonts w:ascii="仿宋" w:hAnsi="仿宋" w:eastAsia="仿宋"/>
                <w:color w:val="auto"/>
                <w:sz w:val="24"/>
                <w:szCs w:val="24"/>
                <w:highlight w:val="none"/>
              </w:rPr>
            </w:pPr>
          </w:p>
        </w:tc>
      </w:tr>
      <w:tr w14:paraId="05A18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exact"/>
        </w:trPr>
        <w:tc>
          <w:tcPr>
            <w:tcW w:w="518" w:type="dxa"/>
            <w:vMerge w:val="continue"/>
            <w:vAlign w:val="center"/>
          </w:tcPr>
          <w:p w14:paraId="2C8C4F4B">
            <w:pPr>
              <w:widowControl w:val="0"/>
              <w:jc w:val="center"/>
              <w:rPr>
                <w:rFonts w:hint="default" w:ascii="仿宋" w:hAnsi="仿宋" w:eastAsia="仿宋"/>
                <w:color w:val="auto"/>
                <w:sz w:val="24"/>
                <w:szCs w:val="24"/>
                <w:highlight w:val="none"/>
                <w:lang w:val="en-US" w:eastAsia="zh-CN"/>
              </w:rPr>
            </w:pPr>
            <w:r>
              <w:rPr>
                <w:rFonts w:hint="eastAsia" w:ascii="仿宋" w:hAnsi="仿宋" w:eastAsia="仿宋"/>
                <w:color w:val="auto"/>
                <w:sz w:val="24"/>
                <w:szCs w:val="24"/>
                <w:highlight w:val="none"/>
                <w:lang w:val="en-US" w:eastAsia="zh-CN"/>
              </w:rPr>
              <w:t>4.</w:t>
            </w:r>
          </w:p>
        </w:tc>
        <w:tc>
          <w:tcPr>
            <w:tcW w:w="1321" w:type="dxa"/>
            <w:vMerge w:val="continue"/>
            <w:vAlign w:val="center"/>
          </w:tcPr>
          <w:p w14:paraId="7814A18C">
            <w:pPr>
              <w:jc w:val="left"/>
              <w:rPr>
                <w:rFonts w:ascii="仿宋" w:hAnsi="仿宋" w:eastAsia="仿宋"/>
                <w:color w:val="auto"/>
                <w:sz w:val="24"/>
                <w:szCs w:val="24"/>
                <w:highlight w:val="none"/>
              </w:rPr>
            </w:pPr>
          </w:p>
        </w:tc>
        <w:tc>
          <w:tcPr>
            <w:tcW w:w="6476" w:type="dxa"/>
            <w:vAlign w:val="center"/>
          </w:tcPr>
          <w:p w14:paraId="26CB8894">
            <w:pPr>
              <w:pStyle w:val="14"/>
              <w:jc w:val="both"/>
              <w:rPr>
                <w:rFonts w:ascii="仿宋" w:hAnsi="仿宋" w:eastAsia="仿宋" w:cs="Times New Roman"/>
                <w:color w:val="auto"/>
                <w:kern w:val="2"/>
                <w:sz w:val="24"/>
                <w:szCs w:val="24"/>
                <w:highlight w:val="none"/>
                <w:lang w:val="en-US" w:eastAsia="zh-CN" w:bidi="ar-SA"/>
              </w:rPr>
            </w:pP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、现场方案有基础服务和其他服务的响应机制，得：</w:t>
            </w:r>
            <w:r>
              <w:rPr>
                <w:rFonts w:hint="eastAsia" w:ascii="仿宋" w:hAnsi="仿宋" w:eastAsia="仿宋" w:cs="仿宋"/>
                <w:color w:val="auto"/>
                <w:szCs w:val="21"/>
                <w:highlight w:val="none"/>
                <w:lang w:val="en-US" w:eastAsia="zh-CN"/>
              </w:rPr>
              <w:t>1-6</w:t>
            </w:r>
            <w:r>
              <w:rPr>
                <w:rFonts w:hint="eastAsia" w:ascii="仿宋" w:hAnsi="仿宋" w:eastAsia="仿宋" w:cs="仿宋"/>
                <w:color w:val="auto"/>
                <w:szCs w:val="21"/>
                <w:highlight w:val="none"/>
              </w:rPr>
              <w:t>分，不满足得0分</w:t>
            </w:r>
            <w:r>
              <w:rPr>
                <w:rFonts w:hint="eastAsia" w:ascii="仿宋" w:hAnsi="仿宋" w:eastAsia="仿宋" w:cs="仿宋"/>
                <w:color w:val="auto"/>
                <w:szCs w:val="21"/>
                <w:highlight w:val="none"/>
                <w:lang w:eastAsia="zh-CN"/>
              </w:rPr>
              <w:t>。</w:t>
            </w:r>
          </w:p>
        </w:tc>
        <w:tc>
          <w:tcPr>
            <w:tcW w:w="1300" w:type="dxa"/>
            <w:vAlign w:val="center"/>
          </w:tcPr>
          <w:p w14:paraId="23F64337">
            <w:pPr>
              <w:jc w:val="center"/>
              <w:rPr>
                <w:rFonts w:ascii="仿宋" w:hAnsi="仿宋" w:eastAsia="仿宋"/>
                <w:color w:val="auto"/>
                <w:sz w:val="24"/>
                <w:szCs w:val="24"/>
                <w:highlight w:val="none"/>
              </w:rPr>
            </w:pPr>
          </w:p>
        </w:tc>
      </w:tr>
      <w:tr w14:paraId="0A00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exact"/>
        </w:trPr>
        <w:tc>
          <w:tcPr>
            <w:tcW w:w="518" w:type="dxa"/>
            <w:vMerge w:val="continue"/>
            <w:vAlign w:val="center"/>
          </w:tcPr>
          <w:p w14:paraId="66A96F32">
            <w:pPr>
              <w:widowControl w:val="0"/>
              <w:jc w:val="center"/>
              <w:rPr>
                <w:rFonts w:hint="default" w:ascii="仿宋" w:hAnsi="仿宋" w:eastAsia="仿宋"/>
                <w:color w:val="auto"/>
                <w:sz w:val="24"/>
                <w:szCs w:val="24"/>
                <w:highlight w:val="none"/>
                <w:lang w:val="en-US" w:eastAsia="zh-CN"/>
              </w:rPr>
            </w:pPr>
            <w:r>
              <w:rPr>
                <w:rFonts w:hint="eastAsia" w:ascii="仿宋" w:hAnsi="仿宋" w:eastAsia="仿宋"/>
                <w:color w:val="auto"/>
                <w:sz w:val="24"/>
                <w:szCs w:val="24"/>
                <w:highlight w:val="none"/>
                <w:lang w:val="en-US" w:eastAsia="zh-CN"/>
              </w:rPr>
              <w:t>5.</w:t>
            </w:r>
          </w:p>
        </w:tc>
        <w:tc>
          <w:tcPr>
            <w:tcW w:w="1321" w:type="dxa"/>
            <w:vMerge w:val="continue"/>
            <w:vAlign w:val="center"/>
          </w:tcPr>
          <w:p w14:paraId="54325701">
            <w:pPr>
              <w:jc w:val="left"/>
              <w:rPr>
                <w:rFonts w:ascii="仿宋" w:hAnsi="仿宋" w:eastAsia="仿宋"/>
                <w:color w:val="auto"/>
                <w:sz w:val="24"/>
                <w:szCs w:val="24"/>
                <w:highlight w:val="none"/>
              </w:rPr>
            </w:pPr>
          </w:p>
        </w:tc>
        <w:tc>
          <w:tcPr>
            <w:tcW w:w="6476" w:type="dxa"/>
            <w:vAlign w:val="center"/>
          </w:tcPr>
          <w:p w14:paraId="12267E35">
            <w:pPr>
              <w:pStyle w:val="14"/>
              <w:jc w:val="both"/>
              <w:rPr>
                <w:rFonts w:ascii="仿宋" w:hAnsi="仿宋" w:eastAsia="仿宋" w:cs="Times New Roman"/>
                <w:color w:val="auto"/>
                <w:kern w:val="2"/>
                <w:sz w:val="24"/>
                <w:szCs w:val="24"/>
                <w:highlight w:val="none"/>
                <w:lang w:val="en-US" w:eastAsia="zh-CN" w:bidi="ar-SA"/>
              </w:rPr>
            </w:pP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、投标方案中有对现场服务特性有健全的培训方案，得：1-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分，不满足得0分</w:t>
            </w:r>
            <w:r>
              <w:rPr>
                <w:rFonts w:hint="eastAsia" w:ascii="仿宋" w:hAnsi="仿宋" w:eastAsia="仿宋" w:cs="仿宋"/>
                <w:color w:val="auto"/>
                <w:szCs w:val="21"/>
                <w:highlight w:val="none"/>
                <w:lang w:eastAsia="zh-CN"/>
              </w:rPr>
              <w:t>。</w:t>
            </w:r>
          </w:p>
        </w:tc>
        <w:tc>
          <w:tcPr>
            <w:tcW w:w="1300" w:type="dxa"/>
            <w:vAlign w:val="center"/>
          </w:tcPr>
          <w:p w14:paraId="277D4EF5">
            <w:pPr>
              <w:jc w:val="center"/>
              <w:rPr>
                <w:rFonts w:ascii="仿宋" w:hAnsi="仿宋" w:eastAsia="仿宋"/>
                <w:color w:val="auto"/>
                <w:sz w:val="24"/>
                <w:szCs w:val="24"/>
                <w:highlight w:val="none"/>
              </w:rPr>
            </w:pPr>
          </w:p>
        </w:tc>
      </w:tr>
      <w:tr w14:paraId="340E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518" w:type="dxa"/>
            <w:vMerge w:val="continue"/>
            <w:vAlign w:val="center"/>
          </w:tcPr>
          <w:p w14:paraId="4AF8E0D7">
            <w:pPr>
              <w:widowControl w:val="0"/>
              <w:jc w:val="center"/>
              <w:rPr>
                <w:rFonts w:hint="default" w:ascii="仿宋" w:hAnsi="仿宋" w:eastAsia="仿宋"/>
                <w:color w:val="auto"/>
                <w:sz w:val="24"/>
                <w:szCs w:val="24"/>
                <w:highlight w:val="none"/>
                <w:lang w:val="en-US" w:eastAsia="zh-CN"/>
              </w:rPr>
            </w:pPr>
            <w:r>
              <w:rPr>
                <w:rFonts w:hint="eastAsia" w:ascii="仿宋" w:hAnsi="仿宋" w:eastAsia="仿宋"/>
                <w:color w:val="auto"/>
                <w:sz w:val="24"/>
                <w:szCs w:val="24"/>
                <w:highlight w:val="none"/>
                <w:lang w:val="en-US" w:eastAsia="zh-CN"/>
              </w:rPr>
              <w:t>6.</w:t>
            </w:r>
          </w:p>
        </w:tc>
        <w:tc>
          <w:tcPr>
            <w:tcW w:w="1321" w:type="dxa"/>
            <w:vMerge w:val="continue"/>
            <w:vAlign w:val="center"/>
          </w:tcPr>
          <w:p w14:paraId="2B5D20D6">
            <w:pPr>
              <w:jc w:val="left"/>
              <w:rPr>
                <w:rFonts w:ascii="仿宋" w:hAnsi="仿宋" w:eastAsia="仿宋"/>
                <w:color w:val="auto"/>
                <w:sz w:val="24"/>
                <w:szCs w:val="24"/>
                <w:highlight w:val="none"/>
              </w:rPr>
            </w:pPr>
          </w:p>
        </w:tc>
        <w:tc>
          <w:tcPr>
            <w:tcW w:w="6476" w:type="dxa"/>
            <w:vAlign w:val="center"/>
          </w:tcPr>
          <w:p w14:paraId="68E161FF">
            <w:pPr>
              <w:pStyle w:val="14"/>
              <w:jc w:val="both"/>
              <w:rPr>
                <w:rFonts w:ascii="仿宋" w:hAnsi="仿宋" w:eastAsia="仿宋" w:cs="Times New Roman"/>
                <w:color w:val="auto"/>
                <w:kern w:val="2"/>
                <w:sz w:val="24"/>
                <w:szCs w:val="24"/>
                <w:highlight w:val="none"/>
                <w:lang w:val="en-US" w:eastAsia="zh-CN" w:bidi="ar-SA"/>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、投标方案中有双方的现场各类问题解决及处理的沟通机制，得：1-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分，不满足得0分。</w:t>
            </w:r>
          </w:p>
        </w:tc>
        <w:tc>
          <w:tcPr>
            <w:tcW w:w="1300" w:type="dxa"/>
            <w:vAlign w:val="center"/>
          </w:tcPr>
          <w:p w14:paraId="37EF3E5F">
            <w:pPr>
              <w:jc w:val="center"/>
              <w:rPr>
                <w:rFonts w:ascii="仿宋" w:hAnsi="仿宋" w:eastAsia="仿宋"/>
                <w:color w:val="auto"/>
                <w:sz w:val="24"/>
                <w:szCs w:val="24"/>
                <w:highlight w:val="none"/>
              </w:rPr>
            </w:pPr>
          </w:p>
        </w:tc>
      </w:tr>
      <w:tr w14:paraId="732CF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518" w:type="dxa"/>
            <w:vMerge w:val="restart"/>
            <w:vAlign w:val="center"/>
          </w:tcPr>
          <w:p w14:paraId="17A3EF3B">
            <w:pPr>
              <w:widowControl w:val="0"/>
              <w:jc w:val="center"/>
              <w:rPr>
                <w:rFonts w:hint="default" w:ascii="仿宋" w:hAnsi="仿宋" w:eastAsia="仿宋"/>
                <w:color w:val="auto"/>
                <w:sz w:val="24"/>
                <w:szCs w:val="24"/>
                <w:highlight w:val="none"/>
                <w:lang w:val="en-US" w:eastAsia="zh-CN"/>
              </w:rPr>
            </w:pPr>
            <w:r>
              <w:rPr>
                <w:rFonts w:hint="eastAsia" w:ascii="仿宋" w:hAnsi="仿宋" w:eastAsia="仿宋"/>
                <w:color w:val="auto"/>
                <w:sz w:val="24"/>
                <w:szCs w:val="24"/>
                <w:highlight w:val="none"/>
                <w:lang w:val="en-US" w:eastAsia="zh-CN"/>
              </w:rPr>
              <w:t>2</w:t>
            </w:r>
          </w:p>
        </w:tc>
        <w:tc>
          <w:tcPr>
            <w:tcW w:w="1321" w:type="dxa"/>
            <w:vMerge w:val="restart"/>
            <w:vAlign w:val="center"/>
          </w:tcPr>
          <w:p w14:paraId="44D866C0">
            <w:pPr>
              <w:jc w:val="center"/>
              <w:rPr>
                <w:rFonts w:ascii="仿宋" w:hAnsi="仿宋" w:eastAsia="仿宋"/>
                <w:color w:val="auto"/>
                <w:sz w:val="24"/>
                <w:szCs w:val="24"/>
                <w:highlight w:val="none"/>
              </w:rPr>
            </w:pPr>
            <w:r>
              <w:rPr>
                <w:rFonts w:hint="eastAsia" w:ascii="仿宋" w:hAnsi="仿宋" w:eastAsia="仿宋" w:cs="仿宋"/>
                <w:color w:val="auto"/>
                <w:kern w:val="0"/>
                <w:szCs w:val="21"/>
                <w:highlight w:val="none"/>
              </w:rPr>
              <w:t>拟派项目负责人能力</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lang w:val="en-US" w:eastAsia="zh-CN"/>
              </w:rPr>
              <w:t>12分）</w:t>
            </w:r>
          </w:p>
        </w:tc>
        <w:tc>
          <w:tcPr>
            <w:tcW w:w="6476" w:type="dxa"/>
            <w:vAlign w:val="center"/>
          </w:tcPr>
          <w:p w14:paraId="6FBA6032">
            <w:pPr>
              <w:jc w:val="both"/>
              <w:rPr>
                <w:rFonts w:ascii="仿宋" w:hAnsi="仿宋" w:eastAsia="仿宋"/>
                <w:color w:val="auto"/>
                <w:sz w:val="24"/>
                <w:szCs w:val="24"/>
                <w:highlight w:val="none"/>
              </w:rPr>
            </w:pPr>
            <w:r>
              <w:rPr>
                <w:rFonts w:hint="eastAsia" w:ascii="仿宋" w:hAnsi="仿宋" w:eastAsia="仿宋" w:cs="仿宋"/>
                <w:b w:val="0"/>
                <w:bCs w:val="0"/>
                <w:color w:val="auto"/>
                <w:szCs w:val="21"/>
                <w:highlight w:val="none"/>
                <w:lang w:val="en-US" w:eastAsia="zh-CN"/>
              </w:rPr>
              <w:t>拟派项目负责人综合素质，得0-6分</w:t>
            </w:r>
          </w:p>
        </w:tc>
        <w:tc>
          <w:tcPr>
            <w:tcW w:w="1300" w:type="dxa"/>
            <w:vAlign w:val="center"/>
          </w:tcPr>
          <w:p w14:paraId="3C91D7C5">
            <w:pPr>
              <w:jc w:val="both"/>
              <w:rPr>
                <w:rFonts w:hint="eastAsia" w:ascii="仿宋" w:hAnsi="仿宋" w:eastAsia="仿宋" w:cs="仿宋"/>
                <w:b/>
                <w:bCs/>
                <w:color w:val="auto"/>
                <w:szCs w:val="21"/>
                <w:highlight w:val="none"/>
                <w:lang w:val="en-US" w:eastAsia="zh-CN"/>
              </w:rPr>
            </w:pPr>
          </w:p>
        </w:tc>
      </w:tr>
      <w:tr w14:paraId="6D1D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exact"/>
        </w:trPr>
        <w:tc>
          <w:tcPr>
            <w:tcW w:w="518" w:type="dxa"/>
            <w:vMerge w:val="continue"/>
            <w:vAlign w:val="center"/>
          </w:tcPr>
          <w:p w14:paraId="10E566DE">
            <w:pPr>
              <w:widowControl w:val="0"/>
              <w:jc w:val="center"/>
              <w:rPr>
                <w:rFonts w:ascii="仿宋" w:hAnsi="仿宋" w:eastAsia="仿宋"/>
                <w:color w:val="auto"/>
                <w:sz w:val="24"/>
                <w:szCs w:val="24"/>
                <w:highlight w:val="none"/>
              </w:rPr>
            </w:pPr>
          </w:p>
        </w:tc>
        <w:tc>
          <w:tcPr>
            <w:tcW w:w="1321" w:type="dxa"/>
            <w:vMerge w:val="continue"/>
            <w:vAlign w:val="center"/>
          </w:tcPr>
          <w:p w14:paraId="5A5BB7DA">
            <w:pPr>
              <w:jc w:val="center"/>
              <w:rPr>
                <w:rFonts w:ascii="仿宋" w:hAnsi="仿宋" w:eastAsia="仿宋"/>
                <w:color w:val="auto"/>
                <w:sz w:val="24"/>
                <w:szCs w:val="24"/>
                <w:highlight w:val="none"/>
              </w:rPr>
            </w:pPr>
          </w:p>
        </w:tc>
        <w:tc>
          <w:tcPr>
            <w:tcW w:w="7776" w:type="dxa"/>
            <w:gridSpan w:val="2"/>
            <w:vAlign w:val="center"/>
          </w:tcPr>
          <w:p w14:paraId="4AC49F56">
            <w:pPr>
              <w:jc w:val="center"/>
              <w:rPr>
                <w:rFonts w:ascii="仿宋" w:hAnsi="仿宋" w:eastAsia="仿宋"/>
                <w:color w:val="auto"/>
                <w:sz w:val="24"/>
                <w:szCs w:val="24"/>
                <w:highlight w:val="none"/>
              </w:rPr>
            </w:pPr>
            <w:r>
              <w:rPr>
                <w:rFonts w:hint="eastAsia" w:ascii="仿宋" w:hAnsi="仿宋" w:eastAsia="仿宋" w:cs="仿宋"/>
                <w:b/>
                <w:bCs/>
                <w:color w:val="auto"/>
                <w:szCs w:val="21"/>
                <w:highlight w:val="none"/>
              </w:rPr>
              <w:t>拟派项目负责人答辩</w:t>
            </w:r>
          </w:p>
        </w:tc>
      </w:tr>
      <w:tr w14:paraId="3382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trPr>
        <w:tc>
          <w:tcPr>
            <w:tcW w:w="518" w:type="dxa"/>
            <w:vMerge w:val="continue"/>
            <w:vAlign w:val="center"/>
          </w:tcPr>
          <w:p w14:paraId="3EB04CF9">
            <w:pPr>
              <w:widowControl w:val="0"/>
              <w:jc w:val="center"/>
              <w:rPr>
                <w:rFonts w:ascii="仿宋" w:hAnsi="仿宋" w:eastAsia="仿宋"/>
                <w:color w:val="auto"/>
                <w:sz w:val="24"/>
                <w:szCs w:val="24"/>
                <w:highlight w:val="none"/>
              </w:rPr>
            </w:pPr>
          </w:p>
        </w:tc>
        <w:tc>
          <w:tcPr>
            <w:tcW w:w="1321" w:type="dxa"/>
            <w:vMerge w:val="continue"/>
            <w:vAlign w:val="center"/>
          </w:tcPr>
          <w:p w14:paraId="2297C16D">
            <w:pPr>
              <w:jc w:val="center"/>
              <w:rPr>
                <w:rFonts w:ascii="仿宋" w:hAnsi="仿宋" w:eastAsia="仿宋"/>
                <w:color w:val="auto"/>
                <w:sz w:val="24"/>
                <w:szCs w:val="24"/>
                <w:highlight w:val="none"/>
              </w:rPr>
            </w:pPr>
          </w:p>
        </w:tc>
        <w:tc>
          <w:tcPr>
            <w:tcW w:w="6476" w:type="dxa"/>
            <w:vAlign w:val="center"/>
          </w:tcPr>
          <w:p w14:paraId="088828C9">
            <w:pPr>
              <w:pStyle w:val="14"/>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1、</w:t>
            </w:r>
            <w:r>
              <w:rPr>
                <w:rFonts w:hint="eastAsia" w:ascii="仿宋" w:hAnsi="仿宋" w:eastAsia="仿宋" w:cs="仿宋"/>
                <w:color w:val="auto"/>
                <w:kern w:val="0"/>
                <w:szCs w:val="21"/>
                <w:highlight w:val="none"/>
              </w:rPr>
              <w:t>拟派项目负责人</w:t>
            </w:r>
            <w:r>
              <w:rPr>
                <w:rFonts w:hint="eastAsia" w:ascii="仿宋" w:hAnsi="仿宋" w:eastAsia="仿宋" w:cs="仿宋"/>
                <w:color w:val="auto"/>
                <w:szCs w:val="21"/>
                <w:highlight w:val="none"/>
              </w:rPr>
              <w:t>对现场情况了解和掌握，得：1-</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分；不满足得0分</w:t>
            </w:r>
            <w:r>
              <w:rPr>
                <w:rFonts w:hint="eastAsia" w:ascii="仿宋" w:hAnsi="仿宋" w:eastAsia="仿宋" w:cs="仿宋"/>
                <w:color w:val="auto"/>
                <w:szCs w:val="21"/>
                <w:highlight w:val="none"/>
                <w:lang w:eastAsia="zh-CN"/>
              </w:rPr>
              <w:t>。</w:t>
            </w:r>
          </w:p>
        </w:tc>
        <w:tc>
          <w:tcPr>
            <w:tcW w:w="1300" w:type="dxa"/>
            <w:vAlign w:val="center"/>
          </w:tcPr>
          <w:p w14:paraId="138A68D4">
            <w:pPr>
              <w:pStyle w:val="14"/>
              <w:jc w:val="center"/>
              <w:rPr>
                <w:rFonts w:hint="eastAsia" w:ascii="宋体" w:hAnsi="宋体" w:eastAsia="宋体" w:cs="Times New Roman"/>
                <w:color w:val="auto"/>
                <w:kern w:val="2"/>
                <w:sz w:val="21"/>
                <w:szCs w:val="21"/>
                <w:highlight w:val="none"/>
                <w:lang w:val="en-US" w:eastAsia="zh-CN" w:bidi="ar-SA"/>
              </w:rPr>
            </w:pPr>
          </w:p>
        </w:tc>
      </w:tr>
      <w:tr w14:paraId="4FA73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trPr>
        <w:tc>
          <w:tcPr>
            <w:tcW w:w="518" w:type="dxa"/>
            <w:vMerge w:val="continue"/>
            <w:vAlign w:val="center"/>
          </w:tcPr>
          <w:p w14:paraId="59F14142">
            <w:pPr>
              <w:widowControl w:val="0"/>
              <w:jc w:val="center"/>
              <w:rPr>
                <w:rFonts w:ascii="仿宋" w:hAnsi="仿宋" w:eastAsia="仿宋"/>
                <w:color w:val="auto"/>
                <w:sz w:val="24"/>
                <w:szCs w:val="24"/>
                <w:highlight w:val="none"/>
              </w:rPr>
            </w:pPr>
          </w:p>
        </w:tc>
        <w:tc>
          <w:tcPr>
            <w:tcW w:w="1321" w:type="dxa"/>
            <w:vMerge w:val="continue"/>
            <w:vAlign w:val="center"/>
          </w:tcPr>
          <w:p w14:paraId="3C687539">
            <w:pPr>
              <w:jc w:val="center"/>
              <w:rPr>
                <w:rFonts w:ascii="仿宋" w:hAnsi="仿宋" w:eastAsia="仿宋"/>
                <w:color w:val="auto"/>
                <w:sz w:val="24"/>
                <w:szCs w:val="24"/>
                <w:highlight w:val="none"/>
              </w:rPr>
            </w:pPr>
          </w:p>
        </w:tc>
        <w:tc>
          <w:tcPr>
            <w:tcW w:w="6476" w:type="dxa"/>
            <w:vAlign w:val="center"/>
          </w:tcPr>
          <w:p w14:paraId="42EA2CB7">
            <w:pPr>
              <w:pStyle w:val="14"/>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2、</w:t>
            </w:r>
            <w:r>
              <w:rPr>
                <w:rFonts w:hint="eastAsia" w:ascii="仿宋" w:hAnsi="仿宋" w:eastAsia="仿宋" w:cs="仿宋"/>
                <w:color w:val="auto"/>
                <w:kern w:val="0"/>
                <w:szCs w:val="21"/>
                <w:highlight w:val="none"/>
              </w:rPr>
              <w:t>拟派项目负责人</w:t>
            </w:r>
            <w:r>
              <w:rPr>
                <w:rFonts w:hint="eastAsia" w:ascii="仿宋" w:hAnsi="仿宋" w:eastAsia="仿宋" w:cs="仿宋"/>
                <w:color w:val="auto"/>
                <w:szCs w:val="21"/>
                <w:highlight w:val="none"/>
              </w:rPr>
              <w:t>基本服务能力强，且处理突发事件专业性较强，得1-</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不满足得0分。</w:t>
            </w:r>
          </w:p>
        </w:tc>
        <w:tc>
          <w:tcPr>
            <w:tcW w:w="1300" w:type="dxa"/>
            <w:vAlign w:val="center"/>
          </w:tcPr>
          <w:p w14:paraId="29D6B716">
            <w:pPr>
              <w:pStyle w:val="14"/>
              <w:jc w:val="center"/>
              <w:rPr>
                <w:rFonts w:hint="eastAsia" w:ascii="宋体" w:hAnsi="宋体" w:eastAsia="宋体" w:cs="Times New Roman"/>
                <w:color w:val="auto"/>
                <w:kern w:val="2"/>
                <w:sz w:val="21"/>
                <w:szCs w:val="21"/>
                <w:highlight w:val="none"/>
                <w:lang w:val="en-US" w:eastAsia="zh-CN" w:bidi="ar-SA"/>
              </w:rPr>
            </w:pPr>
          </w:p>
        </w:tc>
      </w:tr>
      <w:tr w14:paraId="5C8F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exact"/>
        </w:trPr>
        <w:tc>
          <w:tcPr>
            <w:tcW w:w="518" w:type="dxa"/>
            <w:vMerge w:val="restart"/>
            <w:vAlign w:val="center"/>
          </w:tcPr>
          <w:p w14:paraId="0A2761D4">
            <w:pPr>
              <w:widowControl w:val="0"/>
              <w:jc w:val="center"/>
              <w:rPr>
                <w:rFonts w:hint="default" w:ascii="仿宋" w:hAnsi="仿宋" w:eastAsia="仿宋"/>
                <w:color w:val="auto"/>
                <w:sz w:val="24"/>
                <w:szCs w:val="24"/>
                <w:highlight w:val="none"/>
                <w:lang w:val="en-US" w:eastAsia="zh-CN"/>
              </w:rPr>
            </w:pPr>
            <w:r>
              <w:rPr>
                <w:rFonts w:hint="eastAsia" w:ascii="仿宋" w:hAnsi="仿宋" w:eastAsia="仿宋"/>
                <w:color w:val="auto"/>
                <w:sz w:val="24"/>
                <w:szCs w:val="24"/>
                <w:highlight w:val="none"/>
                <w:lang w:val="en-US" w:eastAsia="zh-CN"/>
              </w:rPr>
              <w:t>3</w:t>
            </w:r>
          </w:p>
        </w:tc>
        <w:tc>
          <w:tcPr>
            <w:tcW w:w="1321" w:type="dxa"/>
            <w:vMerge w:val="restart"/>
            <w:vAlign w:val="center"/>
          </w:tcPr>
          <w:p w14:paraId="5E508ECB">
            <w:pPr>
              <w:jc w:val="center"/>
              <w:rPr>
                <w:rFonts w:ascii="仿宋" w:hAnsi="仿宋" w:eastAsia="仿宋"/>
                <w:color w:val="auto"/>
                <w:sz w:val="24"/>
                <w:szCs w:val="24"/>
                <w:highlight w:val="none"/>
              </w:rPr>
            </w:pPr>
            <w:r>
              <w:rPr>
                <w:rFonts w:hint="eastAsia" w:ascii="仿宋" w:hAnsi="仿宋" w:eastAsia="仿宋" w:cs="仿宋"/>
                <w:color w:val="auto"/>
                <w:kern w:val="0"/>
                <w:szCs w:val="21"/>
                <w:highlight w:val="none"/>
              </w:rPr>
              <w:t>应急方案</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lang w:val="en-US" w:eastAsia="zh-CN"/>
              </w:rPr>
              <w:t>12分</w:t>
            </w:r>
            <w:r>
              <w:rPr>
                <w:rFonts w:hint="eastAsia" w:ascii="仿宋" w:hAnsi="仿宋" w:eastAsia="仿宋" w:cs="仿宋"/>
                <w:color w:val="auto"/>
                <w:kern w:val="0"/>
                <w:szCs w:val="21"/>
                <w:highlight w:val="none"/>
                <w:lang w:eastAsia="zh-CN"/>
              </w:rPr>
              <w:t>）</w:t>
            </w:r>
          </w:p>
        </w:tc>
        <w:tc>
          <w:tcPr>
            <w:tcW w:w="7776" w:type="dxa"/>
            <w:gridSpan w:val="2"/>
            <w:vAlign w:val="center"/>
          </w:tcPr>
          <w:p w14:paraId="7A96CE49">
            <w:pPr>
              <w:jc w:val="center"/>
              <w:rPr>
                <w:rFonts w:ascii="仿宋" w:hAnsi="仿宋" w:eastAsia="仿宋"/>
                <w:color w:val="auto"/>
                <w:sz w:val="24"/>
                <w:szCs w:val="24"/>
                <w:highlight w:val="none"/>
              </w:rPr>
            </w:pPr>
            <w:r>
              <w:rPr>
                <w:rFonts w:hint="eastAsia" w:ascii="仿宋" w:hAnsi="仿宋" w:eastAsia="仿宋" w:cs="仿宋"/>
                <w:b/>
                <w:bCs/>
                <w:color w:val="auto"/>
                <w:szCs w:val="21"/>
                <w:highlight w:val="none"/>
              </w:rPr>
              <w:t>投标人根据投标项目制定的应急方案，须包含重大突发事件应急预案、消防安全应急预案、人为事故应急预案、自然灾害应急预案、疫情突发应急预案等，进行评分</w:t>
            </w:r>
            <w:r>
              <w:rPr>
                <w:rFonts w:hint="eastAsia" w:ascii="仿宋" w:hAnsi="仿宋" w:eastAsia="仿宋" w:cs="仿宋"/>
                <w:b/>
                <w:bCs/>
                <w:color w:val="auto"/>
                <w:szCs w:val="21"/>
                <w:highlight w:val="none"/>
                <w:lang w:eastAsia="zh-CN"/>
              </w:rPr>
              <w:t>。</w:t>
            </w:r>
          </w:p>
        </w:tc>
      </w:tr>
      <w:tr w14:paraId="1819B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exact"/>
        </w:trPr>
        <w:tc>
          <w:tcPr>
            <w:tcW w:w="518" w:type="dxa"/>
            <w:vMerge w:val="continue"/>
            <w:vAlign w:val="center"/>
          </w:tcPr>
          <w:p w14:paraId="6DB0D427">
            <w:pPr>
              <w:widowControl w:val="0"/>
              <w:jc w:val="center"/>
              <w:rPr>
                <w:rFonts w:ascii="仿宋" w:hAnsi="仿宋" w:eastAsia="仿宋"/>
                <w:color w:val="auto"/>
                <w:sz w:val="24"/>
                <w:szCs w:val="24"/>
                <w:highlight w:val="none"/>
              </w:rPr>
            </w:pPr>
          </w:p>
        </w:tc>
        <w:tc>
          <w:tcPr>
            <w:tcW w:w="1321" w:type="dxa"/>
            <w:vMerge w:val="continue"/>
            <w:vAlign w:val="center"/>
          </w:tcPr>
          <w:p w14:paraId="32421CD0">
            <w:pPr>
              <w:jc w:val="center"/>
              <w:rPr>
                <w:rFonts w:ascii="仿宋" w:hAnsi="仿宋" w:eastAsia="仿宋"/>
                <w:color w:val="auto"/>
                <w:sz w:val="24"/>
                <w:szCs w:val="24"/>
                <w:highlight w:val="none"/>
              </w:rPr>
            </w:pPr>
          </w:p>
        </w:tc>
        <w:tc>
          <w:tcPr>
            <w:tcW w:w="6476" w:type="dxa"/>
            <w:vAlign w:val="center"/>
          </w:tcPr>
          <w:p w14:paraId="6FDBFA77">
            <w:pPr>
              <w:pStyle w:val="14"/>
              <w:numPr>
                <w:ilvl w:val="0"/>
                <w:numId w:val="0"/>
              </w:numPr>
              <w:rPr>
                <w:rFonts w:hint="eastAsia" w:ascii="仿宋" w:hAnsi="仿宋" w:eastAsia="仿宋" w:cs="仿宋"/>
                <w:color w:val="auto"/>
                <w:szCs w:val="21"/>
                <w:highlight w:val="none"/>
              </w:rPr>
            </w:pPr>
            <w:r>
              <w:rPr>
                <w:rFonts w:hint="eastAsia" w:ascii="仿宋" w:hAnsi="仿宋" w:eastAsia="仿宋" w:cs="仿宋"/>
                <w:color w:val="auto"/>
                <w:kern w:val="2"/>
                <w:sz w:val="21"/>
                <w:szCs w:val="21"/>
                <w:highlight w:val="none"/>
                <w:lang w:val="en-US" w:eastAsia="zh-CN" w:bidi="ar-SA"/>
              </w:rPr>
              <w:t>1、</w:t>
            </w:r>
            <w:r>
              <w:rPr>
                <w:rFonts w:hint="eastAsia" w:ascii="仿宋" w:hAnsi="仿宋" w:eastAsia="仿宋" w:cs="仿宋"/>
                <w:color w:val="auto"/>
                <w:szCs w:val="21"/>
                <w:highlight w:val="none"/>
              </w:rPr>
              <w:t>方案全面</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合理性、可操作性强，完全满足项目需求的，得：</w:t>
            </w:r>
            <w:r>
              <w:rPr>
                <w:rFonts w:hint="eastAsia" w:ascii="仿宋" w:hAnsi="仿宋" w:eastAsia="仿宋" w:cs="仿宋"/>
                <w:color w:val="auto"/>
                <w:szCs w:val="21"/>
                <w:highlight w:val="none"/>
                <w:lang w:val="en-US" w:eastAsia="zh-CN"/>
              </w:rPr>
              <w:t>7-12</w:t>
            </w:r>
            <w:r>
              <w:rPr>
                <w:rFonts w:hint="eastAsia" w:ascii="仿宋" w:hAnsi="仿宋" w:eastAsia="仿宋" w:cs="仿宋"/>
                <w:color w:val="auto"/>
                <w:szCs w:val="21"/>
                <w:highlight w:val="none"/>
              </w:rPr>
              <w:t>分。</w:t>
            </w:r>
          </w:p>
          <w:p w14:paraId="7E326DCB">
            <w:pPr>
              <w:pStyle w:val="14"/>
              <w:numPr>
                <w:ilvl w:val="0"/>
                <w:numId w:val="0"/>
              </w:numP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w:t>
            </w:r>
            <w:r>
              <w:rPr>
                <w:rFonts w:hint="eastAsia" w:ascii="仿宋" w:hAnsi="仿宋" w:eastAsia="仿宋" w:cs="仿宋"/>
                <w:color w:val="auto"/>
                <w:szCs w:val="21"/>
                <w:highlight w:val="none"/>
              </w:rPr>
              <w:t>方案基本健全</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具有一定的合理性，大部分能满足项目</w:t>
            </w:r>
            <w:r>
              <w:rPr>
                <w:rFonts w:hint="eastAsia" w:ascii="仿宋" w:hAnsi="仿宋" w:eastAsia="仿宋" w:cs="仿宋"/>
                <w:color w:val="auto"/>
                <w:szCs w:val="21"/>
                <w:highlight w:val="none"/>
                <w:lang w:val="en-US" w:eastAsia="zh-CN"/>
              </w:rPr>
              <w:t>基本</w:t>
            </w:r>
            <w:r>
              <w:rPr>
                <w:rFonts w:hint="eastAsia" w:ascii="仿宋" w:hAnsi="仿宋" w:eastAsia="仿宋" w:cs="仿宋"/>
                <w:color w:val="auto"/>
                <w:szCs w:val="21"/>
                <w:highlight w:val="none"/>
              </w:rPr>
              <w:t>需求的，得：1-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不满足得0分。</w:t>
            </w:r>
          </w:p>
        </w:tc>
        <w:tc>
          <w:tcPr>
            <w:tcW w:w="1300" w:type="dxa"/>
            <w:vAlign w:val="center"/>
          </w:tcPr>
          <w:p w14:paraId="00E5B471">
            <w:pPr>
              <w:pStyle w:val="14"/>
              <w:jc w:val="center"/>
              <w:rPr>
                <w:rFonts w:hint="default" w:ascii="宋体" w:hAnsi="宋体" w:eastAsia="宋体" w:cs="Times New Roman"/>
                <w:color w:val="auto"/>
                <w:kern w:val="2"/>
                <w:sz w:val="21"/>
                <w:szCs w:val="21"/>
                <w:highlight w:val="none"/>
                <w:lang w:val="en-US" w:eastAsia="zh-CN" w:bidi="ar-SA"/>
              </w:rPr>
            </w:pPr>
          </w:p>
        </w:tc>
      </w:tr>
      <w:tr w14:paraId="36A2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839" w:type="dxa"/>
            <w:gridSpan w:val="2"/>
            <w:vAlign w:val="center"/>
          </w:tcPr>
          <w:p w14:paraId="427FE848">
            <w:pPr>
              <w:jc w:val="center"/>
              <w:rPr>
                <w:rFonts w:ascii="仿宋" w:hAnsi="仿宋" w:eastAsia="仿宋"/>
                <w:b/>
                <w:color w:val="auto"/>
                <w:sz w:val="24"/>
                <w:szCs w:val="24"/>
                <w:highlight w:val="none"/>
              </w:rPr>
            </w:pPr>
            <w:r>
              <w:rPr>
                <w:rFonts w:hint="eastAsia" w:ascii="仿宋" w:hAnsi="仿宋" w:eastAsia="仿宋"/>
                <w:b/>
                <w:color w:val="auto"/>
                <w:sz w:val="24"/>
                <w:szCs w:val="24"/>
                <w:highlight w:val="none"/>
              </w:rPr>
              <w:t>合  计  分</w:t>
            </w:r>
          </w:p>
        </w:tc>
        <w:tc>
          <w:tcPr>
            <w:tcW w:w="6476" w:type="dxa"/>
            <w:vAlign w:val="center"/>
          </w:tcPr>
          <w:p w14:paraId="39476B27">
            <w:pPr>
              <w:jc w:val="center"/>
              <w:rPr>
                <w:rStyle w:val="41"/>
                <w:rFonts w:hint="default" w:eastAsia="宋体"/>
                <w:i w:val="0"/>
                <w:color w:val="auto"/>
                <w:highlight w:val="none"/>
                <w:lang w:val="en-US" w:eastAsia="zh-CN"/>
              </w:rPr>
            </w:pPr>
            <w:r>
              <w:rPr>
                <w:rFonts w:hint="eastAsia" w:ascii="仿宋" w:hAnsi="仿宋" w:eastAsia="仿宋"/>
                <w:b/>
                <w:color w:val="auto"/>
                <w:sz w:val="24"/>
                <w:szCs w:val="24"/>
                <w:highlight w:val="none"/>
                <w:lang w:val="en-US" w:eastAsia="zh-CN"/>
              </w:rPr>
              <w:t>60</w:t>
            </w:r>
          </w:p>
        </w:tc>
        <w:tc>
          <w:tcPr>
            <w:tcW w:w="1300" w:type="dxa"/>
            <w:vAlign w:val="center"/>
          </w:tcPr>
          <w:p w14:paraId="1FEFBD87">
            <w:pPr>
              <w:jc w:val="center"/>
              <w:rPr>
                <w:rFonts w:ascii="仿宋" w:hAnsi="仿宋" w:eastAsia="仿宋"/>
                <w:color w:val="auto"/>
                <w:sz w:val="28"/>
                <w:szCs w:val="28"/>
                <w:highlight w:val="none"/>
              </w:rPr>
            </w:pPr>
          </w:p>
        </w:tc>
      </w:tr>
    </w:tbl>
    <w:p w14:paraId="4854BC1F">
      <w:pPr>
        <w:ind w:firstLine="632"/>
        <w:rPr>
          <w:rFonts w:hint="eastAsia" w:ascii="仿宋" w:hAnsi="仿宋" w:eastAsia="仿宋"/>
          <w:b/>
          <w:bCs/>
          <w:color w:val="auto"/>
          <w:szCs w:val="21"/>
          <w:highlight w:val="none"/>
        </w:rPr>
      </w:pPr>
    </w:p>
    <w:p w14:paraId="1B96A615">
      <w:pPr>
        <w:ind w:firstLine="632"/>
        <w:rPr>
          <w:rFonts w:ascii="仿宋" w:hAnsi="仿宋" w:eastAsia="仿宋"/>
          <w:b/>
          <w:bCs/>
          <w:color w:val="auto"/>
          <w:szCs w:val="21"/>
          <w:highlight w:val="none"/>
        </w:rPr>
      </w:pPr>
      <w:r>
        <w:rPr>
          <w:rFonts w:hint="eastAsia" w:ascii="仿宋" w:hAnsi="仿宋" w:eastAsia="仿宋"/>
          <w:b/>
          <w:bCs/>
          <w:color w:val="auto"/>
          <w:szCs w:val="21"/>
          <w:highlight w:val="none"/>
        </w:rPr>
        <w:t>备注：</w:t>
      </w:r>
    </w:p>
    <w:p w14:paraId="2C34068B">
      <w:pPr>
        <w:ind w:firstLine="480" w:firstLineChars="200"/>
        <w:rPr>
          <w:rFonts w:ascii="仿宋" w:hAnsi="仿宋" w:eastAsia="仿宋"/>
          <w:b/>
          <w:bCs/>
          <w:color w:val="auto"/>
          <w:szCs w:val="21"/>
          <w:highlight w:val="none"/>
        </w:rPr>
      </w:pPr>
      <w:r>
        <w:rPr>
          <w:rFonts w:hint="eastAsia" w:ascii="仿宋" w:hAnsi="仿宋" w:eastAsia="仿宋"/>
          <w:color w:val="auto"/>
          <w:sz w:val="24"/>
          <w:szCs w:val="24"/>
          <w:highlight w:val="none"/>
        </w:rPr>
        <w:t>1.招标人必须明确每项评审内容、要求及分值范围，评标专家以此对每项评审内容进行打分。</w:t>
      </w:r>
    </w:p>
    <w:p w14:paraId="012D7315">
      <w:pPr>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2.本表适用于专家独立评审使用。</w:t>
      </w:r>
    </w:p>
    <w:p w14:paraId="37BDFE4D">
      <w:pPr>
        <w:ind w:firstLine="840"/>
        <w:rPr>
          <w:rFonts w:ascii="仿宋" w:hAnsi="仿宋" w:eastAsia="仿宋"/>
          <w:color w:val="auto"/>
          <w:kern w:val="0"/>
          <w:sz w:val="28"/>
          <w:szCs w:val="28"/>
          <w:highlight w:val="none"/>
        </w:rPr>
      </w:pPr>
    </w:p>
    <w:p w14:paraId="0D57EF92">
      <w:pPr>
        <w:ind w:firstLine="840"/>
        <w:rPr>
          <w:rFonts w:ascii="仿宋" w:hAnsi="仿宋" w:eastAsia="仿宋"/>
          <w:b/>
          <w:bCs/>
          <w:color w:val="auto"/>
          <w:sz w:val="28"/>
          <w:szCs w:val="28"/>
          <w:highlight w:val="none"/>
        </w:rPr>
      </w:pPr>
      <w:r>
        <w:rPr>
          <w:rFonts w:hint="eastAsia" w:ascii="仿宋" w:hAnsi="仿宋" w:eastAsia="仿宋"/>
          <w:color w:val="auto"/>
          <w:kern w:val="0"/>
          <w:sz w:val="28"/>
          <w:szCs w:val="28"/>
          <w:highlight w:val="none"/>
        </w:rPr>
        <w:t>评标专家：</w:t>
      </w:r>
      <w:r>
        <w:rPr>
          <w:rFonts w:hint="eastAsia" w:ascii="仿宋" w:hAnsi="仿宋" w:eastAsia="仿宋"/>
          <w:color w:val="auto"/>
          <w:kern w:val="0"/>
          <w:sz w:val="28"/>
          <w:szCs w:val="28"/>
          <w:highlight w:val="none"/>
          <w:u w:val="single"/>
        </w:rPr>
        <w:t xml:space="preserve">            </w:t>
      </w:r>
      <w:r>
        <w:rPr>
          <w:rFonts w:hint="eastAsia" w:ascii="仿宋" w:hAnsi="仿宋" w:eastAsia="仿宋"/>
          <w:color w:val="auto"/>
          <w:kern w:val="0"/>
          <w:sz w:val="28"/>
          <w:szCs w:val="28"/>
          <w:highlight w:val="none"/>
        </w:rPr>
        <w:t xml:space="preserve">      评标日期：</w:t>
      </w:r>
      <w:r>
        <w:rPr>
          <w:rFonts w:hint="eastAsia" w:ascii="仿宋" w:hAnsi="仿宋" w:eastAsia="仿宋"/>
          <w:color w:val="auto"/>
          <w:kern w:val="0"/>
          <w:sz w:val="28"/>
          <w:szCs w:val="28"/>
          <w:highlight w:val="none"/>
          <w:u w:val="single"/>
        </w:rPr>
        <w:t xml:space="preserve">          </w:t>
      </w:r>
    </w:p>
    <w:p w14:paraId="393061D3">
      <w:pPr>
        <w:spacing w:line="240" w:lineRule="auto"/>
        <w:ind w:firstLine="0"/>
        <w:jc w:val="left"/>
        <w:rPr>
          <w:rFonts w:ascii="宋体" w:hAnsi="宋体"/>
          <w:b/>
          <w:color w:val="auto"/>
          <w:sz w:val="24"/>
          <w:highlight w:val="none"/>
        </w:rPr>
        <w:sectPr>
          <w:pgSz w:w="12240" w:h="15840"/>
          <w:pgMar w:top="1440" w:right="1797" w:bottom="1440" w:left="1797" w:header="720" w:footer="720" w:gutter="0"/>
          <w:pgNumType w:fmt="decimal"/>
          <w:cols w:space="720" w:num="1"/>
        </w:sectPr>
      </w:pPr>
      <w:r>
        <w:rPr>
          <w:rFonts w:ascii="宋体" w:hAnsi="宋体"/>
          <w:b/>
          <w:color w:val="auto"/>
          <w:sz w:val="24"/>
          <w:highlight w:val="none"/>
        </w:rPr>
        <w:br w:type="page"/>
      </w:r>
    </w:p>
    <w:p w14:paraId="21EDD10C">
      <w:pPr>
        <w:spacing w:line="360" w:lineRule="auto"/>
        <w:ind w:firstLine="0"/>
        <w:jc w:val="left"/>
        <w:rPr>
          <w:rFonts w:ascii="宋体" w:hAnsi="宋体"/>
          <w:b/>
          <w:color w:val="auto"/>
          <w:sz w:val="24"/>
          <w:highlight w:val="none"/>
        </w:rPr>
      </w:pPr>
    </w:p>
    <w:p w14:paraId="4EE13CF2">
      <w:pPr>
        <w:spacing w:line="360" w:lineRule="auto"/>
        <w:ind w:firstLine="600" w:firstLineChars="200"/>
        <w:jc w:val="center"/>
        <w:rPr>
          <w:rFonts w:ascii="黑体" w:hAnsi="黑体" w:eastAsia="黑体"/>
          <w:color w:val="auto"/>
          <w:sz w:val="30"/>
          <w:szCs w:val="30"/>
          <w:highlight w:val="none"/>
        </w:rPr>
      </w:pPr>
      <w:r>
        <w:rPr>
          <w:rFonts w:hint="eastAsia" w:ascii="黑体" w:hAnsi="黑体" w:eastAsia="黑体"/>
          <w:color w:val="auto"/>
          <w:sz w:val="30"/>
          <w:szCs w:val="30"/>
          <w:highlight w:val="none"/>
          <w:lang w:val="en-US" w:eastAsia="zh-CN"/>
        </w:rPr>
        <w:t>2</w:t>
      </w:r>
      <w:r>
        <w:rPr>
          <w:rFonts w:hint="eastAsia" w:ascii="黑体" w:hAnsi="黑体" w:eastAsia="黑体"/>
          <w:color w:val="auto"/>
          <w:sz w:val="30"/>
          <w:szCs w:val="30"/>
          <w:highlight w:val="none"/>
        </w:rPr>
        <w:t>.技术标评审汇总表</w:t>
      </w:r>
    </w:p>
    <w:p w14:paraId="4A69C6F1">
      <w:pPr>
        <w:spacing w:line="360" w:lineRule="auto"/>
        <w:ind w:firstLine="480" w:firstLineChars="200"/>
        <w:jc w:val="left"/>
        <w:rPr>
          <w:rFonts w:ascii="华文细黑" w:hAnsi="华文细黑" w:eastAsia="黑体"/>
          <w:color w:val="auto"/>
          <w:sz w:val="28"/>
          <w:szCs w:val="28"/>
          <w:highlight w:val="none"/>
        </w:rPr>
      </w:pPr>
      <w:r>
        <w:rPr>
          <w:rFonts w:hint="eastAsia" w:ascii="华文细黑" w:hAnsi="华文细黑" w:eastAsia="黑体"/>
          <w:color w:val="auto"/>
          <w:sz w:val="24"/>
          <w:szCs w:val="24"/>
          <w:highlight w:val="none"/>
          <w:lang w:eastAsia="zh-CN"/>
        </w:rPr>
        <w:t>项目</w:t>
      </w:r>
      <w:r>
        <w:rPr>
          <w:rFonts w:hint="eastAsia" w:ascii="华文细黑" w:hAnsi="华文细黑" w:eastAsia="黑体"/>
          <w:color w:val="auto"/>
          <w:sz w:val="24"/>
          <w:szCs w:val="24"/>
          <w:highlight w:val="none"/>
        </w:rPr>
        <w:t>名称：</w:t>
      </w:r>
      <w:r>
        <w:rPr>
          <w:rFonts w:hint="eastAsia" w:ascii="仿宋" w:hAnsi="仿宋" w:eastAsia="仿宋"/>
          <w:b/>
          <w:color w:val="auto"/>
          <w:sz w:val="24"/>
          <w:szCs w:val="24"/>
          <w:highlight w:val="none"/>
          <w:lang w:val="en-US" w:eastAsia="zh-CN"/>
        </w:rPr>
        <w:t>重庆</w:t>
      </w:r>
      <w:r>
        <w:rPr>
          <w:rFonts w:hint="eastAsia" w:ascii="仿宋" w:hAnsi="仿宋" w:eastAsia="仿宋"/>
          <w:b/>
          <w:color w:val="auto"/>
          <w:sz w:val="24"/>
          <w:szCs w:val="24"/>
          <w:highlight w:val="none"/>
          <w:lang w:eastAsia="zh-CN"/>
        </w:rPr>
        <w:t>华南城2026年度</w:t>
      </w:r>
      <w:r>
        <w:rPr>
          <w:rFonts w:hint="eastAsia" w:ascii="仿宋" w:hAnsi="仿宋" w:eastAsia="仿宋"/>
          <w:b/>
          <w:color w:val="auto"/>
          <w:sz w:val="24"/>
          <w:szCs w:val="24"/>
          <w:highlight w:val="none"/>
          <w:lang w:val="en-US" w:eastAsia="zh-CN"/>
        </w:rPr>
        <w:t>绿化养护</w:t>
      </w:r>
      <w:r>
        <w:rPr>
          <w:rFonts w:hint="eastAsia" w:ascii="仿宋" w:hAnsi="仿宋" w:eastAsia="仿宋"/>
          <w:b/>
          <w:color w:val="auto"/>
          <w:sz w:val="24"/>
          <w:szCs w:val="24"/>
          <w:highlight w:val="none"/>
          <w:lang w:eastAsia="zh-CN"/>
        </w:rPr>
        <w:t>外包服务</w:t>
      </w:r>
      <w:r>
        <w:rPr>
          <w:rFonts w:hint="eastAsia" w:ascii="华文细黑" w:hAnsi="华文细黑" w:eastAsia="黑体"/>
          <w:color w:val="auto"/>
          <w:sz w:val="24"/>
          <w:szCs w:val="24"/>
          <w:highlight w:val="none"/>
        </w:rPr>
        <w:t xml:space="preserve">  </w:t>
      </w:r>
    </w:p>
    <w:tbl>
      <w:tblPr>
        <w:tblStyle w:val="35"/>
        <w:tblW w:w="13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3487"/>
        <w:gridCol w:w="1176"/>
        <w:gridCol w:w="1176"/>
        <w:gridCol w:w="1176"/>
        <w:gridCol w:w="1176"/>
        <w:gridCol w:w="1176"/>
        <w:gridCol w:w="1176"/>
        <w:gridCol w:w="1177"/>
        <w:gridCol w:w="1172"/>
      </w:tblGrid>
      <w:tr w14:paraId="0ED4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7" w:type="dxa"/>
            <w:vMerge w:val="restart"/>
            <w:vAlign w:val="center"/>
          </w:tcPr>
          <w:p w14:paraId="34A9DBD0">
            <w:pPr>
              <w:jc w:val="center"/>
              <w:rPr>
                <w:rFonts w:ascii="宋体" w:hAnsi="宋体"/>
                <w:b/>
                <w:bCs/>
                <w:color w:val="auto"/>
                <w:spacing w:val="30"/>
                <w:szCs w:val="21"/>
                <w:highlight w:val="none"/>
              </w:rPr>
            </w:pPr>
            <w:r>
              <w:rPr>
                <w:rFonts w:hint="eastAsia" w:ascii="宋体" w:hAnsi="宋体"/>
                <w:b/>
                <w:bCs/>
                <w:color w:val="auto"/>
                <w:spacing w:val="30"/>
                <w:szCs w:val="21"/>
                <w:highlight w:val="none"/>
              </w:rPr>
              <w:t>序号</w:t>
            </w:r>
          </w:p>
        </w:tc>
        <w:tc>
          <w:tcPr>
            <w:tcW w:w="3487" w:type="dxa"/>
            <w:vMerge w:val="restart"/>
            <w:vAlign w:val="center"/>
          </w:tcPr>
          <w:p w14:paraId="45779585">
            <w:pPr>
              <w:jc w:val="center"/>
              <w:rPr>
                <w:rFonts w:ascii="宋体" w:hAnsi="宋体"/>
                <w:b/>
                <w:bCs/>
                <w:color w:val="auto"/>
                <w:spacing w:val="30"/>
                <w:szCs w:val="21"/>
                <w:highlight w:val="none"/>
              </w:rPr>
            </w:pPr>
            <w:r>
              <w:rPr>
                <w:rFonts w:hint="eastAsia" w:ascii="宋体" w:hAnsi="宋体"/>
                <w:b/>
                <w:bCs/>
                <w:color w:val="auto"/>
                <w:spacing w:val="30"/>
                <w:szCs w:val="21"/>
                <w:highlight w:val="none"/>
              </w:rPr>
              <w:t>投标人名称</w:t>
            </w:r>
          </w:p>
        </w:tc>
        <w:tc>
          <w:tcPr>
            <w:tcW w:w="9405" w:type="dxa"/>
            <w:gridSpan w:val="8"/>
            <w:vAlign w:val="center"/>
          </w:tcPr>
          <w:p w14:paraId="7FB771AA">
            <w:pPr>
              <w:jc w:val="center"/>
              <w:rPr>
                <w:rFonts w:ascii="宋体" w:hAnsi="宋体"/>
                <w:b/>
                <w:bCs/>
                <w:color w:val="auto"/>
                <w:spacing w:val="30"/>
                <w:szCs w:val="21"/>
                <w:highlight w:val="none"/>
              </w:rPr>
            </w:pPr>
            <w:r>
              <w:rPr>
                <w:rFonts w:hint="eastAsia" w:ascii="宋体" w:hAnsi="宋体"/>
                <w:b/>
                <w:bCs/>
                <w:color w:val="auto"/>
                <w:spacing w:val="30"/>
                <w:szCs w:val="21"/>
                <w:highlight w:val="none"/>
              </w:rPr>
              <w:t>评委评定（是/否合格或分值）</w:t>
            </w:r>
          </w:p>
        </w:tc>
      </w:tr>
      <w:tr w14:paraId="671C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7" w:type="dxa"/>
            <w:vMerge w:val="continue"/>
            <w:vAlign w:val="center"/>
          </w:tcPr>
          <w:p w14:paraId="348BA77B">
            <w:pPr>
              <w:jc w:val="center"/>
              <w:rPr>
                <w:rFonts w:ascii="宋体" w:hAnsi="宋体"/>
                <w:b/>
                <w:bCs/>
                <w:color w:val="auto"/>
                <w:spacing w:val="30"/>
                <w:szCs w:val="21"/>
                <w:highlight w:val="none"/>
              </w:rPr>
            </w:pPr>
          </w:p>
        </w:tc>
        <w:tc>
          <w:tcPr>
            <w:tcW w:w="3487" w:type="dxa"/>
            <w:vMerge w:val="continue"/>
            <w:vAlign w:val="center"/>
          </w:tcPr>
          <w:p w14:paraId="58BA9089">
            <w:pPr>
              <w:rPr>
                <w:rFonts w:ascii="宋体" w:hAnsi="宋体"/>
                <w:b/>
                <w:bCs/>
                <w:color w:val="auto"/>
                <w:spacing w:val="30"/>
                <w:szCs w:val="21"/>
                <w:highlight w:val="none"/>
              </w:rPr>
            </w:pPr>
          </w:p>
        </w:tc>
        <w:tc>
          <w:tcPr>
            <w:tcW w:w="1176" w:type="dxa"/>
            <w:vAlign w:val="center"/>
          </w:tcPr>
          <w:p w14:paraId="34CC487D">
            <w:pPr>
              <w:jc w:val="center"/>
              <w:rPr>
                <w:rFonts w:ascii="宋体" w:hAnsi="宋体"/>
                <w:b/>
                <w:bCs/>
                <w:color w:val="auto"/>
                <w:spacing w:val="30"/>
                <w:szCs w:val="21"/>
                <w:highlight w:val="none"/>
              </w:rPr>
            </w:pPr>
            <w:r>
              <w:rPr>
                <w:rFonts w:hint="eastAsia" w:ascii="宋体" w:hAnsi="宋体"/>
                <w:b/>
                <w:bCs/>
                <w:color w:val="auto"/>
                <w:spacing w:val="30"/>
                <w:szCs w:val="21"/>
                <w:highlight w:val="none"/>
              </w:rPr>
              <w:t>评委1</w:t>
            </w:r>
          </w:p>
        </w:tc>
        <w:tc>
          <w:tcPr>
            <w:tcW w:w="1176" w:type="dxa"/>
            <w:vAlign w:val="center"/>
          </w:tcPr>
          <w:p w14:paraId="5F70D3DF">
            <w:pPr>
              <w:jc w:val="center"/>
              <w:rPr>
                <w:rFonts w:ascii="宋体" w:hAnsi="宋体"/>
                <w:b/>
                <w:bCs/>
                <w:color w:val="auto"/>
                <w:spacing w:val="30"/>
                <w:szCs w:val="21"/>
                <w:highlight w:val="none"/>
              </w:rPr>
            </w:pPr>
            <w:r>
              <w:rPr>
                <w:rFonts w:hint="eastAsia" w:ascii="宋体" w:hAnsi="宋体"/>
                <w:b/>
                <w:bCs/>
                <w:color w:val="auto"/>
                <w:spacing w:val="30"/>
                <w:szCs w:val="21"/>
                <w:highlight w:val="none"/>
              </w:rPr>
              <w:t>评委2</w:t>
            </w:r>
          </w:p>
        </w:tc>
        <w:tc>
          <w:tcPr>
            <w:tcW w:w="1176" w:type="dxa"/>
            <w:vAlign w:val="center"/>
          </w:tcPr>
          <w:p w14:paraId="515B486A">
            <w:pPr>
              <w:jc w:val="center"/>
              <w:rPr>
                <w:rFonts w:ascii="宋体" w:hAnsi="宋体"/>
                <w:b/>
                <w:bCs/>
                <w:color w:val="auto"/>
                <w:spacing w:val="30"/>
                <w:szCs w:val="21"/>
                <w:highlight w:val="none"/>
              </w:rPr>
            </w:pPr>
            <w:r>
              <w:rPr>
                <w:rFonts w:hint="eastAsia" w:ascii="宋体" w:hAnsi="宋体"/>
                <w:b/>
                <w:bCs/>
                <w:color w:val="auto"/>
                <w:spacing w:val="30"/>
                <w:szCs w:val="21"/>
                <w:highlight w:val="none"/>
              </w:rPr>
              <w:t>评委3</w:t>
            </w:r>
          </w:p>
        </w:tc>
        <w:tc>
          <w:tcPr>
            <w:tcW w:w="1176" w:type="dxa"/>
            <w:vAlign w:val="center"/>
          </w:tcPr>
          <w:p w14:paraId="217BE7C2">
            <w:pPr>
              <w:jc w:val="center"/>
              <w:rPr>
                <w:rFonts w:ascii="宋体" w:hAnsi="宋体"/>
                <w:b/>
                <w:bCs/>
                <w:color w:val="auto"/>
                <w:spacing w:val="30"/>
                <w:szCs w:val="21"/>
                <w:highlight w:val="none"/>
              </w:rPr>
            </w:pPr>
            <w:r>
              <w:rPr>
                <w:rFonts w:hint="eastAsia" w:ascii="宋体" w:hAnsi="宋体"/>
                <w:b/>
                <w:bCs/>
                <w:color w:val="auto"/>
                <w:spacing w:val="30"/>
                <w:szCs w:val="21"/>
                <w:highlight w:val="none"/>
              </w:rPr>
              <w:t>评委4</w:t>
            </w:r>
          </w:p>
        </w:tc>
        <w:tc>
          <w:tcPr>
            <w:tcW w:w="1176" w:type="dxa"/>
            <w:vAlign w:val="center"/>
          </w:tcPr>
          <w:p w14:paraId="473EE103">
            <w:pPr>
              <w:jc w:val="center"/>
              <w:rPr>
                <w:rFonts w:ascii="宋体" w:hAnsi="宋体"/>
                <w:b/>
                <w:bCs/>
                <w:color w:val="auto"/>
                <w:spacing w:val="30"/>
                <w:szCs w:val="21"/>
                <w:highlight w:val="none"/>
              </w:rPr>
            </w:pPr>
            <w:r>
              <w:rPr>
                <w:rFonts w:hint="eastAsia" w:ascii="宋体" w:hAnsi="宋体"/>
                <w:b/>
                <w:bCs/>
                <w:color w:val="auto"/>
                <w:spacing w:val="30"/>
                <w:szCs w:val="21"/>
                <w:highlight w:val="none"/>
              </w:rPr>
              <w:t>评委5</w:t>
            </w:r>
          </w:p>
        </w:tc>
        <w:tc>
          <w:tcPr>
            <w:tcW w:w="1176" w:type="dxa"/>
            <w:vAlign w:val="center"/>
          </w:tcPr>
          <w:p w14:paraId="71925B96">
            <w:pPr>
              <w:jc w:val="center"/>
              <w:rPr>
                <w:rFonts w:ascii="宋体" w:hAnsi="宋体"/>
                <w:b/>
                <w:bCs/>
                <w:color w:val="auto"/>
                <w:spacing w:val="30"/>
                <w:szCs w:val="21"/>
                <w:highlight w:val="none"/>
              </w:rPr>
            </w:pPr>
            <w:r>
              <w:rPr>
                <w:rFonts w:hint="eastAsia" w:ascii="宋体" w:hAnsi="宋体"/>
                <w:b/>
                <w:bCs/>
                <w:color w:val="auto"/>
                <w:spacing w:val="30"/>
                <w:szCs w:val="21"/>
                <w:highlight w:val="none"/>
              </w:rPr>
              <w:t>评委6</w:t>
            </w:r>
          </w:p>
        </w:tc>
        <w:tc>
          <w:tcPr>
            <w:tcW w:w="1177" w:type="dxa"/>
            <w:vAlign w:val="center"/>
          </w:tcPr>
          <w:p w14:paraId="26C54387">
            <w:pPr>
              <w:jc w:val="center"/>
              <w:rPr>
                <w:rFonts w:ascii="宋体" w:hAnsi="宋体"/>
                <w:b/>
                <w:bCs/>
                <w:color w:val="auto"/>
                <w:spacing w:val="30"/>
                <w:szCs w:val="21"/>
                <w:highlight w:val="none"/>
              </w:rPr>
            </w:pPr>
            <w:r>
              <w:rPr>
                <w:rFonts w:hint="eastAsia" w:ascii="宋体" w:hAnsi="宋体"/>
                <w:b/>
                <w:bCs/>
                <w:color w:val="auto"/>
                <w:spacing w:val="30"/>
                <w:szCs w:val="21"/>
                <w:highlight w:val="none"/>
              </w:rPr>
              <w:t>评委7</w:t>
            </w:r>
          </w:p>
        </w:tc>
        <w:tc>
          <w:tcPr>
            <w:tcW w:w="1172" w:type="dxa"/>
            <w:vAlign w:val="center"/>
          </w:tcPr>
          <w:p w14:paraId="0369914E">
            <w:pPr>
              <w:jc w:val="center"/>
              <w:rPr>
                <w:rFonts w:ascii="宋体" w:hAnsi="宋体"/>
                <w:b/>
                <w:bCs/>
                <w:color w:val="auto"/>
                <w:szCs w:val="21"/>
                <w:highlight w:val="none"/>
              </w:rPr>
            </w:pPr>
            <w:r>
              <w:rPr>
                <w:rFonts w:hint="eastAsia" w:ascii="宋体" w:hAnsi="宋体"/>
                <w:b/>
                <w:bCs/>
                <w:color w:val="auto"/>
                <w:szCs w:val="21"/>
                <w:highlight w:val="none"/>
              </w:rPr>
              <w:t>最终评定</w:t>
            </w:r>
          </w:p>
        </w:tc>
      </w:tr>
      <w:tr w14:paraId="17840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7" w:type="dxa"/>
            <w:vAlign w:val="center"/>
          </w:tcPr>
          <w:p w14:paraId="3D876695">
            <w:pPr>
              <w:jc w:val="center"/>
              <w:rPr>
                <w:rFonts w:ascii="宋体" w:hAnsi="宋体"/>
                <w:b/>
                <w:bCs/>
                <w:color w:val="auto"/>
                <w:spacing w:val="30"/>
                <w:szCs w:val="21"/>
                <w:highlight w:val="none"/>
              </w:rPr>
            </w:pPr>
            <w:r>
              <w:rPr>
                <w:rFonts w:hint="eastAsia" w:ascii="宋体" w:hAnsi="宋体"/>
                <w:b/>
                <w:bCs/>
                <w:color w:val="auto"/>
                <w:spacing w:val="30"/>
                <w:szCs w:val="21"/>
                <w:highlight w:val="none"/>
              </w:rPr>
              <w:t>1</w:t>
            </w:r>
          </w:p>
        </w:tc>
        <w:tc>
          <w:tcPr>
            <w:tcW w:w="3487" w:type="dxa"/>
            <w:vAlign w:val="center"/>
          </w:tcPr>
          <w:p w14:paraId="59008A58">
            <w:pPr>
              <w:rPr>
                <w:rFonts w:ascii="宋体" w:hAnsi="宋体"/>
                <w:b/>
                <w:bCs/>
                <w:color w:val="auto"/>
                <w:spacing w:val="30"/>
                <w:szCs w:val="21"/>
                <w:highlight w:val="none"/>
              </w:rPr>
            </w:pPr>
          </w:p>
        </w:tc>
        <w:tc>
          <w:tcPr>
            <w:tcW w:w="1176" w:type="dxa"/>
            <w:vAlign w:val="center"/>
          </w:tcPr>
          <w:p w14:paraId="18063C59">
            <w:pPr>
              <w:rPr>
                <w:rFonts w:ascii="宋体" w:hAnsi="宋体"/>
                <w:b/>
                <w:bCs/>
                <w:color w:val="auto"/>
                <w:spacing w:val="30"/>
                <w:szCs w:val="21"/>
                <w:highlight w:val="none"/>
              </w:rPr>
            </w:pPr>
          </w:p>
        </w:tc>
        <w:tc>
          <w:tcPr>
            <w:tcW w:w="1176" w:type="dxa"/>
            <w:vAlign w:val="center"/>
          </w:tcPr>
          <w:p w14:paraId="14778F20">
            <w:pPr>
              <w:rPr>
                <w:rFonts w:ascii="宋体" w:hAnsi="宋体"/>
                <w:b/>
                <w:bCs/>
                <w:color w:val="auto"/>
                <w:spacing w:val="30"/>
                <w:szCs w:val="21"/>
                <w:highlight w:val="none"/>
              </w:rPr>
            </w:pPr>
          </w:p>
        </w:tc>
        <w:tc>
          <w:tcPr>
            <w:tcW w:w="1176" w:type="dxa"/>
            <w:vAlign w:val="center"/>
          </w:tcPr>
          <w:p w14:paraId="25019569">
            <w:pPr>
              <w:rPr>
                <w:rFonts w:ascii="宋体" w:hAnsi="宋体"/>
                <w:b/>
                <w:bCs/>
                <w:color w:val="auto"/>
                <w:spacing w:val="30"/>
                <w:szCs w:val="21"/>
                <w:highlight w:val="none"/>
              </w:rPr>
            </w:pPr>
          </w:p>
        </w:tc>
        <w:tc>
          <w:tcPr>
            <w:tcW w:w="1176" w:type="dxa"/>
            <w:vAlign w:val="center"/>
          </w:tcPr>
          <w:p w14:paraId="4FFFA116">
            <w:pPr>
              <w:rPr>
                <w:rFonts w:ascii="宋体" w:hAnsi="宋体"/>
                <w:b/>
                <w:bCs/>
                <w:color w:val="auto"/>
                <w:spacing w:val="30"/>
                <w:szCs w:val="21"/>
                <w:highlight w:val="none"/>
              </w:rPr>
            </w:pPr>
          </w:p>
        </w:tc>
        <w:tc>
          <w:tcPr>
            <w:tcW w:w="1176" w:type="dxa"/>
            <w:vAlign w:val="center"/>
          </w:tcPr>
          <w:p w14:paraId="2ECD534D">
            <w:pPr>
              <w:rPr>
                <w:rFonts w:ascii="宋体" w:hAnsi="宋体"/>
                <w:b/>
                <w:bCs/>
                <w:color w:val="auto"/>
                <w:spacing w:val="30"/>
                <w:szCs w:val="21"/>
                <w:highlight w:val="none"/>
              </w:rPr>
            </w:pPr>
          </w:p>
        </w:tc>
        <w:tc>
          <w:tcPr>
            <w:tcW w:w="1176" w:type="dxa"/>
            <w:vAlign w:val="center"/>
          </w:tcPr>
          <w:p w14:paraId="682C67E6">
            <w:pPr>
              <w:rPr>
                <w:rFonts w:ascii="宋体" w:hAnsi="宋体"/>
                <w:b/>
                <w:bCs/>
                <w:color w:val="auto"/>
                <w:spacing w:val="30"/>
                <w:szCs w:val="21"/>
                <w:highlight w:val="none"/>
              </w:rPr>
            </w:pPr>
          </w:p>
        </w:tc>
        <w:tc>
          <w:tcPr>
            <w:tcW w:w="1177" w:type="dxa"/>
            <w:vAlign w:val="center"/>
          </w:tcPr>
          <w:p w14:paraId="62EF5485">
            <w:pPr>
              <w:rPr>
                <w:rFonts w:ascii="宋体" w:hAnsi="宋体"/>
                <w:b/>
                <w:bCs/>
                <w:color w:val="auto"/>
                <w:spacing w:val="30"/>
                <w:szCs w:val="21"/>
                <w:highlight w:val="none"/>
              </w:rPr>
            </w:pPr>
          </w:p>
        </w:tc>
        <w:tc>
          <w:tcPr>
            <w:tcW w:w="1172" w:type="dxa"/>
            <w:vAlign w:val="center"/>
          </w:tcPr>
          <w:p w14:paraId="1D8D9777">
            <w:pPr>
              <w:rPr>
                <w:rFonts w:ascii="宋体" w:hAnsi="宋体"/>
                <w:b/>
                <w:bCs/>
                <w:color w:val="auto"/>
                <w:spacing w:val="30"/>
                <w:szCs w:val="21"/>
                <w:highlight w:val="none"/>
              </w:rPr>
            </w:pPr>
          </w:p>
        </w:tc>
      </w:tr>
      <w:tr w14:paraId="79654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7" w:type="dxa"/>
            <w:vAlign w:val="center"/>
          </w:tcPr>
          <w:p w14:paraId="1E17B2DC">
            <w:pPr>
              <w:jc w:val="center"/>
              <w:rPr>
                <w:rFonts w:ascii="宋体" w:hAnsi="宋体"/>
                <w:b/>
                <w:bCs/>
                <w:color w:val="auto"/>
                <w:spacing w:val="30"/>
                <w:szCs w:val="21"/>
                <w:highlight w:val="none"/>
              </w:rPr>
            </w:pPr>
            <w:r>
              <w:rPr>
                <w:rFonts w:hint="eastAsia" w:ascii="宋体" w:hAnsi="宋体"/>
                <w:b/>
                <w:bCs/>
                <w:color w:val="auto"/>
                <w:spacing w:val="30"/>
                <w:szCs w:val="21"/>
                <w:highlight w:val="none"/>
              </w:rPr>
              <w:t>2</w:t>
            </w:r>
          </w:p>
        </w:tc>
        <w:tc>
          <w:tcPr>
            <w:tcW w:w="3487" w:type="dxa"/>
            <w:vAlign w:val="center"/>
          </w:tcPr>
          <w:p w14:paraId="198157E8">
            <w:pPr>
              <w:rPr>
                <w:rFonts w:ascii="宋体" w:hAnsi="宋体"/>
                <w:b/>
                <w:bCs/>
                <w:color w:val="auto"/>
                <w:spacing w:val="30"/>
                <w:szCs w:val="21"/>
                <w:highlight w:val="none"/>
              </w:rPr>
            </w:pPr>
          </w:p>
        </w:tc>
        <w:tc>
          <w:tcPr>
            <w:tcW w:w="1176" w:type="dxa"/>
            <w:vAlign w:val="center"/>
          </w:tcPr>
          <w:p w14:paraId="43249EE3">
            <w:pPr>
              <w:rPr>
                <w:rFonts w:ascii="宋体" w:hAnsi="宋体"/>
                <w:b/>
                <w:bCs/>
                <w:color w:val="auto"/>
                <w:spacing w:val="30"/>
                <w:szCs w:val="21"/>
                <w:highlight w:val="none"/>
              </w:rPr>
            </w:pPr>
          </w:p>
        </w:tc>
        <w:tc>
          <w:tcPr>
            <w:tcW w:w="1176" w:type="dxa"/>
            <w:vAlign w:val="center"/>
          </w:tcPr>
          <w:p w14:paraId="247F5202">
            <w:pPr>
              <w:rPr>
                <w:rFonts w:ascii="宋体" w:hAnsi="宋体"/>
                <w:b/>
                <w:bCs/>
                <w:color w:val="auto"/>
                <w:spacing w:val="30"/>
                <w:szCs w:val="21"/>
                <w:highlight w:val="none"/>
              </w:rPr>
            </w:pPr>
          </w:p>
        </w:tc>
        <w:tc>
          <w:tcPr>
            <w:tcW w:w="1176" w:type="dxa"/>
            <w:vAlign w:val="center"/>
          </w:tcPr>
          <w:p w14:paraId="2831B228">
            <w:pPr>
              <w:rPr>
                <w:rFonts w:ascii="宋体" w:hAnsi="宋体"/>
                <w:b/>
                <w:bCs/>
                <w:color w:val="auto"/>
                <w:spacing w:val="30"/>
                <w:szCs w:val="21"/>
                <w:highlight w:val="none"/>
              </w:rPr>
            </w:pPr>
          </w:p>
        </w:tc>
        <w:tc>
          <w:tcPr>
            <w:tcW w:w="1176" w:type="dxa"/>
            <w:vAlign w:val="center"/>
          </w:tcPr>
          <w:p w14:paraId="0E8B9BF3">
            <w:pPr>
              <w:rPr>
                <w:rFonts w:ascii="宋体" w:hAnsi="宋体"/>
                <w:b/>
                <w:bCs/>
                <w:color w:val="auto"/>
                <w:spacing w:val="30"/>
                <w:szCs w:val="21"/>
                <w:highlight w:val="none"/>
              </w:rPr>
            </w:pPr>
          </w:p>
        </w:tc>
        <w:tc>
          <w:tcPr>
            <w:tcW w:w="1176" w:type="dxa"/>
            <w:vAlign w:val="center"/>
          </w:tcPr>
          <w:p w14:paraId="3FF481AD">
            <w:pPr>
              <w:rPr>
                <w:rFonts w:ascii="宋体" w:hAnsi="宋体"/>
                <w:b/>
                <w:bCs/>
                <w:color w:val="auto"/>
                <w:spacing w:val="30"/>
                <w:szCs w:val="21"/>
                <w:highlight w:val="none"/>
              </w:rPr>
            </w:pPr>
          </w:p>
        </w:tc>
        <w:tc>
          <w:tcPr>
            <w:tcW w:w="1176" w:type="dxa"/>
            <w:vAlign w:val="center"/>
          </w:tcPr>
          <w:p w14:paraId="03E6E2BF">
            <w:pPr>
              <w:rPr>
                <w:rFonts w:ascii="宋体" w:hAnsi="宋体"/>
                <w:b/>
                <w:bCs/>
                <w:color w:val="auto"/>
                <w:spacing w:val="30"/>
                <w:szCs w:val="21"/>
                <w:highlight w:val="none"/>
              </w:rPr>
            </w:pPr>
          </w:p>
        </w:tc>
        <w:tc>
          <w:tcPr>
            <w:tcW w:w="1177" w:type="dxa"/>
            <w:vAlign w:val="center"/>
          </w:tcPr>
          <w:p w14:paraId="243DD75A">
            <w:pPr>
              <w:rPr>
                <w:rFonts w:ascii="宋体" w:hAnsi="宋体"/>
                <w:b/>
                <w:bCs/>
                <w:color w:val="auto"/>
                <w:spacing w:val="30"/>
                <w:szCs w:val="21"/>
                <w:highlight w:val="none"/>
              </w:rPr>
            </w:pPr>
          </w:p>
        </w:tc>
        <w:tc>
          <w:tcPr>
            <w:tcW w:w="1172" w:type="dxa"/>
            <w:vAlign w:val="center"/>
          </w:tcPr>
          <w:p w14:paraId="0B6D75CA">
            <w:pPr>
              <w:rPr>
                <w:rFonts w:ascii="宋体" w:hAnsi="宋体"/>
                <w:b/>
                <w:bCs/>
                <w:color w:val="auto"/>
                <w:spacing w:val="30"/>
                <w:szCs w:val="21"/>
                <w:highlight w:val="none"/>
              </w:rPr>
            </w:pPr>
          </w:p>
        </w:tc>
      </w:tr>
      <w:tr w14:paraId="05236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7" w:type="dxa"/>
            <w:vAlign w:val="center"/>
          </w:tcPr>
          <w:p w14:paraId="62DD5014">
            <w:pPr>
              <w:jc w:val="center"/>
              <w:rPr>
                <w:rFonts w:ascii="宋体" w:hAnsi="宋体"/>
                <w:b/>
                <w:bCs/>
                <w:color w:val="auto"/>
                <w:spacing w:val="30"/>
                <w:szCs w:val="21"/>
                <w:highlight w:val="none"/>
              </w:rPr>
            </w:pPr>
            <w:r>
              <w:rPr>
                <w:rFonts w:hint="eastAsia" w:ascii="宋体" w:hAnsi="宋体"/>
                <w:b/>
                <w:bCs/>
                <w:color w:val="auto"/>
                <w:spacing w:val="30"/>
                <w:szCs w:val="21"/>
                <w:highlight w:val="none"/>
              </w:rPr>
              <w:t>3</w:t>
            </w:r>
          </w:p>
        </w:tc>
        <w:tc>
          <w:tcPr>
            <w:tcW w:w="3487" w:type="dxa"/>
            <w:vAlign w:val="center"/>
          </w:tcPr>
          <w:p w14:paraId="21824FFA">
            <w:pPr>
              <w:rPr>
                <w:rFonts w:ascii="宋体" w:hAnsi="宋体"/>
                <w:b/>
                <w:bCs/>
                <w:color w:val="auto"/>
                <w:spacing w:val="30"/>
                <w:szCs w:val="21"/>
                <w:highlight w:val="none"/>
              </w:rPr>
            </w:pPr>
          </w:p>
        </w:tc>
        <w:tc>
          <w:tcPr>
            <w:tcW w:w="1176" w:type="dxa"/>
            <w:vAlign w:val="center"/>
          </w:tcPr>
          <w:p w14:paraId="5238E783">
            <w:pPr>
              <w:rPr>
                <w:rFonts w:ascii="宋体" w:hAnsi="宋体"/>
                <w:b/>
                <w:bCs/>
                <w:color w:val="auto"/>
                <w:spacing w:val="30"/>
                <w:szCs w:val="21"/>
                <w:highlight w:val="none"/>
              </w:rPr>
            </w:pPr>
          </w:p>
        </w:tc>
        <w:tc>
          <w:tcPr>
            <w:tcW w:w="1176" w:type="dxa"/>
            <w:vAlign w:val="center"/>
          </w:tcPr>
          <w:p w14:paraId="27A48217">
            <w:pPr>
              <w:rPr>
                <w:rFonts w:ascii="宋体" w:hAnsi="宋体"/>
                <w:b/>
                <w:bCs/>
                <w:color w:val="auto"/>
                <w:spacing w:val="30"/>
                <w:szCs w:val="21"/>
                <w:highlight w:val="none"/>
              </w:rPr>
            </w:pPr>
          </w:p>
        </w:tc>
        <w:tc>
          <w:tcPr>
            <w:tcW w:w="1176" w:type="dxa"/>
            <w:vAlign w:val="center"/>
          </w:tcPr>
          <w:p w14:paraId="3577319A">
            <w:pPr>
              <w:rPr>
                <w:rFonts w:ascii="宋体" w:hAnsi="宋体"/>
                <w:b/>
                <w:bCs/>
                <w:color w:val="auto"/>
                <w:spacing w:val="30"/>
                <w:szCs w:val="21"/>
                <w:highlight w:val="none"/>
              </w:rPr>
            </w:pPr>
          </w:p>
        </w:tc>
        <w:tc>
          <w:tcPr>
            <w:tcW w:w="1176" w:type="dxa"/>
            <w:vAlign w:val="center"/>
          </w:tcPr>
          <w:p w14:paraId="70323CBB">
            <w:pPr>
              <w:rPr>
                <w:rFonts w:ascii="宋体" w:hAnsi="宋体"/>
                <w:b/>
                <w:bCs/>
                <w:color w:val="auto"/>
                <w:spacing w:val="30"/>
                <w:szCs w:val="21"/>
                <w:highlight w:val="none"/>
              </w:rPr>
            </w:pPr>
          </w:p>
        </w:tc>
        <w:tc>
          <w:tcPr>
            <w:tcW w:w="1176" w:type="dxa"/>
            <w:vAlign w:val="center"/>
          </w:tcPr>
          <w:p w14:paraId="54DA3FAF">
            <w:pPr>
              <w:rPr>
                <w:rFonts w:ascii="宋体" w:hAnsi="宋体"/>
                <w:b/>
                <w:bCs/>
                <w:color w:val="auto"/>
                <w:spacing w:val="30"/>
                <w:szCs w:val="21"/>
                <w:highlight w:val="none"/>
              </w:rPr>
            </w:pPr>
          </w:p>
        </w:tc>
        <w:tc>
          <w:tcPr>
            <w:tcW w:w="1176" w:type="dxa"/>
            <w:vAlign w:val="center"/>
          </w:tcPr>
          <w:p w14:paraId="2FE1ABF5">
            <w:pPr>
              <w:rPr>
                <w:rFonts w:ascii="宋体" w:hAnsi="宋体"/>
                <w:b/>
                <w:bCs/>
                <w:color w:val="auto"/>
                <w:spacing w:val="30"/>
                <w:szCs w:val="21"/>
                <w:highlight w:val="none"/>
              </w:rPr>
            </w:pPr>
          </w:p>
        </w:tc>
        <w:tc>
          <w:tcPr>
            <w:tcW w:w="1177" w:type="dxa"/>
            <w:vAlign w:val="center"/>
          </w:tcPr>
          <w:p w14:paraId="455E2028">
            <w:pPr>
              <w:rPr>
                <w:rFonts w:ascii="宋体" w:hAnsi="宋体"/>
                <w:b/>
                <w:bCs/>
                <w:color w:val="auto"/>
                <w:spacing w:val="30"/>
                <w:szCs w:val="21"/>
                <w:highlight w:val="none"/>
              </w:rPr>
            </w:pPr>
          </w:p>
        </w:tc>
        <w:tc>
          <w:tcPr>
            <w:tcW w:w="1172" w:type="dxa"/>
            <w:vAlign w:val="center"/>
          </w:tcPr>
          <w:p w14:paraId="00B7A76C">
            <w:pPr>
              <w:rPr>
                <w:rFonts w:ascii="宋体" w:hAnsi="宋体"/>
                <w:b/>
                <w:bCs/>
                <w:color w:val="auto"/>
                <w:spacing w:val="30"/>
                <w:szCs w:val="21"/>
                <w:highlight w:val="none"/>
              </w:rPr>
            </w:pPr>
          </w:p>
        </w:tc>
      </w:tr>
      <w:tr w14:paraId="7C7E9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7" w:type="dxa"/>
            <w:vAlign w:val="center"/>
          </w:tcPr>
          <w:p w14:paraId="6A6C144D">
            <w:pPr>
              <w:jc w:val="center"/>
              <w:rPr>
                <w:rFonts w:ascii="宋体" w:hAnsi="宋体"/>
                <w:b/>
                <w:bCs/>
                <w:color w:val="auto"/>
                <w:spacing w:val="30"/>
                <w:szCs w:val="21"/>
                <w:highlight w:val="none"/>
              </w:rPr>
            </w:pPr>
            <w:r>
              <w:rPr>
                <w:rFonts w:hint="eastAsia" w:ascii="宋体" w:hAnsi="宋体"/>
                <w:b/>
                <w:bCs/>
                <w:color w:val="auto"/>
                <w:spacing w:val="30"/>
                <w:szCs w:val="21"/>
                <w:highlight w:val="none"/>
              </w:rPr>
              <w:t>4</w:t>
            </w:r>
          </w:p>
        </w:tc>
        <w:tc>
          <w:tcPr>
            <w:tcW w:w="3487" w:type="dxa"/>
            <w:vAlign w:val="center"/>
          </w:tcPr>
          <w:p w14:paraId="51341E28">
            <w:pPr>
              <w:rPr>
                <w:rFonts w:ascii="宋体" w:hAnsi="宋体"/>
                <w:b/>
                <w:bCs/>
                <w:color w:val="auto"/>
                <w:spacing w:val="30"/>
                <w:szCs w:val="21"/>
                <w:highlight w:val="none"/>
              </w:rPr>
            </w:pPr>
          </w:p>
        </w:tc>
        <w:tc>
          <w:tcPr>
            <w:tcW w:w="1176" w:type="dxa"/>
            <w:vAlign w:val="center"/>
          </w:tcPr>
          <w:p w14:paraId="51E4DC1E">
            <w:pPr>
              <w:rPr>
                <w:rFonts w:ascii="宋体" w:hAnsi="宋体"/>
                <w:b/>
                <w:bCs/>
                <w:color w:val="auto"/>
                <w:spacing w:val="30"/>
                <w:szCs w:val="21"/>
                <w:highlight w:val="none"/>
              </w:rPr>
            </w:pPr>
          </w:p>
        </w:tc>
        <w:tc>
          <w:tcPr>
            <w:tcW w:w="1176" w:type="dxa"/>
            <w:vAlign w:val="center"/>
          </w:tcPr>
          <w:p w14:paraId="1619514C">
            <w:pPr>
              <w:rPr>
                <w:rFonts w:ascii="宋体" w:hAnsi="宋体"/>
                <w:b/>
                <w:bCs/>
                <w:color w:val="auto"/>
                <w:spacing w:val="30"/>
                <w:szCs w:val="21"/>
                <w:highlight w:val="none"/>
              </w:rPr>
            </w:pPr>
          </w:p>
        </w:tc>
        <w:tc>
          <w:tcPr>
            <w:tcW w:w="1176" w:type="dxa"/>
            <w:vAlign w:val="center"/>
          </w:tcPr>
          <w:p w14:paraId="5B176F85">
            <w:pPr>
              <w:rPr>
                <w:rFonts w:ascii="宋体" w:hAnsi="宋体"/>
                <w:b/>
                <w:bCs/>
                <w:color w:val="auto"/>
                <w:spacing w:val="30"/>
                <w:szCs w:val="21"/>
                <w:highlight w:val="none"/>
              </w:rPr>
            </w:pPr>
          </w:p>
        </w:tc>
        <w:tc>
          <w:tcPr>
            <w:tcW w:w="1176" w:type="dxa"/>
            <w:vAlign w:val="center"/>
          </w:tcPr>
          <w:p w14:paraId="7AA0EFF4">
            <w:pPr>
              <w:rPr>
                <w:rFonts w:ascii="宋体" w:hAnsi="宋体"/>
                <w:b/>
                <w:bCs/>
                <w:color w:val="auto"/>
                <w:spacing w:val="30"/>
                <w:szCs w:val="21"/>
                <w:highlight w:val="none"/>
              </w:rPr>
            </w:pPr>
          </w:p>
        </w:tc>
        <w:tc>
          <w:tcPr>
            <w:tcW w:w="1176" w:type="dxa"/>
            <w:vAlign w:val="center"/>
          </w:tcPr>
          <w:p w14:paraId="07E536AE">
            <w:pPr>
              <w:rPr>
                <w:rFonts w:ascii="宋体" w:hAnsi="宋体"/>
                <w:b/>
                <w:bCs/>
                <w:color w:val="auto"/>
                <w:spacing w:val="30"/>
                <w:szCs w:val="21"/>
                <w:highlight w:val="none"/>
              </w:rPr>
            </w:pPr>
          </w:p>
        </w:tc>
        <w:tc>
          <w:tcPr>
            <w:tcW w:w="1176" w:type="dxa"/>
            <w:vAlign w:val="center"/>
          </w:tcPr>
          <w:p w14:paraId="7B478DF9">
            <w:pPr>
              <w:rPr>
                <w:rFonts w:ascii="宋体" w:hAnsi="宋体"/>
                <w:b/>
                <w:bCs/>
                <w:color w:val="auto"/>
                <w:spacing w:val="30"/>
                <w:szCs w:val="21"/>
                <w:highlight w:val="none"/>
              </w:rPr>
            </w:pPr>
          </w:p>
        </w:tc>
        <w:tc>
          <w:tcPr>
            <w:tcW w:w="1177" w:type="dxa"/>
            <w:vAlign w:val="center"/>
          </w:tcPr>
          <w:p w14:paraId="51FACB10">
            <w:pPr>
              <w:rPr>
                <w:rFonts w:ascii="宋体" w:hAnsi="宋体"/>
                <w:b/>
                <w:bCs/>
                <w:color w:val="auto"/>
                <w:spacing w:val="30"/>
                <w:szCs w:val="21"/>
                <w:highlight w:val="none"/>
              </w:rPr>
            </w:pPr>
          </w:p>
        </w:tc>
        <w:tc>
          <w:tcPr>
            <w:tcW w:w="1172" w:type="dxa"/>
            <w:vAlign w:val="center"/>
          </w:tcPr>
          <w:p w14:paraId="136D3C65">
            <w:pPr>
              <w:rPr>
                <w:rFonts w:ascii="宋体" w:hAnsi="宋体"/>
                <w:b/>
                <w:bCs/>
                <w:color w:val="auto"/>
                <w:spacing w:val="30"/>
                <w:szCs w:val="21"/>
                <w:highlight w:val="none"/>
              </w:rPr>
            </w:pPr>
          </w:p>
        </w:tc>
      </w:tr>
      <w:tr w14:paraId="3AD1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7" w:type="dxa"/>
            <w:vAlign w:val="center"/>
          </w:tcPr>
          <w:p w14:paraId="4F6519DE">
            <w:pPr>
              <w:jc w:val="center"/>
              <w:rPr>
                <w:rFonts w:ascii="宋体" w:hAnsi="宋体"/>
                <w:b/>
                <w:bCs/>
                <w:color w:val="auto"/>
                <w:spacing w:val="30"/>
                <w:szCs w:val="21"/>
                <w:highlight w:val="none"/>
              </w:rPr>
            </w:pPr>
            <w:r>
              <w:rPr>
                <w:rFonts w:hint="eastAsia" w:ascii="宋体" w:hAnsi="宋体"/>
                <w:b/>
                <w:bCs/>
                <w:color w:val="auto"/>
                <w:spacing w:val="30"/>
                <w:szCs w:val="21"/>
                <w:highlight w:val="none"/>
              </w:rPr>
              <w:t>5</w:t>
            </w:r>
          </w:p>
        </w:tc>
        <w:tc>
          <w:tcPr>
            <w:tcW w:w="3487" w:type="dxa"/>
            <w:vAlign w:val="center"/>
          </w:tcPr>
          <w:p w14:paraId="2B92C533">
            <w:pPr>
              <w:rPr>
                <w:rFonts w:ascii="宋体" w:hAnsi="宋体"/>
                <w:b/>
                <w:bCs/>
                <w:color w:val="auto"/>
                <w:spacing w:val="30"/>
                <w:szCs w:val="21"/>
                <w:highlight w:val="none"/>
              </w:rPr>
            </w:pPr>
          </w:p>
        </w:tc>
        <w:tc>
          <w:tcPr>
            <w:tcW w:w="1176" w:type="dxa"/>
            <w:vAlign w:val="center"/>
          </w:tcPr>
          <w:p w14:paraId="4F622D81">
            <w:pPr>
              <w:rPr>
                <w:rFonts w:ascii="宋体" w:hAnsi="宋体"/>
                <w:b/>
                <w:bCs/>
                <w:color w:val="auto"/>
                <w:spacing w:val="30"/>
                <w:szCs w:val="21"/>
                <w:highlight w:val="none"/>
              </w:rPr>
            </w:pPr>
          </w:p>
        </w:tc>
        <w:tc>
          <w:tcPr>
            <w:tcW w:w="1176" w:type="dxa"/>
            <w:vAlign w:val="center"/>
          </w:tcPr>
          <w:p w14:paraId="13F630CC">
            <w:pPr>
              <w:rPr>
                <w:rFonts w:ascii="宋体" w:hAnsi="宋体"/>
                <w:b/>
                <w:bCs/>
                <w:color w:val="auto"/>
                <w:spacing w:val="30"/>
                <w:szCs w:val="21"/>
                <w:highlight w:val="none"/>
              </w:rPr>
            </w:pPr>
          </w:p>
        </w:tc>
        <w:tc>
          <w:tcPr>
            <w:tcW w:w="1176" w:type="dxa"/>
            <w:vAlign w:val="center"/>
          </w:tcPr>
          <w:p w14:paraId="61194874">
            <w:pPr>
              <w:rPr>
                <w:rFonts w:ascii="宋体" w:hAnsi="宋体"/>
                <w:b/>
                <w:bCs/>
                <w:color w:val="auto"/>
                <w:spacing w:val="30"/>
                <w:szCs w:val="21"/>
                <w:highlight w:val="none"/>
              </w:rPr>
            </w:pPr>
          </w:p>
        </w:tc>
        <w:tc>
          <w:tcPr>
            <w:tcW w:w="1176" w:type="dxa"/>
            <w:vAlign w:val="center"/>
          </w:tcPr>
          <w:p w14:paraId="4C808D8F">
            <w:pPr>
              <w:rPr>
                <w:rFonts w:ascii="宋体" w:hAnsi="宋体"/>
                <w:b/>
                <w:bCs/>
                <w:color w:val="auto"/>
                <w:spacing w:val="30"/>
                <w:szCs w:val="21"/>
                <w:highlight w:val="none"/>
              </w:rPr>
            </w:pPr>
          </w:p>
        </w:tc>
        <w:tc>
          <w:tcPr>
            <w:tcW w:w="1176" w:type="dxa"/>
            <w:vAlign w:val="center"/>
          </w:tcPr>
          <w:p w14:paraId="6191F51D">
            <w:pPr>
              <w:rPr>
                <w:rFonts w:ascii="宋体" w:hAnsi="宋体"/>
                <w:b/>
                <w:bCs/>
                <w:color w:val="auto"/>
                <w:spacing w:val="30"/>
                <w:szCs w:val="21"/>
                <w:highlight w:val="none"/>
              </w:rPr>
            </w:pPr>
          </w:p>
        </w:tc>
        <w:tc>
          <w:tcPr>
            <w:tcW w:w="1176" w:type="dxa"/>
            <w:vAlign w:val="center"/>
          </w:tcPr>
          <w:p w14:paraId="2F9780AD">
            <w:pPr>
              <w:rPr>
                <w:rFonts w:ascii="宋体" w:hAnsi="宋体"/>
                <w:b/>
                <w:bCs/>
                <w:color w:val="auto"/>
                <w:spacing w:val="30"/>
                <w:szCs w:val="21"/>
                <w:highlight w:val="none"/>
              </w:rPr>
            </w:pPr>
          </w:p>
        </w:tc>
        <w:tc>
          <w:tcPr>
            <w:tcW w:w="1177" w:type="dxa"/>
            <w:vAlign w:val="center"/>
          </w:tcPr>
          <w:p w14:paraId="25A41C8B">
            <w:pPr>
              <w:rPr>
                <w:rFonts w:ascii="宋体" w:hAnsi="宋体"/>
                <w:b/>
                <w:bCs/>
                <w:color w:val="auto"/>
                <w:spacing w:val="30"/>
                <w:szCs w:val="21"/>
                <w:highlight w:val="none"/>
              </w:rPr>
            </w:pPr>
          </w:p>
        </w:tc>
        <w:tc>
          <w:tcPr>
            <w:tcW w:w="1172" w:type="dxa"/>
            <w:vAlign w:val="center"/>
          </w:tcPr>
          <w:p w14:paraId="44A67D26">
            <w:pPr>
              <w:rPr>
                <w:rFonts w:ascii="宋体" w:hAnsi="宋体"/>
                <w:b/>
                <w:bCs/>
                <w:color w:val="auto"/>
                <w:spacing w:val="30"/>
                <w:szCs w:val="21"/>
                <w:highlight w:val="none"/>
              </w:rPr>
            </w:pPr>
          </w:p>
        </w:tc>
      </w:tr>
      <w:tr w14:paraId="1DFF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7" w:type="dxa"/>
            <w:vAlign w:val="center"/>
          </w:tcPr>
          <w:p w14:paraId="4FDB3B09">
            <w:pPr>
              <w:jc w:val="center"/>
              <w:rPr>
                <w:rFonts w:ascii="宋体" w:hAnsi="宋体"/>
                <w:b/>
                <w:bCs/>
                <w:color w:val="auto"/>
                <w:spacing w:val="30"/>
                <w:szCs w:val="21"/>
                <w:highlight w:val="none"/>
              </w:rPr>
            </w:pPr>
            <w:r>
              <w:rPr>
                <w:rFonts w:hint="eastAsia" w:ascii="宋体" w:hAnsi="宋体"/>
                <w:b/>
                <w:bCs/>
                <w:color w:val="auto"/>
                <w:spacing w:val="30"/>
                <w:szCs w:val="21"/>
                <w:highlight w:val="none"/>
              </w:rPr>
              <w:t>6</w:t>
            </w:r>
          </w:p>
        </w:tc>
        <w:tc>
          <w:tcPr>
            <w:tcW w:w="3487" w:type="dxa"/>
            <w:vAlign w:val="center"/>
          </w:tcPr>
          <w:p w14:paraId="54B418B2">
            <w:pPr>
              <w:rPr>
                <w:rFonts w:ascii="宋体" w:hAnsi="宋体"/>
                <w:b/>
                <w:bCs/>
                <w:color w:val="auto"/>
                <w:spacing w:val="30"/>
                <w:szCs w:val="21"/>
                <w:highlight w:val="none"/>
              </w:rPr>
            </w:pPr>
          </w:p>
        </w:tc>
        <w:tc>
          <w:tcPr>
            <w:tcW w:w="1176" w:type="dxa"/>
            <w:vAlign w:val="center"/>
          </w:tcPr>
          <w:p w14:paraId="2AD5F8D4">
            <w:pPr>
              <w:rPr>
                <w:rFonts w:ascii="宋体" w:hAnsi="宋体"/>
                <w:b/>
                <w:bCs/>
                <w:color w:val="auto"/>
                <w:spacing w:val="30"/>
                <w:szCs w:val="21"/>
                <w:highlight w:val="none"/>
              </w:rPr>
            </w:pPr>
          </w:p>
        </w:tc>
        <w:tc>
          <w:tcPr>
            <w:tcW w:w="1176" w:type="dxa"/>
            <w:vAlign w:val="center"/>
          </w:tcPr>
          <w:p w14:paraId="0358DDDC">
            <w:pPr>
              <w:rPr>
                <w:rFonts w:ascii="宋体" w:hAnsi="宋体"/>
                <w:b/>
                <w:bCs/>
                <w:color w:val="auto"/>
                <w:spacing w:val="30"/>
                <w:szCs w:val="21"/>
                <w:highlight w:val="none"/>
              </w:rPr>
            </w:pPr>
          </w:p>
        </w:tc>
        <w:tc>
          <w:tcPr>
            <w:tcW w:w="1176" w:type="dxa"/>
            <w:vAlign w:val="center"/>
          </w:tcPr>
          <w:p w14:paraId="04C7F9E3">
            <w:pPr>
              <w:rPr>
                <w:rFonts w:ascii="宋体" w:hAnsi="宋体"/>
                <w:b/>
                <w:bCs/>
                <w:color w:val="auto"/>
                <w:spacing w:val="30"/>
                <w:szCs w:val="21"/>
                <w:highlight w:val="none"/>
              </w:rPr>
            </w:pPr>
          </w:p>
        </w:tc>
        <w:tc>
          <w:tcPr>
            <w:tcW w:w="1176" w:type="dxa"/>
            <w:vAlign w:val="center"/>
          </w:tcPr>
          <w:p w14:paraId="0038D4F1">
            <w:pPr>
              <w:rPr>
                <w:rFonts w:ascii="宋体" w:hAnsi="宋体"/>
                <w:b/>
                <w:bCs/>
                <w:color w:val="auto"/>
                <w:spacing w:val="30"/>
                <w:szCs w:val="21"/>
                <w:highlight w:val="none"/>
              </w:rPr>
            </w:pPr>
          </w:p>
        </w:tc>
        <w:tc>
          <w:tcPr>
            <w:tcW w:w="1176" w:type="dxa"/>
            <w:vAlign w:val="center"/>
          </w:tcPr>
          <w:p w14:paraId="473095BD">
            <w:pPr>
              <w:rPr>
                <w:rFonts w:ascii="宋体" w:hAnsi="宋体"/>
                <w:b/>
                <w:bCs/>
                <w:color w:val="auto"/>
                <w:spacing w:val="30"/>
                <w:szCs w:val="21"/>
                <w:highlight w:val="none"/>
              </w:rPr>
            </w:pPr>
          </w:p>
        </w:tc>
        <w:tc>
          <w:tcPr>
            <w:tcW w:w="1176" w:type="dxa"/>
            <w:vAlign w:val="center"/>
          </w:tcPr>
          <w:p w14:paraId="7D1CDFD3">
            <w:pPr>
              <w:rPr>
                <w:rFonts w:ascii="宋体" w:hAnsi="宋体"/>
                <w:b/>
                <w:bCs/>
                <w:color w:val="auto"/>
                <w:spacing w:val="30"/>
                <w:szCs w:val="21"/>
                <w:highlight w:val="none"/>
              </w:rPr>
            </w:pPr>
          </w:p>
        </w:tc>
        <w:tc>
          <w:tcPr>
            <w:tcW w:w="1177" w:type="dxa"/>
            <w:vAlign w:val="center"/>
          </w:tcPr>
          <w:p w14:paraId="06CD590C">
            <w:pPr>
              <w:rPr>
                <w:rFonts w:ascii="宋体" w:hAnsi="宋体"/>
                <w:b/>
                <w:bCs/>
                <w:color w:val="auto"/>
                <w:spacing w:val="30"/>
                <w:szCs w:val="21"/>
                <w:highlight w:val="none"/>
              </w:rPr>
            </w:pPr>
          </w:p>
        </w:tc>
        <w:tc>
          <w:tcPr>
            <w:tcW w:w="1172" w:type="dxa"/>
            <w:vAlign w:val="center"/>
          </w:tcPr>
          <w:p w14:paraId="76896A90">
            <w:pPr>
              <w:rPr>
                <w:rFonts w:ascii="宋体" w:hAnsi="宋体"/>
                <w:b/>
                <w:bCs/>
                <w:color w:val="auto"/>
                <w:spacing w:val="30"/>
                <w:szCs w:val="21"/>
                <w:highlight w:val="none"/>
              </w:rPr>
            </w:pPr>
          </w:p>
        </w:tc>
      </w:tr>
      <w:tr w14:paraId="5EE83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7" w:type="dxa"/>
            <w:vAlign w:val="center"/>
          </w:tcPr>
          <w:p w14:paraId="11F46E73">
            <w:pPr>
              <w:jc w:val="center"/>
              <w:rPr>
                <w:rFonts w:ascii="宋体" w:hAnsi="宋体"/>
                <w:b/>
                <w:bCs/>
                <w:color w:val="auto"/>
                <w:spacing w:val="30"/>
                <w:szCs w:val="21"/>
                <w:highlight w:val="none"/>
              </w:rPr>
            </w:pPr>
            <w:r>
              <w:rPr>
                <w:rFonts w:hint="eastAsia" w:ascii="宋体" w:hAnsi="宋体"/>
                <w:b/>
                <w:bCs/>
                <w:color w:val="auto"/>
                <w:spacing w:val="30"/>
                <w:szCs w:val="21"/>
                <w:highlight w:val="none"/>
              </w:rPr>
              <w:t>7</w:t>
            </w:r>
          </w:p>
        </w:tc>
        <w:tc>
          <w:tcPr>
            <w:tcW w:w="3487" w:type="dxa"/>
            <w:vAlign w:val="center"/>
          </w:tcPr>
          <w:p w14:paraId="28FCB21C">
            <w:pPr>
              <w:rPr>
                <w:rFonts w:ascii="宋体" w:hAnsi="宋体"/>
                <w:b/>
                <w:bCs/>
                <w:color w:val="auto"/>
                <w:spacing w:val="30"/>
                <w:szCs w:val="21"/>
                <w:highlight w:val="none"/>
              </w:rPr>
            </w:pPr>
          </w:p>
        </w:tc>
        <w:tc>
          <w:tcPr>
            <w:tcW w:w="1176" w:type="dxa"/>
            <w:vAlign w:val="center"/>
          </w:tcPr>
          <w:p w14:paraId="3D2CBABC">
            <w:pPr>
              <w:rPr>
                <w:rFonts w:ascii="宋体" w:hAnsi="宋体"/>
                <w:b/>
                <w:bCs/>
                <w:color w:val="auto"/>
                <w:spacing w:val="30"/>
                <w:szCs w:val="21"/>
                <w:highlight w:val="none"/>
              </w:rPr>
            </w:pPr>
          </w:p>
        </w:tc>
        <w:tc>
          <w:tcPr>
            <w:tcW w:w="1176" w:type="dxa"/>
            <w:vAlign w:val="center"/>
          </w:tcPr>
          <w:p w14:paraId="1C00550B">
            <w:pPr>
              <w:rPr>
                <w:rFonts w:ascii="宋体" w:hAnsi="宋体"/>
                <w:b/>
                <w:bCs/>
                <w:color w:val="auto"/>
                <w:spacing w:val="30"/>
                <w:szCs w:val="21"/>
                <w:highlight w:val="none"/>
              </w:rPr>
            </w:pPr>
          </w:p>
        </w:tc>
        <w:tc>
          <w:tcPr>
            <w:tcW w:w="1176" w:type="dxa"/>
            <w:vAlign w:val="center"/>
          </w:tcPr>
          <w:p w14:paraId="572A6FE4">
            <w:pPr>
              <w:rPr>
                <w:rFonts w:ascii="宋体" w:hAnsi="宋体"/>
                <w:b/>
                <w:bCs/>
                <w:color w:val="auto"/>
                <w:spacing w:val="30"/>
                <w:szCs w:val="21"/>
                <w:highlight w:val="none"/>
              </w:rPr>
            </w:pPr>
          </w:p>
        </w:tc>
        <w:tc>
          <w:tcPr>
            <w:tcW w:w="1176" w:type="dxa"/>
            <w:vAlign w:val="center"/>
          </w:tcPr>
          <w:p w14:paraId="64B89C23">
            <w:pPr>
              <w:rPr>
                <w:rFonts w:ascii="宋体" w:hAnsi="宋体"/>
                <w:b/>
                <w:bCs/>
                <w:color w:val="auto"/>
                <w:spacing w:val="30"/>
                <w:szCs w:val="21"/>
                <w:highlight w:val="none"/>
              </w:rPr>
            </w:pPr>
          </w:p>
        </w:tc>
        <w:tc>
          <w:tcPr>
            <w:tcW w:w="1176" w:type="dxa"/>
            <w:vAlign w:val="center"/>
          </w:tcPr>
          <w:p w14:paraId="48E744AF">
            <w:pPr>
              <w:rPr>
                <w:rFonts w:ascii="宋体" w:hAnsi="宋体"/>
                <w:b/>
                <w:bCs/>
                <w:color w:val="auto"/>
                <w:spacing w:val="30"/>
                <w:szCs w:val="21"/>
                <w:highlight w:val="none"/>
              </w:rPr>
            </w:pPr>
          </w:p>
        </w:tc>
        <w:tc>
          <w:tcPr>
            <w:tcW w:w="1176" w:type="dxa"/>
            <w:vAlign w:val="center"/>
          </w:tcPr>
          <w:p w14:paraId="149FA5FF">
            <w:pPr>
              <w:rPr>
                <w:rFonts w:ascii="宋体" w:hAnsi="宋体"/>
                <w:b/>
                <w:bCs/>
                <w:color w:val="auto"/>
                <w:spacing w:val="30"/>
                <w:szCs w:val="21"/>
                <w:highlight w:val="none"/>
              </w:rPr>
            </w:pPr>
          </w:p>
        </w:tc>
        <w:tc>
          <w:tcPr>
            <w:tcW w:w="1177" w:type="dxa"/>
            <w:vAlign w:val="center"/>
          </w:tcPr>
          <w:p w14:paraId="09D3AFDB">
            <w:pPr>
              <w:rPr>
                <w:rFonts w:ascii="宋体" w:hAnsi="宋体"/>
                <w:b/>
                <w:bCs/>
                <w:color w:val="auto"/>
                <w:spacing w:val="30"/>
                <w:szCs w:val="21"/>
                <w:highlight w:val="none"/>
              </w:rPr>
            </w:pPr>
          </w:p>
        </w:tc>
        <w:tc>
          <w:tcPr>
            <w:tcW w:w="1172" w:type="dxa"/>
            <w:vAlign w:val="center"/>
          </w:tcPr>
          <w:p w14:paraId="67DC76A8">
            <w:pPr>
              <w:rPr>
                <w:rFonts w:ascii="宋体" w:hAnsi="宋体"/>
                <w:b/>
                <w:bCs/>
                <w:color w:val="auto"/>
                <w:spacing w:val="30"/>
                <w:szCs w:val="21"/>
                <w:highlight w:val="none"/>
              </w:rPr>
            </w:pPr>
          </w:p>
        </w:tc>
      </w:tr>
      <w:tr w14:paraId="1E534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jc w:val="center"/>
        </w:trPr>
        <w:tc>
          <w:tcPr>
            <w:tcW w:w="13549" w:type="dxa"/>
            <w:gridSpan w:val="10"/>
            <w:vAlign w:val="top"/>
          </w:tcPr>
          <w:p w14:paraId="7FD53B9A">
            <w:pPr>
              <w:spacing w:line="360" w:lineRule="auto"/>
              <w:rPr>
                <w:rFonts w:ascii="黑体" w:hAnsi="Verdana" w:eastAsia="黑体"/>
                <w:color w:val="auto"/>
                <w:szCs w:val="21"/>
                <w:highlight w:val="none"/>
              </w:rPr>
            </w:pPr>
            <w:r>
              <w:rPr>
                <w:rFonts w:hint="eastAsia" w:ascii="黑体" w:hAnsi="Verdana" w:eastAsia="黑体"/>
                <w:color w:val="auto"/>
                <w:szCs w:val="21"/>
                <w:highlight w:val="none"/>
              </w:rPr>
              <w:t>评标委员会签名：</w:t>
            </w:r>
          </w:p>
          <w:p w14:paraId="6F721AD0">
            <w:pPr>
              <w:rPr>
                <w:rFonts w:ascii="黑体" w:hAnsi="Verdana" w:eastAsia="黑体"/>
                <w:color w:val="auto"/>
                <w:szCs w:val="21"/>
                <w:highlight w:val="none"/>
              </w:rPr>
            </w:pPr>
            <w:r>
              <w:rPr>
                <w:rFonts w:hint="eastAsia" w:ascii="黑体" w:hAnsi="Verdana" w:eastAsia="黑体"/>
                <w:color w:val="auto"/>
                <w:szCs w:val="21"/>
                <w:highlight w:val="none"/>
              </w:rPr>
              <w:t xml:space="preserve">      </w:t>
            </w:r>
          </w:p>
          <w:p w14:paraId="7DC0CA66">
            <w:pPr>
              <w:rPr>
                <w:rFonts w:ascii="黑体" w:hAnsi="Verdana" w:eastAsia="黑体"/>
                <w:color w:val="auto"/>
                <w:szCs w:val="21"/>
                <w:highlight w:val="none"/>
              </w:rPr>
            </w:pPr>
          </w:p>
          <w:p w14:paraId="64DC1416">
            <w:pPr>
              <w:jc w:val="right"/>
              <w:rPr>
                <w:rFonts w:ascii="宋体" w:hAnsi="宋体"/>
                <w:b/>
                <w:bCs/>
                <w:color w:val="auto"/>
                <w:spacing w:val="30"/>
                <w:szCs w:val="21"/>
                <w:highlight w:val="none"/>
              </w:rPr>
            </w:pPr>
            <w:r>
              <w:rPr>
                <w:rFonts w:hint="eastAsia" w:ascii="黑体" w:hAnsi="Verdana" w:eastAsia="黑体"/>
                <w:color w:val="auto"/>
                <w:szCs w:val="21"/>
                <w:highlight w:val="none"/>
              </w:rPr>
              <w:t>日期：     年   月  日</w:t>
            </w:r>
          </w:p>
        </w:tc>
      </w:tr>
    </w:tbl>
    <w:p w14:paraId="5E0661C2">
      <w:pPr>
        <w:jc w:val="right"/>
        <w:rPr>
          <w:rFonts w:ascii="黑体" w:eastAsia="黑体"/>
          <w:color w:val="auto"/>
          <w:szCs w:val="21"/>
          <w:highlight w:val="none"/>
        </w:rPr>
      </w:pPr>
    </w:p>
    <w:p w14:paraId="0DEB7515">
      <w:pPr>
        <w:rPr>
          <w:rFonts w:ascii="黑体" w:eastAsia="黑体"/>
          <w:color w:val="auto"/>
          <w:szCs w:val="21"/>
          <w:highlight w:val="none"/>
        </w:rPr>
      </w:pPr>
      <w:r>
        <w:rPr>
          <w:rFonts w:hint="eastAsia" w:ascii="黑体" w:eastAsia="黑体"/>
          <w:color w:val="auto"/>
          <w:szCs w:val="21"/>
          <w:highlight w:val="none"/>
        </w:rPr>
        <w:t>注：</w:t>
      </w:r>
    </w:p>
    <w:p w14:paraId="1A03AB7E">
      <w:pPr>
        <w:spacing w:line="360" w:lineRule="auto"/>
        <w:ind w:firstLine="420" w:firstLineChars="200"/>
        <w:jc w:val="left"/>
        <w:rPr>
          <w:rFonts w:ascii="黑体" w:eastAsia="黑体"/>
          <w:color w:val="auto"/>
          <w:szCs w:val="21"/>
          <w:highlight w:val="none"/>
        </w:rPr>
      </w:pPr>
      <w:r>
        <w:rPr>
          <w:rFonts w:hint="eastAsia" w:ascii="黑体" w:eastAsia="黑体"/>
          <w:color w:val="auto"/>
          <w:szCs w:val="21"/>
          <w:highlight w:val="none"/>
        </w:rPr>
        <w:t>1.采用定量评审时最终评定得分为去掉评委最高分、最低分后的算术平均值。</w:t>
      </w:r>
    </w:p>
    <w:p w14:paraId="1A94CCA1">
      <w:pPr>
        <w:spacing w:line="360" w:lineRule="auto"/>
        <w:ind w:firstLine="420" w:firstLineChars="200"/>
        <w:jc w:val="left"/>
        <w:rPr>
          <w:color w:val="auto"/>
          <w:sz w:val="84"/>
          <w:highlight w:val="none"/>
        </w:rPr>
      </w:pPr>
      <w:r>
        <w:rPr>
          <w:rFonts w:hint="eastAsia" w:ascii="黑体" w:eastAsia="黑体"/>
          <w:color w:val="auto"/>
          <w:szCs w:val="21"/>
          <w:highlight w:val="none"/>
        </w:rPr>
        <w:t>2.采用定性评审时超过半数的评委对某一投标单位的技术标判定不合格，则该投标人的技术标为不合格;若超过半数的评委对某一投标单位的技术标判定合格，则该投标单位的技术标为合格。</w:t>
      </w:r>
    </w:p>
    <w:p w14:paraId="3DB14D41">
      <w:pPr>
        <w:spacing w:line="360" w:lineRule="auto"/>
        <w:ind w:firstLine="482" w:firstLineChars="200"/>
        <w:rPr>
          <w:rFonts w:ascii="宋体" w:hAnsi="宋体"/>
          <w:b/>
          <w:color w:val="auto"/>
          <w:sz w:val="24"/>
          <w:highlight w:val="none"/>
        </w:rPr>
        <w:sectPr>
          <w:pgSz w:w="15840" w:h="12240" w:orient="landscape"/>
          <w:pgMar w:top="1797" w:right="1440" w:bottom="1797" w:left="1440" w:header="720" w:footer="720" w:gutter="0"/>
          <w:pgNumType w:fmt="decimal"/>
          <w:cols w:space="720" w:num="1"/>
        </w:sectPr>
      </w:pPr>
    </w:p>
    <w:p w14:paraId="12EEA3AC">
      <w:pPr>
        <w:spacing w:line="360" w:lineRule="auto"/>
        <w:ind w:firstLine="482" w:firstLineChars="200"/>
        <w:rPr>
          <w:rFonts w:ascii="宋体" w:hAnsi="宋体"/>
          <w:b/>
          <w:color w:val="auto"/>
          <w:sz w:val="24"/>
          <w:highlight w:val="none"/>
        </w:rPr>
      </w:pPr>
    </w:p>
    <w:p w14:paraId="295ED0D9">
      <w:pPr>
        <w:pStyle w:val="7"/>
        <w:ind w:firstLine="640"/>
        <w:jc w:val="center"/>
        <w:rPr>
          <w:rFonts w:ascii="黑体" w:hAnsi="黑体" w:eastAsia="黑体"/>
          <w:color w:val="auto"/>
          <w:sz w:val="32"/>
          <w:szCs w:val="32"/>
          <w:highlight w:val="none"/>
        </w:rPr>
      </w:pPr>
      <w:r>
        <w:rPr>
          <w:rFonts w:hint="eastAsia" w:ascii="黑体" w:hAnsi="黑体" w:eastAsia="黑体"/>
          <w:color w:val="auto"/>
          <w:sz w:val="32"/>
          <w:szCs w:val="32"/>
          <w:highlight w:val="none"/>
        </w:rPr>
        <w:t>（二）商务标评审细则</w:t>
      </w:r>
    </w:p>
    <w:p w14:paraId="09BD4511">
      <w:pPr>
        <w:spacing w:line="360" w:lineRule="auto"/>
        <w:ind w:firstLine="562" w:firstLineChars="200"/>
        <w:rPr>
          <w:rFonts w:ascii="仿宋" w:hAnsi="仿宋" w:eastAsia="仿宋" w:cs="宋体"/>
          <w:color w:val="auto"/>
          <w:kern w:val="0"/>
          <w:sz w:val="28"/>
          <w:szCs w:val="28"/>
          <w:highlight w:val="none"/>
        </w:rPr>
      </w:pPr>
      <w:r>
        <w:rPr>
          <w:rFonts w:hint="eastAsia" w:ascii="仿宋" w:hAnsi="仿宋" w:eastAsia="仿宋"/>
          <w:b/>
          <w:color w:val="auto"/>
          <w:sz w:val="28"/>
          <w:szCs w:val="28"/>
          <w:highlight w:val="none"/>
        </w:rPr>
        <w:t>1.商务标定量评审细则：</w:t>
      </w:r>
    </w:p>
    <w:p w14:paraId="2E6E4A8A">
      <w:pPr>
        <w:spacing w:line="360" w:lineRule="auto"/>
        <w:ind w:firstLine="560" w:firstLineChars="200"/>
        <w:rPr>
          <w:rFonts w:ascii="仿宋" w:hAnsi="仿宋" w:eastAsia="仿宋"/>
          <w:color w:val="auto"/>
          <w:sz w:val="28"/>
          <w:szCs w:val="28"/>
          <w:highlight w:val="none"/>
        </w:rPr>
      </w:pPr>
      <w:r>
        <w:rPr>
          <w:rFonts w:hint="eastAsia" w:ascii="仿宋" w:hAnsi="仿宋" w:eastAsia="仿宋" w:cs="宋体"/>
          <w:color w:val="auto"/>
          <w:kern w:val="0"/>
          <w:sz w:val="28"/>
          <w:szCs w:val="28"/>
          <w:highlight w:val="none"/>
        </w:rPr>
        <w:t>（1）将</w:t>
      </w:r>
      <w:r>
        <w:rPr>
          <w:rFonts w:hint="eastAsia" w:ascii="仿宋" w:hAnsi="仿宋" w:eastAsia="仿宋"/>
          <w:color w:val="auto"/>
          <w:sz w:val="28"/>
          <w:szCs w:val="28"/>
          <w:highlight w:val="none"/>
        </w:rPr>
        <w:t>通过初步评审的商务标报价按由低至高的顺序进行排序，去掉最低投标价以及最高投标价之后，再对剩余投标人的投标价取算术平均值，此算术平均值为评标基准值X</w:t>
      </w:r>
      <w:r>
        <w:rPr>
          <w:rFonts w:hint="eastAsia" w:ascii="仿宋" w:hAnsi="仿宋" w:eastAsia="仿宋"/>
          <w:color w:val="auto"/>
          <w:sz w:val="28"/>
          <w:szCs w:val="28"/>
          <w:highlight w:val="none"/>
          <w:vertAlign w:val="subscript"/>
        </w:rPr>
        <w:t>1</w:t>
      </w:r>
      <w:r>
        <w:rPr>
          <w:rFonts w:hint="eastAsia" w:ascii="仿宋" w:hAnsi="仿宋" w:eastAsia="仿宋"/>
          <w:color w:val="auto"/>
          <w:sz w:val="28"/>
          <w:szCs w:val="28"/>
          <w:highlight w:val="none"/>
        </w:rPr>
        <w:t>，并以X</w:t>
      </w:r>
      <w:r>
        <w:rPr>
          <w:rFonts w:hint="eastAsia" w:ascii="仿宋" w:hAnsi="仿宋" w:eastAsia="仿宋"/>
          <w:color w:val="auto"/>
          <w:sz w:val="28"/>
          <w:szCs w:val="28"/>
          <w:highlight w:val="none"/>
          <w:vertAlign w:val="subscript"/>
        </w:rPr>
        <w:t>1</w:t>
      </w:r>
      <w:r>
        <w:rPr>
          <w:rFonts w:hint="eastAsia" w:ascii="仿宋" w:hAnsi="仿宋" w:eastAsia="仿宋"/>
          <w:color w:val="auto"/>
          <w:sz w:val="28"/>
          <w:szCs w:val="28"/>
          <w:highlight w:val="none"/>
        </w:rPr>
        <w:t>作为评标基准价。</w:t>
      </w:r>
    </w:p>
    <w:p w14:paraId="0C132EF2">
      <w:pPr>
        <w:spacing w:line="360" w:lineRule="auto"/>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（2）投标报价等于评标基准价的得</w:t>
      </w:r>
      <w:r>
        <w:rPr>
          <w:rFonts w:hint="eastAsia" w:ascii="仿宋" w:hAnsi="仿宋" w:eastAsia="仿宋"/>
          <w:color w:val="auto"/>
          <w:sz w:val="28"/>
          <w:szCs w:val="28"/>
          <w:highlight w:val="none"/>
          <w:lang w:val="en-US" w:eastAsia="zh-CN"/>
        </w:rPr>
        <w:t>30</w:t>
      </w:r>
      <w:r>
        <w:rPr>
          <w:rFonts w:hint="eastAsia" w:ascii="仿宋" w:hAnsi="仿宋" w:eastAsia="仿宋"/>
          <w:color w:val="auto"/>
          <w:sz w:val="28"/>
          <w:szCs w:val="28"/>
          <w:highlight w:val="none"/>
        </w:rPr>
        <w:t>分；投标人投标报价（X</w:t>
      </w:r>
      <w:r>
        <w:rPr>
          <w:rFonts w:hint="eastAsia" w:ascii="仿宋" w:hAnsi="仿宋" w:eastAsia="仿宋"/>
          <w:color w:val="auto"/>
          <w:sz w:val="28"/>
          <w:szCs w:val="28"/>
          <w:highlight w:val="none"/>
          <w:vertAlign w:val="subscript"/>
        </w:rPr>
        <w:t>n</w:t>
      </w:r>
      <w:r>
        <w:rPr>
          <w:rFonts w:hint="eastAsia" w:ascii="仿宋" w:hAnsi="仿宋" w:eastAsia="仿宋"/>
          <w:color w:val="auto"/>
          <w:sz w:val="28"/>
          <w:szCs w:val="28"/>
          <w:highlight w:val="none"/>
        </w:rPr>
        <w:t>）每大于评标基准价1个百分点扣2分（不足1%的部分按1%计，下同）；投标人投标报价（Xn）每小于评标基准价1个百分点扣1分。</w:t>
      </w:r>
    </w:p>
    <w:p w14:paraId="5999DA84">
      <w:pPr>
        <w:spacing w:line="360" w:lineRule="auto"/>
        <w:ind w:firstLine="570"/>
        <w:rPr>
          <w:rFonts w:ascii="仿宋" w:hAnsi="仿宋" w:eastAsia="仿宋"/>
          <w:color w:val="auto"/>
          <w:sz w:val="28"/>
          <w:szCs w:val="28"/>
          <w:highlight w:val="none"/>
        </w:rPr>
      </w:pPr>
      <w:r>
        <w:rPr>
          <w:rFonts w:hint="eastAsia" w:ascii="仿宋" w:hAnsi="仿宋" w:eastAsia="仿宋"/>
          <w:color w:val="auto"/>
          <w:sz w:val="28"/>
          <w:szCs w:val="28"/>
          <w:highlight w:val="none"/>
        </w:rPr>
        <w:t>（3）设投标人的投标报价为Xn，得分S计算方法如下：</w:t>
      </w:r>
    </w:p>
    <w:p w14:paraId="626F28F4">
      <w:pPr>
        <w:spacing w:line="360" w:lineRule="auto"/>
        <w:ind w:firstLine="560" w:firstLineChars="200"/>
        <w:rPr>
          <w:rFonts w:ascii="仿宋" w:hAnsi="仿宋" w:eastAsia="仿宋" w:cs="Arial"/>
          <w:color w:val="auto"/>
          <w:kern w:val="0"/>
          <w:sz w:val="28"/>
          <w:szCs w:val="28"/>
          <w:highlight w:val="none"/>
        </w:rPr>
      </w:pPr>
      <w:r>
        <w:rPr>
          <w:rFonts w:hint="eastAsia" w:ascii="仿宋" w:hAnsi="仿宋" w:eastAsia="仿宋"/>
          <w:color w:val="auto"/>
          <w:sz w:val="28"/>
          <w:szCs w:val="28"/>
          <w:highlight w:val="none"/>
        </w:rPr>
        <w:t>S=</w:t>
      </w:r>
      <w:r>
        <w:rPr>
          <w:rFonts w:hint="eastAsia" w:ascii="仿宋" w:hAnsi="仿宋" w:eastAsia="仿宋"/>
          <w:color w:val="auto"/>
          <w:sz w:val="28"/>
          <w:szCs w:val="28"/>
          <w:highlight w:val="none"/>
          <w:lang w:val="en-US" w:eastAsia="zh-CN"/>
        </w:rPr>
        <w:t>30</w:t>
      </w:r>
      <w:r>
        <w:rPr>
          <w:rFonts w:hint="eastAsia" w:ascii="仿宋" w:hAnsi="仿宋" w:eastAsia="仿宋"/>
          <w:color w:val="auto"/>
          <w:sz w:val="28"/>
          <w:szCs w:val="28"/>
          <w:highlight w:val="none"/>
        </w:rPr>
        <w:t>-</w:t>
      </w:r>
      <w:r>
        <w:rPr>
          <w:rFonts w:hint="eastAsia" w:ascii="仿宋" w:hAnsi="仿宋" w:eastAsia="仿宋" w:cs="Arial"/>
          <w:color w:val="auto"/>
          <w:kern w:val="0"/>
          <w:sz w:val="28"/>
          <w:szCs w:val="28"/>
          <w:highlight w:val="none"/>
        </w:rPr>
        <w:t>│</w:t>
      </w:r>
      <w:r>
        <w:rPr>
          <w:rFonts w:hint="eastAsia" w:ascii="仿宋" w:hAnsi="仿宋" w:eastAsia="仿宋"/>
          <w:color w:val="auto"/>
          <w:sz w:val="28"/>
          <w:szCs w:val="28"/>
          <w:highlight w:val="none"/>
        </w:rPr>
        <w:t>X</w:t>
      </w:r>
      <w:r>
        <w:rPr>
          <w:rFonts w:hint="eastAsia" w:ascii="仿宋" w:hAnsi="仿宋" w:eastAsia="仿宋"/>
          <w:color w:val="auto"/>
          <w:sz w:val="28"/>
          <w:szCs w:val="28"/>
          <w:highlight w:val="none"/>
          <w:vertAlign w:val="subscript"/>
        </w:rPr>
        <w:t>n</w:t>
      </w:r>
      <w:r>
        <w:rPr>
          <w:rFonts w:hint="eastAsia" w:ascii="仿宋" w:hAnsi="仿宋" w:eastAsia="仿宋" w:cs="Arial"/>
          <w:color w:val="auto"/>
          <w:kern w:val="0"/>
          <w:sz w:val="28"/>
          <w:szCs w:val="28"/>
          <w:highlight w:val="none"/>
        </w:rPr>
        <w:t xml:space="preserve"> </w:t>
      </w:r>
      <w:r>
        <w:rPr>
          <w:rFonts w:ascii="仿宋" w:hAnsi="仿宋" w:eastAsia="仿宋" w:cs="Arial"/>
          <w:color w:val="auto"/>
          <w:kern w:val="0"/>
          <w:sz w:val="28"/>
          <w:szCs w:val="28"/>
          <w:highlight w:val="none"/>
        </w:rPr>
        <w:t>–</w:t>
      </w:r>
      <w:r>
        <w:rPr>
          <w:rFonts w:hint="eastAsia" w:ascii="仿宋" w:hAnsi="仿宋" w:eastAsia="仿宋"/>
          <w:color w:val="auto"/>
          <w:sz w:val="28"/>
          <w:szCs w:val="28"/>
          <w:highlight w:val="none"/>
        </w:rPr>
        <w:t xml:space="preserve"> X</w:t>
      </w:r>
      <w:r>
        <w:rPr>
          <w:rFonts w:hint="eastAsia" w:ascii="仿宋" w:hAnsi="仿宋" w:eastAsia="仿宋"/>
          <w:color w:val="auto"/>
          <w:sz w:val="28"/>
          <w:szCs w:val="28"/>
          <w:highlight w:val="none"/>
          <w:vertAlign w:val="subscript"/>
        </w:rPr>
        <w:t>1</w:t>
      </w:r>
      <w:r>
        <w:rPr>
          <w:rFonts w:hint="eastAsia" w:ascii="仿宋" w:hAnsi="仿宋" w:eastAsia="仿宋" w:cs="Arial"/>
          <w:color w:val="auto"/>
          <w:kern w:val="0"/>
          <w:sz w:val="28"/>
          <w:szCs w:val="28"/>
          <w:highlight w:val="none"/>
        </w:rPr>
        <w:t>│÷</w:t>
      </w:r>
      <w:r>
        <w:rPr>
          <w:rFonts w:hint="eastAsia" w:ascii="仿宋" w:hAnsi="仿宋" w:eastAsia="仿宋"/>
          <w:color w:val="auto"/>
          <w:sz w:val="28"/>
          <w:szCs w:val="28"/>
          <w:highlight w:val="none"/>
        </w:rPr>
        <w:t>X</w:t>
      </w:r>
      <w:r>
        <w:rPr>
          <w:rFonts w:hint="eastAsia" w:ascii="仿宋" w:hAnsi="仿宋" w:eastAsia="仿宋"/>
          <w:color w:val="auto"/>
          <w:sz w:val="28"/>
          <w:szCs w:val="28"/>
          <w:highlight w:val="none"/>
          <w:vertAlign w:val="subscript"/>
        </w:rPr>
        <w:t>1</w:t>
      </w:r>
      <w:r>
        <w:rPr>
          <w:rFonts w:hint="eastAsia" w:ascii="仿宋" w:hAnsi="仿宋" w:eastAsia="仿宋" w:cs="Arial"/>
          <w:color w:val="auto"/>
          <w:kern w:val="0"/>
          <w:sz w:val="28"/>
          <w:szCs w:val="28"/>
          <w:highlight w:val="none"/>
        </w:rPr>
        <w:t>×100×2（或1）</w:t>
      </w:r>
    </w:p>
    <w:p w14:paraId="3F148FA3">
      <w:pPr>
        <w:spacing w:line="360" w:lineRule="auto"/>
        <w:ind w:firstLine="560" w:firstLineChars="200"/>
        <w:rPr>
          <w:rFonts w:hint="eastAsia" w:ascii="仿宋" w:hAnsi="仿宋" w:eastAsia="仿宋" w:cs="宋体"/>
          <w:b/>
          <w:color w:val="auto"/>
          <w:kern w:val="0"/>
          <w:sz w:val="28"/>
          <w:szCs w:val="28"/>
          <w:highlight w:val="none"/>
        </w:rPr>
      </w:pPr>
      <w:r>
        <w:rPr>
          <w:rFonts w:hint="eastAsia" w:ascii="仿宋" w:hAnsi="仿宋" w:eastAsia="仿宋" w:cs="宋体"/>
          <w:color w:val="auto"/>
          <w:kern w:val="0"/>
          <w:sz w:val="28"/>
          <w:szCs w:val="28"/>
          <w:highlight w:val="none"/>
        </w:rPr>
        <w:t>注：当价格分＜0时，取0。得分精确到小数点后二位。</w:t>
      </w:r>
    </w:p>
    <w:p w14:paraId="4ACBBB9A">
      <w:pPr>
        <w:spacing w:line="360" w:lineRule="auto"/>
        <w:ind w:firstLine="560" w:firstLineChars="200"/>
        <w:jc w:val="center"/>
        <w:rPr>
          <w:rFonts w:ascii="黑体" w:hAnsi="黑体" w:eastAsia="黑体"/>
          <w:color w:val="auto"/>
          <w:sz w:val="30"/>
          <w:szCs w:val="30"/>
          <w:highlight w:val="none"/>
        </w:rPr>
      </w:pPr>
      <w:r>
        <w:rPr>
          <w:rFonts w:ascii="仿宋" w:hAnsi="仿宋" w:eastAsia="仿宋" w:cs="宋体"/>
          <w:color w:val="auto"/>
          <w:kern w:val="0"/>
          <w:sz w:val="28"/>
          <w:szCs w:val="28"/>
          <w:highlight w:val="none"/>
        </w:rPr>
        <w:br w:type="page"/>
      </w:r>
      <w:r>
        <w:rPr>
          <w:rFonts w:hint="eastAsia" w:ascii="黑体" w:hAnsi="黑体" w:eastAsia="黑体"/>
          <w:color w:val="auto"/>
          <w:sz w:val="30"/>
          <w:szCs w:val="30"/>
          <w:highlight w:val="none"/>
        </w:rPr>
        <w:t>商务标评分表</w:t>
      </w:r>
    </w:p>
    <w:tbl>
      <w:tblPr>
        <w:tblStyle w:val="35"/>
        <w:tblW w:w="89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80"/>
        <w:gridCol w:w="2240"/>
        <w:gridCol w:w="2605"/>
        <w:gridCol w:w="3335"/>
      </w:tblGrid>
      <w:tr w14:paraId="0300F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8960" w:type="dxa"/>
            <w:gridSpan w:val="4"/>
            <w:tcBorders>
              <w:top w:val="single" w:color="auto" w:sz="4" w:space="0"/>
              <w:left w:val="single" w:color="auto" w:sz="4" w:space="0"/>
              <w:bottom w:val="single" w:color="auto" w:sz="4" w:space="0"/>
              <w:right w:val="single" w:color="auto" w:sz="4" w:space="0"/>
            </w:tcBorders>
            <w:vAlign w:val="center"/>
          </w:tcPr>
          <w:p w14:paraId="0879498F">
            <w:pPr>
              <w:jc w:val="left"/>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lang w:eastAsia="zh-CN"/>
              </w:rPr>
              <w:t>项目</w:t>
            </w:r>
            <w:r>
              <w:rPr>
                <w:rFonts w:hint="eastAsia" w:ascii="黑体" w:hAnsi="黑体" w:eastAsia="黑体" w:cs="宋体"/>
                <w:color w:val="auto"/>
                <w:kern w:val="0"/>
                <w:sz w:val="24"/>
                <w:szCs w:val="24"/>
                <w:highlight w:val="none"/>
              </w:rPr>
              <w:t>名称：</w:t>
            </w:r>
            <w:r>
              <w:rPr>
                <w:rFonts w:hint="eastAsia" w:ascii="仿宋" w:hAnsi="仿宋" w:eastAsia="仿宋"/>
                <w:b/>
                <w:color w:val="auto"/>
                <w:sz w:val="24"/>
                <w:szCs w:val="24"/>
                <w:highlight w:val="none"/>
                <w:lang w:val="en-US" w:eastAsia="zh-CN"/>
              </w:rPr>
              <w:t>重庆</w:t>
            </w:r>
            <w:r>
              <w:rPr>
                <w:rFonts w:hint="eastAsia" w:ascii="仿宋" w:hAnsi="仿宋" w:eastAsia="仿宋"/>
                <w:b/>
                <w:color w:val="auto"/>
                <w:sz w:val="24"/>
                <w:szCs w:val="24"/>
                <w:highlight w:val="none"/>
                <w:lang w:eastAsia="zh-CN"/>
              </w:rPr>
              <w:t>华南城2026年度</w:t>
            </w:r>
            <w:r>
              <w:rPr>
                <w:rFonts w:hint="eastAsia" w:ascii="仿宋" w:hAnsi="仿宋" w:eastAsia="仿宋"/>
                <w:b/>
                <w:color w:val="auto"/>
                <w:sz w:val="24"/>
                <w:szCs w:val="24"/>
                <w:highlight w:val="none"/>
                <w:lang w:val="en-US" w:eastAsia="zh-CN"/>
              </w:rPr>
              <w:t>绿化养护</w:t>
            </w:r>
            <w:r>
              <w:rPr>
                <w:rFonts w:hint="eastAsia" w:ascii="仿宋" w:hAnsi="仿宋" w:eastAsia="仿宋"/>
                <w:b/>
                <w:color w:val="auto"/>
                <w:sz w:val="24"/>
                <w:szCs w:val="24"/>
                <w:highlight w:val="none"/>
                <w:lang w:eastAsia="zh-CN"/>
              </w:rPr>
              <w:t>外包服务</w:t>
            </w:r>
          </w:p>
        </w:tc>
      </w:tr>
      <w:tr w14:paraId="398CA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5625" w:type="dxa"/>
            <w:gridSpan w:val="3"/>
            <w:tcBorders>
              <w:top w:val="single" w:color="auto" w:sz="4" w:space="0"/>
              <w:left w:val="single" w:color="auto" w:sz="4" w:space="0"/>
              <w:bottom w:val="single" w:color="auto" w:sz="4" w:space="0"/>
              <w:right w:val="single" w:color="auto" w:sz="4" w:space="0"/>
            </w:tcBorders>
            <w:vAlign w:val="center"/>
          </w:tcPr>
          <w:p w14:paraId="1150DDE0">
            <w:pPr>
              <w:jc w:val="left"/>
              <w:rPr>
                <w:rFonts w:ascii="黑体" w:hAnsi="黑体" w:eastAsia="黑体" w:cs="宋体"/>
                <w:b/>
                <w:bCs/>
                <w:color w:val="auto"/>
                <w:kern w:val="0"/>
                <w:sz w:val="24"/>
                <w:szCs w:val="24"/>
                <w:highlight w:val="none"/>
              </w:rPr>
            </w:pPr>
            <w:r>
              <w:rPr>
                <w:rFonts w:hint="eastAsia" w:ascii="黑体" w:hAnsi="黑体" w:eastAsia="黑体" w:cs="宋体"/>
                <w:b/>
                <w:bCs/>
                <w:color w:val="auto"/>
                <w:kern w:val="0"/>
                <w:sz w:val="24"/>
                <w:szCs w:val="24"/>
                <w:highlight w:val="none"/>
              </w:rPr>
              <w:t>投标报价上限（元）：</w:t>
            </w:r>
          </w:p>
        </w:tc>
        <w:tc>
          <w:tcPr>
            <w:tcW w:w="3335" w:type="dxa"/>
            <w:tcBorders>
              <w:top w:val="single" w:color="auto" w:sz="4" w:space="0"/>
              <w:left w:val="nil"/>
              <w:bottom w:val="single" w:color="auto" w:sz="4" w:space="0"/>
              <w:right w:val="single" w:color="auto" w:sz="4" w:space="0"/>
            </w:tcBorders>
            <w:vAlign w:val="center"/>
          </w:tcPr>
          <w:p w14:paraId="447CB660">
            <w:pPr>
              <w:jc w:val="left"/>
              <w:rPr>
                <w:rFonts w:hint="eastAsia" w:ascii="黑体" w:hAnsi="黑体" w:eastAsia="黑体" w:cs="宋体"/>
                <w:b/>
                <w:bCs/>
                <w:color w:val="auto"/>
                <w:kern w:val="0"/>
                <w:sz w:val="24"/>
                <w:szCs w:val="24"/>
                <w:highlight w:val="none"/>
                <w:lang w:val="en-US" w:eastAsia="zh-CN"/>
              </w:rPr>
            </w:pPr>
            <w:r>
              <w:rPr>
                <w:rFonts w:hint="eastAsia" w:ascii="黑体" w:hAnsi="黑体" w:eastAsia="黑体" w:cs="宋体"/>
                <w:b/>
                <w:bCs/>
                <w:color w:val="auto"/>
                <w:kern w:val="0"/>
                <w:sz w:val="24"/>
                <w:szCs w:val="24"/>
                <w:highlight w:val="none"/>
              </w:rPr>
              <w:t>抽取下浮率：</w:t>
            </w:r>
            <w:r>
              <w:rPr>
                <w:rFonts w:hint="eastAsia" w:ascii="黑体" w:hAnsi="黑体" w:eastAsia="黑体" w:cs="宋体"/>
                <w:b/>
                <w:bCs/>
                <w:color w:val="auto"/>
                <w:kern w:val="0"/>
                <w:sz w:val="24"/>
                <w:szCs w:val="24"/>
                <w:highlight w:val="none"/>
                <w:lang w:val="en-US" w:eastAsia="zh-CN"/>
              </w:rPr>
              <w:t>/</w:t>
            </w:r>
          </w:p>
        </w:tc>
      </w:tr>
      <w:tr w14:paraId="095A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5625" w:type="dxa"/>
            <w:gridSpan w:val="3"/>
            <w:tcBorders>
              <w:top w:val="single" w:color="auto" w:sz="4" w:space="0"/>
              <w:left w:val="single" w:color="auto" w:sz="4" w:space="0"/>
              <w:bottom w:val="single" w:color="auto" w:sz="4" w:space="0"/>
              <w:right w:val="single" w:color="auto" w:sz="4" w:space="0"/>
            </w:tcBorders>
            <w:vAlign w:val="center"/>
          </w:tcPr>
          <w:p w14:paraId="3EC736B7">
            <w:pPr>
              <w:jc w:val="left"/>
              <w:rPr>
                <w:rFonts w:ascii="黑体" w:hAnsi="黑体" w:eastAsia="黑体" w:cs="宋体"/>
                <w:color w:val="auto"/>
                <w:kern w:val="0"/>
                <w:sz w:val="24"/>
                <w:szCs w:val="24"/>
                <w:highlight w:val="none"/>
              </w:rPr>
            </w:pPr>
            <w:r>
              <w:rPr>
                <w:rFonts w:hint="eastAsia" w:ascii="黑体" w:hAnsi="黑体" w:eastAsia="黑体" w:cs="宋体"/>
                <w:b/>
                <w:bCs/>
                <w:color w:val="auto"/>
                <w:kern w:val="0"/>
                <w:sz w:val="24"/>
                <w:szCs w:val="24"/>
                <w:highlight w:val="none"/>
              </w:rPr>
              <w:t>评标基准价计算规则</w:t>
            </w:r>
            <w:r>
              <w:rPr>
                <w:rFonts w:hint="eastAsia" w:ascii="黑体" w:hAnsi="黑体" w:eastAsia="黑体" w:cs="宋体"/>
                <w:color w:val="auto"/>
                <w:kern w:val="0"/>
                <w:sz w:val="24"/>
                <w:szCs w:val="24"/>
                <w:highlight w:val="none"/>
              </w:rPr>
              <w:t>：</w:t>
            </w:r>
            <w:r>
              <w:rPr>
                <w:rFonts w:hint="eastAsia" w:ascii="仿宋" w:hAnsi="仿宋" w:eastAsia="仿宋" w:cs="宋体"/>
                <w:color w:val="auto"/>
                <w:kern w:val="0"/>
                <w:szCs w:val="21"/>
                <w:highlight w:val="none"/>
              </w:rPr>
              <w:t>将通过初步评审的商务标报价按由低至高的顺序进行排序，去掉最低投标价以及最高投标价之后，再对剩余投标人的投标价取算术平均值，此算术平均值为评标基准值X1，并以X1作为评标基准价。</w:t>
            </w:r>
          </w:p>
        </w:tc>
        <w:tc>
          <w:tcPr>
            <w:tcW w:w="3335" w:type="dxa"/>
            <w:tcBorders>
              <w:top w:val="single" w:color="auto" w:sz="4" w:space="0"/>
              <w:left w:val="nil"/>
              <w:bottom w:val="single" w:color="auto" w:sz="4" w:space="0"/>
              <w:right w:val="single" w:color="auto" w:sz="4" w:space="0"/>
            </w:tcBorders>
            <w:vAlign w:val="center"/>
          </w:tcPr>
          <w:p w14:paraId="2625FD82">
            <w:pPr>
              <w:jc w:val="left"/>
              <w:rPr>
                <w:rFonts w:ascii="黑体" w:hAnsi="黑体" w:eastAsia="黑体" w:cs="宋体"/>
                <w:color w:val="auto"/>
                <w:kern w:val="0"/>
                <w:sz w:val="24"/>
                <w:szCs w:val="24"/>
                <w:highlight w:val="none"/>
              </w:rPr>
            </w:pPr>
            <w:r>
              <w:rPr>
                <w:rFonts w:hint="eastAsia" w:ascii="黑体" w:hAnsi="黑体" w:eastAsia="黑体" w:cs="宋体"/>
                <w:b/>
                <w:bCs/>
                <w:color w:val="auto"/>
                <w:kern w:val="0"/>
                <w:sz w:val="24"/>
                <w:szCs w:val="24"/>
                <w:highlight w:val="none"/>
              </w:rPr>
              <w:t>评标基准价X1（元）</w:t>
            </w:r>
            <w:r>
              <w:rPr>
                <w:rFonts w:hint="eastAsia" w:ascii="黑体" w:hAnsi="黑体" w:eastAsia="黑体" w:cs="宋体"/>
                <w:color w:val="auto"/>
                <w:kern w:val="0"/>
                <w:sz w:val="24"/>
                <w:szCs w:val="24"/>
                <w:highlight w:val="none"/>
              </w:rPr>
              <w:t>：</w:t>
            </w:r>
          </w:p>
        </w:tc>
      </w:tr>
      <w:tr w14:paraId="5E227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0" w:hRule="atLeast"/>
        </w:trPr>
        <w:tc>
          <w:tcPr>
            <w:tcW w:w="5625" w:type="dxa"/>
            <w:gridSpan w:val="3"/>
            <w:tcBorders>
              <w:top w:val="single" w:color="auto" w:sz="4" w:space="0"/>
              <w:left w:val="single" w:color="auto" w:sz="4" w:space="0"/>
              <w:bottom w:val="single" w:color="auto" w:sz="4" w:space="0"/>
              <w:right w:val="single" w:color="auto" w:sz="4" w:space="0"/>
            </w:tcBorders>
            <w:vAlign w:val="center"/>
          </w:tcPr>
          <w:p w14:paraId="0BDCE1D9">
            <w:pPr>
              <w:rPr>
                <w:rFonts w:ascii="黑体" w:hAnsi="黑体" w:eastAsia="黑体" w:cs="宋体"/>
                <w:color w:val="auto"/>
                <w:kern w:val="0"/>
                <w:sz w:val="24"/>
                <w:szCs w:val="24"/>
                <w:highlight w:val="none"/>
              </w:rPr>
            </w:pPr>
            <w:r>
              <w:rPr>
                <w:rFonts w:hint="eastAsia" w:ascii="黑体" w:hAnsi="黑体" w:eastAsia="黑体" w:cs="宋体"/>
                <w:b/>
                <w:bCs/>
                <w:color w:val="auto"/>
                <w:kern w:val="0"/>
                <w:sz w:val="24"/>
                <w:szCs w:val="24"/>
                <w:highlight w:val="none"/>
              </w:rPr>
              <w:t>投标报价评分规则：</w:t>
            </w:r>
            <w:r>
              <w:rPr>
                <w:rFonts w:hint="eastAsia" w:ascii="仿宋" w:hAnsi="仿宋" w:eastAsia="仿宋" w:cs="宋体"/>
                <w:color w:val="auto"/>
                <w:kern w:val="0"/>
                <w:szCs w:val="21"/>
                <w:highlight w:val="none"/>
              </w:rPr>
              <w:t>投标报价等于评标基准价的得</w:t>
            </w:r>
            <w:r>
              <w:rPr>
                <w:rFonts w:hint="eastAsia" w:ascii="仿宋" w:hAnsi="仿宋" w:eastAsia="仿宋" w:cs="宋体"/>
                <w:color w:val="auto"/>
                <w:kern w:val="0"/>
                <w:szCs w:val="21"/>
                <w:highlight w:val="none"/>
                <w:lang w:val="en-US" w:eastAsia="zh-CN"/>
              </w:rPr>
              <w:t>30</w:t>
            </w:r>
            <w:r>
              <w:rPr>
                <w:rFonts w:hint="eastAsia" w:ascii="仿宋" w:hAnsi="仿宋" w:eastAsia="仿宋" w:cs="宋体"/>
                <w:color w:val="auto"/>
                <w:kern w:val="0"/>
                <w:szCs w:val="21"/>
                <w:highlight w:val="none"/>
              </w:rPr>
              <w:t>分；投标人投标报价（Xn）每大于评标基准价1个百分点扣2分（不足1%的部分按1%计，下同）；投标人投标报价（Xn）每小于评标基准价1个百分点扣1分。</w:t>
            </w:r>
          </w:p>
        </w:tc>
        <w:tc>
          <w:tcPr>
            <w:tcW w:w="3335" w:type="dxa"/>
            <w:tcBorders>
              <w:top w:val="single" w:color="auto" w:sz="4" w:space="0"/>
              <w:left w:val="nil"/>
              <w:bottom w:val="single" w:color="auto" w:sz="4" w:space="0"/>
              <w:right w:val="single" w:color="auto" w:sz="4" w:space="0"/>
            </w:tcBorders>
            <w:vAlign w:val="center"/>
          </w:tcPr>
          <w:p w14:paraId="0495B878">
            <w:pPr>
              <w:jc w:val="left"/>
              <w:rPr>
                <w:rFonts w:hint="eastAsia" w:ascii="仿宋" w:hAnsi="仿宋" w:eastAsia="仿宋" w:cs="宋体"/>
                <w:color w:val="auto"/>
                <w:kern w:val="0"/>
                <w:szCs w:val="21"/>
                <w:highlight w:val="none"/>
              </w:rPr>
            </w:pPr>
            <w:r>
              <w:rPr>
                <w:rFonts w:hint="eastAsia" w:ascii="黑体" w:hAnsi="黑体" w:eastAsia="黑体" w:cs="宋体"/>
                <w:b/>
                <w:bCs/>
                <w:color w:val="auto"/>
                <w:kern w:val="0"/>
                <w:sz w:val="24"/>
                <w:szCs w:val="24"/>
                <w:highlight w:val="none"/>
              </w:rPr>
              <w:t>评分公式：</w:t>
            </w:r>
            <w:r>
              <w:rPr>
                <w:rFonts w:hint="eastAsia" w:ascii="仿宋" w:hAnsi="仿宋" w:eastAsia="仿宋" w:cs="宋体"/>
                <w:color w:val="auto"/>
                <w:kern w:val="0"/>
                <w:szCs w:val="21"/>
                <w:highlight w:val="none"/>
              </w:rPr>
              <w:t>S=</w:t>
            </w:r>
            <w:r>
              <w:rPr>
                <w:rFonts w:hint="eastAsia" w:ascii="仿宋" w:hAnsi="仿宋" w:eastAsia="仿宋" w:cs="宋体"/>
                <w:color w:val="auto"/>
                <w:kern w:val="0"/>
                <w:szCs w:val="21"/>
                <w:highlight w:val="none"/>
                <w:lang w:val="en-US" w:eastAsia="zh-CN"/>
              </w:rPr>
              <w:t>30</w:t>
            </w:r>
            <w:r>
              <w:rPr>
                <w:rFonts w:hint="eastAsia" w:ascii="仿宋" w:hAnsi="仿宋" w:eastAsia="仿宋" w:cs="宋体"/>
                <w:color w:val="auto"/>
                <w:kern w:val="0"/>
                <w:szCs w:val="21"/>
                <w:highlight w:val="none"/>
              </w:rPr>
              <w:t>-│Xn – X1│÷X1×100×2（或1）</w:t>
            </w:r>
          </w:p>
          <w:p w14:paraId="4FC8C848">
            <w:pPr>
              <w:jc w:val="left"/>
              <w:rPr>
                <w:rFonts w:ascii="黑体" w:hAnsi="黑体" w:eastAsia="黑体" w:cs="宋体"/>
                <w:color w:val="auto"/>
                <w:kern w:val="0"/>
                <w:sz w:val="24"/>
                <w:szCs w:val="24"/>
                <w:highlight w:val="none"/>
              </w:rPr>
            </w:pPr>
            <w:r>
              <w:rPr>
                <w:rFonts w:hint="eastAsia" w:ascii="仿宋" w:hAnsi="仿宋" w:eastAsia="仿宋"/>
                <w:color w:val="auto"/>
                <w:sz w:val="24"/>
                <w:szCs w:val="24"/>
                <w:highlight w:val="none"/>
              </w:rPr>
              <w:t>注：当价格分＜0时，取0。得分精确到小数点后二位。</w:t>
            </w:r>
          </w:p>
        </w:tc>
      </w:tr>
      <w:tr w14:paraId="2560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80" w:type="dxa"/>
            <w:tcBorders>
              <w:top w:val="nil"/>
              <w:left w:val="single" w:color="auto" w:sz="4" w:space="0"/>
              <w:bottom w:val="single" w:color="auto" w:sz="4" w:space="0"/>
              <w:right w:val="single" w:color="auto" w:sz="4" w:space="0"/>
            </w:tcBorders>
            <w:vAlign w:val="center"/>
          </w:tcPr>
          <w:p w14:paraId="26B15F6C">
            <w:pPr>
              <w:jc w:val="left"/>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序号</w:t>
            </w:r>
          </w:p>
        </w:tc>
        <w:tc>
          <w:tcPr>
            <w:tcW w:w="2240" w:type="dxa"/>
            <w:tcBorders>
              <w:top w:val="nil"/>
              <w:left w:val="nil"/>
              <w:bottom w:val="single" w:color="auto" w:sz="4" w:space="0"/>
              <w:right w:val="single" w:color="auto" w:sz="4" w:space="0"/>
            </w:tcBorders>
            <w:vAlign w:val="center"/>
          </w:tcPr>
          <w:p w14:paraId="0933A94A">
            <w:pPr>
              <w:jc w:val="center"/>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投标单位名称</w:t>
            </w:r>
          </w:p>
        </w:tc>
        <w:tc>
          <w:tcPr>
            <w:tcW w:w="2605" w:type="dxa"/>
            <w:tcBorders>
              <w:top w:val="nil"/>
              <w:left w:val="nil"/>
              <w:bottom w:val="single" w:color="auto" w:sz="4" w:space="0"/>
              <w:right w:val="single" w:color="auto" w:sz="4" w:space="0"/>
            </w:tcBorders>
            <w:vAlign w:val="center"/>
          </w:tcPr>
          <w:p w14:paraId="19F5C766">
            <w:pPr>
              <w:jc w:val="center"/>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投标报价（元）</w:t>
            </w:r>
          </w:p>
        </w:tc>
        <w:tc>
          <w:tcPr>
            <w:tcW w:w="3335" w:type="dxa"/>
            <w:tcBorders>
              <w:top w:val="nil"/>
              <w:left w:val="nil"/>
              <w:bottom w:val="single" w:color="auto" w:sz="4" w:space="0"/>
              <w:right w:val="single" w:color="auto" w:sz="4" w:space="0"/>
            </w:tcBorders>
            <w:vAlign w:val="center"/>
          </w:tcPr>
          <w:p w14:paraId="003E9DA2">
            <w:pPr>
              <w:jc w:val="center"/>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得分S</w:t>
            </w:r>
          </w:p>
        </w:tc>
      </w:tr>
      <w:tr w14:paraId="7428A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80" w:type="dxa"/>
            <w:tcBorders>
              <w:top w:val="nil"/>
              <w:left w:val="single" w:color="auto" w:sz="4" w:space="0"/>
              <w:bottom w:val="single" w:color="auto" w:sz="4" w:space="0"/>
              <w:right w:val="single" w:color="auto" w:sz="4" w:space="0"/>
            </w:tcBorders>
            <w:vAlign w:val="center"/>
          </w:tcPr>
          <w:p w14:paraId="71317CC8">
            <w:pPr>
              <w:jc w:val="left"/>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c>
          <w:tcPr>
            <w:tcW w:w="2240" w:type="dxa"/>
            <w:tcBorders>
              <w:top w:val="nil"/>
              <w:left w:val="nil"/>
              <w:bottom w:val="single" w:color="auto" w:sz="4" w:space="0"/>
              <w:right w:val="single" w:color="auto" w:sz="4" w:space="0"/>
            </w:tcBorders>
            <w:vAlign w:val="center"/>
          </w:tcPr>
          <w:p w14:paraId="5B0C31D2">
            <w:pPr>
              <w:jc w:val="center"/>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c>
          <w:tcPr>
            <w:tcW w:w="2605" w:type="dxa"/>
            <w:tcBorders>
              <w:top w:val="nil"/>
              <w:left w:val="nil"/>
              <w:bottom w:val="single" w:color="auto" w:sz="4" w:space="0"/>
              <w:right w:val="single" w:color="auto" w:sz="4" w:space="0"/>
            </w:tcBorders>
            <w:vAlign w:val="center"/>
          </w:tcPr>
          <w:p w14:paraId="0EB8ACCE">
            <w:pPr>
              <w:jc w:val="center"/>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c>
          <w:tcPr>
            <w:tcW w:w="3335" w:type="dxa"/>
            <w:tcBorders>
              <w:top w:val="nil"/>
              <w:left w:val="nil"/>
              <w:bottom w:val="single" w:color="auto" w:sz="4" w:space="0"/>
              <w:right w:val="single" w:color="auto" w:sz="4" w:space="0"/>
            </w:tcBorders>
            <w:vAlign w:val="center"/>
          </w:tcPr>
          <w:p w14:paraId="6FFF2A79">
            <w:pPr>
              <w:jc w:val="left"/>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r>
      <w:tr w14:paraId="07E40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80" w:type="dxa"/>
            <w:tcBorders>
              <w:top w:val="nil"/>
              <w:left w:val="single" w:color="auto" w:sz="4" w:space="0"/>
              <w:bottom w:val="single" w:color="auto" w:sz="4" w:space="0"/>
              <w:right w:val="single" w:color="auto" w:sz="4" w:space="0"/>
            </w:tcBorders>
            <w:vAlign w:val="center"/>
          </w:tcPr>
          <w:p w14:paraId="07EC9EA6">
            <w:pPr>
              <w:jc w:val="left"/>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c>
          <w:tcPr>
            <w:tcW w:w="2240" w:type="dxa"/>
            <w:tcBorders>
              <w:top w:val="nil"/>
              <w:left w:val="nil"/>
              <w:bottom w:val="single" w:color="auto" w:sz="4" w:space="0"/>
              <w:right w:val="single" w:color="auto" w:sz="4" w:space="0"/>
            </w:tcBorders>
            <w:vAlign w:val="center"/>
          </w:tcPr>
          <w:p w14:paraId="2C7A3FBA">
            <w:pPr>
              <w:jc w:val="center"/>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c>
          <w:tcPr>
            <w:tcW w:w="2605" w:type="dxa"/>
            <w:tcBorders>
              <w:top w:val="nil"/>
              <w:left w:val="nil"/>
              <w:bottom w:val="single" w:color="auto" w:sz="4" w:space="0"/>
              <w:right w:val="single" w:color="auto" w:sz="4" w:space="0"/>
            </w:tcBorders>
            <w:vAlign w:val="center"/>
          </w:tcPr>
          <w:p w14:paraId="3022F845">
            <w:pPr>
              <w:jc w:val="center"/>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c>
          <w:tcPr>
            <w:tcW w:w="3335" w:type="dxa"/>
            <w:tcBorders>
              <w:top w:val="nil"/>
              <w:left w:val="nil"/>
              <w:bottom w:val="single" w:color="auto" w:sz="4" w:space="0"/>
              <w:right w:val="single" w:color="auto" w:sz="4" w:space="0"/>
            </w:tcBorders>
            <w:vAlign w:val="center"/>
          </w:tcPr>
          <w:p w14:paraId="04923105">
            <w:pPr>
              <w:jc w:val="left"/>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r>
      <w:tr w14:paraId="62CA0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80" w:type="dxa"/>
            <w:tcBorders>
              <w:top w:val="nil"/>
              <w:left w:val="single" w:color="auto" w:sz="4" w:space="0"/>
              <w:bottom w:val="single" w:color="auto" w:sz="4" w:space="0"/>
              <w:right w:val="single" w:color="auto" w:sz="4" w:space="0"/>
            </w:tcBorders>
            <w:vAlign w:val="center"/>
          </w:tcPr>
          <w:p w14:paraId="0D8347A2">
            <w:pPr>
              <w:jc w:val="left"/>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c>
          <w:tcPr>
            <w:tcW w:w="2240" w:type="dxa"/>
            <w:tcBorders>
              <w:top w:val="nil"/>
              <w:left w:val="nil"/>
              <w:bottom w:val="single" w:color="auto" w:sz="4" w:space="0"/>
              <w:right w:val="single" w:color="auto" w:sz="4" w:space="0"/>
            </w:tcBorders>
            <w:vAlign w:val="center"/>
          </w:tcPr>
          <w:p w14:paraId="2BBCA981">
            <w:pPr>
              <w:jc w:val="center"/>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c>
          <w:tcPr>
            <w:tcW w:w="2605" w:type="dxa"/>
            <w:tcBorders>
              <w:top w:val="nil"/>
              <w:left w:val="nil"/>
              <w:bottom w:val="single" w:color="auto" w:sz="4" w:space="0"/>
              <w:right w:val="single" w:color="auto" w:sz="4" w:space="0"/>
            </w:tcBorders>
            <w:vAlign w:val="center"/>
          </w:tcPr>
          <w:p w14:paraId="1B507DA7">
            <w:pPr>
              <w:jc w:val="center"/>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c>
          <w:tcPr>
            <w:tcW w:w="3335" w:type="dxa"/>
            <w:tcBorders>
              <w:top w:val="nil"/>
              <w:left w:val="nil"/>
              <w:bottom w:val="single" w:color="auto" w:sz="4" w:space="0"/>
              <w:right w:val="single" w:color="auto" w:sz="4" w:space="0"/>
            </w:tcBorders>
            <w:vAlign w:val="center"/>
          </w:tcPr>
          <w:p w14:paraId="270083E5">
            <w:pPr>
              <w:jc w:val="left"/>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r>
      <w:tr w14:paraId="118DC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80" w:type="dxa"/>
            <w:tcBorders>
              <w:top w:val="nil"/>
              <w:left w:val="single" w:color="auto" w:sz="4" w:space="0"/>
              <w:bottom w:val="single" w:color="auto" w:sz="4" w:space="0"/>
              <w:right w:val="single" w:color="auto" w:sz="4" w:space="0"/>
            </w:tcBorders>
            <w:vAlign w:val="center"/>
          </w:tcPr>
          <w:p w14:paraId="2A56F12D">
            <w:pPr>
              <w:jc w:val="left"/>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c>
          <w:tcPr>
            <w:tcW w:w="2240" w:type="dxa"/>
            <w:tcBorders>
              <w:top w:val="nil"/>
              <w:left w:val="nil"/>
              <w:bottom w:val="single" w:color="auto" w:sz="4" w:space="0"/>
              <w:right w:val="single" w:color="auto" w:sz="4" w:space="0"/>
            </w:tcBorders>
            <w:vAlign w:val="center"/>
          </w:tcPr>
          <w:p w14:paraId="5AB94102">
            <w:pPr>
              <w:jc w:val="center"/>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c>
          <w:tcPr>
            <w:tcW w:w="2605" w:type="dxa"/>
            <w:tcBorders>
              <w:top w:val="nil"/>
              <w:left w:val="nil"/>
              <w:bottom w:val="single" w:color="auto" w:sz="4" w:space="0"/>
              <w:right w:val="single" w:color="auto" w:sz="4" w:space="0"/>
            </w:tcBorders>
            <w:vAlign w:val="center"/>
          </w:tcPr>
          <w:p w14:paraId="09701A37">
            <w:pPr>
              <w:jc w:val="center"/>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c>
          <w:tcPr>
            <w:tcW w:w="3335" w:type="dxa"/>
            <w:tcBorders>
              <w:top w:val="nil"/>
              <w:left w:val="nil"/>
              <w:bottom w:val="single" w:color="auto" w:sz="4" w:space="0"/>
              <w:right w:val="single" w:color="auto" w:sz="4" w:space="0"/>
            </w:tcBorders>
            <w:vAlign w:val="center"/>
          </w:tcPr>
          <w:p w14:paraId="24DA9AB8">
            <w:pPr>
              <w:jc w:val="left"/>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r>
      <w:tr w14:paraId="13B09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80" w:type="dxa"/>
            <w:tcBorders>
              <w:top w:val="nil"/>
              <w:left w:val="single" w:color="auto" w:sz="4" w:space="0"/>
              <w:bottom w:val="single" w:color="auto" w:sz="4" w:space="0"/>
              <w:right w:val="single" w:color="auto" w:sz="4" w:space="0"/>
            </w:tcBorders>
            <w:vAlign w:val="center"/>
          </w:tcPr>
          <w:p w14:paraId="46895830">
            <w:pPr>
              <w:jc w:val="left"/>
              <w:rPr>
                <w:rFonts w:ascii="黑体" w:hAnsi="黑体" w:eastAsia="黑体" w:cs="宋体"/>
                <w:color w:val="auto"/>
                <w:kern w:val="0"/>
                <w:sz w:val="24"/>
                <w:szCs w:val="24"/>
                <w:highlight w:val="none"/>
              </w:rPr>
            </w:pPr>
          </w:p>
        </w:tc>
        <w:tc>
          <w:tcPr>
            <w:tcW w:w="2240" w:type="dxa"/>
            <w:tcBorders>
              <w:top w:val="nil"/>
              <w:left w:val="nil"/>
              <w:bottom w:val="single" w:color="auto" w:sz="4" w:space="0"/>
              <w:right w:val="single" w:color="auto" w:sz="4" w:space="0"/>
            </w:tcBorders>
            <w:vAlign w:val="center"/>
          </w:tcPr>
          <w:p w14:paraId="6DFE3E5C">
            <w:pPr>
              <w:jc w:val="center"/>
              <w:rPr>
                <w:rFonts w:ascii="黑体" w:hAnsi="黑体" w:eastAsia="黑体" w:cs="宋体"/>
                <w:color w:val="auto"/>
                <w:kern w:val="0"/>
                <w:sz w:val="24"/>
                <w:szCs w:val="24"/>
                <w:highlight w:val="none"/>
              </w:rPr>
            </w:pPr>
          </w:p>
        </w:tc>
        <w:tc>
          <w:tcPr>
            <w:tcW w:w="2605" w:type="dxa"/>
            <w:tcBorders>
              <w:top w:val="nil"/>
              <w:left w:val="nil"/>
              <w:bottom w:val="single" w:color="auto" w:sz="4" w:space="0"/>
              <w:right w:val="single" w:color="auto" w:sz="4" w:space="0"/>
            </w:tcBorders>
            <w:vAlign w:val="center"/>
          </w:tcPr>
          <w:p w14:paraId="6EF0F7E6">
            <w:pPr>
              <w:jc w:val="center"/>
              <w:rPr>
                <w:rFonts w:ascii="黑体" w:hAnsi="黑体" w:eastAsia="黑体" w:cs="宋体"/>
                <w:color w:val="auto"/>
                <w:kern w:val="0"/>
                <w:sz w:val="24"/>
                <w:szCs w:val="24"/>
                <w:highlight w:val="none"/>
              </w:rPr>
            </w:pPr>
          </w:p>
        </w:tc>
        <w:tc>
          <w:tcPr>
            <w:tcW w:w="3335" w:type="dxa"/>
            <w:tcBorders>
              <w:top w:val="nil"/>
              <w:left w:val="nil"/>
              <w:bottom w:val="single" w:color="auto" w:sz="4" w:space="0"/>
              <w:right w:val="single" w:color="auto" w:sz="4" w:space="0"/>
            </w:tcBorders>
            <w:vAlign w:val="center"/>
          </w:tcPr>
          <w:p w14:paraId="3CB34838">
            <w:pPr>
              <w:jc w:val="center"/>
              <w:rPr>
                <w:rFonts w:ascii="黑体" w:hAnsi="黑体" w:eastAsia="黑体" w:cs="宋体"/>
                <w:color w:val="auto"/>
                <w:kern w:val="0"/>
                <w:sz w:val="24"/>
                <w:szCs w:val="24"/>
                <w:highlight w:val="none"/>
              </w:rPr>
            </w:pPr>
          </w:p>
        </w:tc>
      </w:tr>
      <w:tr w14:paraId="3BB81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80" w:type="dxa"/>
            <w:tcBorders>
              <w:top w:val="nil"/>
              <w:left w:val="single" w:color="auto" w:sz="4" w:space="0"/>
              <w:bottom w:val="single" w:color="auto" w:sz="4" w:space="0"/>
              <w:right w:val="single" w:color="auto" w:sz="4" w:space="0"/>
            </w:tcBorders>
            <w:vAlign w:val="center"/>
          </w:tcPr>
          <w:p w14:paraId="50363F9D">
            <w:pPr>
              <w:jc w:val="left"/>
              <w:rPr>
                <w:rFonts w:ascii="黑体" w:hAnsi="黑体" w:eastAsia="黑体" w:cs="宋体"/>
                <w:color w:val="auto"/>
                <w:kern w:val="0"/>
                <w:sz w:val="24"/>
                <w:szCs w:val="24"/>
                <w:highlight w:val="none"/>
              </w:rPr>
            </w:pPr>
          </w:p>
        </w:tc>
        <w:tc>
          <w:tcPr>
            <w:tcW w:w="2240" w:type="dxa"/>
            <w:tcBorders>
              <w:top w:val="nil"/>
              <w:left w:val="nil"/>
              <w:bottom w:val="single" w:color="auto" w:sz="4" w:space="0"/>
              <w:right w:val="single" w:color="auto" w:sz="4" w:space="0"/>
            </w:tcBorders>
            <w:vAlign w:val="center"/>
          </w:tcPr>
          <w:p w14:paraId="36D43C84">
            <w:pPr>
              <w:jc w:val="center"/>
              <w:rPr>
                <w:rFonts w:ascii="黑体" w:hAnsi="黑体" w:eastAsia="黑体" w:cs="宋体"/>
                <w:color w:val="auto"/>
                <w:kern w:val="0"/>
                <w:sz w:val="24"/>
                <w:szCs w:val="24"/>
                <w:highlight w:val="none"/>
              </w:rPr>
            </w:pPr>
          </w:p>
        </w:tc>
        <w:tc>
          <w:tcPr>
            <w:tcW w:w="2605" w:type="dxa"/>
            <w:tcBorders>
              <w:top w:val="nil"/>
              <w:left w:val="nil"/>
              <w:bottom w:val="single" w:color="auto" w:sz="4" w:space="0"/>
              <w:right w:val="single" w:color="auto" w:sz="4" w:space="0"/>
            </w:tcBorders>
            <w:vAlign w:val="center"/>
          </w:tcPr>
          <w:p w14:paraId="1B5E90B7">
            <w:pPr>
              <w:jc w:val="center"/>
              <w:rPr>
                <w:rFonts w:ascii="黑体" w:hAnsi="黑体" w:eastAsia="黑体" w:cs="宋体"/>
                <w:color w:val="auto"/>
                <w:kern w:val="0"/>
                <w:sz w:val="24"/>
                <w:szCs w:val="24"/>
                <w:highlight w:val="none"/>
              </w:rPr>
            </w:pPr>
          </w:p>
        </w:tc>
        <w:tc>
          <w:tcPr>
            <w:tcW w:w="3335" w:type="dxa"/>
            <w:tcBorders>
              <w:top w:val="single" w:color="auto" w:sz="4" w:space="0"/>
              <w:left w:val="nil"/>
              <w:bottom w:val="single" w:color="auto" w:sz="4" w:space="0"/>
              <w:right w:val="single" w:color="auto" w:sz="4" w:space="0"/>
            </w:tcBorders>
            <w:vAlign w:val="center"/>
          </w:tcPr>
          <w:p w14:paraId="28C09E3B">
            <w:pPr>
              <w:jc w:val="center"/>
              <w:rPr>
                <w:rFonts w:ascii="黑体" w:hAnsi="黑体" w:eastAsia="黑体" w:cs="宋体"/>
                <w:color w:val="auto"/>
                <w:kern w:val="0"/>
                <w:sz w:val="24"/>
                <w:szCs w:val="24"/>
                <w:highlight w:val="none"/>
              </w:rPr>
            </w:pPr>
          </w:p>
        </w:tc>
      </w:tr>
      <w:tr w14:paraId="5CB30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80" w:type="dxa"/>
            <w:tcBorders>
              <w:top w:val="nil"/>
              <w:left w:val="single" w:color="auto" w:sz="4" w:space="0"/>
              <w:bottom w:val="single" w:color="auto" w:sz="4" w:space="0"/>
              <w:right w:val="single" w:color="auto" w:sz="4" w:space="0"/>
            </w:tcBorders>
            <w:vAlign w:val="center"/>
          </w:tcPr>
          <w:p w14:paraId="71A45913">
            <w:pPr>
              <w:jc w:val="left"/>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c>
          <w:tcPr>
            <w:tcW w:w="2240" w:type="dxa"/>
            <w:tcBorders>
              <w:top w:val="nil"/>
              <w:left w:val="nil"/>
              <w:bottom w:val="single" w:color="auto" w:sz="4" w:space="0"/>
              <w:right w:val="single" w:color="auto" w:sz="4" w:space="0"/>
            </w:tcBorders>
            <w:vAlign w:val="center"/>
          </w:tcPr>
          <w:p w14:paraId="1E07643B">
            <w:pPr>
              <w:jc w:val="center"/>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c>
          <w:tcPr>
            <w:tcW w:w="2605" w:type="dxa"/>
            <w:tcBorders>
              <w:top w:val="nil"/>
              <w:left w:val="nil"/>
              <w:bottom w:val="single" w:color="auto" w:sz="4" w:space="0"/>
              <w:right w:val="single" w:color="auto" w:sz="4" w:space="0"/>
            </w:tcBorders>
            <w:vAlign w:val="center"/>
          </w:tcPr>
          <w:p w14:paraId="51F6F836">
            <w:pPr>
              <w:jc w:val="center"/>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c>
          <w:tcPr>
            <w:tcW w:w="3335" w:type="dxa"/>
            <w:tcBorders>
              <w:top w:val="nil"/>
              <w:left w:val="nil"/>
              <w:bottom w:val="single" w:color="auto" w:sz="4" w:space="0"/>
              <w:right w:val="single" w:color="auto" w:sz="4" w:space="0"/>
            </w:tcBorders>
            <w:vAlign w:val="center"/>
          </w:tcPr>
          <w:p w14:paraId="50470605">
            <w:pPr>
              <w:jc w:val="left"/>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r>
      <w:tr w14:paraId="574DD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80" w:type="dxa"/>
            <w:tcBorders>
              <w:top w:val="nil"/>
              <w:left w:val="single" w:color="auto" w:sz="4" w:space="0"/>
              <w:bottom w:val="single" w:color="auto" w:sz="4" w:space="0"/>
              <w:right w:val="single" w:color="auto" w:sz="4" w:space="0"/>
            </w:tcBorders>
            <w:vAlign w:val="center"/>
          </w:tcPr>
          <w:p w14:paraId="2C4D5978">
            <w:pPr>
              <w:jc w:val="left"/>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c>
          <w:tcPr>
            <w:tcW w:w="2240" w:type="dxa"/>
            <w:tcBorders>
              <w:top w:val="nil"/>
              <w:left w:val="nil"/>
              <w:bottom w:val="single" w:color="auto" w:sz="4" w:space="0"/>
              <w:right w:val="single" w:color="auto" w:sz="4" w:space="0"/>
            </w:tcBorders>
            <w:vAlign w:val="center"/>
          </w:tcPr>
          <w:p w14:paraId="3DCEB396">
            <w:pPr>
              <w:jc w:val="center"/>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c>
          <w:tcPr>
            <w:tcW w:w="2605" w:type="dxa"/>
            <w:tcBorders>
              <w:top w:val="nil"/>
              <w:left w:val="nil"/>
              <w:bottom w:val="single" w:color="auto" w:sz="4" w:space="0"/>
              <w:right w:val="single" w:color="auto" w:sz="4" w:space="0"/>
            </w:tcBorders>
            <w:vAlign w:val="center"/>
          </w:tcPr>
          <w:p w14:paraId="0716B030">
            <w:pPr>
              <w:jc w:val="center"/>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c>
          <w:tcPr>
            <w:tcW w:w="3335" w:type="dxa"/>
            <w:tcBorders>
              <w:top w:val="nil"/>
              <w:left w:val="nil"/>
              <w:bottom w:val="single" w:color="auto" w:sz="4" w:space="0"/>
              <w:right w:val="single" w:color="auto" w:sz="4" w:space="0"/>
            </w:tcBorders>
            <w:vAlign w:val="center"/>
          </w:tcPr>
          <w:p w14:paraId="718040CD">
            <w:pPr>
              <w:jc w:val="left"/>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r>
      <w:tr w14:paraId="6E379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80" w:type="dxa"/>
            <w:tcBorders>
              <w:top w:val="nil"/>
              <w:left w:val="single" w:color="auto" w:sz="4" w:space="0"/>
              <w:bottom w:val="single" w:color="auto" w:sz="4" w:space="0"/>
              <w:right w:val="single" w:color="auto" w:sz="4" w:space="0"/>
            </w:tcBorders>
            <w:vAlign w:val="center"/>
          </w:tcPr>
          <w:p w14:paraId="6196AEC4">
            <w:pPr>
              <w:jc w:val="left"/>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c>
          <w:tcPr>
            <w:tcW w:w="2240" w:type="dxa"/>
            <w:tcBorders>
              <w:top w:val="nil"/>
              <w:left w:val="nil"/>
              <w:bottom w:val="single" w:color="auto" w:sz="4" w:space="0"/>
              <w:right w:val="single" w:color="auto" w:sz="4" w:space="0"/>
            </w:tcBorders>
            <w:vAlign w:val="center"/>
          </w:tcPr>
          <w:p w14:paraId="59573508">
            <w:pPr>
              <w:jc w:val="center"/>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c>
          <w:tcPr>
            <w:tcW w:w="2605" w:type="dxa"/>
            <w:tcBorders>
              <w:top w:val="nil"/>
              <w:left w:val="nil"/>
              <w:bottom w:val="single" w:color="auto" w:sz="4" w:space="0"/>
              <w:right w:val="single" w:color="auto" w:sz="4" w:space="0"/>
            </w:tcBorders>
            <w:vAlign w:val="center"/>
          </w:tcPr>
          <w:p w14:paraId="3EF47E13">
            <w:pPr>
              <w:jc w:val="center"/>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c>
          <w:tcPr>
            <w:tcW w:w="3335" w:type="dxa"/>
            <w:tcBorders>
              <w:top w:val="nil"/>
              <w:left w:val="nil"/>
              <w:bottom w:val="single" w:color="auto" w:sz="4" w:space="0"/>
              <w:right w:val="single" w:color="auto" w:sz="4" w:space="0"/>
            </w:tcBorders>
            <w:vAlign w:val="center"/>
          </w:tcPr>
          <w:p w14:paraId="6167F0B5">
            <w:pPr>
              <w:jc w:val="left"/>
              <w:rPr>
                <w:rFonts w:ascii="黑体" w:hAnsi="黑体" w:eastAsia="黑体" w:cs="宋体"/>
                <w:color w:val="auto"/>
                <w:kern w:val="0"/>
                <w:sz w:val="24"/>
                <w:szCs w:val="24"/>
                <w:highlight w:val="none"/>
              </w:rPr>
            </w:pPr>
            <w:r>
              <w:rPr>
                <w:rFonts w:hint="eastAsia" w:ascii="黑体" w:hAnsi="黑体" w:eastAsia="黑体" w:cs="宋体"/>
                <w:color w:val="auto"/>
                <w:kern w:val="0"/>
                <w:sz w:val="24"/>
                <w:szCs w:val="24"/>
                <w:highlight w:val="none"/>
              </w:rPr>
              <w:t>　　</w:t>
            </w:r>
          </w:p>
        </w:tc>
      </w:tr>
      <w:tr w14:paraId="007BF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6" w:hRule="atLeast"/>
        </w:trPr>
        <w:tc>
          <w:tcPr>
            <w:tcW w:w="8960" w:type="dxa"/>
            <w:gridSpan w:val="4"/>
            <w:tcBorders>
              <w:top w:val="single" w:color="auto" w:sz="4" w:space="0"/>
              <w:left w:val="single" w:color="auto" w:sz="4" w:space="0"/>
              <w:bottom w:val="single" w:color="auto" w:sz="4" w:space="0"/>
              <w:right w:val="single" w:color="auto" w:sz="4" w:space="0"/>
            </w:tcBorders>
            <w:vAlign w:val="center"/>
          </w:tcPr>
          <w:p w14:paraId="12082862">
            <w:pPr>
              <w:spacing w:line="360" w:lineRule="auto"/>
              <w:rPr>
                <w:rFonts w:ascii="黑体" w:hAnsi="Verdana" w:eastAsia="黑体"/>
                <w:color w:val="auto"/>
                <w:szCs w:val="21"/>
                <w:highlight w:val="none"/>
              </w:rPr>
            </w:pPr>
            <w:r>
              <w:rPr>
                <w:rFonts w:hint="eastAsia" w:ascii="黑体" w:hAnsi="Verdana" w:eastAsia="黑体"/>
                <w:color w:val="auto"/>
                <w:szCs w:val="21"/>
                <w:highlight w:val="none"/>
              </w:rPr>
              <w:t>评标委员会签名：</w:t>
            </w:r>
          </w:p>
          <w:p w14:paraId="67EB30BA">
            <w:pPr>
              <w:rPr>
                <w:rFonts w:ascii="黑体" w:hAnsi="Verdana" w:eastAsia="黑体"/>
                <w:color w:val="auto"/>
                <w:szCs w:val="21"/>
                <w:highlight w:val="none"/>
              </w:rPr>
            </w:pPr>
            <w:r>
              <w:rPr>
                <w:rFonts w:hint="eastAsia" w:ascii="黑体" w:hAnsi="Verdana" w:eastAsia="黑体"/>
                <w:color w:val="auto"/>
                <w:szCs w:val="21"/>
                <w:highlight w:val="none"/>
              </w:rPr>
              <w:t xml:space="preserve">      </w:t>
            </w:r>
          </w:p>
          <w:p w14:paraId="216FA379">
            <w:pPr>
              <w:rPr>
                <w:rFonts w:ascii="黑体" w:hAnsi="Verdana" w:eastAsia="黑体"/>
                <w:color w:val="auto"/>
                <w:szCs w:val="21"/>
                <w:highlight w:val="none"/>
              </w:rPr>
            </w:pPr>
          </w:p>
          <w:p w14:paraId="152BF9DF">
            <w:pPr>
              <w:jc w:val="right"/>
              <w:rPr>
                <w:rFonts w:ascii="黑体" w:hAnsi="黑体" w:eastAsia="黑体" w:cs="宋体"/>
                <w:color w:val="auto"/>
                <w:kern w:val="0"/>
                <w:sz w:val="24"/>
                <w:szCs w:val="24"/>
                <w:highlight w:val="none"/>
              </w:rPr>
            </w:pPr>
            <w:r>
              <w:rPr>
                <w:rFonts w:hint="eastAsia" w:ascii="黑体" w:hAnsi="Verdana" w:eastAsia="黑体"/>
                <w:color w:val="auto"/>
                <w:szCs w:val="21"/>
                <w:highlight w:val="none"/>
              </w:rPr>
              <w:t>日期：     年   月  日</w:t>
            </w:r>
          </w:p>
        </w:tc>
      </w:tr>
    </w:tbl>
    <w:p w14:paraId="2A95E68F">
      <w:pPr>
        <w:rPr>
          <w:rFonts w:ascii="黑体" w:hAnsi="黑体" w:eastAsia="黑体"/>
          <w:b/>
          <w:bCs/>
          <w:color w:val="auto"/>
          <w:szCs w:val="21"/>
          <w:highlight w:val="none"/>
        </w:rPr>
      </w:pPr>
      <w:r>
        <w:rPr>
          <w:rFonts w:hint="eastAsia" w:ascii="黑体" w:hAnsi="黑体" w:eastAsia="黑体"/>
          <w:b/>
          <w:bCs/>
          <w:color w:val="auto"/>
          <w:szCs w:val="21"/>
          <w:highlight w:val="none"/>
        </w:rPr>
        <w:t>备注：</w:t>
      </w:r>
    </w:p>
    <w:p w14:paraId="62657B73">
      <w:pPr>
        <w:spacing w:line="360" w:lineRule="auto"/>
        <w:ind w:firstLine="560" w:firstLineChars="200"/>
        <w:rPr>
          <w:rFonts w:ascii="仿宋" w:hAnsi="仿宋" w:eastAsia="仿宋" w:cs="宋体"/>
          <w:color w:val="auto"/>
          <w:kern w:val="0"/>
          <w:sz w:val="28"/>
          <w:szCs w:val="28"/>
          <w:highlight w:val="none"/>
        </w:rPr>
      </w:pPr>
    </w:p>
    <w:p w14:paraId="4564F767">
      <w:pPr>
        <w:pStyle w:val="7"/>
        <w:ind w:firstLine="640"/>
        <w:jc w:val="center"/>
        <w:rPr>
          <w:rFonts w:ascii="黑体" w:hAnsi="黑体" w:eastAsia="黑体"/>
          <w:color w:val="auto"/>
          <w:sz w:val="32"/>
          <w:szCs w:val="32"/>
          <w:highlight w:val="none"/>
        </w:rPr>
      </w:pPr>
      <w:r>
        <w:rPr>
          <w:rFonts w:hint="eastAsia" w:ascii="黑体" w:hAnsi="黑体" w:eastAsia="黑体"/>
          <w:color w:val="auto"/>
          <w:sz w:val="32"/>
          <w:szCs w:val="32"/>
          <w:highlight w:val="none"/>
        </w:rPr>
        <w:t>（三）资信标评审表</w:t>
      </w:r>
    </w:p>
    <w:p w14:paraId="49A1AD7A">
      <w:pPr>
        <w:spacing w:line="360" w:lineRule="auto"/>
        <w:ind w:firstLine="600" w:firstLineChars="200"/>
        <w:jc w:val="center"/>
        <w:rPr>
          <w:rFonts w:ascii="黑体" w:hAnsi="黑体" w:eastAsia="黑体"/>
          <w:color w:val="auto"/>
          <w:sz w:val="30"/>
          <w:szCs w:val="30"/>
          <w:highlight w:val="none"/>
        </w:rPr>
      </w:pPr>
      <w:r>
        <w:rPr>
          <w:rFonts w:hint="eastAsia" w:ascii="黑体" w:hAnsi="黑体" w:eastAsia="黑体"/>
          <w:color w:val="auto"/>
          <w:sz w:val="30"/>
          <w:szCs w:val="30"/>
          <w:highlight w:val="none"/>
        </w:rPr>
        <w:t>1.资信标定量评审表</w:t>
      </w:r>
    </w:p>
    <w:p w14:paraId="14AC4B48">
      <w:pPr>
        <w:spacing w:line="360" w:lineRule="auto"/>
        <w:ind w:firstLine="482" w:firstLineChars="200"/>
        <w:jc w:val="left"/>
        <w:rPr>
          <w:rFonts w:ascii="华文细黑" w:hAnsi="华文细黑" w:eastAsia="黑体"/>
          <w:b/>
          <w:color w:val="auto"/>
          <w:sz w:val="36"/>
          <w:highlight w:val="none"/>
        </w:rPr>
      </w:pPr>
      <w:r>
        <w:rPr>
          <w:rFonts w:hint="eastAsia" w:ascii="仿宋" w:hAnsi="仿宋" w:eastAsia="仿宋"/>
          <w:b/>
          <w:color w:val="auto"/>
          <w:sz w:val="24"/>
          <w:szCs w:val="24"/>
          <w:highlight w:val="none"/>
          <w:lang w:eastAsia="zh-CN"/>
        </w:rPr>
        <w:t>项目</w:t>
      </w:r>
      <w:r>
        <w:rPr>
          <w:rFonts w:hint="eastAsia" w:ascii="仿宋" w:hAnsi="仿宋" w:eastAsia="仿宋"/>
          <w:b/>
          <w:color w:val="auto"/>
          <w:sz w:val="24"/>
          <w:szCs w:val="24"/>
          <w:highlight w:val="none"/>
        </w:rPr>
        <w:t>名称：</w:t>
      </w:r>
      <w:r>
        <w:rPr>
          <w:rFonts w:hint="eastAsia" w:ascii="仿宋" w:hAnsi="仿宋" w:eastAsia="仿宋"/>
          <w:b/>
          <w:color w:val="auto"/>
          <w:sz w:val="24"/>
          <w:szCs w:val="24"/>
          <w:highlight w:val="none"/>
          <w:lang w:val="en-US" w:eastAsia="zh-CN"/>
        </w:rPr>
        <w:t>重庆</w:t>
      </w:r>
      <w:r>
        <w:rPr>
          <w:rFonts w:hint="eastAsia" w:ascii="仿宋" w:hAnsi="仿宋" w:eastAsia="仿宋"/>
          <w:b/>
          <w:color w:val="auto"/>
          <w:sz w:val="24"/>
          <w:szCs w:val="24"/>
          <w:highlight w:val="none"/>
          <w:lang w:eastAsia="zh-CN"/>
        </w:rPr>
        <w:t>华南城2026年度</w:t>
      </w:r>
      <w:r>
        <w:rPr>
          <w:rFonts w:hint="eastAsia" w:ascii="仿宋" w:hAnsi="仿宋" w:eastAsia="仿宋"/>
          <w:b/>
          <w:color w:val="auto"/>
          <w:sz w:val="24"/>
          <w:szCs w:val="24"/>
          <w:highlight w:val="none"/>
          <w:lang w:val="en-US" w:eastAsia="zh-CN"/>
        </w:rPr>
        <w:t>绿化养护</w:t>
      </w:r>
      <w:r>
        <w:rPr>
          <w:rFonts w:hint="eastAsia" w:ascii="仿宋" w:hAnsi="仿宋" w:eastAsia="仿宋"/>
          <w:b/>
          <w:color w:val="auto"/>
          <w:sz w:val="24"/>
          <w:szCs w:val="24"/>
          <w:highlight w:val="none"/>
          <w:lang w:eastAsia="zh-CN"/>
        </w:rPr>
        <w:t>外包服务</w:t>
      </w:r>
    </w:p>
    <w:tbl>
      <w:tblPr>
        <w:tblStyle w:val="35"/>
        <w:tblW w:w="907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065"/>
        <w:gridCol w:w="3990"/>
        <w:gridCol w:w="1162"/>
        <w:gridCol w:w="1134"/>
        <w:gridCol w:w="1134"/>
      </w:tblGrid>
      <w:tr w14:paraId="73D26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588" w:type="dxa"/>
            <w:vMerge w:val="restart"/>
            <w:vAlign w:val="center"/>
          </w:tcPr>
          <w:p w14:paraId="67613570">
            <w:pPr>
              <w:jc w:val="center"/>
              <w:rPr>
                <w:rFonts w:ascii="黑体" w:hAnsi="黑体" w:eastAsia="黑体"/>
                <w:b/>
                <w:color w:val="auto"/>
                <w:sz w:val="24"/>
                <w:szCs w:val="24"/>
                <w:highlight w:val="none"/>
              </w:rPr>
            </w:pPr>
            <w:r>
              <w:rPr>
                <w:rFonts w:hint="eastAsia" w:ascii="黑体" w:hAnsi="黑体" w:eastAsia="黑体"/>
                <w:b/>
                <w:color w:val="auto"/>
                <w:sz w:val="24"/>
                <w:szCs w:val="24"/>
                <w:highlight w:val="none"/>
              </w:rPr>
              <w:t>序号</w:t>
            </w:r>
          </w:p>
        </w:tc>
        <w:tc>
          <w:tcPr>
            <w:tcW w:w="1065" w:type="dxa"/>
            <w:vMerge w:val="restart"/>
            <w:vAlign w:val="center"/>
          </w:tcPr>
          <w:p w14:paraId="5100FBC9">
            <w:pPr>
              <w:jc w:val="center"/>
              <w:rPr>
                <w:rFonts w:ascii="黑体" w:hAnsi="黑体" w:eastAsia="黑体"/>
                <w:b/>
                <w:color w:val="auto"/>
                <w:sz w:val="24"/>
                <w:szCs w:val="24"/>
                <w:highlight w:val="none"/>
              </w:rPr>
            </w:pPr>
            <w:r>
              <w:rPr>
                <w:rFonts w:hint="eastAsia" w:ascii="黑体" w:hAnsi="黑体" w:eastAsia="黑体"/>
                <w:b/>
                <w:color w:val="auto"/>
                <w:sz w:val="24"/>
                <w:szCs w:val="24"/>
                <w:highlight w:val="none"/>
              </w:rPr>
              <w:t>评 审 内 容 及 要 求</w:t>
            </w:r>
          </w:p>
        </w:tc>
        <w:tc>
          <w:tcPr>
            <w:tcW w:w="3990" w:type="dxa"/>
            <w:vMerge w:val="restart"/>
            <w:vAlign w:val="center"/>
          </w:tcPr>
          <w:p w14:paraId="68A5EBC2">
            <w:pPr>
              <w:jc w:val="center"/>
              <w:rPr>
                <w:rFonts w:ascii="黑体" w:hAnsi="黑体" w:eastAsia="黑体"/>
                <w:b/>
                <w:color w:val="auto"/>
                <w:sz w:val="24"/>
                <w:szCs w:val="24"/>
                <w:highlight w:val="none"/>
              </w:rPr>
            </w:pPr>
            <w:r>
              <w:rPr>
                <w:rFonts w:hint="eastAsia" w:ascii="黑体" w:hAnsi="黑体" w:eastAsia="黑体"/>
                <w:b/>
                <w:color w:val="auto"/>
                <w:sz w:val="24"/>
                <w:szCs w:val="24"/>
                <w:highlight w:val="none"/>
              </w:rPr>
              <w:t>分值范围</w:t>
            </w:r>
          </w:p>
        </w:tc>
        <w:tc>
          <w:tcPr>
            <w:tcW w:w="1162" w:type="dxa"/>
            <w:vAlign w:val="center"/>
          </w:tcPr>
          <w:p w14:paraId="3491CD48">
            <w:pPr>
              <w:jc w:val="center"/>
              <w:rPr>
                <w:rFonts w:ascii="黑体" w:hAnsi="黑体" w:eastAsia="黑体"/>
                <w:b/>
                <w:color w:val="auto"/>
                <w:sz w:val="24"/>
                <w:szCs w:val="24"/>
                <w:highlight w:val="none"/>
              </w:rPr>
            </w:pPr>
            <w:r>
              <w:rPr>
                <w:rFonts w:hint="eastAsia" w:ascii="黑体" w:hAnsi="黑体" w:eastAsia="黑体"/>
                <w:b/>
                <w:color w:val="auto"/>
                <w:sz w:val="24"/>
                <w:szCs w:val="24"/>
                <w:highlight w:val="none"/>
              </w:rPr>
              <w:t>投标人1</w:t>
            </w:r>
          </w:p>
        </w:tc>
        <w:tc>
          <w:tcPr>
            <w:tcW w:w="1134" w:type="dxa"/>
            <w:vAlign w:val="center"/>
          </w:tcPr>
          <w:p w14:paraId="3B1C8970">
            <w:pPr>
              <w:jc w:val="center"/>
              <w:rPr>
                <w:rFonts w:ascii="黑体" w:hAnsi="黑体" w:eastAsia="黑体"/>
                <w:b/>
                <w:color w:val="auto"/>
                <w:sz w:val="24"/>
                <w:szCs w:val="24"/>
                <w:highlight w:val="none"/>
              </w:rPr>
            </w:pPr>
            <w:r>
              <w:rPr>
                <w:rFonts w:hint="eastAsia" w:ascii="黑体" w:hAnsi="黑体" w:eastAsia="黑体"/>
                <w:b/>
                <w:color w:val="auto"/>
                <w:sz w:val="24"/>
                <w:szCs w:val="24"/>
                <w:highlight w:val="none"/>
              </w:rPr>
              <w:t>投标人2</w:t>
            </w:r>
          </w:p>
        </w:tc>
        <w:tc>
          <w:tcPr>
            <w:tcW w:w="1134" w:type="dxa"/>
            <w:vAlign w:val="center"/>
          </w:tcPr>
          <w:p w14:paraId="5EB3C072">
            <w:pPr>
              <w:jc w:val="center"/>
              <w:rPr>
                <w:rFonts w:ascii="黑体" w:hAnsi="黑体" w:eastAsia="黑体"/>
                <w:b/>
                <w:color w:val="auto"/>
                <w:sz w:val="24"/>
                <w:szCs w:val="24"/>
                <w:highlight w:val="none"/>
              </w:rPr>
            </w:pPr>
            <w:r>
              <w:rPr>
                <w:rFonts w:hint="eastAsia" w:ascii="黑体" w:hAnsi="黑体" w:eastAsia="黑体"/>
                <w:b/>
                <w:color w:val="auto"/>
                <w:sz w:val="24"/>
                <w:szCs w:val="24"/>
                <w:highlight w:val="none"/>
              </w:rPr>
              <w:t>投标人3</w:t>
            </w:r>
          </w:p>
        </w:tc>
      </w:tr>
      <w:tr w14:paraId="5B528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588" w:type="dxa"/>
            <w:vMerge w:val="continue"/>
            <w:vAlign w:val="center"/>
          </w:tcPr>
          <w:p w14:paraId="029BE4D1">
            <w:pPr>
              <w:jc w:val="center"/>
              <w:rPr>
                <w:rFonts w:ascii="黑体" w:hAnsi="黑体" w:eastAsia="黑体"/>
                <w:b/>
                <w:color w:val="auto"/>
                <w:sz w:val="24"/>
                <w:szCs w:val="24"/>
                <w:highlight w:val="none"/>
              </w:rPr>
            </w:pPr>
          </w:p>
        </w:tc>
        <w:tc>
          <w:tcPr>
            <w:tcW w:w="1065" w:type="dxa"/>
            <w:vMerge w:val="continue"/>
            <w:vAlign w:val="center"/>
          </w:tcPr>
          <w:p w14:paraId="72B4F487">
            <w:pPr>
              <w:jc w:val="center"/>
              <w:rPr>
                <w:rFonts w:ascii="黑体" w:hAnsi="黑体" w:eastAsia="黑体"/>
                <w:b/>
                <w:color w:val="auto"/>
                <w:sz w:val="24"/>
                <w:szCs w:val="24"/>
                <w:highlight w:val="none"/>
              </w:rPr>
            </w:pPr>
          </w:p>
        </w:tc>
        <w:tc>
          <w:tcPr>
            <w:tcW w:w="3990" w:type="dxa"/>
            <w:vMerge w:val="continue"/>
            <w:vAlign w:val="center"/>
          </w:tcPr>
          <w:p w14:paraId="787B2A06">
            <w:pPr>
              <w:jc w:val="center"/>
              <w:rPr>
                <w:rFonts w:ascii="黑体" w:hAnsi="黑体" w:eastAsia="黑体"/>
                <w:b/>
                <w:color w:val="auto"/>
                <w:sz w:val="24"/>
                <w:szCs w:val="24"/>
                <w:highlight w:val="none"/>
              </w:rPr>
            </w:pPr>
          </w:p>
        </w:tc>
        <w:tc>
          <w:tcPr>
            <w:tcW w:w="1162" w:type="dxa"/>
            <w:vAlign w:val="center"/>
          </w:tcPr>
          <w:p w14:paraId="7D9E451B">
            <w:pPr>
              <w:jc w:val="center"/>
              <w:rPr>
                <w:rFonts w:ascii="黑体" w:hAnsi="黑体" w:eastAsia="黑体"/>
                <w:b/>
                <w:color w:val="auto"/>
                <w:sz w:val="24"/>
                <w:szCs w:val="24"/>
                <w:highlight w:val="none"/>
              </w:rPr>
            </w:pPr>
          </w:p>
        </w:tc>
        <w:tc>
          <w:tcPr>
            <w:tcW w:w="1134" w:type="dxa"/>
            <w:vAlign w:val="center"/>
          </w:tcPr>
          <w:p w14:paraId="58557C0A">
            <w:pPr>
              <w:jc w:val="center"/>
              <w:rPr>
                <w:rFonts w:ascii="黑体" w:hAnsi="黑体" w:eastAsia="黑体"/>
                <w:b/>
                <w:color w:val="auto"/>
                <w:sz w:val="24"/>
                <w:szCs w:val="24"/>
                <w:highlight w:val="none"/>
              </w:rPr>
            </w:pPr>
          </w:p>
        </w:tc>
        <w:tc>
          <w:tcPr>
            <w:tcW w:w="1134" w:type="dxa"/>
            <w:vAlign w:val="center"/>
          </w:tcPr>
          <w:p w14:paraId="04ECD189">
            <w:pPr>
              <w:jc w:val="center"/>
              <w:rPr>
                <w:rFonts w:ascii="黑体" w:hAnsi="黑体" w:eastAsia="黑体"/>
                <w:b/>
                <w:color w:val="auto"/>
                <w:sz w:val="24"/>
                <w:szCs w:val="24"/>
                <w:highlight w:val="none"/>
              </w:rPr>
            </w:pPr>
          </w:p>
        </w:tc>
      </w:tr>
      <w:tr w14:paraId="2CF97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9" w:hRule="exact"/>
        </w:trPr>
        <w:tc>
          <w:tcPr>
            <w:tcW w:w="588" w:type="dxa"/>
            <w:vAlign w:val="center"/>
          </w:tcPr>
          <w:p w14:paraId="2DBFB1A3">
            <w:pPr>
              <w:widowControl w:val="0"/>
              <w:jc w:val="center"/>
              <w:rPr>
                <w:rFonts w:ascii="黑体" w:hAnsi="黑体" w:eastAsia="黑体" w:cs="Times New Roman"/>
                <w:color w:val="auto"/>
                <w:kern w:val="2"/>
                <w:sz w:val="24"/>
                <w:szCs w:val="24"/>
                <w:highlight w:val="none"/>
                <w:lang w:val="en-US" w:eastAsia="zh-CN" w:bidi="ar-SA"/>
              </w:rPr>
            </w:pPr>
            <w:r>
              <w:rPr>
                <w:rFonts w:hint="eastAsia" w:ascii="黑体" w:hAnsi="黑体" w:eastAsia="黑体"/>
                <w:color w:val="auto"/>
                <w:sz w:val="24"/>
                <w:szCs w:val="24"/>
                <w:highlight w:val="none"/>
              </w:rPr>
              <w:t>1</w:t>
            </w:r>
          </w:p>
        </w:tc>
        <w:tc>
          <w:tcPr>
            <w:tcW w:w="1065" w:type="dxa"/>
            <w:vAlign w:val="center"/>
          </w:tcPr>
          <w:p w14:paraId="0DE3FB89">
            <w:pPr>
              <w:adjustRightInd w:val="0"/>
              <w:snapToGrid w:val="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注册</w:t>
            </w:r>
          </w:p>
          <w:p w14:paraId="10D9EA91">
            <w:pPr>
              <w:adjustRightInd w:val="0"/>
              <w:snapToGrid w:val="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资金</w:t>
            </w:r>
          </w:p>
          <w:p w14:paraId="68C3EFF8">
            <w:pPr>
              <w:jc w:val="center"/>
              <w:rPr>
                <w:rFonts w:ascii="黑体" w:hAnsi="黑体" w:eastAsia="黑体" w:cs="Times New Roman"/>
                <w:color w:val="auto"/>
                <w:kern w:val="2"/>
                <w:sz w:val="24"/>
                <w:szCs w:val="24"/>
                <w:highlight w:val="none"/>
                <w:lang w:val="en-US" w:eastAsia="zh-CN" w:bidi="ar-SA"/>
              </w:rPr>
            </w:pPr>
            <w:r>
              <w:rPr>
                <w:rFonts w:hint="eastAsia" w:ascii="仿宋" w:hAnsi="仿宋" w:eastAsia="仿宋" w:cs="仿宋"/>
                <w:color w:val="auto"/>
                <w:kern w:val="2"/>
                <w:sz w:val="21"/>
                <w:szCs w:val="21"/>
                <w:highlight w:val="none"/>
                <w:lang w:val="en-US" w:eastAsia="zh-CN" w:bidi="ar-SA"/>
              </w:rPr>
              <w:t>（3分）</w:t>
            </w:r>
          </w:p>
        </w:tc>
        <w:tc>
          <w:tcPr>
            <w:tcW w:w="3990" w:type="dxa"/>
            <w:vAlign w:val="center"/>
          </w:tcPr>
          <w:p w14:paraId="693AAEE4">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注册资金：</w:t>
            </w:r>
          </w:p>
          <w:p w14:paraId="4446663F">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500</w:t>
            </w:r>
            <w:r>
              <w:rPr>
                <w:rFonts w:hint="eastAsia" w:ascii="仿宋" w:hAnsi="仿宋" w:eastAsia="仿宋" w:cs="仿宋"/>
                <w:color w:val="auto"/>
                <w:szCs w:val="21"/>
                <w:highlight w:val="none"/>
              </w:rPr>
              <w:t>万元（含）及以上得</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p>
          <w:p w14:paraId="18CCEDE1">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300</w:t>
            </w:r>
            <w:r>
              <w:rPr>
                <w:rFonts w:hint="eastAsia" w:ascii="仿宋" w:hAnsi="仿宋" w:eastAsia="仿宋" w:cs="仿宋"/>
                <w:color w:val="auto"/>
                <w:szCs w:val="21"/>
                <w:highlight w:val="none"/>
              </w:rPr>
              <w:t>万元（含）-</w:t>
            </w:r>
            <w:r>
              <w:rPr>
                <w:rFonts w:hint="eastAsia" w:ascii="仿宋" w:hAnsi="仿宋" w:eastAsia="仿宋" w:cs="仿宋"/>
                <w:color w:val="auto"/>
                <w:szCs w:val="21"/>
                <w:highlight w:val="none"/>
                <w:lang w:val="en-US" w:eastAsia="zh-CN"/>
              </w:rPr>
              <w:t>500</w:t>
            </w:r>
            <w:r>
              <w:rPr>
                <w:rFonts w:hint="eastAsia" w:ascii="仿宋" w:hAnsi="仿宋" w:eastAsia="仿宋" w:cs="仿宋"/>
                <w:color w:val="auto"/>
                <w:szCs w:val="21"/>
                <w:highlight w:val="none"/>
              </w:rPr>
              <w:t>万元（不含）得</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分；</w:t>
            </w:r>
          </w:p>
          <w:p w14:paraId="52FFA461">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100</w:t>
            </w:r>
            <w:r>
              <w:rPr>
                <w:rFonts w:hint="eastAsia" w:ascii="仿宋" w:hAnsi="仿宋" w:eastAsia="仿宋" w:cs="仿宋"/>
                <w:color w:val="auto"/>
                <w:szCs w:val="21"/>
                <w:highlight w:val="none"/>
              </w:rPr>
              <w:t>万元（含）-</w:t>
            </w:r>
            <w:r>
              <w:rPr>
                <w:rFonts w:hint="eastAsia" w:ascii="仿宋" w:hAnsi="仿宋" w:eastAsia="仿宋" w:cs="仿宋"/>
                <w:color w:val="auto"/>
                <w:szCs w:val="21"/>
                <w:highlight w:val="none"/>
                <w:lang w:val="en-US" w:eastAsia="zh-CN"/>
              </w:rPr>
              <w:t>300</w:t>
            </w:r>
            <w:r>
              <w:rPr>
                <w:rFonts w:hint="eastAsia" w:ascii="仿宋" w:hAnsi="仿宋" w:eastAsia="仿宋" w:cs="仿宋"/>
                <w:color w:val="auto"/>
                <w:szCs w:val="21"/>
                <w:highlight w:val="none"/>
              </w:rPr>
              <w:t>万元（不含）得</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分；</w:t>
            </w:r>
          </w:p>
          <w:p w14:paraId="20EFE397">
            <w:pPr>
              <w:adjustRightInd w:val="0"/>
              <w:snapToGrid w:val="0"/>
              <w:jc w:val="left"/>
              <w:rPr>
                <w:rFonts w:hint="eastAsia" w:ascii="黑体" w:hAnsi="黑体" w:eastAsia="仿宋" w:cs="Times New Roman"/>
                <w:color w:val="auto"/>
                <w:kern w:val="2"/>
                <w:sz w:val="24"/>
                <w:szCs w:val="24"/>
                <w:highlight w:val="none"/>
                <w:lang w:val="en-US" w:eastAsia="zh-CN" w:bidi="ar-SA"/>
              </w:rPr>
            </w:pPr>
            <w:r>
              <w:rPr>
                <w:rFonts w:hint="eastAsia" w:ascii="仿宋" w:hAnsi="仿宋" w:eastAsia="仿宋" w:cs="仿宋"/>
                <w:color w:val="auto"/>
                <w:szCs w:val="21"/>
                <w:highlight w:val="none"/>
                <w:lang w:val="en-US" w:eastAsia="zh-CN"/>
              </w:rPr>
              <w:t>100</w:t>
            </w:r>
            <w:r>
              <w:rPr>
                <w:rFonts w:hint="eastAsia" w:ascii="仿宋" w:hAnsi="仿宋" w:eastAsia="仿宋" w:cs="仿宋"/>
                <w:color w:val="auto"/>
                <w:szCs w:val="21"/>
                <w:highlight w:val="none"/>
              </w:rPr>
              <w:t>万元以下得0分</w:t>
            </w:r>
            <w:r>
              <w:rPr>
                <w:rFonts w:hint="eastAsia" w:ascii="仿宋" w:hAnsi="仿宋" w:eastAsia="仿宋" w:cs="仿宋"/>
                <w:color w:val="auto"/>
                <w:szCs w:val="21"/>
                <w:highlight w:val="none"/>
                <w:lang w:eastAsia="zh-CN"/>
              </w:rPr>
              <w:t>。</w:t>
            </w:r>
          </w:p>
        </w:tc>
        <w:tc>
          <w:tcPr>
            <w:tcW w:w="1162" w:type="dxa"/>
            <w:vAlign w:val="center"/>
          </w:tcPr>
          <w:p w14:paraId="5039A4F2">
            <w:pPr>
              <w:jc w:val="center"/>
              <w:rPr>
                <w:rFonts w:ascii="黑体" w:hAnsi="黑体" w:eastAsia="黑体"/>
                <w:color w:val="auto"/>
                <w:sz w:val="24"/>
                <w:szCs w:val="24"/>
                <w:highlight w:val="none"/>
              </w:rPr>
            </w:pPr>
          </w:p>
        </w:tc>
        <w:tc>
          <w:tcPr>
            <w:tcW w:w="1134" w:type="dxa"/>
            <w:vAlign w:val="center"/>
          </w:tcPr>
          <w:p w14:paraId="01B95103">
            <w:pPr>
              <w:jc w:val="center"/>
              <w:rPr>
                <w:rFonts w:ascii="黑体" w:hAnsi="黑体" w:eastAsia="黑体"/>
                <w:color w:val="auto"/>
                <w:sz w:val="24"/>
                <w:szCs w:val="24"/>
                <w:highlight w:val="none"/>
              </w:rPr>
            </w:pPr>
          </w:p>
        </w:tc>
        <w:tc>
          <w:tcPr>
            <w:tcW w:w="1134" w:type="dxa"/>
            <w:vAlign w:val="center"/>
          </w:tcPr>
          <w:p w14:paraId="104A5892">
            <w:pPr>
              <w:jc w:val="center"/>
              <w:rPr>
                <w:rFonts w:ascii="黑体" w:hAnsi="黑体" w:eastAsia="黑体"/>
                <w:color w:val="auto"/>
                <w:sz w:val="24"/>
                <w:szCs w:val="24"/>
                <w:highlight w:val="none"/>
              </w:rPr>
            </w:pPr>
          </w:p>
        </w:tc>
      </w:tr>
      <w:tr w14:paraId="70453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4" w:hRule="exact"/>
        </w:trPr>
        <w:tc>
          <w:tcPr>
            <w:tcW w:w="588" w:type="dxa"/>
            <w:vAlign w:val="center"/>
          </w:tcPr>
          <w:p w14:paraId="647340E8">
            <w:pPr>
              <w:widowControl w:val="0"/>
              <w:jc w:val="center"/>
              <w:rPr>
                <w:rFonts w:hint="default" w:ascii="黑体" w:hAnsi="黑体" w:eastAsia="黑体" w:cs="Times New Roman"/>
                <w:color w:val="auto"/>
                <w:kern w:val="2"/>
                <w:sz w:val="24"/>
                <w:szCs w:val="24"/>
                <w:highlight w:val="none"/>
                <w:lang w:val="en-US" w:eastAsia="zh-CN" w:bidi="ar-SA"/>
              </w:rPr>
            </w:pPr>
            <w:r>
              <w:rPr>
                <w:rFonts w:hint="eastAsia" w:ascii="黑体" w:hAnsi="黑体" w:eastAsia="黑体"/>
                <w:color w:val="auto"/>
                <w:sz w:val="24"/>
                <w:szCs w:val="24"/>
                <w:highlight w:val="none"/>
                <w:lang w:val="en-US" w:eastAsia="zh-CN"/>
              </w:rPr>
              <w:t>2</w:t>
            </w:r>
          </w:p>
        </w:tc>
        <w:tc>
          <w:tcPr>
            <w:tcW w:w="1065" w:type="dxa"/>
            <w:vAlign w:val="center"/>
          </w:tcPr>
          <w:p w14:paraId="623117DD">
            <w:pPr>
              <w:adjustRightInd w:val="0"/>
              <w:snapToGrid w:val="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合作案例</w:t>
            </w:r>
          </w:p>
          <w:p w14:paraId="7EA1EF35">
            <w:pPr>
              <w:jc w:val="left"/>
              <w:rPr>
                <w:rFonts w:ascii="黑体" w:hAnsi="黑体" w:eastAsia="黑体" w:cs="Times New Roman"/>
                <w:color w:val="auto"/>
                <w:kern w:val="2"/>
                <w:sz w:val="24"/>
                <w:szCs w:val="24"/>
                <w:highlight w:val="none"/>
                <w:lang w:val="en-US" w:eastAsia="zh-CN" w:bidi="ar-SA"/>
              </w:rPr>
            </w:pPr>
            <w:r>
              <w:rPr>
                <w:rFonts w:hint="eastAsia" w:ascii="仿宋" w:hAnsi="仿宋" w:eastAsia="仿宋" w:cs="仿宋"/>
                <w:color w:val="auto"/>
                <w:kern w:val="2"/>
                <w:sz w:val="21"/>
                <w:szCs w:val="21"/>
                <w:highlight w:val="none"/>
                <w:lang w:val="en-US" w:eastAsia="zh-CN" w:bidi="ar-SA"/>
              </w:rPr>
              <w:t>（4分）</w:t>
            </w:r>
          </w:p>
        </w:tc>
        <w:tc>
          <w:tcPr>
            <w:tcW w:w="3990" w:type="dxa"/>
            <w:vAlign w:val="center"/>
          </w:tcPr>
          <w:p w14:paraId="476E8D04">
            <w:pPr>
              <w:jc w:val="left"/>
              <w:rPr>
                <w:rFonts w:ascii="黑体" w:hAnsi="黑体" w:eastAsia="黑体" w:cs="Times New Roman"/>
                <w:color w:val="auto"/>
                <w:kern w:val="2"/>
                <w:sz w:val="24"/>
                <w:szCs w:val="24"/>
                <w:highlight w:val="none"/>
                <w:lang w:val="en-US" w:eastAsia="zh-CN" w:bidi="ar-SA"/>
              </w:rPr>
            </w:pPr>
            <w:r>
              <w:rPr>
                <w:rFonts w:hint="eastAsia" w:ascii="仿宋" w:hAnsi="仿宋" w:eastAsia="仿宋" w:cs="仿宋"/>
                <w:color w:val="auto"/>
                <w:szCs w:val="21"/>
                <w:highlight w:val="none"/>
              </w:rPr>
              <w:t>截至</w:t>
            </w:r>
            <w:r>
              <w:rPr>
                <w:rFonts w:hint="eastAsia" w:ascii="仿宋" w:hAnsi="仿宋" w:eastAsia="仿宋" w:cs="仿宋"/>
                <w:color w:val="auto"/>
                <w:szCs w:val="21"/>
                <w:highlight w:val="none"/>
                <w:lang w:val="en-US" w:eastAsia="zh-CN"/>
              </w:rPr>
              <w:t>发标之日</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投标单位具有合同有效期内，年度合同金额50万元（含）以上的绿化养护外包服务项目，每个项目得1分，满分4分。（投标单位必须提供合同复印件关键页并加盖公章）</w:t>
            </w:r>
          </w:p>
        </w:tc>
        <w:tc>
          <w:tcPr>
            <w:tcW w:w="1162" w:type="dxa"/>
            <w:vAlign w:val="center"/>
          </w:tcPr>
          <w:p w14:paraId="276E2EF8">
            <w:pPr>
              <w:jc w:val="center"/>
              <w:rPr>
                <w:rFonts w:ascii="黑体" w:hAnsi="黑体" w:eastAsia="黑体"/>
                <w:color w:val="auto"/>
                <w:sz w:val="24"/>
                <w:szCs w:val="24"/>
                <w:highlight w:val="none"/>
              </w:rPr>
            </w:pPr>
          </w:p>
        </w:tc>
        <w:tc>
          <w:tcPr>
            <w:tcW w:w="1134" w:type="dxa"/>
            <w:vAlign w:val="center"/>
          </w:tcPr>
          <w:p w14:paraId="6B746631">
            <w:pPr>
              <w:jc w:val="center"/>
              <w:rPr>
                <w:rFonts w:ascii="黑体" w:hAnsi="黑体" w:eastAsia="黑体"/>
                <w:color w:val="auto"/>
                <w:sz w:val="24"/>
                <w:szCs w:val="24"/>
                <w:highlight w:val="none"/>
              </w:rPr>
            </w:pPr>
          </w:p>
        </w:tc>
        <w:tc>
          <w:tcPr>
            <w:tcW w:w="1134" w:type="dxa"/>
            <w:vAlign w:val="center"/>
          </w:tcPr>
          <w:p w14:paraId="00540121">
            <w:pPr>
              <w:jc w:val="center"/>
              <w:rPr>
                <w:rFonts w:ascii="黑体" w:hAnsi="黑体" w:eastAsia="黑体"/>
                <w:color w:val="auto"/>
                <w:sz w:val="24"/>
                <w:szCs w:val="24"/>
                <w:highlight w:val="none"/>
              </w:rPr>
            </w:pPr>
          </w:p>
        </w:tc>
      </w:tr>
      <w:tr w14:paraId="6D145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9" w:hRule="exact"/>
        </w:trPr>
        <w:tc>
          <w:tcPr>
            <w:tcW w:w="588" w:type="dxa"/>
            <w:vAlign w:val="center"/>
          </w:tcPr>
          <w:p w14:paraId="749A4D1D">
            <w:pPr>
              <w:widowControl w:val="0"/>
              <w:jc w:val="center"/>
              <w:rPr>
                <w:rFonts w:hint="default" w:ascii="黑体" w:hAnsi="黑体" w:eastAsia="黑体" w:cs="Times New Roman"/>
                <w:color w:val="auto"/>
                <w:kern w:val="2"/>
                <w:sz w:val="24"/>
                <w:szCs w:val="24"/>
                <w:highlight w:val="none"/>
                <w:lang w:val="en-US" w:eastAsia="zh-CN" w:bidi="ar-SA"/>
              </w:rPr>
            </w:pPr>
            <w:r>
              <w:rPr>
                <w:rFonts w:hint="eastAsia" w:ascii="黑体" w:hAnsi="黑体" w:eastAsia="黑体"/>
                <w:color w:val="auto"/>
                <w:sz w:val="24"/>
                <w:szCs w:val="24"/>
                <w:highlight w:val="none"/>
                <w:lang w:val="en-US" w:eastAsia="zh-CN"/>
              </w:rPr>
              <w:t>3</w:t>
            </w:r>
          </w:p>
        </w:tc>
        <w:tc>
          <w:tcPr>
            <w:tcW w:w="1065" w:type="dxa"/>
            <w:vAlign w:val="center"/>
          </w:tcPr>
          <w:p w14:paraId="20EC7FD1">
            <w:pPr>
              <w:adjustRightInd w:val="0"/>
              <w:snapToGrid w:val="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资质</w:t>
            </w:r>
          </w:p>
          <w:p w14:paraId="36B0C44F">
            <w:pPr>
              <w:adjustRightInd w:val="0"/>
              <w:snapToGrid w:val="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（3分）</w:t>
            </w:r>
          </w:p>
        </w:tc>
        <w:tc>
          <w:tcPr>
            <w:tcW w:w="3990" w:type="dxa"/>
            <w:vAlign w:val="center"/>
          </w:tcPr>
          <w:p w14:paraId="0B865696">
            <w:pPr>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1、截至发标之日，近三年内获得过服务企业的优秀服务证书、获得服务企业关颁发的奖励或表扬等，满分2分，每个得1分。</w:t>
            </w:r>
          </w:p>
          <w:p w14:paraId="4EAE9F2B">
            <w:pPr>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2、通过质量管理体系认证、环境管理体系认证、职业健康安全管理体系认证，满足2个及以上，得：1分。</w:t>
            </w:r>
          </w:p>
        </w:tc>
        <w:tc>
          <w:tcPr>
            <w:tcW w:w="1162" w:type="dxa"/>
            <w:vAlign w:val="center"/>
          </w:tcPr>
          <w:p w14:paraId="13409C79">
            <w:pPr>
              <w:jc w:val="center"/>
              <w:rPr>
                <w:rFonts w:ascii="黑体" w:hAnsi="黑体" w:eastAsia="黑体"/>
                <w:color w:val="auto"/>
                <w:sz w:val="24"/>
                <w:szCs w:val="24"/>
                <w:highlight w:val="none"/>
              </w:rPr>
            </w:pPr>
          </w:p>
        </w:tc>
        <w:tc>
          <w:tcPr>
            <w:tcW w:w="1134" w:type="dxa"/>
            <w:vAlign w:val="center"/>
          </w:tcPr>
          <w:p w14:paraId="3BBA76FD">
            <w:pPr>
              <w:jc w:val="center"/>
              <w:rPr>
                <w:rFonts w:ascii="黑体" w:hAnsi="黑体" w:eastAsia="黑体"/>
                <w:color w:val="auto"/>
                <w:sz w:val="24"/>
                <w:szCs w:val="24"/>
                <w:highlight w:val="none"/>
              </w:rPr>
            </w:pPr>
          </w:p>
        </w:tc>
        <w:tc>
          <w:tcPr>
            <w:tcW w:w="1134" w:type="dxa"/>
            <w:vAlign w:val="center"/>
          </w:tcPr>
          <w:p w14:paraId="595349AC">
            <w:pPr>
              <w:jc w:val="center"/>
              <w:rPr>
                <w:rFonts w:ascii="黑体" w:hAnsi="黑体" w:eastAsia="黑体"/>
                <w:color w:val="auto"/>
                <w:sz w:val="24"/>
                <w:szCs w:val="24"/>
                <w:highlight w:val="none"/>
              </w:rPr>
            </w:pPr>
          </w:p>
        </w:tc>
      </w:tr>
      <w:tr w14:paraId="01993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588" w:type="dxa"/>
            <w:vAlign w:val="center"/>
          </w:tcPr>
          <w:p w14:paraId="6051E052">
            <w:pPr>
              <w:jc w:val="center"/>
              <w:rPr>
                <w:rFonts w:ascii="黑体" w:hAnsi="黑体" w:eastAsia="黑体"/>
                <w:color w:val="auto"/>
                <w:sz w:val="28"/>
                <w:szCs w:val="28"/>
                <w:highlight w:val="none"/>
              </w:rPr>
            </w:pPr>
          </w:p>
        </w:tc>
        <w:tc>
          <w:tcPr>
            <w:tcW w:w="1065" w:type="dxa"/>
            <w:vAlign w:val="center"/>
          </w:tcPr>
          <w:p w14:paraId="647C6696">
            <w:pPr>
              <w:jc w:val="center"/>
              <w:rPr>
                <w:rFonts w:ascii="黑体" w:hAnsi="黑体" w:eastAsia="黑体"/>
                <w:b/>
                <w:color w:val="auto"/>
                <w:sz w:val="24"/>
                <w:szCs w:val="24"/>
                <w:highlight w:val="none"/>
              </w:rPr>
            </w:pPr>
            <w:r>
              <w:rPr>
                <w:rFonts w:hint="eastAsia" w:ascii="黑体" w:hAnsi="黑体" w:eastAsia="黑体"/>
                <w:b/>
                <w:color w:val="auto"/>
                <w:sz w:val="24"/>
                <w:szCs w:val="24"/>
                <w:highlight w:val="none"/>
              </w:rPr>
              <w:t>合  计  分</w:t>
            </w:r>
          </w:p>
        </w:tc>
        <w:tc>
          <w:tcPr>
            <w:tcW w:w="3990" w:type="dxa"/>
            <w:vAlign w:val="center"/>
          </w:tcPr>
          <w:p w14:paraId="19E0CBC4">
            <w:pPr>
              <w:jc w:val="center"/>
              <w:rPr>
                <w:rStyle w:val="41"/>
                <w:rFonts w:ascii="黑体" w:hAnsi="黑体" w:eastAsia="黑体"/>
                <w:i w:val="0"/>
                <w:color w:val="auto"/>
                <w:highlight w:val="none"/>
              </w:rPr>
            </w:pPr>
            <w:r>
              <w:rPr>
                <w:rFonts w:hint="eastAsia" w:ascii="黑体" w:hAnsi="黑体" w:eastAsia="黑体"/>
                <w:b/>
                <w:color w:val="auto"/>
                <w:sz w:val="24"/>
                <w:szCs w:val="24"/>
                <w:highlight w:val="none"/>
              </w:rPr>
              <w:t>10</w:t>
            </w:r>
          </w:p>
        </w:tc>
        <w:tc>
          <w:tcPr>
            <w:tcW w:w="1162" w:type="dxa"/>
            <w:vAlign w:val="center"/>
          </w:tcPr>
          <w:p w14:paraId="2D6635D4">
            <w:pPr>
              <w:jc w:val="center"/>
              <w:rPr>
                <w:rFonts w:ascii="黑体" w:hAnsi="黑体" w:eastAsia="黑体"/>
                <w:color w:val="auto"/>
                <w:sz w:val="28"/>
                <w:szCs w:val="28"/>
                <w:highlight w:val="none"/>
              </w:rPr>
            </w:pPr>
            <w:r>
              <w:rPr>
                <w:rFonts w:ascii="黑体" w:hAnsi="黑体" w:eastAsia="黑体" w:cs="Times New Roman"/>
                <w:color w:val="auto"/>
                <w:kern w:val="2"/>
                <w:sz w:val="28"/>
                <w:szCs w:val="28"/>
                <w:highlight w:val="none"/>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-53975</wp:posOffset>
                      </wp:positionH>
                      <wp:positionV relativeFrom="paragraph">
                        <wp:posOffset>31115</wp:posOffset>
                      </wp:positionV>
                      <wp:extent cx="707390" cy="357505"/>
                      <wp:effectExtent l="3810" t="6985" r="12700" b="16510"/>
                      <wp:wrapNone/>
                      <wp:docPr id="1" name="自选图形 3"/>
                      <wp:cNvGraphicFramePr/>
                      <a:graphic xmlns:a="http://schemas.openxmlformats.org/drawingml/2006/main">
                        <a:graphicData uri="http://schemas.microsoft.com/office/word/2010/wordprocessingShape">
                          <wps:wsp>
                            <wps:cNvCnPr/>
                            <wps:spPr>
                              <a:xfrm>
                                <a:off x="0" y="0"/>
                                <a:ext cx="707390" cy="357505"/>
                              </a:xfrm>
                              <a:prstGeom prst="straightConnector1">
                                <a:avLst/>
                              </a:prstGeom>
                              <a:ln w="15875" cap="flat" cmpd="sng">
                                <a:solidFill>
                                  <a:srgbClr val="000000"/>
                                </a:solidFill>
                                <a:prstDash val="solid"/>
                                <a:headEnd type="none" w="med" len="med"/>
                                <a:tailEnd type="none" w="med" len="med"/>
                              </a:ln>
                            </wps:spPr>
                            <wps:bodyPr upright="0"/>
                          </wps:wsp>
                        </a:graphicData>
                      </a:graphic>
                    </wp:anchor>
                  </w:drawing>
                </mc:Choice>
                <mc:Fallback>
                  <w:pict>
                    <v:shape id="自选图形 3" o:spid="_x0000_s1026" o:spt="32" type="#_x0000_t32" style="position:absolute;left:0pt;margin-left:-4.25pt;margin-top:2.45pt;height:28.15pt;width:55.7pt;z-index:251659264;mso-width-relative:page;mso-height-relative:page;" filled="f" stroked="t" coordsize="21600,21600" o:gfxdata="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wcG8bWAAAABwEAAA8AAAAAAAAAAQAgAAAAIgAAAGRycy9kb3ducmV2&#10;LnhtbFBLAQIUABQAAAAIAIdO4kBDM9eL/gEAAPQDAAAOAAAAAAAAAAEAIAAAACUBAABkcnMvZTJv&#10;RG9jLnhtbFBLBQYAAAAABgAGAFkBAACVBQAAAAA=&#10;">
                      <v:fill on="f" focussize="0,0"/>
                      <v:stroke weight="1.25pt" color="#000000" joinstyle="round"/>
                      <v:imagedata o:title=""/>
                      <o:lock v:ext="edit" aspectratio="f"/>
                    </v:shape>
                  </w:pict>
                </mc:Fallback>
              </mc:AlternateContent>
            </w:r>
          </w:p>
        </w:tc>
        <w:tc>
          <w:tcPr>
            <w:tcW w:w="1134" w:type="dxa"/>
            <w:vAlign w:val="center"/>
          </w:tcPr>
          <w:p w14:paraId="73103FB2">
            <w:pPr>
              <w:jc w:val="center"/>
              <w:rPr>
                <w:rFonts w:ascii="黑体" w:hAnsi="黑体" w:eastAsia="黑体"/>
                <w:color w:val="auto"/>
                <w:sz w:val="28"/>
                <w:szCs w:val="28"/>
                <w:highlight w:val="none"/>
              </w:rPr>
            </w:pPr>
            <w:r>
              <w:rPr>
                <w:rFonts w:ascii="黑体" w:hAnsi="黑体" w:eastAsia="黑体" w:cs="Times New Roman"/>
                <w:color w:val="auto"/>
                <w:kern w:val="2"/>
                <w:sz w:val="28"/>
                <w:szCs w:val="28"/>
                <w:highlight w:val="none"/>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-48895</wp:posOffset>
                      </wp:positionH>
                      <wp:positionV relativeFrom="paragraph">
                        <wp:posOffset>1270</wp:posOffset>
                      </wp:positionV>
                      <wp:extent cx="701040" cy="368300"/>
                      <wp:effectExtent l="3810" t="6985" r="19050" b="24765"/>
                      <wp:wrapNone/>
                      <wp:docPr id="2" name="自选图形 4"/>
                      <wp:cNvGraphicFramePr/>
                      <a:graphic xmlns:a="http://schemas.openxmlformats.org/drawingml/2006/main">
                        <a:graphicData uri="http://schemas.microsoft.com/office/word/2010/wordprocessingShape">
                          <wps:wsp>
                            <wps:cNvCnPr/>
                            <wps:spPr>
                              <a:xfrm>
                                <a:off x="0" y="0"/>
                                <a:ext cx="701040" cy="368300"/>
                              </a:xfrm>
                              <a:prstGeom prst="straightConnector1">
                                <a:avLst/>
                              </a:prstGeom>
                              <a:ln w="15875" cap="flat" cmpd="sng">
                                <a:solidFill>
                                  <a:srgbClr val="000000"/>
                                </a:solidFill>
                                <a:prstDash val="solid"/>
                                <a:headEnd type="none" w="med" len="med"/>
                                <a:tailEnd type="none" w="med" len="med"/>
                              </a:ln>
                            </wps:spPr>
                            <wps:bodyPr upright="0"/>
                          </wps:wsp>
                        </a:graphicData>
                      </a:graphic>
                    </wp:anchor>
                  </w:drawing>
                </mc:Choice>
                <mc:Fallback>
                  <w:pict>
                    <v:shape id="自选图形 4" o:spid="_x0000_s1026" o:spt="32" type="#_x0000_t32" style="position:absolute;left:0pt;margin-left:-3.85pt;margin-top:0.1pt;height:29pt;width:55.2pt;z-index:251660288;mso-width-relative:page;mso-height-relative:page;" filled="f" stroked="t" coordsize="21600,21600" o:gfxdata="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9Iw+rUAAAABgEAAA8AAAAAAAAAAQAgAAAAIgAAAGRycy9kb3ducmV2&#10;LnhtbFBLAQIUABQAAAAIAIdO4kATaZwAAAIAAPQDAAAOAAAAAAAAAAEAIAAAACMBAABkcnMvZTJv&#10;RG9jLnhtbFBLBQYAAAAABgAGAFkBAACVBQAAAAA=&#10;">
                      <v:fill on="f" focussize="0,0"/>
                      <v:stroke weight="1.25pt" color="#000000" joinstyle="round"/>
                      <v:imagedata o:title=""/>
                      <o:lock v:ext="edit" aspectratio="f"/>
                    </v:shape>
                  </w:pict>
                </mc:Fallback>
              </mc:AlternateContent>
            </w:r>
          </w:p>
        </w:tc>
        <w:tc>
          <w:tcPr>
            <w:tcW w:w="1134" w:type="dxa"/>
            <w:vAlign w:val="center"/>
          </w:tcPr>
          <w:p w14:paraId="5DBC5E2E">
            <w:pPr>
              <w:jc w:val="center"/>
              <w:rPr>
                <w:rFonts w:ascii="黑体" w:hAnsi="黑体" w:eastAsia="黑体"/>
                <w:color w:val="auto"/>
                <w:sz w:val="28"/>
                <w:szCs w:val="28"/>
                <w:highlight w:val="none"/>
              </w:rPr>
            </w:pPr>
            <w:r>
              <w:rPr>
                <w:rFonts w:ascii="黑体" w:hAnsi="黑体" w:eastAsia="黑体" w:cs="Times New Roman"/>
                <w:color w:val="auto"/>
                <w:kern w:val="2"/>
                <w:sz w:val="28"/>
                <w:szCs w:val="28"/>
                <w:highlight w:val="none"/>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-36195</wp:posOffset>
                      </wp:positionH>
                      <wp:positionV relativeFrom="paragraph">
                        <wp:posOffset>8255</wp:posOffset>
                      </wp:positionV>
                      <wp:extent cx="647700" cy="364490"/>
                      <wp:effectExtent l="3810" t="6985" r="15240" b="9525"/>
                      <wp:wrapNone/>
                      <wp:docPr id="3" name="自选图形 5"/>
                      <wp:cNvGraphicFramePr/>
                      <a:graphic xmlns:a="http://schemas.openxmlformats.org/drawingml/2006/main">
                        <a:graphicData uri="http://schemas.microsoft.com/office/word/2010/wordprocessingShape">
                          <wps:wsp>
                            <wps:cNvCnPr/>
                            <wps:spPr>
                              <a:xfrm>
                                <a:off x="0" y="0"/>
                                <a:ext cx="647700" cy="364490"/>
                              </a:xfrm>
                              <a:prstGeom prst="straightConnector1">
                                <a:avLst/>
                              </a:prstGeom>
                              <a:ln w="15875" cap="flat" cmpd="sng">
                                <a:solidFill>
                                  <a:srgbClr val="000000"/>
                                </a:solidFill>
                                <a:prstDash val="solid"/>
                                <a:headEnd type="none" w="med" len="med"/>
                                <a:tailEnd type="none" w="med" len="med"/>
                              </a:ln>
                            </wps:spPr>
                            <wps:bodyPr upright="0"/>
                          </wps:wsp>
                        </a:graphicData>
                      </a:graphic>
                    </wp:anchor>
                  </w:drawing>
                </mc:Choice>
                <mc:Fallback>
                  <w:pict>
                    <v:shape id="自选图形 5" o:spid="_x0000_s1026" o:spt="32" type="#_x0000_t32" style="position:absolute;left:0pt;margin-left:-2.85pt;margin-top:0.65pt;height:28.7pt;width:51pt;z-index:251661312;mso-width-relative:page;mso-height-relative:page;" filled="f" stroked="t" coordsize="21600,21600" o:gfxdata="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9Qck9UAAAAGAQAADwAAAAAAAAABACAAAAAiAAAAZHJzL2Rvd25y&#10;ZXYueG1sUEsBAhQAFAAAAAgAh07iQL/btpUBAgAA9AMAAA4AAAAAAAAAAQAgAAAAJAEAAGRycy9l&#10;Mm9Eb2MueG1sUEsFBgAAAAAGAAYAWQEAAJcFAAAAAA==&#10;">
                      <v:fill on="f" focussize="0,0"/>
                      <v:stroke weight="1.25pt" color="#000000" joinstyle="round"/>
                      <v:imagedata o:title=""/>
                      <o:lock v:ext="edit" aspectratio="f"/>
                    </v:shape>
                  </w:pict>
                </mc:Fallback>
              </mc:AlternateContent>
            </w:r>
          </w:p>
        </w:tc>
      </w:tr>
      <w:tr w14:paraId="66363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643" w:type="dxa"/>
            <w:gridSpan w:val="3"/>
            <w:vAlign w:val="center"/>
          </w:tcPr>
          <w:p w14:paraId="575199B5">
            <w:pPr>
              <w:jc w:val="center"/>
              <w:rPr>
                <w:rFonts w:ascii="黑体" w:hAnsi="黑体" w:eastAsia="黑体"/>
                <w:b/>
                <w:color w:val="auto"/>
                <w:sz w:val="24"/>
                <w:szCs w:val="24"/>
                <w:highlight w:val="none"/>
              </w:rPr>
            </w:pPr>
            <w:r>
              <w:rPr>
                <w:rFonts w:hint="eastAsia" w:ascii="黑体" w:hAnsi="黑体" w:eastAsia="黑体"/>
                <w:b/>
                <w:color w:val="auto"/>
                <w:sz w:val="24"/>
                <w:szCs w:val="24"/>
                <w:highlight w:val="none"/>
              </w:rPr>
              <w:t>综合得分：</w:t>
            </w:r>
          </w:p>
        </w:tc>
        <w:tc>
          <w:tcPr>
            <w:tcW w:w="1162" w:type="dxa"/>
            <w:vAlign w:val="center"/>
          </w:tcPr>
          <w:p w14:paraId="7A6116E0">
            <w:pPr>
              <w:jc w:val="center"/>
              <w:rPr>
                <w:rFonts w:ascii="黑体" w:hAnsi="黑体" w:eastAsia="黑体"/>
                <w:color w:val="auto"/>
                <w:sz w:val="28"/>
                <w:szCs w:val="28"/>
                <w:highlight w:val="none"/>
              </w:rPr>
            </w:pPr>
          </w:p>
        </w:tc>
        <w:tc>
          <w:tcPr>
            <w:tcW w:w="1134" w:type="dxa"/>
            <w:vAlign w:val="center"/>
          </w:tcPr>
          <w:p w14:paraId="314F393C">
            <w:pPr>
              <w:jc w:val="center"/>
              <w:rPr>
                <w:rFonts w:ascii="黑体" w:hAnsi="黑体" w:eastAsia="黑体"/>
                <w:color w:val="auto"/>
                <w:sz w:val="28"/>
                <w:szCs w:val="28"/>
                <w:highlight w:val="none"/>
              </w:rPr>
            </w:pPr>
          </w:p>
        </w:tc>
        <w:tc>
          <w:tcPr>
            <w:tcW w:w="1134" w:type="dxa"/>
            <w:vAlign w:val="center"/>
          </w:tcPr>
          <w:p w14:paraId="5F6EC91B">
            <w:pPr>
              <w:jc w:val="center"/>
              <w:rPr>
                <w:rFonts w:ascii="黑体" w:hAnsi="黑体" w:eastAsia="黑体"/>
                <w:color w:val="auto"/>
                <w:sz w:val="28"/>
                <w:szCs w:val="28"/>
                <w:highlight w:val="none"/>
              </w:rPr>
            </w:pPr>
          </w:p>
        </w:tc>
      </w:tr>
      <w:tr w14:paraId="53E0C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trPr>
        <w:tc>
          <w:tcPr>
            <w:tcW w:w="9073" w:type="dxa"/>
            <w:gridSpan w:val="6"/>
            <w:vAlign w:val="center"/>
          </w:tcPr>
          <w:p w14:paraId="714AA0E5">
            <w:pPr>
              <w:spacing w:line="360" w:lineRule="auto"/>
              <w:rPr>
                <w:rFonts w:ascii="黑体" w:hAnsi="黑体" w:eastAsia="黑体"/>
                <w:color w:val="auto"/>
                <w:sz w:val="24"/>
                <w:szCs w:val="24"/>
                <w:highlight w:val="none"/>
              </w:rPr>
            </w:pPr>
            <w:r>
              <w:rPr>
                <w:rFonts w:hint="eastAsia" w:ascii="黑体" w:hAnsi="黑体" w:eastAsia="黑体"/>
                <w:color w:val="auto"/>
                <w:sz w:val="24"/>
                <w:szCs w:val="24"/>
                <w:highlight w:val="none"/>
              </w:rPr>
              <w:t>评标委员会签名：</w:t>
            </w:r>
          </w:p>
          <w:p w14:paraId="691A8B80">
            <w:pPr>
              <w:jc w:val="center"/>
              <w:rPr>
                <w:rFonts w:ascii="黑体" w:hAnsi="黑体" w:eastAsia="黑体"/>
                <w:b/>
                <w:color w:val="auto"/>
                <w:sz w:val="24"/>
                <w:szCs w:val="24"/>
                <w:highlight w:val="none"/>
              </w:rPr>
            </w:pPr>
          </w:p>
          <w:p w14:paraId="16C71166">
            <w:pPr>
              <w:jc w:val="right"/>
              <w:rPr>
                <w:rFonts w:ascii="黑体" w:hAnsi="黑体" w:eastAsia="黑体"/>
                <w:color w:val="auto"/>
                <w:sz w:val="24"/>
                <w:szCs w:val="24"/>
                <w:highlight w:val="none"/>
              </w:rPr>
            </w:pPr>
            <w:r>
              <w:rPr>
                <w:rFonts w:hint="eastAsia" w:ascii="黑体" w:hAnsi="黑体" w:eastAsia="黑体"/>
                <w:color w:val="auto"/>
                <w:sz w:val="24"/>
                <w:szCs w:val="24"/>
                <w:highlight w:val="none"/>
              </w:rPr>
              <w:t>日期：     年   月  日</w:t>
            </w:r>
          </w:p>
        </w:tc>
      </w:tr>
    </w:tbl>
    <w:p w14:paraId="19CDB390">
      <w:pPr>
        <w:rPr>
          <w:rFonts w:ascii="黑体" w:hAnsi="黑体" w:eastAsia="黑体"/>
          <w:b/>
          <w:bCs/>
          <w:color w:val="auto"/>
          <w:szCs w:val="21"/>
          <w:highlight w:val="none"/>
        </w:rPr>
      </w:pPr>
      <w:r>
        <w:rPr>
          <w:rFonts w:hint="eastAsia" w:ascii="黑体" w:hAnsi="黑体" w:eastAsia="黑体"/>
          <w:b/>
          <w:bCs/>
          <w:color w:val="auto"/>
          <w:szCs w:val="21"/>
          <w:highlight w:val="none"/>
        </w:rPr>
        <w:t>备注：</w:t>
      </w:r>
    </w:p>
    <w:p w14:paraId="1DE2D030">
      <w:pPr>
        <w:adjustRightInd w:val="0"/>
        <w:snapToGrid w:val="0"/>
        <w:spacing w:line="360" w:lineRule="auto"/>
        <w:ind w:firstLine="420" w:firstLineChars="200"/>
        <w:rPr>
          <w:rFonts w:ascii="黑体" w:eastAsia="黑体"/>
          <w:color w:val="auto"/>
          <w:szCs w:val="21"/>
          <w:highlight w:val="none"/>
        </w:rPr>
      </w:pPr>
      <w:r>
        <w:rPr>
          <w:rFonts w:hint="eastAsia" w:ascii="黑体" w:eastAsia="黑体"/>
          <w:color w:val="auto"/>
          <w:szCs w:val="21"/>
          <w:highlight w:val="none"/>
        </w:rPr>
        <w:t>1.招标人必须明确评审项目的评分标准。</w:t>
      </w:r>
    </w:p>
    <w:p w14:paraId="09C16B53">
      <w:pPr>
        <w:spacing w:line="360" w:lineRule="auto"/>
        <w:ind w:firstLine="420" w:firstLineChars="200"/>
        <w:jc w:val="center"/>
        <w:rPr>
          <w:rFonts w:ascii="宋体"/>
          <w:color w:val="auto"/>
          <w:szCs w:val="21"/>
          <w:highlight w:val="none"/>
        </w:rPr>
        <w:sectPr>
          <w:headerReference r:id="rId9" w:type="default"/>
          <w:footerReference r:id="rId10" w:type="default"/>
          <w:pgSz w:w="12240" w:h="15840"/>
          <w:pgMar w:top="1440" w:right="1797" w:bottom="1440" w:left="1797" w:header="720" w:footer="720" w:gutter="0"/>
          <w:pgNumType w:fmt="decimal"/>
          <w:cols w:space="720" w:num="1"/>
        </w:sectPr>
      </w:pPr>
    </w:p>
    <w:p w14:paraId="2075C21D">
      <w:pPr>
        <w:pStyle w:val="7"/>
        <w:ind w:firstLine="640"/>
        <w:jc w:val="center"/>
        <w:rPr>
          <w:rFonts w:ascii="黑体" w:hAnsi="黑体" w:eastAsia="黑体"/>
          <w:color w:val="auto"/>
          <w:sz w:val="32"/>
          <w:szCs w:val="32"/>
          <w:highlight w:val="none"/>
        </w:rPr>
      </w:pPr>
      <w:r>
        <w:rPr>
          <w:rFonts w:hint="eastAsia" w:ascii="黑体" w:hAnsi="黑体" w:eastAsia="黑体"/>
          <w:color w:val="auto"/>
          <w:sz w:val="32"/>
          <w:szCs w:val="32"/>
          <w:highlight w:val="none"/>
        </w:rPr>
        <w:t>（四）评分汇总表</w:t>
      </w:r>
    </w:p>
    <w:p w14:paraId="0B4C14A1">
      <w:pPr>
        <w:spacing w:line="360" w:lineRule="auto"/>
        <w:ind w:firstLine="482" w:firstLineChars="200"/>
        <w:jc w:val="left"/>
        <w:rPr>
          <w:rFonts w:ascii="黑体" w:hAnsi="黑体" w:eastAsia="黑体"/>
          <w:b/>
          <w:color w:val="auto"/>
          <w:sz w:val="36"/>
          <w:highlight w:val="none"/>
        </w:rPr>
      </w:pPr>
      <w:r>
        <w:rPr>
          <w:rFonts w:hint="eastAsia" w:ascii="黑体" w:hAnsi="黑体" w:eastAsia="黑体"/>
          <w:b/>
          <w:color w:val="auto"/>
          <w:sz w:val="24"/>
          <w:szCs w:val="24"/>
          <w:highlight w:val="none"/>
          <w:lang w:eastAsia="zh-CN"/>
        </w:rPr>
        <w:t>项目</w:t>
      </w:r>
      <w:r>
        <w:rPr>
          <w:rFonts w:hint="eastAsia" w:ascii="黑体" w:hAnsi="黑体" w:eastAsia="黑体"/>
          <w:b/>
          <w:color w:val="auto"/>
          <w:sz w:val="24"/>
          <w:szCs w:val="24"/>
          <w:highlight w:val="none"/>
        </w:rPr>
        <w:t>名称：</w:t>
      </w:r>
      <w:r>
        <w:rPr>
          <w:rFonts w:hint="eastAsia" w:ascii="仿宋" w:hAnsi="仿宋" w:eastAsia="仿宋"/>
          <w:b/>
          <w:color w:val="auto"/>
          <w:sz w:val="24"/>
          <w:szCs w:val="24"/>
          <w:highlight w:val="none"/>
          <w:lang w:val="en-US" w:eastAsia="zh-CN"/>
        </w:rPr>
        <w:t>重庆</w:t>
      </w:r>
      <w:r>
        <w:rPr>
          <w:rFonts w:hint="eastAsia" w:ascii="仿宋" w:hAnsi="仿宋" w:eastAsia="仿宋"/>
          <w:b/>
          <w:color w:val="auto"/>
          <w:sz w:val="24"/>
          <w:szCs w:val="24"/>
          <w:highlight w:val="none"/>
          <w:lang w:eastAsia="zh-CN"/>
        </w:rPr>
        <w:t>华南城2026</w:t>
      </w:r>
      <w:r>
        <w:rPr>
          <w:rFonts w:hint="eastAsia" w:ascii="仿宋" w:hAnsi="仿宋" w:eastAsia="仿宋"/>
          <w:b/>
          <w:color w:val="auto"/>
          <w:sz w:val="24"/>
          <w:szCs w:val="24"/>
          <w:highlight w:val="none"/>
          <w:lang w:val="en-US" w:eastAsia="zh-CN"/>
        </w:rPr>
        <w:t>年度绿化养护</w:t>
      </w:r>
      <w:r>
        <w:rPr>
          <w:rFonts w:hint="eastAsia" w:ascii="仿宋" w:hAnsi="仿宋" w:eastAsia="仿宋"/>
          <w:b/>
          <w:color w:val="auto"/>
          <w:sz w:val="24"/>
          <w:szCs w:val="24"/>
          <w:highlight w:val="none"/>
          <w:lang w:eastAsia="zh-CN"/>
        </w:rPr>
        <w:t>外包服务</w:t>
      </w:r>
    </w:p>
    <w:tbl>
      <w:tblPr>
        <w:tblStyle w:val="35"/>
        <w:tblW w:w="1304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544"/>
        <w:gridCol w:w="1134"/>
        <w:gridCol w:w="1134"/>
        <w:gridCol w:w="1134"/>
        <w:gridCol w:w="1134"/>
        <w:gridCol w:w="1134"/>
        <w:gridCol w:w="1276"/>
        <w:gridCol w:w="1843"/>
      </w:tblGrid>
      <w:tr w14:paraId="736E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09" w:type="dxa"/>
            <w:vMerge w:val="restart"/>
            <w:vAlign w:val="center"/>
          </w:tcPr>
          <w:p w14:paraId="39BFCC20">
            <w:pPr>
              <w:jc w:val="center"/>
              <w:rPr>
                <w:rFonts w:ascii="黑体" w:hAnsi="黑体" w:eastAsia="黑体"/>
                <w:b/>
                <w:color w:val="auto"/>
                <w:sz w:val="24"/>
                <w:szCs w:val="24"/>
                <w:highlight w:val="none"/>
              </w:rPr>
            </w:pPr>
            <w:r>
              <w:rPr>
                <w:rFonts w:hint="eastAsia" w:ascii="黑体" w:hAnsi="黑体" w:eastAsia="黑体"/>
                <w:b/>
                <w:color w:val="auto"/>
                <w:sz w:val="24"/>
                <w:szCs w:val="24"/>
                <w:highlight w:val="none"/>
              </w:rPr>
              <w:t>序号</w:t>
            </w:r>
          </w:p>
        </w:tc>
        <w:tc>
          <w:tcPr>
            <w:tcW w:w="3544" w:type="dxa"/>
            <w:vMerge w:val="restart"/>
            <w:vAlign w:val="center"/>
          </w:tcPr>
          <w:p w14:paraId="65F15E2C">
            <w:pPr>
              <w:jc w:val="center"/>
              <w:rPr>
                <w:rFonts w:ascii="黑体" w:hAnsi="黑体" w:eastAsia="黑体"/>
                <w:b/>
                <w:color w:val="auto"/>
                <w:sz w:val="24"/>
                <w:szCs w:val="24"/>
                <w:highlight w:val="none"/>
              </w:rPr>
            </w:pPr>
            <w:r>
              <w:rPr>
                <w:rFonts w:hint="eastAsia" w:ascii="黑体" w:hAnsi="黑体" w:eastAsia="黑体"/>
                <w:b/>
                <w:color w:val="auto"/>
                <w:sz w:val="24"/>
                <w:szCs w:val="24"/>
                <w:highlight w:val="none"/>
              </w:rPr>
              <w:t>投标人名称</w:t>
            </w:r>
          </w:p>
        </w:tc>
        <w:tc>
          <w:tcPr>
            <w:tcW w:w="2268" w:type="dxa"/>
            <w:gridSpan w:val="2"/>
            <w:vAlign w:val="center"/>
          </w:tcPr>
          <w:p w14:paraId="5900EB7D">
            <w:pPr>
              <w:jc w:val="center"/>
              <w:rPr>
                <w:rFonts w:ascii="黑体" w:hAnsi="黑体" w:eastAsia="黑体"/>
                <w:b/>
                <w:color w:val="auto"/>
                <w:sz w:val="24"/>
                <w:szCs w:val="24"/>
                <w:highlight w:val="none"/>
              </w:rPr>
            </w:pPr>
            <w:r>
              <w:rPr>
                <w:rFonts w:hint="eastAsia" w:ascii="黑体" w:hAnsi="黑体" w:eastAsia="黑体"/>
                <w:b/>
                <w:color w:val="auto"/>
                <w:sz w:val="24"/>
                <w:szCs w:val="24"/>
                <w:highlight w:val="none"/>
              </w:rPr>
              <w:t>技术标</w:t>
            </w:r>
          </w:p>
        </w:tc>
        <w:tc>
          <w:tcPr>
            <w:tcW w:w="2268" w:type="dxa"/>
            <w:gridSpan w:val="2"/>
            <w:vAlign w:val="center"/>
          </w:tcPr>
          <w:p w14:paraId="50CADE59">
            <w:pPr>
              <w:jc w:val="center"/>
              <w:rPr>
                <w:rFonts w:ascii="黑体" w:hAnsi="黑体" w:eastAsia="黑体"/>
                <w:b/>
                <w:color w:val="auto"/>
                <w:sz w:val="24"/>
                <w:szCs w:val="24"/>
                <w:highlight w:val="none"/>
              </w:rPr>
            </w:pPr>
            <w:r>
              <w:rPr>
                <w:rFonts w:hint="eastAsia" w:ascii="黑体" w:hAnsi="黑体" w:eastAsia="黑体"/>
                <w:b/>
                <w:color w:val="auto"/>
                <w:sz w:val="24"/>
                <w:szCs w:val="24"/>
                <w:highlight w:val="none"/>
              </w:rPr>
              <w:t>商务标</w:t>
            </w:r>
          </w:p>
        </w:tc>
        <w:tc>
          <w:tcPr>
            <w:tcW w:w="2410" w:type="dxa"/>
            <w:gridSpan w:val="2"/>
            <w:vAlign w:val="center"/>
          </w:tcPr>
          <w:p w14:paraId="4E80C8F1">
            <w:pPr>
              <w:jc w:val="center"/>
              <w:rPr>
                <w:rFonts w:ascii="黑体" w:hAnsi="黑体" w:eastAsia="黑体"/>
                <w:b/>
                <w:color w:val="auto"/>
                <w:sz w:val="24"/>
                <w:szCs w:val="24"/>
                <w:highlight w:val="none"/>
              </w:rPr>
            </w:pPr>
            <w:r>
              <w:rPr>
                <w:rFonts w:hint="eastAsia" w:ascii="黑体" w:hAnsi="黑体" w:eastAsia="黑体"/>
                <w:b/>
                <w:color w:val="auto"/>
                <w:sz w:val="24"/>
                <w:szCs w:val="24"/>
                <w:highlight w:val="none"/>
              </w:rPr>
              <w:t>资信标</w:t>
            </w:r>
          </w:p>
        </w:tc>
        <w:tc>
          <w:tcPr>
            <w:tcW w:w="1843" w:type="dxa"/>
            <w:vAlign w:val="center"/>
          </w:tcPr>
          <w:p w14:paraId="0D80ACD7">
            <w:pPr>
              <w:jc w:val="center"/>
              <w:rPr>
                <w:rFonts w:ascii="黑体" w:hAnsi="黑体" w:eastAsia="黑体"/>
                <w:b/>
                <w:color w:val="auto"/>
                <w:sz w:val="24"/>
                <w:szCs w:val="24"/>
                <w:highlight w:val="none"/>
              </w:rPr>
            </w:pPr>
            <w:r>
              <w:rPr>
                <w:rFonts w:hint="eastAsia" w:ascii="黑体" w:hAnsi="黑体" w:eastAsia="黑体"/>
                <w:b/>
                <w:color w:val="auto"/>
                <w:sz w:val="24"/>
                <w:szCs w:val="24"/>
                <w:highlight w:val="none"/>
              </w:rPr>
              <w:t>综合得分</w:t>
            </w:r>
          </w:p>
        </w:tc>
      </w:tr>
      <w:tr w14:paraId="40ACA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09" w:type="dxa"/>
            <w:vMerge w:val="continue"/>
            <w:vAlign w:val="center"/>
          </w:tcPr>
          <w:p w14:paraId="01C587D1">
            <w:pPr>
              <w:jc w:val="center"/>
              <w:rPr>
                <w:rFonts w:ascii="黑体" w:hAnsi="黑体" w:eastAsia="黑体"/>
                <w:b/>
                <w:color w:val="auto"/>
                <w:sz w:val="24"/>
                <w:szCs w:val="24"/>
                <w:highlight w:val="none"/>
              </w:rPr>
            </w:pPr>
          </w:p>
        </w:tc>
        <w:tc>
          <w:tcPr>
            <w:tcW w:w="3544" w:type="dxa"/>
            <w:vMerge w:val="continue"/>
            <w:vAlign w:val="center"/>
          </w:tcPr>
          <w:p w14:paraId="3D5A0B69">
            <w:pPr>
              <w:jc w:val="center"/>
              <w:rPr>
                <w:rFonts w:ascii="黑体" w:hAnsi="黑体" w:eastAsia="黑体"/>
                <w:b/>
                <w:color w:val="auto"/>
                <w:sz w:val="24"/>
                <w:szCs w:val="24"/>
                <w:highlight w:val="none"/>
              </w:rPr>
            </w:pPr>
          </w:p>
        </w:tc>
        <w:tc>
          <w:tcPr>
            <w:tcW w:w="1134" w:type="dxa"/>
            <w:vAlign w:val="center"/>
          </w:tcPr>
          <w:p w14:paraId="2D7947E2">
            <w:pPr>
              <w:jc w:val="center"/>
              <w:rPr>
                <w:rFonts w:ascii="黑体" w:hAnsi="黑体" w:eastAsia="黑体"/>
                <w:b/>
                <w:color w:val="auto"/>
                <w:sz w:val="24"/>
                <w:szCs w:val="24"/>
                <w:highlight w:val="none"/>
              </w:rPr>
            </w:pPr>
            <w:r>
              <w:rPr>
                <w:rFonts w:hint="eastAsia" w:ascii="黑体" w:hAnsi="黑体" w:eastAsia="黑体"/>
                <w:b/>
                <w:color w:val="auto"/>
                <w:sz w:val="24"/>
                <w:szCs w:val="24"/>
                <w:highlight w:val="none"/>
              </w:rPr>
              <w:t>得分J</w:t>
            </w:r>
          </w:p>
        </w:tc>
        <w:tc>
          <w:tcPr>
            <w:tcW w:w="1134" w:type="dxa"/>
            <w:vAlign w:val="center"/>
          </w:tcPr>
          <w:p w14:paraId="356038E5">
            <w:pPr>
              <w:jc w:val="center"/>
              <w:rPr>
                <w:rFonts w:ascii="黑体" w:hAnsi="黑体" w:eastAsia="黑体"/>
                <w:b/>
                <w:color w:val="auto"/>
                <w:sz w:val="24"/>
                <w:szCs w:val="24"/>
                <w:highlight w:val="none"/>
              </w:rPr>
            </w:pPr>
            <w:r>
              <w:rPr>
                <w:rFonts w:hint="eastAsia" w:ascii="黑体" w:hAnsi="黑体" w:eastAsia="黑体"/>
                <w:b/>
                <w:color w:val="auto"/>
                <w:sz w:val="24"/>
                <w:szCs w:val="24"/>
                <w:highlight w:val="none"/>
              </w:rPr>
              <w:t>权重A</w:t>
            </w:r>
            <w:r>
              <w:rPr>
                <w:rFonts w:hint="eastAsia" w:ascii="黑体" w:hAnsi="黑体" w:eastAsia="黑体"/>
                <w:b/>
                <w:color w:val="auto"/>
                <w:sz w:val="24"/>
                <w:szCs w:val="24"/>
                <w:highlight w:val="none"/>
                <w:vertAlign w:val="subscript"/>
              </w:rPr>
              <w:t>1</w:t>
            </w:r>
          </w:p>
        </w:tc>
        <w:tc>
          <w:tcPr>
            <w:tcW w:w="1134" w:type="dxa"/>
            <w:vAlign w:val="center"/>
          </w:tcPr>
          <w:p w14:paraId="60AF62E3">
            <w:pPr>
              <w:jc w:val="center"/>
              <w:rPr>
                <w:rFonts w:ascii="黑体" w:hAnsi="黑体" w:eastAsia="黑体"/>
                <w:b/>
                <w:color w:val="auto"/>
                <w:sz w:val="24"/>
                <w:szCs w:val="24"/>
                <w:highlight w:val="none"/>
              </w:rPr>
            </w:pPr>
            <w:r>
              <w:rPr>
                <w:rFonts w:hint="eastAsia" w:ascii="黑体" w:hAnsi="黑体" w:eastAsia="黑体"/>
                <w:b/>
                <w:color w:val="auto"/>
                <w:sz w:val="24"/>
                <w:szCs w:val="24"/>
                <w:highlight w:val="none"/>
              </w:rPr>
              <w:t>得分S</w:t>
            </w:r>
          </w:p>
        </w:tc>
        <w:tc>
          <w:tcPr>
            <w:tcW w:w="1134" w:type="dxa"/>
            <w:vAlign w:val="center"/>
          </w:tcPr>
          <w:p w14:paraId="114813EA">
            <w:pPr>
              <w:jc w:val="center"/>
              <w:rPr>
                <w:rFonts w:ascii="黑体" w:hAnsi="黑体" w:eastAsia="黑体"/>
                <w:b/>
                <w:color w:val="auto"/>
                <w:sz w:val="24"/>
                <w:szCs w:val="24"/>
                <w:highlight w:val="none"/>
              </w:rPr>
            </w:pPr>
            <w:r>
              <w:rPr>
                <w:rFonts w:hint="eastAsia" w:ascii="黑体" w:hAnsi="黑体" w:eastAsia="黑体"/>
                <w:b/>
                <w:color w:val="auto"/>
                <w:sz w:val="24"/>
                <w:szCs w:val="24"/>
                <w:highlight w:val="none"/>
              </w:rPr>
              <w:t>权重A</w:t>
            </w:r>
            <w:r>
              <w:rPr>
                <w:rFonts w:hint="eastAsia" w:ascii="黑体" w:hAnsi="黑体" w:eastAsia="黑体"/>
                <w:b/>
                <w:color w:val="auto"/>
                <w:sz w:val="24"/>
                <w:szCs w:val="24"/>
                <w:highlight w:val="none"/>
                <w:vertAlign w:val="subscript"/>
              </w:rPr>
              <w:t>2</w:t>
            </w:r>
          </w:p>
        </w:tc>
        <w:tc>
          <w:tcPr>
            <w:tcW w:w="1134" w:type="dxa"/>
            <w:vAlign w:val="center"/>
          </w:tcPr>
          <w:p w14:paraId="543A5947">
            <w:pPr>
              <w:jc w:val="center"/>
              <w:rPr>
                <w:rFonts w:ascii="黑体" w:hAnsi="黑体" w:eastAsia="黑体"/>
                <w:b/>
                <w:color w:val="auto"/>
                <w:sz w:val="24"/>
                <w:szCs w:val="24"/>
                <w:highlight w:val="none"/>
              </w:rPr>
            </w:pPr>
            <w:r>
              <w:rPr>
                <w:rFonts w:hint="eastAsia" w:ascii="黑体" w:hAnsi="黑体" w:eastAsia="黑体"/>
                <w:b/>
                <w:color w:val="auto"/>
                <w:sz w:val="24"/>
                <w:szCs w:val="24"/>
                <w:highlight w:val="none"/>
              </w:rPr>
              <w:t>得分Z</w:t>
            </w:r>
          </w:p>
        </w:tc>
        <w:tc>
          <w:tcPr>
            <w:tcW w:w="1276" w:type="dxa"/>
            <w:vAlign w:val="center"/>
          </w:tcPr>
          <w:p w14:paraId="1E823D5C">
            <w:pPr>
              <w:jc w:val="center"/>
              <w:rPr>
                <w:rFonts w:ascii="黑体" w:hAnsi="黑体" w:eastAsia="黑体"/>
                <w:b/>
                <w:color w:val="auto"/>
                <w:sz w:val="24"/>
                <w:szCs w:val="24"/>
                <w:highlight w:val="none"/>
              </w:rPr>
            </w:pPr>
            <w:r>
              <w:rPr>
                <w:rFonts w:hint="eastAsia" w:ascii="黑体" w:hAnsi="黑体" w:eastAsia="黑体"/>
                <w:b/>
                <w:color w:val="auto"/>
                <w:sz w:val="24"/>
                <w:szCs w:val="24"/>
                <w:highlight w:val="none"/>
              </w:rPr>
              <w:t>权重A</w:t>
            </w:r>
            <w:r>
              <w:rPr>
                <w:rFonts w:hint="eastAsia" w:ascii="黑体" w:hAnsi="黑体" w:eastAsia="黑体"/>
                <w:b/>
                <w:color w:val="auto"/>
                <w:sz w:val="24"/>
                <w:szCs w:val="24"/>
                <w:highlight w:val="none"/>
                <w:vertAlign w:val="subscript"/>
              </w:rPr>
              <w:t>3</w:t>
            </w:r>
          </w:p>
        </w:tc>
        <w:tc>
          <w:tcPr>
            <w:tcW w:w="1843" w:type="dxa"/>
            <w:vAlign w:val="center"/>
          </w:tcPr>
          <w:p w14:paraId="465E455C">
            <w:pPr>
              <w:jc w:val="center"/>
              <w:rPr>
                <w:rFonts w:ascii="黑体" w:hAnsi="黑体" w:eastAsia="黑体"/>
                <w:b/>
                <w:color w:val="auto"/>
                <w:sz w:val="24"/>
                <w:szCs w:val="24"/>
                <w:highlight w:val="none"/>
              </w:rPr>
            </w:pPr>
            <w:r>
              <w:rPr>
                <w:rFonts w:hint="eastAsia" w:ascii="黑体" w:hAnsi="黑体" w:eastAsia="黑体"/>
                <w:b/>
                <w:color w:val="auto"/>
                <w:sz w:val="24"/>
                <w:szCs w:val="24"/>
                <w:highlight w:val="none"/>
              </w:rPr>
              <w:t>N</w:t>
            </w:r>
          </w:p>
        </w:tc>
      </w:tr>
      <w:tr w14:paraId="0F9F0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709" w:type="dxa"/>
            <w:vAlign w:val="center"/>
          </w:tcPr>
          <w:p w14:paraId="7FEC0664">
            <w:pPr>
              <w:widowControl w:val="0"/>
              <w:jc w:val="center"/>
              <w:rPr>
                <w:rFonts w:ascii="黑体" w:hAnsi="黑体" w:eastAsia="黑体"/>
                <w:color w:val="auto"/>
                <w:sz w:val="24"/>
                <w:szCs w:val="24"/>
                <w:highlight w:val="none"/>
              </w:rPr>
            </w:pPr>
            <w:r>
              <w:rPr>
                <w:rFonts w:hint="eastAsia" w:ascii="黑体" w:hAnsi="黑体" w:eastAsia="黑体"/>
                <w:color w:val="auto"/>
                <w:sz w:val="24"/>
                <w:szCs w:val="24"/>
                <w:highlight w:val="none"/>
              </w:rPr>
              <w:t>1.</w:t>
            </w:r>
          </w:p>
        </w:tc>
        <w:tc>
          <w:tcPr>
            <w:tcW w:w="3544" w:type="dxa"/>
            <w:vAlign w:val="center"/>
          </w:tcPr>
          <w:p w14:paraId="52A5C16A">
            <w:pPr>
              <w:jc w:val="center"/>
              <w:rPr>
                <w:rFonts w:ascii="黑体" w:hAnsi="黑体" w:eastAsia="黑体"/>
                <w:color w:val="auto"/>
                <w:sz w:val="24"/>
                <w:szCs w:val="24"/>
                <w:highlight w:val="none"/>
              </w:rPr>
            </w:pPr>
          </w:p>
        </w:tc>
        <w:tc>
          <w:tcPr>
            <w:tcW w:w="1134" w:type="dxa"/>
            <w:vAlign w:val="top"/>
          </w:tcPr>
          <w:p w14:paraId="5B69E3D6">
            <w:pPr>
              <w:jc w:val="center"/>
              <w:rPr>
                <w:rFonts w:ascii="黑体" w:hAnsi="黑体" w:eastAsia="黑体"/>
                <w:color w:val="auto"/>
                <w:sz w:val="24"/>
                <w:szCs w:val="24"/>
                <w:highlight w:val="none"/>
              </w:rPr>
            </w:pPr>
          </w:p>
        </w:tc>
        <w:tc>
          <w:tcPr>
            <w:tcW w:w="1134" w:type="dxa"/>
            <w:vAlign w:val="top"/>
          </w:tcPr>
          <w:p w14:paraId="1E5DCE29">
            <w:pPr>
              <w:jc w:val="center"/>
              <w:rPr>
                <w:rFonts w:ascii="黑体" w:hAnsi="黑体" w:eastAsia="黑体"/>
                <w:color w:val="auto"/>
                <w:sz w:val="24"/>
                <w:szCs w:val="24"/>
                <w:highlight w:val="none"/>
              </w:rPr>
            </w:pPr>
          </w:p>
        </w:tc>
        <w:tc>
          <w:tcPr>
            <w:tcW w:w="1134" w:type="dxa"/>
            <w:vAlign w:val="top"/>
          </w:tcPr>
          <w:p w14:paraId="4234107F">
            <w:pPr>
              <w:jc w:val="center"/>
              <w:rPr>
                <w:rFonts w:ascii="黑体" w:hAnsi="黑体" w:eastAsia="黑体"/>
                <w:color w:val="auto"/>
                <w:sz w:val="24"/>
                <w:szCs w:val="24"/>
                <w:highlight w:val="none"/>
              </w:rPr>
            </w:pPr>
          </w:p>
        </w:tc>
        <w:tc>
          <w:tcPr>
            <w:tcW w:w="1134" w:type="dxa"/>
            <w:vAlign w:val="center"/>
          </w:tcPr>
          <w:p w14:paraId="370E5C69">
            <w:pPr>
              <w:jc w:val="center"/>
              <w:rPr>
                <w:rFonts w:ascii="黑体" w:hAnsi="黑体" w:eastAsia="黑体"/>
                <w:color w:val="auto"/>
                <w:sz w:val="24"/>
                <w:szCs w:val="24"/>
                <w:highlight w:val="none"/>
              </w:rPr>
            </w:pPr>
          </w:p>
        </w:tc>
        <w:tc>
          <w:tcPr>
            <w:tcW w:w="1134" w:type="dxa"/>
            <w:vAlign w:val="top"/>
          </w:tcPr>
          <w:p w14:paraId="31633D06">
            <w:pPr>
              <w:jc w:val="center"/>
              <w:rPr>
                <w:rFonts w:ascii="黑体" w:hAnsi="黑体" w:eastAsia="黑体"/>
                <w:color w:val="auto"/>
                <w:sz w:val="24"/>
                <w:szCs w:val="24"/>
                <w:highlight w:val="none"/>
              </w:rPr>
            </w:pPr>
          </w:p>
        </w:tc>
        <w:tc>
          <w:tcPr>
            <w:tcW w:w="1276" w:type="dxa"/>
            <w:vAlign w:val="center"/>
          </w:tcPr>
          <w:p w14:paraId="1B2B8728">
            <w:pPr>
              <w:jc w:val="center"/>
              <w:rPr>
                <w:rFonts w:ascii="黑体" w:hAnsi="黑体" w:eastAsia="黑体"/>
                <w:color w:val="auto"/>
                <w:sz w:val="24"/>
                <w:szCs w:val="24"/>
                <w:highlight w:val="none"/>
              </w:rPr>
            </w:pPr>
          </w:p>
        </w:tc>
        <w:tc>
          <w:tcPr>
            <w:tcW w:w="1843" w:type="dxa"/>
            <w:vAlign w:val="center"/>
          </w:tcPr>
          <w:p w14:paraId="779C0719">
            <w:pPr>
              <w:jc w:val="center"/>
              <w:rPr>
                <w:rFonts w:ascii="黑体" w:hAnsi="黑体" w:eastAsia="黑体"/>
                <w:color w:val="auto"/>
                <w:sz w:val="24"/>
                <w:szCs w:val="24"/>
                <w:highlight w:val="none"/>
              </w:rPr>
            </w:pPr>
          </w:p>
        </w:tc>
      </w:tr>
      <w:tr w14:paraId="6D73D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709" w:type="dxa"/>
            <w:vAlign w:val="center"/>
          </w:tcPr>
          <w:p w14:paraId="553D1157">
            <w:pPr>
              <w:widowControl w:val="0"/>
              <w:jc w:val="center"/>
              <w:rPr>
                <w:rFonts w:ascii="黑体" w:hAnsi="黑体" w:eastAsia="黑体"/>
                <w:color w:val="auto"/>
                <w:sz w:val="24"/>
                <w:szCs w:val="24"/>
                <w:highlight w:val="none"/>
              </w:rPr>
            </w:pPr>
          </w:p>
        </w:tc>
        <w:tc>
          <w:tcPr>
            <w:tcW w:w="3544" w:type="dxa"/>
            <w:vAlign w:val="center"/>
          </w:tcPr>
          <w:p w14:paraId="3AFD6D39">
            <w:pPr>
              <w:jc w:val="center"/>
              <w:rPr>
                <w:rFonts w:ascii="黑体" w:hAnsi="黑体" w:eastAsia="黑体"/>
                <w:color w:val="auto"/>
                <w:sz w:val="24"/>
                <w:szCs w:val="24"/>
                <w:highlight w:val="none"/>
              </w:rPr>
            </w:pPr>
          </w:p>
        </w:tc>
        <w:tc>
          <w:tcPr>
            <w:tcW w:w="1134" w:type="dxa"/>
            <w:vAlign w:val="top"/>
          </w:tcPr>
          <w:p w14:paraId="0F981339">
            <w:pPr>
              <w:jc w:val="center"/>
              <w:rPr>
                <w:rFonts w:ascii="黑体" w:hAnsi="黑体" w:eastAsia="黑体"/>
                <w:color w:val="auto"/>
                <w:sz w:val="24"/>
                <w:szCs w:val="24"/>
                <w:highlight w:val="none"/>
              </w:rPr>
            </w:pPr>
          </w:p>
        </w:tc>
        <w:tc>
          <w:tcPr>
            <w:tcW w:w="1134" w:type="dxa"/>
            <w:vAlign w:val="top"/>
          </w:tcPr>
          <w:p w14:paraId="68F87E97">
            <w:pPr>
              <w:jc w:val="center"/>
              <w:rPr>
                <w:rFonts w:ascii="黑体" w:hAnsi="黑体" w:eastAsia="黑体"/>
                <w:color w:val="auto"/>
                <w:sz w:val="24"/>
                <w:szCs w:val="24"/>
                <w:highlight w:val="none"/>
              </w:rPr>
            </w:pPr>
          </w:p>
        </w:tc>
        <w:tc>
          <w:tcPr>
            <w:tcW w:w="1134" w:type="dxa"/>
            <w:vAlign w:val="top"/>
          </w:tcPr>
          <w:p w14:paraId="7C952465">
            <w:pPr>
              <w:jc w:val="center"/>
              <w:rPr>
                <w:rFonts w:ascii="黑体" w:hAnsi="黑体" w:eastAsia="黑体"/>
                <w:color w:val="auto"/>
                <w:sz w:val="24"/>
                <w:szCs w:val="24"/>
                <w:highlight w:val="none"/>
              </w:rPr>
            </w:pPr>
          </w:p>
        </w:tc>
        <w:tc>
          <w:tcPr>
            <w:tcW w:w="1134" w:type="dxa"/>
            <w:vAlign w:val="center"/>
          </w:tcPr>
          <w:p w14:paraId="54111DA0">
            <w:pPr>
              <w:jc w:val="center"/>
              <w:rPr>
                <w:rFonts w:ascii="黑体" w:hAnsi="黑体" w:eastAsia="黑体"/>
                <w:color w:val="auto"/>
                <w:sz w:val="24"/>
                <w:szCs w:val="24"/>
                <w:highlight w:val="none"/>
              </w:rPr>
            </w:pPr>
          </w:p>
        </w:tc>
        <w:tc>
          <w:tcPr>
            <w:tcW w:w="1134" w:type="dxa"/>
            <w:vAlign w:val="top"/>
          </w:tcPr>
          <w:p w14:paraId="66E92533">
            <w:pPr>
              <w:jc w:val="center"/>
              <w:rPr>
                <w:rFonts w:ascii="黑体" w:hAnsi="黑体" w:eastAsia="黑体"/>
                <w:color w:val="auto"/>
                <w:sz w:val="24"/>
                <w:szCs w:val="24"/>
                <w:highlight w:val="none"/>
              </w:rPr>
            </w:pPr>
          </w:p>
        </w:tc>
        <w:tc>
          <w:tcPr>
            <w:tcW w:w="1276" w:type="dxa"/>
            <w:vAlign w:val="center"/>
          </w:tcPr>
          <w:p w14:paraId="299A668F">
            <w:pPr>
              <w:jc w:val="center"/>
              <w:rPr>
                <w:rFonts w:ascii="黑体" w:hAnsi="黑体" w:eastAsia="黑体"/>
                <w:color w:val="auto"/>
                <w:sz w:val="24"/>
                <w:szCs w:val="24"/>
                <w:highlight w:val="none"/>
              </w:rPr>
            </w:pPr>
          </w:p>
        </w:tc>
        <w:tc>
          <w:tcPr>
            <w:tcW w:w="1843" w:type="dxa"/>
            <w:vAlign w:val="center"/>
          </w:tcPr>
          <w:p w14:paraId="4F0FBA42">
            <w:pPr>
              <w:jc w:val="center"/>
              <w:rPr>
                <w:rFonts w:ascii="黑体" w:hAnsi="黑体" w:eastAsia="黑体"/>
                <w:color w:val="auto"/>
                <w:sz w:val="24"/>
                <w:szCs w:val="24"/>
                <w:highlight w:val="none"/>
              </w:rPr>
            </w:pPr>
          </w:p>
        </w:tc>
      </w:tr>
      <w:tr w14:paraId="26D7E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709" w:type="dxa"/>
            <w:vAlign w:val="center"/>
          </w:tcPr>
          <w:p w14:paraId="248F00F4">
            <w:pPr>
              <w:widowControl w:val="0"/>
              <w:jc w:val="center"/>
              <w:rPr>
                <w:rFonts w:ascii="黑体" w:hAnsi="黑体" w:eastAsia="黑体"/>
                <w:color w:val="auto"/>
                <w:sz w:val="24"/>
                <w:szCs w:val="24"/>
                <w:highlight w:val="none"/>
              </w:rPr>
            </w:pPr>
          </w:p>
        </w:tc>
        <w:tc>
          <w:tcPr>
            <w:tcW w:w="3544" w:type="dxa"/>
            <w:vAlign w:val="center"/>
          </w:tcPr>
          <w:p w14:paraId="29810A37">
            <w:pPr>
              <w:jc w:val="center"/>
              <w:rPr>
                <w:rFonts w:ascii="黑体" w:hAnsi="黑体" w:eastAsia="黑体"/>
                <w:color w:val="auto"/>
                <w:sz w:val="24"/>
                <w:szCs w:val="24"/>
                <w:highlight w:val="none"/>
              </w:rPr>
            </w:pPr>
          </w:p>
        </w:tc>
        <w:tc>
          <w:tcPr>
            <w:tcW w:w="1134" w:type="dxa"/>
            <w:vAlign w:val="top"/>
          </w:tcPr>
          <w:p w14:paraId="03FB1A96">
            <w:pPr>
              <w:jc w:val="center"/>
              <w:rPr>
                <w:rFonts w:ascii="黑体" w:hAnsi="黑体" w:eastAsia="黑体"/>
                <w:color w:val="auto"/>
                <w:sz w:val="24"/>
                <w:szCs w:val="24"/>
                <w:highlight w:val="none"/>
              </w:rPr>
            </w:pPr>
          </w:p>
        </w:tc>
        <w:tc>
          <w:tcPr>
            <w:tcW w:w="1134" w:type="dxa"/>
            <w:vAlign w:val="top"/>
          </w:tcPr>
          <w:p w14:paraId="18ED35CF">
            <w:pPr>
              <w:jc w:val="center"/>
              <w:rPr>
                <w:rFonts w:ascii="黑体" w:hAnsi="黑体" w:eastAsia="黑体"/>
                <w:color w:val="auto"/>
                <w:sz w:val="24"/>
                <w:szCs w:val="24"/>
                <w:highlight w:val="none"/>
              </w:rPr>
            </w:pPr>
          </w:p>
        </w:tc>
        <w:tc>
          <w:tcPr>
            <w:tcW w:w="1134" w:type="dxa"/>
            <w:vAlign w:val="top"/>
          </w:tcPr>
          <w:p w14:paraId="64177F8F">
            <w:pPr>
              <w:jc w:val="center"/>
              <w:rPr>
                <w:rFonts w:ascii="黑体" w:hAnsi="黑体" w:eastAsia="黑体"/>
                <w:color w:val="auto"/>
                <w:sz w:val="24"/>
                <w:szCs w:val="24"/>
                <w:highlight w:val="none"/>
              </w:rPr>
            </w:pPr>
          </w:p>
        </w:tc>
        <w:tc>
          <w:tcPr>
            <w:tcW w:w="1134" w:type="dxa"/>
            <w:vAlign w:val="center"/>
          </w:tcPr>
          <w:p w14:paraId="767EA633">
            <w:pPr>
              <w:jc w:val="center"/>
              <w:rPr>
                <w:rFonts w:ascii="黑体" w:hAnsi="黑体" w:eastAsia="黑体"/>
                <w:color w:val="auto"/>
                <w:sz w:val="24"/>
                <w:szCs w:val="24"/>
                <w:highlight w:val="none"/>
              </w:rPr>
            </w:pPr>
          </w:p>
        </w:tc>
        <w:tc>
          <w:tcPr>
            <w:tcW w:w="1134" w:type="dxa"/>
            <w:vAlign w:val="top"/>
          </w:tcPr>
          <w:p w14:paraId="3755EA05">
            <w:pPr>
              <w:jc w:val="center"/>
              <w:rPr>
                <w:rFonts w:ascii="黑体" w:hAnsi="黑体" w:eastAsia="黑体"/>
                <w:color w:val="auto"/>
                <w:sz w:val="24"/>
                <w:szCs w:val="24"/>
                <w:highlight w:val="none"/>
              </w:rPr>
            </w:pPr>
          </w:p>
        </w:tc>
        <w:tc>
          <w:tcPr>
            <w:tcW w:w="1276" w:type="dxa"/>
            <w:vAlign w:val="center"/>
          </w:tcPr>
          <w:p w14:paraId="31B52188">
            <w:pPr>
              <w:jc w:val="center"/>
              <w:rPr>
                <w:rFonts w:ascii="黑体" w:hAnsi="黑体" w:eastAsia="黑体"/>
                <w:color w:val="auto"/>
                <w:sz w:val="24"/>
                <w:szCs w:val="24"/>
                <w:highlight w:val="none"/>
              </w:rPr>
            </w:pPr>
          </w:p>
        </w:tc>
        <w:tc>
          <w:tcPr>
            <w:tcW w:w="1843" w:type="dxa"/>
            <w:vAlign w:val="center"/>
          </w:tcPr>
          <w:p w14:paraId="085FD310">
            <w:pPr>
              <w:jc w:val="center"/>
              <w:rPr>
                <w:rFonts w:ascii="黑体" w:hAnsi="黑体" w:eastAsia="黑体"/>
                <w:color w:val="auto"/>
                <w:sz w:val="24"/>
                <w:szCs w:val="24"/>
                <w:highlight w:val="none"/>
              </w:rPr>
            </w:pPr>
          </w:p>
        </w:tc>
      </w:tr>
      <w:tr w14:paraId="604F8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709" w:type="dxa"/>
            <w:vAlign w:val="center"/>
          </w:tcPr>
          <w:p w14:paraId="7E893ECB">
            <w:pPr>
              <w:widowControl w:val="0"/>
              <w:jc w:val="center"/>
              <w:rPr>
                <w:rFonts w:ascii="黑体" w:hAnsi="黑体" w:eastAsia="黑体"/>
                <w:color w:val="auto"/>
                <w:sz w:val="24"/>
                <w:szCs w:val="24"/>
                <w:highlight w:val="none"/>
              </w:rPr>
            </w:pPr>
          </w:p>
        </w:tc>
        <w:tc>
          <w:tcPr>
            <w:tcW w:w="3544" w:type="dxa"/>
            <w:vAlign w:val="center"/>
          </w:tcPr>
          <w:p w14:paraId="4A82DCF3">
            <w:pPr>
              <w:jc w:val="center"/>
              <w:rPr>
                <w:rFonts w:ascii="黑体" w:hAnsi="黑体" w:eastAsia="黑体"/>
                <w:color w:val="auto"/>
                <w:sz w:val="24"/>
                <w:szCs w:val="24"/>
                <w:highlight w:val="none"/>
              </w:rPr>
            </w:pPr>
          </w:p>
        </w:tc>
        <w:tc>
          <w:tcPr>
            <w:tcW w:w="1134" w:type="dxa"/>
            <w:vAlign w:val="top"/>
          </w:tcPr>
          <w:p w14:paraId="353FF6E4">
            <w:pPr>
              <w:jc w:val="center"/>
              <w:rPr>
                <w:rFonts w:ascii="黑体" w:hAnsi="黑体" w:eastAsia="黑体"/>
                <w:color w:val="auto"/>
                <w:sz w:val="24"/>
                <w:szCs w:val="24"/>
                <w:highlight w:val="none"/>
              </w:rPr>
            </w:pPr>
          </w:p>
        </w:tc>
        <w:tc>
          <w:tcPr>
            <w:tcW w:w="1134" w:type="dxa"/>
            <w:vAlign w:val="top"/>
          </w:tcPr>
          <w:p w14:paraId="3C882DA4">
            <w:pPr>
              <w:jc w:val="center"/>
              <w:rPr>
                <w:rFonts w:ascii="黑体" w:hAnsi="黑体" w:eastAsia="黑体"/>
                <w:color w:val="auto"/>
                <w:sz w:val="24"/>
                <w:szCs w:val="24"/>
                <w:highlight w:val="none"/>
              </w:rPr>
            </w:pPr>
          </w:p>
        </w:tc>
        <w:tc>
          <w:tcPr>
            <w:tcW w:w="1134" w:type="dxa"/>
            <w:vAlign w:val="top"/>
          </w:tcPr>
          <w:p w14:paraId="1E022658">
            <w:pPr>
              <w:jc w:val="center"/>
              <w:rPr>
                <w:rFonts w:ascii="黑体" w:hAnsi="黑体" w:eastAsia="黑体"/>
                <w:color w:val="auto"/>
                <w:sz w:val="24"/>
                <w:szCs w:val="24"/>
                <w:highlight w:val="none"/>
              </w:rPr>
            </w:pPr>
          </w:p>
        </w:tc>
        <w:tc>
          <w:tcPr>
            <w:tcW w:w="1134" w:type="dxa"/>
            <w:vAlign w:val="center"/>
          </w:tcPr>
          <w:p w14:paraId="026E30ED">
            <w:pPr>
              <w:jc w:val="center"/>
              <w:rPr>
                <w:rFonts w:ascii="黑体" w:hAnsi="黑体" w:eastAsia="黑体"/>
                <w:color w:val="auto"/>
                <w:sz w:val="24"/>
                <w:szCs w:val="24"/>
                <w:highlight w:val="none"/>
              </w:rPr>
            </w:pPr>
          </w:p>
        </w:tc>
        <w:tc>
          <w:tcPr>
            <w:tcW w:w="1134" w:type="dxa"/>
            <w:vAlign w:val="top"/>
          </w:tcPr>
          <w:p w14:paraId="7224635D">
            <w:pPr>
              <w:jc w:val="center"/>
              <w:rPr>
                <w:rFonts w:ascii="黑体" w:hAnsi="黑体" w:eastAsia="黑体"/>
                <w:color w:val="auto"/>
                <w:sz w:val="24"/>
                <w:szCs w:val="24"/>
                <w:highlight w:val="none"/>
              </w:rPr>
            </w:pPr>
          </w:p>
        </w:tc>
        <w:tc>
          <w:tcPr>
            <w:tcW w:w="1276" w:type="dxa"/>
            <w:vAlign w:val="center"/>
          </w:tcPr>
          <w:p w14:paraId="363DB0A7">
            <w:pPr>
              <w:jc w:val="center"/>
              <w:rPr>
                <w:rFonts w:ascii="黑体" w:hAnsi="黑体" w:eastAsia="黑体"/>
                <w:color w:val="auto"/>
                <w:sz w:val="24"/>
                <w:szCs w:val="24"/>
                <w:highlight w:val="none"/>
              </w:rPr>
            </w:pPr>
          </w:p>
        </w:tc>
        <w:tc>
          <w:tcPr>
            <w:tcW w:w="1843" w:type="dxa"/>
            <w:vAlign w:val="center"/>
          </w:tcPr>
          <w:p w14:paraId="71DC9911">
            <w:pPr>
              <w:jc w:val="center"/>
              <w:rPr>
                <w:rFonts w:ascii="黑体" w:hAnsi="黑体" w:eastAsia="黑体"/>
                <w:color w:val="auto"/>
                <w:sz w:val="24"/>
                <w:szCs w:val="24"/>
                <w:highlight w:val="none"/>
              </w:rPr>
            </w:pPr>
          </w:p>
        </w:tc>
      </w:tr>
      <w:tr w14:paraId="5AE01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709" w:type="dxa"/>
            <w:vAlign w:val="center"/>
          </w:tcPr>
          <w:p w14:paraId="68E09FC9">
            <w:pPr>
              <w:widowControl w:val="0"/>
              <w:jc w:val="center"/>
              <w:rPr>
                <w:rFonts w:ascii="黑体" w:hAnsi="黑体" w:eastAsia="黑体"/>
                <w:color w:val="auto"/>
                <w:sz w:val="24"/>
                <w:szCs w:val="24"/>
                <w:highlight w:val="none"/>
              </w:rPr>
            </w:pPr>
          </w:p>
        </w:tc>
        <w:tc>
          <w:tcPr>
            <w:tcW w:w="3544" w:type="dxa"/>
            <w:vAlign w:val="center"/>
          </w:tcPr>
          <w:p w14:paraId="62562C2F">
            <w:pPr>
              <w:jc w:val="center"/>
              <w:rPr>
                <w:rFonts w:ascii="黑体" w:hAnsi="黑体" w:eastAsia="黑体"/>
                <w:color w:val="auto"/>
                <w:sz w:val="24"/>
                <w:szCs w:val="24"/>
                <w:highlight w:val="none"/>
              </w:rPr>
            </w:pPr>
          </w:p>
        </w:tc>
        <w:tc>
          <w:tcPr>
            <w:tcW w:w="1134" w:type="dxa"/>
            <w:vAlign w:val="top"/>
          </w:tcPr>
          <w:p w14:paraId="1B182081">
            <w:pPr>
              <w:jc w:val="center"/>
              <w:rPr>
                <w:rFonts w:ascii="黑体" w:hAnsi="黑体" w:eastAsia="黑体"/>
                <w:color w:val="auto"/>
                <w:sz w:val="24"/>
                <w:szCs w:val="24"/>
                <w:highlight w:val="none"/>
              </w:rPr>
            </w:pPr>
          </w:p>
        </w:tc>
        <w:tc>
          <w:tcPr>
            <w:tcW w:w="1134" w:type="dxa"/>
            <w:vAlign w:val="top"/>
          </w:tcPr>
          <w:p w14:paraId="7C9B3733">
            <w:pPr>
              <w:jc w:val="center"/>
              <w:rPr>
                <w:rFonts w:ascii="黑体" w:hAnsi="黑体" w:eastAsia="黑体"/>
                <w:color w:val="auto"/>
                <w:sz w:val="24"/>
                <w:szCs w:val="24"/>
                <w:highlight w:val="none"/>
              </w:rPr>
            </w:pPr>
          </w:p>
        </w:tc>
        <w:tc>
          <w:tcPr>
            <w:tcW w:w="1134" w:type="dxa"/>
            <w:vAlign w:val="top"/>
          </w:tcPr>
          <w:p w14:paraId="757C41D6">
            <w:pPr>
              <w:jc w:val="center"/>
              <w:rPr>
                <w:rFonts w:ascii="黑体" w:hAnsi="黑体" w:eastAsia="黑体"/>
                <w:color w:val="auto"/>
                <w:sz w:val="24"/>
                <w:szCs w:val="24"/>
                <w:highlight w:val="none"/>
              </w:rPr>
            </w:pPr>
          </w:p>
        </w:tc>
        <w:tc>
          <w:tcPr>
            <w:tcW w:w="1134" w:type="dxa"/>
            <w:vAlign w:val="center"/>
          </w:tcPr>
          <w:p w14:paraId="2E23DD63">
            <w:pPr>
              <w:jc w:val="center"/>
              <w:rPr>
                <w:rFonts w:ascii="黑体" w:hAnsi="黑体" w:eastAsia="黑体"/>
                <w:color w:val="auto"/>
                <w:sz w:val="24"/>
                <w:szCs w:val="24"/>
                <w:highlight w:val="none"/>
              </w:rPr>
            </w:pPr>
          </w:p>
        </w:tc>
        <w:tc>
          <w:tcPr>
            <w:tcW w:w="1134" w:type="dxa"/>
            <w:vAlign w:val="top"/>
          </w:tcPr>
          <w:p w14:paraId="3F73CD7A">
            <w:pPr>
              <w:jc w:val="center"/>
              <w:rPr>
                <w:rFonts w:ascii="黑体" w:hAnsi="黑体" w:eastAsia="黑体"/>
                <w:color w:val="auto"/>
                <w:sz w:val="24"/>
                <w:szCs w:val="24"/>
                <w:highlight w:val="none"/>
              </w:rPr>
            </w:pPr>
          </w:p>
        </w:tc>
        <w:tc>
          <w:tcPr>
            <w:tcW w:w="1276" w:type="dxa"/>
            <w:vAlign w:val="center"/>
          </w:tcPr>
          <w:p w14:paraId="07078139">
            <w:pPr>
              <w:jc w:val="center"/>
              <w:rPr>
                <w:rFonts w:ascii="黑体" w:hAnsi="黑体" w:eastAsia="黑体"/>
                <w:color w:val="auto"/>
                <w:sz w:val="24"/>
                <w:szCs w:val="24"/>
                <w:highlight w:val="none"/>
              </w:rPr>
            </w:pPr>
          </w:p>
        </w:tc>
        <w:tc>
          <w:tcPr>
            <w:tcW w:w="1843" w:type="dxa"/>
            <w:vAlign w:val="center"/>
          </w:tcPr>
          <w:p w14:paraId="148D8AB4">
            <w:pPr>
              <w:jc w:val="center"/>
              <w:rPr>
                <w:rFonts w:ascii="黑体" w:hAnsi="黑体" w:eastAsia="黑体"/>
                <w:color w:val="auto"/>
                <w:sz w:val="24"/>
                <w:szCs w:val="24"/>
                <w:highlight w:val="none"/>
              </w:rPr>
            </w:pPr>
          </w:p>
        </w:tc>
      </w:tr>
      <w:tr w14:paraId="274F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709" w:type="dxa"/>
            <w:vAlign w:val="center"/>
          </w:tcPr>
          <w:p w14:paraId="2E151342">
            <w:pPr>
              <w:widowControl w:val="0"/>
              <w:jc w:val="center"/>
              <w:rPr>
                <w:rFonts w:ascii="黑体" w:hAnsi="黑体" w:eastAsia="黑体"/>
                <w:color w:val="auto"/>
                <w:sz w:val="24"/>
                <w:szCs w:val="24"/>
                <w:highlight w:val="none"/>
              </w:rPr>
            </w:pPr>
          </w:p>
        </w:tc>
        <w:tc>
          <w:tcPr>
            <w:tcW w:w="3544" w:type="dxa"/>
            <w:vAlign w:val="center"/>
          </w:tcPr>
          <w:p w14:paraId="7E6B015F">
            <w:pPr>
              <w:jc w:val="center"/>
              <w:rPr>
                <w:rFonts w:ascii="黑体" w:hAnsi="黑体" w:eastAsia="黑体"/>
                <w:color w:val="auto"/>
                <w:sz w:val="24"/>
                <w:szCs w:val="24"/>
                <w:highlight w:val="none"/>
              </w:rPr>
            </w:pPr>
          </w:p>
        </w:tc>
        <w:tc>
          <w:tcPr>
            <w:tcW w:w="1134" w:type="dxa"/>
            <w:vAlign w:val="top"/>
          </w:tcPr>
          <w:p w14:paraId="161C353B">
            <w:pPr>
              <w:jc w:val="center"/>
              <w:rPr>
                <w:rFonts w:ascii="黑体" w:hAnsi="黑体" w:eastAsia="黑体"/>
                <w:color w:val="auto"/>
                <w:sz w:val="24"/>
                <w:szCs w:val="24"/>
                <w:highlight w:val="none"/>
              </w:rPr>
            </w:pPr>
          </w:p>
        </w:tc>
        <w:tc>
          <w:tcPr>
            <w:tcW w:w="1134" w:type="dxa"/>
            <w:vAlign w:val="top"/>
          </w:tcPr>
          <w:p w14:paraId="198B710E">
            <w:pPr>
              <w:jc w:val="center"/>
              <w:rPr>
                <w:rFonts w:ascii="黑体" w:hAnsi="黑体" w:eastAsia="黑体"/>
                <w:color w:val="auto"/>
                <w:sz w:val="24"/>
                <w:szCs w:val="24"/>
                <w:highlight w:val="none"/>
              </w:rPr>
            </w:pPr>
          </w:p>
        </w:tc>
        <w:tc>
          <w:tcPr>
            <w:tcW w:w="1134" w:type="dxa"/>
            <w:vAlign w:val="top"/>
          </w:tcPr>
          <w:p w14:paraId="560AE1F8">
            <w:pPr>
              <w:jc w:val="center"/>
              <w:rPr>
                <w:rFonts w:ascii="黑体" w:hAnsi="黑体" w:eastAsia="黑体"/>
                <w:color w:val="auto"/>
                <w:sz w:val="24"/>
                <w:szCs w:val="24"/>
                <w:highlight w:val="none"/>
              </w:rPr>
            </w:pPr>
          </w:p>
        </w:tc>
        <w:tc>
          <w:tcPr>
            <w:tcW w:w="1134" w:type="dxa"/>
            <w:vAlign w:val="center"/>
          </w:tcPr>
          <w:p w14:paraId="6BAE6C5C">
            <w:pPr>
              <w:jc w:val="center"/>
              <w:rPr>
                <w:rFonts w:ascii="黑体" w:hAnsi="黑体" w:eastAsia="黑体"/>
                <w:color w:val="auto"/>
                <w:sz w:val="24"/>
                <w:szCs w:val="24"/>
                <w:highlight w:val="none"/>
              </w:rPr>
            </w:pPr>
          </w:p>
        </w:tc>
        <w:tc>
          <w:tcPr>
            <w:tcW w:w="1134" w:type="dxa"/>
            <w:vAlign w:val="top"/>
          </w:tcPr>
          <w:p w14:paraId="4B81CE96">
            <w:pPr>
              <w:jc w:val="center"/>
              <w:rPr>
                <w:rFonts w:ascii="黑体" w:hAnsi="黑体" w:eastAsia="黑体"/>
                <w:color w:val="auto"/>
                <w:sz w:val="24"/>
                <w:szCs w:val="24"/>
                <w:highlight w:val="none"/>
              </w:rPr>
            </w:pPr>
          </w:p>
        </w:tc>
        <w:tc>
          <w:tcPr>
            <w:tcW w:w="1276" w:type="dxa"/>
            <w:vAlign w:val="center"/>
          </w:tcPr>
          <w:p w14:paraId="7F17CCDA">
            <w:pPr>
              <w:jc w:val="center"/>
              <w:rPr>
                <w:rFonts w:ascii="黑体" w:hAnsi="黑体" w:eastAsia="黑体"/>
                <w:color w:val="auto"/>
                <w:sz w:val="24"/>
                <w:szCs w:val="24"/>
                <w:highlight w:val="none"/>
              </w:rPr>
            </w:pPr>
          </w:p>
        </w:tc>
        <w:tc>
          <w:tcPr>
            <w:tcW w:w="1843" w:type="dxa"/>
            <w:vAlign w:val="center"/>
          </w:tcPr>
          <w:p w14:paraId="6DEF435D">
            <w:pPr>
              <w:jc w:val="center"/>
              <w:rPr>
                <w:rFonts w:ascii="黑体" w:hAnsi="黑体" w:eastAsia="黑体"/>
                <w:color w:val="auto"/>
                <w:sz w:val="24"/>
                <w:szCs w:val="24"/>
                <w:highlight w:val="none"/>
              </w:rPr>
            </w:pPr>
          </w:p>
        </w:tc>
      </w:tr>
      <w:tr w14:paraId="2A883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exact"/>
        </w:trPr>
        <w:tc>
          <w:tcPr>
            <w:tcW w:w="13042" w:type="dxa"/>
            <w:gridSpan w:val="9"/>
            <w:vAlign w:val="center"/>
          </w:tcPr>
          <w:p w14:paraId="60277D7D">
            <w:pPr>
              <w:spacing w:line="360" w:lineRule="auto"/>
              <w:rPr>
                <w:rFonts w:ascii="黑体" w:hAnsi="黑体" w:eastAsia="黑体"/>
                <w:color w:val="auto"/>
                <w:sz w:val="24"/>
                <w:szCs w:val="24"/>
                <w:highlight w:val="none"/>
              </w:rPr>
            </w:pPr>
            <w:r>
              <w:rPr>
                <w:rFonts w:hint="eastAsia" w:ascii="黑体" w:hAnsi="黑体" w:eastAsia="黑体"/>
                <w:color w:val="auto"/>
                <w:sz w:val="24"/>
                <w:szCs w:val="24"/>
                <w:highlight w:val="none"/>
              </w:rPr>
              <w:t>评标委员会签名：</w:t>
            </w:r>
          </w:p>
          <w:p w14:paraId="5D45F0B6">
            <w:pPr>
              <w:jc w:val="center"/>
              <w:rPr>
                <w:rFonts w:ascii="黑体" w:hAnsi="黑体" w:eastAsia="黑体"/>
                <w:b/>
                <w:color w:val="auto"/>
                <w:sz w:val="24"/>
                <w:szCs w:val="24"/>
                <w:highlight w:val="none"/>
              </w:rPr>
            </w:pPr>
          </w:p>
          <w:p w14:paraId="3545BFC2">
            <w:pPr>
              <w:jc w:val="right"/>
              <w:rPr>
                <w:rFonts w:ascii="黑体" w:hAnsi="黑体" w:eastAsia="黑体"/>
                <w:color w:val="auto"/>
                <w:sz w:val="24"/>
                <w:szCs w:val="24"/>
                <w:highlight w:val="none"/>
              </w:rPr>
            </w:pPr>
            <w:r>
              <w:rPr>
                <w:rFonts w:hint="eastAsia" w:ascii="黑体" w:hAnsi="黑体" w:eastAsia="黑体"/>
                <w:color w:val="auto"/>
                <w:sz w:val="24"/>
                <w:szCs w:val="24"/>
                <w:highlight w:val="none"/>
              </w:rPr>
              <w:t>日期：     年   月  日</w:t>
            </w:r>
          </w:p>
        </w:tc>
      </w:tr>
    </w:tbl>
    <w:p w14:paraId="0167CC68">
      <w:pPr>
        <w:adjustRightInd w:val="0"/>
        <w:snapToGrid w:val="0"/>
        <w:spacing w:line="360" w:lineRule="auto"/>
        <w:ind w:firstLine="482" w:firstLineChars="200"/>
        <w:rPr>
          <w:rFonts w:ascii="黑体" w:hAnsi="黑体" w:eastAsia="黑体"/>
          <w:b/>
          <w:color w:val="auto"/>
          <w:kern w:val="0"/>
          <w:sz w:val="24"/>
          <w:szCs w:val="24"/>
          <w:highlight w:val="none"/>
        </w:rPr>
      </w:pPr>
      <w:r>
        <w:rPr>
          <w:rFonts w:hint="eastAsia" w:ascii="黑体" w:hAnsi="黑体" w:eastAsia="黑体"/>
          <w:b/>
          <w:color w:val="auto"/>
          <w:kern w:val="0"/>
          <w:sz w:val="24"/>
          <w:szCs w:val="24"/>
          <w:highlight w:val="none"/>
        </w:rPr>
        <w:t>备注：</w:t>
      </w:r>
    </w:p>
    <w:p w14:paraId="332072C3">
      <w:pPr>
        <w:adjustRightInd w:val="0"/>
        <w:snapToGrid w:val="0"/>
        <w:spacing w:line="360" w:lineRule="auto"/>
        <w:ind w:firstLine="420" w:firstLineChars="200"/>
        <w:rPr>
          <w:rFonts w:ascii="黑体" w:eastAsia="黑体"/>
          <w:color w:val="auto"/>
          <w:szCs w:val="21"/>
          <w:highlight w:val="none"/>
        </w:rPr>
      </w:pPr>
      <w:r>
        <w:rPr>
          <w:rFonts w:hint="eastAsia" w:ascii="黑体" w:eastAsia="黑体"/>
          <w:color w:val="auto"/>
          <w:szCs w:val="21"/>
          <w:highlight w:val="none"/>
        </w:rPr>
        <w:t>1.本</w:t>
      </w:r>
      <w:r>
        <w:rPr>
          <w:rFonts w:hint="eastAsia" w:ascii="黑体" w:eastAsia="黑体"/>
          <w:color w:val="auto"/>
          <w:szCs w:val="21"/>
          <w:highlight w:val="none"/>
          <w:lang w:eastAsia="zh-CN"/>
        </w:rPr>
        <w:t>项目</w:t>
      </w:r>
      <w:r>
        <w:rPr>
          <w:rFonts w:hint="eastAsia" w:ascii="黑体" w:eastAsia="黑体"/>
          <w:color w:val="auto"/>
          <w:szCs w:val="21"/>
          <w:highlight w:val="none"/>
        </w:rPr>
        <w:t>采用的评标方法为：</w:t>
      </w:r>
      <w:r>
        <w:rPr>
          <w:rFonts w:hint="eastAsia" w:ascii="黑体" w:eastAsia="黑体"/>
          <w:color w:val="auto"/>
          <w:szCs w:val="21"/>
          <w:highlight w:val="none"/>
          <w:u w:val="single"/>
        </w:rPr>
        <w:t xml:space="preserve">            </w:t>
      </w:r>
      <w:r>
        <w:rPr>
          <w:rFonts w:hint="eastAsia" w:ascii="黑体" w:eastAsia="黑体"/>
          <w:color w:val="auto"/>
          <w:szCs w:val="21"/>
          <w:highlight w:val="none"/>
        </w:rPr>
        <w:t>。</w:t>
      </w:r>
    </w:p>
    <w:p w14:paraId="5BA4FB57">
      <w:pPr>
        <w:adjustRightInd w:val="0"/>
        <w:snapToGrid w:val="0"/>
        <w:spacing w:line="360" w:lineRule="auto"/>
        <w:ind w:firstLine="420" w:firstLineChars="200"/>
        <w:rPr>
          <w:rFonts w:ascii="宋体" w:hAnsi="宋体"/>
          <w:b/>
          <w:color w:val="auto"/>
          <w:sz w:val="24"/>
          <w:highlight w:val="none"/>
        </w:rPr>
        <w:sectPr>
          <w:pgSz w:w="15840" w:h="12240" w:orient="landscape"/>
          <w:pgMar w:top="1797" w:right="1440" w:bottom="1797" w:left="1440" w:header="720" w:footer="720" w:gutter="0"/>
          <w:pgNumType w:fmt="decimal"/>
          <w:cols w:space="720" w:num="1"/>
        </w:sectPr>
      </w:pPr>
      <w:r>
        <w:rPr>
          <w:rFonts w:hint="eastAsia" w:ascii="黑体" w:eastAsia="黑体"/>
          <w:color w:val="auto"/>
          <w:szCs w:val="21"/>
          <w:highlight w:val="none"/>
        </w:rPr>
        <w:t>2.综合得分N=</w:t>
      </w:r>
      <w:r>
        <w:rPr>
          <w:rFonts w:hint="eastAsia" w:ascii="黑体" w:eastAsia="黑体"/>
          <w:color w:val="auto"/>
          <w:szCs w:val="21"/>
          <w:highlight w:val="none"/>
          <w:u w:val="single"/>
        </w:rPr>
        <w:t xml:space="preserve">                          </w:t>
      </w:r>
      <w:r>
        <w:rPr>
          <w:rFonts w:hint="eastAsia" w:ascii="黑体" w:eastAsia="黑体"/>
          <w:color w:val="auto"/>
          <w:szCs w:val="21"/>
          <w:highlight w:val="none"/>
        </w:rPr>
        <w:t>。</w:t>
      </w:r>
    </w:p>
    <w:p w14:paraId="00933603">
      <w:pPr>
        <w:pStyle w:val="7"/>
        <w:ind w:firstLine="640"/>
        <w:jc w:val="center"/>
        <w:rPr>
          <w:rFonts w:ascii="黑体" w:hAnsi="黑体" w:eastAsia="黑体"/>
          <w:color w:val="auto"/>
          <w:sz w:val="32"/>
          <w:szCs w:val="32"/>
          <w:highlight w:val="none"/>
        </w:rPr>
      </w:pPr>
      <w:r>
        <w:rPr>
          <w:rFonts w:hint="eastAsia" w:ascii="黑体" w:hAnsi="黑体" w:eastAsia="黑体"/>
          <w:color w:val="auto"/>
          <w:sz w:val="32"/>
          <w:szCs w:val="32"/>
          <w:highlight w:val="none"/>
        </w:rPr>
        <w:t>（五）其他开评标表格</w:t>
      </w:r>
    </w:p>
    <w:p w14:paraId="43F15A05">
      <w:pPr>
        <w:spacing w:line="360" w:lineRule="auto"/>
        <w:ind w:firstLine="600" w:firstLineChars="200"/>
        <w:jc w:val="center"/>
        <w:rPr>
          <w:rFonts w:ascii="黑体" w:hAnsi="黑体" w:eastAsia="黑体"/>
          <w:color w:val="auto"/>
          <w:sz w:val="30"/>
          <w:szCs w:val="30"/>
          <w:highlight w:val="none"/>
        </w:rPr>
      </w:pPr>
      <w:r>
        <w:rPr>
          <w:rFonts w:hint="eastAsia" w:ascii="黑体" w:hAnsi="黑体" w:eastAsia="黑体"/>
          <w:color w:val="auto"/>
          <w:sz w:val="30"/>
          <w:szCs w:val="30"/>
          <w:highlight w:val="none"/>
        </w:rPr>
        <w:t>1.开标情况记录表</w:t>
      </w:r>
    </w:p>
    <w:p w14:paraId="5E0C8E6E">
      <w:pPr>
        <w:spacing w:line="360" w:lineRule="auto"/>
        <w:ind w:firstLine="480" w:firstLineChars="200"/>
        <w:jc w:val="left"/>
        <w:rPr>
          <w:rFonts w:ascii="黑体" w:hAnsi="黑体" w:eastAsia="黑体"/>
          <w:color w:val="auto"/>
          <w:sz w:val="36"/>
          <w:highlight w:val="none"/>
          <w:u w:val="single"/>
        </w:rPr>
      </w:pPr>
      <w:r>
        <w:rPr>
          <w:rFonts w:hint="eastAsia" w:ascii="黑体" w:hAnsi="黑体" w:eastAsia="黑体"/>
          <w:color w:val="auto"/>
          <w:sz w:val="24"/>
          <w:szCs w:val="24"/>
          <w:highlight w:val="none"/>
          <w:lang w:eastAsia="zh-CN"/>
        </w:rPr>
        <w:t>项目</w:t>
      </w:r>
      <w:r>
        <w:rPr>
          <w:rFonts w:hint="eastAsia" w:ascii="黑体" w:hAnsi="黑体" w:eastAsia="黑体"/>
          <w:color w:val="auto"/>
          <w:sz w:val="24"/>
          <w:szCs w:val="24"/>
          <w:highlight w:val="none"/>
        </w:rPr>
        <w:t>名称：</w:t>
      </w:r>
      <w:r>
        <w:rPr>
          <w:rFonts w:hint="eastAsia" w:ascii="仿宋" w:hAnsi="仿宋" w:eastAsia="仿宋"/>
          <w:b/>
          <w:color w:val="auto"/>
          <w:sz w:val="24"/>
          <w:szCs w:val="24"/>
          <w:highlight w:val="none"/>
          <w:lang w:val="en-US" w:eastAsia="zh-CN"/>
        </w:rPr>
        <w:t>重庆</w:t>
      </w:r>
      <w:r>
        <w:rPr>
          <w:rFonts w:hint="eastAsia" w:ascii="仿宋" w:hAnsi="仿宋" w:eastAsia="仿宋"/>
          <w:b/>
          <w:color w:val="auto"/>
          <w:sz w:val="24"/>
          <w:szCs w:val="24"/>
          <w:highlight w:val="none"/>
          <w:lang w:eastAsia="zh-CN"/>
        </w:rPr>
        <w:t>华南城2026</w:t>
      </w:r>
      <w:r>
        <w:rPr>
          <w:rFonts w:hint="eastAsia" w:ascii="仿宋" w:hAnsi="仿宋" w:eastAsia="仿宋"/>
          <w:b/>
          <w:color w:val="auto"/>
          <w:sz w:val="24"/>
          <w:szCs w:val="24"/>
          <w:highlight w:val="none"/>
          <w:lang w:val="en-US" w:eastAsia="zh-CN"/>
        </w:rPr>
        <w:t>年度绿化养护</w:t>
      </w:r>
      <w:r>
        <w:rPr>
          <w:rFonts w:hint="eastAsia" w:ascii="仿宋" w:hAnsi="仿宋" w:eastAsia="仿宋"/>
          <w:b/>
          <w:color w:val="auto"/>
          <w:sz w:val="24"/>
          <w:szCs w:val="24"/>
          <w:highlight w:val="none"/>
          <w:lang w:eastAsia="zh-CN"/>
        </w:rPr>
        <w:t>外包服务</w:t>
      </w:r>
    </w:p>
    <w:tbl>
      <w:tblPr>
        <w:tblStyle w:val="35"/>
        <w:tblW w:w="88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995"/>
        <w:gridCol w:w="1477"/>
        <w:gridCol w:w="1477"/>
        <w:gridCol w:w="1477"/>
        <w:gridCol w:w="1477"/>
      </w:tblGrid>
      <w:tr w14:paraId="0A3DD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959" w:type="dxa"/>
            <w:vAlign w:val="center"/>
          </w:tcPr>
          <w:p w14:paraId="0D8FBD83">
            <w:pPr>
              <w:jc w:val="center"/>
              <w:rPr>
                <w:rFonts w:ascii="黑体" w:hAnsi="黑体" w:eastAsia="黑体"/>
                <w:color w:val="auto"/>
                <w:sz w:val="24"/>
                <w:szCs w:val="24"/>
                <w:highlight w:val="none"/>
              </w:rPr>
            </w:pPr>
            <w:r>
              <w:rPr>
                <w:rFonts w:hint="eastAsia" w:ascii="黑体" w:hAnsi="黑体" w:eastAsia="黑体"/>
                <w:color w:val="auto"/>
                <w:sz w:val="24"/>
                <w:szCs w:val="24"/>
                <w:highlight w:val="none"/>
              </w:rPr>
              <w:t>序号</w:t>
            </w:r>
          </w:p>
        </w:tc>
        <w:tc>
          <w:tcPr>
            <w:tcW w:w="1995" w:type="dxa"/>
            <w:vAlign w:val="center"/>
          </w:tcPr>
          <w:p w14:paraId="7A7D1BD4">
            <w:pPr>
              <w:jc w:val="center"/>
              <w:rPr>
                <w:rFonts w:ascii="黑体" w:hAnsi="黑体" w:eastAsia="黑体"/>
                <w:color w:val="auto"/>
                <w:sz w:val="24"/>
                <w:szCs w:val="24"/>
                <w:highlight w:val="none"/>
              </w:rPr>
            </w:pPr>
            <w:r>
              <w:rPr>
                <w:rFonts w:hint="eastAsia" w:ascii="黑体" w:hAnsi="黑体" w:eastAsia="黑体"/>
                <w:color w:val="auto"/>
                <w:sz w:val="24"/>
                <w:szCs w:val="24"/>
                <w:highlight w:val="none"/>
              </w:rPr>
              <w:t>投标人名称</w:t>
            </w:r>
          </w:p>
        </w:tc>
        <w:tc>
          <w:tcPr>
            <w:tcW w:w="1477" w:type="dxa"/>
            <w:vAlign w:val="center"/>
          </w:tcPr>
          <w:p w14:paraId="3BB5EF82">
            <w:pPr>
              <w:jc w:val="center"/>
              <w:rPr>
                <w:rFonts w:ascii="黑体" w:hAnsi="黑体" w:eastAsia="黑体"/>
                <w:color w:val="auto"/>
                <w:sz w:val="24"/>
                <w:szCs w:val="24"/>
                <w:highlight w:val="none"/>
              </w:rPr>
            </w:pPr>
            <w:r>
              <w:rPr>
                <w:rFonts w:hint="eastAsia" w:ascii="黑体" w:hAnsi="黑体" w:eastAsia="黑体"/>
                <w:color w:val="auto"/>
                <w:sz w:val="24"/>
                <w:szCs w:val="24"/>
                <w:highlight w:val="none"/>
              </w:rPr>
              <w:t>投标报价（元）</w:t>
            </w:r>
          </w:p>
        </w:tc>
        <w:tc>
          <w:tcPr>
            <w:tcW w:w="1477" w:type="dxa"/>
            <w:vAlign w:val="center"/>
          </w:tcPr>
          <w:p w14:paraId="2491681E">
            <w:pPr>
              <w:jc w:val="center"/>
              <w:rPr>
                <w:rFonts w:hint="default" w:ascii="黑体" w:hAnsi="黑体" w:eastAsia="黑体"/>
                <w:color w:val="auto"/>
                <w:sz w:val="24"/>
                <w:szCs w:val="24"/>
                <w:highlight w:val="none"/>
                <w:lang w:val="en-US" w:eastAsia="zh-CN"/>
              </w:rPr>
            </w:pPr>
            <w:r>
              <w:rPr>
                <w:rFonts w:hint="eastAsia" w:ascii="黑体" w:hAnsi="黑体" w:eastAsia="黑体"/>
                <w:color w:val="auto"/>
                <w:sz w:val="24"/>
                <w:szCs w:val="24"/>
                <w:highlight w:val="none"/>
                <w:lang w:val="en-US" w:eastAsia="zh-CN"/>
              </w:rPr>
              <w:t>服务期限</w:t>
            </w:r>
          </w:p>
        </w:tc>
        <w:tc>
          <w:tcPr>
            <w:tcW w:w="1477" w:type="dxa"/>
            <w:vAlign w:val="center"/>
          </w:tcPr>
          <w:p w14:paraId="5379656F">
            <w:pPr>
              <w:jc w:val="center"/>
              <w:rPr>
                <w:rFonts w:ascii="黑体" w:hAnsi="黑体" w:eastAsia="黑体"/>
                <w:color w:val="auto"/>
                <w:sz w:val="24"/>
                <w:szCs w:val="24"/>
                <w:highlight w:val="none"/>
              </w:rPr>
            </w:pPr>
            <w:r>
              <w:rPr>
                <w:rFonts w:hint="eastAsia" w:ascii="黑体" w:hAnsi="黑体" w:eastAsia="黑体"/>
                <w:color w:val="auto"/>
                <w:sz w:val="24"/>
                <w:szCs w:val="24"/>
                <w:highlight w:val="none"/>
              </w:rPr>
              <w:t>投标人确认</w:t>
            </w:r>
          </w:p>
        </w:tc>
        <w:tc>
          <w:tcPr>
            <w:tcW w:w="1477" w:type="dxa"/>
            <w:vAlign w:val="center"/>
          </w:tcPr>
          <w:p w14:paraId="244479C7">
            <w:pPr>
              <w:jc w:val="center"/>
              <w:rPr>
                <w:rFonts w:ascii="黑体" w:hAnsi="黑体" w:eastAsia="黑体"/>
                <w:color w:val="auto"/>
                <w:sz w:val="24"/>
                <w:szCs w:val="24"/>
                <w:highlight w:val="none"/>
              </w:rPr>
            </w:pPr>
            <w:r>
              <w:rPr>
                <w:rFonts w:hint="eastAsia" w:ascii="黑体" w:hAnsi="黑体" w:eastAsia="黑体"/>
                <w:color w:val="auto"/>
                <w:sz w:val="24"/>
                <w:szCs w:val="24"/>
                <w:highlight w:val="none"/>
              </w:rPr>
              <w:t>备注</w:t>
            </w:r>
          </w:p>
        </w:tc>
      </w:tr>
      <w:tr w14:paraId="2644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959" w:type="dxa"/>
            <w:vAlign w:val="center"/>
          </w:tcPr>
          <w:p w14:paraId="07147E34">
            <w:pPr>
              <w:spacing w:line="360" w:lineRule="auto"/>
              <w:jc w:val="center"/>
              <w:rPr>
                <w:rFonts w:ascii="黑体" w:hAnsi="黑体" w:eastAsia="黑体"/>
                <w:b/>
                <w:color w:val="auto"/>
                <w:sz w:val="24"/>
                <w:szCs w:val="24"/>
                <w:highlight w:val="none"/>
              </w:rPr>
            </w:pPr>
          </w:p>
        </w:tc>
        <w:tc>
          <w:tcPr>
            <w:tcW w:w="1995" w:type="dxa"/>
            <w:vAlign w:val="center"/>
          </w:tcPr>
          <w:p w14:paraId="244055BE">
            <w:pPr>
              <w:spacing w:line="360" w:lineRule="auto"/>
              <w:jc w:val="center"/>
              <w:rPr>
                <w:rFonts w:ascii="黑体" w:hAnsi="黑体" w:eastAsia="黑体"/>
                <w:b/>
                <w:color w:val="auto"/>
                <w:sz w:val="24"/>
                <w:szCs w:val="24"/>
                <w:highlight w:val="none"/>
              </w:rPr>
            </w:pPr>
          </w:p>
        </w:tc>
        <w:tc>
          <w:tcPr>
            <w:tcW w:w="1477" w:type="dxa"/>
            <w:vAlign w:val="center"/>
          </w:tcPr>
          <w:p w14:paraId="5A19A567">
            <w:pPr>
              <w:spacing w:line="360" w:lineRule="auto"/>
              <w:jc w:val="center"/>
              <w:rPr>
                <w:rFonts w:ascii="黑体" w:hAnsi="黑体" w:eastAsia="黑体"/>
                <w:b/>
                <w:color w:val="auto"/>
                <w:sz w:val="24"/>
                <w:szCs w:val="24"/>
                <w:highlight w:val="none"/>
              </w:rPr>
            </w:pPr>
          </w:p>
        </w:tc>
        <w:tc>
          <w:tcPr>
            <w:tcW w:w="1477" w:type="dxa"/>
            <w:vAlign w:val="center"/>
          </w:tcPr>
          <w:p w14:paraId="3D90A293">
            <w:pPr>
              <w:spacing w:line="360" w:lineRule="auto"/>
              <w:jc w:val="center"/>
              <w:rPr>
                <w:rFonts w:ascii="黑体" w:hAnsi="黑体" w:eastAsia="黑体"/>
                <w:b/>
                <w:color w:val="auto"/>
                <w:sz w:val="24"/>
                <w:szCs w:val="24"/>
                <w:highlight w:val="none"/>
              </w:rPr>
            </w:pPr>
          </w:p>
        </w:tc>
        <w:tc>
          <w:tcPr>
            <w:tcW w:w="1477" w:type="dxa"/>
            <w:vAlign w:val="center"/>
          </w:tcPr>
          <w:p w14:paraId="185D54E7">
            <w:pPr>
              <w:spacing w:line="360" w:lineRule="auto"/>
              <w:jc w:val="center"/>
              <w:rPr>
                <w:rFonts w:ascii="黑体" w:hAnsi="黑体" w:eastAsia="黑体"/>
                <w:b/>
                <w:color w:val="auto"/>
                <w:sz w:val="24"/>
                <w:szCs w:val="24"/>
                <w:highlight w:val="none"/>
              </w:rPr>
            </w:pPr>
          </w:p>
        </w:tc>
        <w:tc>
          <w:tcPr>
            <w:tcW w:w="1477" w:type="dxa"/>
            <w:vAlign w:val="center"/>
          </w:tcPr>
          <w:p w14:paraId="11FF0BFA">
            <w:pPr>
              <w:spacing w:line="360" w:lineRule="auto"/>
              <w:jc w:val="center"/>
              <w:rPr>
                <w:rFonts w:ascii="黑体" w:hAnsi="黑体" w:eastAsia="黑体"/>
                <w:b/>
                <w:color w:val="auto"/>
                <w:sz w:val="24"/>
                <w:szCs w:val="24"/>
                <w:highlight w:val="none"/>
              </w:rPr>
            </w:pPr>
          </w:p>
        </w:tc>
      </w:tr>
      <w:tr w14:paraId="61305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959" w:type="dxa"/>
            <w:vAlign w:val="center"/>
          </w:tcPr>
          <w:p w14:paraId="159B088B">
            <w:pPr>
              <w:spacing w:line="360" w:lineRule="auto"/>
              <w:jc w:val="center"/>
              <w:rPr>
                <w:rFonts w:ascii="黑体" w:hAnsi="黑体" w:eastAsia="黑体"/>
                <w:b/>
                <w:color w:val="auto"/>
                <w:sz w:val="24"/>
                <w:szCs w:val="24"/>
                <w:highlight w:val="none"/>
              </w:rPr>
            </w:pPr>
          </w:p>
        </w:tc>
        <w:tc>
          <w:tcPr>
            <w:tcW w:w="1995" w:type="dxa"/>
            <w:vAlign w:val="center"/>
          </w:tcPr>
          <w:p w14:paraId="4D948582">
            <w:pPr>
              <w:spacing w:line="360" w:lineRule="auto"/>
              <w:jc w:val="center"/>
              <w:rPr>
                <w:rFonts w:ascii="黑体" w:hAnsi="黑体" w:eastAsia="黑体"/>
                <w:b/>
                <w:color w:val="auto"/>
                <w:sz w:val="24"/>
                <w:szCs w:val="24"/>
                <w:highlight w:val="none"/>
              </w:rPr>
            </w:pPr>
          </w:p>
        </w:tc>
        <w:tc>
          <w:tcPr>
            <w:tcW w:w="1477" w:type="dxa"/>
            <w:vAlign w:val="center"/>
          </w:tcPr>
          <w:p w14:paraId="275698FD">
            <w:pPr>
              <w:spacing w:line="360" w:lineRule="auto"/>
              <w:jc w:val="center"/>
              <w:rPr>
                <w:rFonts w:ascii="黑体" w:hAnsi="黑体" w:eastAsia="黑体"/>
                <w:b/>
                <w:color w:val="auto"/>
                <w:sz w:val="24"/>
                <w:szCs w:val="24"/>
                <w:highlight w:val="none"/>
              </w:rPr>
            </w:pPr>
          </w:p>
        </w:tc>
        <w:tc>
          <w:tcPr>
            <w:tcW w:w="1477" w:type="dxa"/>
            <w:vAlign w:val="center"/>
          </w:tcPr>
          <w:p w14:paraId="4863CF7C">
            <w:pPr>
              <w:spacing w:line="360" w:lineRule="auto"/>
              <w:jc w:val="center"/>
              <w:rPr>
                <w:rFonts w:ascii="黑体" w:hAnsi="黑体" w:eastAsia="黑体"/>
                <w:b/>
                <w:color w:val="auto"/>
                <w:sz w:val="24"/>
                <w:szCs w:val="24"/>
                <w:highlight w:val="none"/>
              </w:rPr>
            </w:pPr>
          </w:p>
        </w:tc>
        <w:tc>
          <w:tcPr>
            <w:tcW w:w="1477" w:type="dxa"/>
            <w:vAlign w:val="center"/>
          </w:tcPr>
          <w:p w14:paraId="62F5FEDA">
            <w:pPr>
              <w:spacing w:line="360" w:lineRule="auto"/>
              <w:jc w:val="center"/>
              <w:rPr>
                <w:rFonts w:ascii="黑体" w:hAnsi="黑体" w:eastAsia="黑体"/>
                <w:b/>
                <w:color w:val="auto"/>
                <w:sz w:val="24"/>
                <w:szCs w:val="24"/>
                <w:highlight w:val="none"/>
              </w:rPr>
            </w:pPr>
          </w:p>
        </w:tc>
        <w:tc>
          <w:tcPr>
            <w:tcW w:w="1477" w:type="dxa"/>
            <w:vAlign w:val="center"/>
          </w:tcPr>
          <w:p w14:paraId="6A450EFF">
            <w:pPr>
              <w:spacing w:line="360" w:lineRule="auto"/>
              <w:jc w:val="center"/>
              <w:rPr>
                <w:rFonts w:ascii="黑体" w:hAnsi="黑体" w:eastAsia="黑体"/>
                <w:b/>
                <w:color w:val="auto"/>
                <w:sz w:val="24"/>
                <w:szCs w:val="24"/>
                <w:highlight w:val="none"/>
              </w:rPr>
            </w:pPr>
          </w:p>
        </w:tc>
      </w:tr>
      <w:tr w14:paraId="0CAE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959" w:type="dxa"/>
            <w:vAlign w:val="center"/>
          </w:tcPr>
          <w:p w14:paraId="59EBBF17">
            <w:pPr>
              <w:spacing w:line="360" w:lineRule="auto"/>
              <w:jc w:val="center"/>
              <w:rPr>
                <w:rFonts w:ascii="黑体" w:hAnsi="黑体" w:eastAsia="黑体"/>
                <w:b/>
                <w:color w:val="auto"/>
                <w:sz w:val="24"/>
                <w:szCs w:val="24"/>
                <w:highlight w:val="none"/>
              </w:rPr>
            </w:pPr>
          </w:p>
        </w:tc>
        <w:tc>
          <w:tcPr>
            <w:tcW w:w="1995" w:type="dxa"/>
            <w:vAlign w:val="center"/>
          </w:tcPr>
          <w:p w14:paraId="456EC55F">
            <w:pPr>
              <w:spacing w:line="360" w:lineRule="auto"/>
              <w:jc w:val="center"/>
              <w:rPr>
                <w:rFonts w:ascii="黑体" w:hAnsi="黑体" w:eastAsia="黑体"/>
                <w:b/>
                <w:color w:val="auto"/>
                <w:sz w:val="24"/>
                <w:szCs w:val="24"/>
                <w:highlight w:val="none"/>
              </w:rPr>
            </w:pPr>
          </w:p>
        </w:tc>
        <w:tc>
          <w:tcPr>
            <w:tcW w:w="1477" w:type="dxa"/>
            <w:vAlign w:val="center"/>
          </w:tcPr>
          <w:p w14:paraId="1352CC34">
            <w:pPr>
              <w:spacing w:line="360" w:lineRule="auto"/>
              <w:jc w:val="center"/>
              <w:rPr>
                <w:rFonts w:ascii="黑体" w:hAnsi="黑体" w:eastAsia="黑体"/>
                <w:b/>
                <w:color w:val="auto"/>
                <w:sz w:val="24"/>
                <w:szCs w:val="24"/>
                <w:highlight w:val="none"/>
              </w:rPr>
            </w:pPr>
          </w:p>
        </w:tc>
        <w:tc>
          <w:tcPr>
            <w:tcW w:w="1477" w:type="dxa"/>
            <w:vAlign w:val="center"/>
          </w:tcPr>
          <w:p w14:paraId="565B7A7C">
            <w:pPr>
              <w:spacing w:line="360" w:lineRule="auto"/>
              <w:jc w:val="center"/>
              <w:rPr>
                <w:rFonts w:ascii="黑体" w:hAnsi="黑体" w:eastAsia="黑体"/>
                <w:b/>
                <w:color w:val="auto"/>
                <w:sz w:val="24"/>
                <w:szCs w:val="24"/>
                <w:highlight w:val="none"/>
              </w:rPr>
            </w:pPr>
          </w:p>
        </w:tc>
        <w:tc>
          <w:tcPr>
            <w:tcW w:w="1477" w:type="dxa"/>
            <w:vAlign w:val="center"/>
          </w:tcPr>
          <w:p w14:paraId="7B50808F">
            <w:pPr>
              <w:spacing w:line="360" w:lineRule="auto"/>
              <w:jc w:val="center"/>
              <w:rPr>
                <w:rFonts w:ascii="黑体" w:hAnsi="黑体" w:eastAsia="黑体"/>
                <w:b/>
                <w:color w:val="auto"/>
                <w:sz w:val="24"/>
                <w:szCs w:val="24"/>
                <w:highlight w:val="none"/>
              </w:rPr>
            </w:pPr>
          </w:p>
        </w:tc>
        <w:tc>
          <w:tcPr>
            <w:tcW w:w="1477" w:type="dxa"/>
            <w:vAlign w:val="center"/>
          </w:tcPr>
          <w:p w14:paraId="1749DAC0">
            <w:pPr>
              <w:spacing w:line="360" w:lineRule="auto"/>
              <w:jc w:val="center"/>
              <w:rPr>
                <w:rFonts w:ascii="黑体" w:hAnsi="黑体" w:eastAsia="黑体"/>
                <w:b/>
                <w:color w:val="auto"/>
                <w:sz w:val="24"/>
                <w:szCs w:val="24"/>
                <w:highlight w:val="none"/>
              </w:rPr>
            </w:pPr>
          </w:p>
        </w:tc>
      </w:tr>
      <w:tr w14:paraId="499C8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959" w:type="dxa"/>
            <w:vAlign w:val="center"/>
          </w:tcPr>
          <w:p w14:paraId="1A941082">
            <w:pPr>
              <w:spacing w:line="360" w:lineRule="auto"/>
              <w:jc w:val="center"/>
              <w:rPr>
                <w:rFonts w:ascii="黑体" w:hAnsi="黑体" w:eastAsia="黑体"/>
                <w:b/>
                <w:color w:val="auto"/>
                <w:sz w:val="24"/>
                <w:szCs w:val="24"/>
                <w:highlight w:val="none"/>
              </w:rPr>
            </w:pPr>
          </w:p>
        </w:tc>
        <w:tc>
          <w:tcPr>
            <w:tcW w:w="1995" w:type="dxa"/>
            <w:vAlign w:val="center"/>
          </w:tcPr>
          <w:p w14:paraId="45E9B054">
            <w:pPr>
              <w:spacing w:line="360" w:lineRule="auto"/>
              <w:jc w:val="center"/>
              <w:rPr>
                <w:rFonts w:ascii="黑体" w:hAnsi="黑体" w:eastAsia="黑体"/>
                <w:b/>
                <w:color w:val="auto"/>
                <w:sz w:val="24"/>
                <w:szCs w:val="24"/>
                <w:highlight w:val="none"/>
              </w:rPr>
            </w:pPr>
          </w:p>
        </w:tc>
        <w:tc>
          <w:tcPr>
            <w:tcW w:w="1477" w:type="dxa"/>
            <w:vAlign w:val="center"/>
          </w:tcPr>
          <w:p w14:paraId="4CFB832E">
            <w:pPr>
              <w:spacing w:line="360" w:lineRule="auto"/>
              <w:jc w:val="center"/>
              <w:rPr>
                <w:rFonts w:ascii="黑体" w:hAnsi="黑体" w:eastAsia="黑体"/>
                <w:b/>
                <w:color w:val="auto"/>
                <w:sz w:val="24"/>
                <w:szCs w:val="24"/>
                <w:highlight w:val="none"/>
              </w:rPr>
            </w:pPr>
          </w:p>
        </w:tc>
        <w:tc>
          <w:tcPr>
            <w:tcW w:w="1477" w:type="dxa"/>
            <w:vAlign w:val="center"/>
          </w:tcPr>
          <w:p w14:paraId="1AF293D1">
            <w:pPr>
              <w:spacing w:line="360" w:lineRule="auto"/>
              <w:jc w:val="center"/>
              <w:rPr>
                <w:rFonts w:ascii="黑体" w:hAnsi="黑体" w:eastAsia="黑体"/>
                <w:b/>
                <w:color w:val="auto"/>
                <w:sz w:val="24"/>
                <w:szCs w:val="24"/>
                <w:highlight w:val="none"/>
              </w:rPr>
            </w:pPr>
          </w:p>
        </w:tc>
        <w:tc>
          <w:tcPr>
            <w:tcW w:w="1477" w:type="dxa"/>
            <w:vAlign w:val="center"/>
          </w:tcPr>
          <w:p w14:paraId="14669C5F">
            <w:pPr>
              <w:spacing w:line="360" w:lineRule="auto"/>
              <w:jc w:val="center"/>
              <w:rPr>
                <w:rFonts w:ascii="黑体" w:hAnsi="黑体" w:eastAsia="黑体"/>
                <w:b/>
                <w:color w:val="auto"/>
                <w:sz w:val="24"/>
                <w:szCs w:val="24"/>
                <w:highlight w:val="none"/>
              </w:rPr>
            </w:pPr>
          </w:p>
        </w:tc>
        <w:tc>
          <w:tcPr>
            <w:tcW w:w="1477" w:type="dxa"/>
            <w:vAlign w:val="center"/>
          </w:tcPr>
          <w:p w14:paraId="102F5A16">
            <w:pPr>
              <w:spacing w:line="360" w:lineRule="auto"/>
              <w:jc w:val="center"/>
              <w:rPr>
                <w:rFonts w:ascii="黑体" w:hAnsi="黑体" w:eastAsia="黑体"/>
                <w:b/>
                <w:color w:val="auto"/>
                <w:sz w:val="24"/>
                <w:szCs w:val="24"/>
                <w:highlight w:val="none"/>
              </w:rPr>
            </w:pPr>
          </w:p>
        </w:tc>
      </w:tr>
      <w:tr w14:paraId="2F444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959" w:type="dxa"/>
            <w:vAlign w:val="center"/>
          </w:tcPr>
          <w:p w14:paraId="3FB30775">
            <w:pPr>
              <w:spacing w:line="360" w:lineRule="auto"/>
              <w:jc w:val="center"/>
              <w:rPr>
                <w:rFonts w:ascii="黑体" w:hAnsi="黑体" w:eastAsia="黑体"/>
                <w:b/>
                <w:color w:val="auto"/>
                <w:sz w:val="24"/>
                <w:szCs w:val="24"/>
                <w:highlight w:val="none"/>
              </w:rPr>
            </w:pPr>
          </w:p>
        </w:tc>
        <w:tc>
          <w:tcPr>
            <w:tcW w:w="1995" w:type="dxa"/>
            <w:vAlign w:val="center"/>
          </w:tcPr>
          <w:p w14:paraId="0B2EDF8D">
            <w:pPr>
              <w:spacing w:line="360" w:lineRule="auto"/>
              <w:jc w:val="center"/>
              <w:rPr>
                <w:rFonts w:ascii="黑体" w:hAnsi="黑体" w:eastAsia="黑体"/>
                <w:b/>
                <w:color w:val="auto"/>
                <w:sz w:val="24"/>
                <w:szCs w:val="24"/>
                <w:highlight w:val="none"/>
              </w:rPr>
            </w:pPr>
          </w:p>
        </w:tc>
        <w:tc>
          <w:tcPr>
            <w:tcW w:w="1477" w:type="dxa"/>
            <w:vAlign w:val="center"/>
          </w:tcPr>
          <w:p w14:paraId="36BF3539">
            <w:pPr>
              <w:spacing w:line="360" w:lineRule="auto"/>
              <w:jc w:val="center"/>
              <w:rPr>
                <w:rFonts w:ascii="黑体" w:hAnsi="黑体" w:eastAsia="黑体"/>
                <w:b/>
                <w:color w:val="auto"/>
                <w:sz w:val="24"/>
                <w:szCs w:val="24"/>
                <w:highlight w:val="none"/>
              </w:rPr>
            </w:pPr>
          </w:p>
        </w:tc>
        <w:tc>
          <w:tcPr>
            <w:tcW w:w="1477" w:type="dxa"/>
            <w:vAlign w:val="center"/>
          </w:tcPr>
          <w:p w14:paraId="388C04FC">
            <w:pPr>
              <w:spacing w:line="360" w:lineRule="auto"/>
              <w:jc w:val="center"/>
              <w:rPr>
                <w:rFonts w:ascii="黑体" w:hAnsi="黑体" w:eastAsia="黑体"/>
                <w:b/>
                <w:color w:val="auto"/>
                <w:sz w:val="24"/>
                <w:szCs w:val="24"/>
                <w:highlight w:val="none"/>
              </w:rPr>
            </w:pPr>
          </w:p>
        </w:tc>
        <w:tc>
          <w:tcPr>
            <w:tcW w:w="1477" w:type="dxa"/>
            <w:vAlign w:val="center"/>
          </w:tcPr>
          <w:p w14:paraId="0BE5EACE">
            <w:pPr>
              <w:spacing w:line="360" w:lineRule="auto"/>
              <w:jc w:val="center"/>
              <w:rPr>
                <w:rFonts w:ascii="黑体" w:hAnsi="黑体" w:eastAsia="黑体"/>
                <w:b/>
                <w:color w:val="auto"/>
                <w:sz w:val="24"/>
                <w:szCs w:val="24"/>
                <w:highlight w:val="none"/>
              </w:rPr>
            </w:pPr>
          </w:p>
        </w:tc>
        <w:tc>
          <w:tcPr>
            <w:tcW w:w="1477" w:type="dxa"/>
            <w:vAlign w:val="center"/>
          </w:tcPr>
          <w:p w14:paraId="5DFA6C80">
            <w:pPr>
              <w:spacing w:line="360" w:lineRule="auto"/>
              <w:jc w:val="center"/>
              <w:rPr>
                <w:rFonts w:ascii="黑体" w:hAnsi="黑体" w:eastAsia="黑体"/>
                <w:b/>
                <w:color w:val="auto"/>
                <w:sz w:val="24"/>
                <w:szCs w:val="24"/>
                <w:highlight w:val="none"/>
              </w:rPr>
            </w:pPr>
          </w:p>
        </w:tc>
      </w:tr>
      <w:tr w14:paraId="56D3C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959" w:type="dxa"/>
            <w:vAlign w:val="center"/>
          </w:tcPr>
          <w:p w14:paraId="6D734490">
            <w:pPr>
              <w:spacing w:line="360" w:lineRule="auto"/>
              <w:jc w:val="center"/>
              <w:rPr>
                <w:rFonts w:ascii="黑体" w:hAnsi="黑体" w:eastAsia="黑体"/>
                <w:b/>
                <w:color w:val="auto"/>
                <w:sz w:val="24"/>
                <w:szCs w:val="24"/>
                <w:highlight w:val="none"/>
              </w:rPr>
            </w:pPr>
          </w:p>
        </w:tc>
        <w:tc>
          <w:tcPr>
            <w:tcW w:w="1995" w:type="dxa"/>
            <w:vAlign w:val="center"/>
          </w:tcPr>
          <w:p w14:paraId="28D77F1F">
            <w:pPr>
              <w:spacing w:line="360" w:lineRule="auto"/>
              <w:jc w:val="center"/>
              <w:rPr>
                <w:rFonts w:ascii="黑体" w:hAnsi="黑体" w:eastAsia="黑体"/>
                <w:b/>
                <w:color w:val="auto"/>
                <w:sz w:val="24"/>
                <w:szCs w:val="24"/>
                <w:highlight w:val="none"/>
              </w:rPr>
            </w:pPr>
          </w:p>
        </w:tc>
        <w:tc>
          <w:tcPr>
            <w:tcW w:w="1477" w:type="dxa"/>
            <w:vAlign w:val="center"/>
          </w:tcPr>
          <w:p w14:paraId="255D4C18">
            <w:pPr>
              <w:spacing w:line="360" w:lineRule="auto"/>
              <w:jc w:val="center"/>
              <w:rPr>
                <w:rFonts w:ascii="黑体" w:hAnsi="黑体" w:eastAsia="黑体"/>
                <w:b/>
                <w:color w:val="auto"/>
                <w:sz w:val="24"/>
                <w:szCs w:val="24"/>
                <w:highlight w:val="none"/>
              </w:rPr>
            </w:pPr>
          </w:p>
        </w:tc>
        <w:tc>
          <w:tcPr>
            <w:tcW w:w="1477" w:type="dxa"/>
            <w:vAlign w:val="center"/>
          </w:tcPr>
          <w:p w14:paraId="73C1B30B">
            <w:pPr>
              <w:spacing w:line="360" w:lineRule="auto"/>
              <w:jc w:val="center"/>
              <w:rPr>
                <w:rFonts w:ascii="黑体" w:hAnsi="黑体" w:eastAsia="黑体"/>
                <w:b/>
                <w:color w:val="auto"/>
                <w:sz w:val="24"/>
                <w:szCs w:val="24"/>
                <w:highlight w:val="none"/>
              </w:rPr>
            </w:pPr>
          </w:p>
        </w:tc>
        <w:tc>
          <w:tcPr>
            <w:tcW w:w="1477" w:type="dxa"/>
            <w:vAlign w:val="center"/>
          </w:tcPr>
          <w:p w14:paraId="44C07C36">
            <w:pPr>
              <w:spacing w:line="360" w:lineRule="auto"/>
              <w:jc w:val="center"/>
              <w:rPr>
                <w:rFonts w:ascii="黑体" w:hAnsi="黑体" w:eastAsia="黑体"/>
                <w:b/>
                <w:color w:val="auto"/>
                <w:sz w:val="24"/>
                <w:szCs w:val="24"/>
                <w:highlight w:val="none"/>
              </w:rPr>
            </w:pPr>
          </w:p>
        </w:tc>
        <w:tc>
          <w:tcPr>
            <w:tcW w:w="1477" w:type="dxa"/>
            <w:vAlign w:val="center"/>
          </w:tcPr>
          <w:p w14:paraId="6F8EB17A">
            <w:pPr>
              <w:spacing w:line="360" w:lineRule="auto"/>
              <w:jc w:val="center"/>
              <w:rPr>
                <w:rFonts w:ascii="黑体" w:hAnsi="黑体" w:eastAsia="黑体"/>
                <w:b/>
                <w:color w:val="auto"/>
                <w:sz w:val="24"/>
                <w:szCs w:val="24"/>
                <w:highlight w:val="none"/>
              </w:rPr>
            </w:pPr>
          </w:p>
        </w:tc>
      </w:tr>
      <w:tr w14:paraId="123B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959" w:type="dxa"/>
            <w:vAlign w:val="center"/>
          </w:tcPr>
          <w:p w14:paraId="607571EB">
            <w:pPr>
              <w:spacing w:line="360" w:lineRule="auto"/>
              <w:jc w:val="center"/>
              <w:rPr>
                <w:rFonts w:ascii="黑体" w:hAnsi="黑体" w:eastAsia="黑体"/>
                <w:b/>
                <w:color w:val="auto"/>
                <w:sz w:val="24"/>
                <w:szCs w:val="24"/>
                <w:highlight w:val="none"/>
              </w:rPr>
            </w:pPr>
          </w:p>
        </w:tc>
        <w:tc>
          <w:tcPr>
            <w:tcW w:w="1995" w:type="dxa"/>
            <w:vAlign w:val="center"/>
          </w:tcPr>
          <w:p w14:paraId="54C72547">
            <w:pPr>
              <w:spacing w:line="360" w:lineRule="auto"/>
              <w:jc w:val="center"/>
              <w:rPr>
                <w:rFonts w:ascii="黑体" w:hAnsi="黑体" w:eastAsia="黑体"/>
                <w:b/>
                <w:color w:val="auto"/>
                <w:sz w:val="24"/>
                <w:szCs w:val="24"/>
                <w:highlight w:val="none"/>
              </w:rPr>
            </w:pPr>
          </w:p>
        </w:tc>
        <w:tc>
          <w:tcPr>
            <w:tcW w:w="1477" w:type="dxa"/>
            <w:vAlign w:val="center"/>
          </w:tcPr>
          <w:p w14:paraId="26C6E262">
            <w:pPr>
              <w:spacing w:line="360" w:lineRule="auto"/>
              <w:jc w:val="center"/>
              <w:rPr>
                <w:rFonts w:ascii="黑体" w:hAnsi="黑体" w:eastAsia="黑体"/>
                <w:b/>
                <w:color w:val="auto"/>
                <w:sz w:val="24"/>
                <w:szCs w:val="24"/>
                <w:highlight w:val="none"/>
              </w:rPr>
            </w:pPr>
          </w:p>
        </w:tc>
        <w:tc>
          <w:tcPr>
            <w:tcW w:w="1477" w:type="dxa"/>
            <w:vAlign w:val="center"/>
          </w:tcPr>
          <w:p w14:paraId="7E65DCAD">
            <w:pPr>
              <w:spacing w:line="360" w:lineRule="auto"/>
              <w:jc w:val="center"/>
              <w:rPr>
                <w:rFonts w:ascii="黑体" w:hAnsi="黑体" w:eastAsia="黑体"/>
                <w:b/>
                <w:color w:val="auto"/>
                <w:sz w:val="24"/>
                <w:szCs w:val="24"/>
                <w:highlight w:val="none"/>
              </w:rPr>
            </w:pPr>
          </w:p>
        </w:tc>
        <w:tc>
          <w:tcPr>
            <w:tcW w:w="1477" w:type="dxa"/>
            <w:vAlign w:val="center"/>
          </w:tcPr>
          <w:p w14:paraId="71ED5B91">
            <w:pPr>
              <w:spacing w:line="360" w:lineRule="auto"/>
              <w:jc w:val="center"/>
              <w:rPr>
                <w:rFonts w:ascii="黑体" w:hAnsi="黑体" w:eastAsia="黑体"/>
                <w:b/>
                <w:color w:val="auto"/>
                <w:sz w:val="24"/>
                <w:szCs w:val="24"/>
                <w:highlight w:val="none"/>
              </w:rPr>
            </w:pPr>
          </w:p>
        </w:tc>
        <w:tc>
          <w:tcPr>
            <w:tcW w:w="1477" w:type="dxa"/>
            <w:vAlign w:val="center"/>
          </w:tcPr>
          <w:p w14:paraId="7530753E">
            <w:pPr>
              <w:spacing w:line="360" w:lineRule="auto"/>
              <w:jc w:val="center"/>
              <w:rPr>
                <w:rFonts w:ascii="黑体" w:hAnsi="黑体" w:eastAsia="黑体"/>
                <w:b/>
                <w:color w:val="auto"/>
                <w:sz w:val="24"/>
                <w:szCs w:val="24"/>
                <w:highlight w:val="none"/>
              </w:rPr>
            </w:pPr>
          </w:p>
        </w:tc>
      </w:tr>
      <w:tr w14:paraId="66E7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959" w:type="dxa"/>
            <w:vAlign w:val="center"/>
          </w:tcPr>
          <w:p w14:paraId="3FF87E1F">
            <w:pPr>
              <w:spacing w:line="360" w:lineRule="auto"/>
              <w:jc w:val="center"/>
              <w:rPr>
                <w:rFonts w:ascii="黑体" w:hAnsi="黑体" w:eastAsia="黑体"/>
                <w:b/>
                <w:color w:val="auto"/>
                <w:sz w:val="24"/>
                <w:szCs w:val="24"/>
                <w:highlight w:val="none"/>
              </w:rPr>
            </w:pPr>
          </w:p>
        </w:tc>
        <w:tc>
          <w:tcPr>
            <w:tcW w:w="1995" w:type="dxa"/>
            <w:vAlign w:val="center"/>
          </w:tcPr>
          <w:p w14:paraId="21191D30">
            <w:pPr>
              <w:spacing w:line="360" w:lineRule="auto"/>
              <w:jc w:val="center"/>
              <w:rPr>
                <w:rFonts w:ascii="黑体" w:hAnsi="黑体" w:eastAsia="黑体"/>
                <w:b/>
                <w:color w:val="auto"/>
                <w:sz w:val="24"/>
                <w:szCs w:val="24"/>
                <w:highlight w:val="none"/>
              </w:rPr>
            </w:pPr>
          </w:p>
        </w:tc>
        <w:tc>
          <w:tcPr>
            <w:tcW w:w="1477" w:type="dxa"/>
            <w:vAlign w:val="center"/>
          </w:tcPr>
          <w:p w14:paraId="1E685DD8">
            <w:pPr>
              <w:spacing w:line="360" w:lineRule="auto"/>
              <w:jc w:val="center"/>
              <w:rPr>
                <w:rFonts w:ascii="黑体" w:hAnsi="黑体" w:eastAsia="黑体"/>
                <w:b/>
                <w:color w:val="auto"/>
                <w:sz w:val="24"/>
                <w:szCs w:val="24"/>
                <w:highlight w:val="none"/>
              </w:rPr>
            </w:pPr>
          </w:p>
        </w:tc>
        <w:tc>
          <w:tcPr>
            <w:tcW w:w="1477" w:type="dxa"/>
            <w:vAlign w:val="center"/>
          </w:tcPr>
          <w:p w14:paraId="23B149E6">
            <w:pPr>
              <w:spacing w:line="360" w:lineRule="auto"/>
              <w:jc w:val="center"/>
              <w:rPr>
                <w:rFonts w:ascii="黑体" w:hAnsi="黑体" w:eastAsia="黑体"/>
                <w:b/>
                <w:color w:val="auto"/>
                <w:sz w:val="24"/>
                <w:szCs w:val="24"/>
                <w:highlight w:val="none"/>
              </w:rPr>
            </w:pPr>
          </w:p>
        </w:tc>
        <w:tc>
          <w:tcPr>
            <w:tcW w:w="1477" w:type="dxa"/>
            <w:vAlign w:val="center"/>
          </w:tcPr>
          <w:p w14:paraId="1F66F95D">
            <w:pPr>
              <w:spacing w:line="360" w:lineRule="auto"/>
              <w:jc w:val="center"/>
              <w:rPr>
                <w:rFonts w:ascii="黑体" w:hAnsi="黑体" w:eastAsia="黑体"/>
                <w:b/>
                <w:color w:val="auto"/>
                <w:sz w:val="24"/>
                <w:szCs w:val="24"/>
                <w:highlight w:val="none"/>
              </w:rPr>
            </w:pPr>
          </w:p>
        </w:tc>
        <w:tc>
          <w:tcPr>
            <w:tcW w:w="1477" w:type="dxa"/>
            <w:vAlign w:val="center"/>
          </w:tcPr>
          <w:p w14:paraId="3B8B5CD6">
            <w:pPr>
              <w:spacing w:line="360" w:lineRule="auto"/>
              <w:jc w:val="center"/>
              <w:rPr>
                <w:rFonts w:ascii="黑体" w:hAnsi="黑体" w:eastAsia="黑体"/>
                <w:b/>
                <w:color w:val="auto"/>
                <w:sz w:val="24"/>
                <w:szCs w:val="24"/>
                <w:highlight w:val="none"/>
              </w:rPr>
            </w:pPr>
          </w:p>
        </w:tc>
      </w:tr>
      <w:tr w14:paraId="2E26E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959" w:type="dxa"/>
            <w:vAlign w:val="center"/>
          </w:tcPr>
          <w:p w14:paraId="41BF0AD2">
            <w:pPr>
              <w:spacing w:line="360" w:lineRule="auto"/>
              <w:jc w:val="center"/>
              <w:rPr>
                <w:rFonts w:ascii="黑体" w:hAnsi="黑体" w:eastAsia="黑体"/>
                <w:b/>
                <w:color w:val="auto"/>
                <w:sz w:val="24"/>
                <w:szCs w:val="24"/>
                <w:highlight w:val="none"/>
              </w:rPr>
            </w:pPr>
          </w:p>
        </w:tc>
        <w:tc>
          <w:tcPr>
            <w:tcW w:w="1995" w:type="dxa"/>
            <w:vAlign w:val="center"/>
          </w:tcPr>
          <w:p w14:paraId="77019FDC">
            <w:pPr>
              <w:spacing w:line="360" w:lineRule="auto"/>
              <w:jc w:val="center"/>
              <w:rPr>
                <w:rFonts w:ascii="黑体" w:hAnsi="黑体" w:eastAsia="黑体"/>
                <w:b/>
                <w:color w:val="auto"/>
                <w:sz w:val="24"/>
                <w:szCs w:val="24"/>
                <w:highlight w:val="none"/>
              </w:rPr>
            </w:pPr>
          </w:p>
        </w:tc>
        <w:tc>
          <w:tcPr>
            <w:tcW w:w="1477" w:type="dxa"/>
            <w:vAlign w:val="center"/>
          </w:tcPr>
          <w:p w14:paraId="2D151ED4">
            <w:pPr>
              <w:spacing w:line="360" w:lineRule="auto"/>
              <w:jc w:val="center"/>
              <w:rPr>
                <w:rFonts w:ascii="黑体" w:hAnsi="黑体" w:eastAsia="黑体"/>
                <w:b/>
                <w:color w:val="auto"/>
                <w:sz w:val="24"/>
                <w:szCs w:val="24"/>
                <w:highlight w:val="none"/>
              </w:rPr>
            </w:pPr>
          </w:p>
        </w:tc>
        <w:tc>
          <w:tcPr>
            <w:tcW w:w="1477" w:type="dxa"/>
            <w:vAlign w:val="center"/>
          </w:tcPr>
          <w:p w14:paraId="4620B7B9">
            <w:pPr>
              <w:spacing w:line="360" w:lineRule="auto"/>
              <w:jc w:val="center"/>
              <w:rPr>
                <w:rFonts w:ascii="黑体" w:hAnsi="黑体" w:eastAsia="黑体"/>
                <w:b/>
                <w:color w:val="auto"/>
                <w:sz w:val="24"/>
                <w:szCs w:val="24"/>
                <w:highlight w:val="none"/>
              </w:rPr>
            </w:pPr>
          </w:p>
        </w:tc>
        <w:tc>
          <w:tcPr>
            <w:tcW w:w="1477" w:type="dxa"/>
            <w:vAlign w:val="center"/>
          </w:tcPr>
          <w:p w14:paraId="5DEF1B3A">
            <w:pPr>
              <w:spacing w:line="360" w:lineRule="auto"/>
              <w:jc w:val="center"/>
              <w:rPr>
                <w:rFonts w:ascii="黑体" w:hAnsi="黑体" w:eastAsia="黑体"/>
                <w:b/>
                <w:color w:val="auto"/>
                <w:sz w:val="24"/>
                <w:szCs w:val="24"/>
                <w:highlight w:val="none"/>
              </w:rPr>
            </w:pPr>
          </w:p>
        </w:tc>
        <w:tc>
          <w:tcPr>
            <w:tcW w:w="1477" w:type="dxa"/>
            <w:vAlign w:val="center"/>
          </w:tcPr>
          <w:p w14:paraId="5CF3578D">
            <w:pPr>
              <w:spacing w:line="360" w:lineRule="auto"/>
              <w:jc w:val="center"/>
              <w:rPr>
                <w:rFonts w:ascii="黑体" w:hAnsi="黑体" w:eastAsia="黑体"/>
                <w:b/>
                <w:color w:val="auto"/>
                <w:sz w:val="24"/>
                <w:szCs w:val="24"/>
                <w:highlight w:val="none"/>
              </w:rPr>
            </w:pPr>
          </w:p>
        </w:tc>
      </w:tr>
      <w:tr w14:paraId="6EEE2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959" w:type="dxa"/>
            <w:vAlign w:val="center"/>
          </w:tcPr>
          <w:p w14:paraId="3958F780">
            <w:pPr>
              <w:spacing w:line="360" w:lineRule="auto"/>
              <w:jc w:val="center"/>
              <w:rPr>
                <w:rFonts w:ascii="黑体" w:hAnsi="黑体" w:eastAsia="黑体"/>
                <w:b/>
                <w:color w:val="auto"/>
                <w:sz w:val="24"/>
                <w:szCs w:val="24"/>
                <w:highlight w:val="none"/>
              </w:rPr>
            </w:pPr>
          </w:p>
        </w:tc>
        <w:tc>
          <w:tcPr>
            <w:tcW w:w="1995" w:type="dxa"/>
            <w:vAlign w:val="center"/>
          </w:tcPr>
          <w:p w14:paraId="33BDFC59">
            <w:pPr>
              <w:spacing w:line="360" w:lineRule="auto"/>
              <w:jc w:val="center"/>
              <w:rPr>
                <w:rFonts w:ascii="黑体" w:hAnsi="黑体" w:eastAsia="黑体"/>
                <w:b/>
                <w:color w:val="auto"/>
                <w:sz w:val="24"/>
                <w:szCs w:val="24"/>
                <w:highlight w:val="none"/>
              </w:rPr>
            </w:pPr>
          </w:p>
        </w:tc>
        <w:tc>
          <w:tcPr>
            <w:tcW w:w="1477" w:type="dxa"/>
            <w:vAlign w:val="center"/>
          </w:tcPr>
          <w:p w14:paraId="06FD2DD1">
            <w:pPr>
              <w:spacing w:line="360" w:lineRule="auto"/>
              <w:jc w:val="center"/>
              <w:rPr>
                <w:rFonts w:ascii="黑体" w:hAnsi="黑体" w:eastAsia="黑体"/>
                <w:b/>
                <w:color w:val="auto"/>
                <w:sz w:val="24"/>
                <w:szCs w:val="24"/>
                <w:highlight w:val="none"/>
              </w:rPr>
            </w:pPr>
          </w:p>
        </w:tc>
        <w:tc>
          <w:tcPr>
            <w:tcW w:w="1477" w:type="dxa"/>
            <w:vAlign w:val="center"/>
          </w:tcPr>
          <w:p w14:paraId="3F81F95E">
            <w:pPr>
              <w:spacing w:line="360" w:lineRule="auto"/>
              <w:jc w:val="center"/>
              <w:rPr>
                <w:rFonts w:ascii="黑体" w:hAnsi="黑体" w:eastAsia="黑体"/>
                <w:b/>
                <w:color w:val="auto"/>
                <w:sz w:val="24"/>
                <w:szCs w:val="24"/>
                <w:highlight w:val="none"/>
              </w:rPr>
            </w:pPr>
          </w:p>
        </w:tc>
        <w:tc>
          <w:tcPr>
            <w:tcW w:w="1477" w:type="dxa"/>
            <w:vAlign w:val="center"/>
          </w:tcPr>
          <w:p w14:paraId="70E2EE87">
            <w:pPr>
              <w:spacing w:line="360" w:lineRule="auto"/>
              <w:jc w:val="center"/>
              <w:rPr>
                <w:rFonts w:ascii="黑体" w:hAnsi="黑体" w:eastAsia="黑体"/>
                <w:b/>
                <w:color w:val="auto"/>
                <w:sz w:val="24"/>
                <w:szCs w:val="24"/>
                <w:highlight w:val="none"/>
              </w:rPr>
            </w:pPr>
          </w:p>
        </w:tc>
        <w:tc>
          <w:tcPr>
            <w:tcW w:w="1477" w:type="dxa"/>
            <w:vAlign w:val="center"/>
          </w:tcPr>
          <w:p w14:paraId="7D0F892C">
            <w:pPr>
              <w:spacing w:line="360" w:lineRule="auto"/>
              <w:jc w:val="center"/>
              <w:rPr>
                <w:rFonts w:ascii="黑体" w:hAnsi="黑体" w:eastAsia="黑体"/>
                <w:b/>
                <w:color w:val="auto"/>
                <w:sz w:val="24"/>
                <w:szCs w:val="24"/>
                <w:highlight w:val="none"/>
              </w:rPr>
            </w:pPr>
          </w:p>
        </w:tc>
      </w:tr>
      <w:tr w14:paraId="4683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959" w:type="dxa"/>
            <w:vAlign w:val="center"/>
          </w:tcPr>
          <w:p w14:paraId="768BC557">
            <w:pPr>
              <w:spacing w:line="360" w:lineRule="auto"/>
              <w:jc w:val="center"/>
              <w:rPr>
                <w:rFonts w:ascii="黑体" w:hAnsi="黑体" w:eastAsia="黑体"/>
                <w:b/>
                <w:color w:val="auto"/>
                <w:sz w:val="24"/>
                <w:szCs w:val="24"/>
                <w:highlight w:val="none"/>
              </w:rPr>
            </w:pPr>
          </w:p>
        </w:tc>
        <w:tc>
          <w:tcPr>
            <w:tcW w:w="1995" w:type="dxa"/>
            <w:vAlign w:val="center"/>
          </w:tcPr>
          <w:p w14:paraId="6A149997">
            <w:pPr>
              <w:spacing w:line="360" w:lineRule="auto"/>
              <w:jc w:val="center"/>
              <w:rPr>
                <w:rFonts w:ascii="黑体" w:hAnsi="黑体" w:eastAsia="黑体"/>
                <w:b/>
                <w:color w:val="auto"/>
                <w:sz w:val="24"/>
                <w:szCs w:val="24"/>
                <w:highlight w:val="none"/>
              </w:rPr>
            </w:pPr>
          </w:p>
        </w:tc>
        <w:tc>
          <w:tcPr>
            <w:tcW w:w="1477" w:type="dxa"/>
            <w:vAlign w:val="center"/>
          </w:tcPr>
          <w:p w14:paraId="6BFD4570">
            <w:pPr>
              <w:spacing w:line="360" w:lineRule="auto"/>
              <w:jc w:val="center"/>
              <w:rPr>
                <w:rFonts w:ascii="黑体" w:hAnsi="黑体" w:eastAsia="黑体"/>
                <w:b/>
                <w:color w:val="auto"/>
                <w:sz w:val="24"/>
                <w:szCs w:val="24"/>
                <w:highlight w:val="none"/>
              </w:rPr>
            </w:pPr>
          </w:p>
        </w:tc>
        <w:tc>
          <w:tcPr>
            <w:tcW w:w="1477" w:type="dxa"/>
            <w:vAlign w:val="center"/>
          </w:tcPr>
          <w:p w14:paraId="3F621432">
            <w:pPr>
              <w:spacing w:line="360" w:lineRule="auto"/>
              <w:jc w:val="center"/>
              <w:rPr>
                <w:rFonts w:ascii="黑体" w:hAnsi="黑体" w:eastAsia="黑体"/>
                <w:b/>
                <w:color w:val="auto"/>
                <w:sz w:val="24"/>
                <w:szCs w:val="24"/>
                <w:highlight w:val="none"/>
              </w:rPr>
            </w:pPr>
          </w:p>
        </w:tc>
        <w:tc>
          <w:tcPr>
            <w:tcW w:w="1477" w:type="dxa"/>
            <w:vAlign w:val="center"/>
          </w:tcPr>
          <w:p w14:paraId="47139A47">
            <w:pPr>
              <w:spacing w:line="360" w:lineRule="auto"/>
              <w:jc w:val="center"/>
              <w:rPr>
                <w:rFonts w:ascii="黑体" w:hAnsi="黑体" w:eastAsia="黑体"/>
                <w:b/>
                <w:color w:val="auto"/>
                <w:sz w:val="24"/>
                <w:szCs w:val="24"/>
                <w:highlight w:val="none"/>
              </w:rPr>
            </w:pPr>
          </w:p>
        </w:tc>
        <w:tc>
          <w:tcPr>
            <w:tcW w:w="1477" w:type="dxa"/>
            <w:vAlign w:val="center"/>
          </w:tcPr>
          <w:p w14:paraId="78FE3B63">
            <w:pPr>
              <w:spacing w:line="360" w:lineRule="auto"/>
              <w:jc w:val="center"/>
              <w:rPr>
                <w:rFonts w:ascii="黑体" w:hAnsi="黑体" w:eastAsia="黑体"/>
                <w:b/>
                <w:color w:val="auto"/>
                <w:sz w:val="24"/>
                <w:szCs w:val="24"/>
                <w:highlight w:val="none"/>
              </w:rPr>
            </w:pPr>
          </w:p>
        </w:tc>
      </w:tr>
    </w:tbl>
    <w:p w14:paraId="39FD883B">
      <w:pPr>
        <w:spacing w:line="360" w:lineRule="auto"/>
        <w:ind w:firstLine="480" w:firstLineChars="200"/>
        <w:rPr>
          <w:rFonts w:ascii="宋体" w:hAnsi="宋体"/>
          <w:color w:val="auto"/>
          <w:sz w:val="24"/>
          <w:highlight w:val="none"/>
        </w:rPr>
      </w:pPr>
    </w:p>
    <w:p w14:paraId="218F38D2">
      <w:pPr>
        <w:spacing w:line="480" w:lineRule="auto"/>
        <w:ind w:firstLine="480" w:firstLineChars="200"/>
        <w:rPr>
          <w:rFonts w:ascii="黑体" w:hAnsi="黑体" w:eastAsia="黑体"/>
          <w:color w:val="auto"/>
          <w:sz w:val="24"/>
          <w:highlight w:val="none"/>
        </w:rPr>
      </w:pPr>
    </w:p>
    <w:p w14:paraId="4906C173">
      <w:pPr>
        <w:spacing w:line="48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招标人签字：</w:t>
      </w:r>
      <w:r>
        <w:rPr>
          <w:rFonts w:hint="eastAsia" w:ascii="黑体" w:hAnsi="黑体" w:eastAsia="黑体"/>
          <w:color w:val="auto"/>
          <w:sz w:val="24"/>
          <w:highlight w:val="none"/>
          <w:u w:val="single"/>
        </w:rPr>
        <w:t xml:space="preserve">                                 </w:t>
      </w:r>
    </w:p>
    <w:p w14:paraId="0C8A04CB">
      <w:pPr>
        <w:spacing w:line="480" w:lineRule="auto"/>
        <w:ind w:firstLine="480" w:firstLineChars="200"/>
        <w:rPr>
          <w:rFonts w:ascii="黑体" w:hAnsi="黑体" w:eastAsia="黑体"/>
          <w:color w:val="auto"/>
          <w:sz w:val="24"/>
          <w:highlight w:val="none"/>
          <w:u w:val="single"/>
        </w:rPr>
      </w:pPr>
      <w:r>
        <w:rPr>
          <w:rFonts w:hint="eastAsia" w:ascii="黑体" w:hAnsi="黑体" w:eastAsia="黑体"/>
          <w:color w:val="auto"/>
          <w:sz w:val="24"/>
          <w:highlight w:val="none"/>
        </w:rPr>
        <w:t>开标日期：</w:t>
      </w:r>
      <w:r>
        <w:rPr>
          <w:rFonts w:hint="eastAsia" w:ascii="黑体" w:hAnsi="黑体" w:eastAsia="黑体"/>
          <w:color w:val="auto"/>
          <w:sz w:val="24"/>
          <w:highlight w:val="none"/>
          <w:u w:val="single"/>
        </w:rPr>
        <w:t xml:space="preserve">                                    </w:t>
      </w:r>
    </w:p>
    <w:p w14:paraId="322A173B">
      <w:pPr>
        <w:pStyle w:val="71"/>
        <w:spacing w:line="560" w:lineRule="exact"/>
        <w:ind w:firstLine="422" w:firstLineChars="0"/>
        <w:jc w:val="center"/>
        <w:outlineLvl w:val="1"/>
        <w:rPr>
          <w:rFonts w:ascii="黑体" w:hAnsi="黑体" w:eastAsia="黑体"/>
          <w:b/>
          <w:bCs/>
          <w:color w:val="auto"/>
          <w:kern w:val="0"/>
          <w:sz w:val="44"/>
          <w:szCs w:val="44"/>
          <w:highlight w:val="none"/>
        </w:rPr>
      </w:pPr>
      <w:r>
        <w:rPr>
          <w:rFonts w:ascii="宋体" w:hAnsi="宋体"/>
          <w:b/>
          <w:color w:val="auto"/>
          <w:sz w:val="24"/>
          <w:highlight w:val="none"/>
        </w:rPr>
        <w:br w:type="page"/>
      </w:r>
      <w:bookmarkStart w:id="42" w:name="_Toc11022"/>
      <w:bookmarkStart w:id="43" w:name="_Toc27154"/>
      <w:bookmarkStart w:id="44" w:name="_Toc1970"/>
      <w:bookmarkStart w:id="45" w:name="_Toc80800148"/>
      <w:r>
        <w:rPr>
          <w:rFonts w:hint="eastAsia" w:ascii="黑体" w:hAnsi="黑体" w:eastAsia="黑体"/>
          <w:b/>
          <w:bCs/>
          <w:color w:val="auto"/>
          <w:kern w:val="0"/>
          <w:sz w:val="44"/>
          <w:szCs w:val="44"/>
          <w:highlight w:val="none"/>
        </w:rPr>
        <w:t>二、投标须知</w:t>
      </w:r>
      <w:bookmarkEnd w:id="42"/>
      <w:bookmarkEnd w:id="43"/>
      <w:bookmarkEnd w:id="44"/>
      <w:bookmarkEnd w:id="45"/>
    </w:p>
    <w:p w14:paraId="538F6DBD">
      <w:pPr>
        <w:pStyle w:val="71"/>
        <w:spacing w:line="560" w:lineRule="exact"/>
        <w:ind w:firstLine="560"/>
        <w:rPr>
          <w:rFonts w:ascii="仿宋_GB2312" w:hAnsi="宋体" w:eastAsia="仿宋_GB2312"/>
          <w:bCs/>
          <w:color w:val="auto"/>
          <w:kern w:val="0"/>
          <w:sz w:val="28"/>
          <w:szCs w:val="28"/>
          <w:highlight w:val="none"/>
        </w:rPr>
      </w:pPr>
    </w:p>
    <w:p w14:paraId="77E1C8AA">
      <w:pPr>
        <w:pStyle w:val="5"/>
        <w:spacing w:before="0" w:after="0" w:line="400" w:lineRule="exact"/>
        <w:jc w:val="center"/>
        <w:rPr>
          <w:rFonts w:ascii="黑体" w:hAnsi="黑体" w:eastAsia="黑体"/>
          <w:b w:val="0"/>
          <w:color w:val="auto"/>
          <w:kern w:val="0"/>
          <w:sz w:val="36"/>
          <w:szCs w:val="36"/>
          <w:highlight w:val="none"/>
        </w:rPr>
      </w:pPr>
      <w:bookmarkStart w:id="46" w:name="_Toc19458"/>
      <w:bookmarkStart w:id="47" w:name="_Toc80800149"/>
      <w:bookmarkStart w:id="48" w:name="_Toc13757"/>
      <w:r>
        <w:rPr>
          <w:rFonts w:hint="eastAsia" w:ascii="黑体" w:hAnsi="黑体" w:eastAsia="黑体"/>
          <w:b w:val="0"/>
          <w:color w:val="auto"/>
          <w:kern w:val="0"/>
          <w:sz w:val="36"/>
          <w:szCs w:val="36"/>
          <w:highlight w:val="none"/>
        </w:rPr>
        <w:t>（一）总则</w:t>
      </w:r>
      <w:bookmarkEnd w:id="46"/>
      <w:bookmarkEnd w:id="47"/>
      <w:bookmarkEnd w:id="48"/>
    </w:p>
    <w:p w14:paraId="2A33779C">
      <w:pPr>
        <w:pStyle w:val="71"/>
        <w:spacing w:line="560" w:lineRule="exact"/>
        <w:ind w:firstLine="560"/>
        <w:rPr>
          <w:rFonts w:ascii="仿宋_GB2312" w:hAnsi="宋体" w:eastAsia="仿宋_GB2312"/>
          <w:bCs/>
          <w:color w:val="auto"/>
          <w:kern w:val="0"/>
          <w:sz w:val="28"/>
          <w:szCs w:val="28"/>
          <w:highlight w:val="none"/>
        </w:rPr>
      </w:pPr>
    </w:p>
    <w:p w14:paraId="59B2B37C">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1.项目说明</w:t>
      </w:r>
    </w:p>
    <w:p w14:paraId="49E6FBE5">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1.1项目名称见前附表1第2项所述。</w:t>
      </w:r>
    </w:p>
    <w:p w14:paraId="3D51DDF1">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1.2项目地点见前附表1第3项所述。</w:t>
      </w:r>
    </w:p>
    <w:p w14:paraId="64103D50">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2.资金来源</w:t>
      </w:r>
    </w:p>
    <w:p w14:paraId="5E41A57A">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2.1本项目已完成审批手续，项目资金通过前附表1第4项所述的方式获得。</w:t>
      </w:r>
    </w:p>
    <w:p w14:paraId="37D9BC78">
      <w:pPr>
        <w:pStyle w:val="23"/>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3.招标范围：</w:t>
      </w:r>
    </w:p>
    <w:p w14:paraId="57103669">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3.1 本次招标范围及内容见前附表1第6项所述。</w:t>
      </w:r>
    </w:p>
    <w:p w14:paraId="7B73D037">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4.服务周期要求</w:t>
      </w:r>
    </w:p>
    <w:p w14:paraId="3CE2811E">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4.1本项目服务周期要求见前附表1第13项所述。</w:t>
      </w:r>
    </w:p>
    <w:p w14:paraId="054492A9">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5.合格的投标人</w:t>
      </w:r>
    </w:p>
    <w:p w14:paraId="5B3508DE">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5.1投标人资质、投标人项目负责人要求见前附表1第8项、第9项所述。</w:t>
      </w:r>
    </w:p>
    <w:p w14:paraId="70704150">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5.2本次招标资格审查方式见前附表1第10项。</w:t>
      </w:r>
    </w:p>
    <w:p w14:paraId="50E72C49">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5.3由两个或两个以上法人组成一个联合体以一个投标人的身份共同投标时，除符合5.1、5.2款的要求外，还应符合以下要求：</w:t>
      </w:r>
    </w:p>
    <w:p w14:paraId="7B71E905">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5.3.1投标人的投标文件及中标后签署的合同协议书对联合体每一成员均具法律约束力；</w:t>
      </w:r>
    </w:p>
    <w:p w14:paraId="4CA18E1E">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5.3.2联合体的各成员应当签订共同投标协议，明确约定各方拟承担的工作和责任，并将该共同投标协议随投标文件一并递交给招标人；</w:t>
      </w:r>
    </w:p>
    <w:p w14:paraId="44AB83D7">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5.3.3联合体中标后，联合体各方应当共同与招标人签订合同，为履行合同向招标人承担连带责任；</w:t>
      </w:r>
    </w:p>
    <w:p w14:paraId="6B5BE44D">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5.3.4由联合体的各成员提交一份授权书，证明联合体代表资格，该授权书作为投标文件的组成部分一并提交给招标人；</w:t>
      </w:r>
    </w:p>
    <w:p w14:paraId="3C9FBFA8">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5.3.5联合体代表应被授权作为联合体所有成员的代表承担责任和接受指令，并负责整个合同的全面履行；</w:t>
      </w:r>
    </w:p>
    <w:p w14:paraId="6E9200C5">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5.3.6参加联合体的各成员不得再以自己的名义单独投标，也不得同时参加两个或两个以上的联合体投标。出现上述情况者，其投标和与其有关的联合体的投标均做无效标处理；</w:t>
      </w:r>
    </w:p>
    <w:p w14:paraId="648712C8">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5.3.7除非另有规定或说明，本须知中“投标人”一词亦指联合体各成员。</w:t>
      </w:r>
    </w:p>
    <w:p w14:paraId="5C76F968">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5.4投标人应当具备承担本招标项目的能力；具备国家有关规定或者招标文件规定的资格条件；且通过合法途径取得招标文件。</w:t>
      </w:r>
    </w:p>
    <w:p w14:paraId="4789C4EE">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6.投标费用</w:t>
      </w:r>
    </w:p>
    <w:p w14:paraId="7C75A81F">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6.1投标人应自行承担所有准备及参加投标相关的费用。不论投标的结果如何，招标人均无承担的义务和责任。</w:t>
      </w:r>
    </w:p>
    <w:p w14:paraId="1F536ABA">
      <w:pPr>
        <w:pStyle w:val="71"/>
        <w:spacing w:line="560" w:lineRule="exact"/>
        <w:ind w:firstLine="560"/>
        <w:rPr>
          <w:rFonts w:ascii="仿宋_GB2312" w:hAnsi="宋体" w:eastAsia="仿宋_GB2312"/>
          <w:bCs/>
          <w:color w:val="auto"/>
          <w:kern w:val="0"/>
          <w:sz w:val="28"/>
          <w:szCs w:val="28"/>
          <w:highlight w:val="none"/>
        </w:rPr>
      </w:pPr>
    </w:p>
    <w:p w14:paraId="3EAE55E3">
      <w:pPr>
        <w:pStyle w:val="5"/>
        <w:spacing w:before="0" w:after="0" w:line="400" w:lineRule="exact"/>
        <w:jc w:val="center"/>
        <w:rPr>
          <w:rFonts w:ascii="黑体" w:hAnsi="黑体" w:eastAsia="黑体"/>
          <w:b w:val="0"/>
          <w:color w:val="auto"/>
          <w:kern w:val="0"/>
          <w:sz w:val="36"/>
          <w:szCs w:val="36"/>
          <w:highlight w:val="none"/>
        </w:rPr>
      </w:pPr>
      <w:bookmarkStart w:id="49" w:name="_Toc80800150"/>
      <w:bookmarkStart w:id="50" w:name="_Toc6787"/>
      <w:bookmarkStart w:id="51" w:name="_Toc9000"/>
      <w:r>
        <w:rPr>
          <w:rFonts w:hint="eastAsia" w:ascii="黑体" w:hAnsi="黑体" w:eastAsia="黑体"/>
          <w:b w:val="0"/>
          <w:color w:val="auto"/>
          <w:kern w:val="0"/>
          <w:sz w:val="36"/>
          <w:szCs w:val="36"/>
          <w:highlight w:val="none"/>
        </w:rPr>
        <w:t>（二）招标文件</w:t>
      </w:r>
      <w:bookmarkEnd w:id="49"/>
      <w:bookmarkEnd w:id="50"/>
      <w:bookmarkEnd w:id="51"/>
    </w:p>
    <w:p w14:paraId="4B27EE17">
      <w:pPr>
        <w:pStyle w:val="71"/>
        <w:spacing w:line="560" w:lineRule="exact"/>
        <w:ind w:firstLine="560"/>
        <w:rPr>
          <w:rFonts w:ascii="仿宋_GB2312" w:hAnsi="宋体" w:eastAsia="仿宋_GB2312"/>
          <w:bCs/>
          <w:color w:val="auto"/>
          <w:kern w:val="0"/>
          <w:sz w:val="28"/>
          <w:szCs w:val="28"/>
          <w:highlight w:val="none"/>
        </w:rPr>
      </w:pPr>
    </w:p>
    <w:p w14:paraId="0863C76B">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7.招标文件的组成</w:t>
      </w:r>
    </w:p>
    <w:p w14:paraId="5D95E4BE">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7.1招标文件包括下列内容：</w:t>
      </w:r>
    </w:p>
    <w:p w14:paraId="544D9862">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第一章 致投标人</w:t>
      </w:r>
    </w:p>
    <w:p w14:paraId="034D0DCC">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第二章 投标须知</w:t>
      </w:r>
    </w:p>
    <w:p w14:paraId="79156297">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 xml:space="preserve"> 一、投标须知前附件</w:t>
      </w:r>
    </w:p>
    <w:p w14:paraId="6EE7FB37">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 xml:space="preserve"> 二、投标须知</w:t>
      </w:r>
    </w:p>
    <w:p w14:paraId="12FAD8F0">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第三章 合同条款</w:t>
      </w:r>
    </w:p>
    <w:p w14:paraId="52B3DF6A">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第四章 需求任务书</w:t>
      </w:r>
    </w:p>
    <w:p w14:paraId="3D718C9C">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一、项目需求标准</w:t>
      </w:r>
    </w:p>
    <w:p w14:paraId="6C739164">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二、项目需求清单</w:t>
      </w:r>
    </w:p>
    <w:p w14:paraId="6F707704">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第五章 投标文件格式</w:t>
      </w:r>
    </w:p>
    <w:p w14:paraId="2CAB389A">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一、资格审查文件</w:t>
      </w:r>
    </w:p>
    <w:p w14:paraId="3149BBBD">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二、投标函部分</w:t>
      </w:r>
    </w:p>
    <w:p w14:paraId="72F9954E">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三、资信标部分</w:t>
      </w:r>
    </w:p>
    <w:p w14:paraId="6F162229">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四、</w:t>
      </w:r>
      <w:r>
        <w:rPr>
          <w:rFonts w:hint="eastAsia" w:ascii="仿宋" w:hAnsi="仿宋" w:eastAsia="仿宋"/>
          <w:bCs/>
          <w:color w:val="auto"/>
          <w:kern w:val="0"/>
          <w:sz w:val="28"/>
          <w:szCs w:val="28"/>
          <w:highlight w:val="none"/>
          <w:lang w:val="en-US" w:eastAsia="zh-CN"/>
        </w:rPr>
        <w:t>技术</w:t>
      </w:r>
      <w:r>
        <w:rPr>
          <w:rFonts w:hint="eastAsia" w:ascii="仿宋" w:hAnsi="仿宋" w:eastAsia="仿宋"/>
          <w:bCs/>
          <w:color w:val="auto"/>
          <w:kern w:val="0"/>
          <w:sz w:val="28"/>
          <w:szCs w:val="28"/>
          <w:highlight w:val="none"/>
        </w:rPr>
        <w:t>标部分</w:t>
      </w:r>
    </w:p>
    <w:p w14:paraId="742EBE9A">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五、</w:t>
      </w:r>
      <w:r>
        <w:rPr>
          <w:rFonts w:hint="eastAsia" w:ascii="仿宋" w:hAnsi="仿宋" w:eastAsia="仿宋"/>
          <w:bCs/>
          <w:color w:val="auto"/>
          <w:kern w:val="0"/>
          <w:sz w:val="28"/>
          <w:szCs w:val="28"/>
          <w:highlight w:val="none"/>
          <w:lang w:val="en-US" w:eastAsia="zh-CN"/>
        </w:rPr>
        <w:t>商务</w:t>
      </w:r>
      <w:r>
        <w:rPr>
          <w:rFonts w:hint="eastAsia" w:ascii="仿宋" w:hAnsi="仿宋" w:eastAsia="仿宋"/>
          <w:bCs/>
          <w:color w:val="auto"/>
          <w:kern w:val="0"/>
          <w:sz w:val="28"/>
          <w:szCs w:val="28"/>
          <w:highlight w:val="none"/>
        </w:rPr>
        <w:t>标部分</w:t>
      </w:r>
    </w:p>
    <w:p w14:paraId="64FEE69C">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第六章 中标通知书</w:t>
      </w:r>
    </w:p>
    <w:p w14:paraId="61A6BAF5">
      <w:pPr>
        <w:pStyle w:val="23"/>
        <w:spacing w:line="560" w:lineRule="exact"/>
        <w:ind w:firstLine="49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7.2除7.1款内容外，招标人在投标截止日期前</w:t>
      </w:r>
      <w:r>
        <w:rPr>
          <w:rFonts w:hint="eastAsia" w:ascii="仿宋" w:hAnsi="仿宋" w:eastAsia="仿宋"/>
          <w:bCs/>
          <w:color w:val="auto"/>
          <w:kern w:val="0"/>
          <w:sz w:val="28"/>
          <w:szCs w:val="28"/>
          <w:highlight w:val="none"/>
          <w:u w:val="single"/>
        </w:rPr>
        <w:t xml:space="preserve"> 2 </w:t>
      </w:r>
      <w:r>
        <w:rPr>
          <w:rFonts w:hint="eastAsia" w:ascii="仿宋" w:hAnsi="仿宋" w:eastAsia="仿宋"/>
          <w:bCs/>
          <w:color w:val="auto"/>
          <w:kern w:val="0"/>
          <w:sz w:val="28"/>
          <w:szCs w:val="28"/>
          <w:highlight w:val="none"/>
        </w:rPr>
        <w:t>日前以书面形式发出的招标文件的澄清(答疑)纪要、修改(补充)函件，均是招标文件的组成部分，对招标人投标人起约束作用。</w:t>
      </w:r>
    </w:p>
    <w:p w14:paraId="14254E3F">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7.3投标人购取招标文件后，应仔细检查招标文件的所有内容，如有残缺应在领到招标文件后</w:t>
      </w:r>
      <w:r>
        <w:rPr>
          <w:rFonts w:hint="eastAsia" w:ascii="仿宋" w:hAnsi="仿宋" w:eastAsia="仿宋"/>
          <w:bCs/>
          <w:color w:val="auto"/>
          <w:kern w:val="0"/>
          <w:sz w:val="28"/>
          <w:szCs w:val="28"/>
          <w:highlight w:val="none"/>
          <w:u w:val="single"/>
        </w:rPr>
        <w:t xml:space="preserve"> 2</w:t>
      </w:r>
      <w:r>
        <w:rPr>
          <w:rFonts w:hint="eastAsia" w:ascii="仿宋" w:hAnsi="仿宋" w:eastAsia="仿宋"/>
          <w:bCs/>
          <w:color w:val="auto"/>
          <w:kern w:val="0"/>
          <w:sz w:val="28"/>
          <w:szCs w:val="28"/>
          <w:highlight w:val="none"/>
        </w:rPr>
        <w:t>日内向招标人提出，否则，由此引起的投标损失自负。投标人同时应认真审阅招标文件中所有的事项、条款、格式和标准要求等，如果投标人的投标文件没有按照招标文件要求提交全部资料或者投标文件没有对招标文件做出实质性响应，其风险应由投标人自行承担，并且根据有关条款规定，其投标有可能被拒绝。</w:t>
      </w:r>
    </w:p>
    <w:p w14:paraId="664C0220">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8.招标文件的澄清</w:t>
      </w:r>
    </w:p>
    <w:p w14:paraId="5F68DFB1">
      <w:pPr>
        <w:pStyle w:val="23"/>
        <w:spacing w:line="560" w:lineRule="exact"/>
        <w:ind w:firstLine="557"/>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8.1 投标人若对招标文件有疑问，需要招标人予以澄清，应于投标截止日期之前</w:t>
      </w:r>
      <w:r>
        <w:rPr>
          <w:rFonts w:hint="eastAsia" w:ascii="仿宋" w:hAnsi="仿宋" w:eastAsia="仿宋"/>
          <w:bCs/>
          <w:color w:val="auto"/>
          <w:kern w:val="0"/>
          <w:sz w:val="28"/>
          <w:szCs w:val="28"/>
          <w:highlight w:val="none"/>
          <w:u w:val="single"/>
        </w:rPr>
        <w:t xml:space="preserve"> 3 </w:t>
      </w:r>
      <w:r>
        <w:rPr>
          <w:rFonts w:hint="eastAsia" w:ascii="仿宋" w:hAnsi="仿宋" w:eastAsia="仿宋"/>
          <w:bCs/>
          <w:color w:val="auto"/>
          <w:kern w:val="0"/>
          <w:sz w:val="28"/>
          <w:szCs w:val="28"/>
          <w:highlight w:val="none"/>
        </w:rPr>
        <w:t xml:space="preserve">日以书面形式向招标人提出，送至招标公告中的招标人地址。不论是招标人根据需要主动对招标文件进行必要的澄清或是根据投标人的要求对招标文件做出澄清，招标人都将在投标截止日期前 </w:t>
      </w:r>
      <w:r>
        <w:rPr>
          <w:rFonts w:hint="eastAsia" w:ascii="仿宋" w:hAnsi="仿宋" w:eastAsia="仿宋"/>
          <w:bCs/>
          <w:color w:val="auto"/>
          <w:kern w:val="0"/>
          <w:sz w:val="28"/>
          <w:szCs w:val="28"/>
          <w:highlight w:val="none"/>
          <w:u w:val="single"/>
        </w:rPr>
        <w:t xml:space="preserve"> 2 </w:t>
      </w:r>
      <w:r>
        <w:rPr>
          <w:rFonts w:hint="eastAsia" w:ascii="仿宋" w:hAnsi="仿宋" w:eastAsia="仿宋"/>
          <w:bCs/>
          <w:color w:val="auto"/>
          <w:kern w:val="0"/>
          <w:sz w:val="28"/>
          <w:szCs w:val="28"/>
          <w:highlight w:val="none"/>
        </w:rPr>
        <w:t>日前以书面形式发出澄清纪要，同时将澄清纪要寄送给所有投标人。投标人收到招标人书面答复时，应办理签收手续。招标文件的澄清作为招标文件的组成部分，具有约束力。</w:t>
      </w:r>
    </w:p>
    <w:p w14:paraId="7E5B1A01">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9.招标文件的修改</w:t>
      </w:r>
    </w:p>
    <w:p w14:paraId="28DD7CC5">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9.1 招标文件发出后，在投标截止日期前</w:t>
      </w:r>
      <w:r>
        <w:rPr>
          <w:rFonts w:hint="eastAsia" w:ascii="仿宋" w:hAnsi="仿宋" w:eastAsia="仿宋"/>
          <w:bCs/>
          <w:color w:val="auto"/>
          <w:kern w:val="0"/>
          <w:sz w:val="28"/>
          <w:szCs w:val="28"/>
          <w:highlight w:val="none"/>
          <w:u w:val="single"/>
        </w:rPr>
        <w:t xml:space="preserve"> 2</w:t>
      </w:r>
      <w:r>
        <w:rPr>
          <w:rFonts w:hint="eastAsia" w:ascii="仿宋" w:hAnsi="仿宋" w:eastAsia="仿宋"/>
          <w:bCs/>
          <w:color w:val="auto"/>
          <w:kern w:val="0"/>
          <w:sz w:val="28"/>
          <w:szCs w:val="28"/>
          <w:highlight w:val="none"/>
        </w:rPr>
        <w:t>日的任何时候，确需要变更招标内容的，招标人可主动或在解答投标人提出的澄清问题时对招标文件进行修改。</w:t>
      </w:r>
    </w:p>
    <w:p w14:paraId="3144F5C7">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9.2 招标文件的修改将以书面形式寄送给所有投标人，招标文件的修改作为招标文件的组成部分，并具有约束力。投标人收到招标人的修改函件时，应办理签收手续。</w:t>
      </w:r>
    </w:p>
    <w:p w14:paraId="55422DE3">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9.3 招标文件、招标文件澄清(答疑)纪要、招标文件修改(补充)函件内容均以书面明确的内容为准。当招标文件、澄清(答疑)纪要、修改(补充)函件内容相互矛盾时，以最后发出的为准。</w:t>
      </w:r>
    </w:p>
    <w:p w14:paraId="2CCD4FBC">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9.4 招标人保证招标文件澄清(答疑)纪要、招标文件修改(补充)函件在投标截止时间至少</w:t>
      </w:r>
      <w:r>
        <w:rPr>
          <w:rFonts w:hint="eastAsia" w:ascii="仿宋" w:hAnsi="仿宋" w:eastAsia="仿宋"/>
          <w:bCs/>
          <w:color w:val="auto"/>
          <w:kern w:val="0"/>
          <w:sz w:val="28"/>
          <w:szCs w:val="28"/>
          <w:highlight w:val="none"/>
          <w:u w:val="single"/>
        </w:rPr>
        <w:t>2</w:t>
      </w:r>
      <w:r>
        <w:rPr>
          <w:rFonts w:hint="eastAsia" w:ascii="仿宋" w:hAnsi="仿宋" w:eastAsia="仿宋"/>
          <w:bCs/>
          <w:color w:val="auto"/>
          <w:kern w:val="0"/>
          <w:sz w:val="28"/>
          <w:szCs w:val="28"/>
          <w:highlight w:val="none"/>
        </w:rPr>
        <w:t>日前以书面形式发给所有投标人。为使投标人在编写投标文件时有充分时间对招标文件的修改(补充)部分进行研究，招标人可以酌情延长递交投标文件的截止日期，具体时间将在修改(补充)函件中明确。</w:t>
      </w:r>
    </w:p>
    <w:p w14:paraId="2ED23F23">
      <w:pPr>
        <w:pStyle w:val="5"/>
        <w:spacing w:before="0" w:after="0" w:line="400" w:lineRule="exact"/>
        <w:jc w:val="center"/>
        <w:rPr>
          <w:rFonts w:ascii="黑体" w:hAnsi="黑体" w:eastAsia="黑体"/>
          <w:b w:val="0"/>
          <w:color w:val="auto"/>
          <w:kern w:val="0"/>
          <w:sz w:val="36"/>
          <w:szCs w:val="36"/>
          <w:highlight w:val="none"/>
        </w:rPr>
      </w:pPr>
      <w:bookmarkStart w:id="52" w:name="_Toc26902"/>
      <w:bookmarkStart w:id="53" w:name="_Toc3863"/>
      <w:bookmarkStart w:id="54" w:name="_Toc80800151"/>
      <w:r>
        <w:rPr>
          <w:rFonts w:hint="eastAsia" w:ascii="黑体" w:hAnsi="黑体" w:eastAsia="黑体"/>
          <w:b w:val="0"/>
          <w:color w:val="auto"/>
          <w:kern w:val="0"/>
          <w:sz w:val="36"/>
          <w:szCs w:val="36"/>
          <w:highlight w:val="none"/>
        </w:rPr>
        <w:t>（三）投标文件的编制</w:t>
      </w:r>
      <w:bookmarkEnd w:id="52"/>
      <w:bookmarkEnd w:id="53"/>
      <w:bookmarkEnd w:id="54"/>
    </w:p>
    <w:p w14:paraId="39B87FD3">
      <w:pPr>
        <w:pStyle w:val="23"/>
        <w:spacing w:line="560" w:lineRule="exact"/>
        <w:ind w:firstLine="562"/>
        <w:rPr>
          <w:rFonts w:ascii="仿宋_GB2312" w:hAnsi="宋体" w:eastAsia="仿宋_GB2312"/>
          <w:b/>
          <w:bCs/>
          <w:color w:val="auto"/>
          <w:kern w:val="0"/>
          <w:sz w:val="28"/>
          <w:szCs w:val="28"/>
          <w:highlight w:val="none"/>
        </w:rPr>
      </w:pPr>
    </w:p>
    <w:p w14:paraId="4322BCCF">
      <w:pPr>
        <w:pStyle w:val="23"/>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10.投标文件的语言及度量单位</w:t>
      </w:r>
    </w:p>
    <w:p w14:paraId="097F97DD">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10.1 投标人与招标人之间与投标有关的所有往来通知、函件和投标文件均应使用中文。投标人随投标文件提供的证明文件和资料可以为其它语言，但必须附中文译文，并且，为了解释投标文件，应以中文为准。</w:t>
      </w:r>
    </w:p>
    <w:p w14:paraId="508FC73A">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10.2 除另有规定外，投标文件使用的度量单位，均采用中华人民共和国法定计量单位。</w:t>
      </w:r>
    </w:p>
    <w:p w14:paraId="7F21196A">
      <w:pPr>
        <w:pStyle w:val="23"/>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11.投标文件的组成</w:t>
      </w:r>
    </w:p>
    <w:p w14:paraId="1E0EFBE0">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11.1 投标文件由</w:t>
      </w:r>
      <w:r>
        <w:rPr>
          <w:rFonts w:hint="eastAsia" w:ascii="仿宋" w:hAnsi="仿宋" w:eastAsia="仿宋"/>
          <w:color w:val="auto"/>
          <w:sz w:val="28"/>
          <w:szCs w:val="28"/>
          <w:highlight w:val="none"/>
          <w:lang w:eastAsia="zh-CN"/>
        </w:rPr>
        <w:t>☑</w:t>
      </w:r>
      <w:r>
        <w:rPr>
          <w:rFonts w:hint="eastAsia" w:ascii="仿宋" w:hAnsi="仿宋" w:eastAsia="仿宋"/>
          <w:bCs/>
          <w:color w:val="auto"/>
          <w:kern w:val="0"/>
          <w:sz w:val="28"/>
          <w:szCs w:val="28"/>
          <w:highlight w:val="none"/>
        </w:rPr>
        <w:t>投标函部分</w:t>
      </w:r>
      <w:r>
        <w:rPr>
          <w:rFonts w:hint="eastAsia" w:ascii="仿宋" w:hAnsi="仿宋" w:eastAsia="仿宋"/>
          <w:color w:val="auto"/>
          <w:sz w:val="28"/>
          <w:szCs w:val="28"/>
          <w:highlight w:val="none"/>
          <w:lang w:eastAsia="zh-CN"/>
        </w:rPr>
        <w:t>☑</w:t>
      </w:r>
      <w:r>
        <w:rPr>
          <w:rFonts w:hint="eastAsia" w:ascii="仿宋" w:hAnsi="仿宋" w:eastAsia="仿宋"/>
          <w:bCs/>
          <w:color w:val="auto"/>
          <w:kern w:val="0"/>
          <w:sz w:val="28"/>
          <w:szCs w:val="28"/>
          <w:highlight w:val="none"/>
        </w:rPr>
        <w:t>资信标部分</w:t>
      </w:r>
      <w:r>
        <w:rPr>
          <w:rFonts w:hint="eastAsia" w:ascii="仿宋" w:hAnsi="仿宋" w:eastAsia="仿宋"/>
          <w:color w:val="auto"/>
          <w:sz w:val="28"/>
          <w:szCs w:val="28"/>
          <w:highlight w:val="none"/>
          <w:lang w:eastAsia="zh-CN"/>
        </w:rPr>
        <w:t>☑</w:t>
      </w:r>
      <w:r>
        <w:rPr>
          <w:rFonts w:hint="eastAsia" w:ascii="仿宋" w:hAnsi="仿宋" w:eastAsia="仿宋"/>
          <w:bCs/>
          <w:color w:val="auto"/>
          <w:kern w:val="0"/>
          <w:sz w:val="28"/>
          <w:szCs w:val="28"/>
          <w:highlight w:val="none"/>
        </w:rPr>
        <w:t>商务标部分</w:t>
      </w:r>
      <w:bookmarkStart w:id="55" w:name="投标文件包括技术标"/>
      <w:r>
        <w:rPr>
          <w:rFonts w:hint="eastAsia" w:ascii="仿宋" w:hAnsi="仿宋" w:eastAsia="仿宋"/>
          <w:color w:val="auto"/>
          <w:sz w:val="28"/>
          <w:szCs w:val="28"/>
          <w:highlight w:val="none"/>
          <w:lang w:eastAsia="zh-CN"/>
        </w:rPr>
        <w:t>☑</w:t>
      </w:r>
      <w:r>
        <w:rPr>
          <w:rFonts w:hint="eastAsia" w:ascii="仿宋" w:hAnsi="仿宋" w:eastAsia="仿宋"/>
          <w:bCs/>
          <w:color w:val="auto"/>
          <w:kern w:val="0"/>
          <w:sz w:val="28"/>
          <w:szCs w:val="28"/>
          <w:highlight w:val="none"/>
        </w:rPr>
        <w:t>技术标部分</w:t>
      </w:r>
      <w:bookmarkEnd w:id="55"/>
      <w:r>
        <w:rPr>
          <w:rFonts w:hint="eastAsia" w:ascii="仿宋" w:hAnsi="仿宋" w:eastAsia="仿宋"/>
          <w:color w:val="auto"/>
          <w:sz w:val="28"/>
          <w:szCs w:val="28"/>
          <w:highlight w:val="none"/>
          <w:lang w:eastAsia="zh-CN"/>
        </w:rPr>
        <w:t>☑</w:t>
      </w:r>
      <w:r>
        <w:rPr>
          <w:rFonts w:hint="eastAsia" w:ascii="仿宋" w:hAnsi="仿宋" w:eastAsia="仿宋"/>
          <w:color w:val="auto"/>
          <w:sz w:val="28"/>
          <w:szCs w:val="28"/>
          <w:highlight w:val="none"/>
        </w:rPr>
        <w:t>资格审查文件</w:t>
      </w:r>
      <w:r>
        <w:rPr>
          <w:rFonts w:hint="eastAsia" w:ascii="仿宋" w:hAnsi="仿宋" w:eastAsia="仿宋"/>
          <w:bCs/>
          <w:color w:val="auto"/>
          <w:kern w:val="0"/>
          <w:sz w:val="28"/>
          <w:szCs w:val="28"/>
          <w:highlight w:val="none"/>
        </w:rPr>
        <w:t>。</w:t>
      </w:r>
    </w:p>
    <w:p w14:paraId="132D01E4">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11.2 投标函部分主要包括下列内容：</w:t>
      </w:r>
    </w:p>
    <w:p w14:paraId="589C3357">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11.2.1法定代表人身份证明书原件；</w:t>
      </w:r>
    </w:p>
    <w:p w14:paraId="5DDFF50F">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11.2.2投标文件签署授权委托书；</w:t>
      </w:r>
    </w:p>
    <w:p w14:paraId="43749270">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11.2.3投标函；</w:t>
      </w:r>
    </w:p>
    <w:p w14:paraId="799FFA1D">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11.2.4投标保函或投标保证金收讫证明文件；</w:t>
      </w:r>
    </w:p>
    <w:p w14:paraId="20B8D6FC">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11.2.5招标文件要求投标人提交的其他投标资料。</w:t>
      </w:r>
    </w:p>
    <w:p w14:paraId="012A9F87">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11.3资信标部分主要包括下列内容：</w:t>
      </w:r>
    </w:p>
    <w:p w14:paraId="31C23BC5">
      <w:pPr>
        <w:pStyle w:val="71"/>
        <w:spacing w:line="560" w:lineRule="exact"/>
        <w:ind w:firstLine="56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11.3.1投标人资质情况；</w:t>
      </w:r>
    </w:p>
    <w:p w14:paraId="20F104D9">
      <w:pPr>
        <w:pStyle w:val="71"/>
        <w:spacing w:line="560" w:lineRule="exact"/>
        <w:ind w:firstLine="56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11.3.2投标人注册资金、办公场地、员工数量、机械设备等规模情况；</w:t>
      </w:r>
    </w:p>
    <w:p w14:paraId="2A5A7105">
      <w:pPr>
        <w:pStyle w:val="71"/>
        <w:spacing w:line="560" w:lineRule="exact"/>
        <w:ind w:firstLine="56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11.3.3投标人营业收入等财务状况；</w:t>
      </w:r>
    </w:p>
    <w:p w14:paraId="2A33458C">
      <w:pPr>
        <w:pStyle w:val="71"/>
        <w:spacing w:line="560" w:lineRule="exact"/>
        <w:ind w:firstLine="56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11.3.4投标人纳税情况；</w:t>
      </w:r>
    </w:p>
    <w:p w14:paraId="4CD3367C">
      <w:pPr>
        <w:pStyle w:val="71"/>
        <w:spacing w:line="560" w:lineRule="exact"/>
        <w:ind w:firstLine="56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11.3.5投标人业绩情况；</w:t>
      </w:r>
    </w:p>
    <w:p w14:paraId="7BC6B9AE">
      <w:pPr>
        <w:pStyle w:val="71"/>
        <w:spacing w:line="560" w:lineRule="exact"/>
        <w:ind w:firstLine="56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11.3.6投标人获奖情况；</w:t>
      </w:r>
    </w:p>
    <w:p w14:paraId="7A91C014">
      <w:pPr>
        <w:pStyle w:val="71"/>
        <w:spacing w:line="560" w:lineRule="exact"/>
        <w:ind w:firstLine="560"/>
        <w:jc w:val="left"/>
        <w:rPr>
          <w:rFonts w:ascii="仿宋" w:hAnsi="仿宋" w:eastAsia="仿宋"/>
          <w:bCs/>
          <w:color w:val="auto"/>
          <w:kern w:val="0"/>
          <w:sz w:val="28"/>
          <w:szCs w:val="28"/>
          <w:highlight w:val="none"/>
        </w:rPr>
      </w:pPr>
      <w:r>
        <w:rPr>
          <w:rFonts w:hint="eastAsia" w:ascii="仿宋" w:hAnsi="仿宋" w:eastAsia="仿宋"/>
          <w:color w:val="auto"/>
          <w:kern w:val="0"/>
          <w:sz w:val="28"/>
          <w:szCs w:val="28"/>
          <w:highlight w:val="none"/>
        </w:rPr>
        <w:t>11.3.7</w:t>
      </w:r>
      <w:r>
        <w:rPr>
          <w:rFonts w:hint="eastAsia" w:ascii="仿宋" w:hAnsi="仿宋" w:eastAsia="仿宋"/>
          <w:bCs/>
          <w:color w:val="auto"/>
          <w:kern w:val="0"/>
          <w:sz w:val="28"/>
          <w:szCs w:val="28"/>
          <w:highlight w:val="none"/>
        </w:rPr>
        <w:t>招标人要求提供的与投标人资信评审有关的其他材料.</w:t>
      </w:r>
    </w:p>
    <w:p w14:paraId="0822E1FC">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11.4 商务标部分主要包括下列内容：</w:t>
      </w:r>
    </w:p>
    <w:p w14:paraId="1F4B3A50">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 xml:space="preserve">11.4.1报价表； </w:t>
      </w:r>
    </w:p>
    <w:p w14:paraId="4E29E8CC">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11.4.2招标文件要求投标人提交的其他投标资料。</w:t>
      </w:r>
    </w:p>
    <w:p w14:paraId="7F2B8047">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11.5技术标部分要求：</w:t>
      </w:r>
    </w:p>
    <w:p w14:paraId="48E67985">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技术标格式由投标人自拟,内容应满足技术标评审要求。</w:t>
      </w:r>
    </w:p>
    <w:p w14:paraId="0E6B551B">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11.6资格审查方式为资格后审的，投标人还应提交资格审查文件：</w:t>
      </w:r>
    </w:p>
    <w:p w14:paraId="254FBA2A">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11.6.1投标人营业执照；</w:t>
      </w:r>
    </w:p>
    <w:p w14:paraId="631753E3">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11.6.2投标人资质证书；</w:t>
      </w:r>
    </w:p>
    <w:p w14:paraId="7F322EE5">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11.6.3</w:t>
      </w:r>
      <w:r>
        <w:rPr>
          <w:rFonts w:ascii="仿宋" w:hAnsi="仿宋" w:eastAsia="仿宋"/>
          <w:bCs/>
          <w:color w:val="auto"/>
          <w:kern w:val="0"/>
          <w:sz w:val="28"/>
          <w:szCs w:val="28"/>
          <w:highlight w:val="none"/>
        </w:rPr>
        <w:t>投标人拟派出的</w:t>
      </w:r>
      <w:r>
        <w:rPr>
          <w:rFonts w:hint="eastAsia" w:ascii="仿宋" w:hAnsi="仿宋" w:eastAsia="仿宋"/>
          <w:bCs/>
          <w:color w:val="auto"/>
          <w:kern w:val="0"/>
          <w:sz w:val="28"/>
          <w:szCs w:val="28"/>
          <w:highlight w:val="none"/>
        </w:rPr>
        <w:t>项目负责人资格证书</w:t>
      </w:r>
      <w:r>
        <w:rPr>
          <w:rFonts w:ascii="仿宋" w:hAnsi="仿宋" w:eastAsia="仿宋"/>
          <w:bCs/>
          <w:color w:val="auto"/>
          <w:kern w:val="0"/>
          <w:sz w:val="28"/>
          <w:szCs w:val="28"/>
          <w:highlight w:val="none"/>
        </w:rPr>
        <w:t>；</w:t>
      </w:r>
    </w:p>
    <w:p w14:paraId="57D09800">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 xml:space="preserve">11.6.4招标人要求提供的与投标人条件审查有关的其他资格证明材料。 </w:t>
      </w:r>
    </w:p>
    <w:p w14:paraId="0DAC5392">
      <w:pPr>
        <w:pStyle w:val="23"/>
        <w:spacing w:line="560" w:lineRule="exact"/>
        <w:ind w:firstLine="560"/>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12.投标文件电子文档的提交及要求</w:t>
      </w:r>
    </w:p>
    <w:p w14:paraId="459D0839">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12.1 投标人在提交书面投标文件的同时，应提交该投标文件的电子文档。</w:t>
      </w:r>
    </w:p>
    <w:p w14:paraId="10AEA016">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12.2 电子文档的格式要求： 采用word/Excel/PDF形式。</w:t>
      </w:r>
    </w:p>
    <w:p w14:paraId="4A24064B">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12.3投标文件的电子文档，必须提供一份只读光盘，并在光盘上注明投标人名称、招标项目名称。</w:t>
      </w:r>
    </w:p>
    <w:p w14:paraId="11FF72B0">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12.4 投标人提交的书面投标文件的实质内容应与提交的电子文档的实质内容完全一致。如果评标委员会发现两者的实质内容不一致，将按不利于投标人的原则予以处置。因此产生的一切责任均由投标人承担。</w:t>
      </w:r>
    </w:p>
    <w:p w14:paraId="1C2DACBE">
      <w:pPr>
        <w:pStyle w:val="23"/>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13.投标文件的格式要求</w:t>
      </w:r>
    </w:p>
    <w:p w14:paraId="07843838">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13.1投标文件包括本须知第16条中规定的内容，投标人提交的投标文件必须毫无例外地使用招标文件所提供的投标文件格式，详见招标文件第</w:t>
      </w:r>
      <w:r>
        <w:rPr>
          <w:rFonts w:hint="eastAsia" w:ascii="仿宋" w:hAnsi="仿宋" w:eastAsia="仿宋"/>
          <w:bCs/>
          <w:color w:val="auto"/>
          <w:kern w:val="0"/>
          <w:sz w:val="28"/>
          <w:szCs w:val="28"/>
          <w:highlight w:val="none"/>
          <w:lang w:val="en-US" w:eastAsia="zh-CN"/>
        </w:rPr>
        <w:t>五</w:t>
      </w:r>
      <w:r>
        <w:rPr>
          <w:rFonts w:hint="eastAsia" w:ascii="仿宋" w:hAnsi="仿宋" w:eastAsia="仿宋"/>
          <w:bCs/>
          <w:color w:val="auto"/>
          <w:kern w:val="0"/>
          <w:sz w:val="28"/>
          <w:szCs w:val="28"/>
          <w:highlight w:val="none"/>
        </w:rPr>
        <w:t>章—投标文件格式(表格可以按同样格式扩展)。</w:t>
      </w:r>
    </w:p>
    <w:p w14:paraId="78DDC22D">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13.2投标文件的正本和副本均需打印或使用不褪色的墨水笔书写，字迹应清晰易于辨认，并在投标文件封面的右上角清楚地注明“正本”或“副本”。正本和副本如有不一致之处，以正本为准。</w:t>
      </w:r>
    </w:p>
    <w:p w14:paraId="0E050357">
      <w:pPr>
        <w:pStyle w:val="23"/>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14.投标文件的数量要求</w:t>
      </w:r>
    </w:p>
    <w:p w14:paraId="7FC185CB">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14.1 投标人应按前附表1第15项规定份数提交投标文件。</w:t>
      </w:r>
    </w:p>
    <w:p w14:paraId="7ED403C3">
      <w:pPr>
        <w:pStyle w:val="23"/>
        <w:spacing w:line="560" w:lineRule="exact"/>
        <w:ind w:firstLine="551"/>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15.投标文件的签署</w:t>
      </w:r>
    </w:p>
    <w:p w14:paraId="21DEC112">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15.1 投标文件应根据第</w:t>
      </w:r>
      <w:r>
        <w:rPr>
          <w:rFonts w:hint="eastAsia" w:ascii="仿宋" w:hAnsi="仿宋" w:eastAsia="仿宋"/>
          <w:bCs/>
          <w:color w:val="auto"/>
          <w:kern w:val="0"/>
          <w:sz w:val="28"/>
          <w:szCs w:val="28"/>
          <w:highlight w:val="none"/>
          <w:lang w:val="en-US" w:eastAsia="zh-CN"/>
        </w:rPr>
        <w:t>五</w:t>
      </w:r>
      <w:r>
        <w:rPr>
          <w:rFonts w:hint="eastAsia" w:ascii="仿宋" w:hAnsi="仿宋" w:eastAsia="仿宋"/>
          <w:bCs/>
          <w:color w:val="auto"/>
          <w:kern w:val="0"/>
          <w:sz w:val="28"/>
          <w:szCs w:val="28"/>
          <w:highlight w:val="none"/>
        </w:rPr>
        <w:t>章</w:t>
      </w:r>
      <w:r>
        <w:rPr>
          <w:rFonts w:ascii="仿宋" w:hAnsi="仿宋" w:eastAsia="仿宋"/>
          <w:bCs/>
          <w:color w:val="auto"/>
          <w:kern w:val="0"/>
          <w:sz w:val="28"/>
          <w:szCs w:val="28"/>
          <w:highlight w:val="none"/>
        </w:rPr>
        <w:t>—</w:t>
      </w:r>
      <w:r>
        <w:rPr>
          <w:rFonts w:hint="eastAsia" w:ascii="仿宋" w:hAnsi="仿宋" w:eastAsia="仿宋"/>
          <w:bCs/>
          <w:color w:val="auto"/>
          <w:kern w:val="0"/>
          <w:sz w:val="28"/>
          <w:szCs w:val="28"/>
          <w:highlight w:val="none"/>
        </w:rPr>
        <w:t>投标文件格式要求加盖投标人印章并经法定代表人或其委托代理人签字或盖章。由委托代理人签字或盖章的在投标文件中须同时提交投标文件签署授权委托书。投标文件签署授权委托书应符合第</w:t>
      </w:r>
      <w:r>
        <w:rPr>
          <w:rFonts w:hint="eastAsia" w:ascii="仿宋" w:hAnsi="仿宋" w:eastAsia="仿宋"/>
          <w:bCs/>
          <w:color w:val="auto"/>
          <w:kern w:val="0"/>
          <w:sz w:val="28"/>
          <w:szCs w:val="28"/>
          <w:highlight w:val="none"/>
          <w:lang w:val="en-US" w:eastAsia="zh-CN"/>
        </w:rPr>
        <w:t>五</w:t>
      </w:r>
      <w:r>
        <w:rPr>
          <w:rFonts w:hint="eastAsia" w:ascii="仿宋" w:hAnsi="仿宋" w:eastAsia="仿宋"/>
          <w:bCs/>
          <w:color w:val="auto"/>
          <w:kern w:val="0"/>
          <w:sz w:val="28"/>
          <w:szCs w:val="28"/>
          <w:highlight w:val="none"/>
        </w:rPr>
        <w:t>章</w:t>
      </w:r>
      <w:r>
        <w:rPr>
          <w:rFonts w:ascii="仿宋" w:hAnsi="仿宋" w:eastAsia="仿宋"/>
          <w:bCs/>
          <w:color w:val="auto"/>
          <w:kern w:val="0"/>
          <w:sz w:val="28"/>
          <w:szCs w:val="28"/>
          <w:highlight w:val="none"/>
        </w:rPr>
        <w:t>—</w:t>
      </w:r>
      <w:r>
        <w:rPr>
          <w:rFonts w:hint="eastAsia" w:ascii="仿宋" w:hAnsi="仿宋" w:eastAsia="仿宋"/>
          <w:bCs/>
          <w:color w:val="auto"/>
          <w:kern w:val="0"/>
          <w:sz w:val="28"/>
          <w:szCs w:val="28"/>
          <w:highlight w:val="none"/>
        </w:rPr>
        <w:t>投标文件格式投标函部分的要求。</w:t>
      </w:r>
    </w:p>
    <w:p w14:paraId="3838F8F7">
      <w:pPr>
        <w:pStyle w:val="23"/>
        <w:spacing w:line="560" w:lineRule="exact"/>
        <w:ind w:firstLine="560" w:firstLineChars="20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15.2除投标人对错误处须修改外，全套投标文件应无涂改或增删，如有修改，修改处应由投标人加盖投标人的印章或由投标文件签字人签字或盖章。</w:t>
      </w:r>
    </w:p>
    <w:p w14:paraId="695093B2">
      <w:pPr>
        <w:pStyle w:val="23"/>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16.投标报价</w:t>
      </w:r>
    </w:p>
    <w:p w14:paraId="538BD984">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16.1投标报价是投标人的投标文件中提出的各项支付费用的金额总和。投标人的投标报价应保证在投标有效期内有效，在合同执行期内是固定不变。</w:t>
      </w:r>
    </w:p>
    <w:p w14:paraId="7561DA89">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16.2投标人的投标报价应是合同上所列的各项内容的全部。</w:t>
      </w:r>
    </w:p>
    <w:p w14:paraId="500C63DC">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16.2.1投标人若是提供了可变动价格或包含价格调整要求投标，其投标将会被拒绝。</w:t>
      </w:r>
    </w:p>
    <w:p w14:paraId="7FD52954">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16.2.2投标人若是提供了两个（含两个）以上报价，且未明确哪个是有效报价，其投标将会被拒绝（除允许提供备选方案的）。</w:t>
      </w:r>
    </w:p>
    <w:p w14:paraId="29A2CD4C">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16.3投标报价的招标</w:t>
      </w:r>
      <w:r>
        <w:rPr>
          <w:rFonts w:hint="eastAsia" w:ascii="仿宋" w:hAnsi="仿宋" w:eastAsia="仿宋"/>
          <w:bCs/>
          <w:color w:val="auto"/>
          <w:kern w:val="0"/>
          <w:sz w:val="28"/>
          <w:szCs w:val="28"/>
          <w:highlight w:val="none"/>
          <w:lang w:eastAsia="zh-CN"/>
        </w:rPr>
        <w:t>上限价</w:t>
      </w:r>
      <w:r>
        <w:rPr>
          <w:rFonts w:hint="eastAsia" w:ascii="仿宋" w:hAnsi="仿宋" w:eastAsia="仿宋"/>
          <w:bCs/>
          <w:color w:val="auto"/>
          <w:kern w:val="0"/>
          <w:sz w:val="28"/>
          <w:szCs w:val="28"/>
          <w:highlight w:val="none"/>
        </w:rPr>
        <w:t>见“投标须知前附表”。</w:t>
      </w:r>
    </w:p>
    <w:p w14:paraId="51C46635">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16.4招标人不接受任何免费赠送的货物或服务。如有，将按缺漏项处理。</w:t>
      </w:r>
    </w:p>
    <w:p w14:paraId="2543AFBD">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16.5最低投标报价不得低于成本。</w:t>
      </w:r>
    </w:p>
    <w:p w14:paraId="2019386B">
      <w:pPr>
        <w:pStyle w:val="23"/>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17.投标货币</w:t>
      </w:r>
    </w:p>
    <w:p w14:paraId="37294D20">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17.1 本</w:t>
      </w:r>
      <w:r>
        <w:rPr>
          <w:rFonts w:hint="eastAsia" w:ascii="仿宋" w:hAnsi="仿宋" w:eastAsia="仿宋"/>
          <w:bCs/>
          <w:color w:val="auto"/>
          <w:kern w:val="0"/>
          <w:sz w:val="28"/>
          <w:szCs w:val="28"/>
          <w:highlight w:val="none"/>
          <w:lang w:eastAsia="zh-CN"/>
        </w:rPr>
        <w:t>项目</w:t>
      </w:r>
      <w:r>
        <w:rPr>
          <w:rFonts w:hint="eastAsia" w:ascii="仿宋" w:hAnsi="仿宋" w:eastAsia="仿宋"/>
          <w:bCs/>
          <w:color w:val="auto"/>
          <w:kern w:val="0"/>
          <w:sz w:val="28"/>
          <w:szCs w:val="28"/>
          <w:highlight w:val="none"/>
        </w:rPr>
        <w:t>投标报价采用的币种见前附表1第12项。</w:t>
      </w:r>
    </w:p>
    <w:p w14:paraId="15C07EC2">
      <w:pPr>
        <w:pStyle w:val="23"/>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18.投标有效期</w:t>
      </w:r>
    </w:p>
    <w:p w14:paraId="639B5321">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18.1 投标有效期见前附表2第3项所规定的期限，在此期限内，所有投标文件均保持有效。</w:t>
      </w:r>
    </w:p>
    <w:p w14:paraId="5468B3C2">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18.2特殊的情况下，在原定投标有效期满之前，招标人可以根据需要以书面形式向投标人提出延长投标有效期的要求，对此要求投标人须以书面形式予以答复，投标人可以拒绝招标人这种要求，而不被没收投标保证金或投标保函。同意延长投标有效期的投标人不能要求也不允许修改其投标文件，但需要相应延长投标担保的有效期，在延长的投标有效期内本须知第19条关于投标保证金或投标保函的退还与没收的规定仍然适用。</w:t>
      </w:r>
    </w:p>
    <w:p w14:paraId="73BBE7C5">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19．投标担保、履约担保</w:t>
      </w:r>
    </w:p>
    <w:p w14:paraId="5675AE3B">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19.1投标人应按前附表1规定要求提交投标担保。</w:t>
      </w:r>
    </w:p>
    <w:p w14:paraId="25AE83E9">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 xml:space="preserve">19.2本项目投标担保： </w:t>
      </w:r>
    </w:p>
    <w:p w14:paraId="6D138A40">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19.2.1投标担保是为了避免招标人因投标人的行为而蒙受损失，招标人可根据19.2.4规定的条件没收投标保证金或投标保函。</w:t>
      </w:r>
    </w:p>
    <w:p w14:paraId="02A5F557">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19.2.2未中标的投标人的投标担保将按照本须知规定的投标有效期或经投标人同意的延长的投标有效期期满后7天内予以退还（不计利息）。</w:t>
      </w:r>
    </w:p>
    <w:p w14:paraId="02BC3E0C">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19.2.3出现下列情形之一时，招标人应当在7天内退还投标人的投标担保：</w:t>
      </w:r>
    </w:p>
    <w:p w14:paraId="7ACDDE12">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19.2.3.1中标通知书发出，中标人签订了合同；</w:t>
      </w:r>
    </w:p>
    <w:p w14:paraId="1C1CA508">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19.2.3.2招标过程中招标活动因正当理由被招标人宣布终止；</w:t>
      </w:r>
    </w:p>
    <w:p w14:paraId="5444B8F3">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19.2.3.3招标失败需重新组织招标；</w:t>
      </w:r>
    </w:p>
    <w:p w14:paraId="1862B68D">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19.2.3.4投标有效期满而投标人不同意作出延长。</w:t>
      </w:r>
    </w:p>
    <w:p w14:paraId="4692AEEB">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19.2.4投标人有下列任何情况发生时，投标担保将被没收。给招标人造成的损失超过投标担保金额的，投标人还应当对超过部分给予赔偿。</w:t>
      </w:r>
    </w:p>
    <w:p w14:paraId="38B0A0E7">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19.2.4.1投标人有弄虚作假或串通投标等违法违规行为；</w:t>
      </w:r>
    </w:p>
    <w:p w14:paraId="5CA9D657">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19.2.4.2投标人在投标有效期内撤回其投标文件；</w:t>
      </w:r>
    </w:p>
    <w:p w14:paraId="0AC2B6A5">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19.2.4.3在规定期限内中标人拒绝与招标人签订合同或不提交履约担保的；</w:t>
      </w:r>
    </w:p>
    <w:p w14:paraId="3DAC4895">
      <w:pPr>
        <w:pStyle w:val="71"/>
        <w:spacing w:line="560" w:lineRule="exact"/>
        <w:ind w:firstLine="560"/>
        <w:rPr>
          <w:rFonts w:hint="eastAsia"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19.2.4.4投标人资质证书被暂扣或吊销，但仍参与投标的。</w:t>
      </w:r>
    </w:p>
    <w:p w14:paraId="56203E76">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20.投标人的替代方案</w:t>
      </w:r>
    </w:p>
    <w:p w14:paraId="3C6BF31E">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20.1 本项目不接受替代方案。</w:t>
      </w:r>
    </w:p>
    <w:p w14:paraId="0EA914CA">
      <w:pPr>
        <w:pStyle w:val="71"/>
        <w:spacing w:line="560" w:lineRule="exact"/>
        <w:ind w:firstLine="560"/>
        <w:rPr>
          <w:rFonts w:ascii="仿宋_GB2312" w:hAnsi="宋体" w:eastAsia="仿宋_GB2312"/>
          <w:bCs/>
          <w:color w:val="auto"/>
          <w:kern w:val="0"/>
          <w:sz w:val="28"/>
          <w:szCs w:val="28"/>
          <w:highlight w:val="none"/>
        </w:rPr>
      </w:pPr>
    </w:p>
    <w:p w14:paraId="555460FA">
      <w:pPr>
        <w:pStyle w:val="5"/>
        <w:spacing w:before="0" w:after="0" w:line="400" w:lineRule="exact"/>
        <w:jc w:val="center"/>
        <w:rPr>
          <w:rFonts w:ascii="黑体" w:hAnsi="黑体" w:eastAsia="黑体"/>
          <w:b w:val="0"/>
          <w:color w:val="auto"/>
          <w:kern w:val="0"/>
          <w:sz w:val="36"/>
          <w:szCs w:val="36"/>
          <w:highlight w:val="none"/>
        </w:rPr>
      </w:pPr>
      <w:bookmarkStart w:id="56" w:name="_Toc32361"/>
      <w:bookmarkStart w:id="57" w:name="_Toc9352"/>
      <w:bookmarkStart w:id="58" w:name="_Toc80800152"/>
      <w:r>
        <w:rPr>
          <w:rFonts w:hint="eastAsia" w:ascii="黑体" w:hAnsi="黑体" w:eastAsia="黑体"/>
          <w:b w:val="0"/>
          <w:color w:val="auto"/>
          <w:kern w:val="0"/>
          <w:sz w:val="36"/>
          <w:szCs w:val="36"/>
          <w:highlight w:val="none"/>
        </w:rPr>
        <w:t>（四）投标文件的提交</w:t>
      </w:r>
      <w:bookmarkEnd w:id="56"/>
      <w:bookmarkEnd w:id="57"/>
      <w:bookmarkEnd w:id="58"/>
    </w:p>
    <w:p w14:paraId="789A782A">
      <w:pPr>
        <w:pStyle w:val="71"/>
        <w:spacing w:line="560" w:lineRule="exact"/>
        <w:ind w:firstLine="560"/>
        <w:rPr>
          <w:rFonts w:ascii="仿宋" w:hAnsi="仿宋" w:eastAsia="仿宋"/>
          <w:bCs/>
          <w:color w:val="auto"/>
          <w:kern w:val="0"/>
          <w:sz w:val="28"/>
          <w:szCs w:val="28"/>
          <w:highlight w:val="none"/>
        </w:rPr>
      </w:pPr>
    </w:p>
    <w:p w14:paraId="5A5B6E83">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21.投标文件的密封和标记</w:t>
      </w:r>
    </w:p>
    <w:p w14:paraId="4D1CA25E">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21.1投标文件须以正规文件袋密封，投标文件中的投标函部分、</w:t>
      </w:r>
      <w:r>
        <w:rPr>
          <w:rFonts w:hint="eastAsia" w:ascii="仿宋" w:hAnsi="仿宋" w:eastAsia="仿宋"/>
          <w:bCs/>
          <w:color w:val="auto"/>
          <w:kern w:val="0"/>
          <w:sz w:val="28"/>
          <w:szCs w:val="28"/>
          <w:highlight w:val="none"/>
          <w:lang w:val="en-US" w:eastAsia="zh-CN"/>
        </w:rPr>
        <w:t>资格审查文件、</w:t>
      </w:r>
      <w:r>
        <w:rPr>
          <w:rFonts w:hint="eastAsia" w:ascii="仿宋" w:hAnsi="仿宋" w:eastAsia="仿宋"/>
          <w:bCs/>
          <w:color w:val="auto"/>
          <w:kern w:val="0"/>
          <w:sz w:val="28"/>
          <w:szCs w:val="28"/>
          <w:highlight w:val="none"/>
        </w:rPr>
        <w:t>资信标部分、商务标部分、技术标部分应装订成册。</w:t>
      </w:r>
    </w:p>
    <w:p w14:paraId="62E28AA3">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21.2投标文件中的投标函部分、资信标部分、商务标部分、技术标部分、</w:t>
      </w:r>
      <w:r>
        <w:rPr>
          <w:rFonts w:hint="eastAsia" w:ascii="仿宋" w:hAnsi="仿宋" w:eastAsia="仿宋"/>
          <w:bCs/>
          <w:color w:val="auto"/>
          <w:kern w:val="0"/>
          <w:sz w:val="28"/>
          <w:szCs w:val="28"/>
          <w:highlight w:val="none"/>
          <w:lang w:val="en-US" w:eastAsia="zh-CN"/>
        </w:rPr>
        <w:t>资格审查文件、</w:t>
      </w:r>
      <w:r>
        <w:rPr>
          <w:rFonts w:hint="eastAsia" w:ascii="仿宋" w:hAnsi="仿宋" w:eastAsia="仿宋"/>
          <w:bCs/>
          <w:color w:val="auto"/>
          <w:kern w:val="0"/>
          <w:sz w:val="28"/>
          <w:szCs w:val="28"/>
          <w:highlight w:val="none"/>
        </w:rPr>
        <w:t>电子标书应分别密封包装在</w:t>
      </w:r>
      <w:r>
        <w:rPr>
          <w:rFonts w:hint="eastAsia" w:ascii="仿宋" w:hAnsi="仿宋" w:eastAsia="仿宋"/>
          <w:bCs/>
          <w:color w:val="auto"/>
          <w:kern w:val="0"/>
          <w:sz w:val="28"/>
          <w:szCs w:val="28"/>
          <w:highlight w:val="none"/>
          <w:lang w:val="en-US" w:eastAsia="zh-CN"/>
        </w:rPr>
        <w:t>六</w:t>
      </w:r>
      <w:r>
        <w:rPr>
          <w:rFonts w:hint="eastAsia" w:ascii="仿宋" w:hAnsi="仿宋" w:eastAsia="仿宋"/>
          <w:bCs/>
          <w:color w:val="auto"/>
          <w:kern w:val="0"/>
          <w:sz w:val="28"/>
          <w:szCs w:val="28"/>
          <w:highlight w:val="none"/>
        </w:rPr>
        <w:t>个密封袋中，在密封袋上相应注明“资格审查文件”、“投标函部分”、“资信标部分”“商务标部分”、“技术标部分”、“电子标书”，并分别注明项目名称、投标人名称。</w:t>
      </w:r>
    </w:p>
    <w:p w14:paraId="2AD862AF">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21.3将密封包装好的投标函部分、</w:t>
      </w:r>
      <w:r>
        <w:rPr>
          <w:rFonts w:hint="eastAsia" w:ascii="仿宋" w:hAnsi="仿宋" w:eastAsia="仿宋"/>
          <w:bCs/>
          <w:color w:val="auto"/>
          <w:kern w:val="0"/>
          <w:sz w:val="28"/>
          <w:szCs w:val="28"/>
          <w:highlight w:val="none"/>
          <w:lang w:val="en-US" w:eastAsia="zh-CN"/>
        </w:rPr>
        <w:t>资格审查文件、</w:t>
      </w:r>
      <w:r>
        <w:rPr>
          <w:rFonts w:hint="eastAsia" w:ascii="仿宋" w:hAnsi="仿宋" w:eastAsia="仿宋"/>
          <w:bCs/>
          <w:color w:val="auto"/>
          <w:kern w:val="0"/>
          <w:sz w:val="28"/>
          <w:szCs w:val="28"/>
          <w:highlight w:val="none"/>
        </w:rPr>
        <w:t>资信标部分、商务标部分、技术标部分、电子标书统一密封包装在一个外密封袋中，并在外密封袋上注明“投标文件”、项目名称、投标人名称，并按前附表2第2项的规定注明开标时间以及“在此（开标时间）之前不得开封”字样。</w:t>
      </w:r>
    </w:p>
    <w:p w14:paraId="65A46638">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21.4所有密封袋的封口处均应贴封条并骑缝加盖投标人公章。</w:t>
      </w:r>
    </w:p>
    <w:p w14:paraId="77361ECF">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22.投标截止时间</w:t>
      </w:r>
    </w:p>
    <w:p w14:paraId="5F26E072">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22.1 投标人应根据前附表2第2项的规定，在投标截止时间前将投标文件送达指定地点。</w:t>
      </w:r>
    </w:p>
    <w:p w14:paraId="6587F81E">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23.投标文件的补充修改与撤回</w:t>
      </w:r>
    </w:p>
    <w:p w14:paraId="26F20440">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23.1 投标人在递交投标文件以后，在规定的投标截止时间之前，可以书面形式补充、修改或撤回已提交的投标文件，并通知招标人。补充、修改的内容为投标文件的组成部分。</w:t>
      </w:r>
    </w:p>
    <w:p w14:paraId="7FE6D51C">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23.2 投标人的补充、修改或撤回通知，应按本须知第26条有关规定编制、密封、标记和递交，并在密封袋上清楚注明“补充”、“修改”或“撤回”字样。</w:t>
      </w:r>
    </w:p>
    <w:p w14:paraId="1EC26675">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23.3 根据本须知第22条规定，在投标截止时间以后，不得补充、修改投标文件。</w:t>
      </w:r>
    </w:p>
    <w:p w14:paraId="53D32750">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24.截标时投标文件的数量要求</w:t>
      </w:r>
    </w:p>
    <w:p w14:paraId="5937927C">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24.1截标时投标文件递交数量不足，则可能推迟招标或重新招标。如导致招标失败，招标人将不负担因此给</w:t>
      </w:r>
      <w:r>
        <w:rPr>
          <w:rFonts w:ascii="仿宋" w:hAnsi="仿宋" w:eastAsia="仿宋"/>
          <w:bCs/>
          <w:color w:val="auto"/>
          <w:kern w:val="0"/>
          <w:sz w:val="28"/>
          <w:szCs w:val="28"/>
          <w:highlight w:val="none"/>
        </w:rPr>
        <w:t>投标</w:t>
      </w:r>
      <w:r>
        <w:rPr>
          <w:rFonts w:hint="eastAsia" w:ascii="仿宋" w:hAnsi="仿宋" w:eastAsia="仿宋"/>
          <w:bCs/>
          <w:color w:val="auto"/>
          <w:kern w:val="0"/>
          <w:sz w:val="28"/>
          <w:szCs w:val="28"/>
          <w:highlight w:val="none"/>
        </w:rPr>
        <w:t>人造成的损失。</w:t>
      </w:r>
    </w:p>
    <w:p w14:paraId="511E2A26">
      <w:pPr>
        <w:pStyle w:val="71"/>
        <w:spacing w:line="560" w:lineRule="exact"/>
        <w:ind w:firstLine="560"/>
        <w:rPr>
          <w:rFonts w:ascii="仿宋_GB2312" w:hAnsi="宋体" w:eastAsia="仿宋_GB2312"/>
          <w:bCs/>
          <w:color w:val="auto"/>
          <w:kern w:val="0"/>
          <w:sz w:val="28"/>
          <w:szCs w:val="28"/>
          <w:highlight w:val="none"/>
        </w:rPr>
      </w:pPr>
    </w:p>
    <w:p w14:paraId="68A47A43">
      <w:pPr>
        <w:pStyle w:val="5"/>
        <w:spacing w:before="0" w:after="0" w:line="400" w:lineRule="exact"/>
        <w:jc w:val="center"/>
        <w:rPr>
          <w:rFonts w:ascii="黑体" w:hAnsi="黑体" w:eastAsia="黑体"/>
          <w:b w:val="0"/>
          <w:color w:val="auto"/>
          <w:kern w:val="0"/>
          <w:sz w:val="36"/>
          <w:szCs w:val="36"/>
          <w:highlight w:val="none"/>
        </w:rPr>
      </w:pPr>
      <w:bookmarkStart w:id="59" w:name="_Toc80800153"/>
      <w:bookmarkStart w:id="60" w:name="_Toc26627"/>
      <w:bookmarkStart w:id="61" w:name="_Toc15455"/>
      <w:r>
        <w:rPr>
          <w:rFonts w:hint="eastAsia" w:ascii="黑体" w:hAnsi="黑体" w:eastAsia="黑体"/>
          <w:b w:val="0"/>
          <w:color w:val="auto"/>
          <w:kern w:val="0"/>
          <w:sz w:val="36"/>
          <w:szCs w:val="36"/>
          <w:highlight w:val="none"/>
        </w:rPr>
        <w:t>（五）资格后审</w:t>
      </w:r>
      <w:bookmarkEnd w:id="59"/>
      <w:bookmarkEnd w:id="60"/>
      <w:bookmarkEnd w:id="61"/>
    </w:p>
    <w:p w14:paraId="63D580D1">
      <w:pPr>
        <w:pStyle w:val="71"/>
        <w:spacing w:line="560" w:lineRule="exact"/>
        <w:ind w:firstLine="560"/>
        <w:rPr>
          <w:rFonts w:ascii="仿宋_GB2312" w:hAnsi="宋体" w:eastAsia="仿宋_GB2312"/>
          <w:bCs/>
          <w:color w:val="auto"/>
          <w:kern w:val="0"/>
          <w:sz w:val="28"/>
          <w:szCs w:val="28"/>
          <w:highlight w:val="none"/>
        </w:rPr>
      </w:pPr>
    </w:p>
    <w:p w14:paraId="500FE9E7">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25.资格后审</w:t>
      </w:r>
    </w:p>
    <w:p w14:paraId="3BA11E80">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资格审查方式为资格后审的，其资格审查活动按以下规定进行：</w:t>
      </w:r>
    </w:p>
    <w:p w14:paraId="7A71AC09">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25.1资格审查由招标人组成的开标小组负责，在截标后对各投标人资格进行审查。</w:t>
      </w:r>
    </w:p>
    <w:p w14:paraId="718AA097">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25.2开标小组开启资格审查文件，严格对照招标公告中要求的投标人资格条件，逐个审查投标人递交的资格证明文件，审核判断投标人是否满足该资格条件。</w:t>
      </w:r>
    </w:p>
    <w:p w14:paraId="216DECDF">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25.3审查过程中如出现疑问，开标小组可要求投标人进行澄清说明，并根据招标公告设置的条件要求进行判断；如出现投标人资格不符合招标公告设置条件的，应当向投标人说明情况，并允许投标人答辩，记录有关情况。</w:t>
      </w:r>
    </w:p>
    <w:p w14:paraId="1ECAB73B">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25.4投标人应准备相关原件以备查验。</w:t>
      </w:r>
    </w:p>
    <w:p w14:paraId="4E0E4021">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25.5拟进行资格后审澄清、答辩的代表由招标人核对身份</w:t>
      </w:r>
      <w:r>
        <w:rPr>
          <w:rFonts w:ascii="仿宋" w:hAnsi="仿宋" w:eastAsia="仿宋"/>
          <w:bCs/>
          <w:color w:val="auto"/>
          <w:kern w:val="0"/>
          <w:sz w:val="28"/>
          <w:szCs w:val="28"/>
          <w:highlight w:val="none"/>
        </w:rPr>
        <w:t>。</w:t>
      </w:r>
    </w:p>
    <w:p w14:paraId="0F7267F4">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25.6开标小组要求投标人进行澄清、答辩，但投标人在招标人规定时间内未派出人员及时作出澄清、答辩的，开标小组会将可能作出不利于投标人的判定。</w:t>
      </w:r>
    </w:p>
    <w:p w14:paraId="371955FD">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25.7资格审查合格投标人少于3家的，不再进行后续招标投标程序。</w:t>
      </w:r>
    </w:p>
    <w:p w14:paraId="5DE76959">
      <w:pPr>
        <w:pStyle w:val="71"/>
        <w:spacing w:line="560" w:lineRule="exact"/>
        <w:ind w:firstLine="560"/>
        <w:rPr>
          <w:rFonts w:ascii="仿宋_GB2312" w:hAnsi="宋体" w:eastAsia="仿宋_GB2312"/>
          <w:bCs/>
          <w:color w:val="auto"/>
          <w:kern w:val="0"/>
          <w:sz w:val="28"/>
          <w:szCs w:val="28"/>
          <w:highlight w:val="none"/>
        </w:rPr>
      </w:pPr>
    </w:p>
    <w:p w14:paraId="7A1D402D">
      <w:pPr>
        <w:pStyle w:val="5"/>
        <w:spacing w:before="0" w:after="0" w:line="400" w:lineRule="exact"/>
        <w:ind w:firstLine="720"/>
        <w:jc w:val="center"/>
        <w:rPr>
          <w:rFonts w:ascii="黑体" w:hAnsi="黑体" w:eastAsia="黑体"/>
          <w:b w:val="0"/>
          <w:color w:val="auto"/>
          <w:kern w:val="0"/>
          <w:sz w:val="36"/>
          <w:szCs w:val="36"/>
          <w:highlight w:val="none"/>
        </w:rPr>
      </w:pPr>
      <w:bookmarkStart w:id="62" w:name="_Toc5958"/>
      <w:bookmarkStart w:id="63" w:name="_Toc80800154"/>
      <w:bookmarkStart w:id="64" w:name="_Toc20914"/>
      <w:r>
        <w:rPr>
          <w:rFonts w:hint="eastAsia" w:ascii="黑体" w:hAnsi="黑体" w:eastAsia="黑体"/>
          <w:b w:val="0"/>
          <w:color w:val="auto"/>
          <w:kern w:val="0"/>
          <w:sz w:val="36"/>
          <w:szCs w:val="36"/>
          <w:highlight w:val="none"/>
        </w:rPr>
        <w:t>（六）开标</w:t>
      </w:r>
      <w:bookmarkEnd w:id="62"/>
      <w:bookmarkEnd w:id="63"/>
      <w:bookmarkEnd w:id="64"/>
    </w:p>
    <w:p w14:paraId="38E1D490">
      <w:pPr>
        <w:pStyle w:val="71"/>
        <w:spacing w:line="560" w:lineRule="exact"/>
        <w:ind w:firstLine="560"/>
        <w:rPr>
          <w:rFonts w:ascii="仿宋_GB2312" w:hAnsi="宋体" w:eastAsia="仿宋_GB2312"/>
          <w:bCs/>
          <w:color w:val="auto"/>
          <w:kern w:val="0"/>
          <w:sz w:val="28"/>
          <w:szCs w:val="28"/>
          <w:highlight w:val="none"/>
        </w:rPr>
      </w:pPr>
    </w:p>
    <w:p w14:paraId="6D1D86CF">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26.开标</w:t>
      </w:r>
    </w:p>
    <w:p w14:paraId="2318D000">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26.1 本招标</w:t>
      </w:r>
      <w:r>
        <w:rPr>
          <w:rFonts w:hint="eastAsia" w:ascii="仿宋" w:hAnsi="仿宋" w:eastAsia="仿宋"/>
          <w:bCs/>
          <w:color w:val="auto"/>
          <w:kern w:val="0"/>
          <w:sz w:val="28"/>
          <w:szCs w:val="28"/>
          <w:highlight w:val="none"/>
          <w:lang w:eastAsia="zh-CN"/>
        </w:rPr>
        <w:t>项目</w:t>
      </w:r>
      <w:r>
        <w:rPr>
          <w:rFonts w:hint="eastAsia" w:ascii="仿宋" w:hAnsi="仿宋" w:eastAsia="仿宋"/>
          <w:bCs/>
          <w:color w:val="auto"/>
          <w:kern w:val="0"/>
          <w:sz w:val="28"/>
          <w:szCs w:val="28"/>
          <w:highlight w:val="none"/>
        </w:rPr>
        <w:t>招标人将于前附表2第5项所规定的时间和地点公开举行开标会议，并邀请所有投标人代表（资格后审不合格单位除外）参加。</w:t>
      </w:r>
    </w:p>
    <w:p w14:paraId="61A099A1">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26.2</w:t>
      </w:r>
      <w:r>
        <w:rPr>
          <w:rFonts w:ascii="仿宋" w:hAnsi="仿宋" w:eastAsia="仿宋"/>
          <w:bCs/>
          <w:color w:val="auto"/>
          <w:kern w:val="0"/>
          <w:sz w:val="28"/>
          <w:szCs w:val="28"/>
          <w:highlight w:val="none"/>
        </w:rPr>
        <w:t xml:space="preserve"> </w:t>
      </w:r>
      <w:r>
        <w:rPr>
          <w:rFonts w:hint="eastAsia" w:ascii="仿宋" w:hAnsi="仿宋" w:eastAsia="仿宋"/>
          <w:bCs/>
          <w:color w:val="auto"/>
          <w:kern w:val="0"/>
          <w:sz w:val="28"/>
          <w:szCs w:val="28"/>
          <w:highlight w:val="none"/>
        </w:rPr>
        <w:t>参加开标会议的投标人的法定代表人或其委托代理人应随带本人身份证，委托代理人还应随带“法定代表人证明书”和“法定代表人授权委托书”，以证明其身份。</w:t>
      </w:r>
    </w:p>
    <w:p w14:paraId="29B05DF9">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26.3 开标会议由招标人主持。</w:t>
      </w:r>
    </w:p>
    <w:p w14:paraId="406ACCA0">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(1)由投标人或投标人代表检查投标文件的密封和标记情况；</w:t>
      </w:r>
    </w:p>
    <w:p w14:paraId="23034411">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(2)经确认无误后，由招标人当众拆封，宣读投标人名称、投标价格以及投标文件中的其他主要内容。</w:t>
      </w:r>
    </w:p>
    <w:p w14:paraId="50B11B2F">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26.4 招标人在投标截止时间前收到的所有投标文件，开标时都应当众拆封、宣读。但按规定提交合格的撤回通知的投标文件不予开封，并退给投标人。</w:t>
      </w:r>
    </w:p>
    <w:p w14:paraId="6AA0F5CF">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26.5按本须知第27条规定宣布为不予受理的投标文件，不予送交评审；其它不属于本须知第27条情形的投标文件均送交评标委员会。</w:t>
      </w:r>
    </w:p>
    <w:p w14:paraId="461893AB">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26.6招标人应对开标过程进行记录，以存档备查。</w:t>
      </w:r>
    </w:p>
    <w:p w14:paraId="7807BC48">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27.投标文件的受理</w:t>
      </w:r>
    </w:p>
    <w:p w14:paraId="2148E25B">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27.1 投标文件有下列情形之一的，招标人将不予受理：</w:t>
      </w:r>
    </w:p>
    <w:p w14:paraId="1E84736F">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27.1.1 在规定投标截止时间以后</w:t>
      </w:r>
      <w:r>
        <w:rPr>
          <w:rFonts w:ascii="仿宋" w:hAnsi="仿宋" w:eastAsia="仿宋"/>
          <w:bCs/>
          <w:color w:val="auto"/>
          <w:kern w:val="0"/>
          <w:sz w:val="28"/>
          <w:szCs w:val="28"/>
          <w:highlight w:val="none"/>
        </w:rPr>
        <w:t>逾期送达的或者未送达指定地点的</w:t>
      </w:r>
      <w:r>
        <w:rPr>
          <w:rFonts w:hint="eastAsia" w:ascii="仿宋" w:hAnsi="仿宋" w:eastAsia="仿宋"/>
          <w:bCs/>
          <w:color w:val="auto"/>
          <w:kern w:val="0"/>
          <w:sz w:val="28"/>
          <w:szCs w:val="28"/>
          <w:highlight w:val="none"/>
        </w:rPr>
        <w:t>；</w:t>
      </w:r>
    </w:p>
    <w:p w14:paraId="65F4654D">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27.1.2 未按规定密封和骑缝加盖投标人公章的；</w:t>
      </w:r>
    </w:p>
    <w:p w14:paraId="0AF0FA86">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 xml:space="preserve">27.1.3 </w:t>
      </w:r>
      <w:r>
        <w:rPr>
          <w:rFonts w:ascii="仿宋" w:hAnsi="仿宋" w:eastAsia="仿宋"/>
          <w:bCs/>
          <w:color w:val="auto"/>
          <w:kern w:val="0"/>
          <w:sz w:val="28"/>
          <w:szCs w:val="28"/>
          <w:highlight w:val="none"/>
        </w:rPr>
        <w:t>投标文件</w:t>
      </w:r>
      <w:r>
        <w:rPr>
          <w:rFonts w:hint="eastAsia" w:ascii="仿宋" w:hAnsi="仿宋" w:eastAsia="仿宋"/>
          <w:bCs/>
          <w:color w:val="auto"/>
          <w:kern w:val="0"/>
          <w:sz w:val="28"/>
          <w:szCs w:val="28"/>
          <w:highlight w:val="none"/>
        </w:rPr>
        <w:t>的投标报价高于招标控制价或投标报价上限的；</w:t>
      </w:r>
    </w:p>
    <w:p w14:paraId="0E33985C">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 xml:space="preserve">27.1.4 </w:t>
      </w:r>
      <w:r>
        <w:rPr>
          <w:rFonts w:ascii="仿宋" w:hAnsi="仿宋" w:eastAsia="仿宋"/>
          <w:bCs/>
          <w:color w:val="auto"/>
          <w:kern w:val="0"/>
          <w:sz w:val="28"/>
          <w:szCs w:val="28"/>
          <w:highlight w:val="none"/>
        </w:rPr>
        <w:t>投标文件</w:t>
      </w:r>
      <w:r>
        <w:rPr>
          <w:rFonts w:hint="eastAsia" w:ascii="仿宋" w:hAnsi="仿宋" w:eastAsia="仿宋"/>
          <w:bCs/>
          <w:color w:val="auto"/>
          <w:kern w:val="0"/>
          <w:sz w:val="28"/>
          <w:szCs w:val="28"/>
          <w:highlight w:val="none"/>
        </w:rPr>
        <w:t>承诺的服务周期超过招标文件要求的；</w:t>
      </w:r>
    </w:p>
    <w:p w14:paraId="226E4B79">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27.2 如果招标人根据招标文件的规定难以准确判断某投标人的投标文件是否应予受理的，或有投标人在开标会上对审查程序与结果提出异议的，招标人将记录有关情况提交评标委员会讨论决定。</w:t>
      </w:r>
    </w:p>
    <w:p w14:paraId="658F0FCB">
      <w:pPr>
        <w:pStyle w:val="71"/>
        <w:spacing w:line="560" w:lineRule="exact"/>
        <w:ind w:firstLine="560"/>
        <w:rPr>
          <w:rFonts w:ascii="仿宋_GB2312" w:hAnsi="宋体" w:eastAsia="仿宋_GB2312"/>
          <w:bCs/>
          <w:color w:val="auto"/>
          <w:kern w:val="0"/>
          <w:sz w:val="28"/>
          <w:szCs w:val="28"/>
          <w:highlight w:val="none"/>
        </w:rPr>
      </w:pPr>
    </w:p>
    <w:p w14:paraId="34CADB88">
      <w:pPr>
        <w:topLinePunct/>
        <w:adjustRightInd w:val="0"/>
        <w:snapToGrid w:val="0"/>
        <w:spacing w:line="360" w:lineRule="auto"/>
        <w:ind w:firstLine="480" w:firstLineChars="200"/>
        <w:jc w:val="left"/>
        <w:rPr>
          <w:rFonts w:ascii="宋体" w:hAnsi="宋体"/>
          <w:color w:val="auto"/>
          <w:kern w:val="0"/>
          <w:sz w:val="24"/>
          <w:szCs w:val="24"/>
          <w:highlight w:val="none"/>
        </w:rPr>
      </w:pPr>
    </w:p>
    <w:p w14:paraId="63663397">
      <w:pPr>
        <w:pStyle w:val="5"/>
        <w:spacing w:before="0" w:after="0" w:line="400" w:lineRule="exact"/>
        <w:ind w:firstLine="720"/>
        <w:jc w:val="center"/>
        <w:rPr>
          <w:rFonts w:ascii="黑体" w:hAnsi="黑体" w:eastAsia="黑体"/>
          <w:b w:val="0"/>
          <w:color w:val="auto"/>
          <w:kern w:val="0"/>
          <w:sz w:val="36"/>
          <w:szCs w:val="36"/>
          <w:highlight w:val="none"/>
        </w:rPr>
      </w:pPr>
      <w:bookmarkStart w:id="65" w:name="_Toc31138"/>
      <w:bookmarkStart w:id="66" w:name="_Toc23674"/>
      <w:bookmarkStart w:id="67" w:name="_Toc80800155"/>
      <w:r>
        <w:rPr>
          <w:rFonts w:hint="eastAsia" w:ascii="黑体" w:hAnsi="黑体" w:eastAsia="黑体"/>
          <w:b w:val="0"/>
          <w:color w:val="auto"/>
          <w:kern w:val="0"/>
          <w:sz w:val="36"/>
          <w:szCs w:val="36"/>
          <w:highlight w:val="none"/>
        </w:rPr>
        <w:t>（七）评  标</w:t>
      </w:r>
      <w:bookmarkEnd w:id="65"/>
      <w:bookmarkEnd w:id="66"/>
      <w:bookmarkEnd w:id="67"/>
    </w:p>
    <w:p w14:paraId="57DCF861">
      <w:pPr>
        <w:pStyle w:val="71"/>
        <w:spacing w:line="560" w:lineRule="exact"/>
        <w:ind w:firstLine="560"/>
        <w:rPr>
          <w:rFonts w:ascii="仿宋_GB2312" w:hAnsi="宋体" w:eastAsia="仿宋_GB2312"/>
          <w:bCs/>
          <w:color w:val="auto"/>
          <w:kern w:val="0"/>
          <w:sz w:val="28"/>
          <w:szCs w:val="28"/>
          <w:highlight w:val="none"/>
        </w:rPr>
      </w:pPr>
    </w:p>
    <w:p w14:paraId="108BC541">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28.评标委员会和评标</w:t>
      </w:r>
    </w:p>
    <w:p w14:paraId="41597289">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28.1 评标委员会由招标人依法组建，负责评标活动。</w:t>
      </w:r>
    </w:p>
    <w:p w14:paraId="6385F2AE">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28.2 开标结束后，开始评标，评标采用保密方式进行。</w:t>
      </w:r>
    </w:p>
    <w:p w14:paraId="7A1405D7">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29. 招标人将向评标委员会提供以下资料，供评标使用：</w:t>
      </w:r>
    </w:p>
    <w:p w14:paraId="49A57B0C">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29.1 招标文件，包括补遗文件、答疑文件等；</w:t>
      </w:r>
    </w:p>
    <w:p w14:paraId="4739EF40">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29.2 供评标使用的主要技术资料；</w:t>
      </w:r>
    </w:p>
    <w:p w14:paraId="0669DFA7">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29.3 项目概况和评标重点的书面介绍。</w:t>
      </w:r>
    </w:p>
    <w:p w14:paraId="34C7703F">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29.4 其他评标必须的资料。</w:t>
      </w:r>
    </w:p>
    <w:p w14:paraId="6DEFD002">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30.投标文件的初步评审</w:t>
      </w:r>
    </w:p>
    <w:p w14:paraId="418CFBB1">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30.1由评标委员会进行投标文件的初步评审；</w:t>
      </w:r>
    </w:p>
    <w:p w14:paraId="1C0A5043">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30.2</w:t>
      </w:r>
      <w:r>
        <w:rPr>
          <w:rFonts w:ascii="仿宋" w:hAnsi="仿宋" w:eastAsia="仿宋"/>
          <w:bCs/>
          <w:color w:val="auto"/>
          <w:kern w:val="0"/>
          <w:sz w:val="28"/>
          <w:szCs w:val="28"/>
          <w:highlight w:val="none"/>
        </w:rPr>
        <w:t>投标文件有下列情形之一的，</w:t>
      </w:r>
      <w:r>
        <w:rPr>
          <w:rFonts w:hint="eastAsia" w:ascii="仿宋" w:hAnsi="仿宋" w:eastAsia="仿宋"/>
          <w:bCs/>
          <w:color w:val="auto"/>
          <w:kern w:val="0"/>
          <w:sz w:val="28"/>
          <w:szCs w:val="28"/>
          <w:highlight w:val="none"/>
        </w:rPr>
        <w:t>初步评审不通过，应作无效标处理：</w:t>
      </w:r>
    </w:p>
    <w:p w14:paraId="1B10BEB7">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30.2.1 投标文件的有关内容未按规定加盖投标人印章、或未经法定代表人或其委托代理人签字(或盖章)、或由委托代理人签字(或盖章)但未随投标文件一起提供“投标文件签署授权委托书”原件的；</w:t>
      </w:r>
    </w:p>
    <w:p w14:paraId="046D9229">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30.2.2投标函按招标文件规定应当填写而未填写的；</w:t>
      </w:r>
    </w:p>
    <w:p w14:paraId="2C887B9D">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30.2.3招标人要求提交投标文件电子文档，但投标人未提交或提交的电子文档不符合要求的。</w:t>
      </w:r>
    </w:p>
    <w:p w14:paraId="327027C8">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30.2.4投标人组成联合体投标，但投标文件未按规定附有联合体各方共同投标协议的；</w:t>
      </w:r>
    </w:p>
    <w:p w14:paraId="6D14C4FC">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30.2.5参加联合体的各成员再以自己的名义单独投标的，或同时参加两个或两个以上的联合体投标的；</w:t>
      </w:r>
    </w:p>
    <w:p w14:paraId="088A8C6B">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30.2.6投标人资格条件不符合国家有关规定和招标文件要求的。</w:t>
      </w:r>
    </w:p>
    <w:p w14:paraId="41D1E08F">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31.投标文件的详细评审</w:t>
      </w:r>
    </w:p>
    <w:p w14:paraId="69FEE1D1">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31.1评标委员会根据前附表1第16项规定的评标方法和标准，对投标文件进行</w:t>
      </w:r>
      <w:r>
        <w:rPr>
          <w:rFonts w:ascii="仿宋" w:hAnsi="仿宋" w:eastAsia="仿宋"/>
          <w:bCs/>
          <w:color w:val="auto"/>
          <w:kern w:val="0"/>
          <w:sz w:val="28"/>
          <w:szCs w:val="28"/>
          <w:highlight w:val="none"/>
        </w:rPr>
        <w:t>系统</w:t>
      </w:r>
      <w:r>
        <w:rPr>
          <w:rFonts w:hint="eastAsia" w:ascii="仿宋" w:hAnsi="仿宋" w:eastAsia="仿宋"/>
          <w:bCs/>
          <w:color w:val="auto"/>
          <w:kern w:val="0"/>
          <w:sz w:val="28"/>
          <w:szCs w:val="28"/>
          <w:highlight w:val="none"/>
        </w:rPr>
        <w:t>的评审和比较，</w:t>
      </w:r>
      <w:r>
        <w:rPr>
          <w:rFonts w:ascii="仿宋" w:hAnsi="仿宋" w:eastAsia="仿宋"/>
          <w:bCs/>
          <w:color w:val="auto"/>
          <w:kern w:val="0"/>
          <w:sz w:val="28"/>
          <w:szCs w:val="28"/>
          <w:highlight w:val="none"/>
        </w:rPr>
        <w:t>招标文件中没有规定的标准和方法不得作为评标的依据。</w:t>
      </w:r>
    </w:p>
    <w:p w14:paraId="5878FFA1">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32.投标文件的重大偏差</w:t>
      </w:r>
    </w:p>
    <w:p w14:paraId="05C862A0">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32.1投标文件存在重大偏差的，应作废标处理。下列情况属于重大偏差：</w:t>
      </w:r>
    </w:p>
    <w:p w14:paraId="66C14CD0">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32.1.1投标人以他人的名义投标或出现下列串通投标、弄虚作假投标嫌疑的：</w:t>
      </w:r>
    </w:p>
    <w:p w14:paraId="3073770A">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32.1.2投标人资质条件不符合国家有关规定和招标文件要求；</w:t>
      </w:r>
    </w:p>
    <w:p w14:paraId="5D90AD69">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 xml:space="preserve">32.1.3投标人拒不按照要求对投标文件进行澄清、说明、补正的或评标委员会根据本须知第35.1条规定对投标文件的计算错误进行修正后，投标人不接受修正后的投标报价的； </w:t>
      </w:r>
    </w:p>
    <w:p w14:paraId="533E91BB">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32.1.4投标文件附有招标人不能接受的条件；</w:t>
      </w:r>
    </w:p>
    <w:p w14:paraId="42FC0C74">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32.1.5投标文件不满足招标文件规定的任何一项实质性要求的；</w:t>
      </w:r>
    </w:p>
    <w:p w14:paraId="44BF3D03">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33.投标文件的细微偏差</w:t>
      </w:r>
    </w:p>
    <w:p w14:paraId="3F80C6E5">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33.1细微偏差是指投标文件在实质上响应招标文件要求，但在个别地方存在漏项或者提供了不完整的技术信息和数据等情况，并且补正这些遗漏或者不完整不会对其他投标人造成不公平的结果。细微偏差不影响投标文件的有效性。</w:t>
      </w:r>
    </w:p>
    <w:p w14:paraId="7B472950">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33.2评标委员会应当书面要求存在细微偏差的投标人在评标结束前予以补正。拒不补正的，在详细评审时可以对细微偏差作不利于该投标人的量化，量化标准以招标文件规定为准。</w:t>
      </w:r>
    </w:p>
    <w:p w14:paraId="02569CD1">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33.3 在评审过程中，评标委员会可以以书面形式要求投标人就投标文件中含义不明确的内容进行说明并提供相关材料。</w:t>
      </w:r>
    </w:p>
    <w:p w14:paraId="17179B2B">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34.投标文件的澄清和对答辩人的要求</w:t>
      </w:r>
    </w:p>
    <w:p w14:paraId="098400EA">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34.1为有助于投标文件的审查、评价和比较，评标委员会可以要求投标人对投标文件含义不明确的内容作必要的澄清或说明，投标人应当进行澄清或说明，但不得超出投标文件的范围或改变投标报价和其他实质性内容。根据本须知第35条规定，凡属于评标委员会在评标中发现的计算错误并进行核实的修改不在此列。</w:t>
      </w:r>
    </w:p>
    <w:p w14:paraId="42F64A37">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 xml:space="preserve">34.2 </w:t>
      </w:r>
      <w:r>
        <w:rPr>
          <w:rFonts w:ascii="仿宋" w:hAnsi="仿宋" w:eastAsia="仿宋"/>
          <w:bCs/>
          <w:color w:val="auto"/>
          <w:kern w:val="0"/>
          <w:sz w:val="28"/>
          <w:szCs w:val="28"/>
          <w:highlight w:val="none"/>
        </w:rPr>
        <w:t>评标过程中</w:t>
      </w:r>
      <w:r>
        <w:rPr>
          <w:rFonts w:hint="eastAsia" w:ascii="仿宋" w:hAnsi="仿宋" w:eastAsia="仿宋"/>
          <w:bCs/>
          <w:color w:val="auto"/>
          <w:kern w:val="0"/>
          <w:sz w:val="28"/>
          <w:szCs w:val="28"/>
          <w:highlight w:val="none"/>
        </w:rPr>
        <w:t>对</w:t>
      </w:r>
      <w:r>
        <w:rPr>
          <w:rFonts w:ascii="仿宋" w:hAnsi="仿宋" w:eastAsia="仿宋"/>
          <w:bCs/>
          <w:color w:val="auto"/>
          <w:kern w:val="0"/>
          <w:sz w:val="28"/>
          <w:szCs w:val="28"/>
          <w:highlight w:val="none"/>
        </w:rPr>
        <w:t>各投标单位的答辩人要求如下：</w:t>
      </w:r>
    </w:p>
    <w:p w14:paraId="3B28B261">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34.2.1</w:t>
      </w:r>
      <w:r>
        <w:rPr>
          <w:rFonts w:ascii="仿宋" w:hAnsi="仿宋" w:eastAsia="仿宋"/>
          <w:bCs/>
          <w:color w:val="auto"/>
          <w:kern w:val="0"/>
          <w:sz w:val="28"/>
          <w:szCs w:val="28"/>
          <w:highlight w:val="none"/>
        </w:rPr>
        <w:t>拟进行</w:t>
      </w:r>
      <w:r>
        <w:rPr>
          <w:rFonts w:hint="eastAsia" w:ascii="仿宋" w:hAnsi="仿宋" w:eastAsia="仿宋"/>
          <w:bCs/>
          <w:color w:val="auto"/>
          <w:kern w:val="0"/>
          <w:sz w:val="28"/>
          <w:szCs w:val="28"/>
          <w:highlight w:val="none"/>
        </w:rPr>
        <w:t>投标</w:t>
      </w:r>
      <w:r>
        <w:rPr>
          <w:rFonts w:ascii="仿宋" w:hAnsi="仿宋" w:eastAsia="仿宋"/>
          <w:bCs/>
          <w:color w:val="auto"/>
          <w:kern w:val="0"/>
          <w:sz w:val="28"/>
          <w:szCs w:val="28"/>
          <w:highlight w:val="none"/>
        </w:rPr>
        <w:t>答辩的，投标人法定代表人</w:t>
      </w:r>
      <w:r>
        <w:rPr>
          <w:rFonts w:hint="eastAsia" w:ascii="仿宋" w:hAnsi="仿宋" w:eastAsia="仿宋"/>
          <w:bCs/>
          <w:color w:val="auto"/>
          <w:kern w:val="0"/>
          <w:sz w:val="28"/>
          <w:szCs w:val="28"/>
          <w:highlight w:val="none"/>
        </w:rPr>
        <w:t>或其授权委托人。</w:t>
      </w:r>
    </w:p>
    <w:p w14:paraId="2F3DAB1C">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34.3评标委员会要求投标人进行答辩，但投标人在规定时间内未派出答辩人及时作出答辩的，评标委员会将根据招标文件规定作出不利于投标人的判定。</w:t>
      </w:r>
    </w:p>
    <w:p w14:paraId="11288C67">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35.投标文件计算错误的修正</w:t>
      </w:r>
    </w:p>
    <w:p w14:paraId="5992B4DF">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35.1投标人的投标报价中如出现算术错误，将按以下方法进行调整：</w:t>
      </w:r>
    </w:p>
    <w:p w14:paraId="17D5F03B">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35.1.1投标文件中大写金额与小写金额不一致的，以大写金额为准；</w:t>
      </w:r>
    </w:p>
    <w:p w14:paraId="07C43E25">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35.1.2总价金额与按单价计算的总金额不一致的，以单价计算的总金额为准。除非评标委员会认为单价有明显的小数点错误，此时应以合价金额为准，调整单价；</w:t>
      </w:r>
    </w:p>
    <w:p w14:paraId="3876B0DC">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35.2投标人的投标报价如果出现缺项、漏项或是修改了本招标项目列明项目的数量情况的，评标委员会应根据具体评标方法和评审标准，按照不利于该投标人的原则进行调整，且投标人不得因此提出任何异议。</w:t>
      </w:r>
    </w:p>
    <w:p w14:paraId="2B0C1342">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35.3按照本节第35.1条、第35.2条规定的调整方法确定的调整后报价，须取得投标人同意并书面签字确认。如果投标人拒不接受调整方法以及调整后的报价的，其投标将被拒绝。</w:t>
      </w:r>
    </w:p>
    <w:p w14:paraId="241CD16B">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35.4如果出现多报或超出本招标项目列明项目的数量情况的，评标委员会应根据具体评标方法和评审标准，按照不利于该投标人的原则进行调整，且投标人不得因此提出任何异议。</w:t>
      </w:r>
    </w:p>
    <w:p w14:paraId="1DF618C7">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35.5中标人的投标报价是按照本节第35.1条、第35.2条、第35.3条规定的进行了调整的，其中标价按就低不就高的原则确定。如果投标人拒不接受的，其投标将被拒绝。</w:t>
      </w:r>
    </w:p>
    <w:p w14:paraId="6C1B0020">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35.5.1投标人的投标报价的总价小于调整后的报价，中标价即为投标人的投标报价的总价；投标报价的总价大于调整后的报价，中标价即为调整后的报价。</w:t>
      </w:r>
    </w:p>
    <w:p w14:paraId="596DB9DC">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36.无效标和废标的处理</w:t>
      </w:r>
    </w:p>
    <w:p w14:paraId="51203664">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36.1除本须知第30.2条和第32.1条明确规定的无效标和废标情形外，评标委员会对投标文件应坚持谨慎确定无效标和废标的原则。</w:t>
      </w:r>
    </w:p>
    <w:p w14:paraId="59647795">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36.2评标委员会在作出任何一项无效标和废标决定前，都应当严格遵循以下程序：</w:t>
      </w:r>
    </w:p>
    <w:p w14:paraId="6D31F76F">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36.2.1 要求当事投标人作相应的答辩；</w:t>
      </w:r>
    </w:p>
    <w:p w14:paraId="0000FA9A">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36.2.2 将答辩记录送当事投标人法定代表人或其授权委托人签字确认；</w:t>
      </w:r>
    </w:p>
    <w:p w14:paraId="3705F6A3">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36.2.3 在充分讨论的基础上集体表决；</w:t>
      </w:r>
    </w:p>
    <w:p w14:paraId="661ED0BA">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36.2.4 若表决通过无效标或废标决定，告知投标当事人，并在评标报告中详细载明无效标或废标的理由、依据、答辩的情况和集体表决的情况(同意无效标或废标和不同意无效标或废标的评标委员会成员均应当注明)。</w:t>
      </w:r>
    </w:p>
    <w:p w14:paraId="719C4C03">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37.中标候选人的推荐或确定</w:t>
      </w:r>
    </w:p>
    <w:p w14:paraId="43EAC537">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 xml:space="preserve">37.1 </w:t>
      </w:r>
      <w:r>
        <w:rPr>
          <w:rFonts w:ascii="仿宋" w:hAnsi="仿宋" w:eastAsia="仿宋"/>
          <w:bCs/>
          <w:color w:val="auto"/>
          <w:kern w:val="0"/>
          <w:sz w:val="28"/>
          <w:szCs w:val="28"/>
          <w:highlight w:val="none"/>
        </w:rPr>
        <w:t>评标委员会实行少数服从多数的原则，评标结果经评标委员会全体成员过半数通过有效。</w:t>
      </w:r>
    </w:p>
    <w:p w14:paraId="383FB354">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37.2 评标委员会经过对投标文件进行评审和比较后，向招标人提出书面评标报告，并推荐中标候选人。</w:t>
      </w:r>
    </w:p>
    <w:p w14:paraId="264777C4">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37.3 招标人根据评标委员会提出的书面评标报告和推荐的中标候选人确定中标人，也可以授权评标委员会直接确定中标人。</w:t>
      </w:r>
    </w:p>
    <w:p w14:paraId="23673E85">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38.评标过程的保密</w:t>
      </w:r>
    </w:p>
    <w:p w14:paraId="1F3306F1">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38.1 开标后，直到授予中标人合同为止，凡属于对投标文件的审查、澄清、评价和比较有关的资料以及中标侯选人的推荐情况，与评标有关的其他任何情况均严格保密。</w:t>
      </w:r>
    </w:p>
    <w:p w14:paraId="627B5B40">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38.2 在投标文件的评审和比较、中标候选人推荐以及授予合同的过程中，投标人不得有向招标人和评标委员会施加影响的任何行为。</w:t>
      </w:r>
    </w:p>
    <w:p w14:paraId="433945F5">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38.3 中标人确定后，招标人不对未中标人就评标过程以及未能中标原因作出任何解释。未中标人不得向评标委员会组成人员或其他有关人员索问评标过程的情况和材料。</w:t>
      </w:r>
    </w:p>
    <w:p w14:paraId="476C7964">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39.其它规定</w:t>
      </w:r>
    </w:p>
    <w:p w14:paraId="189C5B5C">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39.1评标过程中，若评标委员会认为本次招标缺乏竞争性，可以不推荐中标候选人，由招标人重新组织招标。</w:t>
      </w:r>
    </w:p>
    <w:p w14:paraId="396FF693">
      <w:pPr>
        <w:pStyle w:val="71"/>
        <w:spacing w:line="560" w:lineRule="exact"/>
        <w:ind w:firstLine="560"/>
        <w:rPr>
          <w:rFonts w:ascii="仿宋_GB2312" w:hAnsi="宋体" w:eastAsia="仿宋_GB2312"/>
          <w:bCs/>
          <w:color w:val="auto"/>
          <w:kern w:val="0"/>
          <w:sz w:val="28"/>
          <w:szCs w:val="28"/>
          <w:highlight w:val="none"/>
        </w:rPr>
      </w:pPr>
    </w:p>
    <w:p w14:paraId="169B47B3">
      <w:pPr>
        <w:pStyle w:val="5"/>
        <w:spacing w:before="0" w:after="0" w:line="400" w:lineRule="exact"/>
        <w:ind w:firstLine="723"/>
        <w:jc w:val="center"/>
        <w:rPr>
          <w:rFonts w:ascii="黑体" w:hAnsi="黑体" w:eastAsia="黑体"/>
          <w:b w:val="0"/>
          <w:color w:val="auto"/>
          <w:kern w:val="0"/>
          <w:sz w:val="36"/>
          <w:szCs w:val="36"/>
          <w:highlight w:val="none"/>
        </w:rPr>
      </w:pPr>
      <w:bookmarkStart w:id="68" w:name="_Toc5014"/>
      <w:bookmarkStart w:id="69" w:name="_Toc2441"/>
      <w:bookmarkStart w:id="70" w:name="_Toc80800156"/>
      <w:r>
        <w:rPr>
          <w:rFonts w:hint="eastAsia" w:ascii="黑体" w:hAnsi="黑体" w:eastAsia="黑体"/>
          <w:b w:val="0"/>
          <w:color w:val="auto"/>
          <w:kern w:val="0"/>
          <w:sz w:val="36"/>
          <w:szCs w:val="36"/>
          <w:highlight w:val="none"/>
        </w:rPr>
        <w:t>（八）定标</w:t>
      </w:r>
      <w:bookmarkEnd w:id="68"/>
      <w:bookmarkEnd w:id="69"/>
      <w:bookmarkEnd w:id="70"/>
    </w:p>
    <w:p w14:paraId="3F915281">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40.中标人确定方式</w:t>
      </w:r>
    </w:p>
    <w:p w14:paraId="5F2FC2F1">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40</w:t>
      </w:r>
      <w:r>
        <w:rPr>
          <w:rFonts w:ascii="仿宋" w:hAnsi="仿宋" w:eastAsia="仿宋"/>
          <w:bCs/>
          <w:color w:val="auto"/>
          <w:kern w:val="0"/>
          <w:sz w:val="28"/>
          <w:szCs w:val="28"/>
          <w:highlight w:val="none"/>
        </w:rPr>
        <w:t>.</w:t>
      </w:r>
      <w:r>
        <w:rPr>
          <w:rFonts w:hint="eastAsia" w:ascii="仿宋" w:hAnsi="仿宋" w:eastAsia="仿宋"/>
          <w:bCs/>
          <w:color w:val="auto"/>
          <w:kern w:val="0"/>
          <w:sz w:val="28"/>
          <w:szCs w:val="28"/>
          <w:highlight w:val="none"/>
        </w:rPr>
        <w:t>1招标人根据评标委员会推荐的中标候选人确定中标人，也可以授权评标委员会直接确定中标人。</w:t>
      </w:r>
    </w:p>
    <w:p w14:paraId="0EB56012">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40.2招标人授权评标委员会确定中标人的：评标委员会根据招标文件中的评审内容和评审指引，对各投标人的投标文件进行评审，推荐有排序的</w:t>
      </w:r>
      <w:r>
        <w:rPr>
          <w:rFonts w:hint="eastAsia" w:ascii="仿宋" w:hAnsi="仿宋" w:eastAsia="仿宋"/>
          <w:bCs/>
          <w:color w:val="auto"/>
          <w:kern w:val="0"/>
          <w:sz w:val="28"/>
          <w:szCs w:val="28"/>
          <w:highlight w:val="none"/>
          <w:u w:val="single"/>
        </w:rPr>
        <w:t xml:space="preserve">  </w:t>
      </w:r>
      <w:r>
        <w:rPr>
          <w:rFonts w:hint="eastAsia" w:ascii="仿宋" w:hAnsi="仿宋" w:eastAsia="仿宋"/>
          <w:bCs/>
          <w:color w:val="auto"/>
          <w:kern w:val="0"/>
          <w:sz w:val="28"/>
          <w:szCs w:val="28"/>
          <w:highlight w:val="none"/>
          <w:u w:val="single"/>
          <w:lang w:val="en-US" w:eastAsia="zh-CN"/>
        </w:rPr>
        <w:t>1</w:t>
      </w:r>
      <w:r>
        <w:rPr>
          <w:rFonts w:hint="eastAsia" w:ascii="仿宋" w:hAnsi="仿宋" w:eastAsia="仿宋"/>
          <w:bCs/>
          <w:color w:val="auto"/>
          <w:kern w:val="0"/>
          <w:sz w:val="28"/>
          <w:szCs w:val="28"/>
          <w:highlight w:val="none"/>
          <w:u w:val="single"/>
        </w:rPr>
        <w:t xml:space="preserve"> </w:t>
      </w:r>
      <w:r>
        <w:rPr>
          <w:rFonts w:hint="eastAsia" w:ascii="仿宋" w:hAnsi="仿宋" w:eastAsia="仿宋"/>
          <w:bCs/>
          <w:color w:val="auto"/>
          <w:kern w:val="0"/>
          <w:sz w:val="28"/>
          <w:szCs w:val="28"/>
          <w:highlight w:val="none"/>
        </w:rPr>
        <w:t>名中标候选人，评标报告通过招标人审批后，第一中标候选人即为中标人。</w:t>
      </w:r>
    </w:p>
    <w:p w14:paraId="5801F547">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40.3采用评定分离，招标人根据评标委员会评标报告在推荐的中标候选人确定中标人的：评标委员会根据招标文件中的评审内容和评审指引，对各投标人的投标文件进行评审，推荐不超过</w:t>
      </w:r>
      <w:r>
        <w:rPr>
          <w:rFonts w:hint="eastAsia" w:ascii="仿宋" w:hAnsi="仿宋" w:eastAsia="仿宋"/>
          <w:bCs/>
          <w:color w:val="auto"/>
          <w:kern w:val="0"/>
          <w:sz w:val="28"/>
          <w:szCs w:val="28"/>
          <w:highlight w:val="none"/>
          <w:u w:val="single"/>
        </w:rPr>
        <w:t xml:space="preserve">   </w:t>
      </w:r>
      <w:r>
        <w:rPr>
          <w:rFonts w:hint="eastAsia" w:ascii="仿宋" w:hAnsi="仿宋" w:eastAsia="仿宋"/>
          <w:bCs/>
          <w:color w:val="auto"/>
          <w:kern w:val="0"/>
          <w:sz w:val="28"/>
          <w:szCs w:val="28"/>
          <w:highlight w:val="none"/>
        </w:rPr>
        <w:t xml:space="preserve">名无排序中标候选人，后由招标人的招标领导小组通过民主决策在评标委员会推荐的中标候选人中确定 </w:t>
      </w:r>
      <w:r>
        <w:rPr>
          <w:rFonts w:hint="eastAsia" w:ascii="仿宋" w:hAnsi="仿宋" w:eastAsia="仿宋"/>
          <w:bCs/>
          <w:color w:val="auto"/>
          <w:kern w:val="0"/>
          <w:sz w:val="28"/>
          <w:szCs w:val="28"/>
          <w:highlight w:val="none"/>
          <w:u w:val="single"/>
        </w:rPr>
        <w:t xml:space="preserve">   </w:t>
      </w:r>
      <w:r>
        <w:rPr>
          <w:rFonts w:hint="eastAsia" w:ascii="仿宋" w:hAnsi="仿宋" w:eastAsia="仿宋"/>
          <w:bCs/>
          <w:color w:val="auto"/>
          <w:kern w:val="0"/>
          <w:sz w:val="28"/>
          <w:szCs w:val="28"/>
          <w:highlight w:val="none"/>
        </w:rPr>
        <w:t>名中标人。</w:t>
      </w:r>
    </w:p>
    <w:p w14:paraId="092C7C3A">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40.4本次招标，评标委员会评标得分仅作为招标人确定中标人的参考，招标人有权确定任一中标候选人为中标人。</w:t>
      </w:r>
    </w:p>
    <w:p w14:paraId="2F2E47AC">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40.5如出现中标人放弃中标的情形，招标人可按上述程序在剩余中标候选人中重新确定中标人，也可重新组织招标。</w:t>
      </w:r>
    </w:p>
    <w:p w14:paraId="3BEFE6F2">
      <w:pPr>
        <w:pStyle w:val="71"/>
        <w:spacing w:line="560" w:lineRule="exact"/>
        <w:ind w:firstLine="560"/>
        <w:rPr>
          <w:rFonts w:ascii="仿宋" w:hAnsi="仿宋" w:eastAsia="仿宋"/>
          <w:bCs/>
          <w:color w:val="auto"/>
          <w:kern w:val="0"/>
          <w:sz w:val="28"/>
          <w:szCs w:val="28"/>
          <w:highlight w:val="none"/>
        </w:rPr>
      </w:pPr>
    </w:p>
    <w:p w14:paraId="6CDAE958">
      <w:pPr>
        <w:pStyle w:val="5"/>
        <w:spacing w:before="0" w:after="0" w:line="400" w:lineRule="exact"/>
        <w:ind w:firstLine="720"/>
        <w:jc w:val="center"/>
        <w:rPr>
          <w:rFonts w:ascii="黑体" w:hAnsi="黑体" w:eastAsia="黑体"/>
          <w:b w:val="0"/>
          <w:color w:val="auto"/>
          <w:kern w:val="0"/>
          <w:sz w:val="36"/>
          <w:szCs w:val="36"/>
          <w:highlight w:val="none"/>
        </w:rPr>
      </w:pPr>
      <w:bookmarkStart w:id="71" w:name="_Toc24224"/>
      <w:bookmarkStart w:id="72" w:name="_Toc197"/>
      <w:bookmarkStart w:id="73" w:name="_Toc80800157"/>
      <w:r>
        <w:rPr>
          <w:rFonts w:hint="eastAsia" w:ascii="黑体" w:hAnsi="黑体" w:eastAsia="黑体"/>
          <w:b w:val="0"/>
          <w:color w:val="auto"/>
          <w:kern w:val="0"/>
          <w:sz w:val="36"/>
          <w:szCs w:val="36"/>
          <w:highlight w:val="none"/>
        </w:rPr>
        <w:t>（九）中标通知书</w:t>
      </w:r>
      <w:bookmarkEnd w:id="71"/>
      <w:bookmarkEnd w:id="72"/>
      <w:bookmarkEnd w:id="73"/>
    </w:p>
    <w:p w14:paraId="6A1ECF38">
      <w:pPr>
        <w:pStyle w:val="71"/>
        <w:spacing w:line="560" w:lineRule="exact"/>
        <w:ind w:firstLine="560"/>
        <w:rPr>
          <w:rFonts w:ascii="仿宋_GB2312" w:hAnsi="宋体" w:eastAsia="仿宋_GB2312"/>
          <w:bCs/>
          <w:color w:val="auto"/>
          <w:kern w:val="0"/>
          <w:sz w:val="28"/>
          <w:szCs w:val="28"/>
          <w:highlight w:val="none"/>
        </w:rPr>
      </w:pPr>
    </w:p>
    <w:p w14:paraId="1B763084">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41．中标通知书</w:t>
      </w:r>
    </w:p>
    <w:p w14:paraId="25D2C097">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41</w:t>
      </w:r>
      <w:r>
        <w:rPr>
          <w:rFonts w:ascii="仿宋" w:hAnsi="仿宋" w:eastAsia="仿宋"/>
          <w:bCs/>
          <w:color w:val="auto"/>
          <w:kern w:val="0"/>
          <w:sz w:val="28"/>
          <w:szCs w:val="28"/>
          <w:highlight w:val="none"/>
        </w:rPr>
        <w:t>.</w:t>
      </w:r>
      <w:r>
        <w:rPr>
          <w:rFonts w:hint="eastAsia" w:ascii="仿宋" w:hAnsi="仿宋" w:eastAsia="仿宋"/>
          <w:bCs/>
          <w:color w:val="auto"/>
          <w:kern w:val="0"/>
          <w:sz w:val="28"/>
          <w:szCs w:val="28"/>
          <w:highlight w:val="none"/>
        </w:rPr>
        <w:t>1招标人应在确定中标人后，将中标结果在“深圳阳光采购平台”公示。</w:t>
      </w:r>
    </w:p>
    <w:p w14:paraId="669CE59E">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41.2公示期内对中标结果若无质疑，公示期结束后该中标结果自动生效。招标人将发出中标通知书。中标通知书是本招标项目合同的组成部分。如接到有关投诉的，招标人将可能暂停发出中标通知书。</w:t>
      </w:r>
    </w:p>
    <w:p w14:paraId="1CCD163E">
      <w:pPr>
        <w:pStyle w:val="71"/>
        <w:spacing w:line="560" w:lineRule="exact"/>
        <w:ind w:firstLine="562"/>
        <w:rPr>
          <w:rFonts w:hint="eastAsia"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41.3招标人将以《中标通知书》通知中标人中标。未收到《中标通知书》投标者为落标，招标人不解释落标原因，不退回投标书。</w:t>
      </w:r>
    </w:p>
    <w:p w14:paraId="0E7761DE">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42．招标人的权利</w:t>
      </w:r>
    </w:p>
    <w:p w14:paraId="2BBB77B4">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42.1招标人在发出中标通知书之前因正当理由，经公司相关部门批准，有权根据评标委员会评审意见接受或拒绝投标、宣布投标程序无效或拒绝所有投标。对受影响的投标人不承担任何责任。</w:t>
      </w:r>
    </w:p>
    <w:p w14:paraId="7F0EBBEF">
      <w:pPr>
        <w:pStyle w:val="71"/>
        <w:spacing w:line="560" w:lineRule="exact"/>
        <w:ind w:firstLine="560"/>
        <w:rPr>
          <w:rFonts w:ascii="仿宋_GB2312" w:hAnsi="宋体" w:eastAsia="仿宋_GB2312"/>
          <w:bCs/>
          <w:color w:val="auto"/>
          <w:kern w:val="0"/>
          <w:sz w:val="28"/>
          <w:szCs w:val="28"/>
          <w:highlight w:val="none"/>
        </w:rPr>
      </w:pPr>
    </w:p>
    <w:p w14:paraId="169FD01C">
      <w:pPr>
        <w:pStyle w:val="5"/>
        <w:spacing w:before="0" w:after="0" w:line="400" w:lineRule="exact"/>
        <w:ind w:firstLine="720"/>
        <w:jc w:val="center"/>
        <w:rPr>
          <w:rFonts w:ascii="黑体" w:hAnsi="黑体" w:eastAsia="黑体"/>
          <w:b w:val="0"/>
          <w:color w:val="auto"/>
          <w:kern w:val="0"/>
          <w:sz w:val="36"/>
          <w:szCs w:val="36"/>
          <w:highlight w:val="none"/>
        </w:rPr>
      </w:pPr>
      <w:bookmarkStart w:id="74" w:name="_Toc15651"/>
      <w:bookmarkStart w:id="75" w:name="_Toc80800158"/>
      <w:bookmarkStart w:id="76" w:name="_Toc19874"/>
      <w:r>
        <w:rPr>
          <w:rFonts w:hint="eastAsia" w:ascii="黑体" w:hAnsi="黑体" w:eastAsia="黑体"/>
          <w:b w:val="0"/>
          <w:color w:val="auto"/>
          <w:kern w:val="0"/>
          <w:sz w:val="36"/>
          <w:szCs w:val="36"/>
          <w:highlight w:val="none"/>
        </w:rPr>
        <w:t>（十）合同授予</w:t>
      </w:r>
      <w:bookmarkEnd w:id="74"/>
      <w:bookmarkEnd w:id="75"/>
      <w:bookmarkEnd w:id="76"/>
    </w:p>
    <w:p w14:paraId="7A6D33E3">
      <w:pPr>
        <w:pStyle w:val="71"/>
        <w:spacing w:line="560" w:lineRule="exact"/>
        <w:ind w:firstLine="560"/>
        <w:rPr>
          <w:rFonts w:ascii="仿宋_GB2312" w:hAnsi="宋体" w:eastAsia="仿宋_GB2312"/>
          <w:bCs/>
          <w:color w:val="auto"/>
          <w:kern w:val="0"/>
          <w:sz w:val="28"/>
          <w:szCs w:val="28"/>
          <w:highlight w:val="none"/>
        </w:rPr>
      </w:pPr>
    </w:p>
    <w:p w14:paraId="72E6AB1A">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43．签订合同</w:t>
      </w:r>
    </w:p>
    <w:p w14:paraId="4B5CC795">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43.1招标人和中标人应当按“投标须知前附表”的规定，依据招标文件和中标人的投标文件订立书面合同。</w:t>
      </w:r>
    </w:p>
    <w:p w14:paraId="7D35DA70">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43.2中标人无正当理由拒签合同的，或者在签订合同时向招标人提出附加条件或者更改合同实质性内容的，招标人可取消其中标资格，并没收其投标担保；给招标人的损失超过其投标担保数额的，中标人应当对超过部分予以赔偿；没有提交投标担保的，应当对招标人的损失承担赔偿责任。</w:t>
      </w:r>
    </w:p>
    <w:p w14:paraId="2D5CBC3F">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43.3招标人无正当理由拒签合同的，或者在签订合同时向中标人提出附加条件或者更改合同实质性内容的，有关行政监督部门将给予警告，责令改正；给中标人造成损失的，还应当赔偿损失。</w:t>
      </w:r>
    </w:p>
    <w:p w14:paraId="0842AFDE">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43.4招标人与中标人签订的合同必须遵守本招标文件的合同条件，并且不得更改合同条件。</w:t>
      </w:r>
    </w:p>
    <w:p w14:paraId="6064FD9A">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43.5中标人应当按照合同约定履行义务，完成合同标的，不得将合同标的转让(转包)给他人实施。</w:t>
      </w:r>
    </w:p>
    <w:p w14:paraId="730D274B">
      <w:pPr>
        <w:pStyle w:val="71"/>
        <w:spacing w:line="560" w:lineRule="exact"/>
        <w:ind w:firstLine="560"/>
        <w:rPr>
          <w:rFonts w:ascii="仿宋_GB2312" w:hAnsi="宋体" w:eastAsia="仿宋_GB2312"/>
          <w:bCs/>
          <w:color w:val="auto"/>
          <w:kern w:val="0"/>
          <w:sz w:val="28"/>
          <w:szCs w:val="28"/>
          <w:highlight w:val="none"/>
        </w:rPr>
      </w:pPr>
    </w:p>
    <w:p w14:paraId="53BF8568">
      <w:pPr>
        <w:pStyle w:val="5"/>
        <w:spacing w:before="0" w:after="0" w:line="400" w:lineRule="exact"/>
        <w:ind w:firstLine="720"/>
        <w:jc w:val="center"/>
        <w:rPr>
          <w:rFonts w:ascii="黑体" w:hAnsi="黑体" w:eastAsia="黑体"/>
          <w:b w:val="0"/>
          <w:color w:val="auto"/>
          <w:kern w:val="0"/>
          <w:sz w:val="36"/>
          <w:szCs w:val="36"/>
          <w:highlight w:val="none"/>
        </w:rPr>
      </w:pPr>
      <w:bookmarkStart w:id="77" w:name="_Toc80800159"/>
      <w:bookmarkStart w:id="78" w:name="_Toc1534"/>
      <w:bookmarkStart w:id="79" w:name="_Toc947"/>
      <w:r>
        <w:rPr>
          <w:rFonts w:hint="eastAsia" w:ascii="黑体" w:hAnsi="黑体" w:eastAsia="黑体"/>
          <w:b w:val="0"/>
          <w:color w:val="auto"/>
          <w:kern w:val="0"/>
          <w:sz w:val="36"/>
          <w:szCs w:val="36"/>
          <w:highlight w:val="none"/>
        </w:rPr>
        <w:t>（十一）其他</w:t>
      </w:r>
      <w:bookmarkEnd w:id="77"/>
      <w:bookmarkEnd w:id="78"/>
      <w:bookmarkEnd w:id="79"/>
    </w:p>
    <w:p w14:paraId="28671661">
      <w:pPr>
        <w:pStyle w:val="71"/>
        <w:spacing w:line="560" w:lineRule="exact"/>
        <w:ind w:firstLine="560"/>
        <w:rPr>
          <w:rFonts w:ascii="仿宋_GB2312" w:hAnsi="宋体" w:eastAsia="仿宋_GB2312"/>
          <w:bCs/>
          <w:color w:val="auto"/>
          <w:kern w:val="0"/>
          <w:sz w:val="28"/>
          <w:szCs w:val="28"/>
          <w:highlight w:val="none"/>
        </w:rPr>
      </w:pPr>
    </w:p>
    <w:p w14:paraId="576E4501">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44．招标投标投诉的处理</w:t>
      </w:r>
    </w:p>
    <w:p w14:paraId="6D3AFD19">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44.1本招标项目实行分段限时投诉制度，即在每个招标投标阶段，投标人均应对所存异议及时投诉。凡超出被投诉阶段投诉时限的，其投诉将不予受理。</w:t>
      </w:r>
    </w:p>
    <w:p w14:paraId="7A63DDD7">
      <w:pPr>
        <w:pStyle w:val="71"/>
        <w:spacing w:line="560" w:lineRule="exact"/>
        <w:ind w:firstLine="562"/>
        <w:rPr>
          <w:rFonts w:ascii="仿宋" w:hAnsi="仿宋" w:eastAsia="仿宋"/>
          <w:b/>
          <w:bCs/>
          <w:color w:val="auto"/>
          <w:kern w:val="0"/>
          <w:sz w:val="28"/>
          <w:szCs w:val="28"/>
          <w:highlight w:val="none"/>
        </w:rPr>
      </w:pPr>
      <w:r>
        <w:rPr>
          <w:rFonts w:hint="eastAsia" w:ascii="仿宋" w:hAnsi="仿宋" w:eastAsia="仿宋"/>
          <w:b/>
          <w:bCs/>
          <w:color w:val="auto"/>
          <w:kern w:val="0"/>
          <w:sz w:val="28"/>
          <w:szCs w:val="28"/>
          <w:highlight w:val="none"/>
        </w:rPr>
        <w:t>45．其他</w:t>
      </w:r>
    </w:p>
    <w:p w14:paraId="5AE0B5A8">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45.1本招标文件的解释权归招标人所有，招标人有权在法律允许范围内调整本次招标活动的细节及保留最终解释权。</w:t>
      </w:r>
    </w:p>
    <w:p w14:paraId="7C5DB13A">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45.2评标委员会经评审，认为所有投标都不符合招标文件要求的，可以否决所有投标。所有投标被否决的，招标人应重新招标。招标人不负担因招标失败给</w:t>
      </w:r>
      <w:r>
        <w:rPr>
          <w:rFonts w:ascii="仿宋" w:hAnsi="仿宋" w:eastAsia="仿宋"/>
          <w:bCs/>
          <w:color w:val="auto"/>
          <w:kern w:val="0"/>
          <w:sz w:val="28"/>
          <w:szCs w:val="28"/>
          <w:highlight w:val="none"/>
        </w:rPr>
        <w:t>投标</w:t>
      </w:r>
      <w:r>
        <w:rPr>
          <w:rFonts w:hint="eastAsia" w:ascii="仿宋" w:hAnsi="仿宋" w:eastAsia="仿宋"/>
          <w:bCs/>
          <w:color w:val="auto"/>
          <w:kern w:val="0"/>
          <w:sz w:val="28"/>
          <w:szCs w:val="28"/>
          <w:highlight w:val="none"/>
        </w:rPr>
        <w:t>人造成的损失。</w:t>
      </w:r>
    </w:p>
    <w:p w14:paraId="45F55D37">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45.3招标人向投标人提供的资料和数据，是招标人现有的能使投标人利用的资料，招标人对投标人由此而做出的推论、理解和结论概不负责。</w:t>
      </w:r>
    </w:p>
    <w:p w14:paraId="634184E9">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45.4如果投标人实质上不符合投标资格，即使参加投标并缴纳各种费用，招标人可以随时取消其投标或中标资格，招标人对该投标人的一切损失概不责任。</w:t>
      </w:r>
    </w:p>
    <w:p w14:paraId="5A27C367">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45.5中标无效的，发出的中标通知书和签订的合同自始没有法律约束力，但不影响合同中存在的有关解决争议方法的条款的效力。</w:t>
      </w:r>
    </w:p>
    <w:p w14:paraId="30368DBF">
      <w:pPr>
        <w:pStyle w:val="71"/>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45.6本招标文件所有的附件与本招标文件具有同等效力。</w:t>
      </w:r>
    </w:p>
    <w:p w14:paraId="06E7D7AB">
      <w:pPr>
        <w:widowControl w:val="0"/>
        <w:spacing w:line="360" w:lineRule="auto"/>
        <w:ind w:firstLine="420" w:firstLineChars="200"/>
        <w:rPr>
          <w:rFonts w:ascii="宋体" w:hAnsi="宋体"/>
          <w:color w:val="auto"/>
          <w:kern w:val="0"/>
          <w:szCs w:val="21"/>
          <w:highlight w:val="none"/>
        </w:rPr>
      </w:pPr>
    </w:p>
    <w:p w14:paraId="31AF5E8A">
      <w:pPr>
        <w:pStyle w:val="71"/>
        <w:ind w:firstLine="560"/>
        <w:rPr>
          <w:rFonts w:ascii="黑体" w:hAnsi="黑体" w:eastAsia="黑体"/>
          <w:color w:val="auto"/>
          <w:sz w:val="48"/>
          <w:szCs w:val="48"/>
          <w:highlight w:val="none"/>
          <w:shd w:val="clear" w:color="060000" w:fill="auto"/>
        </w:rPr>
      </w:pPr>
    </w:p>
    <w:p w14:paraId="6B86D45F">
      <w:pPr>
        <w:pStyle w:val="2"/>
        <w:spacing w:line="560" w:lineRule="exact"/>
        <w:ind w:firstLine="1446" w:firstLineChars="300"/>
        <w:jc w:val="both"/>
        <w:rPr>
          <w:rFonts w:hint="eastAsia"/>
          <w:b/>
          <w:color w:val="auto"/>
          <w:sz w:val="36"/>
          <w:szCs w:val="36"/>
          <w:highlight w:val="none"/>
        </w:rPr>
      </w:pPr>
      <w:bookmarkStart w:id="80" w:name="_Toc11135"/>
      <w:r>
        <w:rPr>
          <w:rFonts w:ascii="黑体" w:hAnsi="黑体" w:eastAsia="黑体"/>
          <w:color w:val="auto"/>
          <w:sz w:val="48"/>
          <w:szCs w:val="48"/>
          <w:highlight w:val="none"/>
          <w:shd w:val="clear" w:color="060000" w:fill="auto"/>
        </w:rPr>
        <w:t>第</w:t>
      </w:r>
      <w:r>
        <w:rPr>
          <w:rFonts w:hint="eastAsia" w:ascii="黑体" w:hAnsi="黑体" w:eastAsia="黑体"/>
          <w:color w:val="auto"/>
          <w:sz w:val="48"/>
          <w:szCs w:val="48"/>
          <w:highlight w:val="none"/>
          <w:shd w:val="clear" w:color="060000" w:fill="auto"/>
        </w:rPr>
        <w:t>三</w:t>
      </w:r>
      <w:r>
        <w:rPr>
          <w:rFonts w:ascii="黑体" w:hAnsi="黑体" w:eastAsia="黑体"/>
          <w:color w:val="auto"/>
          <w:sz w:val="48"/>
          <w:szCs w:val="48"/>
          <w:highlight w:val="none"/>
          <w:shd w:val="clear" w:color="060000" w:fill="auto"/>
        </w:rPr>
        <w:t xml:space="preserve">章 </w:t>
      </w:r>
      <w:r>
        <w:rPr>
          <w:rFonts w:hint="eastAsia" w:ascii="黑体" w:hAnsi="黑体" w:eastAsia="黑体"/>
          <w:color w:val="auto"/>
          <w:sz w:val="48"/>
          <w:szCs w:val="48"/>
          <w:highlight w:val="none"/>
          <w:shd w:val="clear" w:color="060000" w:fill="auto"/>
        </w:rPr>
        <w:t>合同文本及条款</w:t>
      </w:r>
      <w:bookmarkEnd w:id="32"/>
      <w:bookmarkEnd w:id="80"/>
    </w:p>
    <w:p w14:paraId="77E51A7B">
      <w:pPr>
        <w:adjustRightInd w:val="0"/>
        <w:snapToGrid w:val="0"/>
        <w:spacing w:line="360" w:lineRule="auto"/>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绿化养护服务合同</w:t>
      </w:r>
    </w:p>
    <w:p w14:paraId="6FB8E310">
      <w:pPr>
        <w:adjustRightInd w:val="0"/>
        <w:snapToGrid w:val="0"/>
        <w:spacing w:line="360" w:lineRule="auto"/>
        <w:rPr>
          <w:rFonts w:hint="eastAsia" w:ascii="宋体" w:hAnsi="宋体"/>
          <w:sz w:val="24"/>
        </w:rPr>
      </w:pPr>
    </w:p>
    <w:p w14:paraId="63ACDED5">
      <w:pPr>
        <w:adjustRightInd w:val="0"/>
        <w:snapToGrid w:val="0"/>
        <w:spacing w:line="560" w:lineRule="exact"/>
        <w:rPr>
          <w:rFonts w:ascii="仿宋_GB2312" w:hAnsi="仿宋_GB2312" w:eastAsia="仿宋_GB2312" w:cs="仿宋_GB2312"/>
          <w:sz w:val="28"/>
          <w:szCs w:val="28"/>
          <w:u w:val="single"/>
        </w:rPr>
      </w:pPr>
      <w:r>
        <w:rPr>
          <w:rFonts w:hint="eastAsia" w:ascii="仿宋_GB2312" w:hAnsi="仿宋_GB2312" w:eastAsia="仿宋_GB2312" w:cs="仿宋_GB2312"/>
          <w:b/>
          <w:sz w:val="28"/>
          <w:szCs w:val="28"/>
        </w:rPr>
        <w:t>甲 方</w:t>
      </w:r>
      <w:r>
        <w:rPr>
          <w:rFonts w:hint="eastAsia" w:ascii="仿宋_GB2312" w:hAnsi="仿宋_GB2312" w:eastAsia="仿宋_GB2312" w:cs="仿宋_GB2312"/>
          <w:bCs/>
          <w:sz w:val="28"/>
          <w:szCs w:val="28"/>
        </w:rPr>
        <w:t>：</w:t>
      </w:r>
      <w:r>
        <w:rPr>
          <w:rFonts w:hint="eastAsia" w:ascii="仿宋_GB2312" w:hAnsi="仿宋_GB2312" w:eastAsia="仿宋_GB2312" w:cs="仿宋_GB2312"/>
          <w:bCs/>
          <w:sz w:val="28"/>
          <w:szCs w:val="28"/>
          <w:u w:val="single"/>
        </w:rPr>
        <w:t xml:space="preserve">                                          </w:t>
      </w:r>
    </w:p>
    <w:p w14:paraId="34920F00">
      <w:pPr>
        <w:adjustRightInd w:val="0"/>
        <w:snapToGrid w:val="0"/>
        <w:spacing w:line="560" w:lineRule="exact"/>
        <w:rPr>
          <w:rFonts w:ascii="仿宋_GB2312" w:hAnsi="仿宋_GB2312" w:eastAsia="仿宋_GB2312" w:cs="仿宋_GB2312"/>
          <w:bCs/>
          <w:sz w:val="28"/>
          <w:szCs w:val="28"/>
          <w:u w:val="single"/>
        </w:rPr>
      </w:pPr>
      <w:r>
        <w:rPr>
          <w:rFonts w:hint="eastAsia" w:ascii="仿宋_GB2312" w:hAnsi="仿宋_GB2312" w:eastAsia="仿宋_GB2312" w:cs="仿宋_GB2312"/>
          <w:bCs/>
          <w:sz w:val="28"/>
          <w:szCs w:val="28"/>
        </w:rPr>
        <w:t>住所：</w:t>
      </w:r>
      <w:r>
        <w:rPr>
          <w:rFonts w:hint="eastAsia" w:ascii="仿宋_GB2312" w:hAnsi="仿宋_GB2312" w:eastAsia="仿宋_GB2312" w:cs="仿宋_GB2312"/>
          <w:bCs/>
          <w:sz w:val="28"/>
          <w:szCs w:val="28"/>
          <w:u w:val="single"/>
        </w:rPr>
        <w:t xml:space="preserve">                                           </w:t>
      </w:r>
    </w:p>
    <w:p w14:paraId="0F04B91F">
      <w:pPr>
        <w:adjustRightInd w:val="0"/>
        <w:snapToGrid w:val="0"/>
        <w:spacing w:line="560" w:lineRule="exact"/>
        <w:rPr>
          <w:rFonts w:ascii="仿宋_GB2312" w:hAnsi="仿宋_GB2312" w:eastAsia="仿宋_GB2312" w:cs="仿宋_GB2312"/>
          <w:bCs/>
          <w:sz w:val="28"/>
          <w:szCs w:val="28"/>
          <w:u w:val="single"/>
        </w:rPr>
      </w:pPr>
      <w:r>
        <w:rPr>
          <w:rFonts w:hint="eastAsia" w:ascii="仿宋_GB2312" w:hAnsi="仿宋_GB2312" w:eastAsia="仿宋_GB2312" w:cs="仿宋_GB2312"/>
          <w:bCs/>
          <w:sz w:val="28"/>
          <w:szCs w:val="28"/>
        </w:rPr>
        <w:t>法定代表人/负责人：</w:t>
      </w:r>
      <w:r>
        <w:rPr>
          <w:rFonts w:hint="eastAsia" w:ascii="仿宋_GB2312" w:hAnsi="仿宋_GB2312" w:eastAsia="仿宋_GB2312" w:cs="仿宋_GB2312"/>
          <w:bCs/>
          <w:sz w:val="28"/>
          <w:szCs w:val="28"/>
          <w:u w:val="single"/>
        </w:rPr>
        <w:t xml:space="preserve">                              </w:t>
      </w:r>
    </w:p>
    <w:p w14:paraId="23F5EB8E">
      <w:pPr>
        <w:adjustRightInd w:val="0"/>
        <w:snapToGrid w:val="0"/>
        <w:spacing w:line="560" w:lineRule="exact"/>
        <w:rPr>
          <w:rFonts w:ascii="仿宋_GB2312" w:hAnsi="仿宋_GB2312" w:eastAsia="仿宋_GB2312" w:cs="仿宋_GB2312"/>
          <w:bCs/>
          <w:sz w:val="28"/>
          <w:szCs w:val="28"/>
          <w:u w:val="single"/>
        </w:rPr>
      </w:pPr>
      <w:r>
        <w:rPr>
          <w:rFonts w:hint="eastAsia" w:ascii="仿宋_GB2312" w:hAnsi="仿宋_GB2312" w:eastAsia="仿宋_GB2312" w:cs="仿宋_GB2312"/>
          <w:bCs/>
          <w:sz w:val="28"/>
          <w:szCs w:val="28"/>
        </w:rPr>
        <w:t>联系人：</w:t>
      </w:r>
      <w:r>
        <w:rPr>
          <w:rFonts w:hint="eastAsia" w:ascii="仿宋_GB2312" w:hAnsi="仿宋_GB2312" w:eastAsia="仿宋_GB2312" w:cs="仿宋_GB2312"/>
          <w:bCs/>
          <w:sz w:val="28"/>
          <w:szCs w:val="28"/>
          <w:u w:val="single"/>
        </w:rPr>
        <w:t xml:space="preserve">                                         </w:t>
      </w:r>
    </w:p>
    <w:p w14:paraId="6DA343FE">
      <w:pPr>
        <w:adjustRightInd w:val="0"/>
        <w:snapToGrid w:val="0"/>
        <w:spacing w:line="560" w:lineRule="exact"/>
        <w:rPr>
          <w:rFonts w:ascii="仿宋_GB2312" w:hAnsi="仿宋_GB2312" w:eastAsia="仿宋_GB2312" w:cs="仿宋_GB2312"/>
          <w:sz w:val="28"/>
          <w:szCs w:val="28"/>
          <w:u w:val="single"/>
        </w:rPr>
      </w:pPr>
      <w:r>
        <w:rPr>
          <w:rFonts w:hint="eastAsia" w:ascii="仿宋_GB2312" w:hAnsi="仿宋_GB2312" w:eastAsia="仿宋_GB2312" w:cs="仿宋_GB2312"/>
          <w:bCs/>
          <w:sz w:val="28"/>
          <w:szCs w:val="28"/>
        </w:rPr>
        <w:t>联系电话：</w:t>
      </w:r>
      <w:r>
        <w:rPr>
          <w:rFonts w:hint="eastAsia" w:ascii="仿宋_GB2312" w:hAnsi="仿宋_GB2312" w:eastAsia="仿宋_GB2312" w:cs="仿宋_GB2312"/>
          <w:bCs/>
          <w:sz w:val="28"/>
          <w:szCs w:val="28"/>
          <w:u w:val="single"/>
        </w:rPr>
        <w:t xml:space="preserve">                                       </w:t>
      </w:r>
    </w:p>
    <w:p w14:paraId="47AEFBE6">
      <w:pPr>
        <w:adjustRightInd w:val="0"/>
        <w:snapToGrid w:val="0"/>
        <w:spacing w:line="560" w:lineRule="exact"/>
        <w:rPr>
          <w:rFonts w:hint="eastAsia" w:ascii="仿宋_GB2312" w:hAnsi="仿宋_GB2312" w:eastAsia="仿宋_GB2312" w:cs="仿宋_GB2312"/>
          <w:bCs/>
          <w:sz w:val="28"/>
          <w:szCs w:val="28"/>
          <w:u w:val="single"/>
        </w:rPr>
      </w:pPr>
    </w:p>
    <w:p w14:paraId="5DEFE795">
      <w:pPr>
        <w:adjustRightInd w:val="0"/>
        <w:snapToGrid w:val="0"/>
        <w:spacing w:line="560" w:lineRule="exact"/>
        <w:rPr>
          <w:rFonts w:ascii="仿宋_GB2312" w:hAnsi="仿宋_GB2312" w:eastAsia="仿宋_GB2312" w:cs="仿宋_GB2312"/>
          <w:sz w:val="28"/>
          <w:szCs w:val="28"/>
          <w:u w:val="single"/>
        </w:rPr>
      </w:pPr>
      <w:r>
        <w:rPr>
          <w:rFonts w:hint="eastAsia" w:ascii="仿宋_GB2312" w:hAnsi="仿宋_GB2312" w:eastAsia="仿宋_GB2312" w:cs="仿宋_GB2312"/>
          <w:b/>
          <w:sz w:val="28"/>
          <w:szCs w:val="28"/>
        </w:rPr>
        <w:t>乙 方</w:t>
      </w:r>
      <w:r>
        <w:rPr>
          <w:rFonts w:hint="eastAsia" w:ascii="仿宋_GB2312" w:hAnsi="仿宋_GB2312" w:eastAsia="仿宋_GB2312" w:cs="仿宋_GB2312"/>
          <w:bCs/>
          <w:sz w:val="28"/>
          <w:szCs w:val="28"/>
        </w:rPr>
        <w:t>：</w:t>
      </w:r>
      <w:r>
        <w:rPr>
          <w:rFonts w:hint="eastAsia" w:ascii="仿宋_GB2312" w:hAnsi="仿宋_GB2312" w:eastAsia="仿宋_GB2312" w:cs="仿宋_GB2312"/>
          <w:bCs/>
          <w:sz w:val="28"/>
          <w:szCs w:val="28"/>
          <w:u w:val="single"/>
        </w:rPr>
        <w:t xml:space="preserve">                                          </w:t>
      </w:r>
    </w:p>
    <w:p w14:paraId="7C7A0DDF">
      <w:pPr>
        <w:adjustRightInd w:val="0"/>
        <w:snapToGrid w:val="0"/>
        <w:spacing w:line="560" w:lineRule="exact"/>
        <w:rPr>
          <w:rFonts w:ascii="仿宋_GB2312" w:hAnsi="仿宋_GB2312" w:eastAsia="仿宋_GB2312" w:cs="仿宋_GB2312"/>
          <w:bCs/>
          <w:sz w:val="28"/>
          <w:szCs w:val="28"/>
          <w:u w:val="single"/>
        </w:rPr>
      </w:pPr>
      <w:r>
        <w:rPr>
          <w:rFonts w:hint="eastAsia" w:ascii="仿宋_GB2312" w:hAnsi="仿宋_GB2312" w:eastAsia="仿宋_GB2312" w:cs="仿宋_GB2312"/>
          <w:bCs/>
          <w:sz w:val="28"/>
          <w:szCs w:val="28"/>
        </w:rPr>
        <w:t>住所：</w:t>
      </w:r>
      <w:r>
        <w:rPr>
          <w:rFonts w:hint="eastAsia" w:ascii="仿宋_GB2312" w:hAnsi="仿宋_GB2312" w:eastAsia="仿宋_GB2312" w:cs="仿宋_GB2312"/>
          <w:bCs/>
          <w:sz w:val="28"/>
          <w:szCs w:val="28"/>
          <w:u w:val="single"/>
        </w:rPr>
        <w:t xml:space="preserve">                                           </w:t>
      </w:r>
    </w:p>
    <w:p w14:paraId="1DEAF6CC">
      <w:pPr>
        <w:adjustRightInd w:val="0"/>
        <w:snapToGrid w:val="0"/>
        <w:spacing w:line="560" w:lineRule="exact"/>
        <w:rPr>
          <w:rFonts w:ascii="仿宋_GB2312" w:hAnsi="仿宋_GB2312" w:eastAsia="仿宋_GB2312" w:cs="仿宋_GB2312"/>
          <w:bCs/>
          <w:sz w:val="28"/>
          <w:szCs w:val="28"/>
          <w:u w:val="single"/>
        </w:rPr>
      </w:pPr>
      <w:r>
        <w:rPr>
          <w:rFonts w:hint="eastAsia" w:ascii="仿宋_GB2312" w:hAnsi="仿宋_GB2312" w:eastAsia="仿宋_GB2312" w:cs="仿宋_GB2312"/>
          <w:bCs/>
          <w:sz w:val="28"/>
          <w:szCs w:val="28"/>
        </w:rPr>
        <w:t>法定代表人/负责人：</w:t>
      </w:r>
      <w:r>
        <w:rPr>
          <w:rFonts w:hint="eastAsia" w:ascii="仿宋_GB2312" w:hAnsi="仿宋_GB2312" w:eastAsia="仿宋_GB2312" w:cs="仿宋_GB2312"/>
          <w:bCs/>
          <w:sz w:val="28"/>
          <w:szCs w:val="28"/>
          <w:u w:val="single"/>
        </w:rPr>
        <w:t xml:space="preserve">                              </w:t>
      </w:r>
    </w:p>
    <w:p w14:paraId="3B289C81">
      <w:pPr>
        <w:adjustRightInd w:val="0"/>
        <w:snapToGrid w:val="0"/>
        <w:spacing w:line="560" w:lineRule="exact"/>
        <w:rPr>
          <w:rFonts w:ascii="仿宋_GB2312" w:hAnsi="仿宋_GB2312" w:eastAsia="仿宋_GB2312" w:cs="仿宋_GB2312"/>
          <w:bCs/>
          <w:sz w:val="28"/>
          <w:szCs w:val="28"/>
          <w:u w:val="single"/>
        </w:rPr>
      </w:pPr>
      <w:r>
        <w:rPr>
          <w:rFonts w:hint="eastAsia" w:ascii="仿宋_GB2312" w:hAnsi="仿宋_GB2312" w:eastAsia="仿宋_GB2312" w:cs="仿宋_GB2312"/>
          <w:bCs/>
          <w:sz w:val="28"/>
          <w:szCs w:val="28"/>
        </w:rPr>
        <w:t>联系人：</w:t>
      </w:r>
      <w:r>
        <w:rPr>
          <w:rFonts w:hint="eastAsia" w:ascii="仿宋_GB2312" w:hAnsi="仿宋_GB2312" w:eastAsia="仿宋_GB2312" w:cs="仿宋_GB2312"/>
          <w:bCs/>
          <w:sz w:val="28"/>
          <w:szCs w:val="28"/>
          <w:u w:val="single"/>
        </w:rPr>
        <w:t xml:space="preserve">                                         </w:t>
      </w:r>
    </w:p>
    <w:p w14:paraId="4FE2172E">
      <w:pPr>
        <w:adjustRightInd w:val="0"/>
        <w:snapToGrid w:val="0"/>
        <w:spacing w:line="560" w:lineRule="exact"/>
        <w:rPr>
          <w:rFonts w:ascii="仿宋_GB2312" w:hAnsi="仿宋_GB2312" w:eastAsia="仿宋_GB2312" w:cs="仿宋_GB2312"/>
          <w:sz w:val="28"/>
          <w:szCs w:val="28"/>
          <w:u w:val="single"/>
        </w:rPr>
      </w:pPr>
      <w:r>
        <w:rPr>
          <w:rFonts w:hint="eastAsia" w:ascii="仿宋_GB2312" w:hAnsi="仿宋_GB2312" w:eastAsia="仿宋_GB2312" w:cs="仿宋_GB2312"/>
          <w:bCs/>
          <w:sz w:val="28"/>
          <w:szCs w:val="28"/>
        </w:rPr>
        <w:t>联系电话：</w:t>
      </w:r>
      <w:r>
        <w:rPr>
          <w:rFonts w:hint="eastAsia" w:ascii="仿宋_GB2312" w:hAnsi="仿宋_GB2312" w:eastAsia="仿宋_GB2312" w:cs="仿宋_GB2312"/>
          <w:bCs/>
          <w:sz w:val="28"/>
          <w:szCs w:val="28"/>
          <w:u w:val="single"/>
        </w:rPr>
        <w:t xml:space="preserve">                                       </w:t>
      </w:r>
    </w:p>
    <w:p w14:paraId="414BBC32">
      <w:pPr>
        <w:pStyle w:val="15"/>
        <w:adjustRightInd w:val="0"/>
        <w:snapToGrid w:val="0"/>
        <w:spacing w:line="560" w:lineRule="exact"/>
        <w:rPr>
          <w:rFonts w:hint="eastAsia" w:ascii="仿宋_GB2312" w:hAnsi="仿宋_GB2312" w:eastAsia="仿宋_GB2312" w:cs="仿宋_GB2312"/>
          <w:szCs w:val="28"/>
        </w:rPr>
      </w:pPr>
      <w:r>
        <w:rPr>
          <w:rFonts w:hint="eastAsia" w:ascii="仿宋_GB2312" w:hAnsi="仿宋_GB2312" w:eastAsia="仿宋_GB2312" w:cs="仿宋_GB2312"/>
          <w:szCs w:val="28"/>
        </w:rPr>
        <w:t>根据《中华人民共和国民法典》及有关法律法规规定，本着平等互利的原则，经甲、乙双方友好协商，就乙方向甲方提供指定范围内绿地苗木的养护管理服务之事，达成以下协议：</w:t>
      </w:r>
    </w:p>
    <w:p w14:paraId="2D286AE9">
      <w:pPr>
        <w:pStyle w:val="15"/>
        <w:adjustRightInd w:val="0"/>
        <w:snapToGrid w:val="0"/>
        <w:spacing w:line="560" w:lineRule="exact"/>
        <w:rPr>
          <w:rFonts w:hint="eastAsia" w:ascii="黑体" w:hAnsi="黑体" w:eastAsia="黑体" w:cs="黑体"/>
          <w:bCs/>
          <w:szCs w:val="28"/>
        </w:rPr>
      </w:pPr>
      <w:r>
        <w:rPr>
          <w:rFonts w:hint="eastAsia" w:ascii="黑体" w:hAnsi="黑体" w:eastAsia="黑体" w:cs="黑体"/>
          <w:bCs/>
          <w:szCs w:val="28"/>
        </w:rPr>
        <w:t>一、服务项目</w:t>
      </w:r>
    </w:p>
    <w:p w14:paraId="14086A52">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甲方指定范围内的绿地苗木养护管理。</w:t>
      </w:r>
    </w:p>
    <w:p w14:paraId="215D271C">
      <w:pPr>
        <w:adjustRightInd w:val="0"/>
        <w:snapToGrid w:val="0"/>
        <w:spacing w:line="560" w:lineRule="exact"/>
        <w:ind w:firstLine="560" w:firstLineChars="200"/>
        <w:rPr>
          <w:rFonts w:hint="eastAsia" w:ascii="黑体" w:hAnsi="黑体" w:eastAsia="黑体" w:cs="黑体"/>
          <w:sz w:val="28"/>
          <w:szCs w:val="28"/>
        </w:rPr>
      </w:pPr>
      <w:r>
        <w:rPr>
          <w:rFonts w:hint="eastAsia" w:ascii="黑体" w:hAnsi="黑体" w:eastAsia="黑体" w:cs="黑体"/>
          <w:sz w:val="28"/>
          <w:szCs w:val="28"/>
        </w:rPr>
        <w:t>二、服务范围</w:t>
      </w:r>
    </w:p>
    <w:p w14:paraId="3B066D8B">
      <w:pPr>
        <w:tabs>
          <w:tab w:val="left" w:pos="900"/>
        </w:tabs>
        <w:adjustRightInd w:val="0"/>
        <w:snapToGrid w:val="0"/>
        <w:spacing w:line="560" w:lineRule="exact"/>
        <w:ind w:firstLine="560"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  】区域/项目</w:t>
      </w:r>
    </w:p>
    <w:p w14:paraId="61286DF6">
      <w:pPr>
        <w:adjustRightInd w:val="0"/>
        <w:snapToGrid w:val="0"/>
        <w:spacing w:line="560" w:lineRule="exact"/>
        <w:ind w:firstLine="560" w:firstLineChars="200"/>
        <w:rPr>
          <w:rFonts w:hint="eastAsia" w:ascii="黑体" w:hAnsi="黑体" w:eastAsia="黑体" w:cs="黑体"/>
          <w:sz w:val="28"/>
          <w:szCs w:val="28"/>
        </w:rPr>
      </w:pPr>
      <w:r>
        <w:rPr>
          <w:rFonts w:hint="eastAsia" w:ascii="黑体" w:hAnsi="黑体" w:eastAsia="黑体" w:cs="黑体"/>
          <w:sz w:val="28"/>
          <w:szCs w:val="28"/>
        </w:rPr>
        <w:t>三、合同期限</w:t>
      </w:r>
    </w:p>
    <w:p w14:paraId="14D64821">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3.1本合同服务期限为【1】年，自【 】年【 】月【 】日至【 】年【 】月【 】日止。本合同有效期内甲方可随时提前七天书面通知乙方终止本合同（不视为甲方违约），甲乙双方应按乙方提供的实际服务时间及面积核算服务费。除此之外，甲方无需承担其他任何费用或责任。</w:t>
      </w:r>
    </w:p>
    <w:p w14:paraId="5D0922BA">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3.2合同期满续约与否，乙方须提前两个月向甲方提出书面申请，经甲方依据相关制度进行履约评估符合续约要求的，本合同可续约一年，续约最多不超过两次且总续约时长不超过二十四个月。</w:t>
      </w:r>
    </w:p>
    <w:p w14:paraId="61E94128">
      <w:pPr>
        <w:adjustRightInd w:val="0"/>
        <w:snapToGrid w:val="0"/>
        <w:spacing w:line="560" w:lineRule="exact"/>
        <w:ind w:firstLine="560" w:firstLineChars="200"/>
        <w:rPr>
          <w:rFonts w:hint="eastAsia" w:ascii="黑体" w:hAnsi="黑体" w:eastAsia="黑体" w:cs="黑体"/>
          <w:sz w:val="28"/>
          <w:szCs w:val="28"/>
        </w:rPr>
      </w:pPr>
      <w:r>
        <w:rPr>
          <w:rFonts w:hint="eastAsia" w:ascii="黑体" w:hAnsi="黑体" w:eastAsia="黑体" w:cs="黑体"/>
          <w:sz w:val="28"/>
          <w:szCs w:val="28"/>
        </w:rPr>
        <w:t>四、合同金额及付款方式</w:t>
      </w:r>
    </w:p>
    <w:p w14:paraId="28933C6F">
      <w:pPr>
        <w:tabs>
          <w:tab w:val="left" w:pos="648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4.1本合同采用固定单价包干，单价：¥【 】元/月/平方米，合同绿化养护面积为：【 】㎡，月总费用：¥【 】元。年总费用为：¥ 【 】元/年（大写：人民币【 】元整，含税，税率为【 】%），其中不含税金额为¥【 】元，税款为¥【 】元。本合同约定的服务费用为包干价（不因任何原因，包括抢工、物价上涨、最低工资标准或社保交费基数上调、设备配置调整等），包括但不限于基本工资、加班工资、社会及商业保险费、综合补贴费、通讯费、交通费、服装费、所有装备费、服务费、住宿费、餐费，</w:t>
      </w:r>
      <w:r>
        <w:rPr>
          <w:rFonts w:hint="eastAsia" w:ascii="仿宋_GB2312" w:hAnsi="仿宋_GB2312" w:eastAsia="仿宋_GB2312" w:cs="仿宋_GB2312"/>
          <w:spacing w:val="-4"/>
          <w:sz w:val="28"/>
        </w:rPr>
        <w:t>低价易消耗品费</w:t>
      </w:r>
      <w:r>
        <w:rPr>
          <w:rFonts w:hint="eastAsia" w:ascii="仿宋_GB2312" w:hAnsi="仿宋_GB2312" w:eastAsia="仿宋_GB2312" w:cs="仿宋_GB2312"/>
          <w:sz w:val="28"/>
          <w:szCs w:val="28"/>
        </w:rPr>
        <w:t xml:space="preserve">以及内部管理成本或费用、合理利润、乙方应付的政府税费及其它所必须支出的一切费用等，甲方无须为实现本合同项下的全部权益再向乙方或任何第三方支付其他任何款项或费用。 </w:t>
      </w:r>
    </w:p>
    <w:p w14:paraId="4DE0FB24">
      <w:pPr>
        <w:tabs>
          <w:tab w:val="left" w:pos="648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4.2合同签订后根据甲方要求增减的项目，变更价款由双方协商确认。根据双方确认的乙方服务区域/项目。乙方应按照本合同约定全面履行其义务，甲方在收到乙方提交的相关验收资料，双方达成一致书面核算意见后，甲方凭乙方开具的合法有效的正式劳务增值税专用发票和付款申请，履行约定的付款义务。</w:t>
      </w:r>
    </w:p>
    <w:p w14:paraId="14B5516C">
      <w:pPr>
        <w:tabs>
          <w:tab w:val="left" w:pos="648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4.3甲乙双方协商一致本合同项下产生的所有税金全部由乙方承担，乙方在满足合同付款条件/付款时间、向甲方申请支付前，须为甲方开具等额合法完税的增值税专用发票并送达甲方，甲方有权要求乙方提供税务机关核发的增值税专用发票领购簿供甲方查验，以证明发票的真伪,否则甲方有权拒绝付款并顺延付款时间；甲方对增值税专用发票验证通过后，对于符合合同款项支付约定的进行支付。</w:t>
      </w:r>
    </w:p>
    <w:p w14:paraId="33B9BC4D">
      <w:pPr>
        <w:tabs>
          <w:tab w:val="left" w:pos="648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4.4乙方同意,甲方在根据本合同约定支付各期款项前，有权先行抵扣乙方于相应各期内应承担的违约金、赔偿金及其它费用(如有)，然后才支付抵扣后的余额（如有）。</w:t>
      </w:r>
    </w:p>
    <w:p w14:paraId="0C5546E4">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4.5甲方可将本合同项下款项支付至乙方以下银行账户，乙方应对该收款账户的真实性、准确性及合法性负责：</w:t>
      </w:r>
    </w:p>
    <w:p w14:paraId="5BF4A222">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户  名：【 】</w:t>
      </w:r>
    </w:p>
    <w:p w14:paraId="17FD8EA5">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开户行：【 】</w:t>
      </w:r>
    </w:p>
    <w:p w14:paraId="33CEE9BF">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帐  号：【 】</w:t>
      </w:r>
    </w:p>
    <w:p w14:paraId="7E39B268">
      <w:pPr>
        <w:adjustRightInd w:val="0"/>
        <w:snapToGrid w:val="0"/>
        <w:spacing w:line="560" w:lineRule="exact"/>
        <w:ind w:firstLine="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乙方须保证以上银行账户资料的准确无误，如需变更，须提前五日书面通知甲方，否则，由此产生的后果均由乙方自行承担。</w:t>
      </w:r>
    </w:p>
    <w:p w14:paraId="36FC6B8F">
      <w:pPr>
        <w:adjustRightInd w:val="0"/>
        <w:snapToGrid w:val="0"/>
        <w:spacing w:line="560" w:lineRule="exact"/>
        <w:ind w:firstLine="6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4.6本合同签订之前，乙方应当向甲方交纳合同履约保证金【 】万元【不超过合同总额的10%（含）】。甲方收到款项后开具等额的收款收据给乙方，该履约保证金由甲方无息保管。乙方逾期未支付履约保证金的，视为乙方已以实际行为表明不再向甲方提供本合同项下的全部服务，甲方有权将本合同项下全部服务发包给任何第三方，并且乙方应赔偿因此而给甲方造成的一切损失。</w:t>
      </w:r>
    </w:p>
    <w:p w14:paraId="0068E990">
      <w:pPr>
        <w:adjustRightInd w:val="0"/>
        <w:snapToGrid w:val="0"/>
        <w:spacing w:line="560" w:lineRule="exact"/>
        <w:ind w:firstLine="6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4.7如甲方应付乙方的服务费不足抵扣乙方应当支付给甲方的违约金或乙方依照本合同应向甲方支付的任何赔偿金或费用的，甲方有权直接从履约保证金中扣除该等违约金、赔偿金或费用，如仍不足以抵扣的，乙方应按照甲方书面通知规定的时间及金额即时给付甲方。同时，乙方须于甲方发出通知之日起3日内一次性补足履约保证金，乙方逾期补足的，每逾期一日，乙方以逾期未补足金额0.5‰的标准向甲方支付滞纳金。</w:t>
      </w:r>
    </w:p>
    <w:p w14:paraId="4029F499">
      <w:pPr>
        <w:adjustRightInd w:val="0"/>
        <w:snapToGrid w:val="0"/>
        <w:spacing w:line="560" w:lineRule="exact"/>
        <w:ind w:firstLine="640"/>
        <w:rPr>
          <w:rFonts w:ascii="仿宋_GB2312" w:hAnsi="仿宋_GB2312" w:eastAsia="仿宋_GB2312" w:cs="仿宋_GB2312"/>
          <w:sz w:val="28"/>
          <w:szCs w:val="28"/>
        </w:rPr>
      </w:pPr>
      <w:r>
        <w:rPr>
          <w:rFonts w:hint="eastAsia" w:ascii="仿宋_GB2312" w:hAnsi="仿宋_GB2312" w:eastAsia="仿宋_GB2312" w:cs="仿宋_GB2312"/>
          <w:sz w:val="28"/>
          <w:szCs w:val="28"/>
        </w:rPr>
        <w:t>4.8本合同有效期届满后，在甲方确认乙方已完全按照本合同约定履行其应负义务或承担其责任且没有任何违约行为且与乙方核算付清后45个工作日内，甲方将凭乙方交还的履约保证金收据原件，通过银行转账或支票方式，将履约保证金或其余额（如有）无息返还乙方（银行费用由乙方自行承担）。</w:t>
      </w:r>
    </w:p>
    <w:p w14:paraId="5CB17443">
      <w:pPr>
        <w:tabs>
          <w:tab w:val="left" w:pos="3600"/>
        </w:tabs>
        <w:adjustRightInd w:val="0"/>
        <w:snapToGrid w:val="0"/>
        <w:spacing w:line="560" w:lineRule="exact"/>
        <w:ind w:firstLine="560" w:firstLineChars="200"/>
        <w:rPr>
          <w:rFonts w:hint="eastAsia" w:ascii="仿宋_GB2312" w:hAnsi="仿宋_GB2312" w:eastAsia="仿宋_GB2312" w:cs="仿宋_GB2312"/>
          <w:b/>
          <w:bCs/>
          <w:sz w:val="28"/>
          <w:szCs w:val="28"/>
        </w:rPr>
      </w:pPr>
      <w:r>
        <w:rPr>
          <w:rFonts w:hint="eastAsia" w:ascii="黑体" w:hAnsi="黑体" w:eastAsia="黑体" w:cs="黑体"/>
          <w:sz w:val="28"/>
          <w:szCs w:val="28"/>
        </w:rPr>
        <w:t>五、养护标准</w:t>
      </w:r>
    </w:p>
    <w:p w14:paraId="6FC2DB03">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5.1 绿篱养护质量要求</w:t>
      </w:r>
    </w:p>
    <w:p w14:paraId="3C2CBBA6">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5.1.1墙状修剪绿篱侧面垂直，平面水平，无明显缺剪，无崩口，脚部整齐；</w:t>
      </w:r>
    </w:p>
    <w:p w14:paraId="534C51DD">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5.1.2片状绿篱修剪应有坡度变化，但坡度变化应平滑，不能有明显交接口。生长不良或遭受病虫害而变形的植株应及时用大小相当的同类植株予以更换；</w:t>
      </w:r>
    </w:p>
    <w:p w14:paraId="4502EFBF">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5.1.3园区内的绿篱视天气情况2～3天淋一次水，每半个月用水冲洗一次叶面；</w:t>
      </w:r>
    </w:p>
    <w:p w14:paraId="54386F39">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5.1.4绿篱每年2月底施一次有机肥；每3个月施一次缓溶肥，施肥时严禁肥料粘在枝叶上或撒落路边；</w:t>
      </w:r>
    </w:p>
    <w:p w14:paraId="296F7BD5">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5.1.5 园区内绿篱每月喷广普性杀虫药及杀菌药一次；</w:t>
      </w:r>
    </w:p>
    <w:p w14:paraId="355CCF14">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5.1.6 每年冬季应彻底清剪一次枯枝弱叶，并在开春前将高度压到定高点重修剪一次。</w:t>
      </w:r>
    </w:p>
    <w:p w14:paraId="09F89F3F">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5.2乔灌木养护质量要求</w:t>
      </w:r>
    </w:p>
    <w:p w14:paraId="35646806">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5.2.1乔木生长健壮、形态整齐、无凌乱枝条和冗长枝叶，灌木株形整齐、造型植物轮廓清晰，修剪面平直整齐，棱角分明；</w:t>
      </w:r>
    </w:p>
    <w:p w14:paraId="2D61FDAD">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5.2.2棕榈科植物老化枝叶枯黄面积达2/3时即应剪除，其叶壳在底部开裂达1/3以上时应剥除，修剪时应严格保护主干顶芽不受损伤；</w:t>
      </w:r>
    </w:p>
    <w:p w14:paraId="17F42AE9">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5.2.3每年12月～次年2月应乔木修剪，剪除树身的萌蘖枝、下垂枝、病虫枝、交叉枝、扭伤枝、枯枝、烂头等，并对树冠适当整形保持形状，对造型树木应每两个月修剪一次外形，以保持形状；</w:t>
      </w:r>
    </w:p>
    <w:p w14:paraId="68482F47">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5.2.4修剪整形应达到均衡树势、完整树冠和促进生长的要求；</w:t>
      </w:r>
    </w:p>
    <w:p w14:paraId="39D81B65">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5.2.5所有灌木应在冬季进行一次枯枝、弱枝、徒长枝清剪及株形修剪工作；</w:t>
      </w:r>
    </w:p>
    <w:p w14:paraId="1DF905F9">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5.2.6非观花的造型灌木生长季应每25天进行一次修剪以保持树冠丰满、树形美观；</w:t>
      </w:r>
    </w:p>
    <w:p w14:paraId="11120405">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5.2.7对于散尾葵、棕榈科灌木应及时将枯黄的叶边清修；</w:t>
      </w:r>
    </w:p>
    <w:p w14:paraId="75130904">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5.2.8剪下的枝叶应及时清除并集中运到花木基地处理；</w:t>
      </w:r>
    </w:p>
    <w:p w14:paraId="5BB509C3">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5.2.9乔木应每年施肥一次，有机肥或复合肥均可；</w:t>
      </w:r>
    </w:p>
    <w:p w14:paraId="610D2718">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5.2.10灌木每年冬季施一次有机肥，每年5～6月追施一次复合肥，入冬前施一次钾肥；</w:t>
      </w:r>
    </w:p>
    <w:p w14:paraId="0B226C60">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5.2.11 在高温和干旱季节一定要浇足水，确保植物的死亡率不得超过2%左右。</w:t>
      </w:r>
    </w:p>
    <w:p w14:paraId="235AD6E4">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5.3 草坪养护质量要求</w:t>
      </w:r>
    </w:p>
    <w:p w14:paraId="34F80378">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5.3.1整块草坪没有明显的阔叶的杂草；</w:t>
      </w:r>
    </w:p>
    <w:p w14:paraId="73F55D3C">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5.3.2每季度修剪一次草坪，修剪后的草坪整体效果平整，无明显起伏和漏剪；</w:t>
      </w:r>
    </w:p>
    <w:p w14:paraId="0D600E29">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5.3.3剪口平齐，四周无不规则草边及转弯位无明显交错痕迹；</w:t>
      </w:r>
    </w:p>
    <w:p w14:paraId="13DE6920">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5.3.4修剪后的现场及时清理干净，无遗漏草屑、杂物；</w:t>
      </w:r>
    </w:p>
    <w:p w14:paraId="2AD7CBA6">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5.3.5每季度施放一次缓溶复合肥；</w:t>
      </w:r>
    </w:p>
    <w:p w14:paraId="102F26F4">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5.3.6每季度喷一次广谱性杀虫药；</w:t>
      </w:r>
    </w:p>
    <w:p w14:paraId="6F0E4D37">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5.3.7由于病虫害而导致的严重退化的草坪应及时给予更换；</w:t>
      </w:r>
    </w:p>
    <w:p w14:paraId="12EBFF39">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u w:val="none"/>
        </w:rPr>
      </w:pPr>
      <w:r>
        <w:rPr>
          <w:rFonts w:hint="eastAsia" w:ascii="仿宋_GB2312" w:hAnsi="仿宋_GB2312" w:eastAsia="仿宋_GB2312" w:cs="仿宋_GB2312"/>
          <w:bCs/>
          <w:sz w:val="28"/>
          <w:szCs w:val="28"/>
          <w:u w:val="none"/>
        </w:rPr>
        <w:t>5.3.8 草坪的养护和管理关键要做好草坪的修剪。草坪长度高于20厘米，应该修剪。修剪后留4.5厘米的长度，草坪覆盖率达95%以上，杂草控制在20%以内，使草坪生长茂盛，不枯黄、无虫害。</w:t>
      </w:r>
    </w:p>
    <w:p w14:paraId="0E902E09">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5.4 合同签订时，乙方须提交《绿化管理计划》（附件3）、《绿化保养方案》（附件4）作为本合同附件，经甲方审核认可后严格执行。如附件规定的养护标准与本合同第五条约定的标准不一致的，以两者中更高、更严标准为准。</w:t>
      </w:r>
    </w:p>
    <w:p w14:paraId="776585AD">
      <w:pPr>
        <w:tabs>
          <w:tab w:val="left" w:pos="540"/>
        </w:tabs>
        <w:adjustRightInd w:val="0"/>
        <w:snapToGrid w:val="0"/>
        <w:spacing w:line="56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5.5 国家、地方或行业有更高养护标准的，乙方同意按照该标准执行，否则视为违约。</w:t>
      </w:r>
    </w:p>
    <w:p w14:paraId="1B911AE1">
      <w:pPr>
        <w:adjustRightInd w:val="0"/>
        <w:snapToGrid w:val="0"/>
        <w:spacing w:line="560" w:lineRule="exact"/>
        <w:ind w:firstLine="560" w:firstLineChars="200"/>
        <w:rPr>
          <w:rFonts w:hint="eastAsia" w:ascii="黑体" w:hAnsi="黑体" w:eastAsia="黑体" w:cs="黑体"/>
          <w:sz w:val="28"/>
          <w:szCs w:val="28"/>
        </w:rPr>
      </w:pPr>
      <w:r>
        <w:rPr>
          <w:rFonts w:hint="eastAsia" w:ascii="黑体" w:hAnsi="黑体" w:eastAsia="黑体" w:cs="黑体"/>
          <w:sz w:val="28"/>
          <w:szCs w:val="28"/>
        </w:rPr>
        <w:t>六、甲方权利及义务</w:t>
      </w:r>
    </w:p>
    <w:p w14:paraId="25627DEC">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rPr>
        <w:t xml:space="preserve">6.1 </w:t>
      </w:r>
      <w:r>
        <w:rPr>
          <w:rFonts w:hint="eastAsia" w:ascii="仿宋_GB2312" w:hAnsi="仿宋_GB2312" w:eastAsia="仿宋_GB2312" w:cs="仿宋_GB2312"/>
          <w:sz w:val="28"/>
          <w:szCs w:val="28"/>
        </w:rPr>
        <w:t>甲方负责向乙方提供绿化用水地点。</w:t>
      </w:r>
    </w:p>
    <w:p w14:paraId="761DD6F3">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6.2 </w:t>
      </w:r>
      <w:r>
        <w:rPr>
          <w:rFonts w:hint="eastAsia" w:ascii="仿宋_GB2312" w:hAnsi="仿宋_GB2312" w:eastAsia="仿宋_GB2312" w:cs="仿宋_GB2312"/>
          <w:spacing w:val="-4"/>
          <w:sz w:val="28"/>
          <w:szCs w:val="28"/>
        </w:rPr>
        <w:t>甲方应当协助乙方维护整个绿地的完好，如有人为破坏，甲方应及时制止。</w:t>
      </w:r>
    </w:p>
    <w:p w14:paraId="1713A9F3">
      <w:pPr>
        <w:adjustRightInd w:val="0"/>
        <w:snapToGrid w:val="0"/>
        <w:spacing w:line="560" w:lineRule="exact"/>
        <w:ind w:firstLine="544" w:firstLineChars="200"/>
        <w:rPr>
          <w:rFonts w:hint="eastAsia" w:ascii="仿宋_GB2312" w:hAnsi="仿宋_GB2312" w:eastAsia="仿宋_GB2312" w:cs="仿宋_GB2312"/>
          <w:sz w:val="28"/>
          <w:szCs w:val="28"/>
        </w:rPr>
      </w:pPr>
      <w:r>
        <w:rPr>
          <w:rFonts w:hint="eastAsia" w:ascii="仿宋_GB2312" w:hAnsi="仿宋_GB2312" w:eastAsia="仿宋_GB2312" w:cs="仿宋_GB2312"/>
          <w:spacing w:val="-4"/>
          <w:sz w:val="28"/>
          <w:szCs w:val="28"/>
        </w:rPr>
        <w:t xml:space="preserve">6.3 </w:t>
      </w:r>
      <w:r>
        <w:rPr>
          <w:rFonts w:hint="eastAsia" w:ascii="仿宋_GB2312" w:hAnsi="仿宋_GB2312" w:eastAsia="仿宋_GB2312" w:cs="仿宋_GB2312"/>
          <w:sz w:val="28"/>
          <w:szCs w:val="28"/>
        </w:rPr>
        <w:t>甲方负责监督检查乙方的工作，乙方应派专人负责现场养护工作，如乙方未按合同约定对绿地苗木进行养护或乙方在管理养护时工作不到位、不及时或养护效果低于养护标准要求的，乙方应在甲方规定的时间内及时整改。否则，甲方可另请他人整改，由此产生的费用由乙方承担，甲方可直接从应付乙方服务费中直接扣除，不足部分由乙方即时全数补付甲方。</w:t>
      </w:r>
    </w:p>
    <w:p w14:paraId="23DBC123">
      <w:pPr>
        <w:pStyle w:val="94"/>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6.4甲方有权审核乙方绿化养护服务方案并提出修改意见，乙方应执行甲方修改意见。</w:t>
      </w:r>
    </w:p>
    <w:p w14:paraId="0DB1C0AB">
      <w:pPr>
        <w:pStyle w:val="95"/>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6.5甲方有权对乙方绿化服务人员进行检查考评。甲方认为不合格的人员，乙方应按甲方要求限期予以调换。</w:t>
      </w:r>
    </w:p>
    <w:p w14:paraId="6A4E79D2">
      <w:pPr>
        <w:pStyle w:val="94"/>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6.6甲方有权利监督乙方承包范围内的综合服务质量，发现问题记录并及时书面知会乙方，对每月的投诉分别进行统计。</w:t>
      </w:r>
    </w:p>
    <w:p w14:paraId="53F4AA05">
      <w:pPr>
        <w:pStyle w:val="95"/>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6.7甲方有权采取各种手段，包括但不限于要求乙方服务人员进行指纹、面部识别等打卡方式，随时查阅打卡记录、点名、岗上检查等，检查乙方服务人员的上岗情况，并就检查出的乙方违反本合同约定的情况，要求乙方承担违约责任。</w:t>
      </w:r>
    </w:p>
    <w:p w14:paraId="65AC7BD3">
      <w:pPr>
        <w:pStyle w:val="95"/>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6.8甲方有权要求乙方对进入所承包项目的所有员工提供人员名单及基本资料（包括本人近期1寸照片1张、中文姓名（与身份证同）、身份证号码、出生日期、居住地址、联络电话、作业培训记录及上岗证、身体健康证明（每年）；乙方所提供之员工资料经甲方审查如发现不合资格或健康不适合或不符合甲方要求者，甲方有权要求乙方无条件撤换。</w:t>
      </w:r>
    </w:p>
    <w:p w14:paraId="23AE7238">
      <w:pPr>
        <w:tabs>
          <w:tab w:val="left" w:pos="-149"/>
          <w:tab w:val="left" w:pos="426"/>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6.9如乙方有人员调动情况，需事先征得甲方的同意后方可调动并重新更换人员资料，对因人员流动而引起的缺岗与空岗，在不影响正常工作的前提下，要求乙方在三天内人员到位。</w:t>
      </w:r>
    </w:p>
    <w:p w14:paraId="17154139">
      <w:pPr>
        <w:tabs>
          <w:tab w:val="left" w:pos="-149"/>
          <w:tab w:val="left" w:pos="426"/>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6.10甲方有权建议制定相应管理措施、监督标准等，以保证乙方按照标书、合同及其它双方议定之要求运作。</w:t>
      </w:r>
    </w:p>
    <w:p w14:paraId="2143D0A4">
      <w:pPr>
        <w:tabs>
          <w:tab w:val="left" w:pos="-149"/>
          <w:tab w:val="left" w:pos="426"/>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6.11甲方有权提醒乙方对其应该履行依照合约、双方约定、工作标准作业指导书中所列项目，在执行工作中可预见的履约瑕疵，或通知对其违反合约等事件进行限期整改。</w:t>
      </w:r>
    </w:p>
    <w:p w14:paraId="37159C3D">
      <w:pPr>
        <w:tabs>
          <w:tab w:val="left" w:pos="-149"/>
          <w:tab w:val="left" w:pos="426"/>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6.12甲方有权审核乙方每月提供的工作计划，并监督乙方严格按照作业指导书中的标准进行工作。</w:t>
      </w:r>
    </w:p>
    <w:p w14:paraId="55AFF069">
      <w:pPr>
        <w:tabs>
          <w:tab w:val="left" w:pos="-149"/>
          <w:tab w:val="left" w:pos="426"/>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6.13甲方可每日或不定时对于乙方服务按照本合同附件的检查标准进行考评打分，与乙方进行工作沟通，就工作存在的问题、工作待改进的问题及每日工作进行安排与处理。</w:t>
      </w:r>
    </w:p>
    <w:p w14:paraId="0496ADAC">
      <w:pPr>
        <w:tabs>
          <w:tab w:val="left" w:pos="-149"/>
          <w:tab w:val="left" w:pos="426"/>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6.14甲方指定乙方人员的服装款式、工作配件等。</w:t>
      </w:r>
    </w:p>
    <w:p w14:paraId="354015C9">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6.15甲方按乙方月度考核表内容进行考核，对于不合格项进行相应费用的扣除。</w:t>
      </w:r>
    </w:p>
    <w:p w14:paraId="7E2CC1B0">
      <w:pPr>
        <w:adjustRightInd w:val="0"/>
        <w:snapToGrid w:val="0"/>
        <w:spacing w:line="560" w:lineRule="exact"/>
        <w:ind w:firstLine="560" w:firstLineChars="200"/>
        <w:rPr>
          <w:rFonts w:hint="eastAsia" w:ascii="黑体" w:hAnsi="黑体" w:eastAsia="黑体" w:cs="黑体"/>
          <w:bCs/>
          <w:sz w:val="28"/>
          <w:szCs w:val="28"/>
        </w:rPr>
      </w:pPr>
      <w:r>
        <w:rPr>
          <w:rFonts w:hint="eastAsia" w:ascii="黑体" w:hAnsi="黑体" w:eastAsia="黑体" w:cs="黑体"/>
          <w:bCs/>
          <w:sz w:val="28"/>
          <w:szCs w:val="28"/>
        </w:rPr>
        <w:t>七</w:t>
      </w:r>
      <w:r>
        <w:rPr>
          <w:rFonts w:hint="eastAsia" w:ascii="黑体" w:hAnsi="黑体" w:eastAsia="黑体" w:cs="黑体"/>
          <w:bCs/>
          <w:spacing w:val="-4"/>
          <w:sz w:val="28"/>
          <w:szCs w:val="28"/>
        </w:rPr>
        <w:t>、乙方权利及义务</w:t>
      </w:r>
    </w:p>
    <w:p w14:paraId="0BC7E75E">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7.1乙方必须按本合同和附件规定的服务范围和标准完成本合同项下所有工作。如乙方之工作未达到甲方要求，甲方有权雇佣任何其他所需人员进行上述改善，而所需之一切费用包括运输、工具及工资则从应付乙方服务费中予以扣除，且扣除金额以甲方书面通知上明示的金额为准；不足部分，由乙方即时全数补付给甲方。</w:t>
      </w:r>
    </w:p>
    <w:p w14:paraId="768691FD">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7.2 乙方自行管理绿化供水点的供水设施，并要求其员工节约用水。如发现乙方员工浪费用水等情况，甲方可就乙方员工每次浪费水的行为计收年总费用【2】%的违约金，并向乙方收取每月实际用水费用，违约金及实际用水费用具体事宜以甲方书面通知为准。 </w:t>
      </w:r>
    </w:p>
    <w:p w14:paraId="0C8691BD">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7.3 如甲方举办重要活动或遇重大节假日时，乙方须按甲方要求做好绿化修剪、养护、调整花木摆放等相关工作。</w:t>
      </w:r>
    </w:p>
    <w:p w14:paraId="5629AE8E">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7.4 乙方指定公司联系人【 】，联系电话【 】，现场负责人【 】，联系电话【 】,乙方现场负责人须保持通讯畅通。</w:t>
      </w:r>
    </w:p>
    <w:p w14:paraId="31E228B5">
      <w:pPr>
        <w:adjustRightInd w:val="0"/>
        <w:snapToGrid w:val="0"/>
        <w:spacing w:line="560" w:lineRule="exact"/>
        <w:ind w:firstLine="544" w:firstLineChars="200"/>
        <w:rPr>
          <w:rFonts w:hint="eastAsia" w:ascii="仿宋_GB2312" w:hAnsi="仿宋_GB2312" w:eastAsia="仿宋_GB2312" w:cs="仿宋_GB2312"/>
          <w:sz w:val="28"/>
          <w:szCs w:val="28"/>
        </w:rPr>
      </w:pPr>
      <w:r>
        <w:rPr>
          <w:rFonts w:hint="eastAsia" w:ascii="仿宋_GB2312" w:hAnsi="仿宋_GB2312" w:eastAsia="仿宋_GB2312" w:cs="仿宋_GB2312"/>
          <w:spacing w:val="-4"/>
          <w:sz w:val="28"/>
          <w:szCs w:val="28"/>
        </w:rPr>
        <w:t>7.5</w:t>
      </w:r>
      <w:r>
        <w:rPr>
          <w:rFonts w:hint="eastAsia" w:ascii="仿宋_GB2312" w:hAnsi="仿宋_GB2312" w:eastAsia="仿宋_GB2312" w:cs="仿宋_GB2312"/>
          <w:sz w:val="28"/>
          <w:szCs w:val="28"/>
        </w:rPr>
        <w:t>乙方须选派合格的服务人员进驻甲方工作。乙方在派驻人员前，须先将工作人员的身份资料（包括但不限于居民身份证复印件）提交甲方备案。对于未备案的乙方人员，甲方有权拒绝其进入甲方场所，相应责任由乙方承担。</w:t>
      </w:r>
    </w:p>
    <w:p w14:paraId="1C59FBAE">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7.6乙方工作人员须遵守甲方的规章制度，不得进入与乙方业务无关的区域，做与业务无关的事；在绿化养护时应注意安全，不得损坏甲方设施设备，如</w:t>
      </w:r>
      <w:r>
        <w:rPr>
          <w:rFonts w:hint="eastAsia" w:ascii="仿宋_GB2312" w:hAnsi="仿宋_GB2312" w:eastAsia="仿宋_GB2312" w:cs="仿宋_GB2312"/>
          <w:spacing w:val="-4"/>
          <w:sz w:val="28"/>
          <w:szCs w:val="28"/>
        </w:rPr>
        <w:t>因乙方原因导致甲方财产受损或遗失的，乙方须按照当地的市场价格赔偿，如因此造成甲方其他损失的，乙方须全数赔偿。</w:t>
      </w:r>
    </w:p>
    <w:p w14:paraId="22FABDA2">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7.7乙方在服务过程中产生的垃圾由乙方自费运往甲方管理区域以外的地点进行处置，须做到日产日清。</w:t>
      </w:r>
    </w:p>
    <w:p w14:paraId="7F6FECD3">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7.8乙方应保证向甲方派驻的工作人员工作时间符合劳动法规定。如因甲方工作需要乙方派驻甲方现场的工作人员超时工作的，则因此引起的加班费用及相应法律责任皆由乙方承担。</w:t>
      </w:r>
    </w:p>
    <w:p w14:paraId="1CF0E1D4">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7.9乙方须按政府有关法规，与其派驻甲方的工作人员签订劳动合同，购买有效、足额之劳动保险及第三者保险。乙方人员在履行本合同过程中发生的任何工伤或意外等事故或第三者索赔责任，概由乙方承担。</w:t>
      </w:r>
      <w:bookmarkStart w:id="81" w:name="OLE_LINK2"/>
      <w:bookmarkStart w:id="82" w:name="OLE_LINK3"/>
      <w:r>
        <w:rPr>
          <w:rFonts w:hint="eastAsia" w:ascii="仿宋_GB2312" w:hAnsi="仿宋_GB2312" w:eastAsia="仿宋_GB2312" w:cs="仿宋_GB2312"/>
          <w:sz w:val="28"/>
          <w:szCs w:val="28"/>
        </w:rPr>
        <w:t>乙方人员因维护自身劳动权益而出现政府投诉、信访、提起劳动仲裁及诉讼等维护自身劳动权益行为时，由乙方负责解决，与甲方无关。若因上述行为致使甲方被连带的，乙方在收到甲方通知后，应当及时参与并解决相关问题。乙方处理此等纠纷不应影响本合同正常履行。且因乙方人员上述行为造成甲方损失（包括但不限于经济损失、名誉损失等）的，则由乙方承担全部损失责任。</w:t>
      </w:r>
    </w:p>
    <w:bookmarkEnd w:id="81"/>
    <w:bookmarkEnd w:id="82"/>
    <w:p w14:paraId="1560304B">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7.10乙方在绿地苗木养护期间，对绿地苗木施肥或喷洒农药时，应做好保护措施及提前告知、明示，若乙方未做好相应措施，造成他人受到伤害，由乙方负一切责任，甲方无须承担任何责任。</w:t>
      </w:r>
    </w:p>
    <w:p w14:paraId="5F2B16E5">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7.11在合同期内，因建设需要或甲方管理需要调整乙方管养绿化区域时，相应减少或增加承包面积及服务费，具体价格由甲、乙双方另行协商。</w:t>
      </w:r>
    </w:p>
    <w:p w14:paraId="56935388">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7.12由于不可抗力（台风、洪水、地震、冰雹等）的自然灾害造成的植物死亡或损坏及非乙方人员因素造成养护植物死亡的不属于乙方负责范围，但必须先行采取必要的防护措施,因防护不当造成的损失由乙方负责。</w:t>
      </w:r>
    </w:p>
    <w:p w14:paraId="201F84C8">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7.13对有造型要求的植物，必须视情况安排修剪次数，使其保持良好造型。夏季保持花坛花卉鲜艳，树木保持绿色。</w:t>
      </w:r>
    </w:p>
    <w:p w14:paraId="5A17F916">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7.14乙方保证派驻本项目现场的绿化服务人员，每日不少于【 】名。若前述人数不能保证乙方服务达到附件之标准，乙方应及时自行增补人员，但绿化养护服务费不因此调整。</w:t>
      </w:r>
    </w:p>
    <w:p w14:paraId="7C3117F0">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7.15乙方派驻本项目的绿化服务人员年龄应在【60】岁以下，具备本合同项下绿化养护服务丰富经验。</w:t>
      </w:r>
    </w:p>
    <w:p w14:paraId="6D5B5AD6">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7.16乙方保证自己具备提供本合同约定服务的合法资格，并负责办理绿化服务人员上岗涉及的全部审批手续，否则因此导致政府部门处罚，乙方承担全部责任。服务期限内，乙方应确保上述资格的持续有效性，否则甲方有权立即解除本合同。</w:t>
      </w:r>
    </w:p>
    <w:p w14:paraId="58F292C7">
      <w:pPr>
        <w:pStyle w:val="13"/>
        <w:tabs>
          <w:tab w:val="left" w:pos="567"/>
        </w:tabs>
        <w:adjustRightInd w:val="0"/>
        <w:snapToGrid w:val="0"/>
        <w:spacing w:line="560" w:lineRule="exact"/>
        <w:ind w:firstLine="560" w:firstLineChars="200"/>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7.17乙方应在本合同签署次日向甲方提交本项目绿化服务方案。该等服务方案经甲方确认后作为本合同组成部分。乙方应按经甲方确认的服务方案进行提供绿化养护服务。</w:t>
      </w:r>
    </w:p>
    <w:p w14:paraId="6B348016">
      <w:pPr>
        <w:pStyle w:val="13"/>
        <w:tabs>
          <w:tab w:val="left" w:pos="567"/>
        </w:tabs>
        <w:adjustRightInd w:val="0"/>
        <w:snapToGrid w:val="0"/>
        <w:spacing w:line="560" w:lineRule="exact"/>
        <w:ind w:firstLine="560" w:firstLineChars="200"/>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7.18乙方绿化养护作业所需的一切设施、物料等均由乙方自行购买并承担费用。乙方使用的绿化养护设施、物料必须是正规厂家生产的合格安全产品且适合于本项目内绿植。因乙方使用的绿化养护设施、物料不合格等原因造成甲方或第三方人身、财产损害的，乙方应承担全部责任。如果乙方使用物料可能影响周围环境质量或者造成人员感觉不适，则乙方应当在施用前后的合理时间内于施用区域周围设置明显的警示标识。</w:t>
      </w:r>
    </w:p>
    <w:p w14:paraId="02C26833">
      <w:pPr>
        <w:pStyle w:val="94"/>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7.19乙方绿化服务人员应每日巡视树木支撑情况，对倾斜树木采取有效措施，防止事故发生。</w:t>
      </w:r>
    </w:p>
    <w:p w14:paraId="52ACD7CF">
      <w:pPr>
        <w:pStyle w:val="94"/>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7.20未经甲方事先书面同意，乙方不得从本项目业主或物业使用人处承接绿化工程或绿化养护业务。</w:t>
      </w:r>
    </w:p>
    <w:p w14:paraId="27B6E7C3">
      <w:pPr>
        <w:pStyle w:val="94"/>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7.21乙方不得以甲方延迟支付服务费等为理由延迟支付乙方人员工资，如发生因此类事件导致乙方人员在甲方区域内罢工或政府类投诉等事件发生，每发生一次甲方有权扣除年度合同总费用的【10】%作为违约金，乙方应在7日内妥善解决前述罢工或者投诉事件，逾期未解决，乙方除应向甲方支付前述违约金外，甲方有权解除合同且不承担任何违约责任。</w:t>
      </w:r>
    </w:p>
    <w:p w14:paraId="5C3EE647">
      <w:pPr>
        <w:tabs>
          <w:tab w:val="left" w:pos="54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7.22甲方不因签署、执行本合同及对乙方人员实施现场监管而与乙方人员建立劳动、劳务派遣或劳务关系，也不因此代乙方对其人员承担任何责任。</w:t>
      </w:r>
    </w:p>
    <w:p w14:paraId="263CDC20">
      <w:pPr>
        <w:tabs>
          <w:tab w:val="left" w:pos="540"/>
        </w:tabs>
        <w:adjustRightInd w:val="0"/>
        <w:snapToGrid w:val="0"/>
        <w:spacing w:line="560" w:lineRule="exact"/>
        <w:ind w:firstLine="560" w:firstLineChars="200"/>
        <w:rPr>
          <w:rFonts w:hint="eastAsia" w:ascii="黑体" w:hAnsi="黑体" w:eastAsia="黑体" w:cs="黑体"/>
          <w:bCs/>
          <w:sz w:val="28"/>
          <w:szCs w:val="28"/>
        </w:rPr>
      </w:pPr>
      <w:r>
        <w:rPr>
          <w:rFonts w:hint="eastAsia" w:ascii="黑体" w:hAnsi="黑体" w:eastAsia="黑体" w:cs="黑体"/>
          <w:bCs/>
          <w:sz w:val="28"/>
          <w:szCs w:val="28"/>
        </w:rPr>
        <w:t xml:space="preserve">八、违约责任 </w:t>
      </w:r>
    </w:p>
    <w:p w14:paraId="3067111B">
      <w:pPr>
        <w:tabs>
          <w:tab w:val="left" w:pos="54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8.1乙方出现下列情形之一的，每出现一次，甲方有权扣除乙方当月服务费的【1】%（以下同一区域是指同一分区或该分区10平方米内范围）作为违约金：</w:t>
      </w:r>
    </w:p>
    <w:p w14:paraId="496065F7">
      <w:pPr>
        <w:tabs>
          <w:tab w:val="left" w:pos="54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8.1.1在同一天的检查中，发现三个区域出现相同项目的不合格；</w:t>
      </w:r>
    </w:p>
    <w:p w14:paraId="23BDABCF">
      <w:pPr>
        <w:tabs>
          <w:tab w:val="left" w:pos="54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8.1.2在连续或累计三天以内的检查中，同一区域出现两次及两次以上相同项目的不合格；</w:t>
      </w:r>
    </w:p>
    <w:p w14:paraId="0B93D6A9">
      <w:pPr>
        <w:tabs>
          <w:tab w:val="left" w:pos="54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8.1.3甲方根据乙方所提供本合同及附件约定之养护标准对乙方进行定期考核，乙方考核不达标的；</w:t>
      </w:r>
    </w:p>
    <w:p w14:paraId="4F8DE108">
      <w:pPr>
        <w:tabs>
          <w:tab w:val="left" w:pos="54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8.1.4 甲方定期、不定期巡查的问题，对存在问题拒不签字确认的；</w:t>
      </w:r>
    </w:p>
    <w:p w14:paraId="5955B1FA">
      <w:pPr>
        <w:tabs>
          <w:tab w:val="left" w:pos="54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8.1.5甲方定期、不定期巡查的问题，乙方未在规定时间内改善的；</w:t>
      </w:r>
    </w:p>
    <w:p w14:paraId="3784B2A5">
      <w:pPr>
        <w:tabs>
          <w:tab w:val="left" w:pos="54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8.1.6甲方月度《绿化服务质量检查标准》（附件5）评分低于85分的，每低0.5分扣除乙方当月服务费的0.5%，以此类推；连续两个月月考核达不到70分，除承担前述违约责任外，甲方有权单方解除合同，乙方应按照本合同约定承担违约责任和赔偿责任。</w:t>
      </w:r>
    </w:p>
    <w:p w14:paraId="17D6114C">
      <w:pPr>
        <w:tabs>
          <w:tab w:val="left" w:pos="54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8.2无论任何原因，乙方派驻到甲方的员工与甲方工作人员发生争吵，每发生一次，乙方同意甲方扣除乙方当月服务费用的【2】%作为违约金，如乙方派驻到甲方的员工有偷盗等违法行为，甲方有权要求乙方立即更换人员，且乙方同意每发生一次，甲方扣除乙方当月服务费用的【5】%作为违约金，并赔偿甲方损失。</w:t>
      </w:r>
    </w:p>
    <w:p w14:paraId="0FA1698E">
      <w:pPr>
        <w:tabs>
          <w:tab w:val="left" w:pos="54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8.3乙方在同一季度内违反第8.1条情形达两次或以上的或在甲方提出整改要求一周后而不能按甲方要求整改或整改不达标的,甲方有权终止本合同。</w:t>
      </w:r>
    </w:p>
    <w:p w14:paraId="7015D884">
      <w:pPr>
        <w:tabs>
          <w:tab w:val="left" w:pos="54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8.4因乙方养护不当造成甲方绿化、树木、绿篱、草坪死亡的，乙方应在一星期内补种同规格、同品种的绿植，补种产生的一切费用由乙方承担，乙方未在规定时间内补种的，每超一天，扣除乙方当月绿化养护费的【1】%；超过10天未补种的，乙方除按照前述约定承担违约责任外，甲方有权找第三方代为补种，由此产生的一切费用从乙方当月绿化服务费中扣除。</w:t>
      </w:r>
    </w:p>
    <w:p w14:paraId="00F32B51">
      <w:pPr>
        <w:tabs>
          <w:tab w:val="left" w:pos="54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8.5乙方使用的病虫害药物须符合国家标准，使用时做好防护措施及相关提示，出现任何安全事故，相关责任均由乙方全权承担，甲方保留追究法律责任的权利。</w:t>
      </w:r>
    </w:p>
    <w:p w14:paraId="23F0C88E">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8.6</w:t>
      </w:r>
      <w:r>
        <w:rPr>
          <w:rFonts w:hint="eastAsia" w:ascii="仿宋_GB2312" w:hAnsi="仿宋_GB2312" w:eastAsia="仿宋_GB2312" w:cs="仿宋_GB2312"/>
          <w:sz w:val="28"/>
          <w:szCs w:val="28"/>
          <w:lang w:val="zh-CN"/>
        </w:rPr>
        <w:t>合同签订前，双方需办理书面验收交接手续，逐一项目、片区确定绿化实际状况；绿化资产。（包括但不限于草坪、绿篱、乔木的种类、数量、生长状态）以便合同到期终止交接时，明确责任；</w:t>
      </w:r>
    </w:p>
    <w:p w14:paraId="5FC4E633">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8.7乙方不得转包或分包，如乙方擅自将绿化养护工作的全部或一部分转包或分包给其它单位，甲方有权终止合同，并且承担合同年总费用20%的违约金外，由此造成的一切损失由乙方承担。</w:t>
      </w:r>
    </w:p>
    <w:p w14:paraId="5A03D03B">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8.8乙方违反本合同约定的承诺、保证或其他为实现本合同目的所需的作为或不作为行为的，如本合同未约定相应违约责任的，则应按照合同总价款【20】%向甲方支付违约金并赔偿甲方相应损失；如属于乙方及其工作人员欠缺相应资质的，甲方同时有权解除合同。</w:t>
      </w:r>
    </w:p>
    <w:p w14:paraId="3AAD9627">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8.9本合同项下乙方的赔偿范围包括甲方的直接损失和间接损失，包括但不限于甲方需要向第三方承担的赔偿责任以及甲方应负担的诉讼费、仲裁费、保全费、担保费、律师费、鉴定费等费用支出。</w:t>
      </w:r>
    </w:p>
    <w:p w14:paraId="2420689F">
      <w:pPr>
        <w:adjustRightInd w:val="0"/>
        <w:snapToGrid w:val="0"/>
        <w:spacing w:line="560" w:lineRule="exact"/>
        <w:ind w:firstLine="560" w:firstLineChars="200"/>
        <w:textAlignment w:val="baseline"/>
        <w:rPr>
          <w:rFonts w:hint="eastAsia" w:ascii="黑体" w:hAnsi="黑体" w:eastAsia="黑体" w:cs="黑体"/>
          <w:sz w:val="28"/>
          <w:szCs w:val="28"/>
        </w:rPr>
      </w:pPr>
      <w:r>
        <w:rPr>
          <w:rFonts w:hint="eastAsia" w:ascii="黑体" w:hAnsi="黑体" w:eastAsia="黑体" w:cs="黑体"/>
          <w:sz w:val="28"/>
          <w:szCs w:val="28"/>
        </w:rPr>
        <w:t>九、通知</w:t>
      </w:r>
    </w:p>
    <w:p w14:paraId="45F70B7A">
      <w:pPr>
        <w:adjustRightInd w:val="0"/>
        <w:snapToGrid w:val="0"/>
        <w:spacing w:line="560" w:lineRule="exact"/>
        <w:ind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9.1除双方另有约定，否则双方的联系地址、电话、传真、电子邮箱均以本合同列明的联系地址或营业执照注册地记载地址为准。如果有变更，应提前七天以书面形式通知对方，否则由此引起的后果及责任由变更方承担。</w:t>
      </w:r>
    </w:p>
    <w:p w14:paraId="5A2CEF6C">
      <w:pPr>
        <w:adjustRightInd w:val="0"/>
        <w:snapToGrid w:val="0"/>
        <w:spacing w:line="560" w:lineRule="exact"/>
        <w:ind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9.2甲方采用邮寄方式给对方发送通知的（送达内容包括但不限于有关履行本合同的所有通知，亦包括因本合同纠纷提起的诉讼、仲裁、执行等文书的送达），邮寄之日起满五日则视为送达。因“地址不详”、“查无此人”、“电话不通”、“对方拒收”或其他原因，导致邮件被退回的，均视为已经送达。</w:t>
      </w:r>
    </w:p>
    <w:p w14:paraId="40904114">
      <w:pPr>
        <w:adjustRightInd w:val="0"/>
        <w:snapToGrid w:val="0"/>
        <w:spacing w:line="560" w:lineRule="exact"/>
        <w:ind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9.3甲方向乙方本合同列明的传真、电子邮箱、手机号码分别以传真、电子邮件、微信或短信的形式发送通知的，到达乙方特定系统之时，视为已经送达。</w:t>
      </w:r>
    </w:p>
    <w:p w14:paraId="13D1A97C">
      <w:pPr>
        <w:adjustRightInd w:val="0"/>
        <w:snapToGrid w:val="0"/>
        <w:spacing w:line="560" w:lineRule="exact"/>
        <w:ind w:firstLine="560" w:firstLineChars="200"/>
        <w:rPr>
          <w:rFonts w:hint="eastAsia" w:ascii="黑体" w:hAnsi="黑体" w:eastAsia="黑体" w:cs="黑体"/>
          <w:sz w:val="28"/>
          <w:szCs w:val="28"/>
        </w:rPr>
      </w:pPr>
      <w:r>
        <w:rPr>
          <w:rFonts w:hint="eastAsia" w:ascii="黑体" w:hAnsi="黑体" w:eastAsia="黑体" w:cs="黑体"/>
          <w:sz w:val="28"/>
          <w:szCs w:val="28"/>
        </w:rPr>
        <w:t>十、反商业贿赂</w:t>
      </w:r>
    </w:p>
    <w:p w14:paraId="07ABC23E">
      <w:pPr>
        <w:adjustRightInd w:val="0"/>
        <w:snapToGrid w:val="0"/>
        <w:spacing w:line="56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10.1基本定义</w:t>
      </w:r>
    </w:p>
    <w:p w14:paraId="7A92CDBE">
      <w:pPr>
        <w:adjustRightInd w:val="0"/>
        <w:snapToGrid w:val="0"/>
        <w:spacing w:line="56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10.1.1本条（协议）所指的商业贿赂是指：乙方为获取与甲方（含甲方关联公司及机构，下文中“甲方”均指此范围）的合作及合作的利益，乙方或乙方工作人员给予甲方工作人员或其指定关系人的一切直接或间接的不正当利益。</w:t>
      </w:r>
    </w:p>
    <w:p w14:paraId="19FCBB5D">
      <w:pPr>
        <w:adjustRightInd w:val="0"/>
        <w:snapToGrid w:val="0"/>
        <w:spacing w:line="56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10.1.2其中不正当利益是指：乙方或乙方工作人员以乙方或个人名义向甲方工作人员或其指定关系人直接或间接赠送礼金、物品、有价证券或采取其他变相手段提供不正当利益，包括但不限于：1）促销费、宣传费、赞助费、科研费、劳务费、咨询费、佣金或报销各种费用、含有金额的会员卡、代币卡（劵）、旅游、考察、房屋装修等；2)借款、融资担保、商品赊销、回扣、购物折扣、置业、礼品（如纪念品、节日礼品等）、馈赠、娱乐、招待等；3）提供或介绍就业、就学、参股或参与经营机会等；4）通过分包、转包等形式对甲方工作人员或其指定关系人进行利益输送。</w:t>
      </w:r>
    </w:p>
    <w:p w14:paraId="6EC7074A">
      <w:pPr>
        <w:adjustRightInd w:val="0"/>
        <w:snapToGrid w:val="0"/>
        <w:spacing w:line="56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10.2.协助义务与违约责任</w:t>
      </w:r>
    </w:p>
    <w:p w14:paraId="528F1607">
      <w:pPr>
        <w:adjustRightInd w:val="0"/>
        <w:snapToGrid w:val="0"/>
        <w:spacing w:line="56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10.2.1乙方理解并同意，甲方任何工作人员、部门不得以任何名义向乙方或乙方工作人员索取或收受商业贿赂；乙方或乙方工作人员不得以任何名义向甲方工作人员或其指定关系人进行商业贿赂。若甲方工作人员要求乙方或乙方工作人员给予任何形式的商业贿赂，乙方必须拒绝，并及时通过电话或邮件形式向深圳第一亚太物业管理有限公司进行投诉举报，监督电话：4007891668；监督邮箱：ytzbzhglb@csc-sz.com。</w:t>
      </w:r>
    </w:p>
    <w:p w14:paraId="1859C452">
      <w:pPr>
        <w:adjustRightInd w:val="0"/>
        <w:snapToGrid w:val="0"/>
        <w:spacing w:line="56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10.2.2乙方理解并同意，如违反约定向甲方工作人员或其指定关系人提供商业贿赂的，将构成乙方根本违约，无论是否造成损害结果，甲方有权采取下列一项或多项措施：1）解除双方签订的合作协议，终止合作；2）冻结应付款项、履约保证金等直至甲方相关案件调查结束，且无需承担任何违约责任；3）要求乙方向甲方支付10万元违约金或者支付所涉合同金额的20%作为违约金，以两者中较高者为准。同时，乙方应于甲方发现违约行为之日起5个工作日内支付违约金，如未及时支付，甲方有权从合同款项或履约保证金中直接扣除。</w:t>
      </w:r>
    </w:p>
    <w:p w14:paraId="7E88EF30">
      <w:pPr>
        <w:adjustRightInd w:val="0"/>
        <w:snapToGrid w:val="0"/>
        <w:spacing w:line="56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10.2.3对于乙方，无论是主动还是被动向甲方工作人员或其指定关系人提供商业贿赂的，如果主动向甲方进行投诉举报、提供有效证据或信息、协助甲方追究相关人员责任并挽回经济损失的，甲方将根据实际情形进行考量给予乙方继续合作的机会和/或减免上述违约责任，对于上述情形的处理甲方有完全的判断权和自主权。</w:t>
      </w:r>
    </w:p>
    <w:p w14:paraId="54A28A88">
      <w:pPr>
        <w:adjustRightInd w:val="0"/>
        <w:snapToGrid w:val="0"/>
        <w:spacing w:line="560" w:lineRule="exact"/>
        <w:ind w:firstLine="560" w:firstLineChars="200"/>
        <w:rPr>
          <w:rFonts w:hint="eastAsia" w:ascii="黑体" w:hAnsi="黑体" w:eastAsia="黑体" w:cs="黑体"/>
          <w:sz w:val="28"/>
          <w:szCs w:val="28"/>
        </w:rPr>
      </w:pPr>
      <w:r>
        <w:rPr>
          <w:rFonts w:hint="eastAsia" w:ascii="黑体" w:hAnsi="黑体" w:eastAsia="黑体" w:cs="黑体"/>
          <w:sz w:val="28"/>
          <w:szCs w:val="28"/>
        </w:rPr>
        <w:t xml:space="preserve">十一、争议解决   </w:t>
      </w:r>
    </w:p>
    <w:p w14:paraId="10A0282D">
      <w:pPr>
        <w:tabs>
          <w:tab w:val="left" w:pos="360"/>
        </w:tabs>
        <w:adjustRightInd w:val="0"/>
        <w:snapToGrid w:val="0"/>
        <w:spacing w:line="560" w:lineRule="exact"/>
        <w:ind w:firstLine="552" w:firstLineChars="200"/>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rPr>
        <w:t>本合同执行过程中，如出现不可抗力致使本合同无法继续履行时，甲、乙双方根据具体情况各自承担相应责任，其它事宜双方另行协商解决，</w:t>
      </w:r>
      <w:r>
        <w:rPr>
          <w:rFonts w:hint="eastAsia" w:ascii="仿宋_GB2312" w:hAnsi="仿宋_GB2312" w:eastAsia="仿宋_GB2312" w:cs="仿宋_GB2312"/>
          <w:sz w:val="28"/>
          <w:szCs w:val="28"/>
        </w:rPr>
        <w:t>协商不成的，可向甲方所在地有管辖权的人民法院提起诉讼。</w:t>
      </w:r>
    </w:p>
    <w:p w14:paraId="34B57851">
      <w:pPr>
        <w:tabs>
          <w:tab w:val="left" w:pos="360"/>
        </w:tabs>
        <w:adjustRightInd w:val="0"/>
        <w:snapToGrid w:val="0"/>
        <w:spacing w:line="560" w:lineRule="exact"/>
        <w:ind w:firstLine="560" w:firstLineChars="200"/>
        <w:rPr>
          <w:rFonts w:hint="eastAsia" w:ascii="黑体" w:hAnsi="黑体" w:eastAsia="黑体" w:cs="黑体"/>
          <w:bCs/>
          <w:sz w:val="28"/>
          <w:szCs w:val="28"/>
        </w:rPr>
      </w:pPr>
      <w:r>
        <w:rPr>
          <w:rFonts w:hint="eastAsia" w:ascii="黑体" w:hAnsi="黑体" w:eastAsia="黑体" w:cs="黑体"/>
          <w:bCs/>
          <w:sz w:val="28"/>
          <w:szCs w:val="28"/>
        </w:rPr>
        <w:t>十二、合同解除与终止</w:t>
      </w:r>
    </w:p>
    <w:p w14:paraId="6DF8D81A">
      <w:pPr>
        <w:tabs>
          <w:tab w:val="left" w:pos="36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12.1因不可抗力致使不能实现合同目的，一方可在书面通知对方后，在合理期限内且不损害另一方利益下解除本合同。</w:t>
      </w:r>
    </w:p>
    <w:p w14:paraId="531F045A">
      <w:pPr>
        <w:tabs>
          <w:tab w:val="left" w:pos="36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12.2乙方提供的服务不能满足甲方正常需求的，甲方可解除本合同且不视为违约。</w:t>
      </w:r>
    </w:p>
    <w:p w14:paraId="1E22EE53">
      <w:pPr>
        <w:tabs>
          <w:tab w:val="left" w:pos="36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12.3乙方违反本合同约定给甲方造成损失，或虽暂未造成损失，经甲方催告拒不改正的，甲方可解除本合同且不视为违约。</w:t>
      </w:r>
    </w:p>
    <w:p w14:paraId="3137B59B">
      <w:pPr>
        <w:tabs>
          <w:tab w:val="left" w:pos="54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12.4合同的终止并不意味着乙方责任的免除,乙方须遵照如下约定:</w:t>
      </w:r>
    </w:p>
    <w:p w14:paraId="67213D23">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12.4.1合同终止后，乙方须在五日内撤出甲方场地； 超过五日后，乙方遗留在甲方场地内的所有物品，视为乙方已放弃其所有权，并视为乙方赠送与甲方，甲方可以自由处置（包括但不限于丢弃、变卖）。</w:t>
      </w:r>
    </w:p>
    <w:p w14:paraId="547C2897">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12.4.2合同到期终止，双方需办理验收交接手续，乙方须对死亡、缺棵的绿植和草坪进行补种，并在核算费用中扣抵相应补种苗木的价格费用作为苗木成活保证金。苗木成活一年后，双方对补种苗木进行验收合格后保证金无息退款，否则甲方将不予退款。</w:t>
      </w:r>
    </w:p>
    <w:p w14:paraId="401B9B20">
      <w:pPr>
        <w:tabs>
          <w:tab w:val="left" w:pos="360"/>
        </w:tabs>
        <w:adjustRightInd w:val="0"/>
        <w:snapToGrid w:val="0"/>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12.5因乙方原因提前解除合同的，甲方有权依照《供应商黑名单管理办法》（附件10）中的相关情形，追究乙方相关违约责任，还应向甲方赔偿所有损失。</w:t>
      </w:r>
    </w:p>
    <w:p w14:paraId="72314E38">
      <w:pPr>
        <w:tabs>
          <w:tab w:val="left" w:pos="360"/>
        </w:tabs>
        <w:adjustRightInd w:val="0"/>
        <w:snapToGrid w:val="0"/>
        <w:spacing w:line="560" w:lineRule="exact"/>
        <w:ind w:firstLine="560" w:firstLineChars="200"/>
        <w:rPr>
          <w:rFonts w:hint="eastAsia" w:ascii="仿宋_GB2312" w:hAnsi="仿宋_GB2312" w:eastAsia="仿宋_GB2312" w:cs="仿宋_GB2312"/>
          <w:sz w:val="28"/>
          <w:szCs w:val="28"/>
        </w:rPr>
      </w:pPr>
      <w:r>
        <w:rPr>
          <w:rFonts w:ascii="仿宋_GB2312" w:hAnsi="仿宋_GB2312" w:eastAsia="仿宋_GB2312" w:cs="仿宋_GB2312"/>
          <w:sz w:val="28"/>
          <w:szCs w:val="28"/>
        </w:rPr>
        <w:t>12.6</w:t>
      </w:r>
      <w:r>
        <w:rPr>
          <w:rFonts w:hint="eastAsia" w:ascii="仿宋_GB2312" w:hAnsi="仿宋_GB2312" w:eastAsia="仿宋_GB2312" w:cs="仿宋_GB2312"/>
          <w:sz w:val="28"/>
          <w:szCs w:val="28"/>
        </w:rPr>
        <w:t>因甲方丧失本合同全部项目（或部分项目）的物业管理权，导致本合同全部项目（或部分项目）无法继续履行的，按以下约定处理：</w:t>
      </w:r>
    </w:p>
    <w:p w14:paraId="43C34B68">
      <w:pPr>
        <w:tabs>
          <w:tab w:val="left" w:pos="36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若为全部项目，甲方可提前书面通知乙方解除本合同，不视为违约。甲方按本合同约定据实结算乙方已完成服务的相关费用，无需承担其他任何赔偿或补偿责任。</w:t>
      </w:r>
    </w:p>
    <w:p w14:paraId="2885F1C6">
      <w:pPr>
        <w:tabs>
          <w:tab w:val="left" w:pos="36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若为部分项目，甲方可书面通知乙方就丧失物业管理权的项目暂停服务并撤场，不视为违约。未受影响部分仍按本合同约定继续履行。甲方仅须就丧失物业管理权部分已完成的服务据实结算，不承担其他任何赔偿或补偿责任。</w:t>
      </w:r>
    </w:p>
    <w:p w14:paraId="40C19891">
      <w:pPr>
        <w:tabs>
          <w:tab w:val="left" w:pos="360"/>
        </w:tabs>
        <w:adjustRightInd w:val="0"/>
        <w:snapToGrid w:val="0"/>
        <w:spacing w:line="560" w:lineRule="exact"/>
        <w:ind w:firstLine="560" w:firstLineChars="200"/>
        <w:rPr>
          <w:rFonts w:hint="eastAsia" w:ascii="黑体" w:hAnsi="黑体" w:eastAsia="黑体" w:cs="黑体"/>
          <w:bCs/>
          <w:sz w:val="28"/>
          <w:szCs w:val="28"/>
        </w:rPr>
      </w:pPr>
      <w:r>
        <w:rPr>
          <w:rFonts w:hint="eastAsia" w:ascii="黑体" w:hAnsi="黑体" w:eastAsia="黑体" w:cs="黑体"/>
          <w:bCs/>
          <w:sz w:val="28"/>
          <w:szCs w:val="28"/>
        </w:rPr>
        <w:t>十三、不可抗力</w:t>
      </w:r>
    </w:p>
    <w:p w14:paraId="19F64056">
      <w:pPr>
        <w:tabs>
          <w:tab w:val="left" w:pos="36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13.1如果发生不可抗力事件的，双方应各自承担自己的损失。如果不可抗力事件不影响合同继续履行的，双方应继续履行本合同。</w:t>
      </w:r>
    </w:p>
    <w:p w14:paraId="11B8C589">
      <w:pPr>
        <w:tabs>
          <w:tab w:val="left" w:pos="36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13.2不可抗力事件，指双方不能预见、不能防范及不能避免的自然灾害（包括但不限于地震、地陷、海啸、台风、暴雨、水灾等）及非双方原因造成的意外事件（包括但不限于火灾、辐射、战争、动乱、骚乱、群众性事件、恐怖袭击、政府禁令、公共卫生事件等）。</w:t>
      </w:r>
    </w:p>
    <w:p w14:paraId="06D75A6B">
      <w:pPr>
        <w:tabs>
          <w:tab w:val="left" w:pos="360"/>
        </w:tabs>
        <w:adjustRightInd w:val="0"/>
        <w:snapToGrid w:val="0"/>
        <w:spacing w:line="560" w:lineRule="exact"/>
        <w:ind w:firstLine="560" w:firstLineChars="200"/>
        <w:rPr>
          <w:rFonts w:hint="eastAsia" w:ascii="黑体" w:hAnsi="黑体" w:eastAsia="黑体" w:cs="黑体"/>
          <w:bCs/>
          <w:sz w:val="28"/>
          <w:szCs w:val="28"/>
        </w:rPr>
      </w:pPr>
      <w:r>
        <w:rPr>
          <w:rFonts w:hint="eastAsia" w:ascii="黑体" w:hAnsi="黑体" w:eastAsia="黑体" w:cs="黑体"/>
          <w:bCs/>
          <w:sz w:val="28"/>
          <w:szCs w:val="28"/>
        </w:rPr>
        <w:t>十四、合同生效、份数及其他</w:t>
      </w:r>
    </w:p>
    <w:p w14:paraId="5A24DC7C">
      <w:pPr>
        <w:tabs>
          <w:tab w:val="left" w:pos="360"/>
        </w:tabs>
        <w:adjustRightInd w:val="0"/>
        <w:snapToGrid w:val="0"/>
        <w:spacing w:line="560" w:lineRule="exact"/>
        <w:ind w:firstLine="544" w:firstLineChars="200"/>
        <w:rPr>
          <w:rFonts w:hint="eastAsia" w:ascii="仿宋_GB2312" w:hAnsi="仿宋_GB2312" w:eastAsia="仿宋_GB2312" w:cs="仿宋_GB2312"/>
          <w:sz w:val="28"/>
          <w:szCs w:val="28"/>
        </w:rPr>
      </w:pPr>
      <w:r>
        <w:rPr>
          <w:rFonts w:hint="eastAsia" w:ascii="仿宋_GB2312" w:hAnsi="仿宋_GB2312" w:eastAsia="仿宋_GB2312" w:cs="仿宋_GB2312"/>
          <w:spacing w:val="-4"/>
          <w:sz w:val="28"/>
          <w:szCs w:val="28"/>
        </w:rPr>
        <w:t>14.1</w:t>
      </w:r>
      <w:r>
        <w:rPr>
          <w:rFonts w:hint="eastAsia" w:ascii="仿宋_GB2312" w:hAnsi="仿宋_GB2312" w:eastAsia="仿宋_GB2312" w:cs="仿宋_GB2312"/>
          <w:sz w:val="28"/>
          <w:szCs w:val="28"/>
        </w:rPr>
        <w:t>本合同经双方签字盖章后生效。</w:t>
      </w:r>
      <w:r>
        <w:rPr>
          <w:rFonts w:hint="eastAsia" w:ascii="仿宋_GB2312" w:hAnsi="仿宋_GB2312" w:eastAsia="仿宋_GB2312" w:cs="仿宋_GB2312"/>
          <w:spacing w:val="-4"/>
          <w:sz w:val="28"/>
          <w:szCs w:val="28"/>
        </w:rPr>
        <w:t>本合同及附件壹式肆份，甲、乙双方各执贰份，具有同等法律效力。</w:t>
      </w:r>
    </w:p>
    <w:p w14:paraId="689D3230">
      <w:pPr>
        <w:tabs>
          <w:tab w:val="left" w:pos="36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14.2 如本合同的个别条款在履行过程中可能证实失效,不合法或无法执行，但本合同中的其他约定应继续有效执行。</w:t>
      </w:r>
    </w:p>
    <w:p w14:paraId="34FE0F2B">
      <w:pPr>
        <w:tabs>
          <w:tab w:val="left" w:pos="36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14.3 本合同其他未尽事宜，甲、乙双方可协商签订补充协议。</w:t>
      </w:r>
    </w:p>
    <w:p w14:paraId="0B595844">
      <w:pPr>
        <w:tabs>
          <w:tab w:val="left" w:pos="36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14.4其他约定：</w:t>
      </w:r>
      <w:r>
        <w:rPr>
          <w:rFonts w:hint="eastAsia" w:ascii="仿宋_GB2312" w:hAnsi="仿宋_GB2312" w:eastAsia="仿宋_GB2312" w:cs="仿宋_GB2312"/>
          <w:sz w:val="28"/>
        </w:rPr>
        <w:t>【 】</w:t>
      </w:r>
    </w:p>
    <w:p w14:paraId="37BB1AB4">
      <w:pPr>
        <w:tabs>
          <w:tab w:val="left" w:pos="360"/>
        </w:tabs>
        <w:adjustRightInd w:val="0"/>
        <w:snapToGrid w:val="0"/>
        <w:spacing w:line="560" w:lineRule="exact"/>
        <w:ind w:firstLine="560" w:firstLineChars="200"/>
        <w:rPr>
          <w:rFonts w:hint="eastAsia" w:ascii="黑体" w:hAnsi="黑体" w:eastAsia="黑体" w:cs="黑体"/>
          <w:bCs/>
          <w:sz w:val="28"/>
          <w:szCs w:val="28"/>
        </w:rPr>
      </w:pPr>
      <w:r>
        <w:rPr>
          <w:rFonts w:hint="eastAsia" w:ascii="黑体" w:hAnsi="黑体" w:eastAsia="黑体" w:cs="黑体"/>
          <w:bCs/>
          <w:sz w:val="28"/>
          <w:szCs w:val="28"/>
        </w:rPr>
        <w:t>十五、附件</w:t>
      </w:r>
    </w:p>
    <w:p w14:paraId="4AEAB75F">
      <w:pPr>
        <w:tabs>
          <w:tab w:val="left" w:pos="36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本合同附件为本合同有效组成部分，与合同正文具有同等效力。如本合同附件与本合同内容有不一致或相抵触之处，双方同意以本合同内容为准。</w:t>
      </w:r>
    </w:p>
    <w:p w14:paraId="678C9A92">
      <w:pPr>
        <w:tabs>
          <w:tab w:val="left" w:pos="36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附件1：乙方营业执照及资质证书复印件</w:t>
      </w:r>
    </w:p>
    <w:p w14:paraId="7017618F">
      <w:pPr>
        <w:tabs>
          <w:tab w:val="left" w:pos="360"/>
        </w:tabs>
        <w:adjustRightInd w:val="0"/>
        <w:snapToGrid w:val="0"/>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附件2：《投标承诺函》</w:t>
      </w:r>
    </w:p>
    <w:p w14:paraId="33877D61">
      <w:pPr>
        <w:tabs>
          <w:tab w:val="left" w:pos="36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附件3：《养护管理计划》</w:t>
      </w:r>
    </w:p>
    <w:p w14:paraId="4071CE8B">
      <w:pPr>
        <w:tabs>
          <w:tab w:val="left" w:pos="36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附件4：《绿化保养方案》</w:t>
      </w:r>
    </w:p>
    <w:p w14:paraId="3D4979C5">
      <w:pPr>
        <w:tabs>
          <w:tab w:val="left" w:pos="36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附件5：《绿化服务质量检查标准》</w:t>
      </w:r>
    </w:p>
    <w:p w14:paraId="729BA021">
      <w:pPr>
        <w:tabs>
          <w:tab w:val="left" w:pos="36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附件6：《货品供应商、服务商及工程单位承诺书》</w:t>
      </w:r>
    </w:p>
    <w:p w14:paraId="753D36D8">
      <w:pPr>
        <w:tabs>
          <w:tab w:val="left" w:pos="360"/>
        </w:tabs>
        <w:adjustRightInd w:val="0"/>
        <w:snapToGrid w:val="0"/>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附件7：《职业健康/环保协议》</w:t>
      </w:r>
    </w:p>
    <w:p w14:paraId="17B61584">
      <w:pPr>
        <w:tabs>
          <w:tab w:val="left" w:pos="36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附件8：《供方工作评估报告》</w:t>
      </w:r>
    </w:p>
    <w:p w14:paraId="225E2CA7">
      <w:pPr>
        <w:tabs>
          <w:tab w:val="left" w:pos="36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附件9：《安全生产协议书（服务类）》</w:t>
      </w:r>
    </w:p>
    <w:p w14:paraId="1DCFDA38">
      <w:pPr>
        <w:tabs>
          <w:tab w:val="left" w:pos="360"/>
        </w:tabs>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附件10：《供应商黑名单管理办法》</w:t>
      </w:r>
    </w:p>
    <w:p w14:paraId="31DAF3E8">
      <w:pPr>
        <w:tabs>
          <w:tab w:val="left" w:pos="360"/>
        </w:tabs>
        <w:adjustRightInd w:val="0"/>
        <w:snapToGrid w:val="0"/>
        <w:spacing w:line="560" w:lineRule="exact"/>
        <w:ind w:firstLine="200"/>
        <w:rPr>
          <w:rFonts w:hint="eastAsia"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 xml:space="preserve">（以下无正文） </w:t>
      </w:r>
    </w:p>
    <w:p w14:paraId="045D7F38">
      <w:pPr>
        <w:tabs>
          <w:tab w:val="left" w:pos="360"/>
        </w:tabs>
        <w:adjustRightInd w:val="0"/>
        <w:snapToGrid w:val="0"/>
        <w:spacing w:line="560" w:lineRule="exact"/>
        <w:ind w:firstLine="200"/>
        <w:rPr>
          <w:rFonts w:hint="eastAsia" w:ascii="仿宋_GB2312" w:hAnsi="仿宋_GB2312" w:eastAsia="仿宋_GB2312" w:cs="仿宋_GB2312"/>
          <w:spacing w:val="-4"/>
          <w:sz w:val="28"/>
          <w:szCs w:val="28"/>
        </w:rPr>
      </w:pPr>
    </w:p>
    <w:p w14:paraId="1FABE44F">
      <w:pPr>
        <w:pStyle w:val="14"/>
        <w:tabs>
          <w:tab w:val="left" w:pos="720"/>
          <w:tab w:val="left" w:pos="4860"/>
        </w:tabs>
        <w:adjustRightInd w:val="0"/>
        <w:snapToGrid w:val="0"/>
        <w:spacing w:before="100" w:line="560" w:lineRule="exact"/>
        <w:rPr>
          <w:rFonts w:hint="eastAsia" w:ascii="仿宋_GB2312" w:hAnsi="仿宋_GB2312" w:eastAsia="仿宋_GB2312" w:cs="仿宋_GB2312"/>
          <w:color w:val="auto"/>
          <w:szCs w:val="28"/>
        </w:rPr>
      </w:pPr>
      <w:r>
        <w:rPr>
          <w:rFonts w:hint="eastAsia" w:ascii="仿宋_GB2312" w:hAnsi="仿宋_GB2312" w:eastAsia="仿宋_GB2312" w:cs="仿宋_GB2312"/>
          <w:color w:val="auto"/>
          <w:szCs w:val="28"/>
        </w:rPr>
        <w:t>甲方（盖章）                         乙方（盖章）</w:t>
      </w:r>
    </w:p>
    <w:p w14:paraId="64518AE3">
      <w:pPr>
        <w:pStyle w:val="14"/>
        <w:tabs>
          <w:tab w:val="left" w:pos="720"/>
        </w:tabs>
        <w:adjustRightInd w:val="0"/>
        <w:snapToGrid w:val="0"/>
        <w:spacing w:before="100" w:line="560" w:lineRule="exact"/>
        <w:ind w:firstLine="420" w:firstLineChars="200"/>
        <w:rPr>
          <w:rFonts w:hint="eastAsia" w:ascii="仿宋_GB2312" w:hAnsi="仿宋_GB2312" w:eastAsia="仿宋_GB2312" w:cs="仿宋_GB2312"/>
          <w:color w:val="auto"/>
          <w:szCs w:val="28"/>
        </w:rPr>
      </w:pPr>
    </w:p>
    <w:p w14:paraId="69641D8D">
      <w:pPr>
        <w:pStyle w:val="14"/>
        <w:tabs>
          <w:tab w:val="left" w:pos="720"/>
        </w:tabs>
        <w:adjustRightInd w:val="0"/>
        <w:snapToGrid w:val="0"/>
        <w:spacing w:before="100" w:line="560" w:lineRule="exact"/>
        <w:rPr>
          <w:rFonts w:hint="eastAsia" w:ascii="仿宋_GB2312" w:hAnsi="仿宋_GB2312" w:eastAsia="仿宋_GB2312" w:cs="仿宋_GB2312"/>
          <w:color w:val="auto"/>
          <w:szCs w:val="28"/>
        </w:rPr>
      </w:pPr>
      <w:r>
        <w:rPr>
          <w:rFonts w:hint="eastAsia" w:ascii="仿宋_GB2312" w:hAnsi="仿宋_GB2312" w:eastAsia="仿宋_GB2312" w:cs="仿宋_GB2312"/>
          <w:color w:val="auto"/>
          <w:szCs w:val="28"/>
        </w:rPr>
        <w:t>法定/授权代表人（签名）：             法定/授权代表人（签名）：</w:t>
      </w:r>
    </w:p>
    <w:p w14:paraId="43C3A88D">
      <w:pPr>
        <w:adjustRightInd w:val="0"/>
        <w:snapToGrid w:val="0"/>
        <w:spacing w:line="560" w:lineRule="exact"/>
        <w:ind w:firstLine="480"/>
        <w:jc w:val="left"/>
        <w:rPr>
          <w:rFonts w:hint="eastAsia" w:ascii="仿宋_GB2312" w:hAnsi="仿宋_GB2312" w:eastAsia="仿宋_GB2312" w:cs="仿宋_GB2312"/>
          <w:bCs/>
          <w:sz w:val="28"/>
          <w:szCs w:val="28"/>
        </w:rPr>
      </w:pPr>
    </w:p>
    <w:p w14:paraId="635A1321">
      <w:pPr>
        <w:widowControl/>
        <w:tabs>
          <w:tab w:val="left" w:pos="3015"/>
        </w:tabs>
        <w:adjustRightInd w:val="0"/>
        <w:snapToGrid w:val="0"/>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日期：【 】年【 】月【 】日          日期：【 】年【 】月【 】日</w:t>
      </w:r>
    </w:p>
    <w:p w14:paraId="4B70A793">
      <w:pPr>
        <w:adjustRightInd w:val="0"/>
        <w:snapToGrid w:val="0"/>
        <w:spacing w:line="360" w:lineRule="auto"/>
        <w:ind w:left="7440" w:hanging="7440" w:hangingChars="3100"/>
        <w:rPr>
          <w:rFonts w:ascii="宋体" w:hAnsi="宋体"/>
          <w:bCs/>
          <w:sz w:val="24"/>
        </w:rPr>
      </w:pPr>
    </w:p>
    <w:p w14:paraId="7B7A3CFB">
      <w:pPr>
        <w:rPr>
          <w:rFonts w:hint="eastAsia" w:ascii="仿宋_GB2312" w:hAnsi="仿宋_GB2312" w:eastAsia="仿宋_GB2312" w:cs="仿宋_GB2312"/>
          <w:sz w:val="24"/>
        </w:rPr>
      </w:pPr>
    </w:p>
    <w:p w14:paraId="19AFBE91">
      <w:pPr>
        <w:rPr>
          <w:rFonts w:hint="eastAsia" w:ascii="仿宋_GB2312" w:hAnsi="仿宋_GB2312" w:eastAsia="仿宋_GB2312" w:cs="仿宋_GB2312"/>
          <w:sz w:val="24"/>
        </w:rPr>
      </w:pPr>
    </w:p>
    <w:p w14:paraId="35F8A6FD">
      <w:pPr>
        <w:rPr>
          <w:rFonts w:hint="eastAsia" w:ascii="仿宋_GB2312" w:hAnsi="仿宋_GB2312" w:eastAsia="仿宋_GB2312" w:cs="仿宋_GB2312"/>
          <w:sz w:val="24"/>
        </w:rPr>
      </w:pPr>
    </w:p>
    <w:p w14:paraId="47AC2DB1">
      <w:pPr>
        <w:rPr>
          <w:rFonts w:hint="eastAsia" w:ascii="仿宋_GB2312" w:hAnsi="仿宋_GB2312" w:eastAsia="仿宋_GB2312" w:cs="仿宋_GB2312"/>
          <w:sz w:val="24"/>
        </w:rPr>
      </w:pPr>
    </w:p>
    <w:p w14:paraId="3F6A9023">
      <w:pPr>
        <w:rPr>
          <w:rFonts w:hint="eastAsia" w:ascii="仿宋_GB2312" w:hAnsi="仿宋_GB2312" w:eastAsia="仿宋_GB2312" w:cs="仿宋_GB2312"/>
          <w:sz w:val="24"/>
        </w:rPr>
      </w:pPr>
    </w:p>
    <w:p w14:paraId="6FBC00A1">
      <w:pPr>
        <w:rPr>
          <w:rFonts w:hint="eastAsia" w:ascii="仿宋_GB2312" w:hAnsi="仿宋_GB2312" w:eastAsia="仿宋_GB2312" w:cs="仿宋_GB2312"/>
          <w:sz w:val="24"/>
        </w:rPr>
      </w:pPr>
    </w:p>
    <w:p w14:paraId="24E448B6">
      <w:pPr>
        <w:rPr>
          <w:rFonts w:hint="eastAsia" w:ascii="仿宋_GB2312" w:hAnsi="仿宋_GB2312" w:eastAsia="仿宋_GB2312" w:cs="仿宋_GB2312"/>
          <w:sz w:val="24"/>
        </w:rPr>
      </w:pPr>
    </w:p>
    <w:p w14:paraId="217F4886">
      <w:pPr>
        <w:rPr>
          <w:rFonts w:hint="eastAsia" w:ascii="仿宋_GB2312" w:hAnsi="仿宋_GB2312" w:eastAsia="仿宋_GB2312" w:cs="仿宋_GB2312"/>
          <w:sz w:val="24"/>
        </w:rPr>
      </w:pPr>
    </w:p>
    <w:p w14:paraId="09964FAE">
      <w:pPr>
        <w:rPr>
          <w:rFonts w:hint="eastAsia" w:ascii="仿宋_GB2312" w:hAnsi="仿宋_GB2312" w:eastAsia="仿宋_GB2312" w:cs="仿宋_GB2312"/>
          <w:sz w:val="24"/>
        </w:rPr>
      </w:pPr>
    </w:p>
    <w:p w14:paraId="11B943FE">
      <w:pPr>
        <w:rPr>
          <w:rFonts w:hint="eastAsia" w:ascii="仿宋_GB2312" w:hAnsi="仿宋_GB2312" w:eastAsia="仿宋_GB2312" w:cs="仿宋_GB2312"/>
          <w:sz w:val="24"/>
        </w:rPr>
      </w:pPr>
    </w:p>
    <w:p w14:paraId="6F1DB4D8">
      <w:pPr>
        <w:rPr>
          <w:rFonts w:hint="eastAsia" w:ascii="仿宋_GB2312" w:hAnsi="仿宋_GB2312" w:eastAsia="仿宋_GB2312" w:cs="仿宋_GB2312"/>
          <w:sz w:val="24"/>
        </w:rPr>
      </w:pPr>
    </w:p>
    <w:p w14:paraId="3CF70823">
      <w:pPr>
        <w:rPr>
          <w:rFonts w:hint="eastAsia" w:ascii="仿宋_GB2312" w:hAnsi="仿宋_GB2312" w:eastAsia="仿宋_GB2312" w:cs="仿宋_GB2312"/>
          <w:sz w:val="24"/>
        </w:rPr>
      </w:pPr>
    </w:p>
    <w:p w14:paraId="282DFE54">
      <w:pPr>
        <w:rPr>
          <w:rFonts w:hint="eastAsia" w:ascii="仿宋_GB2312" w:hAnsi="仿宋_GB2312" w:eastAsia="仿宋_GB2312" w:cs="仿宋_GB2312"/>
          <w:sz w:val="24"/>
        </w:rPr>
      </w:pPr>
    </w:p>
    <w:p w14:paraId="03AA7E2C">
      <w:pPr>
        <w:rPr>
          <w:rFonts w:hint="eastAsia" w:ascii="仿宋_GB2312" w:hAnsi="仿宋_GB2312" w:eastAsia="仿宋_GB2312" w:cs="仿宋_GB2312"/>
          <w:sz w:val="24"/>
        </w:rPr>
      </w:pPr>
    </w:p>
    <w:p w14:paraId="4AB93103">
      <w:pPr>
        <w:rPr>
          <w:rFonts w:hint="eastAsia" w:ascii="仿宋_GB2312" w:hAnsi="仿宋_GB2312" w:eastAsia="仿宋_GB2312" w:cs="仿宋_GB2312"/>
          <w:sz w:val="24"/>
        </w:rPr>
      </w:pPr>
    </w:p>
    <w:p w14:paraId="0A6A31FB">
      <w:pPr>
        <w:rPr>
          <w:rFonts w:hint="eastAsia" w:ascii="仿宋_GB2312" w:hAnsi="仿宋_GB2312" w:eastAsia="仿宋_GB2312" w:cs="仿宋_GB2312"/>
          <w:sz w:val="24"/>
        </w:rPr>
      </w:pPr>
    </w:p>
    <w:p w14:paraId="21CA7AC8">
      <w:pPr>
        <w:rPr>
          <w:rFonts w:hint="eastAsia" w:ascii="仿宋_GB2312" w:hAnsi="仿宋_GB2312" w:eastAsia="仿宋_GB2312" w:cs="仿宋_GB2312"/>
          <w:sz w:val="24"/>
        </w:rPr>
      </w:pPr>
    </w:p>
    <w:p w14:paraId="40D8B887">
      <w:pPr>
        <w:rPr>
          <w:rFonts w:hint="eastAsia" w:ascii="仿宋_GB2312" w:hAnsi="仿宋_GB2312" w:eastAsia="仿宋_GB2312" w:cs="仿宋_GB2312"/>
          <w:sz w:val="24"/>
        </w:rPr>
      </w:pPr>
    </w:p>
    <w:p w14:paraId="6BD60BFB">
      <w:pPr>
        <w:rPr>
          <w:rFonts w:hint="eastAsia" w:ascii="仿宋_GB2312" w:hAnsi="仿宋_GB2312" w:eastAsia="仿宋_GB2312" w:cs="仿宋_GB2312"/>
          <w:sz w:val="24"/>
        </w:rPr>
      </w:pPr>
    </w:p>
    <w:p w14:paraId="5B11E101">
      <w:pPr>
        <w:rPr>
          <w:rFonts w:hint="eastAsia" w:ascii="仿宋_GB2312" w:hAnsi="仿宋_GB2312" w:eastAsia="仿宋_GB2312" w:cs="仿宋_GB2312"/>
          <w:sz w:val="24"/>
        </w:rPr>
      </w:pPr>
    </w:p>
    <w:p w14:paraId="54F65912">
      <w:pPr>
        <w:rPr>
          <w:rFonts w:hint="eastAsia" w:ascii="仿宋_GB2312" w:hAnsi="仿宋_GB2312" w:eastAsia="仿宋_GB2312" w:cs="仿宋_GB2312"/>
          <w:sz w:val="24"/>
        </w:rPr>
      </w:pPr>
      <w:r>
        <w:rPr>
          <w:rFonts w:hint="eastAsia" w:ascii="仿宋_GB2312" w:hAnsi="仿宋_GB2312" w:eastAsia="仿宋_GB2312" w:cs="仿宋_GB2312"/>
          <w:sz w:val="24"/>
        </w:rPr>
        <w:t>附件6：</w:t>
      </w:r>
    </w:p>
    <w:p w14:paraId="25E8CCCC">
      <w:pPr>
        <w:rPr>
          <w:sz w:val="28"/>
          <w:szCs w:val="28"/>
        </w:rPr>
      </w:pPr>
    </w:p>
    <w:p w14:paraId="0CB6F17D">
      <w:pPr>
        <w:spacing w:line="0" w:lineRule="atLeast"/>
        <w:jc w:val="center"/>
        <w:rPr>
          <w:rFonts w:ascii="宋体" w:hAnsi="宋体"/>
          <w:b/>
          <w:sz w:val="36"/>
          <w:szCs w:val="36"/>
        </w:rPr>
      </w:pPr>
      <w:r>
        <w:rPr>
          <w:rFonts w:hint="eastAsia" w:ascii="方正小标宋简体" w:hAnsi="方正小标宋简体" w:eastAsia="方正小标宋简体" w:cs="方正小标宋简体"/>
          <w:bCs/>
          <w:sz w:val="36"/>
          <w:szCs w:val="36"/>
        </w:rPr>
        <w:t xml:space="preserve">货品供应商、服务商及工程单位承诺书 </w:t>
      </w:r>
      <w:r>
        <w:rPr>
          <w:rFonts w:hint="eastAsia" w:ascii="宋体" w:hAnsi="宋体"/>
          <w:b/>
          <w:sz w:val="36"/>
          <w:szCs w:val="36"/>
        </w:rPr>
        <w:t xml:space="preserve">                          </w:t>
      </w:r>
    </w:p>
    <w:p w14:paraId="0FF21017">
      <w:pPr>
        <w:spacing w:line="260" w:lineRule="exact"/>
        <w:rPr>
          <w:rFonts w:hint="eastAsia" w:ascii="仿宋_GB2312" w:hAnsi="仿宋_GB2312" w:eastAsia="仿宋_GB2312" w:cs="仿宋_GB2312"/>
          <w:sz w:val="24"/>
        </w:rPr>
      </w:pPr>
    </w:p>
    <w:p w14:paraId="35591C5B">
      <w:pPr>
        <w:spacing w:line="2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公司知悉第一亚太物业管理有限公司及其所有子公司、分公司、及其他联营公司（以下统称“第一亚太”）以廉洁、公平、公正为宗旨，遵守中华人民共和国及其他海外地区之防止贿赂条例或同等意义的法律、法规，严格禁止任何职员收受私人利益（包括礼物、回佣或任何形式之报酬），因此，本公司将会严格遵守本承诺书，不会利诱或试图利诱第一亚太公司的任何职员。</w:t>
      </w:r>
    </w:p>
    <w:p w14:paraId="0CF8E90B">
      <w:pPr>
        <w:spacing w:line="2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本公司承诺与第一亚太公司之一切交易往来，除受有关合约监管外，亦受本承诺书的约束。如有关之合约与本承诺书之条款有任何歧义或冲突之处，则以本承诺书为准。</w:t>
      </w:r>
    </w:p>
    <w:p w14:paraId="289590E6">
      <w:pPr>
        <w:spacing w:line="2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本公司对第一亚太公司承诺如下：</w:t>
      </w:r>
    </w:p>
    <w:p w14:paraId="6DD19A8A">
      <w:pPr>
        <w:spacing w:line="26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1、本公司及职员不向第一亚太公司职员给予任何利益，包括金钱、礼物、 回佣、利是、饭餐或同等意义之金钱或非金钱之优惠。</w:t>
      </w:r>
    </w:p>
    <w:p w14:paraId="3DF4A4AD">
      <w:pPr>
        <w:spacing w:line="2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2、本公司及职员和第一亚太公司职员在酒楼或其他娱乐场所进行之应酬，应各自按比例付账。</w:t>
      </w:r>
    </w:p>
    <w:p w14:paraId="1B032B14">
      <w:pPr>
        <w:spacing w:line="2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本公司及职员不与第一亚太公司职员进行任何私人交易，包括借贷、任何商业上之合作、合伙或订立任何形式合约，同时亦不与第一亚太公司职员无论以个人身份或其代理人或以合伙人或以个人/公司名义构成合资、合作或有偿/无偿或义务代理人之商业关系。若本公司拟与第一亚太公司职员进行上述业务，必须通知第一亚太公司，并经第一亚太公司书面同意后，方可进行。</w:t>
      </w:r>
    </w:p>
    <w:p w14:paraId="2A1F151F">
      <w:pPr>
        <w:spacing w:line="2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4、本公司若获知第一亚太公司其股东、董事、独资经营者、合伙人或职员与本公司任何职员有亲属或利益关系，将会于五个工作日内通知第一亚太公司。第一亚太公司有权按利益冲突严重性决定是否终止交易。</w:t>
      </w:r>
    </w:p>
    <w:p w14:paraId="569C394C">
      <w:pPr>
        <w:spacing w:line="2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5、本公司及职员如违反本承诺书之任何条款，本公司同意第一亚太公司可立即单方终止与此有关联的买卖合同、服务合同、工程合同及其他有关联之业务（且不视为违约），并永久终止日后的一切业务往来，包括但不限于买卖、服务、工程及其他交易，同时，本公司同意第一亚太公司有权单方面终止到期未付或未到期待付之一切款项，除此之外，本公司愿意赔偿第一亚太公司的有关一切损失，同时亦同意第一亚太公司将相关事宜呈交有关执法机关查办。</w:t>
      </w:r>
    </w:p>
    <w:p w14:paraId="1E416A55">
      <w:pPr>
        <w:spacing w:line="2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6、本公司及职员若发现第一亚太公司职员索取任何私人报酬或利益，应立即通知第一亚太公司。</w:t>
      </w:r>
    </w:p>
    <w:p w14:paraId="5640C23D">
      <w:pPr>
        <w:spacing w:line="2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7、本承诺书的任何条款不影响第一亚太公司在任何情况下一切有关法律赋予之权益。</w:t>
      </w:r>
    </w:p>
    <w:p w14:paraId="0657C659">
      <w:pPr>
        <w:spacing w:line="2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8、本公司同意第一亚太公司对本承诺书内容有保留增减或修改之权利，有关之增减或修改应以书面形式通知本公司。</w:t>
      </w:r>
    </w:p>
    <w:p w14:paraId="3788AFC2">
      <w:pPr>
        <w:spacing w:line="2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9、本公司及授权代表已详细阅读本承诺书之所有内容，同时也完全明白、理解并自愿遵守本承诺书之所有内容。</w:t>
      </w:r>
    </w:p>
    <w:p w14:paraId="65F51609">
      <w:pPr>
        <w:spacing w:line="260" w:lineRule="exact"/>
        <w:rPr>
          <w:rFonts w:hint="eastAsia" w:ascii="仿宋_GB2312" w:hAnsi="仿宋_GB2312" w:eastAsia="仿宋_GB2312" w:cs="仿宋_GB2312"/>
          <w:sz w:val="24"/>
        </w:rPr>
      </w:pPr>
    </w:p>
    <w:p w14:paraId="1746043D">
      <w:pPr>
        <w:spacing w:line="260" w:lineRule="exact"/>
        <w:rPr>
          <w:rFonts w:hint="eastAsia" w:ascii="仿宋_GB2312" w:hAnsi="仿宋_GB2312" w:eastAsia="仿宋_GB2312" w:cs="仿宋_GB2312"/>
          <w:sz w:val="24"/>
        </w:rPr>
      </w:pPr>
      <w:r>
        <w:rPr>
          <w:rFonts w:hint="eastAsia" w:ascii="仿宋_GB2312" w:hAnsi="仿宋_GB2312" w:eastAsia="仿宋_GB2312" w:cs="仿宋_GB2312"/>
          <w:sz w:val="24"/>
        </w:rPr>
        <w:t xml:space="preserve">承诺人（名称、盖章）： </w:t>
      </w:r>
    </w:p>
    <w:p w14:paraId="70E6FD10">
      <w:pPr>
        <w:spacing w:line="260" w:lineRule="exact"/>
        <w:rPr>
          <w:rFonts w:hint="eastAsia" w:ascii="仿宋_GB2312" w:hAnsi="仿宋_GB2312" w:eastAsia="仿宋_GB2312" w:cs="仿宋_GB2312"/>
          <w:sz w:val="24"/>
        </w:rPr>
      </w:pPr>
    </w:p>
    <w:p w14:paraId="44D7F1B7">
      <w:pPr>
        <w:spacing w:line="260" w:lineRule="exact"/>
        <w:rPr>
          <w:rFonts w:hint="eastAsia" w:ascii="仿宋_GB2312" w:hAnsi="仿宋_GB2312" w:eastAsia="仿宋_GB2312" w:cs="仿宋_GB2312"/>
          <w:sz w:val="24"/>
        </w:rPr>
      </w:pPr>
      <w:r>
        <w:rPr>
          <w:rFonts w:hint="eastAsia" w:ascii="仿宋_GB2312" w:hAnsi="仿宋_GB2312" w:eastAsia="仿宋_GB2312" w:cs="仿宋_GB2312"/>
          <w:sz w:val="24"/>
        </w:rPr>
        <w:t>法定代表人或授权代表人（签字）：</w:t>
      </w:r>
    </w:p>
    <w:p w14:paraId="16CC4128">
      <w:pPr>
        <w:spacing w:line="260" w:lineRule="exact"/>
        <w:rPr>
          <w:rFonts w:hint="eastAsia" w:ascii="仿宋_GB2312" w:hAnsi="仿宋_GB2312" w:eastAsia="仿宋_GB2312" w:cs="仿宋_GB2312"/>
          <w:sz w:val="24"/>
        </w:rPr>
      </w:pPr>
    </w:p>
    <w:p w14:paraId="1B60B603">
      <w:pPr>
        <w:spacing w:line="260" w:lineRule="exact"/>
        <w:rPr>
          <w:rFonts w:hint="eastAsia" w:ascii="仿宋_GB2312" w:hAnsi="仿宋_GB2312" w:eastAsia="仿宋_GB2312" w:cs="仿宋_GB2312"/>
          <w:sz w:val="24"/>
        </w:rPr>
      </w:pPr>
      <w:r>
        <w:rPr>
          <w:rFonts w:hint="eastAsia" w:ascii="仿宋_GB2312" w:hAnsi="仿宋_GB2312" w:eastAsia="仿宋_GB2312" w:cs="仿宋_GB2312"/>
          <w:sz w:val="24"/>
        </w:rPr>
        <w:t>联系人：              联系电话：                   年     月    日</w:t>
      </w:r>
    </w:p>
    <w:p w14:paraId="2B768563">
      <w:pPr>
        <w:spacing w:line="260" w:lineRule="exact"/>
        <w:rPr>
          <w:rFonts w:hint="eastAsia" w:ascii="仿宋_GB2312" w:hAnsi="仿宋_GB2312" w:eastAsia="仿宋_GB2312" w:cs="仿宋_GB2312"/>
          <w:sz w:val="24"/>
        </w:rPr>
      </w:pPr>
    </w:p>
    <w:p w14:paraId="422FB4BB">
      <w:pPr>
        <w:spacing w:line="260" w:lineRule="exact"/>
        <w:rPr>
          <w:rFonts w:hint="eastAsia" w:ascii="仿宋_GB2312" w:hAnsi="仿宋_GB2312" w:eastAsia="仿宋_GB2312" w:cs="仿宋_GB2312"/>
          <w:sz w:val="24"/>
        </w:rPr>
      </w:pPr>
    </w:p>
    <w:p w14:paraId="26EEE98A">
      <w:pPr>
        <w:rPr>
          <w:rFonts w:hint="eastAsia" w:ascii="仿宋_GB2312" w:hAnsi="仿宋_GB2312" w:eastAsia="仿宋_GB2312" w:cs="仿宋_GB2312"/>
        </w:rPr>
      </w:pPr>
      <w:r>
        <w:rPr>
          <w:rFonts w:hint="eastAsia" w:ascii="仿宋_GB2312" w:hAnsi="仿宋_GB2312" w:eastAsia="仿宋_GB2312" w:cs="仿宋_GB2312"/>
          <w:b/>
          <w:sz w:val="24"/>
        </w:rPr>
        <w:t>第一亚太公司监督热线：4007891668。监督邮箱：ytzbzhglb@csc-sz.com。</w:t>
      </w:r>
    </w:p>
    <w:p w14:paraId="67C5FFDB">
      <w:pPr>
        <w:adjustRightInd w:val="0"/>
        <w:snapToGrid w:val="0"/>
        <w:spacing w:line="360" w:lineRule="auto"/>
        <w:rPr>
          <w:rFonts w:hint="eastAsia" w:ascii="仿宋_GB2312" w:hAnsi="仿宋_GB2312" w:eastAsia="仿宋_GB2312" w:cs="仿宋_GB2312"/>
          <w:bCs/>
          <w:sz w:val="24"/>
        </w:rPr>
      </w:pPr>
      <w:r>
        <w:rPr>
          <w:rFonts w:hint="eastAsia" w:ascii="仿宋_GB2312" w:hAnsi="仿宋_GB2312" w:eastAsia="仿宋_GB2312" w:cs="仿宋_GB2312"/>
          <w:bCs/>
          <w:sz w:val="24"/>
        </w:rPr>
        <w:t>附件7</w:t>
      </w:r>
    </w:p>
    <w:p w14:paraId="62F6C09F">
      <w:pPr>
        <w:jc w:val="center"/>
        <w:rPr>
          <w:rFonts w:hint="eastAsia" w:ascii="宋体" w:hAnsi="宋体"/>
          <w:b/>
          <w:sz w:val="40"/>
          <w:szCs w:val="52"/>
        </w:rPr>
      </w:pPr>
      <w:r>
        <w:rPr>
          <w:rFonts w:hint="eastAsia" w:ascii="方正小标宋简体" w:hAnsi="方正小标宋简体" w:eastAsia="方正小标宋简体" w:cs="方正小标宋简体"/>
          <w:bCs/>
          <w:sz w:val="36"/>
          <w:szCs w:val="36"/>
        </w:rPr>
        <w:t>职业健康/环保协议</w:t>
      </w:r>
    </w:p>
    <w:p w14:paraId="587329CC">
      <w:pPr>
        <w:jc w:val="center"/>
        <w:rPr>
          <w:rFonts w:hint="eastAsia" w:ascii="宋体" w:hAnsi="宋体"/>
          <w:sz w:val="24"/>
        </w:rPr>
      </w:pPr>
      <w:r>
        <w:rPr>
          <w:rFonts w:hint="eastAsia" w:ascii="宋体" w:hAnsi="宋体"/>
          <w:sz w:val="24"/>
        </w:rPr>
        <w:t xml:space="preserve">                     </w:t>
      </w:r>
    </w:p>
    <w:p w14:paraId="15A160B4">
      <w:pPr>
        <w:adjustRightInd w:val="0"/>
        <w:snapToGrid w:val="0"/>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尊敬的合作伙伴：</w:t>
      </w:r>
    </w:p>
    <w:p w14:paraId="0650AFE6">
      <w:pPr>
        <w:adjustRightInd w:val="0"/>
        <w:snapToGrid w:val="0"/>
        <w:spacing w:line="560" w:lineRule="exact"/>
        <w:ind w:firstLine="57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了贯彻落实国家、省、市的职业健康安全/环境保护政策和法规，杜绝职业健康安全/环境污染事件的发生，服务社会，确保贵司为我方的服务减少对职业健康安全和周围环境的影响，本着互利互惠、增强社会责任的原则，经双方友好协商，达成以下共识：</w:t>
      </w:r>
    </w:p>
    <w:p w14:paraId="1884FFC1">
      <w:pPr>
        <w:numPr>
          <w:ilvl w:val="0"/>
          <w:numId w:val="1"/>
        </w:numPr>
        <w:adjustRightInd w:val="0"/>
        <w:snapToGrid w:val="0"/>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我方提供安全、舒适的服务场所。</w:t>
      </w:r>
    </w:p>
    <w:p w14:paraId="0B729F25">
      <w:pPr>
        <w:numPr>
          <w:ilvl w:val="0"/>
          <w:numId w:val="1"/>
        </w:numPr>
        <w:adjustRightInd w:val="0"/>
        <w:snapToGrid w:val="0"/>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贵司在服务期间，要注意危险源的识别，策划控制措施，并按照有效的控制措施实施控制。如高空作业、滑倒、划伤等，要做好防护、标识等工作，避免人员受到伤害。</w:t>
      </w:r>
    </w:p>
    <w:p w14:paraId="07B1B569">
      <w:pPr>
        <w:numPr>
          <w:ilvl w:val="0"/>
          <w:numId w:val="1"/>
        </w:numPr>
        <w:adjustRightInd w:val="0"/>
        <w:snapToGrid w:val="0"/>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发生紧急情况时要及时启动应急预案，确保自身和客户的人身安全。</w:t>
      </w:r>
    </w:p>
    <w:p w14:paraId="13C37769">
      <w:pPr>
        <w:numPr>
          <w:ilvl w:val="0"/>
          <w:numId w:val="1"/>
        </w:numPr>
        <w:adjustRightInd w:val="0"/>
        <w:snapToGrid w:val="0"/>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贵司服务期间如产生的危险废弃物，应自行带走，并按照法规要求处理。如私自将危险废物转卖无资质的他方，造成环境污染，一切后果责任由贵司承担。</w:t>
      </w:r>
    </w:p>
    <w:p w14:paraId="4258AB97">
      <w:pPr>
        <w:numPr>
          <w:ilvl w:val="0"/>
          <w:numId w:val="1"/>
        </w:numPr>
        <w:adjustRightInd w:val="0"/>
        <w:snapToGrid w:val="0"/>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贵司在收集、运输废弃物过程中需要遵守国家、省、市的环保政策及法规，不得再次造成环保污染，否则一切责任由贵司承担。</w:t>
      </w:r>
    </w:p>
    <w:p w14:paraId="7EEC8EC2">
      <w:pPr>
        <w:adjustRightInd w:val="0"/>
        <w:snapToGrid w:val="0"/>
        <w:spacing w:line="560" w:lineRule="exact"/>
        <w:rPr>
          <w:rFonts w:hint="eastAsia" w:ascii="仿宋_GB2312" w:hAnsi="仿宋_GB2312" w:eastAsia="仿宋_GB2312" w:cs="仿宋_GB2312"/>
          <w:sz w:val="28"/>
          <w:szCs w:val="28"/>
        </w:rPr>
      </w:pPr>
    </w:p>
    <w:p w14:paraId="518ABA78">
      <w:pPr>
        <w:wordWrap w:val="0"/>
        <w:adjustRightInd w:val="0"/>
        <w:snapToGrid w:val="0"/>
        <w:spacing w:line="560" w:lineRule="exact"/>
        <w:jc w:val="righ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深圳第一亚太物业管理有限公司</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分公司</w:t>
      </w:r>
    </w:p>
    <w:p w14:paraId="71796BC2">
      <w:pPr>
        <w:adjustRightInd w:val="0"/>
        <w:snapToGrid w:val="0"/>
        <w:spacing w:line="560" w:lineRule="exact"/>
        <w:rPr>
          <w:rFonts w:hint="eastAsia" w:ascii="仿宋_GB2312" w:hAnsi="仿宋_GB2312" w:eastAsia="仿宋_GB2312" w:cs="仿宋_GB2312"/>
          <w:sz w:val="28"/>
          <w:szCs w:val="28"/>
        </w:rPr>
      </w:pPr>
    </w:p>
    <w:p w14:paraId="7E9D57B4">
      <w:pPr>
        <w:adjustRightInd w:val="0"/>
        <w:snapToGrid w:val="0"/>
        <w:spacing w:line="560" w:lineRule="exact"/>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合作单位：</w:t>
      </w:r>
      <w:r>
        <w:rPr>
          <w:rFonts w:hint="eastAsia" w:ascii="仿宋_GB2312" w:hAnsi="仿宋_GB2312" w:eastAsia="仿宋_GB2312" w:cs="仿宋_GB2312"/>
          <w:sz w:val="28"/>
          <w:szCs w:val="28"/>
          <w:u w:val="single"/>
        </w:rPr>
        <w:t xml:space="preserve">                       </w:t>
      </w:r>
    </w:p>
    <w:p w14:paraId="0FCFA90F">
      <w:pPr>
        <w:adjustRightInd w:val="0"/>
        <w:snapToGrid w:val="0"/>
        <w:spacing w:line="560" w:lineRule="exact"/>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客户代表：</w:t>
      </w:r>
      <w:r>
        <w:rPr>
          <w:rFonts w:hint="eastAsia" w:ascii="仿宋_GB2312" w:hAnsi="仿宋_GB2312" w:eastAsia="仿宋_GB2312" w:cs="仿宋_GB2312"/>
          <w:sz w:val="28"/>
          <w:szCs w:val="28"/>
          <w:u w:val="single"/>
        </w:rPr>
        <w:t xml:space="preserve">                       </w:t>
      </w:r>
    </w:p>
    <w:p w14:paraId="076C6725">
      <w:pPr>
        <w:spacing w:line="360" w:lineRule="auto"/>
        <w:jc w:val="left"/>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签署日期：</w:t>
      </w:r>
      <w:r>
        <w:rPr>
          <w:rFonts w:hint="eastAsia" w:ascii="仿宋_GB2312" w:hAnsi="仿宋_GB2312" w:eastAsia="仿宋_GB2312" w:cs="仿宋_GB2312"/>
          <w:sz w:val="28"/>
          <w:szCs w:val="28"/>
          <w:u w:val="single"/>
        </w:rPr>
        <w:t xml:space="preserve">                       </w:t>
      </w:r>
    </w:p>
    <w:p w14:paraId="4E46FD71">
      <w:pPr>
        <w:spacing w:line="360" w:lineRule="auto"/>
        <w:jc w:val="left"/>
        <w:rPr>
          <w:rFonts w:hint="eastAsia" w:ascii="仿宋_GB2312" w:hAnsi="仿宋_GB2312" w:eastAsia="仿宋_GB2312" w:cs="仿宋_GB2312"/>
          <w:b/>
          <w:sz w:val="36"/>
          <w:szCs w:val="28"/>
        </w:rPr>
      </w:pPr>
      <w:r>
        <w:rPr>
          <w:rFonts w:hint="eastAsia" w:ascii="仿宋_GB2312" w:hAnsi="仿宋_GB2312" w:eastAsia="仿宋_GB2312" w:cs="仿宋_GB2312"/>
          <w:bCs/>
          <w:sz w:val="24"/>
        </w:rPr>
        <w:t>附件9</w:t>
      </w:r>
    </w:p>
    <w:p w14:paraId="21C86071">
      <w:pPr>
        <w:adjustRightInd w:val="0"/>
        <w:snapToGrid w:val="0"/>
        <w:spacing w:line="360" w:lineRule="auto"/>
        <w:ind w:firstLine="720" w:firstLineChars="200"/>
        <w:jc w:val="center"/>
        <w:rPr>
          <w:rFonts w:hint="eastAsia" w:ascii="方正小标宋简体" w:hAnsi="方正小标宋简体" w:eastAsia="方正小标宋简体" w:cs="方正小标宋简体"/>
          <w:bCs/>
          <w:sz w:val="36"/>
          <w:szCs w:val="28"/>
        </w:rPr>
      </w:pPr>
      <w:r>
        <w:rPr>
          <w:rFonts w:hint="eastAsia" w:ascii="方正小标宋简体" w:hAnsi="方正小标宋简体" w:eastAsia="方正小标宋简体" w:cs="方正小标宋简体"/>
          <w:bCs/>
          <w:sz w:val="36"/>
          <w:szCs w:val="28"/>
        </w:rPr>
        <w:t>安全生产协议书</w:t>
      </w:r>
    </w:p>
    <w:p w14:paraId="30285238">
      <w:pPr>
        <w:adjustRightInd w:val="0"/>
        <w:snapToGrid w:val="0"/>
        <w:spacing w:line="360" w:lineRule="auto"/>
        <w:ind w:firstLine="720" w:firstLineChars="200"/>
        <w:jc w:val="center"/>
        <w:rPr>
          <w:rFonts w:hint="eastAsia" w:ascii="仿宋_GB2312" w:hAnsi="仿宋_GB2312" w:eastAsia="仿宋_GB2312" w:cs="仿宋_GB2312"/>
          <w:bCs/>
          <w:sz w:val="36"/>
          <w:szCs w:val="28"/>
        </w:rPr>
      </w:pPr>
      <w:r>
        <w:rPr>
          <w:rFonts w:hint="eastAsia" w:ascii="仿宋_GB2312" w:hAnsi="仿宋_GB2312" w:eastAsia="仿宋_GB2312" w:cs="仿宋_GB2312"/>
          <w:bCs/>
          <w:sz w:val="36"/>
          <w:szCs w:val="28"/>
        </w:rPr>
        <w:t>（服务类）</w:t>
      </w:r>
    </w:p>
    <w:p w14:paraId="7E90C2F7">
      <w:pPr>
        <w:spacing w:line="560" w:lineRule="exact"/>
        <w:ind w:firstLine="562" w:firstLineChars="200"/>
        <w:rPr>
          <w:rFonts w:hint="eastAsia" w:ascii="仿宋_GB2312" w:hAnsi="仿宋_GB2312" w:eastAsia="仿宋_GB2312" w:cs="仿宋_GB2312"/>
          <w:b/>
          <w:bCs/>
          <w:sz w:val="28"/>
        </w:rPr>
      </w:pPr>
      <w:r>
        <w:rPr>
          <w:rFonts w:hint="eastAsia" w:ascii="仿宋_GB2312" w:hAnsi="仿宋_GB2312" w:eastAsia="仿宋_GB2312" w:cs="仿宋_GB2312"/>
          <w:b/>
          <w:bCs/>
          <w:sz w:val="28"/>
        </w:rPr>
        <w:t>甲方：</w:t>
      </w:r>
      <w:r>
        <w:rPr>
          <w:rFonts w:hint="eastAsia" w:ascii="仿宋_GB2312" w:hAnsi="仿宋_GB2312" w:eastAsia="仿宋_GB2312" w:cs="仿宋_GB2312"/>
          <w:b/>
          <w:bCs/>
          <w:sz w:val="28"/>
          <w:u w:val="single"/>
        </w:rPr>
        <w:t xml:space="preserve"> 第一亚太XXX分公司                          </w:t>
      </w:r>
      <w:r>
        <w:rPr>
          <w:rFonts w:hint="eastAsia" w:ascii="仿宋_GB2312" w:hAnsi="仿宋_GB2312" w:eastAsia="仿宋_GB2312" w:cs="仿宋_GB2312"/>
          <w:b/>
          <w:bCs/>
          <w:sz w:val="28"/>
        </w:rPr>
        <w:t xml:space="preserve"> </w:t>
      </w:r>
    </w:p>
    <w:p w14:paraId="72613D6D">
      <w:pPr>
        <w:spacing w:line="560" w:lineRule="exact"/>
        <w:ind w:firstLine="562" w:firstLineChars="200"/>
        <w:rPr>
          <w:rFonts w:hint="eastAsia" w:ascii="仿宋_GB2312" w:hAnsi="仿宋_GB2312" w:eastAsia="仿宋_GB2312" w:cs="仿宋_GB2312"/>
          <w:b/>
          <w:bCs/>
          <w:sz w:val="28"/>
          <w:u w:val="single"/>
        </w:rPr>
      </w:pPr>
      <w:r>
        <w:rPr>
          <w:rFonts w:hint="eastAsia" w:ascii="仿宋_GB2312" w:hAnsi="仿宋_GB2312" w:eastAsia="仿宋_GB2312" w:cs="仿宋_GB2312"/>
          <w:b/>
          <w:bCs/>
          <w:sz w:val="28"/>
        </w:rPr>
        <w:t>乙方：</w:t>
      </w:r>
      <w:r>
        <w:rPr>
          <w:rFonts w:hint="eastAsia" w:ascii="仿宋_GB2312" w:hAnsi="仿宋_GB2312" w:eastAsia="仿宋_GB2312" w:cs="仿宋_GB2312"/>
          <w:b/>
          <w:bCs/>
          <w:sz w:val="28"/>
          <w:u w:val="single"/>
        </w:rPr>
        <w:t xml:space="preserve">                                             </w:t>
      </w:r>
    </w:p>
    <w:p w14:paraId="1B0FCD0C">
      <w:pPr>
        <w:spacing w:line="560" w:lineRule="exact"/>
        <w:ind w:firstLine="4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根据《中华人民共和国安全生产法》、《中华人民共和国消防法》、《XX省安全生产条例》等国家、地方有关安全管理法律、法规和政策。在平等、自愿、协商一致的基础上,订立本协议书。</w:t>
      </w:r>
    </w:p>
    <w:p w14:paraId="11E23F34">
      <w:pPr>
        <w:spacing w:line="460" w:lineRule="exact"/>
        <w:outlineLvl w:val="0"/>
        <w:rPr>
          <w:rFonts w:hint="eastAsia" w:ascii="黑体" w:hAnsi="黑体" w:eastAsia="黑体" w:cs="黑体"/>
          <w:bCs/>
          <w:sz w:val="32"/>
          <w:szCs w:val="28"/>
        </w:rPr>
      </w:pPr>
      <w:r>
        <w:rPr>
          <w:rFonts w:hint="eastAsia" w:ascii="黑体" w:hAnsi="黑体" w:eastAsia="黑体" w:cs="黑体"/>
          <w:bCs/>
          <w:sz w:val="32"/>
          <w:szCs w:val="28"/>
        </w:rPr>
        <w:t>第一条    受托物业基本情况</w:t>
      </w:r>
    </w:p>
    <w:p w14:paraId="25457418">
      <w:pPr>
        <w:spacing w:line="560" w:lineRule="exact"/>
        <w:ind w:firstLine="4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物业名称： </w:t>
      </w:r>
    </w:p>
    <w:p w14:paraId="3A619337">
      <w:pPr>
        <w:spacing w:line="560" w:lineRule="exact"/>
        <w:ind w:firstLine="4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座落位置: </w:t>
      </w:r>
    </w:p>
    <w:p w14:paraId="150A1704">
      <w:pPr>
        <w:spacing w:line="560" w:lineRule="exact"/>
        <w:ind w:firstLine="4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总面积： </w:t>
      </w:r>
    </w:p>
    <w:p w14:paraId="0E478589">
      <w:pPr>
        <w:spacing w:line="560" w:lineRule="exact"/>
        <w:ind w:firstLine="4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物业类型： </w:t>
      </w:r>
    </w:p>
    <w:p w14:paraId="4F10D005">
      <w:pPr>
        <w:spacing w:line="460" w:lineRule="exact"/>
        <w:outlineLvl w:val="0"/>
        <w:rPr>
          <w:rFonts w:hint="eastAsia" w:ascii="黑体" w:hAnsi="黑体" w:eastAsia="黑体" w:cs="黑体"/>
          <w:bCs/>
          <w:sz w:val="32"/>
          <w:szCs w:val="28"/>
        </w:rPr>
      </w:pPr>
      <w:r>
        <w:rPr>
          <w:rFonts w:hint="eastAsia" w:ascii="黑体" w:hAnsi="黑体" w:eastAsia="黑体" w:cs="黑体"/>
          <w:bCs/>
          <w:sz w:val="32"/>
          <w:szCs w:val="28"/>
        </w:rPr>
        <w:t>第二条    委托管理事项</w:t>
      </w:r>
    </w:p>
    <w:p w14:paraId="11304F4D">
      <w:pPr>
        <w:spacing w:line="560" w:lineRule="exact"/>
        <w:ind w:firstLine="4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甲方委托乙方负责本物业</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b/>
          <w:sz w:val="28"/>
          <w:szCs w:val="28"/>
          <w:u w:val="single"/>
        </w:rPr>
        <w:t>安全服务工作/保洁服务工作（示例）</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w:t>
      </w:r>
    </w:p>
    <w:p w14:paraId="5A587E16">
      <w:pPr>
        <w:spacing w:line="460" w:lineRule="exact"/>
        <w:outlineLvl w:val="0"/>
        <w:rPr>
          <w:rFonts w:hint="eastAsia" w:ascii="黑体" w:hAnsi="黑体" w:eastAsia="黑体" w:cs="黑体"/>
          <w:bCs/>
          <w:sz w:val="32"/>
          <w:szCs w:val="28"/>
        </w:rPr>
      </w:pPr>
      <w:r>
        <w:rPr>
          <w:rFonts w:hint="eastAsia" w:ascii="黑体" w:hAnsi="黑体" w:eastAsia="黑体" w:cs="黑体"/>
          <w:bCs/>
          <w:sz w:val="32"/>
          <w:szCs w:val="28"/>
        </w:rPr>
        <w:t>第三条    协议期限</w:t>
      </w:r>
    </w:p>
    <w:p w14:paraId="4357FDEF">
      <w:pPr>
        <w:spacing w:line="560" w:lineRule="exact"/>
        <w:ind w:firstLine="44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自本协议签订之日起至甲乙双方就本物业所签署的专项合同终止之日止。</w:t>
      </w:r>
    </w:p>
    <w:p w14:paraId="7DDF41A2">
      <w:pPr>
        <w:spacing w:line="460" w:lineRule="exact"/>
        <w:outlineLvl w:val="0"/>
        <w:rPr>
          <w:rFonts w:hint="eastAsia" w:ascii="黑体" w:hAnsi="黑体" w:eastAsia="黑体" w:cs="黑体"/>
          <w:bCs/>
          <w:sz w:val="32"/>
          <w:szCs w:val="28"/>
        </w:rPr>
      </w:pPr>
      <w:r>
        <w:rPr>
          <w:rFonts w:hint="eastAsia" w:ascii="黑体" w:hAnsi="黑体" w:eastAsia="黑体" w:cs="黑体"/>
          <w:bCs/>
          <w:sz w:val="32"/>
          <w:szCs w:val="28"/>
        </w:rPr>
        <w:t>第四条    甲方的权利和义务</w:t>
      </w:r>
    </w:p>
    <w:p w14:paraId="1D63E583">
      <w:pPr>
        <w:spacing w:line="560" w:lineRule="exact"/>
        <w:ind w:firstLine="4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1、与乙方议定年度安全管理计划、安全投入计划。</w:t>
      </w:r>
    </w:p>
    <w:p w14:paraId="68C29EF5">
      <w:pPr>
        <w:spacing w:line="560" w:lineRule="exact"/>
        <w:ind w:firstLine="4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2、对乙方的安全管理实施监督检查,如因乙方管理不善,造成重大经济损失或管理失误,经甲方核实,有权根据合同条款进行处罚或终止合同。</w:t>
      </w:r>
    </w:p>
    <w:p w14:paraId="2BA82851">
      <w:pPr>
        <w:spacing w:line="560" w:lineRule="exact"/>
        <w:ind w:firstLine="4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3、甲方有权对乙方的安全管理工作、质量以及安全保障情况进行监督,若发现问题及时告知乙方,并有权要求乙方改善,直到达到甲方标准为止。</w:t>
      </w:r>
    </w:p>
    <w:p w14:paraId="54E65FBC">
      <w:pPr>
        <w:spacing w:line="560" w:lineRule="exact"/>
        <w:ind w:firstLine="4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4、甲方有权监督乙方员工的安全管理工作。甲方不认可的乙方员工，提供不符合原岗位工作职责要求的必要证据后，可以要求乙方对该员工进行调岗或更换。</w:t>
      </w:r>
    </w:p>
    <w:p w14:paraId="1A5CC6C7">
      <w:pPr>
        <w:spacing w:line="560" w:lineRule="exact"/>
        <w:ind w:firstLine="4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5、甲方有义务教育乙方员工和乙方的合作方遵守现场安全管理要求,服从有关安全管理。</w:t>
      </w:r>
    </w:p>
    <w:p w14:paraId="1A212453">
      <w:pPr>
        <w:spacing w:line="560" w:lineRule="exact"/>
        <w:ind w:firstLine="4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6、针对本项目中遗留的设计、设备设施问题，特别是涉及安全方面的隐患，甲方可以提供资金或者人员支持，配合整改，共同推进问题的处理。</w:t>
      </w:r>
    </w:p>
    <w:p w14:paraId="2D338B55">
      <w:pPr>
        <w:spacing w:line="560" w:lineRule="exact"/>
        <w:ind w:firstLine="4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7、甲方有义务提供本项目符合设计规范要求的相关档案资料、审批文件以及现场设备设施的合格证书。</w:t>
      </w:r>
    </w:p>
    <w:p w14:paraId="66644817">
      <w:pPr>
        <w:spacing w:line="460" w:lineRule="exact"/>
        <w:outlineLvl w:val="0"/>
        <w:rPr>
          <w:rFonts w:hint="eastAsia" w:ascii="黑体" w:hAnsi="黑体" w:eastAsia="黑体" w:cs="黑体"/>
          <w:bCs/>
          <w:sz w:val="32"/>
          <w:szCs w:val="28"/>
        </w:rPr>
      </w:pPr>
      <w:r>
        <w:rPr>
          <w:rFonts w:hint="eastAsia" w:ascii="黑体" w:hAnsi="黑体" w:eastAsia="黑体" w:cs="黑体"/>
          <w:bCs/>
          <w:sz w:val="32"/>
          <w:szCs w:val="28"/>
        </w:rPr>
        <w:t>第五条    乙方的权利和义务</w:t>
      </w:r>
    </w:p>
    <w:p w14:paraId="07B88537">
      <w:pPr>
        <w:pStyle w:val="71"/>
        <w:spacing w:line="56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1、根据有关安全法律、法规政策规定及本协议的约定,乙方有义务制定健全的安全管理体系,并开展各项安全管理活动。</w:t>
      </w:r>
    </w:p>
    <w:p w14:paraId="102545AF">
      <w:pPr>
        <w:pStyle w:val="71"/>
        <w:spacing w:line="56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2、每年底编制好下一年度的安全管理工作实施方案,经双方议定后由乙方组织实施。</w:t>
      </w:r>
    </w:p>
    <w:p w14:paraId="102A4A01">
      <w:pPr>
        <w:pStyle w:val="71"/>
        <w:spacing w:line="56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3、未经甲方书面同意,乙方不得将合同约定的项目以直接或者间接方式转包或者分包给第三方及其他个人。</w:t>
      </w:r>
    </w:p>
    <w:p w14:paraId="38EADCDD">
      <w:pPr>
        <w:pStyle w:val="71"/>
        <w:spacing w:line="56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4、接受相关主管部门及有关政府部门的监督、指导,并接受甲方和业主的监督。</w:t>
      </w:r>
    </w:p>
    <w:p w14:paraId="330B27DF">
      <w:pPr>
        <w:pStyle w:val="71"/>
        <w:spacing w:line="56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5、乙方有义务按照本协议书约定的工作范围和执行标准,遵照甲方规定时限,保质保量完成安全管理的工作任务。</w:t>
      </w:r>
    </w:p>
    <w:p w14:paraId="5A92C287">
      <w:pPr>
        <w:pStyle w:val="71"/>
        <w:spacing w:line="56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6、乙方有义务按照本协议书约定工作内容为乙方员工提供必要的安全管理需要的装备。</w:t>
      </w:r>
    </w:p>
    <w:p w14:paraId="2A1CCECA">
      <w:pPr>
        <w:pStyle w:val="71"/>
        <w:spacing w:line="56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7、乙方及其所有员工有义务遵守甲方的各项安全管理规章制度，配合维护好项目的整体形象。</w:t>
      </w:r>
    </w:p>
    <w:p w14:paraId="3EE7B451">
      <w:pPr>
        <w:pStyle w:val="71"/>
        <w:spacing w:line="56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8、乙方员工在工作期间,若因乙方管理的过失造成的甲方人员伤亡、财产损失和乙方人员伤亡、财产损失，均由乙方自行负责。</w:t>
      </w:r>
    </w:p>
    <w:p w14:paraId="5AD2D4AE">
      <w:pPr>
        <w:spacing w:line="560" w:lineRule="exact"/>
        <w:ind w:firstLine="4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9、乙方有义务建立好各项安全管理工作档案并负责及时记载有关变更情况。</w:t>
      </w:r>
    </w:p>
    <w:p w14:paraId="06382E8B">
      <w:pPr>
        <w:spacing w:line="560" w:lineRule="exact"/>
        <w:ind w:firstLine="4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10、乙方有义务按照国家及地方的相关法律、法规和标准要求，对建筑本体、公共设施设备进行定期维护保养及检测，确保各项系统稳定运行。</w:t>
      </w:r>
    </w:p>
    <w:p w14:paraId="4D145055">
      <w:pPr>
        <w:spacing w:line="560" w:lineRule="exact"/>
        <w:ind w:firstLine="4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11、乙方需按照国家和 （所在城市）地方的有关劳动法规,为员工办理有关劳动雇佣手续和劳动保障手续及相关劳动保险。</w:t>
      </w:r>
    </w:p>
    <w:p w14:paraId="6D4EBF8C">
      <w:pPr>
        <w:spacing w:line="560" w:lineRule="exact"/>
        <w:ind w:firstLine="4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12、乙方有义务按照国家及地方的相关法律、法规和标准要求，对员工开展相关的安全、消防等培训；特种作业、特种设备操作人员和消控室人员应取得国家法定的合格证件，方可上岗作业。</w:t>
      </w:r>
    </w:p>
    <w:p w14:paraId="3CE30CEC">
      <w:pPr>
        <w:spacing w:line="560" w:lineRule="exact"/>
        <w:ind w:firstLine="4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13、乙方有权要求甲方的相关方依据安全管理制度文件的要求，提供完整的资料并在乙方处办理进场手续，并接受安全交底培训后方可进场；对于资料证照不全的或者劳动用品不齐全的，乙方有权要求不予同意进场施工作业或制止作业。</w:t>
      </w:r>
    </w:p>
    <w:p w14:paraId="2881A35E">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14、在合同完成之前，乙方委派的项目实施人员的年龄不超过合同约定年龄，实施人员均已购买雇主责任险，甲方有权对乙方委派的人员进行监督并随时可以要求更换，甲方要求更换人员的，乙方承诺即日予以更换。乙方于项目实施前将全部作业人员的身份证及人身意外险保单复印件提交甲方备案。</w:t>
      </w:r>
    </w:p>
    <w:p w14:paraId="22E52F4B">
      <w:pPr>
        <w:spacing w:line="560" w:lineRule="exact"/>
        <w:ind w:firstLine="4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15、乙方安全管理过程中，如有发现甲方的员工或甲方的相关方等违反现场安全管理要求的行为，乙方有权利立即要求停止作业，并依据相关的制度进行处理。</w:t>
      </w:r>
    </w:p>
    <w:p w14:paraId="04904C3D">
      <w:pPr>
        <w:spacing w:line="460" w:lineRule="exact"/>
        <w:outlineLvl w:val="0"/>
        <w:rPr>
          <w:rFonts w:hint="eastAsia" w:ascii="黑体" w:hAnsi="黑体" w:eastAsia="黑体" w:cs="黑体"/>
          <w:bCs/>
          <w:sz w:val="32"/>
          <w:szCs w:val="28"/>
        </w:rPr>
      </w:pPr>
      <w:r>
        <w:rPr>
          <w:rFonts w:hint="eastAsia" w:ascii="黑体" w:hAnsi="黑体" w:eastAsia="黑体" w:cs="黑体"/>
          <w:bCs/>
          <w:sz w:val="32"/>
          <w:szCs w:val="28"/>
        </w:rPr>
        <w:t>第六条    违约责任</w:t>
      </w:r>
    </w:p>
    <w:p w14:paraId="2625E02C">
      <w:pPr>
        <w:pStyle w:val="71"/>
        <w:spacing w:line="56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1、如因乙方原因,造成甲方未完成规定安全管理目标、人员伤亡、安全管理舆情事件、经济损失的,乙方应给予甲方相应补偿并自行承担相应的法律责任。甲方有权要求乙方限期整改,并有权终止物业服务合同。</w:t>
      </w:r>
    </w:p>
    <w:p w14:paraId="589F4E9E">
      <w:pPr>
        <w:pStyle w:val="71"/>
        <w:spacing w:line="56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2、如因甲方原因,造成乙方人员伤亡或经济损失,甲方应给予乙方相应补偿并承担相应的法律责任。</w:t>
      </w:r>
    </w:p>
    <w:p w14:paraId="50A0B8FE">
      <w:pPr>
        <w:spacing w:line="460" w:lineRule="exact"/>
        <w:outlineLvl w:val="0"/>
        <w:rPr>
          <w:rFonts w:hint="eastAsia" w:ascii="黑体" w:hAnsi="黑体" w:eastAsia="黑体" w:cs="黑体"/>
          <w:bCs/>
          <w:sz w:val="32"/>
          <w:szCs w:val="28"/>
        </w:rPr>
      </w:pPr>
      <w:r>
        <w:rPr>
          <w:rFonts w:hint="eastAsia" w:ascii="黑体" w:hAnsi="黑体" w:eastAsia="黑体" w:cs="黑体"/>
          <w:bCs/>
          <w:sz w:val="32"/>
          <w:szCs w:val="28"/>
        </w:rPr>
        <w:t>第七条    其他事项</w:t>
      </w:r>
    </w:p>
    <w:p w14:paraId="0333C759">
      <w:pPr>
        <w:spacing w:line="560" w:lineRule="exact"/>
        <w:ind w:firstLine="4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1、双方可对本协议的条款进行修订更改或补充,以书面签订补充协议,补充协议与本协议具有同等效力。</w:t>
      </w:r>
    </w:p>
    <w:p w14:paraId="724E2D64">
      <w:pPr>
        <w:spacing w:line="560" w:lineRule="exact"/>
        <w:ind w:firstLine="4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2、本协议执行期间,如遇不可抗力,致使合同无法履行时,双方均不承担违约责任并按有关法规政策规定及时协商处理。</w:t>
      </w:r>
    </w:p>
    <w:p w14:paraId="3306F7D6">
      <w:pPr>
        <w:spacing w:line="560" w:lineRule="exact"/>
        <w:ind w:firstLine="4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3、本协议在履行中如发生争议,双方应协商解决,协商不成时 ,提交甲方所在地的人民法院依法裁决。</w:t>
      </w:r>
    </w:p>
    <w:p w14:paraId="60F07EF5">
      <w:pPr>
        <w:spacing w:line="560" w:lineRule="exact"/>
        <w:ind w:firstLine="4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4、本协议自签订之日起生效，一式两份,甲方双方各执一份,均具有同等法律效力。</w:t>
      </w:r>
    </w:p>
    <w:p w14:paraId="408D9D76">
      <w:pPr>
        <w:spacing w:line="56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（以下无正文）</w:t>
      </w:r>
    </w:p>
    <w:p w14:paraId="533B1C25">
      <w:pPr>
        <w:spacing w:line="560" w:lineRule="exact"/>
        <w:ind w:firstLine="440"/>
        <w:rPr>
          <w:rFonts w:hint="eastAsia" w:ascii="仿宋_GB2312" w:hAnsi="仿宋_GB2312" w:eastAsia="仿宋_GB2312" w:cs="仿宋_GB2312"/>
          <w:sz w:val="28"/>
          <w:szCs w:val="28"/>
        </w:rPr>
      </w:pPr>
    </w:p>
    <w:p w14:paraId="2779F8E9">
      <w:pPr>
        <w:spacing w:line="560" w:lineRule="exact"/>
        <w:ind w:firstLine="440"/>
        <w:rPr>
          <w:rFonts w:hint="eastAsia" w:ascii="仿宋_GB2312" w:hAnsi="仿宋_GB2312" w:eastAsia="仿宋_GB2312" w:cs="仿宋_GB2312"/>
          <w:sz w:val="28"/>
          <w:szCs w:val="28"/>
        </w:rPr>
      </w:pPr>
    </w:p>
    <w:p w14:paraId="15F2ADA0">
      <w:pPr>
        <w:spacing w:line="560" w:lineRule="exact"/>
        <w:rPr>
          <w:rFonts w:hint="eastAsia" w:ascii="仿宋_GB2312" w:hAnsi="仿宋_GB2312" w:eastAsia="仿宋_GB2312" w:cs="仿宋_GB2312"/>
          <w:sz w:val="28"/>
          <w:szCs w:val="28"/>
        </w:rPr>
      </w:pPr>
    </w:p>
    <w:p w14:paraId="48556A06">
      <w:pPr>
        <w:spacing w:line="560" w:lineRule="exact"/>
        <w:rPr>
          <w:rFonts w:hint="eastAsia" w:ascii="仿宋_GB2312" w:hAnsi="仿宋_GB2312" w:eastAsia="仿宋_GB2312" w:cs="仿宋_GB2312"/>
          <w:sz w:val="28"/>
          <w:szCs w:val="28"/>
        </w:rPr>
      </w:pPr>
    </w:p>
    <w:p w14:paraId="67932D11">
      <w:pPr>
        <w:spacing w:line="560" w:lineRule="exact"/>
        <w:rPr>
          <w:rFonts w:hint="eastAsia" w:ascii="仿宋_GB2312" w:hAnsi="仿宋_GB2312" w:eastAsia="仿宋_GB2312" w:cs="仿宋_GB2312"/>
          <w:sz w:val="28"/>
          <w:szCs w:val="28"/>
        </w:rPr>
      </w:pPr>
    </w:p>
    <w:p w14:paraId="0B3AEBED">
      <w:pPr>
        <w:spacing w:line="560" w:lineRule="exact"/>
        <w:rPr>
          <w:rFonts w:hint="eastAsia" w:ascii="仿宋_GB2312" w:hAnsi="仿宋_GB2312" w:eastAsia="仿宋_GB2312" w:cs="仿宋_GB2312"/>
          <w:sz w:val="28"/>
          <w:szCs w:val="28"/>
        </w:rPr>
      </w:pPr>
    </w:p>
    <w:p w14:paraId="1BE57E14">
      <w:pPr>
        <w:spacing w:line="560" w:lineRule="exact"/>
        <w:rPr>
          <w:rFonts w:hint="eastAsia" w:ascii="仿宋_GB2312" w:hAnsi="仿宋_GB2312" w:eastAsia="仿宋_GB2312" w:cs="仿宋_GB2312"/>
          <w:sz w:val="28"/>
          <w:szCs w:val="28"/>
        </w:rPr>
      </w:pPr>
    </w:p>
    <w:p w14:paraId="5413B6D1">
      <w:pPr>
        <w:spacing w:line="560" w:lineRule="exact"/>
        <w:rPr>
          <w:rFonts w:hint="eastAsia" w:ascii="仿宋_GB2312" w:hAnsi="仿宋_GB2312" w:eastAsia="仿宋_GB2312" w:cs="仿宋_GB2312"/>
          <w:sz w:val="28"/>
          <w:szCs w:val="28"/>
        </w:rPr>
      </w:pPr>
    </w:p>
    <w:p w14:paraId="2186CBE9">
      <w:pPr>
        <w:spacing w:line="560" w:lineRule="exact"/>
        <w:ind w:firstLine="440"/>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 xml:space="preserve">甲  方（盖章）:                 乙  方（盖章）: </w:t>
      </w:r>
    </w:p>
    <w:p w14:paraId="605072A8">
      <w:pPr>
        <w:spacing w:line="560" w:lineRule="exact"/>
        <w:ind w:firstLine="4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负责人（签章）：                负责人（签章）： </w:t>
      </w:r>
    </w:p>
    <w:p w14:paraId="642987DA">
      <w:pPr>
        <w:spacing w:line="560" w:lineRule="exact"/>
        <w:ind w:firstLine="440"/>
        <w:rPr>
          <w:sz w:val="24"/>
          <w:u w:val="single"/>
        </w:rPr>
      </w:pPr>
      <w:r>
        <w:rPr>
          <w:rFonts w:hint="eastAsia" w:ascii="仿宋_GB2312" w:hAnsi="仿宋_GB2312" w:eastAsia="仿宋_GB2312" w:cs="仿宋_GB2312"/>
          <w:sz w:val="28"/>
          <w:szCs w:val="28"/>
        </w:rPr>
        <w:t>日          期：                日          期：</w:t>
      </w:r>
    </w:p>
    <w:p w14:paraId="71D0FC75"/>
    <w:p w14:paraId="3DE0AC67">
      <w:pPr>
        <w:rPr>
          <w:rFonts w:hint="eastAsia" w:ascii="仿宋_GB2312" w:hAnsi="仿宋_GB2312" w:eastAsia="仿宋_GB2312" w:cs="仿宋_GB2312"/>
          <w:color w:val="auto"/>
          <w:sz w:val="24"/>
          <w:highlight w:val="none"/>
        </w:rPr>
      </w:pPr>
    </w:p>
    <w:p w14:paraId="5F7DEAB8">
      <w:pPr>
        <w:rPr>
          <w:rFonts w:hint="eastAsia" w:ascii="仿宋_GB2312" w:hAnsi="仿宋_GB2312" w:eastAsia="仿宋_GB2312" w:cs="仿宋_GB2312"/>
          <w:color w:val="auto"/>
          <w:sz w:val="24"/>
          <w:highlight w:val="none"/>
        </w:rPr>
      </w:pPr>
    </w:p>
    <w:p w14:paraId="410B44B9">
      <w:pPr>
        <w:rPr>
          <w:rFonts w:hint="eastAsia" w:ascii="仿宋_GB2312" w:hAnsi="仿宋_GB2312" w:eastAsia="仿宋_GB2312" w:cs="仿宋_GB2312"/>
          <w:color w:val="auto"/>
          <w:sz w:val="24"/>
          <w:highlight w:val="none"/>
        </w:rPr>
      </w:pPr>
    </w:p>
    <w:p w14:paraId="1DFFCB4B">
      <w:pPr>
        <w:rPr>
          <w:rFonts w:hint="eastAsia" w:ascii="仿宋_GB2312" w:hAnsi="仿宋_GB2312" w:eastAsia="仿宋_GB2312" w:cs="仿宋_GB2312"/>
          <w:color w:val="auto"/>
          <w:sz w:val="24"/>
          <w:highlight w:val="none"/>
        </w:rPr>
      </w:pPr>
    </w:p>
    <w:p w14:paraId="0D38113D">
      <w:pPr>
        <w:rPr>
          <w:rFonts w:hint="eastAsia" w:ascii="仿宋_GB2312" w:hAnsi="仿宋_GB2312" w:eastAsia="仿宋_GB2312" w:cs="仿宋_GB2312"/>
          <w:color w:val="auto"/>
          <w:sz w:val="24"/>
          <w:highlight w:val="none"/>
        </w:rPr>
      </w:pPr>
    </w:p>
    <w:p w14:paraId="02B9FEF0">
      <w:pPr>
        <w:rPr>
          <w:rFonts w:hint="eastAsia" w:ascii="仿宋_GB2312" w:hAnsi="仿宋_GB2312" w:eastAsia="仿宋_GB2312" w:cs="仿宋_GB2312"/>
          <w:color w:val="auto"/>
          <w:sz w:val="24"/>
          <w:highlight w:val="none"/>
        </w:rPr>
      </w:pPr>
    </w:p>
    <w:p w14:paraId="4DF1FA11">
      <w:pPr>
        <w:rPr>
          <w:rFonts w:hint="eastAsia" w:ascii="仿宋_GB2312" w:hAnsi="仿宋_GB2312" w:eastAsia="仿宋_GB2312" w:cs="仿宋_GB2312"/>
          <w:color w:val="auto"/>
          <w:sz w:val="24"/>
          <w:highlight w:val="none"/>
        </w:rPr>
      </w:pPr>
    </w:p>
    <w:p w14:paraId="72B07056">
      <w:pPr>
        <w:rPr>
          <w:rFonts w:hint="eastAsia" w:ascii="仿宋_GB2312" w:hAnsi="仿宋_GB2312" w:eastAsia="仿宋_GB2312" w:cs="仿宋_GB2312"/>
          <w:color w:val="auto"/>
          <w:sz w:val="24"/>
          <w:highlight w:val="none"/>
        </w:rPr>
      </w:pPr>
    </w:p>
    <w:p w14:paraId="57A4006D">
      <w:pPr>
        <w:rPr>
          <w:rFonts w:hint="eastAsia" w:ascii="仿宋_GB2312" w:hAnsi="仿宋_GB2312" w:eastAsia="仿宋_GB2312" w:cs="仿宋_GB2312"/>
          <w:color w:val="auto"/>
          <w:sz w:val="24"/>
          <w:highlight w:val="none"/>
        </w:rPr>
      </w:pPr>
    </w:p>
    <w:p w14:paraId="3447B12D">
      <w:pPr>
        <w:rPr>
          <w:rFonts w:hint="eastAsia" w:ascii="仿宋_GB2312" w:hAnsi="仿宋_GB2312" w:eastAsia="仿宋_GB2312" w:cs="仿宋_GB2312"/>
          <w:color w:val="auto"/>
          <w:sz w:val="24"/>
          <w:highlight w:val="none"/>
        </w:rPr>
      </w:pPr>
    </w:p>
    <w:p w14:paraId="222D7B7C">
      <w:pPr>
        <w:rPr>
          <w:rFonts w:hint="eastAsia" w:ascii="仿宋_GB2312" w:hAnsi="仿宋_GB2312" w:eastAsia="仿宋_GB2312" w:cs="仿宋_GB2312"/>
          <w:color w:val="auto"/>
          <w:sz w:val="24"/>
          <w:highlight w:val="none"/>
        </w:rPr>
      </w:pPr>
    </w:p>
    <w:p w14:paraId="64EEF3E2">
      <w:pPr>
        <w:rPr>
          <w:rFonts w:hint="eastAsia" w:ascii="仿宋_GB2312" w:hAnsi="仿宋_GB2312" w:eastAsia="仿宋_GB2312" w:cs="仿宋_GB2312"/>
          <w:color w:val="auto"/>
          <w:sz w:val="24"/>
          <w:highlight w:val="none"/>
        </w:rPr>
      </w:pPr>
    </w:p>
    <w:p w14:paraId="1BF426C7">
      <w:pPr>
        <w:numPr>
          <w:ilvl w:val="0"/>
          <w:numId w:val="0"/>
        </w:numPr>
        <w:tabs>
          <w:tab w:val="left" w:pos="3800"/>
        </w:tabs>
        <w:spacing w:line="360" w:lineRule="auto"/>
        <w:jc w:val="center"/>
        <w:outlineLvl w:val="0"/>
        <w:rPr>
          <w:rFonts w:hint="eastAsia" w:ascii="黑体" w:hAnsi="黑体" w:eastAsia="黑体" w:cs="黑体"/>
          <w:color w:val="auto"/>
          <w:sz w:val="48"/>
          <w:szCs w:val="48"/>
          <w:highlight w:val="none"/>
          <w:shd w:val="clear" w:color="060000" w:fill="auto"/>
        </w:rPr>
      </w:pPr>
      <w:bookmarkStart w:id="83" w:name="_Toc12240"/>
      <w:bookmarkStart w:id="84" w:name="_Toc1622"/>
      <w:r>
        <w:rPr>
          <w:rFonts w:hint="eastAsia" w:ascii="黑体" w:hAnsi="黑体" w:eastAsia="黑体" w:cs="黑体"/>
          <w:color w:val="auto"/>
          <w:sz w:val="48"/>
          <w:szCs w:val="48"/>
          <w:highlight w:val="none"/>
          <w:shd w:val="clear" w:color="060000" w:fill="auto"/>
          <w:lang w:val="en-US" w:eastAsia="zh-CN"/>
        </w:rPr>
        <w:t xml:space="preserve">第四章 </w:t>
      </w:r>
      <w:r>
        <w:rPr>
          <w:rFonts w:hint="eastAsia" w:ascii="黑体" w:hAnsi="黑体" w:eastAsia="黑体" w:cs="黑体"/>
          <w:color w:val="auto"/>
          <w:sz w:val="48"/>
          <w:szCs w:val="48"/>
          <w:highlight w:val="none"/>
          <w:shd w:val="clear" w:color="060000" w:fill="auto"/>
        </w:rPr>
        <w:t>需求任务书</w:t>
      </w:r>
      <w:bookmarkEnd w:id="83"/>
      <w:bookmarkEnd w:id="84"/>
    </w:p>
    <w:p w14:paraId="06B34083">
      <w:pPr>
        <w:rPr>
          <w:rFonts w:hint="eastAsia"/>
          <w:b/>
          <w:bCs/>
          <w:color w:val="auto"/>
          <w:sz w:val="24"/>
          <w:szCs w:val="24"/>
          <w:highlight w:val="none"/>
        </w:rPr>
      </w:pPr>
    </w:p>
    <w:p w14:paraId="19C7E7A9">
      <w:pPr>
        <w:autoSpaceDE w:val="0"/>
        <w:autoSpaceDN w:val="0"/>
        <w:spacing w:after="0" w:line="560" w:lineRule="exact"/>
        <w:ind w:firstLine="562" w:firstLineChars="200"/>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一、项目地址：</w:t>
      </w:r>
      <w:r>
        <w:rPr>
          <w:rFonts w:hint="eastAsia" w:ascii="仿宋_GB2312" w:hAnsi="仿宋_GB2312" w:eastAsia="仿宋_GB2312" w:cs="仿宋_GB2312"/>
          <w:b w:val="0"/>
          <w:bCs w:val="0"/>
          <w:color w:val="auto"/>
          <w:sz w:val="28"/>
          <w:szCs w:val="28"/>
          <w:highlight w:val="none"/>
          <w:lang w:val="en-US" w:eastAsia="zh-CN"/>
        </w:rPr>
        <w:t>重庆市巴南区南彭公路物流基地东城大道8号。</w:t>
      </w:r>
    </w:p>
    <w:p w14:paraId="41F265A4">
      <w:pPr>
        <w:autoSpaceDE w:val="0"/>
        <w:autoSpaceDN w:val="0"/>
        <w:spacing w:after="0" w:line="560" w:lineRule="exact"/>
        <w:ind w:firstLine="562"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二、服务范围：</w:t>
      </w:r>
      <w:r>
        <w:rPr>
          <w:rFonts w:hint="eastAsia" w:ascii="仿宋_GB2312" w:hAnsi="仿宋_GB2312" w:eastAsia="仿宋_GB2312" w:cs="仿宋_GB2312"/>
          <w:color w:val="auto"/>
          <w:sz w:val="28"/>
          <w:szCs w:val="28"/>
          <w:highlight w:val="none"/>
          <w:lang w:eastAsia="zh-CN"/>
        </w:rPr>
        <w:t>巴南华府伴遖山/巴南华府景云/招商中心/精品3456区/会展中心/奥莱小镇项目</w:t>
      </w:r>
      <w:r>
        <w:rPr>
          <w:rFonts w:hint="eastAsia" w:ascii="仿宋_GB2312" w:hAnsi="仿宋_GB2312" w:eastAsia="仿宋_GB2312" w:cs="仿宋_GB2312"/>
          <w:color w:val="auto"/>
          <w:sz w:val="28"/>
          <w:szCs w:val="28"/>
          <w:highlight w:val="none"/>
          <w:lang w:val="en-US" w:eastAsia="zh-CN"/>
        </w:rPr>
        <w:t>绿化养护服务。</w:t>
      </w:r>
    </w:p>
    <w:p w14:paraId="1CB61307">
      <w:pPr>
        <w:autoSpaceDE w:val="0"/>
        <w:autoSpaceDN w:val="0"/>
        <w:spacing w:after="0" w:line="560" w:lineRule="exact"/>
        <w:ind w:firstLine="562" w:firstLineChars="200"/>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三、项目绿化面积</w:t>
      </w:r>
    </w:p>
    <w:p w14:paraId="7856ACBE">
      <w:pPr>
        <w:autoSpaceDE w:val="0"/>
        <w:autoSpaceDN w:val="0"/>
        <w:spacing w:after="0" w:line="560"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重庆华南城巴南华府伴遖山86476平方米、巴南华府景云21715平方米、招商中心27530平方米、精品3区10857平方米、精品4区9168平方米、精品5区2973平方米、精品6区3629平方米、会展中心1944平方米、奥莱小镇2407平方米，合计绿化面积166699平方米。</w:t>
      </w:r>
    </w:p>
    <w:p w14:paraId="65C2B7B3">
      <w:pPr>
        <w:autoSpaceDE w:val="0"/>
        <w:autoSpaceDN w:val="0"/>
        <w:spacing w:after="0" w:line="560"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四、绿化养护时间：2026年8月1日至 2027年7月31日。</w:t>
      </w:r>
    </w:p>
    <w:p w14:paraId="104A6EC5">
      <w:pPr>
        <w:autoSpaceDE w:val="0"/>
        <w:autoSpaceDN w:val="0"/>
        <w:spacing w:after="0" w:line="560"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五、绿化养护服务标准：详见合同样本</w:t>
      </w:r>
    </w:p>
    <w:p w14:paraId="2F5E6040">
      <w:pPr>
        <w:autoSpaceDE w:val="0"/>
        <w:autoSpaceDN w:val="0"/>
        <w:spacing w:after="0" w:line="560"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六、养护人员：本项目现场的绿化服务人员，每日不少于【12】名。若前述人数不能保证乙方服务达到附件之标准，乙方应及时自行增补人员。</w:t>
      </w:r>
    </w:p>
    <w:p w14:paraId="032B867E">
      <w:pPr>
        <w:autoSpaceDE w:val="0"/>
        <w:autoSpaceDN w:val="0"/>
        <w:spacing w:after="0" w:line="560"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七、绿化养护报价清单：</w:t>
      </w:r>
    </w:p>
    <w:tbl>
      <w:tblPr>
        <w:tblStyle w:val="35"/>
        <w:tblW w:w="8680"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2339"/>
        <w:gridCol w:w="1800"/>
        <w:gridCol w:w="1973"/>
        <w:gridCol w:w="1625"/>
      </w:tblGrid>
      <w:tr w14:paraId="5A4E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943" w:type="dxa"/>
            <w:noWrap w:val="0"/>
            <w:vAlign w:val="center"/>
          </w:tcPr>
          <w:p w14:paraId="1E31AB4A">
            <w:pPr>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序</w:t>
            </w:r>
            <w:r>
              <w:rPr>
                <w:rFonts w:hint="eastAsia" w:ascii="仿宋_GB2312" w:hAnsi="仿宋_GB2312" w:eastAsia="仿宋_GB2312" w:cs="仿宋_GB2312"/>
                <w:color w:val="auto"/>
                <w:sz w:val="28"/>
                <w:szCs w:val="28"/>
                <w:highlight w:val="none"/>
              </w:rPr>
              <w:t>号</w:t>
            </w:r>
          </w:p>
        </w:tc>
        <w:tc>
          <w:tcPr>
            <w:tcW w:w="2339" w:type="dxa"/>
            <w:noWrap w:val="0"/>
            <w:vAlign w:val="center"/>
          </w:tcPr>
          <w:p w14:paraId="66FCB6D9">
            <w:pPr>
              <w:jc w:val="center"/>
              <w:rPr>
                <w:rFonts w:hint="default" w:ascii="仿宋_GB2312" w:hAnsi="仿宋_GB2312" w:eastAsia="仿宋_GB2312" w:cs="仿宋_GB2312"/>
                <w:color w:val="auto"/>
                <w:sz w:val="28"/>
                <w:szCs w:val="28"/>
                <w:highlight w:val="none"/>
                <w:lang w:val="en-US"/>
              </w:rPr>
            </w:pPr>
            <w:r>
              <w:rPr>
                <w:rFonts w:hint="eastAsia" w:ascii="仿宋_GB2312" w:hAnsi="仿宋_GB2312" w:eastAsia="仿宋_GB2312" w:cs="仿宋_GB2312"/>
                <w:color w:val="auto"/>
                <w:sz w:val="28"/>
                <w:szCs w:val="28"/>
                <w:highlight w:val="none"/>
                <w:lang w:val="en-US" w:eastAsia="zh-CN"/>
              </w:rPr>
              <w:t>项目名称</w:t>
            </w:r>
          </w:p>
        </w:tc>
        <w:tc>
          <w:tcPr>
            <w:tcW w:w="1800" w:type="dxa"/>
            <w:noWrap w:val="0"/>
            <w:vAlign w:val="center"/>
          </w:tcPr>
          <w:p w14:paraId="0A0B7E6D">
            <w:pPr>
              <w:jc w:val="center"/>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绿化面积</w:t>
            </w:r>
          </w:p>
          <w:p w14:paraId="4D1469E3">
            <w:pPr>
              <w:jc w:val="center"/>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kern w:val="0"/>
                <w:sz w:val="28"/>
                <w:szCs w:val="28"/>
                <w:highlight w:val="none"/>
                <w:lang w:val="en-US" w:eastAsia="zh-CN"/>
              </w:rPr>
              <w:t>（㎡）</w:t>
            </w:r>
          </w:p>
        </w:tc>
        <w:tc>
          <w:tcPr>
            <w:tcW w:w="1973" w:type="dxa"/>
            <w:noWrap w:val="0"/>
            <w:vAlign w:val="center"/>
          </w:tcPr>
          <w:p w14:paraId="2F3FCAA0">
            <w:pPr>
              <w:jc w:val="center"/>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单价</w:t>
            </w:r>
          </w:p>
          <w:p w14:paraId="36965599">
            <w:pPr>
              <w:jc w:val="center"/>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kern w:val="0"/>
                <w:sz w:val="28"/>
                <w:szCs w:val="28"/>
                <w:highlight w:val="none"/>
                <w:lang w:val="en-US" w:eastAsia="zh-CN"/>
              </w:rPr>
              <w:t>（元 /㎡/月）</w:t>
            </w:r>
          </w:p>
        </w:tc>
        <w:tc>
          <w:tcPr>
            <w:tcW w:w="1625" w:type="dxa"/>
            <w:noWrap w:val="0"/>
            <w:vAlign w:val="center"/>
          </w:tcPr>
          <w:p w14:paraId="5B9FBB42">
            <w:pPr>
              <w:jc w:val="center"/>
              <w:rPr>
                <w:rFonts w:hint="default" w:ascii="仿宋_GB2312" w:hAnsi="仿宋_GB2312" w:eastAsia="仿宋_GB2312" w:cs="仿宋_GB2312"/>
                <w:b w:val="0"/>
                <w:bCs w:val="0"/>
                <w:color w:val="auto"/>
                <w:kern w:val="0"/>
                <w:sz w:val="28"/>
                <w:szCs w:val="28"/>
                <w:highlight w:val="none"/>
                <w:lang w:val="en-US" w:eastAsia="zh-CN"/>
              </w:rPr>
            </w:pPr>
            <w:r>
              <w:rPr>
                <w:rFonts w:hint="eastAsia" w:ascii="仿宋_GB2312" w:hAnsi="仿宋_GB2312" w:eastAsia="仿宋_GB2312" w:cs="仿宋_GB2312"/>
                <w:b w:val="0"/>
                <w:bCs w:val="0"/>
                <w:color w:val="auto"/>
                <w:kern w:val="0"/>
                <w:sz w:val="28"/>
                <w:szCs w:val="28"/>
                <w:highlight w:val="none"/>
                <w:lang w:val="en-US" w:eastAsia="zh-CN"/>
              </w:rPr>
              <w:t>总金额（元）</w:t>
            </w:r>
          </w:p>
        </w:tc>
      </w:tr>
      <w:tr w14:paraId="4761B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943" w:type="dxa"/>
            <w:noWrap w:val="0"/>
            <w:vAlign w:val="center"/>
          </w:tcPr>
          <w:p w14:paraId="1CEC8E88">
            <w:pPr>
              <w:jc w:val="center"/>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1</w:t>
            </w:r>
          </w:p>
        </w:tc>
        <w:tc>
          <w:tcPr>
            <w:tcW w:w="2339" w:type="dxa"/>
            <w:noWrap w:val="0"/>
            <w:vAlign w:val="center"/>
          </w:tcPr>
          <w:p w14:paraId="1D6820A9">
            <w:pPr>
              <w:spacing w:line="240" w:lineRule="auto"/>
              <w:jc w:val="center"/>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u w:val="none"/>
                <w:lang w:val="en-US" w:eastAsia="zh-CN"/>
              </w:rPr>
              <w:t>重庆华南城</w:t>
            </w:r>
            <w:r>
              <w:rPr>
                <w:rFonts w:hint="eastAsia" w:ascii="仿宋_GB2312" w:hAnsi="仿宋_GB2312" w:eastAsia="仿宋_GB2312" w:cs="仿宋_GB2312"/>
                <w:color w:val="auto"/>
                <w:sz w:val="28"/>
                <w:szCs w:val="28"/>
                <w:highlight w:val="none"/>
                <w:lang w:eastAsia="zh-CN"/>
              </w:rPr>
              <w:t>巴南华府伴遖山/巴南华府景云/招商中心/精品3456区/会展中心/奥莱小镇项目</w:t>
            </w:r>
            <w:r>
              <w:rPr>
                <w:rFonts w:hint="eastAsia" w:ascii="仿宋_GB2312" w:hAnsi="仿宋_GB2312" w:eastAsia="仿宋_GB2312" w:cs="仿宋_GB2312"/>
                <w:color w:val="auto"/>
                <w:sz w:val="28"/>
                <w:szCs w:val="28"/>
                <w:highlight w:val="none"/>
                <w:u w:val="none"/>
                <w:lang w:val="en-US" w:eastAsia="zh-CN"/>
              </w:rPr>
              <w:t>绿化养护服</w:t>
            </w:r>
            <w:r>
              <w:rPr>
                <w:rFonts w:hint="eastAsia" w:ascii="仿宋_GB2312" w:hAnsi="仿宋_GB2312" w:eastAsia="仿宋_GB2312" w:cs="仿宋_GB2312"/>
                <w:color w:val="auto"/>
                <w:sz w:val="28"/>
                <w:szCs w:val="28"/>
                <w:highlight w:val="none"/>
                <w:lang w:val="en-US" w:eastAsia="zh-CN"/>
              </w:rPr>
              <w:t>务</w:t>
            </w:r>
          </w:p>
        </w:tc>
        <w:tc>
          <w:tcPr>
            <w:tcW w:w="1800" w:type="dxa"/>
            <w:noWrap w:val="0"/>
            <w:vAlign w:val="center"/>
          </w:tcPr>
          <w:p w14:paraId="249F0CC9">
            <w:pPr>
              <w:ind w:firstLine="0" w:firstLineChars="0"/>
              <w:jc w:val="center"/>
              <w:rPr>
                <w:rFonts w:hint="default" w:ascii="仿宋_GB2312" w:hAnsi="仿宋_GB2312" w:eastAsia="仿宋_GB2312" w:cs="仿宋_GB2312"/>
                <w:color w:val="auto"/>
                <w:sz w:val="28"/>
                <w:szCs w:val="28"/>
                <w:highlight w:val="none"/>
                <w:lang w:val="en-US"/>
              </w:rPr>
            </w:pPr>
            <w:r>
              <w:rPr>
                <w:rFonts w:hint="eastAsia" w:ascii="仿宋_GB2312" w:hAnsi="仿宋_GB2312" w:eastAsia="仿宋_GB2312" w:cs="仿宋_GB2312"/>
                <w:b w:val="0"/>
                <w:bCs w:val="0"/>
                <w:color w:val="auto"/>
                <w:kern w:val="0"/>
                <w:sz w:val="28"/>
                <w:szCs w:val="28"/>
                <w:highlight w:val="none"/>
                <w:u w:val="none"/>
                <w:lang w:val="en-US" w:eastAsia="zh-CN"/>
              </w:rPr>
              <w:t>166699</w:t>
            </w:r>
          </w:p>
        </w:tc>
        <w:tc>
          <w:tcPr>
            <w:tcW w:w="1973" w:type="dxa"/>
            <w:noWrap w:val="0"/>
            <w:vAlign w:val="center"/>
          </w:tcPr>
          <w:p w14:paraId="20CCD66B">
            <w:pPr>
              <w:ind w:firstLine="0" w:firstLineChars="0"/>
              <w:jc w:val="both"/>
              <w:rPr>
                <w:rFonts w:hint="eastAsia" w:ascii="仿宋_GB2312" w:hAnsi="仿宋_GB2312" w:eastAsia="仿宋_GB2312" w:cs="仿宋_GB2312"/>
                <w:b/>
                <w:bCs/>
                <w:color w:val="auto"/>
                <w:kern w:val="0"/>
                <w:sz w:val="28"/>
                <w:szCs w:val="28"/>
                <w:highlight w:val="none"/>
                <w:u w:val="single"/>
                <w:lang w:val="en-US" w:eastAsia="zh-CN"/>
              </w:rPr>
            </w:pPr>
          </w:p>
        </w:tc>
        <w:tc>
          <w:tcPr>
            <w:tcW w:w="1625" w:type="dxa"/>
            <w:noWrap w:val="0"/>
            <w:vAlign w:val="center"/>
          </w:tcPr>
          <w:p w14:paraId="7F470A48">
            <w:pPr>
              <w:ind w:firstLine="0" w:firstLineChars="0"/>
              <w:jc w:val="both"/>
              <w:rPr>
                <w:rFonts w:hint="eastAsia" w:ascii="仿宋_GB2312" w:hAnsi="仿宋_GB2312" w:eastAsia="仿宋_GB2312" w:cs="仿宋_GB2312"/>
                <w:b/>
                <w:bCs/>
                <w:color w:val="auto"/>
                <w:kern w:val="0"/>
                <w:sz w:val="28"/>
                <w:szCs w:val="28"/>
                <w:highlight w:val="none"/>
                <w:u w:val="single"/>
                <w:lang w:val="en-US" w:eastAsia="zh-CN"/>
              </w:rPr>
            </w:pPr>
          </w:p>
        </w:tc>
      </w:tr>
      <w:tr w14:paraId="60C7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80" w:type="dxa"/>
            <w:gridSpan w:val="5"/>
            <w:noWrap w:val="0"/>
            <w:vAlign w:val="top"/>
          </w:tcPr>
          <w:p w14:paraId="3D5B7D45">
            <w:pPr>
              <w:spacing w:line="240" w:lineRule="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附表一：单价分析表（分析内容包含但不限于车辆、设备、人工、物料、其他等）</w:t>
            </w:r>
            <w:r>
              <w:rPr>
                <w:rFonts w:hint="eastAsia" w:ascii="仿宋_GB2312" w:hAnsi="仿宋_GB2312" w:eastAsia="仿宋_GB2312" w:cs="仿宋_GB2312"/>
                <w:color w:val="auto"/>
                <w:sz w:val="28"/>
                <w:szCs w:val="28"/>
                <w:highlight w:val="none"/>
                <w:lang w:eastAsia="zh-CN"/>
              </w:rPr>
              <w:t>（注：投标人自行分析提供）</w:t>
            </w:r>
          </w:p>
        </w:tc>
      </w:tr>
      <w:tr w14:paraId="01A3F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680" w:type="dxa"/>
            <w:gridSpan w:val="5"/>
            <w:noWrap w:val="0"/>
            <w:vAlign w:val="top"/>
          </w:tcPr>
          <w:p w14:paraId="48A1BF04">
            <w:pP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投标单位须根据华南城经营业态的实际情况进行商务报价。 </w:t>
            </w:r>
          </w:p>
        </w:tc>
      </w:tr>
    </w:tbl>
    <w:p w14:paraId="692152C4">
      <w:pPr>
        <w:autoSpaceDE w:val="0"/>
        <w:autoSpaceDN w:val="0"/>
        <w:spacing w:after="0" w:line="560" w:lineRule="exact"/>
        <w:ind w:firstLine="562" w:firstLineChars="200"/>
        <w:rPr>
          <w:rFonts w:hint="eastAsia" w:ascii="仿宋" w:hAnsi="仿宋" w:eastAsia="仿宋" w:cs="仿宋"/>
          <w:b/>
          <w:bCs/>
          <w:color w:val="auto"/>
          <w:sz w:val="28"/>
          <w:szCs w:val="28"/>
          <w:highlight w:val="none"/>
          <w:lang w:val="en-US" w:eastAsia="zh-CN"/>
        </w:rPr>
      </w:pPr>
    </w:p>
    <w:p w14:paraId="57147B15">
      <w:pPr>
        <w:ind w:firstLine="20" w:firstLineChars="100"/>
        <w:rPr>
          <w:rFonts w:hint="eastAsia"/>
          <w:color w:val="auto"/>
          <w:sz w:val="2"/>
          <w:szCs w:val="2"/>
          <w:highlight w:val="none"/>
        </w:rPr>
      </w:pPr>
    </w:p>
    <w:p w14:paraId="2405E80F">
      <w:pPr>
        <w:jc w:val="both"/>
        <w:rPr>
          <w:rFonts w:hint="eastAsia"/>
          <w:b/>
          <w:color w:val="auto"/>
          <w:sz w:val="32"/>
          <w:szCs w:val="32"/>
          <w:highlight w:val="none"/>
        </w:rPr>
      </w:pPr>
    </w:p>
    <w:p w14:paraId="27F19B68">
      <w:pPr>
        <w:jc w:val="both"/>
        <w:rPr>
          <w:rFonts w:hint="eastAsia"/>
          <w:b/>
          <w:color w:val="auto"/>
          <w:sz w:val="32"/>
          <w:szCs w:val="32"/>
          <w:highlight w:val="none"/>
        </w:rPr>
      </w:pPr>
    </w:p>
    <w:p w14:paraId="141A3C15">
      <w:pPr>
        <w:jc w:val="both"/>
        <w:rPr>
          <w:rFonts w:hint="eastAsia"/>
          <w:b/>
          <w:color w:val="auto"/>
          <w:sz w:val="32"/>
          <w:szCs w:val="32"/>
          <w:highlight w:val="none"/>
        </w:rPr>
      </w:pPr>
    </w:p>
    <w:p w14:paraId="596EB416">
      <w:pPr>
        <w:jc w:val="center"/>
        <w:rPr>
          <w:rFonts w:hint="eastAsia"/>
          <w:b/>
          <w:color w:val="auto"/>
          <w:sz w:val="32"/>
          <w:szCs w:val="32"/>
          <w:highlight w:val="none"/>
        </w:rPr>
      </w:pPr>
    </w:p>
    <w:p w14:paraId="44170D51">
      <w:pPr>
        <w:spacing w:line="360" w:lineRule="auto"/>
        <w:ind w:firstLineChars="0"/>
        <w:jc w:val="center"/>
        <w:outlineLvl w:val="0"/>
        <w:rPr>
          <w:rFonts w:hint="eastAsia" w:ascii="仿宋" w:hAnsi="仿宋" w:eastAsia="仿宋"/>
          <w:b/>
          <w:color w:val="auto"/>
          <w:kern w:val="0"/>
          <w:sz w:val="28"/>
          <w:szCs w:val="28"/>
          <w:highlight w:val="none"/>
          <w:lang w:eastAsia="zh-CN"/>
        </w:rPr>
        <w:sectPr>
          <w:headerReference r:id="rId11" w:type="default"/>
          <w:footerReference r:id="rId12" w:type="default"/>
          <w:pgSz w:w="12240" w:h="15840"/>
          <w:pgMar w:top="1440" w:right="1797" w:bottom="1440" w:left="1797" w:header="720" w:footer="720" w:gutter="0"/>
          <w:pgNumType w:fmt="decimal"/>
          <w:cols w:space="720" w:num="1"/>
        </w:sectPr>
      </w:pPr>
      <w:bookmarkStart w:id="85" w:name="_Toc10282"/>
      <w:bookmarkStart w:id="86" w:name="_Toc25206"/>
      <w:r>
        <w:rPr>
          <w:rFonts w:ascii="宋体" w:hAnsi="宋体" w:cs="黑体"/>
          <w:b/>
          <w:color w:val="auto"/>
          <w:sz w:val="48"/>
          <w:szCs w:val="48"/>
          <w:highlight w:val="none"/>
          <w:shd w:val="clear" w:color="060000" w:fill="auto"/>
        </w:rPr>
        <w:t>第</w:t>
      </w:r>
      <w:r>
        <w:rPr>
          <w:rFonts w:hint="eastAsia" w:ascii="宋体" w:hAnsi="宋体" w:cs="黑体"/>
          <w:b/>
          <w:color w:val="auto"/>
          <w:sz w:val="48"/>
          <w:szCs w:val="48"/>
          <w:highlight w:val="none"/>
          <w:shd w:val="clear" w:color="060000" w:fill="auto"/>
        </w:rPr>
        <w:t>五</w:t>
      </w:r>
      <w:r>
        <w:rPr>
          <w:rFonts w:ascii="宋体" w:hAnsi="宋体" w:cs="黑体"/>
          <w:b/>
          <w:color w:val="auto"/>
          <w:sz w:val="48"/>
          <w:szCs w:val="48"/>
          <w:highlight w:val="none"/>
          <w:shd w:val="clear" w:color="060000" w:fill="auto"/>
        </w:rPr>
        <w:t>章</w:t>
      </w:r>
      <w:r>
        <w:rPr>
          <w:rFonts w:hint="eastAsia" w:ascii="宋体" w:hAnsi="宋体" w:cs="黑体"/>
          <w:b/>
          <w:color w:val="auto"/>
          <w:sz w:val="48"/>
          <w:szCs w:val="48"/>
          <w:highlight w:val="none"/>
          <w:shd w:val="clear" w:color="060000" w:fill="auto"/>
        </w:rPr>
        <w:t xml:space="preserve"> 投标文件格式</w:t>
      </w:r>
      <w:bookmarkEnd w:id="85"/>
      <w:bookmarkEnd w:id="86"/>
    </w:p>
    <w:p w14:paraId="06C9F515">
      <w:pPr>
        <w:pStyle w:val="71"/>
        <w:numPr>
          <w:ilvl w:val="0"/>
          <w:numId w:val="2"/>
        </w:numPr>
        <w:ind w:firstLine="0" w:firstLineChars="0"/>
        <w:outlineLvl w:val="1"/>
        <w:rPr>
          <w:rFonts w:hint="eastAsia" w:ascii="仿宋" w:hAnsi="仿宋" w:eastAsia="仿宋"/>
          <w:b/>
          <w:color w:val="auto"/>
          <w:kern w:val="0"/>
          <w:sz w:val="28"/>
          <w:szCs w:val="28"/>
          <w:highlight w:val="none"/>
        </w:rPr>
      </w:pPr>
      <w:bookmarkStart w:id="87" w:name="_Toc7035"/>
      <w:bookmarkStart w:id="88" w:name="_Toc12390"/>
      <w:r>
        <w:rPr>
          <w:rFonts w:hint="eastAsia" w:ascii="仿宋" w:hAnsi="仿宋" w:eastAsia="仿宋"/>
          <w:b/>
          <w:bCs/>
          <w:color w:val="auto"/>
          <w:kern w:val="0"/>
          <w:sz w:val="28"/>
          <w:szCs w:val="28"/>
          <w:highlight w:val="none"/>
        </w:rPr>
        <w:t>投标文件格式--</w:t>
      </w:r>
      <w:r>
        <w:rPr>
          <w:rFonts w:hint="eastAsia" w:ascii="仿宋" w:hAnsi="仿宋" w:eastAsia="仿宋"/>
          <w:b/>
          <w:color w:val="auto"/>
          <w:kern w:val="0"/>
          <w:sz w:val="28"/>
          <w:szCs w:val="28"/>
          <w:highlight w:val="none"/>
        </w:rPr>
        <w:t>资格审查文件</w:t>
      </w:r>
      <w:bookmarkEnd w:id="87"/>
      <w:bookmarkEnd w:id="88"/>
    </w:p>
    <w:p w14:paraId="3FA8CF30">
      <w:pPr>
        <w:pStyle w:val="71"/>
        <w:numPr>
          <w:ilvl w:val="0"/>
          <w:numId w:val="0"/>
        </w:numPr>
        <w:outlineLvl w:val="1"/>
        <w:rPr>
          <w:rFonts w:hint="eastAsia" w:ascii="仿宋" w:hAnsi="仿宋" w:eastAsia="仿宋"/>
          <w:b/>
          <w:color w:val="auto"/>
          <w:kern w:val="0"/>
          <w:sz w:val="28"/>
          <w:szCs w:val="28"/>
          <w:highlight w:val="none"/>
        </w:rPr>
      </w:pPr>
    </w:p>
    <w:p w14:paraId="7BB02A5A">
      <w:pPr>
        <w:pStyle w:val="18"/>
        <w:jc w:val="center"/>
        <w:rPr>
          <w:rFonts w:ascii="黑体" w:hAnsi="黑体" w:eastAsia="黑体"/>
          <w:bCs/>
          <w:color w:val="auto"/>
          <w:sz w:val="72"/>
          <w:szCs w:val="72"/>
          <w:highlight w:val="none"/>
        </w:rPr>
      </w:pPr>
      <w:r>
        <w:rPr>
          <w:rFonts w:hint="eastAsia" w:ascii="黑体" w:hAnsi="黑体" w:eastAsia="黑体"/>
          <w:bCs/>
          <w:color w:val="auto"/>
          <w:sz w:val="72"/>
          <w:szCs w:val="72"/>
          <w:highlight w:val="none"/>
        </w:rPr>
        <w:t>非依法必须招标项目服务类</w:t>
      </w:r>
    </w:p>
    <w:p w14:paraId="5B0460E4">
      <w:pPr>
        <w:pStyle w:val="18"/>
        <w:jc w:val="center"/>
        <w:rPr>
          <w:rFonts w:ascii="黑体" w:hAnsi="黑体" w:eastAsia="黑体"/>
          <w:bCs/>
          <w:color w:val="auto"/>
          <w:sz w:val="84"/>
          <w:szCs w:val="84"/>
          <w:highlight w:val="none"/>
        </w:rPr>
      </w:pPr>
    </w:p>
    <w:p w14:paraId="6AB95965">
      <w:pPr>
        <w:pStyle w:val="18"/>
        <w:jc w:val="center"/>
        <w:rPr>
          <w:rFonts w:ascii="黑体" w:hAnsi="黑体" w:eastAsia="黑体"/>
          <w:bCs/>
          <w:color w:val="auto"/>
          <w:sz w:val="84"/>
          <w:szCs w:val="84"/>
          <w:highlight w:val="none"/>
        </w:rPr>
      </w:pPr>
      <w:r>
        <w:rPr>
          <w:rFonts w:hint="eastAsia" w:ascii="黑体" w:hAnsi="黑体" w:eastAsia="黑体"/>
          <w:bCs/>
          <w:color w:val="auto"/>
          <w:sz w:val="84"/>
          <w:szCs w:val="84"/>
          <w:highlight w:val="none"/>
        </w:rPr>
        <w:t>投 标 文 件</w:t>
      </w:r>
    </w:p>
    <w:p w14:paraId="5154EC3C">
      <w:pPr>
        <w:widowControl w:val="0"/>
        <w:ind w:left="988"/>
        <w:jc w:val="center"/>
        <w:rPr>
          <w:rFonts w:ascii="宋体" w:hAnsi="宋体"/>
          <w:color w:val="auto"/>
          <w:kern w:val="0"/>
          <w:sz w:val="32"/>
          <w:szCs w:val="21"/>
          <w:highlight w:val="none"/>
          <w:u w:val="single"/>
        </w:rPr>
      </w:pPr>
    </w:p>
    <w:p w14:paraId="242A57F6">
      <w:pPr>
        <w:widowControl w:val="0"/>
        <w:ind w:left="988"/>
        <w:jc w:val="center"/>
        <w:rPr>
          <w:rFonts w:ascii="宋体" w:hAnsi="宋体"/>
          <w:color w:val="auto"/>
          <w:kern w:val="0"/>
          <w:sz w:val="32"/>
          <w:szCs w:val="21"/>
          <w:highlight w:val="none"/>
          <w:u w:val="single"/>
        </w:rPr>
      </w:pPr>
    </w:p>
    <w:p w14:paraId="7F4056BC">
      <w:pPr>
        <w:widowControl w:val="0"/>
        <w:ind w:left="988"/>
        <w:jc w:val="center"/>
        <w:rPr>
          <w:rFonts w:ascii="宋体" w:hAnsi="宋体"/>
          <w:color w:val="auto"/>
          <w:kern w:val="0"/>
          <w:sz w:val="32"/>
          <w:szCs w:val="21"/>
          <w:highlight w:val="none"/>
          <w:u w:val="single"/>
        </w:rPr>
      </w:pPr>
    </w:p>
    <w:p w14:paraId="46FD3E74">
      <w:pPr>
        <w:widowControl w:val="0"/>
        <w:ind w:left="988"/>
        <w:jc w:val="center"/>
        <w:rPr>
          <w:rFonts w:ascii="宋体" w:hAnsi="宋体"/>
          <w:color w:val="auto"/>
          <w:kern w:val="0"/>
          <w:sz w:val="32"/>
          <w:szCs w:val="21"/>
          <w:highlight w:val="none"/>
          <w:u w:val="single"/>
        </w:rPr>
      </w:pPr>
    </w:p>
    <w:p w14:paraId="7C6DFCEA">
      <w:pPr>
        <w:widowControl w:val="0"/>
        <w:rPr>
          <w:rFonts w:ascii="宋体" w:hAnsi="宋体"/>
          <w:b/>
          <w:bCs/>
          <w:color w:val="auto"/>
          <w:kern w:val="0"/>
          <w:sz w:val="32"/>
          <w:szCs w:val="21"/>
          <w:highlight w:val="none"/>
        </w:rPr>
      </w:pPr>
    </w:p>
    <w:p w14:paraId="03AF7CB4">
      <w:pPr>
        <w:widowControl w:val="0"/>
        <w:rPr>
          <w:rFonts w:ascii="宋体" w:hAnsi="宋体"/>
          <w:b/>
          <w:bCs/>
          <w:color w:val="auto"/>
          <w:kern w:val="0"/>
          <w:sz w:val="32"/>
          <w:szCs w:val="21"/>
          <w:highlight w:val="none"/>
        </w:rPr>
      </w:pPr>
    </w:p>
    <w:p w14:paraId="3EAAE3DE">
      <w:pPr>
        <w:widowControl w:val="0"/>
        <w:rPr>
          <w:rFonts w:ascii="宋体" w:hAnsi="宋体"/>
          <w:b/>
          <w:bCs/>
          <w:color w:val="auto"/>
          <w:kern w:val="0"/>
          <w:sz w:val="32"/>
          <w:szCs w:val="21"/>
          <w:highlight w:val="none"/>
        </w:rPr>
      </w:pPr>
    </w:p>
    <w:p w14:paraId="4B1A886E">
      <w:pPr>
        <w:widowControl w:val="0"/>
        <w:spacing w:line="480" w:lineRule="auto"/>
        <w:ind w:firstLine="840" w:firstLineChars="300"/>
        <w:rPr>
          <w:rFonts w:ascii="微软雅黑" w:hAnsi="宋体" w:eastAsia="微软雅黑"/>
          <w:bCs/>
          <w:color w:val="auto"/>
          <w:kern w:val="0"/>
          <w:sz w:val="28"/>
          <w:szCs w:val="21"/>
          <w:highlight w:val="none"/>
          <w:u w:val="single"/>
        </w:rPr>
      </w:pPr>
      <w:r>
        <w:rPr>
          <w:rFonts w:hint="eastAsia" w:ascii="微软雅黑" w:hAnsi="宋体" w:eastAsia="微软雅黑"/>
          <w:bCs/>
          <w:color w:val="auto"/>
          <w:kern w:val="0"/>
          <w:sz w:val="28"/>
          <w:szCs w:val="21"/>
          <w:highlight w:val="none"/>
        </w:rPr>
        <w:t>招标项目名称：</w:t>
      </w:r>
      <w:r>
        <w:rPr>
          <w:rFonts w:hint="eastAsia" w:ascii="微软雅黑" w:hAnsi="宋体" w:eastAsia="微软雅黑"/>
          <w:bCs/>
          <w:color w:val="auto"/>
          <w:kern w:val="0"/>
          <w:sz w:val="28"/>
          <w:szCs w:val="21"/>
          <w:highlight w:val="none"/>
          <w:u w:val="single"/>
        </w:rPr>
        <w:t xml:space="preserve">                                                </w:t>
      </w:r>
    </w:p>
    <w:p w14:paraId="174A71B8">
      <w:pPr>
        <w:widowControl w:val="0"/>
        <w:spacing w:line="480" w:lineRule="auto"/>
        <w:ind w:firstLine="840" w:firstLineChars="300"/>
        <w:rPr>
          <w:rFonts w:ascii="微软雅黑" w:hAnsi="宋体" w:eastAsia="微软雅黑"/>
          <w:bCs/>
          <w:color w:val="auto"/>
          <w:kern w:val="0"/>
          <w:sz w:val="28"/>
          <w:szCs w:val="21"/>
          <w:highlight w:val="none"/>
        </w:rPr>
      </w:pPr>
      <w:r>
        <w:rPr>
          <w:rFonts w:hint="eastAsia" w:ascii="微软雅黑" w:hAnsi="宋体" w:eastAsia="微软雅黑"/>
          <w:bCs/>
          <w:color w:val="auto"/>
          <w:kern w:val="0"/>
          <w:sz w:val="28"/>
          <w:szCs w:val="21"/>
          <w:highlight w:val="none"/>
        </w:rPr>
        <w:t>投标文件内容：</w:t>
      </w:r>
      <w:r>
        <w:rPr>
          <w:rFonts w:hint="eastAsia" w:ascii="微软雅黑" w:hAnsi="宋体" w:eastAsia="微软雅黑"/>
          <w:bCs/>
          <w:color w:val="auto"/>
          <w:kern w:val="0"/>
          <w:sz w:val="28"/>
          <w:szCs w:val="21"/>
          <w:highlight w:val="none"/>
          <w:u w:val="single"/>
        </w:rPr>
        <w:t xml:space="preserve"> </w:t>
      </w:r>
      <w:r>
        <w:rPr>
          <w:rFonts w:hint="eastAsia" w:ascii="微软雅黑" w:hAnsi="宋体" w:eastAsia="微软雅黑"/>
          <w:bCs/>
          <w:color w:val="auto"/>
          <w:kern w:val="0"/>
          <w:sz w:val="28"/>
          <w:szCs w:val="21"/>
          <w:highlight w:val="none"/>
          <w:u w:val="single"/>
        </w:rPr>
        <w:softHyphen/>
      </w:r>
      <w:r>
        <w:rPr>
          <w:rFonts w:hint="eastAsia" w:ascii="微软雅黑" w:hAnsi="宋体" w:eastAsia="微软雅黑"/>
          <w:bCs/>
          <w:color w:val="auto"/>
          <w:kern w:val="0"/>
          <w:sz w:val="28"/>
          <w:szCs w:val="21"/>
          <w:highlight w:val="none"/>
          <w:u w:val="single"/>
        </w:rPr>
        <w:softHyphen/>
      </w:r>
      <w:r>
        <w:rPr>
          <w:rFonts w:hint="eastAsia" w:ascii="微软雅黑" w:hAnsi="宋体" w:eastAsia="微软雅黑"/>
          <w:bCs/>
          <w:color w:val="auto"/>
          <w:kern w:val="0"/>
          <w:sz w:val="28"/>
          <w:szCs w:val="21"/>
          <w:highlight w:val="none"/>
          <w:u w:val="single"/>
        </w:rPr>
        <w:softHyphen/>
      </w:r>
      <w:r>
        <w:rPr>
          <w:rFonts w:hint="eastAsia" w:ascii="微软雅黑" w:hAnsi="宋体" w:eastAsia="微软雅黑"/>
          <w:bCs/>
          <w:color w:val="auto"/>
          <w:kern w:val="0"/>
          <w:sz w:val="28"/>
          <w:szCs w:val="21"/>
          <w:highlight w:val="none"/>
          <w:u w:val="single"/>
        </w:rPr>
        <w:softHyphen/>
      </w:r>
      <w:r>
        <w:rPr>
          <w:rFonts w:hint="eastAsia" w:ascii="微软雅黑" w:hAnsi="宋体" w:eastAsia="微软雅黑"/>
          <w:bCs/>
          <w:color w:val="auto"/>
          <w:kern w:val="0"/>
          <w:sz w:val="28"/>
          <w:szCs w:val="21"/>
          <w:highlight w:val="none"/>
          <w:u w:val="single"/>
        </w:rPr>
        <w:t xml:space="preserve">     </w:t>
      </w:r>
      <w:r>
        <w:rPr>
          <w:rFonts w:hint="eastAsia" w:ascii="微软雅黑" w:hAnsi="宋体" w:eastAsia="微软雅黑"/>
          <w:bCs/>
          <w:color w:val="auto"/>
          <w:kern w:val="0"/>
          <w:sz w:val="48"/>
          <w:szCs w:val="48"/>
          <w:highlight w:val="none"/>
          <w:u w:val="single"/>
        </w:rPr>
        <w:t>资格审查文件</w:t>
      </w:r>
      <w:r>
        <w:rPr>
          <w:rFonts w:hint="eastAsia" w:ascii="微软雅黑" w:hAnsi="宋体" w:eastAsia="微软雅黑"/>
          <w:bCs/>
          <w:color w:val="auto"/>
          <w:kern w:val="0"/>
          <w:sz w:val="28"/>
          <w:szCs w:val="21"/>
          <w:highlight w:val="none"/>
          <w:u w:val="single"/>
        </w:rPr>
        <w:t xml:space="preserve">                 </w:t>
      </w:r>
    </w:p>
    <w:p w14:paraId="5D5C47EB">
      <w:pPr>
        <w:widowControl w:val="0"/>
        <w:spacing w:line="480" w:lineRule="auto"/>
        <w:ind w:firstLine="840" w:firstLineChars="300"/>
        <w:rPr>
          <w:rFonts w:ascii="微软雅黑" w:hAnsi="宋体" w:eastAsia="微软雅黑"/>
          <w:bCs/>
          <w:color w:val="auto"/>
          <w:kern w:val="0"/>
          <w:sz w:val="28"/>
          <w:szCs w:val="21"/>
          <w:highlight w:val="none"/>
          <w:u w:val="single"/>
        </w:rPr>
      </w:pPr>
      <w:r>
        <w:rPr>
          <w:rFonts w:hint="eastAsia" w:ascii="微软雅黑" w:hAnsi="宋体" w:eastAsia="微软雅黑"/>
          <w:bCs/>
          <w:color w:val="auto"/>
          <w:kern w:val="0"/>
          <w:sz w:val="28"/>
          <w:szCs w:val="21"/>
          <w:highlight w:val="none"/>
        </w:rPr>
        <w:t>投标人（盖章）：</w:t>
      </w:r>
      <w:r>
        <w:rPr>
          <w:rFonts w:hint="eastAsia" w:ascii="微软雅黑" w:hAnsi="宋体" w:eastAsia="微软雅黑"/>
          <w:bCs/>
          <w:color w:val="auto"/>
          <w:kern w:val="0"/>
          <w:sz w:val="28"/>
          <w:szCs w:val="21"/>
          <w:highlight w:val="none"/>
          <w:u w:val="single"/>
        </w:rPr>
        <w:t xml:space="preserve">                                         </w:t>
      </w:r>
    </w:p>
    <w:p w14:paraId="2B79EB53">
      <w:pPr>
        <w:widowControl w:val="0"/>
        <w:spacing w:line="480" w:lineRule="auto"/>
        <w:ind w:firstLine="840" w:firstLineChars="300"/>
        <w:rPr>
          <w:rFonts w:ascii="微软雅黑" w:hAnsi="宋体" w:eastAsia="微软雅黑"/>
          <w:bCs/>
          <w:color w:val="auto"/>
          <w:kern w:val="0"/>
          <w:sz w:val="28"/>
          <w:szCs w:val="21"/>
          <w:highlight w:val="none"/>
          <w:u w:val="single"/>
        </w:rPr>
      </w:pPr>
      <w:r>
        <w:rPr>
          <w:rFonts w:hint="eastAsia" w:ascii="微软雅黑" w:hAnsi="宋体" w:eastAsia="微软雅黑"/>
          <w:bCs/>
          <w:color w:val="auto"/>
          <w:kern w:val="0"/>
          <w:sz w:val="28"/>
          <w:szCs w:val="21"/>
          <w:highlight w:val="none"/>
        </w:rPr>
        <w:t>法定代表人或其委托代理人（签字或盖章）：</w:t>
      </w:r>
      <w:r>
        <w:rPr>
          <w:rFonts w:hint="eastAsia" w:ascii="微软雅黑" w:hAnsi="宋体" w:eastAsia="微软雅黑"/>
          <w:bCs/>
          <w:color w:val="auto"/>
          <w:kern w:val="0"/>
          <w:sz w:val="28"/>
          <w:szCs w:val="21"/>
          <w:highlight w:val="none"/>
          <w:u w:val="single"/>
        </w:rPr>
        <w:t xml:space="preserve">                 </w:t>
      </w:r>
    </w:p>
    <w:p w14:paraId="5F237F07">
      <w:pPr>
        <w:widowControl w:val="0"/>
        <w:spacing w:line="480" w:lineRule="auto"/>
        <w:ind w:firstLine="840" w:firstLineChars="300"/>
        <w:rPr>
          <w:rFonts w:ascii="微软雅黑" w:hAnsi="宋体" w:eastAsia="微软雅黑"/>
          <w:bCs/>
          <w:color w:val="auto"/>
          <w:kern w:val="0"/>
          <w:sz w:val="28"/>
          <w:szCs w:val="21"/>
          <w:highlight w:val="none"/>
        </w:rPr>
      </w:pPr>
      <w:r>
        <w:rPr>
          <w:rFonts w:hint="eastAsia" w:ascii="微软雅黑" w:hAnsi="宋体" w:eastAsia="微软雅黑"/>
          <w:bCs/>
          <w:color w:val="auto"/>
          <w:kern w:val="0"/>
          <w:sz w:val="28"/>
          <w:szCs w:val="21"/>
          <w:highlight w:val="none"/>
        </w:rPr>
        <w:t>日      期:</w:t>
      </w:r>
      <w:r>
        <w:rPr>
          <w:rFonts w:hint="eastAsia" w:ascii="微软雅黑" w:hAnsi="宋体" w:eastAsia="微软雅黑"/>
          <w:bCs/>
          <w:color w:val="auto"/>
          <w:kern w:val="0"/>
          <w:sz w:val="28"/>
          <w:szCs w:val="21"/>
          <w:highlight w:val="none"/>
          <w:u w:val="single"/>
        </w:rPr>
        <w:t xml:space="preserve">            </w:t>
      </w:r>
      <w:r>
        <w:rPr>
          <w:rFonts w:hint="eastAsia" w:ascii="微软雅黑" w:hAnsi="宋体" w:eastAsia="微软雅黑"/>
          <w:bCs/>
          <w:color w:val="auto"/>
          <w:kern w:val="0"/>
          <w:sz w:val="28"/>
          <w:szCs w:val="21"/>
          <w:highlight w:val="none"/>
        </w:rPr>
        <w:t>年</w:t>
      </w:r>
      <w:r>
        <w:rPr>
          <w:rFonts w:hint="eastAsia" w:ascii="微软雅黑" w:hAnsi="宋体" w:eastAsia="微软雅黑"/>
          <w:bCs/>
          <w:color w:val="auto"/>
          <w:kern w:val="0"/>
          <w:sz w:val="28"/>
          <w:szCs w:val="21"/>
          <w:highlight w:val="none"/>
          <w:u w:val="single"/>
        </w:rPr>
        <w:t xml:space="preserve">          </w:t>
      </w:r>
      <w:r>
        <w:rPr>
          <w:rFonts w:hint="eastAsia" w:ascii="微软雅黑" w:hAnsi="宋体" w:eastAsia="微软雅黑"/>
          <w:bCs/>
          <w:color w:val="auto"/>
          <w:kern w:val="0"/>
          <w:sz w:val="28"/>
          <w:szCs w:val="21"/>
          <w:highlight w:val="none"/>
        </w:rPr>
        <w:t>月</w:t>
      </w:r>
      <w:r>
        <w:rPr>
          <w:rFonts w:hint="eastAsia" w:ascii="微软雅黑" w:hAnsi="宋体" w:eastAsia="微软雅黑"/>
          <w:bCs/>
          <w:color w:val="auto"/>
          <w:kern w:val="0"/>
          <w:sz w:val="28"/>
          <w:szCs w:val="21"/>
          <w:highlight w:val="none"/>
          <w:u w:val="single"/>
        </w:rPr>
        <w:t xml:space="preserve">           </w:t>
      </w:r>
      <w:r>
        <w:rPr>
          <w:rFonts w:hint="eastAsia" w:ascii="微软雅黑" w:hAnsi="宋体" w:eastAsia="微软雅黑"/>
          <w:bCs/>
          <w:color w:val="auto"/>
          <w:kern w:val="0"/>
          <w:sz w:val="28"/>
          <w:szCs w:val="21"/>
          <w:highlight w:val="none"/>
        </w:rPr>
        <w:t>日</w:t>
      </w:r>
    </w:p>
    <w:p w14:paraId="5A69725C">
      <w:pPr>
        <w:jc w:val="left"/>
        <w:rPr>
          <w:rFonts w:ascii="黑体" w:hAnsi="黑体" w:eastAsia="黑体"/>
          <w:color w:val="auto"/>
          <w:kern w:val="0"/>
          <w:sz w:val="36"/>
          <w:szCs w:val="36"/>
          <w:highlight w:val="none"/>
        </w:rPr>
      </w:pPr>
      <w:r>
        <w:rPr>
          <w:rFonts w:ascii="黑体" w:hAnsi="黑体" w:eastAsia="黑体"/>
          <w:color w:val="auto"/>
          <w:kern w:val="0"/>
          <w:sz w:val="36"/>
          <w:szCs w:val="36"/>
          <w:highlight w:val="none"/>
        </w:rPr>
        <w:br w:type="page"/>
      </w:r>
    </w:p>
    <w:p w14:paraId="22049793">
      <w:pPr>
        <w:adjustRightInd w:val="0"/>
        <w:snapToGrid w:val="0"/>
        <w:spacing w:line="360" w:lineRule="auto"/>
        <w:jc w:val="center"/>
        <w:rPr>
          <w:rFonts w:ascii="黑体" w:hAnsi="黑体" w:eastAsia="黑体"/>
          <w:color w:val="auto"/>
          <w:kern w:val="0"/>
          <w:sz w:val="36"/>
          <w:szCs w:val="36"/>
          <w:highlight w:val="none"/>
        </w:rPr>
      </w:pPr>
      <w:r>
        <w:rPr>
          <w:rFonts w:hint="eastAsia" w:ascii="黑体" w:hAnsi="黑体" w:eastAsia="黑体"/>
          <w:color w:val="auto"/>
          <w:kern w:val="0"/>
          <w:sz w:val="36"/>
          <w:szCs w:val="36"/>
          <w:highlight w:val="none"/>
        </w:rPr>
        <w:t>资格审查文件目录</w:t>
      </w:r>
    </w:p>
    <w:p w14:paraId="4A777A66">
      <w:pPr>
        <w:adjustRightInd w:val="0"/>
        <w:snapToGrid w:val="0"/>
        <w:spacing w:line="360" w:lineRule="auto"/>
        <w:ind w:firstLine="480" w:firstLineChars="200"/>
        <w:rPr>
          <w:rFonts w:hAnsi="宋体"/>
          <w:color w:val="auto"/>
          <w:kern w:val="0"/>
          <w:sz w:val="24"/>
          <w:highlight w:val="none"/>
        </w:rPr>
      </w:pPr>
    </w:p>
    <w:p w14:paraId="6970F9C4">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一、投标人营业执照；</w:t>
      </w:r>
    </w:p>
    <w:p w14:paraId="60A40DC7">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二、投标人资质证书；</w:t>
      </w:r>
    </w:p>
    <w:p w14:paraId="6532F80B">
      <w:pPr>
        <w:pStyle w:val="23"/>
        <w:spacing w:line="560" w:lineRule="exact"/>
        <w:ind w:firstLine="560"/>
        <w:rPr>
          <w:rFonts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三、</w:t>
      </w:r>
      <w:r>
        <w:rPr>
          <w:rFonts w:ascii="仿宋" w:hAnsi="仿宋" w:eastAsia="仿宋"/>
          <w:bCs/>
          <w:color w:val="auto"/>
          <w:kern w:val="0"/>
          <w:sz w:val="28"/>
          <w:szCs w:val="28"/>
          <w:highlight w:val="none"/>
        </w:rPr>
        <w:t>投标人拟派出的</w:t>
      </w:r>
      <w:r>
        <w:rPr>
          <w:rFonts w:hint="eastAsia" w:ascii="仿宋" w:hAnsi="仿宋" w:eastAsia="仿宋"/>
          <w:bCs/>
          <w:color w:val="auto"/>
          <w:kern w:val="0"/>
          <w:sz w:val="28"/>
          <w:szCs w:val="28"/>
          <w:highlight w:val="none"/>
        </w:rPr>
        <w:t>项目负责人资格证书</w:t>
      </w:r>
      <w:r>
        <w:rPr>
          <w:rFonts w:ascii="仿宋" w:hAnsi="仿宋" w:eastAsia="仿宋"/>
          <w:bCs/>
          <w:color w:val="auto"/>
          <w:kern w:val="0"/>
          <w:sz w:val="28"/>
          <w:szCs w:val="28"/>
          <w:highlight w:val="none"/>
        </w:rPr>
        <w:t>；</w:t>
      </w:r>
    </w:p>
    <w:p w14:paraId="3839014D">
      <w:pPr>
        <w:pStyle w:val="23"/>
        <w:spacing w:line="560" w:lineRule="exact"/>
        <w:ind w:firstLine="560"/>
        <w:rPr>
          <w:rFonts w:hint="eastAsia" w:ascii="仿宋" w:hAnsi="仿宋" w:eastAsia="仿宋"/>
          <w:bCs/>
          <w:color w:val="auto"/>
          <w:kern w:val="0"/>
          <w:sz w:val="28"/>
          <w:szCs w:val="28"/>
          <w:highlight w:val="none"/>
        </w:rPr>
      </w:pPr>
      <w:r>
        <w:rPr>
          <w:rFonts w:hint="eastAsia" w:ascii="仿宋" w:hAnsi="仿宋" w:eastAsia="仿宋"/>
          <w:bCs/>
          <w:color w:val="auto"/>
          <w:kern w:val="0"/>
          <w:sz w:val="28"/>
          <w:szCs w:val="28"/>
          <w:highlight w:val="none"/>
        </w:rPr>
        <w:t xml:space="preserve">四、招标人要求提供的与投标人资格条件审查有关的其他证明材料： </w:t>
      </w:r>
    </w:p>
    <w:p w14:paraId="625313E6">
      <w:pPr>
        <w:pStyle w:val="23"/>
        <w:spacing w:line="560" w:lineRule="exact"/>
        <w:ind w:firstLine="560"/>
        <w:rPr>
          <w:rFonts w:hint="eastAsia" w:ascii="仿宋" w:hAnsi="仿宋" w:eastAsia="仿宋"/>
          <w:bCs/>
          <w:color w:val="auto"/>
          <w:kern w:val="0"/>
          <w:sz w:val="28"/>
          <w:szCs w:val="28"/>
          <w:highlight w:val="none"/>
          <w:lang w:eastAsia="zh-CN"/>
        </w:rPr>
      </w:pPr>
      <w:r>
        <w:rPr>
          <w:rFonts w:hint="eastAsia" w:ascii="仿宋" w:hAnsi="仿宋" w:eastAsia="仿宋"/>
          <w:bCs/>
          <w:color w:val="auto"/>
          <w:kern w:val="0"/>
          <w:sz w:val="28"/>
          <w:szCs w:val="28"/>
          <w:highlight w:val="none"/>
          <w:lang w:eastAsia="zh-CN"/>
        </w:rPr>
        <w:t>（</w:t>
      </w:r>
      <w:r>
        <w:rPr>
          <w:rFonts w:hint="eastAsia" w:ascii="仿宋" w:hAnsi="仿宋" w:eastAsia="仿宋"/>
          <w:bCs/>
          <w:color w:val="auto"/>
          <w:kern w:val="0"/>
          <w:sz w:val="28"/>
          <w:szCs w:val="28"/>
          <w:highlight w:val="none"/>
        </w:rPr>
        <w:t>包括但不限于投标须知前附表1投标人资格要求提供的所有证明材料</w:t>
      </w:r>
      <w:r>
        <w:rPr>
          <w:rFonts w:hint="eastAsia" w:ascii="仿宋" w:hAnsi="仿宋" w:eastAsia="仿宋"/>
          <w:bCs/>
          <w:color w:val="auto"/>
          <w:kern w:val="0"/>
          <w:sz w:val="28"/>
          <w:szCs w:val="28"/>
          <w:highlight w:val="none"/>
          <w:lang w:eastAsia="zh-CN"/>
        </w:rPr>
        <w:t>）：</w:t>
      </w:r>
    </w:p>
    <w:p w14:paraId="0A53A321">
      <w:pPr>
        <w:widowControl w:val="0"/>
        <w:spacing w:line="480" w:lineRule="auto"/>
        <w:ind w:firstLine="560" w:firstLineChars="200"/>
        <w:rPr>
          <w:rFonts w:ascii="仿宋" w:hAnsi="仿宋" w:eastAsia="仿宋"/>
          <w:bCs/>
          <w:color w:val="auto"/>
          <w:kern w:val="0"/>
          <w:sz w:val="28"/>
          <w:szCs w:val="21"/>
          <w:highlight w:val="none"/>
          <w:u w:val="single"/>
        </w:rPr>
      </w:pPr>
      <w:r>
        <w:rPr>
          <w:rFonts w:hint="eastAsia" w:ascii="仿宋" w:hAnsi="仿宋" w:eastAsia="仿宋"/>
          <w:bCs/>
          <w:color w:val="auto"/>
          <w:kern w:val="0"/>
          <w:sz w:val="28"/>
          <w:szCs w:val="21"/>
          <w:highlight w:val="none"/>
          <w:u w:val="none"/>
          <w:lang w:val="en-US" w:eastAsia="zh-CN"/>
        </w:rPr>
        <w:t xml:space="preserve">  </w:t>
      </w:r>
      <w:r>
        <w:rPr>
          <w:rFonts w:hint="eastAsia" w:ascii="仿宋" w:hAnsi="仿宋" w:eastAsia="仿宋"/>
          <w:bCs/>
          <w:color w:val="auto"/>
          <w:kern w:val="0"/>
          <w:sz w:val="28"/>
          <w:szCs w:val="21"/>
          <w:highlight w:val="none"/>
          <w:u w:val="single"/>
        </w:rPr>
        <w:t xml:space="preserve">                                                       </w:t>
      </w:r>
    </w:p>
    <w:p w14:paraId="54627D99">
      <w:pPr>
        <w:widowControl w:val="0"/>
        <w:spacing w:line="480" w:lineRule="auto"/>
        <w:ind w:firstLine="840" w:firstLineChars="300"/>
        <w:rPr>
          <w:rFonts w:ascii="仿宋" w:hAnsi="仿宋" w:eastAsia="仿宋"/>
          <w:bCs/>
          <w:color w:val="auto"/>
          <w:kern w:val="0"/>
          <w:sz w:val="28"/>
          <w:szCs w:val="21"/>
          <w:highlight w:val="none"/>
          <w:u w:val="single"/>
        </w:rPr>
      </w:pPr>
      <w:r>
        <w:rPr>
          <w:rFonts w:hint="eastAsia" w:ascii="仿宋" w:hAnsi="仿宋" w:eastAsia="仿宋"/>
          <w:bCs/>
          <w:color w:val="auto"/>
          <w:kern w:val="0"/>
          <w:sz w:val="28"/>
          <w:szCs w:val="21"/>
          <w:highlight w:val="none"/>
          <w:u w:val="single"/>
        </w:rPr>
        <w:t xml:space="preserve">                                                        </w:t>
      </w:r>
    </w:p>
    <w:p w14:paraId="632CA8B8">
      <w:pPr>
        <w:widowControl w:val="0"/>
        <w:spacing w:line="480" w:lineRule="auto"/>
        <w:ind w:firstLine="840" w:firstLineChars="300"/>
        <w:rPr>
          <w:rFonts w:ascii="仿宋" w:hAnsi="仿宋" w:eastAsia="仿宋"/>
          <w:bCs/>
          <w:color w:val="auto"/>
          <w:kern w:val="0"/>
          <w:sz w:val="28"/>
          <w:szCs w:val="21"/>
          <w:highlight w:val="none"/>
          <w:u w:val="single"/>
        </w:rPr>
      </w:pPr>
      <w:r>
        <w:rPr>
          <w:rFonts w:hint="eastAsia" w:ascii="仿宋" w:hAnsi="仿宋" w:eastAsia="仿宋"/>
          <w:bCs/>
          <w:color w:val="auto"/>
          <w:kern w:val="0"/>
          <w:sz w:val="28"/>
          <w:szCs w:val="21"/>
          <w:highlight w:val="none"/>
          <w:u w:val="single"/>
        </w:rPr>
        <w:t xml:space="preserve">                                                        </w:t>
      </w:r>
    </w:p>
    <w:p w14:paraId="2618AE90">
      <w:pPr>
        <w:pStyle w:val="71"/>
        <w:ind w:firstLine="0" w:firstLineChars="0"/>
        <w:outlineLvl w:val="1"/>
        <w:rPr>
          <w:rFonts w:ascii="仿宋" w:hAnsi="仿宋" w:eastAsia="仿宋"/>
          <w:bCs/>
          <w:color w:val="auto"/>
          <w:kern w:val="0"/>
          <w:sz w:val="28"/>
          <w:szCs w:val="28"/>
          <w:highlight w:val="none"/>
        </w:rPr>
      </w:pPr>
      <w:r>
        <w:rPr>
          <w:rFonts w:ascii="微软雅黑" w:hAnsi="宋体" w:eastAsia="微软雅黑"/>
          <w:bCs/>
          <w:color w:val="auto"/>
          <w:kern w:val="0"/>
          <w:sz w:val="28"/>
          <w:highlight w:val="none"/>
        </w:rPr>
        <w:br w:type="page"/>
      </w:r>
      <w:bookmarkStart w:id="89" w:name="_Toc27323"/>
      <w:bookmarkStart w:id="90" w:name="_Toc24944"/>
      <w:r>
        <w:rPr>
          <w:rFonts w:hint="eastAsia" w:ascii="仿宋" w:hAnsi="仿宋" w:eastAsia="仿宋"/>
          <w:b/>
          <w:color w:val="auto"/>
          <w:kern w:val="0"/>
          <w:sz w:val="28"/>
          <w:szCs w:val="28"/>
          <w:highlight w:val="none"/>
        </w:rPr>
        <w:t>二、</w:t>
      </w:r>
      <w:r>
        <w:rPr>
          <w:rFonts w:hint="eastAsia" w:ascii="仿宋" w:hAnsi="仿宋" w:eastAsia="仿宋"/>
          <w:b/>
          <w:bCs/>
          <w:color w:val="auto"/>
          <w:kern w:val="0"/>
          <w:sz w:val="28"/>
          <w:szCs w:val="28"/>
          <w:highlight w:val="none"/>
        </w:rPr>
        <w:t>投标文件格式--</w:t>
      </w:r>
      <w:r>
        <w:rPr>
          <w:rFonts w:hint="eastAsia" w:ascii="仿宋" w:hAnsi="仿宋" w:eastAsia="仿宋"/>
          <w:b/>
          <w:color w:val="auto"/>
          <w:kern w:val="0"/>
          <w:sz w:val="28"/>
          <w:szCs w:val="28"/>
          <w:highlight w:val="none"/>
        </w:rPr>
        <w:t>投标函部分</w:t>
      </w:r>
      <w:bookmarkEnd w:id="89"/>
      <w:bookmarkEnd w:id="90"/>
    </w:p>
    <w:p w14:paraId="6120837F">
      <w:pPr>
        <w:pStyle w:val="18"/>
        <w:jc w:val="center"/>
        <w:rPr>
          <w:rFonts w:ascii="黑体" w:hAnsi="黑体" w:eastAsia="黑体"/>
          <w:bCs/>
          <w:color w:val="auto"/>
          <w:sz w:val="84"/>
          <w:szCs w:val="84"/>
          <w:highlight w:val="none"/>
        </w:rPr>
      </w:pPr>
    </w:p>
    <w:p w14:paraId="655317F0">
      <w:pPr>
        <w:pStyle w:val="18"/>
        <w:jc w:val="center"/>
        <w:rPr>
          <w:rFonts w:ascii="黑体" w:hAnsi="黑体" w:eastAsia="黑体"/>
          <w:bCs/>
          <w:color w:val="auto"/>
          <w:sz w:val="72"/>
          <w:szCs w:val="72"/>
          <w:highlight w:val="none"/>
        </w:rPr>
      </w:pPr>
      <w:r>
        <w:rPr>
          <w:rFonts w:hint="eastAsia" w:ascii="黑体" w:hAnsi="黑体" w:eastAsia="黑体"/>
          <w:bCs/>
          <w:color w:val="auto"/>
          <w:sz w:val="72"/>
          <w:szCs w:val="72"/>
          <w:highlight w:val="none"/>
        </w:rPr>
        <w:t>非依法必须招标项目服务类</w:t>
      </w:r>
    </w:p>
    <w:p w14:paraId="13479754">
      <w:pPr>
        <w:pStyle w:val="18"/>
        <w:jc w:val="center"/>
        <w:rPr>
          <w:rFonts w:ascii="黑体" w:hAnsi="黑体" w:eastAsia="黑体"/>
          <w:bCs/>
          <w:color w:val="auto"/>
          <w:sz w:val="84"/>
          <w:szCs w:val="84"/>
          <w:highlight w:val="none"/>
        </w:rPr>
      </w:pPr>
    </w:p>
    <w:p w14:paraId="0A35FDE8">
      <w:pPr>
        <w:pStyle w:val="18"/>
        <w:jc w:val="center"/>
        <w:rPr>
          <w:rFonts w:ascii="黑体" w:hAnsi="黑体" w:eastAsia="黑体"/>
          <w:bCs/>
          <w:color w:val="auto"/>
          <w:sz w:val="84"/>
          <w:szCs w:val="84"/>
          <w:highlight w:val="none"/>
        </w:rPr>
      </w:pPr>
      <w:r>
        <w:rPr>
          <w:rFonts w:hint="eastAsia" w:ascii="黑体" w:hAnsi="黑体" w:eastAsia="黑体"/>
          <w:bCs/>
          <w:color w:val="auto"/>
          <w:sz w:val="84"/>
          <w:szCs w:val="84"/>
          <w:highlight w:val="none"/>
        </w:rPr>
        <w:t>投 标 文 件</w:t>
      </w:r>
    </w:p>
    <w:p w14:paraId="2ECDB68C">
      <w:pPr>
        <w:widowControl w:val="0"/>
        <w:ind w:left="988"/>
        <w:jc w:val="center"/>
        <w:rPr>
          <w:rFonts w:ascii="宋体" w:hAnsi="宋体"/>
          <w:color w:val="auto"/>
          <w:kern w:val="0"/>
          <w:sz w:val="32"/>
          <w:szCs w:val="21"/>
          <w:highlight w:val="none"/>
          <w:u w:val="single"/>
        </w:rPr>
      </w:pPr>
    </w:p>
    <w:p w14:paraId="6E2C8EF6">
      <w:pPr>
        <w:widowControl w:val="0"/>
        <w:ind w:left="988"/>
        <w:jc w:val="center"/>
        <w:rPr>
          <w:rFonts w:ascii="宋体" w:hAnsi="宋体"/>
          <w:color w:val="auto"/>
          <w:kern w:val="0"/>
          <w:sz w:val="32"/>
          <w:szCs w:val="21"/>
          <w:highlight w:val="none"/>
          <w:u w:val="single"/>
        </w:rPr>
      </w:pPr>
    </w:p>
    <w:p w14:paraId="6727BDB0">
      <w:pPr>
        <w:widowControl w:val="0"/>
        <w:ind w:left="988"/>
        <w:jc w:val="center"/>
        <w:rPr>
          <w:rFonts w:ascii="宋体" w:hAnsi="宋体"/>
          <w:color w:val="auto"/>
          <w:kern w:val="0"/>
          <w:sz w:val="32"/>
          <w:szCs w:val="21"/>
          <w:highlight w:val="none"/>
          <w:u w:val="single"/>
        </w:rPr>
      </w:pPr>
    </w:p>
    <w:p w14:paraId="2DF98A49">
      <w:pPr>
        <w:widowControl w:val="0"/>
        <w:ind w:left="988"/>
        <w:jc w:val="center"/>
        <w:rPr>
          <w:rFonts w:ascii="宋体" w:hAnsi="宋体"/>
          <w:color w:val="auto"/>
          <w:kern w:val="0"/>
          <w:sz w:val="32"/>
          <w:szCs w:val="21"/>
          <w:highlight w:val="none"/>
          <w:u w:val="single"/>
        </w:rPr>
      </w:pPr>
    </w:p>
    <w:p w14:paraId="692BDDB8">
      <w:pPr>
        <w:widowControl w:val="0"/>
        <w:rPr>
          <w:rFonts w:ascii="宋体" w:hAnsi="宋体"/>
          <w:b/>
          <w:bCs/>
          <w:color w:val="auto"/>
          <w:kern w:val="0"/>
          <w:sz w:val="32"/>
          <w:szCs w:val="21"/>
          <w:highlight w:val="none"/>
        </w:rPr>
      </w:pPr>
    </w:p>
    <w:p w14:paraId="6AB7897B">
      <w:pPr>
        <w:widowControl w:val="0"/>
        <w:rPr>
          <w:rFonts w:ascii="宋体" w:hAnsi="宋体"/>
          <w:b/>
          <w:bCs/>
          <w:color w:val="auto"/>
          <w:kern w:val="0"/>
          <w:sz w:val="32"/>
          <w:szCs w:val="21"/>
          <w:highlight w:val="none"/>
        </w:rPr>
      </w:pPr>
    </w:p>
    <w:p w14:paraId="1778AD20">
      <w:pPr>
        <w:widowControl w:val="0"/>
        <w:rPr>
          <w:rFonts w:ascii="宋体" w:hAnsi="宋体"/>
          <w:b/>
          <w:bCs/>
          <w:color w:val="auto"/>
          <w:kern w:val="0"/>
          <w:sz w:val="32"/>
          <w:szCs w:val="21"/>
          <w:highlight w:val="none"/>
        </w:rPr>
      </w:pPr>
    </w:p>
    <w:p w14:paraId="2010D30E">
      <w:pPr>
        <w:widowControl w:val="0"/>
        <w:spacing w:line="480" w:lineRule="auto"/>
        <w:ind w:firstLine="840" w:firstLineChars="300"/>
        <w:rPr>
          <w:rFonts w:ascii="微软雅黑" w:hAnsi="宋体" w:eastAsia="微软雅黑"/>
          <w:bCs/>
          <w:color w:val="auto"/>
          <w:kern w:val="0"/>
          <w:sz w:val="28"/>
          <w:szCs w:val="21"/>
          <w:highlight w:val="none"/>
          <w:u w:val="single"/>
        </w:rPr>
      </w:pPr>
      <w:r>
        <w:rPr>
          <w:rFonts w:hint="eastAsia" w:ascii="微软雅黑" w:hAnsi="宋体" w:eastAsia="微软雅黑"/>
          <w:bCs/>
          <w:color w:val="auto"/>
          <w:kern w:val="0"/>
          <w:sz w:val="28"/>
          <w:szCs w:val="21"/>
          <w:highlight w:val="none"/>
        </w:rPr>
        <w:t>招标项目名称：</w:t>
      </w:r>
      <w:r>
        <w:rPr>
          <w:rFonts w:hint="eastAsia" w:ascii="微软雅黑" w:hAnsi="宋体" w:eastAsia="微软雅黑"/>
          <w:bCs/>
          <w:color w:val="auto"/>
          <w:kern w:val="0"/>
          <w:sz w:val="28"/>
          <w:szCs w:val="21"/>
          <w:highlight w:val="none"/>
          <w:u w:val="single"/>
        </w:rPr>
        <w:t xml:space="preserve">                                          </w:t>
      </w:r>
    </w:p>
    <w:p w14:paraId="71B5BDDA">
      <w:pPr>
        <w:widowControl w:val="0"/>
        <w:spacing w:line="480" w:lineRule="auto"/>
        <w:ind w:firstLine="840" w:firstLineChars="300"/>
        <w:rPr>
          <w:rFonts w:ascii="微软雅黑" w:hAnsi="宋体" w:eastAsia="微软雅黑"/>
          <w:bCs/>
          <w:color w:val="auto"/>
          <w:kern w:val="0"/>
          <w:sz w:val="28"/>
          <w:szCs w:val="21"/>
          <w:highlight w:val="none"/>
        </w:rPr>
      </w:pPr>
      <w:r>
        <w:rPr>
          <w:rFonts w:hint="eastAsia" w:ascii="微软雅黑" w:hAnsi="宋体" w:eastAsia="微软雅黑"/>
          <w:bCs/>
          <w:color w:val="auto"/>
          <w:kern w:val="0"/>
          <w:sz w:val="28"/>
          <w:szCs w:val="21"/>
          <w:highlight w:val="none"/>
        </w:rPr>
        <w:t xml:space="preserve">投标文件内容： </w:t>
      </w:r>
      <w:r>
        <w:rPr>
          <w:rFonts w:hint="eastAsia" w:ascii="微软雅黑" w:hAnsi="宋体" w:eastAsia="微软雅黑"/>
          <w:bCs/>
          <w:color w:val="auto"/>
          <w:kern w:val="0"/>
          <w:sz w:val="28"/>
          <w:szCs w:val="21"/>
          <w:highlight w:val="none"/>
          <w:u w:val="single"/>
        </w:rPr>
        <w:softHyphen/>
      </w:r>
      <w:r>
        <w:rPr>
          <w:rFonts w:hint="eastAsia" w:ascii="微软雅黑" w:hAnsi="宋体" w:eastAsia="微软雅黑"/>
          <w:bCs/>
          <w:color w:val="auto"/>
          <w:kern w:val="0"/>
          <w:sz w:val="28"/>
          <w:szCs w:val="21"/>
          <w:highlight w:val="none"/>
          <w:u w:val="single"/>
        </w:rPr>
        <w:softHyphen/>
      </w:r>
      <w:r>
        <w:rPr>
          <w:rFonts w:hint="eastAsia" w:ascii="微软雅黑" w:hAnsi="宋体" w:eastAsia="微软雅黑"/>
          <w:bCs/>
          <w:color w:val="auto"/>
          <w:kern w:val="0"/>
          <w:sz w:val="28"/>
          <w:szCs w:val="21"/>
          <w:highlight w:val="none"/>
          <w:u w:val="single"/>
        </w:rPr>
        <w:softHyphen/>
      </w:r>
      <w:r>
        <w:rPr>
          <w:rFonts w:hint="eastAsia" w:ascii="微软雅黑" w:hAnsi="宋体" w:eastAsia="微软雅黑"/>
          <w:bCs/>
          <w:color w:val="auto"/>
          <w:kern w:val="0"/>
          <w:sz w:val="28"/>
          <w:szCs w:val="21"/>
          <w:highlight w:val="none"/>
          <w:u w:val="single"/>
        </w:rPr>
        <w:softHyphen/>
      </w:r>
      <w:r>
        <w:rPr>
          <w:rFonts w:hint="eastAsia" w:ascii="微软雅黑" w:hAnsi="宋体" w:eastAsia="微软雅黑"/>
          <w:bCs/>
          <w:color w:val="auto"/>
          <w:kern w:val="0"/>
          <w:sz w:val="28"/>
          <w:szCs w:val="21"/>
          <w:highlight w:val="none"/>
          <w:u w:val="single"/>
        </w:rPr>
        <w:t xml:space="preserve">        </w:t>
      </w:r>
      <w:r>
        <w:rPr>
          <w:rFonts w:hint="eastAsia" w:ascii="微软雅黑" w:hAnsi="宋体" w:eastAsia="微软雅黑"/>
          <w:bCs/>
          <w:color w:val="auto"/>
          <w:kern w:val="0"/>
          <w:sz w:val="48"/>
          <w:szCs w:val="48"/>
          <w:highlight w:val="none"/>
          <w:u w:val="single"/>
        </w:rPr>
        <w:t>投标函部分</w:t>
      </w:r>
      <w:r>
        <w:rPr>
          <w:rFonts w:hint="eastAsia" w:ascii="微软雅黑" w:hAnsi="宋体" w:eastAsia="微软雅黑"/>
          <w:bCs/>
          <w:color w:val="auto"/>
          <w:kern w:val="0"/>
          <w:sz w:val="28"/>
          <w:szCs w:val="21"/>
          <w:highlight w:val="none"/>
          <w:u w:val="single"/>
        </w:rPr>
        <w:t xml:space="preserve">              </w:t>
      </w:r>
    </w:p>
    <w:p w14:paraId="01642EAD">
      <w:pPr>
        <w:widowControl w:val="0"/>
        <w:spacing w:line="480" w:lineRule="auto"/>
        <w:ind w:firstLine="840" w:firstLineChars="300"/>
        <w:rPr>
          <w:rFonts w:ascii="微软雅黑" w:hAnsi="宋体" w:eastAsia="微软雅黑"/>
          <w:bCs/>
          <w:color w:val="auto"/>
          <w:kern w:val="0"/>
          <w:sz w:val="28"/>
          <w:szCs w:val="21"/>
          <w:highlight w:val="none"/>
          <w:u w:val="single"/>
        </w:rPr>
      </w:pPr>
      <w:r>
        <w:rPr>
          <w:rFonts w:hint="eastAsia" w:ascii="微软雅黑" w:hAnsi="宋体" w:eastAsia="微软雅黑"/>
          <w:bCs/>
          <w:color w:val="auto"/>
          <w:kern w:val="0"/>
          <w:sz w:val="28"/>
          <w:szCs w:val="21"/>
          <w:highlight w:val="none"/>
        </w:rPr>
        <w:t>投标人（盖章）：</w:t>
      </w:r>
      <w:r>
        <w:rPr>
          <w:rFonts w:hint="eastAsia" w:ascii="微软雅黑" w:hAnsi="宋体" w:eastAsia="微软雅黑"/>
          <w:bCs/>
          <w:color w:val="auto"/>
          <w:kern w:val="0"/>
          <w:sz w:val="28"/>
          <w:szCs w:val="21"/>
          <w:highlight w:val="none"/>
          <w:u w:val="single"/>
        </w:rPr>
        <w:t xml:space="preserve">                                      </w:t>
      </w:r>
    </w:p>
    <w:p w14:paraId="6C188E27">
      <w:pPr>
        <w:widowControl w:val="0"/>
        <w:spacing w:line="480" w:lineRule="auto"/>
        <w:ind w:firstLine="840" w:firstLineChars="300"/>
        <w:rPr>
          <w:rFonts w:ascii="微软雅黑" w:hAnsi="宋体" w:eastAsia="微软雅黑"/>
          <w:bCs/>
          <w:color w:val="auto"/>
          <w:kern w:val="0"/>
          <w:sz w:val="28"/>
          <w:szCs w:val="21"/>
          <w:highlight w:val="none"/>
          <w:u w:val="single"/>
        </w:rPr>
      </w:pPr>
      <w:r>
        <w:rPr>
          <w:rFonts w:hint="eastAsia" w:ascii="微软雅黑" w:hAnsi="宋体" w:eastAsia="微软雅黑"/>
          <w:bCs/>
          <w:color w:val="auto"/>
          <w:kern w:val="0"/>
          <w:sz w:val="28"/>
          <w:szCs w:val="21"/>
          <w:highlight w:val="none"/>
        </w:rPr>
        <w:t>法定代表人或其委托代理人（签字或盖章）：</w:t>
      </w:r>
      <w:r>
        <w:rPr>
          <w:rFonts w:hint="eastAsia" w:ascii="微软雅黑" w:hAnsi="宋体" w:eastAsia="微软雅黑"/>
          <w:bCs/>
          <w:color w:val="auto"/>
          <w:kern w:val="0"/>
          <w:sz w:val="28"/>
          <w:szCs w:val="21"/>
          <w:highlight w:val="none"/>
          <w:u w:val="single"/>
        </w:rPr>
        <w:t xml:space="preserve">            </w:t>
      </w:r>
    </w:p>
    <w:p w14:paraId="4F6D6801">
      <w:pPr>
        <w:widowControl w:val="0"/>
        <w:spacing w:line="480" w:lineRule="auto"/>
        <w:ind w:firstLine="840" w:firstLineChars="300"/>
        <w:rPr>
          <w:rFonts w:ascii="微软雅黑" w:hAnsi="宋体" w:eastAsia="微软雅黑"/>
          <w:bCs/>
          <w:color w:val="auto"/>
          <w:kern w:val="0"/>
          <w:sz w:val="28"/>
          <w:szCs w:val="21"/>
          <w:highlight w:val="none"/>
        </w:rPr>
      </w:pPr>
      <w:r>
        <w:rPr>
          <w:rFonts w:hint="eastAsia" w:ascii="微软雅黑" w:hAnsi="宋体" w:eastAsia="微软雅黑"/>
          <w:bCs/>
          <w:color w:val="auto"/>
          <w:kern w:val="0"/>
          <w:sz w:val="28"/>
          <w:szCs w:val="21"/>
          <w:highlight w:val="none"/>
        </w:rPr>
        <w:t>日      期:</w:t>
      </w:r>
      <w:r>
        <w:rPr>
          <w:rFonts w:hint="eastAsia" w:ascii="微软雅黑" w:hAnsi="宋体" w:eastAsia="微软雅黑"/>
          <w:bCs/>
          <w:color w:val="auto"/>
          <w:kern w:val="0"/>
          <w:sz w:val="28"/>
          <w:szCs w:val="21"/>
          <w:highlight w:val="none"/>
          <w:u w:val="single"/>
        </w:rPr>
        <w:t xml:space="preserve">           </w:t>
      </w:r>
      <w:r>
        <w:rPr>
          <w:rFonts w:hint="eastAsia" w:ascii="微软雅黑" w:hAnsi="宋体" w:eastAsia="微软雅黑"/>
          <w:bCs/>
          <w:color w:val="auto"/>
          <w:kern w:val="0"/>
          <w:sz w:val="28"/>
          <w:szCs w:val="21"/>
          <w:highlight w:val="none"/>
        </w:rPr>
        <w:t>年</w:t>
      </w:r>
      <w:r>
        <w:rPr>
          <w:rFonts w:hint="eastAsia" w:ascii="微软雅黑" w:hAnsi="宋体" w:eastAsia="微软雅黑"/>
          <w:bCs/>
          <w:color w:val="auto"/>
          <w:kern w:val="0"/>
          <w:sz w:val="28"/>
          <w:szCs w:val="21"/>
          <w:highlight w:val="none"/>
          <w:u w:val="single"/>
        </w:rPr>
        <w:t xml:space="preserve">          </w:t>
      </w:r>
      <w:r>
        <w:rPr>
          <w:rFonts w:hint="eastAsia" w:ascii="微软雅黑" w:hAnsi="宋体" w:eastAsia="微软雅黑"/>
          <w:bCs/>
          <w:color w:val="auto"/>
          <w:kern w:val="0"/>
          <w:sz w:val="28"/>
          <w:szCs w:val="21"/>
          <w:highlight w:val="none"/>
        </w:rPr>
        <w:t>月</w:t>
      </w:r>
      <w:r>
        <w:rPr>
          <w:rFonts w:hint="eastAsia" w:ascii="微软雅黑" w:hAnsi="宋体" w:eastAsia="微软雅黑"/>
          <w:bCs/>
          <w:color w:val="auto"/>
          <w:kern w:val="0"/>
          <w:sz w:val="28"/>
          <w:szCs w:val="21"/>
          <w:highlight w:val="none"/>
          <w:u w:val="single"/>
        </w:rPr>
        <w:t xml:space="preserve">          </w:t>
      </w:r>
      <w:r>
        <w:rPr>
          <w:rFonts w:hint="eastAsia" w:ascii="微软雅黑" w:hAnsi="宋体" w:eastAsia="微软雅黑"/>
          <w:bCs/>
          <w:color w:val="auto"/>
          <w:kern w:val="0"/>
          <w:sz w:val="28"/>
          <w:szCs w:val="21"/>
          <w:highlight w:val="none"/>
        </w:rPr>
        <w:t>日</w:t>
      </w:r>
    </w:p>
    <w:p w14:paraId="0A92229B">
      <w:pPr>
        <w:jc w:val="left"/>
        <w:rPr>
          <w:rFonts w:ascii="黑体" w:hAnsi="黑体" w:eastAsia="黑体"/>
          <w:color w:val="auto"/>
          <w:kern w:val="0"/>
          <w:sz w:val="36"/>
          <w:szCs w:val="36"/>
          <w:highlight w:val="none"/>
        </w:rPr>
      </w:pPr>
      <w:r>
        <w:rPr>
          <w:rFonts w:ascii="黑体" w:hAnsi="黑体" w:eastAsia="黑体"/>
          <w:color w:val="auto"/>
          <w:kern w:val="0"/>
          <w:sz w:val="36"/>
          <w:szCs w:val="36"/>
          <w:highlight w:val="none"/>
        </w:rPr>
        <w:br w:type="page"/>
      </w:r>
    </w:p>
    <w:p w14:paraId="28C8288E">
      <w:pPr>
        <w:adjustRightInd w:val="0"/>
        <w:snapToGrid w:val="0"/>
        <w:spacing w:line="360" w:lineRule="auto"/>
        <w:jc w:val="center"/>
        <w:rPr>
          <w:rFonts w:ascii="黑体" w:hAnsi="黑体" w:eastAsia="黑体"/>
          <w:color w:val="auto"/>
          <w:kern w:val="0"/>
          <w:sz w:val="36"/>
          <w:szCs w:val="36"/>
          <w:highlight w:val="none"/>
        </w:rPr>
      </w:pPr>
      <w:r>
        <w:rPr>
          <w:rFonts w:hint="eastAsia" w:ascii="黑体" w:hAnsi="黑体" w:eastAsia="黑体"/>
          <w:color w:val="auto"/>
          <w:kern w:val="0"/>
          <w:sz w:val="36"/>
          <w:szCs w:val="36"/>
          <w:highlight w:val="none"/>
        </w:rPr>
        <w:t>投标函部分目录</w:t>
      </w:r>
    </w:p>
    <w:p w14:paraId="51C6C367">
      <w:pPr>
        <w:pStyle w:val="18"/>
        <w:jc w:val="center"/>
        <w:rPr>
          <w:rFonts w:ascii="楷体_GB2312"/>
          <w:b/>
          <w:bCs/>
          <w:color w:val="auto"/>
          <w:sz w:val="44"/>
          <w:highlight w:val="none"/>
        </w:rPr>
      </w:pPr>
    </w:p>
    <w:p w14:paraId="543F77BE">
      <w:pPr>
        <w:adjustRightInd w:val="0"/>
        <w:snapToGrid w:val="0"/>
        <w:spacing w:line="560" w:lineRule="exact"/>
        <w:ind w:firstLine="560" w:firstLineChars="2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一、法定代表人资格证明书</w:t>
      </w:r>
    </w:p>
    <w:p w14:paraId="4F351C0C">
      <w:pPr>
        <w:adjustRightInd w:val="0"/>
        <w:snapToGrid w:val="0"/>
        <w:spacing w:line="560" w:lineRule="exact"/>
        <w:ind w:firstLine="560" w:firstLineChars="2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二、投标文件签署授权委托书</w:t>
      </w:r>
    </w:p>
    <w:p w14:paraId="089E5D4F">
      <w:pPr>
        <w:adjustRightInd w:val="0"/>
        <w:snapToGrid w:val="0"/>
        <w:spacing w:line="560" w:lineRule="exact"/>
        <w:ind w:firstLine="560" w:firstLineChars="2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三、投标函</w:t>
      </w:r>
    </w:p>
    <w:p w14:paraId="0C63B6EB">
      <w:pPr>
        <w:adjustRightInd w:val="0"/>
        <w:snapToGrid w:val="0"/>
        <w:spacing w:line="560" w:lineRule="exact"/>
        <w:ind w:firstLine="560" w:firstLineChars="2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四、投标担保证明</w:t>
      </w:r>
    </w:p>
    <w:p w14:paraId="240FD16E">
      <w:pPr>
        <w:adjustRightInd w:val="0"/>
        <w:snapToGrid w:val="0"/>
        <w:spacing w:line="560" w:lineRule="exact"/>
        <w:ind w:firstLine="560" w:firstLineChars="2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五、廉洁投标承诺书</w:t>
      </w:r>
    </w:p>
    <w:p w14:paraId="4ADA6A54">
      <w:pPr>
        <w:adjustRightInd w:val="0"/>
        <w:snapToGrid w:val="0"/>
        <w:spacing w:line="560" w:lineRule="exact"/>
        <w:ind w:firstLine="560" w:firstLineChars="2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六、招标文件要求投标人提交的其他资料：</w:t>
      </w:r>
    </w:p>
    <w:p w14:paraId="327B3DF0">
      <w:pPr>
        <w:adjustRightInd w:val="0"/>
        <w:snapToGrid w:val="0"/>
        <w:spacing w:line="560" w:lineRule="exact"/>
        <w:ind w:firstLine="560" w:firstLineChars="200"/>
        <w:rPr>
          <w:rFonts w:ascii="仿宋_GB2312" w:hAnsi="宋体" w:eastAsia="仿宋_GB2312"/>
          <w:color w:val="auto"/>
          <w:kern w:val="0"/>
          <w:sz w:val="28"/>
          <w:szCs w:val="28"/>
          <w:highlight w:val="none"/>
        </w:rPr>
      </w:pPr>
      <w:r>
        <w:rPr>
          <w:rFonts w:hint="eastAsia" w:ascii="仿宋_GB2312" w:hAnsi="宋体" w:eastAsia="仿宋_GB2312"/>
          <w:color w:val="auto"/>
          <w:kern w:val="0"/>
          <w:sz w:val="28"/>
          <w:szCs w:val="28"/>
          <w:highlight w:val="none"/>
          <w:u w:val="single"/>
        </w:rPr>
        <w:t xml:space="preserve">                                             </w:t>
      </w:r>
    </w:p>
    <w:p w14:paraId="2B5E212C">
      <w:pPr>
        <w:adjustRightInd w:val="0"/>
        <w:snapToGrid w:val="0"/>
        <w:spacing w:line="560" w:lineRule="exact"/>
        <w:ind w:firstLine="560" w:firstLineChars="200"/>
        <w:rPr>
          <w:rFonts w:ascii="仿宋_GB2312" w:hAnsi="宋体" w:eastAsia="仿宋_GB2312"/>
          <w:color w:val="auto"/>
          <w:kern w:val="0"/>
          <w:sz w:val="28"/>
          <w:szCs w:val="28"/>
          <w:highlight w:val="none"/>
          <w:u w:val="single"/>
        </w:rPr>
      </w:pPr>
      <w:r>
        <w:rPr>
          <w:rFonts w:hint="eastAsia" w:ascii="仿宋_GB2312" w:hAnsi="宋体" w:eastAsia="仿宋_GB2312"/>
          <w:color w:val="auto"/>
          <w:kern w:val="0"/>
          <w:sz w:val="28"/>
          <w:szCs w:val="28"/>
          <w:highlight w:val="none"/>
          <w:u w:val="single"/>
        </w:rPr>
        <w:t xml:space="preserve">                                              </w:t>
      </w:r>
    </w:p>
    <w:p w14:paraId="50B1F601">
      <w:pPr>
        <w:adjustRightInd w:val="0"/>
        <w:snapToGrid w:val="0"/>
        <w:spacing w:line="360" w:lineRule="auto"/>
        <w:jc w:val="center"/>
        <w:rPr>
          <w:rFonts w:ascii="黑体" w:hAnsi="黑体" w:eastAsia="黑体"/>
          <w:color w:val="auto"/>
          <w:kern w:val="0"/>
          <w:sz w:val="36"/>
          <w:szCs w:val="36"/>
          <w:highlight w:val="none"/>
        </w:rPr>
      </w:pPr>
      <w:r>
        <w:rPr>
          <w:rFonts w:ascii="宋体" w:hAnsi="宋体"/>
          <w:b/>
          <w:color w:val="auto"/>
          <w:sz w:val="32"/>
          <w:szCs w:val="32"/>
          <w:highlight w:val="none"/>
        </w:rPr>
        <w:br w:type="page"/>
      </w:r>
      <w:r>
        <w:rPr>
          <w:rFonts w:hint="eastAsia" w:ascii="黑体" w:hAnsi="黑体" w:eastAsia="黑体"/>
          <w:color w:val="auto"/>
          <w:kern w:val="0"/>
          <w:sz w:val="36"/>
          <w:szCs w:val="36"/>
          <w:highlight w:val="none"/>
        </w:rPr>
        <w:t>法定代表人资格证明书</w:t>
      </w:r>
    </w:p>
    <w:p w14:paraId="77E79031">
      <w:pPr>
        <w:pStyle w:val="18"/>
        <w:spacing w:line="360" w:lineRule="auto"/>
        <w:ind w:firstLine="480" w:firstLineChars="200"/>
        <w:rPr>
          <w:color w:val="auto"/>
          <w:sz w:val="24"/>
          <w:highlight w:val="none"/>
        </w:rPr>
      </w:pPr>
    </w:p>
    <w:p w14:paraId="47B19B1D">
      <w:pPr>
        <w:pStyle w:val="18"/>
        <w:spacing w:line="360" w:lineRule="auto"/>
        <w:ind w:left="279" w:leftChars="133"/>
        <w:rPr>
          <w:color w:val="auto"/>
          <w:sz w:val="28"/>
          <w:highlight w:val="none"/>
        </w:rPr>
      </w:pPr>
    </w:p>
    <w:p w14:paraId="1971EE0A">
      <w:pPr>
        <w:pStyle w:val="18"/>
        <w:spacing w:line="480" w:lineRule="auto"/>
        <w:ind w:left="279" w:leftChars="133"/>
        <w:rPr>
          <w:rFonts w:ascii="仿宋" w:hAnsi="仿宋" w:eastAsia="仿宋"/>
          <w:color w:val="auto"/>
          <w:sz w:val="28"/>
          <w:szCs w:val="28"/>
          <w:highlight w:val="none"/>
          <w:u w:val="single"/>
        </w:rPr>
      </w:pPr>
      <w:r>
        <w:rPr>
          <w:rFonts w:hint="eastAsia" w:ascii="仿宋" w:hAnsi="仿宋" w:eastAsia="仿宋"/>
          <w:color w:val="auto"/>
          <w:sz w:val="28"/>
          <w:szCs w:val="28"/>
          <w:highlight w:val="none"/>
        </w:rPr>
        <w:t>单位名称：</w:t>
      </w:r>
      <w:r>
        <w:rPr>
          <w:rFonts w:hint="eastAsia" w:ascii="仿宋" w:hAnsi="仿宋" w:eastAsia="仿宋"/>
          <w:color w:val="auto"/>
          <w:sz w:val="28"/>
          <w:szCs w:val="28"/>
          <w:highlight w:val="none"/>
          <w:u w:val="single"/>
        </w:rPr>
        <w:t xml:space="preserve">                                                      </w:t>
      </w:r>
    </w:p>
    <w:p w14:paraId="7E535F0A">
      <w:pPr>
        <w:pStyle w:val="18"/>
        <w:spacing w:line="480" w:lineRule="auto"/>
        <w:ind w:left="279" w:leftChars="133"/>
        <w:rPr>
          <w:rFonts w:ascii="仿宋" w:hAnsi="仿宋" w:eastAsia="仿宋"/>
          <w:color w:val="auto"/>
          <w:sz w:val="28"/>
          <w:szCs w:val="28"/>
          <w:highlight w:val="none"/>
          <w:u w:val="single"/>
        </w:rPr>
      </w:pPr>
      <w:r>
        <w:rPr>
          <w:rFonts w:hint="eastAsia" w:ascii="仿宋" w:hAnsi="仿宋" w:eastAsia="仿宋"/>
          <w:color w:val="auto"/>
          <w:sz w:val="28"/>
          <w:szCs w:val="28"/>
          <w:highlight w:val="none"/>
        </w:rPr>
        <w:t>地    址：</w:t>
      </w:r>
      <w:r>
        <w:rPr>
          <w:rFonts w:hint="eastAsia" w:ascii="仿宋" w:hAnsi="仿宋" w:eastAsia="仿宋"/>
          <w:color w:val="auto"/>
          <w:sz w:val="28"/>
          <w:szCs w:val="28"/>
          <w:highlight w:val="none"/>
          <w:u w:val="single"/>
        </w:rPr>
        <w:t xml:space="preserve">                                                      </w:t>
      </w:r>
    </w:p>
    <w:p w14:paraId="37A51A7A">
      <w:pPr>
        <w:pStyle w:val="18"/>
        <w:spacing w:line="480" w:lineRule="auto"/>
        <w:ind w:left="279" w:leftChars="133"/>
        <w:rPr>
          <w:rFonts w:ascii="仿宋" w:hAnsi="仿宋" w:eastAsia="仿宋"/>
          <w:color w:val="auto"/>
          <w:sz w:val="28"/>
          <w:szCs w:val="28"/>
          <w:highlight w:val="none"/>
          <w:u w:val="single"/>
        </w:rPr>
      </w:pPr>
      <w:r>
        <w:rPr>
          <w:rFonts w:hint="eastAsia" w:ascii="仿宋" w:hAnsi="仿宋" w:eastAsia="仿宋"/>
          <w:color w:val="auto"/>
          <w:sz w:val="28"/>
          <w:szCs w:val="28"/>
          <w:highlight w:val="none"/>
        </w:rPr>
        <w:t>姓名：</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 xml:space="preserve"> 性别：</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 xml:space="preserve"> 年龄：</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 xml:space="preserve"> 职务：</w:t>
      </w:r>
      <w:r>
        <w:rPr>
          <w:rFonts w:hint="eastAsia" w:ascii="仿宋" w:hAnsi="仿宋" w:eastAsia="仿宋"/>
          <w:color w:val="auto"/>
          <w:sz w:val="28"/>
          <w:szCs w:val="28"/>
          <w:highlight w:val="none"/>
          <w:u w:val="single"/>
        </w:rPr>
        <w:t xml:space="preserve">               </w:t>
      </w:r>
    </w:p>
    <w:p w14:paraId="6E411AE8">
      <w:pPr>
        <w:pStyle w:val="18"/>
        <w:spacing w:line="480" w:lineRule="auto"/>
        <w:ind w:left="279" w:leftChars="133"/>
        <w:rPr>
          <w:rFonts w:ascii="仿宋" w:hAnsi="仿宋" w:eastAsia="仿宋"/>
          <w:color w:val="auto"/>
          <w:sz w:val="28"/>
          <w:szCs w:val="28"/>
          <w:highlight w:val="none"/>
        </w:rPr>
      </w:pPr>
      <w:r>
        <w:rPr>
          <w:rFonts w:hint="eastAsia" w:ascii="仿宋" w:hAnsi="仿宋" w:eastAsia="仿宋"/>
          <w:color w:val="auto"/>
          <w:sz w:val="28"/>
          <w:szCs w:val="28"/>
          <w:highlight w:val="none"/>
        </w:rPr>
        <w:t>系</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的法定代表人。</w:t>
      </w:r>
    </w:p>
    <w:p w14:paraId="674DB8AC">
      <w:pPr>
        <w:pStyle w:val="18"/>
        <w:spacing w:line="480" w:lineRule="auto"/>
        <w:ind w:left="359" w:leftChars="171"/>
        <w:rPr>
          <w:rFonts w:ascii="仿宋" w:hAnsi="仿宋" w:eastAsia="仿宋"/>
          <w:color w:val="auto"/>
          <w:sz w:val="28"/>
          <w:szCs w:val="28"/>
          <w:highlight w:val="none"/>
        </w:rPr>
      </w:pPr>
      <w:r>
        <w:rPr>
          <w:rFonts w:hint="eastAsia" w:ascii="仿宋" w:hAnsi="仿宋" w:eastAsia="仿宋"/>
          <w:color w:val="auto"/>
          <w:sz w:val="28"/>
          <w:szCs w:val="28"/>
          <w:highlight w:val="none"/>
        </w:rPr>
        <w:t>特此证明。</w:t>
      </w:r>
    </w:p>
    <w:p w14:paraId="3EBAC56C">
      <w:pPr>
        <w:pStyle w:val="18"/>
        <w:spacing w:line="480" w:lineRule="auto"/>
        <w:ind w:left="359" w:leftChars="171"/>
        <w:rPr>
          <w:rFonts w:ascii="仿宋" w:hAnsi="仿宋" w:eastAsia="仿宋"/>
          <w:color w:val="auto"/>
          <w:sz w:val="28"/>
          <w:szCs w:val="28"/>
          <w:highlight w:val="none"/>
        </w:rPr>
      </w:pPr>
    </w:p>
    <w:p w14:paraId="36F1D7E5">
      <w:pPr>
        <w:tabs>
          <w:tab w:val="left" w:pos="7740"/>
        </w:tabs>
        <w:rPr>
          <w:rFonts w:ascii="仿宋" w:hAnsi="仿宋" w:eastAsia="仿宋" w:cs="仿宋_GB2312"/>
          <w:color w:val="auto"/>
          <w:sz w:val="28"/>
          <w:szCs w:val="28"/>
          <w:highlight w:val="none"/>
        </w:rPr>
      </w:pPr>
    </w:p>
    <w:tbl>
      <w:tblPr>
        <w:tblStyle w:val="35"/>
        <w:tblW w:w="8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3"/>
      </w:tblGrid>
      <w:tr w14:paraId="7DB09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50" w:hRule="atLeast"/>
          <w:jc w:val="center"/>
        </w:trPr>
        <w:tc>
          <w:tcPr>
            <w:tcW w:w="8763" w:type="dxa"/>
            <w:noWrap w:val="0"/>
            <w:vAlign w:val="center"/>
          </w:tcPr>
          <w:p w14:paraId="57CEFAA7">
            <w:pPr>
              <w:tabs>
                <w:tab w:val="left" w:pos="7740"/>
              </w:tabs>
              <w:jc w:val="center"/>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粘贴法定代表人身份证复印件</w:t>
            </w:r>
          </w:p>
        </w:tc>
      </w:tr>
    </w:tbl>
    <w:p w14:paraId="21551A68">
      <w:pPr>
        <w:tabs>
          <w:tab w:val="left" w:pos="7740"/>
        </w:tabs>
        <w:rPr>
          <w:rFonts w:ascii="仿宋" w:hAnsi="仿宋" w:eastAsia="仿宋" w:cs="仿宋_GB2312"/>
          <w:color w:val="auto"/>
          <w:sz w:val="28"/>
          <w:szCs w:val="28"/>
          <w:highlight w:val="none"/>
        </w:rPr>
      </w:pPr>
    </w:p>
    <w:p w14:paraId="386DE789">
      <w:pPr>
        <w:pStyle w:val="18"/>
        <w:spacing w:line="480" w:lineRule="auto"/>
        <w:ind w:left="133" w:firstLine="720"/>
        <w:rPr>
          <w:rFonts w:ascii="仿宋" w:hAnsi="仿宋" w:eastAsia="仿宋"/>
          <w:color w:val="auto"/>
          <w:sz w:val="28"/>
          <w:szCs w:val="28"/>
          <w:highlight w:val="none"/>
        </w:rPr>
      </w:pPr>
    </w:p>
    <w:p w14:paraId="0630E22E">
      <w:pPr>
        <w:pStyle w:val="18"/>
        <w:spacing w:line="480" w:lineRule="auto"/>
        <w:ind w:left="133" w:firstLine="1470" w:firstLineChars="525"/>
        <w:rPr>
          <w:rFonts w:ascii="仿宋" w:hAnsi="仿宋" w:eastAsia="仿宋"/>
          <w:color w:val="auto"/>
          <w:sz w:val="28"/>
          <w:szCs w:val="28"/>
          <w:highlight w:val="none"/>
          <w:u w:val="single"/>
        </w:rPr>
      </w:pPr>
      <w:r>
        <w:rPr>
          <w:rFonts w:hint="eastAsia" w:ascii="仿宋" w:hAnsi="仿宋" w:eastAsia="仿宋"/>
          <w:color w:val="auto"/>
          <w:sz w:val="28"/>
          <w:szCs w:val="28"/>
          <w:highlight w:val="none"/>
        </w:rPr>
        <w:t>投标人(盖章)：</w:t>
      </w:r>
      <w:r>
        <w:rPr>
          <w:rFonts w:hint="eastAsia" w:ascii="仿宋" w:hAnsi="仿宋" w:eastAsia="仿宋"/>
          <w:color w:val="auto"/>
          <w:sz w:val="28"/>
          <w:szCs w:val="28"/>
          <w:highlight w:val="none"/>
          <w:u w:val="single"/>
        </w:rPr>
        <w:t xml:space="preserve">                                 </w:t>
      </w:r>
    </w:p>
    <w:p w14:paraId="1DAAA602">
      <w:pPr>
        <w:pStyle w:val="18"/>
        <w:spacing w:line="480" w:lineRule="auto"/>
        <w:ind w:left="133" w:firstLine="1470" w:firstLineChars="525"/>
        <w:rPr>
          <w:rFonts w:ascii="仿宋" w:hAnsi="仿宋" w:eastAsia="仿宋"/>
          <w:color w:val="auto"/>
          <w:sz w:val="28"/>
          <w:szCs w:val="28"/>
          <w:highlight w:val="none"/>
          <w:u w:val="single"/>
        </w:rPr>
      </w:pPr>
    </w:p>
    <w:p w14:paraId="41DE2F14">
      <w:pPr>
        <w:pStyle w:val="18"/>
        <w:spacing w:line="480" w:lineRule="auto"/>
        <w:ind w:left="133" w:firstLine="1470" w:firstLineChars="525"/>
        <w:rPr>
          <w:rFonts w:ascii="仿宋" w:hAnsi="仿宋" w:eastAsia="仿宋"/>
          <w:color w:val="auto"/>
          <w:sz w:val="28"/>
          <w:szCs w:val="28"/>
          <w:highlight w:val="none"/>
        </w:rPr>
      </w:pPr>
      <w:r>
        <w:rPr>
          <w:rFonts w:hint="eastAsia" w:ascii="仿宋" w:hAnsi="仿宋" w:eastAsia="仿宋"/>
          <w:color w:val="auto"/>
          <w:sz w:val="28"/>
          <w:szCs w:val="28"/>
          <w:highlight w:val="none"/>
        </w:rPr>
        <w:t>日         期：</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年</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月</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日</w:t>
      </w:r>
    </w:p>
    <w:p w14:paraId="7A788E33">
      <w:pPr>
        <w:adjustRightInd w:val="0"/>
        <w:snapToGrid w:val="0"/>
        <w:spacing w:line="360" w:lineRule="auto"/>
        <w:jc w:val="center"/>
        <w:rPr>
          <w:rFonts w:ascii="黑体" w:hAnsi="黑体" w:eastAsia="黑体"/>
          <w:color w:val="auto"/>
          <w:kern w:val="0"/>
          <w:sz w:val="36"/>
          <w:szCs w:val="36"/>
          <w:highlight w:val="none"/>
        </w:rPr>
      </w:pPr>
      <w:r>
        <w:rPr>
          <w:rFonts w:hint="eastAsia" w:ascii="黑体" w:hAnsi="黑体" w:eastAsia="黑体"/>
          <w:color w:val="auto"/>
          <w:kern w:val="0"/>
          <w:sz w:val="36"/>
          <w:szCs w:val="36"/>
          <w:highlight w:val="none"/>
        </w:rPr>
        <w:t>投标文件签署授权委托书</w:t>
      </w:r>
    </w:p>
    <w:p w14:paraId="64EC45BB">
      <w:pPr>
        <w:pStyle w:val="18"/>
        <w:spacing w:afterLines="50" w:line="440" w:lineRule="exact"/>
        <w:jc w:val="center"/>
        <w:rPr>
          <w:rFonts w:ascii="华文细黑" w:hAnsi="宋体" w:eastAsia="华文细黑"/>
          <w:color w:val="auto"/>
          <w:sz w:val="44"/>
          <w:highlight w:val="none"/>
        </w:rPr>
      </w:pPr>
    </w:p>
    <w:p w14:paraId="12BD8369">
      <w:pPr>
        <w:pStyle w:val="18"/>
        <w:spacing w:line="560" w:lineRule="exact"/>
        <w:ind w:left="178" w:leftChars="85" w:firstLine="560" w:firstLineChars="200"/>
        <w:jc w:val="left"/>
        <w:rPr>
          <w:rFonts w:ascii="仿宋" w:hAnsi="仿宋" w:eastAsia="仿宋"/>
          <w:color w:val="auto"/>
          <w:sz w:val="28"/>
          <w:szCs w:val="28"/>
          <w:highlight w:val="none"/>
        </w:rPr>
      </w:pPr>
      <w:r>
        <w:rPr>
          <w:rFonts w:hint="eastAsia" w:ascii="仿宋" w:hAnsi="仿宋" w:eastAsia="仿宋"/>
          <w:color w:val="auto"/>
          <w:sz w:val="28"/>
          <w:szCs w:val="28"/>
          <w:highlight w:val="none"/>
        </w:rPr>
        <w:t>本授权委托书声明：我</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(姓名)系</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(投标人名称)的法定代表人，现授权委托</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(单位名称)的</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(姓名)为我公司签署</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投标文件的法定代表人的授权委托代理人，我承认代理人全权代表我所签署的</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投标文件的内容。</w:t>
      </w:r>
    </w:p>
    <w:p w14:paraId="7DA82A64">
      <w:pPr>
        <w:pStyle w:val="18"/>
        <w:spacing w:line="560" w:lineRule="exact"/>
        <w:ind w:left="178" w:leftChars="85"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代理人无转委托权，特此委托。</w:t>
      </w:r>
    </w:p>
    <w:p w14:paraId="00C45355">
      <w:pPr>
        <w:pStyle w:val="18"/>
        <w:spacing w:line="560" w:lineRule="exact"/>
        <w:ind w:left="85" w:firstLine="720"/>
        <w:rPr>
          <w:rFonts w:ascii="仿宋" w:hAnsi="仿宋" w:eastAsia="仿宋"/>
          <w:color w:val="auto"/>
          <w:sz w:val="28"/>
          <w:szCs w:val="28"/>
          <w:highlight w:val="none"/>
        </w:rPr>
      </w:pPr>
    </w:p>
    <w:tbl>
      <w:tblPr>
        <w:tblStyle w:val="35"/>
        <w:tblW w:w="0" w:type="auto"/>
        <w:tblInd w:w="3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5"/>
      </w:tblGrid>
      <w:tr w14:paraId="4183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5" w:hRule="atLeast"/>
        </w:trPr>
        <w:tc>
          <w:tcPr>
            <w:tcW w:w="8628" w:type="dxa"/>
            <w:noWrap w:val="0"/>
            <w:vAlign w:val="center"/>
          </w:tcPr>
          <w:p w14:paraId="76BF819C">
            <w:pPr>
              <w:tabs>
                <w:tab w:val="left" w:pos="7740"/>
              </w:tabs>
              <w:jc w:val="center"/>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粘贴委托代理人身份证复印件</w:t>
            </w:r>
          </w:p>
        </w:tc>
      </w:tr>
    </w:tbl>
    <w:p w14:paraId="39116427">
      <w:pPr>
        <w:tabs>
          <w:tab w:val="left" w:pos="7740"/>
        </w:tabs>
        <w:spacing w:line="560" w:lineRule="exact"/>
        <w:ind w:firstLine="560" w:firstLineChars="200"/>
        <w:rPr>
          <w:rFonts w:ascii="仿宋" w:hAnsi="仿宋" w:eastAsia="仿宋" w:cs="仿宋_GB2312"/>
          <w:color w:val="auto"/>
          <w:sz w:val="28"/>
          <w:szCs w:val="28"/>
          <w:highlight w:val="none"/>
        </w:rPr>
      </w:pPr>
    </w:p>
    <w:p w14:paraId="01CFD26E">
      <w:pPr>
        <w:pStyle w:val="18"/>
        <w:spacing w:line="560" w:lineRule="exact"/>
        <w:ind w:left="85" w:firstLine="560" w:firstLineChars="200"/>
        <w:rPr>
          <w:rFonts w:ascii="仿宋" w:hAnsi="仿宋" w:eastAsia="仿宋"/>
          <w:color w:val="auto"/>
          <w:sz w:val="28"/>
          <w:szCs w:val="28"/>
          <w:highlight w:val="none"/>
        </w:rPr>
      </w:pPr>
    </w:p>
    <w:p w14:paraId="0CCDE322">
      <w:pPr>
        <w:pStyle w:val="18"/>
        <w:spacing w:line="560" w:lineRule="exact"/>
        <w:ind w:left="85" w:firstLine="560" w:firstLineChars="200"/>
        <w:rPr>
          <w:rFonts w:ascii="仿宋" w:hAnsi="仿宋" w:eastAsia="仿宋"/>
          <w:color w:val="auto"/>
          <w:sz w:val="28"/>
          <w:szCs w:val="28"/>
          <w:highlight w:val="none"/>
        </w:rPr>
      </w:pPr>
    </w:p>
    <w:p w14:paraId="441499C0">
      <w:pPr>
        <w:pStyle w:val="18"/>
        <w:spacing w:line="560" w:lineRule="exact"/>
        <w:ind w:left="84" w:leftChars="40" w:firstLine="560" w:firstLineChars="200"/>
        <w:rPr>
          <w:rFonts w:ascii="仿宋" w:hAnsi="仿宋" w:eastAsia="仿宋"/>
          <w:color w:val="auto"/>
          <w:sz w:val="28"/>
          <w:szCs w:val="28"/>
          <w:highlight w:val="none"/>
          <w:u w:val="single"/>
        </w:rPr>
      </w:pPr>
      <w:r>
        <w:rPr>
          <w:rFonts w:hint="eastAsia" w:ascii="仿宋" w:hAnsi="仿宋" w:eastAsia="仿宋"/>
          <w:color w:val="auto"/>
          <w:sz w:val="28"/>
          <w:szCs w:val="28"/>
          <w:highlight w:val="none"/>
        </w:rPr>
        <w:t>代理人：</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性别：</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年龄：</w:t>
      </w:r>
      <w:r>
        <w:rPr>
          <w:rFonts w:hint="eastAsia" w:ascii="仿宋" w:hAnsi="仿宋" w:eastAsia="仿宋"/>
          <w:color w:val="auto"/>
          <w:sz w:val="28"/>
          <w:szCs w:val="28"/>
          <w:highlight w:val="none"/>
          <w:u w:val="single"/>
        </w:rPr>
        <w:t xml:space="preserve">             </w:t>
      </w:r>
    </w:p>
    <w:p w14:paraId="3BC0EBA9">
      <w:pPr>
        <w:pStyle w:val="18"/>
        <w:spacing w:line="560" w:lineRule="exact"/>
        <w:ind w:left="84" w:leftChars="40" w:firstLine="560" w:firstLineChars="200"/>
        <w:rPr>
          <w:rFonts w:ascii="仿宋" w:hAnsi="仿宋" w:eastAsia="仿宋"/>
          <w:color w:val="auto"/>
          <w:sz w:val="28"/>
          <w:szCs w:val="28"/>
          <w:highlight w:val="none"/>
          <w:u w:val="single"/>
        </w:rPr>
      </w:pPr>
      <w:r>
        <w:rPr>
          <w:rFonts w:hint="eastAsia" w:ascii="仿宋" w:hAnsi="仿宋" w:eastAsia="仿宋"/>
          <w:color w:val="auto"/>
          <w:sz w:val="28"/>
          <w:szCs w:val="28"/>
          <w:highlight w:val="none"/>
        </w:rPr>
        <w:t>身份证号码：</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职务：</w:t>
      </w:r>
      <w:r>
        <w:rPr>
          <w:rFonts w:hint="eastAsia" w:ascii="仿宋" w:hAnsi="仿宋" w:eastAsia="仿宋"/>
          <w:color w:val="auto"/>
          <w:sz w:val="28"/>
          <w:szCs w:val="28"/>
          <w:highlight w:val="none"/>
          <w:u w:val="single"/>
        </w:rPr>
        <w:t xml:space="preserve">               </w:t>
      </w:r>
    </w:p>
    <w:p w14:paraId="0382E5CE">
      <w:pPr>
        <w:pStyle w:val="18"/>
        <w:spacing w:line="560" w:lineRule="exact"/>
        <w:ind w:left="84" w:leftChars="40" w:firstLine="560" w:firstLineChars="200"/>
        <w:rPr>
          <w:rFonts w:ascii="仿宋" w:hAnsi="仿宋" w:eastAsia="仿宋"/>
          <w:color w:val="auto"/>
          <w:sz w:val="28"/>
          <w:szCs w:val="28"/>
          <w:highlight w:val="none"/>
          <w:u w:val="single"/>
        </w:rPr>
      </w:pPr>
      <w:r>
        <w:rPr>
          <w:rFonts w:hint="eastAsia" w:ascii="仿宋" w:hAnsi="仿宋" w:eastAsia="仿宋"/>
          <w:color w:val="auto"/>
          <w:sz w:val="28"/>
          <w:szCs w:val="28"/>
          <w:highlight w:val="none"/>
        </w:rPr>
        <w:t>投标人(盖章)：</w:t>
      </w:r>
      <w:r>
        <w:rPr>
          <w:rFonts w:hint="eastAsia" w:ascii="仿宋" w:hAnsi="仿宋" w:eastAsia="仿宋"/>
          <w:color w:val="auto"/>
          <w:sz w:val="28"/>
          <w:szCs w:val="28"/>
          <w:highlight w:val="none"/>
          <w:u w:val="single"/>
        </w:rPr>
        <w:t xml:space="preserve">                                           </w:t>
      </w:r>
    </w:p>
    <w:p w14:paraId="2B85FEC6">
      <w:pPr>
        <w:pStyle w:val="18"/>
        <w:spacing w:line="560" w:lineRule="exact"/>
        <w:ind w:left="84" w:leftChars="40"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法定代表人(签字或盖章)：</w:t>
      </w:r>
      <w:r>
        <w:rPr>
          <w:rFonts w:hint="eastAsia" w:ascii="仿宋" w:hAnsi="仿宋" w:eastAsia="仿宋"/>
          <w:color w:val="auto"/>
          <w:sz w:val="28"/>
          <w:szCs w:val="28"/>
          <w:highlight w:val="none"/>
          <w:u w:val="single"/>
        </w:rPr>
        <w:t xml:space="preserve">                                 </w:t>
      </w:r>
    </w:p>
    <w:p w14:paraId="2148DFB4">
      <w:pPr>
        <w:pStyle w:val="18"/>
        <w:spacing w:line="560" w:lineRule="exact"/>
        <w:ind w:left="84" w:leftChars="40"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授权委托有效日期：</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年</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月</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日至</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年</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月</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日</w:t>
      </w:r>
    </w:p>
    <w:p w14:paraId="196A2C0B">
      <w:pPr>
        <w:pStyle w:val="18"/>
        <w:spacing w:line="560" w:lineRule="exact"/>
        <w:ind w:firstLine="480" w:firstLineChars="200"/>
        <w:rPr>
          <w:color w:val="auto"/>
          <w:sz w:val="24"/>
          <w:highlight w:val="none"/>
        </w:rPr>
      </w:pPr>
      <w:r>
        <w:rPr>
          <w:color w:val="auto"/>
          <w:sz w:val="24"/>
          <w:highlight w:val="none"/>
        </w:rPr>
        <w:br w:type="page"/>
      </w:r>
    </w:p>
    <w:p w14:paraId="149A07A5">
      <w:pPr>
        <w:adjustRightInd w:val="0"/>
        <w:snapToGrid w:val="0"/>
        <w:spacing w:line="560" w:lineRule="exact"/>
        <w:jc w:val="center"/>
        <w:rPr>
          <w:rFonts w:ascii="黑体" w:hAnsi="黑体" w:eastAsia="黑体"/>
          <w:color w:val="auto"/>
          <w:kern w:val="0"/>
          <w:sz w:val="36"/>
          <w:szCs w:val="36"/>
          <w:highlight w:val="none"/>
        </w:rPr>
      </w:pPr>
      <w:r>
        <w:rPr>
          <w:rFonts w:hint="eastAsia" w:ascii="黑体" w:hAnsi="黑体" w:eastAsia="黑体"/>
          <w:color w:val="auto"/>
          <w:kern w:val="0"/>
          <w:sz w:val="36"/>
          <w:szCs w:val="36"/>
          <w:highlight w:val="none"/>
        </w:rPr>
        <w:t>投  标  函</w:t>
      </w:r>
    </w:p>
    <w:p w14:paraId="73710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560" w:firstLineChars="200"/>
        <w:jc w:val="left"/>
        <w:rPr>
          <w:rFonts w:ascii="仿宋" w:hAnsi="仿宋" w:eastAsia="仿宋"/>
          <w:color w:val="auto"/>
          <w:sz w:val="28"/>
          <w:szCs w:val="28"/>
          <w:highlight w:val="none"/>
        </w:rPr>
      </w:pPr>
      <w:r>
        <w:rPr>
          <w:rFonts w:hint="eastAsia" w:ascii="仿宋" w:hAnsi="仿宋" w:eastAsia="仿宋"/>
          <w:color w:val="auto"/>
          <w:sz w:val="28"/>
          <w:szCs w:val="28"/>
          <w:highlight w:val="none"/>
        </w:rPr>
        <w:t>致：</w:t>
      </w:r>
      <w:r>
        <w:rPr>
          <w:rFonts w:hint="eastAsia" w:ascii="仿宋" w:hAnsi="仿宋" w:eastAsia="仿宋"/>
          <w:color w:val="auto"/>
          <w:sz w:val="28"/>
          <w:szCs w:val="28"/>
          <w:highlight w:val="none"/>
          <w:u w:val="single"/>
        </w:rPr>
        <w:t xml:space="preserve">                       </w:t>
      </w:r>
    </w:p>
    <w:p w14:paraId="0430C340">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1.根据已收到贵方的</w:t>
      </w:r>
      <w:r>
        <w:rPr>
          <w:rFonts w:hint="eastAsia" w:ascii="仿宋" w:hAnsi="仿宋" w:eastAsia="仿宋" w:cs="宋体"/>
          <w:color w:val="auto"/>
          <w:kern w:val="0"/>
          <w:sz w:val="28"/>
          <w:szCs w:val="28"/>
          <w:highlight w:val="none"/>
          <w:u w:val="single"/>
        </w:rPr>
        <w:t xml:space="preserve">                    </w:t>
      </w:r>
      <w:r>
        <w:rPr>
          <w:rFonts w:hint="eastAsia" w:ascii="仿宋" w:hAnsi="仿宋" w:eastAsia="仿宋"/>
          <w:color w:val="auto"/>
          <w:sz w:val="28"/>
          <w:szCs w:val="28"/>
          <w:highlight w:val="none"/>
        </w:rPr>
        <w:t>的招标文件，并已详细审核了全部招标文件及有关附件。</w:t>
      </w:r>
    </w:p>
    <w:p w14:paraId="1F763951">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2.遵照《中华人民共和国招标投标法》等有关规定，经研究上述招标文件的投标须知、合同条款、需求标准、需求清单及其他有关文件后，我方承诺：愿以</w:t>
      </w:r>
    </w:p>
    <w:p w14:paraId="7ECA9203">
      <w:pPr>
        <w:spacing w:line="560" w:lineRule="exact"/>
        <w:ind w:firstLine="560" w:firstLineChars="200"/>
        <w:rPr>
          <w:rFonts w:ascii="仿宋" w:hAnsi="仿宋" w:eastAsia="仿宋"/>
          <w:color w:val="auto"/>
          <w:sz w:val="28"/>
          <w:szCs w:val="28"/>
          <w:highlight w:val="none"/>
          <w:u w:val="single"/>
        </w:rPr>
      </w:pPr>
      <w:r>
        <w:rPr>
          <w:rFonts w:hint="eastAsia" w:ascii="仿宋" w:hAnsi="仿宋" w:eastAsia="仿宋"/>
          <w:color w:val="auto"/>
          <w:sz w:val="28"/>
          <w:szCs w:val="28"/>
          <w:highlight w:val="none"/>
        </w:rPr>
        <w:t>币种：</w:t>
      </w:r>
      <w:r>
        <w:rPr>
          <w:rFonts w:hint="eastAsia" w:ascii="仿宋" w:hAnsi="仿宋" w:eastAsia="仿宋"/>
          <w:color w:val="auto"/>
          <w:sz w:val="28"/>
          <w:szCs w:val="28"/>
          <w:highlight w:val="none"/>
          <w:u w:val="single"/>
        </w:rPr>
        <w:t xml:space="preserve">            </w:t>
      </w:r>
    </w:p>
    <w:p w14:paraId="6457AA80">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金额(大写)</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元</w:t>
      </w:r>
    </w:p>
    <w:p w14:paraId="529BF9BC">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(小写)</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元</w:t>
      </w:r>
    </w:p>
    <w:p w14:paraId="760764FF">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的投标报价并按上述合同条款、需求标准、需求清单等的要求完成上述招标项目内容并提交合格的成果文件。</w:t>
      </w:r>
    </w:p>
    <w:p w14:paraId="1834496B">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3.我方同意所递交的投标文件在投标须知规定的投标有效期内有效，在此期间内我方的投标有可能中标，我方将受此约束。如果在投标有效期内撤回投标或放弃中标资格，我方的投标担保将全部被没收，给贵方造成的损失超过我方投标担保金额的，贵方还有权要求我方对超过部分进行赔偿。</w:t>
      </w:r>
    </w:p>
    <w:p w14:paraId="63C413EB">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4.如果我方中标，我方保证按招标文件规定的服务周期，在</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日历天内完成招标项目内容并提交符合招标文件要求的成果文件。</w:t>
      </w:r>
    </w:p>
    <w:p w14:paraId="1695D7FF">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5.除非另外达成协议并生效，贵方的中标通知书和本投标文件将成为约束双方的合同文件的组成部分。</w:t>
      </w:r>
    </w:p>
    <w:p w14:paraId="0A30A31B">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6.我方的投标担保与本投标函同时递交。</w:t>
      </w:r>
    </w:p>
    <w:p w14:paraId="580C8939">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投标担保采用：□投标保函或现金□支票□转账方式</w:t>
      </w:r>
    </w:p>
    <w:p w14:paraId="288990C3">
      <w:pPr>
        <w:spacing w:line="560" w:lineRule="exact"/>
        <w:ind w:firstLine="560" w:firstLineChars="200"/>
        <w:rPr>
          <w:rFonts w:ascii="仿宋" w:hAnsi="仿宋" w:eastAsia="仿宋"/>
          <w:color w:val="auto"/>
          <w:sz w:val="28"/>
          <w:szCs w:val="28"/>
          <w:highlight w:val="none"/>
          <w:u w:val="single"/>
        </w:rPr>
      </w:pPr>
      <w:r>
        <w:rPr>
          <w:rFonts w:hint="eastAsia" w:ascii="仿宋" w:hAnsi="仿宋" w:eastAsia="仿宋"/>
          <w:color w:val="auto"/>
          <w:sz w:val="28"/>
          <w:szCs w:val="28"/>
          <w:highlight w:val="none"/>
        </w:rPr>
        <w:t>投标担保的币种：</w:t>
      </w:r>
      <w:r>
        <w:rPr>
          <w:rFonts w:hint="eastAsia" w:ascii="仿宋" w:hAnsi="仿宋" w:eastAsia="仿宋"/>
          <w:color w:val="auto"/>
          <w:sz w:val="28"/>
          <w:szCs w:val="28"/>
          <w:highlight w:val="none"/>
          <w:u w:val="single"/>
        </w:rPr>
        <w:t xml:space="preserve">                </w:t>
      </w:r>
    </w:p>
    <w:p w14:paraId="70D2ADB4">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金额(大写)</w:t>
      </w:r>
      <w:r>
        <w:rPr>
          <w:rFonts w:hint="eastAsia" w:ascii="仿宋" w:hAnsi="仿宋" w:eastAsia="仿宋"/>
          <w:color w:val="auto"/>
          <w:sz w:val="28"/>
          <w:szCs w:val="28"/>
          <w:highlight w:val="none"/>
          <w:u w:val="single"/>
        </w:rPr>
        <w:t xml:space="preserve">                                    </w:t>
      </w:r>
    </w:p>
    <w:p w14:paraId="57F152B5">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 xml:space="preserve">(小写) </w:t>
      </w:r>
      <w:r>
        <w:rPr>
          <w:rFonts w:hint="eastAsia" w:ascii="仿宋" w:hAnsi="仿宋" w:eastAsia="仿宋"/>
          <w:color w:val="auto"/>
          <w:sz w:val="28"/>
          <w:szCs w:val="28"/>
          <w:highlight w:val="none"/>
          <w:u w:val="single"/>
        </w:rPr>
        <w:t xml:space="preserve">                                   </w:t>
      </w:r>
    </w:p>
    <w:p w14:paraId="51F9A09D">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7、如果我方中标，我方将实行项目经理负责制，并按投标文件配备项目管理班子。如未经招标人同意更换项目班子成员，招标人有权取消我公司的中标资格或单方面终止合同，由此造成的违约责任由我公司承担。</w:t>
      </w:r>
    </w:p>
    <w:p w14:paraId="12140DE9">
      <w:pPr>
        <w:spacing w:line="560" w:lineRule="exact"/>
        <w:ind w:firstLine="560" w:firstLineChars="200"/>
        <w:rPr>
          <w:rFonts w:ascii="仿宋" w:hAnsi="仿宋" w:eastAsia="仿宋"/>
          <w:color w:val="auto"/>
          <w:sz w:val="28"/>
          <w:szCs w:val="28"/>
          <w:highlight w:val="none"/>
        </w:rPr>
      </w:pPr>
    </w:p>
    <w:p w14:paraId="19FBCEB5">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投标人(盖章)：</w:t>
      </w:r>
      <w:r>
        <w:rPr>
          <w:rFonts w:hint="eastAsia" w:ascii="仿宋" w:hAnsi="仿宋" w:eastAsia="仿宋"/>
          <w:color w:val="auto"/>
          <w:sz w:val="28"/>
          <w:szCs w:val="28"/>
          <w:highlight w:val="none"/>
          <w:u w:val="single"/>
        </w:rPr>
        <w:t xml:space="preserve">                                                      </w:t>
      </w:r>
    </w:p>
    <w:p w14:paraId="3F0FC6EC">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单位地址：</w:t>
      </w:r>
      <w:r>
        <w:rPr>
          <w:rFonts w:hint="eastAsia" w:ascii="仿宋" w:hAnsi="仿宋" w:eastAsia="仿宋"/>
          <w:color w:val="auto"/>
          <w:sz w:val="28"/>
          <w:szCs w:val="28"/>
          <w:highlight w:val="none"/>
          <w:u w:val="single"/>
        </w:rPr>
        <w:t xml:space="preserve">                                                           </w:t>
      </w:r>
    </w:p>
    <w:p w14:paraId="48CC5602">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法定代表人或其授权委托人(签字或盖章)：</w:t>
      </w:r>
      <w:r>
        <w:rPr>
          <w:rFonts w:hint="eastAsia" w:ascii="仿宋" w:hAnsi="仿宋" w:eastAsia="仿宋"/>
          <w:color w:val="auto"/>
          <w:sz w:val="28"/>
          <w:szCs w:val="28"/>
          <w:highlight w:val="none"/>
          <w:u w:val="single"/>
        </w:rPr>
        <w:t xml:space="preserve">                              </w:t>
      </w:r>
    </w:p>
    <w:p w14:paraId="2E171844">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邮政编码：</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电话：</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 xml:space="preserve"> 传真：</w:t>
      </w:r>
      <w:r>
        <w:rPr>
          <w:rFonts w:hint="eastAsia" w:ascii="仿宋" w:hAnsi="仿宋" w:eastAsia="仿宋"/>
          <w:color w:val="auto"/>
          <w:sz w:val="28"/>
          <w:szCs w:val="28"/>
          <w:highlight w:val="none"/>
          <w:u w:val="single"/>
        </w:rPr>
        <w:t xml:space="preserve">              </w:t>
      </w:r>
    </w:p>
    <w:p w14:paraId="3CD237CB">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开户银行名称：</w:t>
      </w:r>
      <w:r>
        <w:rPr>
          <w:rFonts w:hint="eastAsia" w:ascii="仿宋" w:hAnsi="仿宋" w:eastAsia="仿宋"/>
          <w:color w:val="auto"/>
          <w:sz w:val="28"/>
          <w:szCs w:val="28"/>
          <w:highlight w:val="none"/>
          <w:u w:val="single"/>
        </w:rPr>
        <w:t xml:space="preserve">                                                       </w:t>
      </w:r>
    </w:p>
    <w:p w14:paraId="18B56257">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开户银行帐号：</w:t>
      </w:r>
      <w:r>
        <w:rPr>
          <w:rFonts w:hint="eastAsia" w:ascii="仿宋" w:hAnsi="仿宋" w:eastAsia="仿宋"/>
          <w:color w:val="auto"/>
          <w:sz w:val="28"/>
          <w:szCs w:val="28"/>
          <w:highlight w:val="none"/>
          <w:u w:val="single"/>
        </w:rPr>
        <w:t xml:space="preserve">                                                       </w:t>
      </w:r>
    </w:p>
    <w:p w14:paraId="52C0E53B">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开户银行地址：</w:t>
      </w:r>
      <w:r>
        <w:rPr>
          <w:rFonts w:hint="eastAsia" w:ascii="仿宋" w:hAnsi="仿宋" w:eastAsia="仿宋"/>
          <w:color w:val="auto"/>
          <w:sz w:val="28"/>
          <w:szCs w:val="28"/>
          <w:highlight w:val="none"/>
          <w:u w:val="single"/>
        </w:rPr>
        <w:t xml:space="preserve">                                                       </w:t>
      </w:r>
    </w:p>
    <w:p w14:paraId="3CAFCFA3">
      <w:pPr>
        <w:spacing w:line="56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开户银行电话：</w:t>
      </w:r>
      <w:r>
        <w:rPr>
          <w:rFonts w:hint="eastAsia" w:ascii="仿宋" w:hAnsi="仿宋" w:eastAsia="仿宋"/>
          <w:color w:val="auto"/>
          <w:sz w:val="28"/>
          <w:szCs w:val="28"/>
          <w:highlight w:val="none"/>
          <w:u w:val="single"/>
        </w:rPr>
        <w:t xml:space="preserve">                                                       </w:t>
      </w:r>
    </w:p>
    <w:p w14:paraId="3B355A8B">
      <w:pPr>
        <w:spacing w:line="560" w:lineRule="exact"/>
        <w:ind w:firstLine="560" w:firstLineChars="200"/>
        <w:rPr>
          <w:rFonts w:ascii="仿宋" w:hAnsi="仿宋" w:eastAsia="仿宋"/>
          <w:color w:val="auto"/>
          <w:sz w:val="28"/>
          <w:szCs w:val="28"/>
          <w:highlight w:val="none"/>
          <w:u w:val="single"/>
        </w:rPr>
      </w:pPr>
      <w:r>
        <w:rPr>
          <w:rFonts w:hint="eastAsia" w:ascii="仿宋" w:hAnsi="仿宋" w:eastAsia="仿宋"/>
          <w:color w:val="auto"/>
          <w:sz w:val="28"/>
          <w:szCs w:val="28"/>
          <w:highlight w:val="none"/>
        </w:rPr>
        <w:t>日期：</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年</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月</w:t>
      </w:r>
      <w:r>
        <w:rPr>
          <w:rFonts w:hint="eastAsia" w:ascii="仿宋" w:hAnsi="仿宋" w:eastAsia="仿宋"/>
          <w:color w:val="auto"/>
          <w:sz w:val="28"/>
          <w:szCs w:val="28"/>
          <w:highlight w:val="none"/>
          <w:u w:val="single"/>
        </w:rPr>
        <w:t xml:space="preserve">      </w:t>
      </w:r>
    </w:p>
    <w:p w14:paraId="40085718">
      <w:pPr>
        <w:spacing w:line="560" w:lineRule="exact"/>
        <w:ind w:firstLine="560" w:firstLineChars="200"/>
        <w:rPr>
          <w:rFonts w:ascii="仿宋" w:hAnsi="仿宋" w:eastAsia="仿宋"/>
          <w:color w:val="auto"/>
          <w:sz w:val="28"/>
          <w:szCs w:val="28"/>
          <w:highlight w:val="none"/>
        </w:rPr>
      </w:pPr>
      <w:r>
        <w:rPr>
          <w:rFonts w:ascii="仿宋_GB2312" w:hAnsi="宋体" w:eastAsia="仿宋_GB2312"/>
          <w:color w:val="auto"/>
          <w:sz w:val="28"/>
          <w:szCs w:val="28"/>
          <w:highlight w:val="none"/>
          <w:u w:val="single"/>
        </w:rPr>
        <w:br w:type="page"/>
      </w:r>
      <w:r>
        <w:rPr>
          <w:rFonts w:hint="eastAsia" w:ascii="仿宋" w:hAnsi="仿宋" w:eastAsia="仿宋"/>
          <w:color w:val="auto"/>
          <w:sz w:val="28"/>
          <w:szCs w:val="28"/>
          <w:highlight w:val="none"/>
        </w:rPr>
        <w:t>投标保函或投标保证金缴纳凭证</w:t>
      </w:r>
    </w:p>
    <w:p w14:paraId="10D35754">
      <w:pPr>
        <w:adjustRightInd w:val="0"/>
        <w:snapToGrid w:val="0"/>
        <w:spacing w:line="560" w:lineRule="exact"/>
        <w:jc w:val="center"/>
        <w:rPr>
          <w:rFonts w:ascii="仿宋" w:hAnsi="仿宋" w:eastAsia="仿宋"/>
          <w:color w:val="auto"/>
          <w:sz w:val="28"/>
          <w:szCs w:val="28"/>
          <w:highlight w:val="none"/>
          <w:u w:val="single"/>
        </w:rPr>
      </w:pPr>
    </w:p>
    <w:tbl>
      <w:tblPr>
        <w:tblStyle w:val="35"/>
        <w:tblpPr w:leftFromText="180" w:rightFromText="180" w:vertAnchor="text" w:horzAnchor="page" w:tblpX="1025" w:tblpY="24"/>
        <w:tblOverlap w:val="never"/>
        <w:tblW w:w="95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9"/>
      </w:tblGrid>
      <w:tr w14:paraId="5DF02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3" w:hRule="atLeast"/>
        </w:trPr>
        <w:tc>
          <w:tcPr>
            <w:tcW w:w="9569" w:type="dxa"/>
            <w:noWrap w:val="0"/>
            <w:vAlign w:val="top"/>
          </w:tcPr>
          <w:p w14:paraId="51C45B68">
            <w:pPr>
              <w:spacing w:line="560" w:lineRule="exact"/>
              <w:ind w:firstLine="560" w:firstLineChars="20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（粘贴转帐或汇款的银行凭证复印件）</w:t>
            </w:r>
          </w:p>
          <w:p w14:paraId="3FA16898">
            <w:pPr>
              <w:adjustRightInd w:val="0"/>
              <w:snapToGrid w:val="0"/>
              <w:spacing w:line="560" w:lineRule="exact"/>
              <w:jc w:val="center"/>
              <w:rPr>
                <w:rFonts w:ascii="仿宋" w:hAnsi="仿宋" w:eastAsia="仿宋"/>
                <w:color w:val="auto"/>
                <w:sz w:val="28"/>
                <w:szCs w:val="28"/>
                <w:highlight w:val="none"/>
                <w:u w:val="single"/>
              </w:rPr>
            </w:pPr>
          </w:p>
        </w:tc>
      </w:tr>
    </w:tbl>
    <w:p w14:paraId="26EF8FED">
      <w:pPr>
        <w:adjustRightInd w:val="0"/>
        <w:snapToGrid w:val="0"/>
        <w:spacing w:line="560" w:lineRule="exact"/>
        <w:jc w:val="center"/>
        <w:rPr>
          <w:rFonts w:ascii="仿宋" w:hAnsi="仿宋" w:eastAsia="仿宋"/>
          <w:color w:val="auto"/>
          <w:sz w:val="28"/>
          <w:szCs w:val="28"/>
          <w:highlight w:val="none"/>
          <w:u w:val="single"/>
        </w:rPr>
      </w:pPr>
    </w:p>
    <w:p w14:paraId="5812A860">
      <w:pPr>
        <w:adjustRightInd w:val="0"/>
        <w:snapToGrid w:val="0"/>
        <w:spacing w:line="560" w:lineRule="exact"/>
        <w:jc w:val="center"/>
        <w:rPr>
          <w:rFonts w:ascii="仿宋" w:hAnsi="仿宋" w:eastAsia="仿宋"/>
          <w:color w:val="auto"/>
          <w:sz w:val="28"/>
          <w:szCs w:val="28"/>
          <w:highlight w:val="none"/>
          <w:u w:val="single"/>
        </w:rPr>
      </w:pPr>
    </w:p>
    <w:p w14:paraId="1A599BEC">
      <w:pPr>
        <w:adjustRightInd w:val="0"/>
        <w:snapToGrid w:val="0"/>
        <w:spacing w:line="560" w:lineRule="exact"/>
        <w:jc w:val="center"/>
        <w:rPr>
          <w:rFonts w:ascii="黑体" w:hAnsi="黑体" w:eastAsia="黑体"/>
          <w:color w:val="auto"/>
          <w:kern w:val="0"/>
          <w:sz w:val="36"/>
          <w:szCs w:val="36"/>
          <w:highlight w:val="none"/>
        </w:rPr>
      </w:pPr>
      <w:r>
        <w:rPr>
          <w:rFonts w:ascii="仿宋_GB2312" w:hAnsi="宋体" w:eastAsia="仿宋_GB2312"/>
          <w:color w:val="auto"/>
          <w:sz w:val="28"/>
          <w:szCs w:val="28"/>
          <w:highlight w:val="none"/>
          <w:u w:val="single"/>
        </w:rPr>
        <w:br w:type="page"/>
      </w:r>
      <w:r>
        <w:rPr>
          <w:rFonts w:hint="eastAsia" w:ascii="黑体" w:hAnsi="黑体" w:eastAsia="黑体"/>
          <w:color w:val="auto"/>
          <w:kern w:val="0"/>
          <w:sz w:val="36"/>
          <w:szCs w:val="36"/>
          <w:highlight w:val="none"/>
        </w:rPr>
        <w:t>廉洁投标承诺书</w:t>
      </w:r>
    </w:p>
    <w:p w14:paraId="191FE3A0">
      <w:pPr>
        <w:pStyle w:val="71"/>
        <w:ind w:firstLine="562"/>
        <w:rPr>
          <w:rFonts w:ascii="宋体" w:hAnsi="宋体"/>
          <w:b/>
          <w:color w:val="auto"/>
          <w:kern w:val="0"/>
          <w:sz w:val="28"/>
          <w:szCs w:val="28"/>
          <w:highlight w:val="none"/>
        </w:rPr>
      </w:pPr>
    </w:p>
    <w:p w14:paraId="47D40E05">
      <w:pPr>
        <w:pStyle w:val="71"/>
        <w:spacing w:line="560" w:lineRule="exact"/>
        <w:ind w:firstLine="56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致</w:t>
      </w:r>
      <w:r>
        <w:rPr>
          <w:rFonts w:hint="eastAsia" w:ascii="仿宋" w:hAnsi="仿宋" w:eastAsia="仿宋"/>
          <w:color w:val="auto"/>
          <w:kern w:val="0"/>
          <w:sz w:val="28"/>
          <w:szCs w:val="28"/>
          <w:highlight w:val="none"/>
          <w:u w:val="single"/>
        </w:rPr>
        <w:t xml:space="preserve">（招标人名称）   </w:t>
      </w:r>
      <w:r>
        <w:rPr>
          <w:rFonts w:hint="eastAsia" w:ascii="仿宋" w:hAnsi="仿宋" w:eastAsia="仿宋"/>
          <w:color w:val="auto"/>
          <w:kern w:val="0"/>
          <w:sz w:val="28"/>
          <w:szCs w:val="28"/>
          <w:highlight w:val="none"/>
        </w:rPr>
        <w:t>：</w:t>
      </w:r>
    </w:p>
    <w:p w14:paraId="3527149D">
      <w:pPr>
        <w:pStyle w:val="71"/>
        <w:spacing w:line="560" w:lineRule="exact"/>
        <w:ind w:firstLine="56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为积极配合贵单位进行的</w:t>
      </w:r>
      <w:r>
        <w:rPr>
          <w:rFonts w:hint="eastAsia" w:ascii="仿宋" w:hAnsi="仿宋" w:eastAsia="仿宋"/>
          <w:color w:val="auto"/>
          <w:kern w:val="0"/>
          <w:sz w:val="28"/>
          <w:szCs w:val="28"/>
          <w:highlight w:val="none"/>
          <w:u w:val="single"/>
        </w:rPr>
        <w:t xml:space="preserve">                   </w:t>
      </w:r>
      <w:r>
        <w:rPr>
          <w:rFonts w:hint="eastAsia" w:ascii="仿宋" w:hAnsi="仿宋" w:eastAsia="仿宋"/>
          <w:color w:val="auto"/>
          <w:kern w:val="0"/>
          <w:sz w:val="28"/>
          <w:szCs w:val="28"/>
          <w:highlight w:val="none"/>
        </w:rPr>
        <w:t>招标/采购工作，有效遏制不公平竞争和违规违纪问题的发生，确保招标/采购工作的公平、公正、公开，根据《中华人民共和国招标投标法》等有关法律、法规，以及政府及相关主管部门的有关条例、规定、办法等，本单位特此承诺：</w:t>
      </w:r>
    </w:p>
    <w:p w14:paraId="1C3A8D13">
      <w:pPr>
        <w:pStyle w:val="71"/>
        <w:spacing w:line="560" w:lineRule="exact"/>
        <w:ind w:firstLine="56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一、自觉遵守招标投标相关法律法规。</w:t>
      </w:r>
    </w:p>
    <w:p w14:paraId="4C033677">
      <w:pPr>
        <w:pStyle w:val="71"/>
        <w:spacing w:line="560" w:lineRule="exact"/>
        <w:ind w:firstLine="56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二、主动遵照执行</w:t>
      </w:r>
      <w:r>
        <w:rPr>
          <w:rFonts w:hint="eastAsia" w:ascii="仿宋" w:hAnsi="仿宋" w:eastAsia="仿宋"/>
          <w:color w:val="auto"/>
          <w:kern w:val="0"/>
          <w:sz w:val="28"/>
          <w:szCs w:val="28"/>
          <w:highlight w:val="none"/>
          <w:lang w:eastAsia="zh-CN"/>
        </w:rPr>
        <w:t>深圳第一亚太物业管理有限公司</w:t>
      </w:r>
      <w:r>
        <w:rPr>
          <w:rFonts w:hint="eastAsia" w:ascii="仿宋" w:hAnsi="仿宋" w:eastAsia="仿宋"/>
          <w:color w:val="auto"/>
          <w:kern w:val="0"/>
          <w:sz w:val="28"/>
          <w:szCs w:val="28"/>
          <w:highlight w:val="none"/>
        </w:rPr>
        <w:t>的招投标及采购规定，积极配合</w:t>
      </w:r>
      <w:r>
        <w:rPr>
          <w:rFonts w:hint="eastAsia" w:ascii="仿宋" w:hAnsi="仿宋" w:eastAsia="仿宋"/>
          <w:color w:val="auto"/>
          <w:kern w:val="0"/>
          <w:sz w:val="28"/>
          <w:szCs w:val="28"/>
          <w:highlight w:val="none"/>
          <w:lang w:eastAsia="zh-CN"/>
        </w:rPr>
        <w:t>深圳第一亚太物业管理有限公司</w:t>
      </w:r>
      <w:r>
        <w:rPr>
          <w:rFonts w:hint="eastAsia" w:ascii="仿宋" w:hAnsi="仿宋" w:eastAsia="仿宋"/>
          <w:color w:val="auto"/>
          <w:kern w:val="0"/>
          <w:sz w:val="28"/>
          <w:szCs w:val="28"/>
          <w:highlight w:val="none"/>
        </w:rPr>
        <w:t>在招标及采购领域中的廉洁风险防控。</w:t>
      </w:r>
    </w:p>
    <w:p w14:paraId="460A84E8">
      <w:pPr>
        <w:pStyle w:val="71"/>
        <w:spacing w:line="560" w:lineRule="exact"/>
        <w:ind w:firstLine="56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三、不采用不正当竞争手段妨碍、排挤其它投标单位或串通投标。</w:t>
      </w:r>
    </w:p>
    <w:p w14:paraId="18D52ADA">
      <w:pPr>
        <w:pStyle w:val="71"/>
        <w:spacing w:line="560" w:lineRule="exact"/>
        <w:ind w:firstLine="56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四、按照招标文件规定的方式进行投标，不隐瞒本单位投标资质的真实情况。</w:t>
      </w:r>
    </w:p>
    <w:p w14:paraId="4CB80244">
      <w:pPr>
        <w:pStyle w:val="71"/>
        <w:spacing w:line="560" w:lineRule="exact"/>
        <w:ind w:firstLine="56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五、在投标活动中不行贿，不给予或暗示给予招标工作人员任何不正当利益，不进行可能影响招投标公平、公正的任何活动。</w:t>
      </w:r>
    </w:p>
    <w:p w14:paraId="10007763">
      <w:pPr>
        <w:pStyle w:val="71"/>
        <w:spacing w:line="560" w:lineRule="exact"/>
        <w:ind w:firstLine="56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六、在投标活动中自觉抵制来自招标工作人员的索贿行为。</w:t>
      </w:r>
    </w:p>
    <w:p w14:paraId="0DB5CEA2">
      <w:pPr>
        <w:pStyle w:val="71"/>
        <w:spacing w:line="560" w:lineRule="exact"/>
        <w:ind w:firstLine="56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七、本单位若有违反承诺内容的行为，自愿接受相应处罚。</w:t>
      </w:r>
    </w:p>
    <w:p w14:paraId="35E0D232">
      <w:pPr>
        <w:pStyle w:val="71"/>
        <w:spacing w:line="560" w:lineRule="exact"/>
        <w:ind w:firstLine="560"/>
        <w:rPr>
          <w:rFonts w:ascii="仿宋" w:hAnsi="仿宋" w:eastAsia="仿宋"/>
          <w:color w:val="auto"/>
          <w:kern w:val="0"/>
          <w:sz w:val="28"/>
          <w:szCs w:val="28"/>
          <w:highlight w:val="none"/>
        </w:rPr>
      </w:pPr>
    </w:p>
    <w:p w14:paraId="526313AB">
      <w:pPr>
        <w:pStyle w:val="71"/>
        <w:spacing w:line="560" w:lineRule="exact"/>
        <w:ind w:firstLine="56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 xml:space="preserve">投标单位：       （盖章）       </w:t>
      </w:r>
    </w:p>
    <w:p w14:paraId="7C697EFC">
      <w:pPr>
        <w:pStyle w:val="71"/>
        <w:spacing w:line="560" w:lineRule="exact"/>
        <w:ind w:firstLine="56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 xml:space="preserve">法定代表人：     （签字）        </w:t>
      </w:r>
    </w:p>
    <w:p w14:paraId="563A3CCD">
      <w:pPr>
        <w:pStyle w:val="71"/>
        <w:spacing w:line="560" w:lineRule="exact"/>
        <w:ind w:firstLine="560"/>
        <w:jc w:val="left"/>
        <w:rPr>
          <w:rFonts w:ascii="仿宋" w:hAnsi="仿宋" w:eastAsia="仿宋"/>
          <w:b/>
          <w:color w:val="auto"/>
          <w:sz w:val="28"/>
          <w:szCs w:val="28"/>
          <w:highlight w:val="none"/>
        </w:rPr>
      </w:pPr>
      <w:r>
        <w:rPr>
          <w:rFonts w:hint="eastAsia" w:ascii="仿宋" w:hAnsi="仿宋" w:eastAsia="仿宋"/>
          <w:color w:val="auto"/>
          <w:kern w:val="0"/>
          <w:sz w:val="28"/>
          <w:szCs w:val="28"/>
          <w:highlight w:val="none"/>
        </w:rPr>
        <w:t>授权委托人：     （签字）</w:t>
      </w:r>
    </w:p>
    <w:p w14:paraId="5550B33D">
      <w:pPr>
        <w:spacing w:line="560" w:lineRule="exact"/>
        <w:ind w:firstLine="560" w:firstLineChars="200"/>
        <w:rPr>
          <w:rFonts w:ascii="仿宋_GB2312" w:hAnsi="宋体" w:eastAsia="仿宋_GB2312"/>
          <w:color w:val="auto"/>
          <w:sz w:val="28"/>
          <w:szCs w:val="28"/>
          <w:highlight w:val="none"/>
        </w:rPr>
      </w:pPr>
    </w:p>
    <w:p w14:paraId="731F92DF">
      <w:pPr>
        <w:pStyle w:val="71"/>
        <w:ind w:firstLine="0" w:firstLineChars="0"/>
        <w:outlineLvl w:val="1"/>
        <w:rPr>
          <w:rFonts w:ascii="仿宋_GB2312" w:hAnsi="宋体" w:eastAsia="仿宋_GB2312"/>
          <w:b/>
          <w:color w:val="auto"/>
          <w:kern w:val="0"/>
          <w:sz w:val="28"/>
          <w:szCs w:val="28"/>
          <w:highlight w:val="none"/>
        </w:rPr>
      </w:pPr>
      <w:bookmarkStart w:id="91" w:name="_Toc16221"/>
      <w:bookmarkStart w:id="92" w:name="_Toc28920"/>
      <w:r>
        <w:rPr>
          <w:rFonts w:hint="eastAsia" w:ascii="仿宋_GB2312" w:hAnsi="宋体" w:eastAsia="仿宋_GB2312"/>
          <w:b/>
          <w:color w:val="auto"/>
          <w:kern w:val="0"/>
          <w:sz w:val="28"/>
          <w:szCs w:val="28"/>
          <w:highlight w:val="none"/>
        </w:rPr>
        <w:t>三、投标文件格式--资信标部分</w:t>
      </w:r>
      <w:bookmarkEnd w:id="91"/>
      <w:bookmarkEnd w:id="92"/>
    </w:p>
    <w:p w14:paraId="41F1F8C8">
      <w:pPr>
        <w:pStyle w:val="18"/>
        <w:jc w:val="center"/>
        <w:rPr>
          <w:rFonts w:hAnsi="宋体"/>
          <w:b/>
          <w:bCs/>
          <w:color w:val="auto"/>
          <w:sz w:val="72"/>
          <w:highlight w:val="none"/>
        </w:rPr>
      </w:pPr>
    </w:p>
    <w:p w14:paraId="48509C06">
      <w:pPr>
        <w:pStyle w:val="18"/>
        <w:jc w:val="center"/>
        <w:rPr>
          <w:rFonts w:ascii="黑体" w:hAnsi="黑体" w:eastAsia="黑体"/>
          <w:bCs/>
          <w:color w:val="auto"/>
          <w:sz w:val="72"/>
          <w:szCs w:val="72"/>
          <w:highlight w:val="none"/>
        </w:rPr>
      </w:pPr>
      <w:r>
        <w:rPr>
          <w:rFonts w:hint="eastAsia" w:ascii="黑体" w:hAnsi="黑体" w:eastAsia="黑体"/>
          <w:bCs/>
          <w:color w:val="auto"/>
          <w:sz w:val="72"/>
          <w:szCs w:val="72"/>
          <w:highlight w:val="none"/>
        </w:rPr>
        <w:t>非依法必须招标项目服务类</w:t>
      </w:r>
    </w:p>
    <w:p w14:paraId="3538FFB2">
      <w:pPr>
        <w:pStyle w:val="18"/>
        <w:jc w:val="center"/>
        <w:rPr>
          <w:rFonts w:ascii="黑体" w:hAnsi="黑体" w:eastAsia="黑体"/>
          <w:bCs/>
          <w:color w:val="auto"/>
          <w:sz w:val="84"/>
          <w:szCs w:val="84"/>
          <w:highlight w:val="none"/>
        </w:rPr>
      </w:pPr>
    </w:p>
    <w:p w14:paraId="2C8E2C39">
      <w:pPr>
        <w:pStyle w:val="18"/>
        <w:jc w:val="center"/>
        <w:rPr>
          <w:rFonts w:ascii="黑体" w:hAnsi="黑体" w:eastAsia="黑体"/>
          <w:bCs/>
          <w:color w:val="auto"/>
          <w:sz w:val="84"/>
          <w:szCs w:val="84"/>
          <w:highlight w:val="none"/>
        </w:rPr>
      </w:pPr>
      <w:r>
        <w:rPr>
          <w:rFonts w:hint="eastAsia" w:ascii="黑体" w:hAnsi="黑体" w:eastAsia="黑体"/>
          <w:bCs/>
          <w:color w:val="auto"/>
          <w:sz w:val="84"/>
          <w:szCs w:val="84"/>
          <w:highlight w:val="none"/>
        </w:rPr>
        <w:t>投 标 文 件</w:t>
      </w:r>
    </w:p>
    <w:p w14:paraId="52DB0D44">
      <w:pPr>
        <w:widowControl w:val="0"/>
        <w:ind w:left="988"/>
        <w:jc w:val="center"/>
        <w:rPr>
          <w:rFonts w:ascii="宋体" w:hAnsi="宋体"/>
          <w:color w:val="auto"/>
          <w:kern w:val="0"/>
          <w:sz w:val="32"/>
          <w:szCs w:val="21"/>
          <w:highlight w:val="none"/>
          <w:u w:val="single"/>
        </w:rPr>
      </w:pPr>
    </w:p>
    <w:p w14:paraId="371C91AA">
      <w:pPr>
        <w:widowControl w:val="0"/>
        <w:ind w:left="988"/>
        <w:jc w:val="center"/>
        <w:rPr>
          <w:rFonts w:ascii="宋体" w:hAnsi="宋体"/>
          <w:color w:val="auto"/>
          <w:kern w:val="0"/>
          <w:sz w:val="32"/>
          <w:szCs w:val="21"/>
          <w:highlight w:val="none"/>
          <w:u w:val="single"/>
        </w:rPr>
      </w:pPr>
    </w:p>
    <w:p w14:paraId="698567ED">
      <w:pPr>
        <w:widowControl w:val="0"/>
        <w:ind w:left="988"/>
        <w:jc w:val="center"/>
        <w:rPr>
          <w:rFonts w:ascii="宋体" w:hAnsi="宋体"/>
          <w:color w:val="auto"/>
          <w:kern w:val="0"/>
          <w:sz w:val="32"/>
          <w:szCs w:val="21"/>
          <w:highlight w:val="none"/>
          <w:u w:val="single"/>
        </w:rPr>
      </w:pPr>
    </w:p>
    <w:p w14:paraId="68AB0812">
      <w:pPr>
        <w:widowControl w:val="0"/>
        <w:ind w:left="988"/>
        <w:jc w:val="center"/>
        <w:rPr>
          <w:rFonts w:ascii="宋体" w:hAnsi="宋体"/>
          <w:color w:val="auto"/>
          <w:kern w:val="0"/>
          <w:sz w:val="32"/>
          <w:szCs w:val="21"/>
          <w:highlight w:val="none"/>
          <w:u w:val="single"/>
        </w:rPr>
      </w:pPr>
    </w:p>
    <w:p w14:paraId="4803CAA5">
      <w:pPr>
        <w:widowControl w:val="0"/>
        <w:rPr>
          <w:rFonts w:ascii="宋体" w:hAnsi="宋体"/>
          <w:b/>
          <w:bCs/>
          <w:color w:val="auto"/>
          <w:kern w:val="0"/>
          <w:sz w:val="32"/>
          <w:szCs w:val="21"/>
          <w:highlight w:val="none"/>
        </w:rPr>
      </w:pPr>
    </w:p>
    <w:p w14:paraId="2C76E564">
      <w:pPr>
        <w:widowControl w:val="0"/>
        <w:rPr>
          <w:rFonts w:ascii="宋体" w:hAnsi="宋体"/>
          <w:b/>
          <w:bCs/>
          <w:color w:val="auto"/>
          <w:kern w:val="0"/>
          <w:sz w:val="32"/>
          <w:szCs w:val="21"/>
          <w:highlight w:val="none"/>
        </w:rPr>
      </w:pPr>
    </w:p>
    <w:p w14:paraId="3E5CF8B9">
      <w:pPr>
        <w:widowControl w:val="0"/>
        <w:rPr>
          <w:rFonts w:ascii="宋体" w:hAnsi="宋体"/>
          <w:b/>
          <w:bCs/>
          <w:color w:val="auto"/>
          <w:kern w:val="0"/>
          <w:sz w:val="32"/>
          <w:szCs w:val="21"/>
          <w:highlight w:val="none"/>
        </w:rPr>
      </w:pPr>
    </w:p>
    <w:p w14:paraId="787B19A0">
      <w:pPr>
        <w:widowControl w:val="0"/>
        <w:spacing w:line="480" w:lineRule="auto"/>
        <w:ind w:firstLine="840" w:firstLineChars="300"/>
        <w:rPr>
          <w:rFonts w:ascii="微软雅黑" w:hAnsi="宋体" w:eastAsia="微软雅黑"/>
          <w:bCs/>
          <w:color w:val="auto"/>
          <w:kern w:val="0"/>
          <w:sz w:val="28"/>
          <w:szCs w:val="21"/>
          <w:highlight w:val="none"/>
          <w:u w:val="single"/>
        </w:rPr>
      </w:pPr>
      <w:r>
        <w:rPr>
          <w:rFonts w:hint="eastAsia" w:ascii="微软雅黑" w:hAnsi="宋体" w:eastAsia="微软雅黑"/>
          <w:bCs/>
          <w:color w:val="auto"/>
          <w:kern w:val="0"/>
          <w:sz w:val="28"/>
          <w:szCs w:val="21"/>
          <w:highlight w:val="none"/>
        </w:rPr>
        <w:t>招标项目名称：</w:t>
      </w:r>
      <w:r>
        <w:rPr>
          <w:rFonts w:hint="eastAsia" w:ascii="微软雅黑" w:hAnsi="宋体" w:eastAsia="微软雅黑"/>
          <w:bCs/>
          <w:color w:val="auto"/>
          <w:kern w:val="0"/>
          <w:sz w:val="28"/>
          <w:szCs w:val="21"/>
          <w:highlight w:val="none"/>
          <w:u w:val="single"/>
        </w:rPr>
        <w:t xml:space="preserve">                                          </w:t>
      </w:r>
    </w:p>
    <w:p w14:paraId="54F51E0D">
      <w:pPr>
        <w:widowControl w:val="0"/>
        <w:spacing w:line="480" w:lineRule="auto"/>
        <w:ind w:firstLine="840" w:firstLineChars="300"/>
        <w:rPr>
          <w:rFonts w:ascii="微软雅黑" w:hAnsi="宋体" w:eastAsia="微软雅黑"/>
          <w:bCs/>
          <w:color w:val="auto"/>
          <w:kern w:val="0"/>
          <w:sz w:val="28"/>
          <w:szCs w:val="21"/>
          <w:highlight w:val="none"/>
        </w:rPr>
      </w:pPr>
      <w:r>
        <w:rPr>
          <w:rFonts w:hint="eastAsia" w:ascii="微软雅黑" w:hAnsi="宋体" w:eastAsia="微软雅黑"/>
          <w:bCs/>
          <w:color w:val="auto"/>
          <w:kern w:val="0"/>
          <w:sz w:val="28"/>
          <w:szCs w:val="21"/>
          <w:highlight w:val="none"/>
        </w:rPr>
        <w:t xml:space="preserve">投标文件内容： </w:t>
      </w:r>
      <w:r>
        <w:rPr>
          <w:rFonts w:hint="eastAsia" w:ascii="微软雅黑" w:hAnsi="宋体" w:eastAsia="微软雅黑"/>
          <w:bCs/>
          <w:color w:val="auto"/>
          <w:kern w:val="0"/>
          <w:sz w:val="28"/>
          <w:szCs w:val="21"/>
          <w:highlight w:val="none"/>
          <w:u w:val="single"/>
        </w:rPr>
        <w:softHyphen/>
      </w:r>
      <w:r>
        <w:rPr>
          <w:rFonts w:hint="eastAsia" w:ascii="微软雅黑" w:hAnsi="宋体" w:eastAsia="微软雅黑"/>
          <w:bCs/>
          <w:color w:val="auto"/>
          <w:kern w:val="0"/>
          <w:sz w:val="28"/>
          <w:szCs w:val="21"/>
          <w:highlight w:val="none"/>
          <w:u w:val="single"/>
        </w:rPr>
        <w:softHyphen/>
      </w:r>
      <w:r>
        <w:rPr>
          <w:rFonts w:hint="eastAsia" w:ascii="微软雅黑" w:hAnsi="宋体" w:eastAsia="微软雅黑"/>
          <w:bCs/>
          <w:color w:val="auto"/>
          <w:kern w:val="0"/>
          <w:sz w:val="28"/>
          <w:szCs w:val="21"/>
          <w:highlight w:val="none"/>
          <w:u w:val="single"/>
        </w:rPr>
        <w:softHyphen/>
      </w:r>
      <w:r>
        <w:rPr>
          <w:rFonts w:hint="eastAsia" w:ascii="微软雅黑" w:hAnsi="宋体" w:eastAsia="微软雅黑"/>
          <w:bCs/>
          <w:color w:val="auto"/>
          <w:kern w:val="0"/>
          <w:sz w:val="28"/>
          <w:szCs w:val="21"/>
          <w:highlight w:val="none"/>
          <w:u w:val="single"/>
        </w:rPr>
        <w:softHyphen/>
      </w:r>
      <w:r>
        <w:rPr>
          <w:rFonts w:hint="eastAsia" w:ascii="微软雅黑" w:hAnsi="宋体" w:eastAsia="微软雅黑"/>
          <w:bCs/>
          <w:color w:val="auto"/>
          <w:kern w:val="0"/>
          <w:sz w:val="28"/>
          <w:szCs w:val="21"/>
          <w:highlight w:val="none"/>
          <w:u w:val="single"/>
        </w:rPr>
        <w:t xml:space="preserve">       </w:t>
      </w:r>
      <w:r>
        <w:rPr>
          <w:rFonts w:hint="eastAsia" w:ascii="微软雅黑" w:hAnsi="宋体" w:eastAsia="微软雅黑"/>
          <w:bCs/>
          <w:color w:val="auto"/>
          <w:kern w:val="0"/>
          <w:sz w:val="48"/>
          <w:szCs w:val="48"/>
          <w:highlight w:val="none"/>
          <w:u w:val="single"/>
        </w:rPr>
        <w:t>资信标部分</w:t>
      </w:r>
      <w:r>
        <w:rPr>
          <w:rFonts w:hint="eastAsia" w:ascii="微软雅黑" w:hAnsi="宋体" w:eastAsia="微软雅黑"/>
          <w:bCs/>
          <w:color w:val="auto"/>
          <w:kern w:val="0"/>
          <w:sz w:val="28"/>
          <w:szCs w:val="21"/>
          <w:highlight w:val="none"/>
          <w:u w:val="single"/>
        </w:rPr>
        <w:t xml:space="preserve">              </w:t>
      </w:r>
    </w:p>
    <w:p w14:paraId="7F060EC6">
      <w:pPr>
        <w:widowControl w:val="0"/>
        <w:spacing w:line="480" w:lineRule="auto"/>
        <w:ind w:firstLine="840" w:firstLineChars="300"/>
        <w:rPr>
          <w:rFonts w:ascii="微软雅黑" w:hAnsi="宋体" w:eastAsia="微软雅黑"/>
          <w:bCs/>
          <w:color w:val="auto"/>
          <w:kern w:val="0"/>
          <w:sz w:val="28"/>
          <w:szCs w:val="21"/>
          <w:highlight w:val="none"/>
          <w:u w:val="single"/>
        </w:rPr>
      </w:pPr>
      <w:r>
        <w:rPr>
          <w:rFonts w:hint="eastAsia" w:ascii="微软雅黑" w:hAnsi="宋体" w:eastAsia="微软雅黑"/>
          <w:bCs/>
          <w:color w:val="auto"/>
          <w:kern w:val="0"/>
          <w:sz w:val="28"/>
          <w:szCs w:val="21"/>
          <w:highlight w:val="none"/>
        </w:rPr>
        <w:t>投标单位（盖章）：</w:t>
      </w:r>
      <w:r>
        <w:rPr>
          <w:rFonts w:hint="eastAsia" w:ascii="微软雅黑" w:hAnsi="宋体" w:eastAsia="微软雅黑"/>
          <w:bCs/>
          <w:color w:val="auto"/>
          <w:kern w:val="0"/>
          <w:sz w:val="28"/>
          <w:szCs w:val="21"/>
          <w:highlight w:val="none"/>
          <w:u w:val="single"/>
        </w:rPr>
        <w:t xml:space="preserve">                                   </w:t>
      </w:r>
    </w:p>
    <w:p w14:paraId="4B11C52B">
      <w:pPr>
        <w:widowControl w:val="0"/>
        <w:spacing w:line="480" w:lineRule="auto"/>
        <w:ind w:firstLine="840" w:firstLineChars="300"/>
        <w:rPr>
          <w:rFonts w:ascii="微软雅黑" w:hAnsi="宋体" w:eastAsia="微软雅黑"/>
          <w:bCs/>
          <w:color w:val="auto"/>
          <w:kern w:val="0"/>
          <w:sz w:val="28"/>
          <w:szCs w:val="21"/>
          <w:highlight w:val="none"/>
          <w:u w:val="single"/>
        </w:rPr>
      </w:pPr>
      <w:r>
        <w:rPr>
          <w:rFonts w:hint="eastAsia" w:ascii="微软雅黑" w:hAnsi="宋体" w:eastAsia="微软雅黑"/>
          <w:bCs/>
          <w:color w:val="auto"/>
          <w:kern w:val="0"/>
          <w:sz w:val="28"/>
          <w:szCs w:val="21"/>
          <w:highlight w:val="none"/>
        </w:rPr>
        <w:t>法定代表人或其委托代理人（签字或盖章）：</w:t>
      </w:r>
      <w:r>
        <w:rPr>
          <w:rFonts w:hint="eastAsia" w:ascii="微软雅黑" w:hAnsi="宋体" w:eastAsia="微软雅黑"/>
          <w:bCs/>
          <w:color w:val="auto"/>
          <w:kern w:val="0"/>
          <w:sz w:val="28"/>
          <w:szCs w:val="21"/>
          <w:highlight w:val="none"/>
          <w:u w:val="single"/>
        </w:rPr>
        <w:t xml:space="preserve">            </w:t>
      </w:r>
    </w:p>
    <w:p w14:paraId="49D22845">
      <w:pPr>
        <w:widowControl w:val="0"/>
        <w:spacing w:line="480" w:lineRule="auto"/>
        <w:ind w:firstLine="840" w:firstLineChars="300"/>
        <w:rPr>
          <w:rFonts w:ascii="微软雅黑" w:hAnsi="宋体" w:eastAsia="微软雅黑"/>
          <w:bCs/>
          <w:color w:val="auto"/>
          <w:kern w:val="0"/>
          <w:sz w:val="28"/>
          <w:szCs w:val="21"/>
          <w:highlight w:val="none"/>
        </w:rPr>
      </w:pPr>
      <w:r>
        <w:rPr>
          <w:rFonts w:hint="eastAsia" w:ascii="微软雅黑" w:hAnsi="宋体" w:eastAsia="微软雅黑"/>
          <w:bCs/>
          <w:color w:val="auto"/>
          <w:kern w:val="0"/>
          <w:sz w:val="28"/>
          <w:szCs w:val="21"/>
          <w:highlight w:val="none"/>
        </w:rPr>
        <w:t>日      期:</w:t>
      </w:r>
      <w:r>
        <w:rPr>
          <w:rFonts w:hint="eastAsia" w:ascii="微软雅黑" w:hAnsi="宋体" w:eastAsia="微软雅黑"/>
          <w:bCs/>
          <w:color w:val="auto"/>
          <w:kern w:val="0"/>
          <w:sz w:val="28"/>
          <w:szCs w:val="21"/>
          <w:highlight w:val="none"/>
          <w:u w:val="single"/>
        </w:rPr>
        <w:t xml:space="preserve">           </w:t>
      </w:r>
      <w:r>
        <w:rPr>
          <w:rFonts w:hint="eastAsia" w:ascii="微软雅黑" w:hAnsi="宋体" w:eastAsia="微软雅黑"/>
          <w:bCs/>
          <w:color w:val="auto"/>
          <w:kern w:val="0"/>
          <w:sz w:val="28"/>
          <w:szCs w:val="21"/>
          <w:highlight w:val="none"/>
        </w:rPr>
        <w:t>年</w:t>
      </w:r>
      <w:r>
        <w:rPr>
          <w:rFonts w:hint="eastAsia" w:ascii="微软雅黑" w:hAnsi="宋体" w:eastAsia="微软雅黑"/>
          <w:bCs/>
          <w:color w:val="auto"/>
          <w:kern w:val="0"/>
          <w:sz w:val="28"/>
          <w:szCs w:val="21"/>
          <w:highlight w:val="none"/>
          <w:u w:val="single"/>
        </w:rPr>
        <w:t xml:space="preserve">          </w:t>
      </w:r>
      <w:r>
        <w:rPr>
          <w:rFonts w:hint="eastAsia" w:ascii="微软雅黑" w:hAnsi="宋体" w:eastAsia="微软雅黑"/>
          <w:bCs/>
          <w:color w:val="auto"/>
          <w:kern w:val="0"/>
          <w:sz w:val="28"/>
          <w:szCs w:val="21"/>
          <w:highlight w:val="none"/>
        </w:rPr>
        <w:t>月</w:t>
      </w:r>
      <w:r>
        <w:rPr>
          <w:rFonts w:hint="eastAsia" w:ascii="微软雅黑" w:hAnsi="宋体" w:eastAsia="微软雅黑"/>
          <w:bCs/>
          <w:color w:val="auto"/>
          <w:kern w:val="0"/>
          <w:sz w:val="28"/>
          <w:szCs w:val="21"/>
          <w:highlight w:val="none"/>
          <w:u w:val="single"/>
        </w:rPr>
        <w:t xml:space="preserve">          </w:t>
      </w:r>
      <w:r>
        <w:rPr>
          <w:rFonts w:hint="eastAsia" w:ascii="微软雅黑" w:hAnsi="宋体" w:eastAsia="微软雅黑"/>
          <w:bCs/>
          <w:color w:val="auto"/>
          <w:kern w:val="0"/>
          <w:sz w:val="28"/>
          <w:szCs w:val="21"/>
          <w:highlight w:val="none"/>
        </w:rPr>
        <w:t>日</w:t>
      </w:r>
    </w:p>
    <w:p w14:paraId="1587658D">
      <w:pPr>
        <w:widowControl w:val="0"/>
        <w:spacing w:line="480" w:lineRule="auto"/>
        <w:ind w:firstLine="843" w:firstLineChars="300"/>
        <w:rPr>
          <w:rFonts w:ascii="宋体" w:hAnsi="宋体"/>
          <w:b/>
          <w:bCs/>
          <w:color w:val="auto"/>
          <w:kern w:val="0"/>
          <w:sz w:val="28"/>
          <w:szCs w:val="21"/>
          <w:highlight w:val="none"/>
        </w:rPr>
      </w:pPr>
    </w:p>
    <w:p w14:paraId="66411D53">
      <w:pPr>
        <w:adjustRightInd w:val="0"/>
        <w:snapToGrid w:val="0"/>
        <w:spacing w:line="360" w:lineRule="auto"/>
        <w:jc w:val="center"/>
        <w:rPr>
          <w:rFonts w:ascii="黑体" w:hAnsi="黑体" w:eastAsia="黑体"/>
          <w:color w:val="auto"/>
          <w:kern w:val="0"/>
          <w:sz w:val="36"/>
          <w:szCs w:val="36"/>
          <w:highlight w:val="none"/>
        </w:rPr>
      </w:pPr>
      <w:r>
        <w:rPr>
          <w:rFonts w:hint="eastAsia" w:ascii="黑体" w:hAnsi="黑体" w:eastAsia="黑体"/>
          <w:color w:val="auto"/>
          <w:kern w:val="0"/>
          <w:sz w:val="36"/>
          <w:szCs w:val="36"/>
          <w:highlight w:val="none"/>
        </w:rPr>
        <w:t>资信标投标文件目录</w:t>
      </w:r>
    </w:p>
    <w:p w14:paraId="0A8E3B48">
      <w:pPr>
        <w:pStyle w:val="71"/>
        <w:spacing w:line="560" w:lineRule="exact"/>
        <w:ind w:firstLine="56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1、投标人资质情况；</w:t>
      </w:r>
    </w:p>
    <w:p w14:paraId="59F27049">
      <w:pPr>
        <w:pStyle w:val="71"/>
        <w:spacing w:line="560" w:lineRule="exact"/>
        <w:ind w:firstLine="56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2、投标人注册资金、办公场地、员工数量、机械设备等规模情况；</w:t>
      </w:r>
    </w:p>
    <w:p w14:paraId="510A144A">
      <w:pPr>
        <w:pStyle w:val="71"/>
        <w:spacing w:line="560" w:lineRule="exact"/>
        <w:ind w:firstLine="56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3、投标人营业收入等财务状况；</w:t>
      </w:r>
    </w:p>
    <w:p w14:paraId="31E06CE5">
      <w:pPr>
        <w:pStyle w:val="71"/>
        <w:spacing w:line="560" w:lineRule="exact"/>
        <w:ind w:firstLine="56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4、投标人纳税情况；</w:t>
      </w:r>
    </w:p>
    <w:p w14:paraId="01FEA7CC">
      <w:pPr>
        <w:pStyle w:val="71"/>
        <w:spacing w:line="560" w:lineRule="exact"/>
        <w:ind w:firstLine="56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5、投标人业绩情况；</w:t>
      </w:r>
    </w:p>
    <w:p w14:paraId="4BBCE455">
      <w:pPr>
        <w:pStyle w:val="71"/>
        <w:spacing w:line="560" w:lineRule="exact"/>
        <w:ind w:firstLine="56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6、投标人获奖情况；</w:t>
      </w:r>
    </w:p>
    <w:p w14:paraId="2D91A11D">
      <w:pPr>
        <w:pStyle w:val="71"/>
        <w:spacing w:line="560" w:lineRule="exact"/>
        <w:ind w:firstLine="560"/>
        <w:jc w:val="left"/>
        <w:rPr>
          <w:rFonts w:ascii="仿宋" w:hAnsi="仿宋" w:eastAsia="仿宋"/>
          <w:bCs/>
          <w:color w:val="auto"/>
          <w:kern w:val="0"/>
          <w:sz w:val="28"/>
          <w:szCs w:val="28"/>
          <w:highlight w:val="none"/>
        </w:rPr>
      </w:pPr>
      <w:r>
        <w:rPr>
          <w:rFonts w:hint="eastAsia" w:ascii="仿宋" w:hAnsi="仿宋" w:eastAsia="仿宋"/>
          <w:color w:val="auto"/>
          <w:kern w:val="0"/>
          <w:sz w:val="28"/>
          <w:szCs w:val="28"/>
          <w:highlight w:val="none"/>
        </w:rPr>
        <w:t>7、</w:t>
      </w:r>
      <w:r>
        <w:rPr>
          <w:rFonts w:hint="eastAsia" w:ascii="仿宋" w:hAnsi="仿宋" w:eastAsia="仿宋"/>
          <w:bCs/>
          <w:color w:val="auto"/>
          <w:kern w:val="0"/>
          <w:sz w:val="28"/>
          <w:szCs w:val="28"/>
          <w:highlight w:val="none"/>
        </w:rPr>
        <w:t>招标人要求提供的与投标人资信评审有关的其他材料：</w:t>
      </w:r>
    </w:p>
    <w:p w14:paraId="74399449">
      <w:pPr>
        <w:pStyle w:val="71"/>
        <w:spacing w:line="560" w:lineRule="exact"/>
        <w:ind w:firstLine="560"/>
        <w:jc w:val="left"/>
        <w:rPr>
          <w:rFonts w:ascii="仿宋" w:hAnsi="仿宋" w:eastAsia="仿宋"/>
          <w:bCs/>
          <w:color w:val="auto"/>
          <w:kern w:val="0"/>
          <w:sz w:val="28"/>
          <w:szCs w:val="28"/>
          <w:highlight w:val="none"/>
          <w:u w:val="single"/>
        </w:rPr>
      </w:pPr>
      <w:r>
        <w:rPr>
          <w:rFonts w:hint="eastAsia" w:ascii="仿宋" w:hAnsi="仿宋" w:eastAsia="仿宋"/>
          <w:bCs/>
          <w:color w:val="auto"/>
          <w:kern w:val="0"/>
          <w:sz w:val="28"/>
          <w:szCs w:val="28"/>
          <w:highlight w:val="none"/>
          <w:u w:val="single"/>
        </w:rPr>
        <w:t xml:space="preserve">                                                      </w:t>
      </w:r>
    </w:p>
    <w:p w14:paraId="144F0D7B">
      <w:pPr>
        <w:pStyle w:val="71"/>
        <w:spacing w:line="560" w:lineRule="exact"/>
        <w:ind w:firstLine="560"/>
        <w:jc w:val="center"/>
        <w:rPr>
          <w:rFonts w:ascii="仿宋" w:hAnsi="仿宋" w:eastAsia="仿宋"/>
          <w:color w:val="auto"/>
          <w:kern w:val="0"/>
          <w:sz w:val="28"/>
          <w:szCs w:val="28"/>
          <w:highlight w:val="none"/>
        </w:rPr>
      </w:pPr>
      <w:r>
        <w:rPr>
          <w:rFonts w:hint="eastAsia" w:ascii="仿宋" w:hAnsi="仿宋" w:eastAsia="仿宋"/>
          <w:color w:val="auto"/>
          <w:sz w:val="28"/>
          <w:highlight w:val="none"/>
        </w:rPr>
        <w:t>（无格式要求，投标人自拟）</w:t>
      </w:r>
    </w:p>
    <w:p w14:paraId="32C74A87">
      <w:pPr>
        <w:pStyle w:val="71"/>
        <w:ind w:firstLine="0" w:firstLineChars="0"/>
        <w:outlineLvl w:val="1"/>
        <w:rPr>
          <w:rFonts w:ascii="仿宋" w:hAnsi="仿宋" w:eastAsia="仿宋"/>
          <w:b/>
          <w:color w:val="auto"/>
          <w:kern w:val="0"/>
          <w:sz w:val="28"/>
          <w:szCs w:val="28"/>
          <w:highlight w:val="none"/>
        </w:rPr>
      </w:pPr>
      <w:r>
        <w:rPr>
          <w:rFonts w:ascii="仿宋_GB2312" w:hAnsi="宋体" w:eastAsia="仿宋_GB2312"/>
          <w:color w:val="auto"/>
          <w:kern w:val="0"/>
          <w:sz w:val="28"/>
          <w:szCs w:val="28"/>
          <w:highlight w:val="none"/>
        </w:rPr>
        <w:br w:type="page"/>
      </w:r>
      <w:bookmarkStart w:id="93" w:name="_Toc16597"/>
      <w:bookmarkStart w:id="94" w:name="_Toc3971"/>
      <w:r>
        <w:rPr>
          <w:rFonts w:hint="eastAsia" w:ascii="仿宋" w:hAnsi="仿宋" w:eastAsia="仿宋"/>
          <w:b/>
          <w:color w:val="auto"/>
          <w:kern w:val="0"/>
          <w:sz w:val="28"/>
          <w:szCs w:val="28"/>
          <w:highlight w:val="none"/>
        </w:rPr>
        <w:t>四、投标文件格式--技术标部分</w:t>
      </w:r>
      <w:bookmarkEnd w:id="93"/>
      <w:bookmarkEnd w:id="94"/>
    </w:p>
    <w:p w14:paraId="5AD3B511">
      <w:pPr>
        <w:pStyle w:val="18"/>
        <w:jc w:val="center"/>
        <w:rPr>
          <w:rFonts w:ascii="黑体" w:hAnsi="黑体" w:eastAsia="黑体"/>
          <w:bCs/>
          <w:color w:val="auto"/>
          <w:sz w:val="84"/>
          <w:szCs w:val="84"/>
          <w:highlight w:val="none"/>
        </w:rPr>
      </w:pPr>
    </w:p>
    <w:p w14:paraId="402E8E16">
      <w:pPr>
        <w:pStyle w:val="18"/>
        <w:jc w:val="center"/>
        <w:rPr>
          <w:rFonts w:ascii="黑体" w:hAnsi="黑体" w:eastAsia="黑体"/>
          <w:bCs/>
          <w:color w:val="auto"/>
          <w:sz w:val="72"/>
          <w:szCs w:val="72"/>
          <w:highlight w:val="none"/>
        </w:rPr>
      </w:pPr>
      <w:r>
        <w:rPr>
          <w:rFonts w:hint="eastAsia" w:ascii="黑体" w:hAnsi="黑体" w:eastAsia="黑体"/>
          <w:bCs/>
          <w:color w:val="auto"/>
          <w:sz w:val="72"/>
          <w:szCs w:val="72"/>
          <w:highlight w:val="none"/>
        </w:rPr>
        <w:t>非依法必须招标项目服务类</w:t>
      </w:r>
    </w:p>
    <w:p w14:paraId="113A9CCD">
      <w:pPr>
        <w:pStyle w:val="18"/>
        <w:jc w:val="center"/>
        <w:rPr>
          <w:rFonts w:ascii="黑体" w:hAnsi="黑体" w:eastAsia="黑体"/>
          <w:bCs/>
          <w:color w:val="auto"/>
          <w:sz w:val="84"/>
          <w:szCs w:val="84"/>
          <w:highlight w:val="none"/>
        </w:rPr>
      </w:pPr>
    </w:p>
    <w:p w14:paraId="70CF3067">
      <w:pPr>
        <w:pStyle w:val="18"/>
        <w:jc w:val="center"/>
        <w:rPr>
          <w:rFonts w:ascii="黑体" w:hAnsi="黑体" w:eastAsia="黑体"/>
          <w:bCs/>
          <w:color w:val="auto"/>
          <w:sz w:val="84"/>
          <w:szCs w:val="84"/>
          <w:highlight w:val="none"/>
        </w:rPr>
      </w:pPr>
      <w:r>
        <w:rPr>
          <w:rFonts w:hint="eastAsia" w:ascii="黑体" w:hAnsi="黑体" w:eastAsia="黑体"/>
          <w:bCs/>
          <w:color w:val="auto"/>
          <w:sz w:val="84"/>
          <w:szCs w:val="84"/>
          <w:highlight w:val="none"/>
        </w:rPr>
        <w:t>投 标 文 件</w:t>
      </w:r>
    </w:p>
    <w:p w14:paraId="771724AA">
      <w:pPr>
        <w:widowControl w:val="0"/>
        <w:ind w:left="988"/>
        <w:jc w:val="center"/>
        <w:rPr>
          <w:rFonts w:ascii="宋体" w:hAnsi="宋体"/>
          <w:color w:val="auto"/>
          <w:kern w:val="0"/>
          <w:sz w:val="32"/>
          <w:szCs w:val="21"/>
          <w:highlight w:val="none"/>
          <w:u w:val="single"/>
        </w:rPr>
      </w:pPr>
    </w:p>
    <w:p w14:paraId="20676614">
      <w:pPr>
        <w:widowControl w:val="0"/>
        <w:ind w:left="988"/>
        <w:jc w:val="center"/>
        <w:rPr>
          <w:rFonts w:ascii="宋体" w:hAnsi="宋体"/>
          <w:color w:val="auto"/>
          <w:kern w:val="0"/>
          <w:sz w:val="32"/>
          <w:szCs w:val="21"/>
          <w:highlight w:val="none"/>
          <w:u w:val="single"/>
        </w:rPr>
      </w:pPr>
    </w:p>
    <w:p w14:paraId="377C0CEE">
      <w:pPr>
        <w:widowControl w:val="0"/>
        <w:ind w:left="988"/>
        <w:jc w:val="center"/>
        <w:rPr>
          <w:rFonts w:ascii="宋体" w:hAnsi="宋体"/>
          <w:color w:val="auto"/>
          <w:kern w:val="0"/>
          <w:sz w:val="32"/>
          <w:szCs w:val="21"/>
          <w:highlight w:val="none"/>
          <w:u w:val="single"/>
        </w:rPr>
      </w:pPr>
    </w:p>
    <w:p w14:paraId="21710331">
      <w:pPr>
        <w:widowControl w:val="0"/>
        <w:ind w:left="988"/>
        <w:jc w:val="center"/>
        <w:rPr>
          <w:rFonts w:ascii="宋体" w:hAnsi="宋体"/>
          <w:color w:val="auto"/>
          <w:kern w:val="0"/>
          <w:sz w:val="32"/>
          <w:szCs w:val="21"/>
          <w:highlight w:val="none"/>
          <w:u w:val="single"/>
        </w:rPr>
      </w:pPr>
    </w:p>
    <w:p w14:paraId="1E165368">
      <w:pPr>
        <w:widowControl w:val="0"/>
        <w:rPr>
          <w:rFonts w:ascii="宋体" w:hAnsi="宋体"/>
          <w:b/>
          <w:bCs/>
          <w:color w:val="auto"/>
          <w:kern w:val="0"/>
          <w:sz w:val="32"/>
          <w:szCs w:val="21"/>
          <w:highlight w:val="none"/>
        </w:rPr>
      </w:pPr>
    </w:p>
    <w:p w14:paraId="2912CE92">
      <w:pPr>
        <w:widowControl w:val="0"/>
        <w:rPr>
          <w:rFonts w:ascii="宋体" w:hAnsi="宋体"/>
          <w:b/>
          <w:bCs/>
          <w:color w:val="auto"/>
          <w:kern w:val="0"/>
          <w:sz w:val="32"/>
          <w:szCs w:val="21"/>
          <w:highlight w:val="none"/>
        </w:rPr>
      </w:pPr>
    </w:p>
    <w:p w14:paraId="754F1BF7">
      <w:pPr>
        <w:widowControl w:val="0"/>
        <w:rPr>
          <w:rFonts w:ascii="宋体" w:hAnsi="宋体"/>
          <w:b/>
          <w:bCs/>
          <w:color w:val="auto"/>
          <w:kern w:val="0"/>
          <w:sz w:val="32"/>
          <w:szCs w:val="21"/>
          <w:highlight w:val="none"/>
        </w:rPr>
      </w:pPr>
    </w:p>
    <w:p w14:paraId="72212520">
      <w:pPr>
        <w:widowControl w:val="0"/>
        <w:spacing w:line="480" w:lineRule="auto"/>
        <w:ind w:firstLine="840" w:firstLineChars="300"/>
        <w:rPr>
          <w:rFonts w:ascii="微软雅黑" w:hAnsi="宋体" w:eastAsia="微软雅黑"/>
          <w:bCs/>
          <w:color w:val="auto"/>
          <w:kern w:val="0"/>
          <w:sz w:val="28"/>
          <w:szCs w:val="21"/>
          <w:highlight w:val="none"/>
          <w:u w:val="single"/>
        </w:rPr>
      </w:pPr>
      <w:r>
        <w:rPr>
          <w:rFonts w:hint="eastAsia" w:ascii="微软雅黑" w:hAnsi="宋体" w:eastAsia="微软雅黑"/>
          <w:bCs/>
          <w:color w:val="auto"/>
          <w:kern w:val="0"/>
          <w:sz w:val="28"/>
          <w:szCs w:val="21"/>
          <w:highlight w:val="none"/>
        </w:rPr>
        <w:t>招标项目名称：</w:t>
      </w:r>
      <w:r>
        <w:rPr>
          <w:rFonts w:hint="eastAsia" w:ascii="微软雅黑" w:hAnsi="宋体" w:eastAsia="微软雅黑"/>
          <w:bCs/>
          <w:color w:val="auto"/>
          <w:kern w:val="0"/>
          <w:sz w:val="28"/>
          <w:szCs w:val="21"/>
          <w:highlight w:val="none"/>
          <w:u w:val="single"/>
        </w:rPr>
        <w:t xml:space="preserve">                                          </w:t>
      </w:r>
    </w:p>
    <w:p w14:paraId="6CE7845D">
      <w:pPr>
        <w:widowControl w:val="0"/>
        <w:spacing w:line="480" w:lineRule="auto"/>
        <w:ind w:firstLine="840" w:firstLineChars="300"/>
        <w:rPr>
          <w:rFonts w:ascii="微软雅黑" w:hAnsi="宋体" w:eastAsia="微软雅黑"/>
          <w:bCs/>
          <w:color w:val="auto"/>
          <w:kern w:val="0"/>
          <w:sz w:val="28"/>
          <w:szCs w:val="21"/>
          <w:highlight w:val="none"/>
        </w:rPr>
      </w:pPr>
      <w:r>
        <w:rPr>
          <w:rFonts w:hint="eastAsia" w:ascii="微软雅黑" w:hAnsi="宋体" w:eastAsia="微软雅黑"/>
          <w:bCs/>
          <w:color w:val="auto"/>
          <w:kern w:val="0"/>
          <w:sz w:val="28"/>
          <w:szCs w:val="21"/>
          <w:highlight w:val="none"/>
        </w:rPr>
        <w:t xml:space="preserve">投标文件内容： </w:t>
      </w:r>
      <w:r>
        <w:rPr>
          <w:rFonts w:hint="eastAsia" w:ascii="微软雅黑" w:hAnsi="宋体" w:eastAsia="微软雅黑"/>
          <w:bCs/>
          <w:color w:val="auto"/>
          <w:kern w:val="0"/>
          <w:sz w:val="28"/>
          <w:szCs w:val="21"/>
          <w:highlight w:val="none"/>
          <w:u w:val="single"/>
        </w:rPr>
        <w:softHyphen/>
      </w:r>
      <w:r>
        <w:rPr>
          <w:rFonts w:hint="eastAsia" w:ascii="微软雅黑" w:hAnsi="宋体" w:eastAsia="微软雅黑"/>
          <w:bCs/>
          <w:color w:val="auto"/>
          <w:kern w:val="0"/>
          <w:sz w:val="28"/>
          <w:szCs w:val="21"/>
          <w:highlight w:val="none"/>
          <w:u w:val="single"/>
        </w:rPr>
        <w:softHyphen/>
      </w:r>
      <w:r>
        <w:rPr>
          <w:rFonts w:hint="eastAsia" w:ascii="微软雅黑" w:hAnsi="宋体" w:eastAsia="微软雅黑"/>
          <w:bCs/>
          <w:color w:val="auto"/>
          <w:kern w:val="0"/>
          <w:sz w:val="28"/>
          <w:szCs w:val="21"/>
          <w:highlight w:val="none"/>
          <w:u w:val="single"/>
        </w:rPr>
        <w:softHyphen/>
      </w:r>
      <w:r>
        <w:rPr>
          <w:rFonts w:hint="eastAsia" w:ascii="微软雅黑" w:hAnsi="宋体" w:eastAsia="微软雅黑"/>
          <w:bCs/>
          <w:color w:val="auto"/>
          <w:kern w:val="0"/>
          <w:sz w:val="28"/>
          <w:szCs w:val="21"/>
          <w:highlight w:val="none"/>
          <w:u w:val="single"/>
        </w:rPr>
        <w:softHyphen/>
      </w:r>
      <w:r>
        <w:rPr>
          <w:rFonts w:hint="eastAsia" w:ascii="微软雅黑" w:hAnsi="宋体" w:eastAsia="微软雅黑"/>
          <w:bCs/>
          <w:color w:val="auto"/>
          <w:kern w:val="0"/>
          <w:sz w:val="28"/>
          <w:szCs w:val="21"/>
          <w:highlight w:val="none"/>
          <w:u w:val="single"/>
        </w:rPr>
        <w:t xml:space="preserve">      </w:t>
      </w:r>
      <w:r>
        <w:rPr>
          <w:rFonts w:hint="eastAsia" w:ascii="微软雅黑" w:hAnsi="宋体" w:eastAsia="微软雅黑"/>
          <w:bCs/>
          <w:color w:val="auto"/>
          <w:kern w:val="0"/>
          <w:sz w:val="48"/>
          <w:szCs w:val="48"/>
          <w:highlight w:val="none"/>
          <w:u w:val="single"/>
        </w:rPr>
        <w:t>技术标部分</w:t>
      </w:r>
      <w:r>
        <w:rPr>
          <w:rFonts w:hint="eastAsia" w:ascii="微软雅黑" w:hAnsi="宋体" w:eastAsia="微软雅黑"/>
          <w:bCs/>
          <w:color w:val="auto"/>
          <w:kern w:val="0"/>
          <w:sz w:val="28"/>
          <w:szCs w:val="21"/>
          <w:highlight w:val="none"/>
          <w:u w:val="single"/>
        </w:rPr>
        <w:t xml:space="preserve">              </w:t>
      </w:r>
    </w:p>
    <w:p w14:paraId="247FD104">
      <w:pPr>
        <w:widowControl w:val="0"/>
        <w:spacing w:line="480" w:lineRule="auto"/>
        <w:ind w:firstLine="840" w:firstLineChars="300"/>
        <w:rPr>
          <w:rFonts w:ascii="微软雅黑" w:hAnsi="宋体" w:eastAsia="微软雅黑"/>
          <w:bCs/>
          <w:color w:val="auto"/>
          <w:kern w:val="0"/>
          <w:sz w:val="28"/>
          <w:szCs w:val="21"/>
          <w:highlight w:val="none"/>
          <w:u w:val="single"/>
        </w:rPr>
      </w:pPr>
      <w:r>
        <w:rPr>
          <w:rFonts w:hint="eastAsia" w:ascii="微软雅黑" w:hAnsi="宋体" w:eastAsia="微软雅黑"/>
          <w:bCs/>
          <w:color w:val="auto"/>
          <w:kern w:val="0"/>
          <w:sz w:val="28"/>
          <w:szCs w:val="21"/>
          <w:highlight w:val="none"/>
        </w:rPr>
        <w:t>投标单位（盖章）：</w:t>
      </w:r>
      <w:r>
        <w:rPr>
          <w:rFonts w:hint="eastAsia" w:ascii="微软雅黑" w:hAnsi="宋体" w:eastAsia="微软雅黑"/>
          <w:bCs/>
          <w:color w:val="auto"/>
          <w:kern w:val="0"/>
          <w:sz w:val="28"/>
          <w:szCs w:val="21"/>
          <w:highlight w:val="none"/>
          <w:u w:val="single"/>
        </w:rPr>
        <w:t xml:space="preserve">                                   </w:t>
      </w:r>
    </w:p>
    <w:p w14:paraId="5751794E">
      <w:pPr>
        <w:widowControl w:val="0"/>
        <w:spacing w:line="480" w:lineRule="auto"/>
        <w:ind w:firstLine="840" w:firstLineChars="300"/>
        <w:rPr>
          <w:rFonts w:ascii="微软雅黑" w:hAnsi="宋体" w:eastAsia="微软雅黑"/>
          <w:bCs/>
          <w:color w:val="auto"/>
          <w:kern w:val="0"/>
          <w:sz w:val="28"/>
          <w:szCs w:val="21"/>
          <w:highlight w:val="none"/>
          <w:u w:val="single"/>
        </w:rPr>
      </w:pPr>
      <w:r>
        <w:rPr>
          <w:rFonts w:hint="eastAsia" w:ascii="微软雅黑" w:hAnsi="宋体" w:eastAsia="微软雅黑"/>
          <w:bCs/>
          <w:color w:val="auto"/>
          <w:kern w:val="0"/>
          <w:sz w:val="28"/>
          <w:szCs w:val="21"/>
          <w:highlight w:val="none"/>
        </w:rPr>
        <w:t>法定代表人或其委托代理人（签字或盖章）：</w:t>
      </w:r>
      <w:r>
        <w:rPr>
          <w:rFonts w:hint="eastAsia" w:ascii="微软雅黑" w:hAnsi="宋体" w:eastAsia="微软雅黑"/>
          <w:bCs/>
          <w:color w:val="auto"/>
          <w:kern w:val="0"/>
          <w:sz w:val="28"/>
          <w:szCs w:val="21"/>
          <w:highlight w:val="none"/>
          <w:u w:val="single"/>
        </w:rPr>
        <w:t xml:space="preserve">            </w:t>
      </w:r>
    </w:p>
    <w:p w14:paraId="20D68E7A">
      <w:pPr>
        <w:widowControl w:val="0"/>
        <w:spacing w:line="480" w:lineRule="auto"/>
        <w:ind w:firstLine="840" w:firstLineChars="300"/>
        <w:rPr>
          <w:rFonts w:ascii="微软雅黑" w:hAnsi="宋体" w:eastAsia="微软雅黑"/>
          <w:bCs/>
          <w:color w:val="auto"/>
          <w:kern w:val="0"/>
          <w:sz w:val="28"/>
          <w:szCs w:val="21"/>
          <w:highlight w:val="none"/>
        </w:rPr>
      </w:pPr>
      <w:r>
        <w:rPr>
          <w:rFonts w:hint="eastAsia" w:ascii="微软雅黑" w:hAnsi="宋体" w:eastAsia="微软雅黑"/>
          <w:bCs/>
          <w:color w:val="auto"/>
          <w:kern w:val="0"/>
          <w:sz w:val="28"/>
          <w:szCs w:val="21"/>
          <w:highlight w:val="none"/>
        </w:rPr>
        <w:t>日      期:</w:t>
      </w:r>
      <w:r>
        <w:rPr>
          <w:rFonts w:hint="eastAsia" w:ascii="微软雅黑" w:hAnsi="宋体" w:eastAsia="微软雅黑"/>
          <w:bCs/>
          <w:color w:val="auto"/>
          <w:kern w:val="0"/>
          <w:sz w:val="28"/>
          <w:szCs w:val="21"/>
          <w:highlight w:val="none"/>
          <w:u w:val="single"/>
        </w:rPr>
        <w:t xml:space="preserve">           </w:t>
      </w:r>
      <w:r>
        <w:rPr>
          <w:rFonts w:hint="eastAsia" w:ascii="微软雅黑" w:hAnsi="宋体" w:eastAsia="微软雅黑"/>
          <w:bCs/>
          <w:color w:val="auto"/>
          <w:kern w:val="0"/>
          <w:sz w:val="28"/>
          <w:szCs w:val="21"/>
          <w:highlight w:val="none"/>
        </w:rPr>
        <w:t>年</w:t>
      </w:r>
      <w:r>
        <w:rPr>
          <w:rFonts w:hint="eastAsia" w:ascii="微软雅黑" w:hAnsi="宋体" w:eastAsia="微软雅黑"/>
          <w:bCs/>
          <w:color w:val="auto"/>
          <w:kern w:val="0"/>
          <w:sz w:val="28"/>
          <w:szCs w:val="21"/>
          <w:highlight w:val="none"/>
          <w:u w:val="single"/>
        </w:rPr>
        <w:t xml:space="preserve">          </w:t>
      </w:r>
      <w:r>
        <w:rPr>
          <w:rFonts w:hint="eastAsia" w:ascii="微软雅黑" w:hAnsi="宋体" w:eastAsia="微软雅黑"/>
          <w:bCs/>
          <w:color w:val="auto"/>
          <w:kern w:val="0"/>
          <w:sz w:val="28"/>
          <w:szCs w:val="21"/>
          <w:highlight w:val="none"/>
        </w:rPr>
        <w:t>月</w:t>
      </w:r>
      <w:r>
        <w:rPr>
          <w:rFonts w:hint="eastAsia" w:ascii="微软雅黑" w:hAnsi="宋体" w:eastAsia="微软雅黑"/>
          <w:bCs/>
          <w:color w:val="auto"/>
          <w:kern w:val="0"/>
          <w:sz w:val="28"/>
          <w:szCs w:val="21"/>
          <w:highlight w:val="none"/>
          <w:u w:val="single"/>
        </w:rPr>
        <w:t xml:space="preserve">          </w:t>
      </w:r>
      <w:r>
        <w:rPr>
          <w:rFonts w:hint="eastAsia" w:ascii="微软雅黑" w:hAnsi="宋体" w:eastAsia="微软雅黑"/>
          <w:bCs/>
          <w:color w:val="auto"/>
          <w:kern w:val="0"/>
          <w:sz w:val="28"/>
          <w:szCs w:val="21"/>
          <w:highlight w:val="none"/>
        </w:rPr>
        <w:t>日</w:t>
      </w:r>
    </w:p>
    <w:p w14:paraId="6F546D3F">
      <w:pPr>
        <w:pStyle w:val="15"/>
        <w:spacing w:line="276" w:lineRule="auto"/>
        <w:ind w:firstLine="0" w:firstLineChars="0"/>
        <w:contextualSpacing/>
        <w:rPr>
          <w:rFonts w:ascii="宋体" w:hAnsi="宋体"/>
          <w:b/>
          <w:color w:val="auto"/>
          <w:highlight w:val="none"/>
        </w:rPr>
        <w:sectPr>
          <w:pgSz w:w="12240" w:h="15840"/>
          <w:pgMar w:top="1440" w:right="1797" w:bottom="1440" w:left="1797" w:header="720" w:footer="720" w:gutter="0"/>
          <w:pgNumType w:fmt="decimal"/>
          <w:cols w:space="720" w:num="1"/>
        </w:sectPr>
      </w:pPr>
    </w:p>
    <w:p w14:paraId="6F996146">
      <w:pPr>
        <w:pStyle w:val="18"/>
        <w:spacing w:line="360" w:lineRule="auto"/>
        <w:ind w:firstLine="660"/>
        <w:jc w:val="center"/>
        <w:rPr>
          <w:rFonts w:ascii="华文细黑" w:hAnsi="宋体" w:eastAsia="华文细黑"/>
          <w:color w:val="auto"/>
          <w:sz w:val="44"/>
          <w:highlight w:val="none"/>
        </w:rPr>
      </w:pPr>
      <w:r>
        <w:rPr>
          <w:rFonts w:hint="eastAsia" w:ascii="华文细黑" w:hAnsi="宋体" w:eastAsia="华文细黑"/>
          <w:color w:val="auto"/>
          <w:sz w:val="44"/>
          <w:highlight w:val="none"/>
        </w:rPr>
        <w:t>技术标部分目录</w:t>
      </w:r>
    </w:p>
    <w:p w14:paraId="5F77C293">
      <w:pPr>
        <w:pStyle w:val="18"/>
        <w:spacing w:line="520" w:lineRule="exact"/>
        <w:rPr>
          <w:b/>
          <w:bCs/>
          <w:color w:val="auto"/>
          <w:sz w:val="28"/>
          <w:highlight w:val="none"/>
        </w:rPr>
      </w:pPr>
    </w:p>
    <w:p w14:paraId="26E58940">
      <w:pPr>
        <w:pStyle w:val="18"/>
        <w:spacing w:line="480" w:lineRule="auto"/>
        <w:rPr>
          <w:rFonts w:ascii="仿宋" w:hAnsi="仿宋" w:eastAsia="仿宋"/>
          <w:color w:val="auto"/>
          <w:sz w:val="28"/>
          <w:szCs w:val="28"/>
          <w:highlight w:val="none"/>
        </w:rPr>
      </w:pPr>
      <w:r>
        <w:rPr>
          <w:rFonts w:hint="eastAsia" w:ascii="仿宋" w:hAnsi="仿宋" w:eastAsia="仿宋"/>
          <w:color w:val="auto"/>
          <w:sz w:val="28"/>
          <w:szCs w:val="28"/>
          <w:highlight w:val="none"/>
        </w:rPr>
        <w:t>1、项目重难点分析</w:t>
      </w:r>
    </w:p>
    <w:p w14:paraId="2E18407E">
      <w:pPr>
        <w:pStyle w:val="18"/>
        <w:spacing w:line="480" w:lineRule="auto"/>
        <w:rPr>
          <w:rFonts w:ascii="仿宋" w:hAnsi="仿宋" w:eastAsia="仿宋"/>
          <w:color w:val="auto"/>
          <w:sz w:val="28"/>
          <w:szCs w:val="28"/>
          <w:highlight w:val="none"/>
        </w:rPr>
      </w:pPr>
      <w:r>
        <w:rPr>
          <w:rFonts w:hint="eastAsia" w:ascii="仿宋" w:hAnsi="仿宋" w:eastAsia="仿宋"/>
          <w:color w:val="auto"/>
          <w:sz w:val="28"/>
          <w:szCs w:val="28"/>
          <w:highlight w:val="none"/>
        </w:rPr>
        <w:t>2、项目实施方案</w:t>
      </w:r>
    </w:p>
    <w:p w14:paraId="67DB2537">
      <w:pPr>
        <w:pStyle w:val="18"/>
        <w:spacing w:line="480" w:lineRule="auto"/>
        <w:rPr>
          <w:rFonts w:ascii="仿宋" w:hAnsi="仿宋" w:eastAsia="仿宋"/>
          <w:color w:val="auto"/>
          <w:sz w:val="28"/>
          <w:szCs w:val="28"/>
          <w:highlight w:val="none"/>
        </w:rPr>
      </w:pPr>
      <w:r>
        <w:rPr>
          <w:rFonts w:hint="eastAsia" w:ascii="仿宋" w:hAnsi="仿宋" w:eastAsia="仿宋"/>
          <w:color w:val="auto"/>
          <w:sz w:val="28"/>
          <w:szCs w:val="28"/>
          <w:highlight w:val="none"/>
        </w:rPr>
        <w:t>3、项目质量保证措施</w:t>
      </w:r>
    </w:p>
    <w:p w14:paraId="333C892D">
      <w:pPr>
        <w:pStyle w:val="18"/>
        <w:spacing w:line="480" w:lineRule="auto"/>
        <w:rPr>
          <w:rFonts w:ascii="仿宋" w:hAnsi="仿宋" w:eastAsia="仿宋"/>
          <w:color w:val="auto"/>
          <w:sz w:val="28"/>
          <w:szCs w:val="28"/>
          <w:highlight w:val="none"/>
        </w:rPr>
      </w:pPr>
      <w:r>
        <w:rPr>
          <w:rFonts w:hint="eastAsia" w:ascii="仿宋" w:hAnsi="仿宋" w:eastAsia="仿宋"/>
          <w:color w:val="auto"/>
          <w:sz w:val="28"/>
          <w:szCs w:val="28"/>
          <w:highlight w:val="none"/>
        </w:rPr>
        <w:t>4、项目进度保证措施</w:t>
      </w:r>
    </w:p>
    <w:p w14:paraId="4F6CC790">
      <w:pPr>
        <w:pStyle w:val="18"/>
        <w:spacing w:line="480" w:lineRule="auto"/>
        <w:rPr>
          <w:rFonts w:ascii="仿宋" w:hAnsi="仿宋" w:eastAsia="仿宋"/>
          <w:color w:val="auto"/>
          <w:sz w:val="28"/>
          <w:szCs w:val="28"/>
          <w:highlight w:val="none"/>
        </w:rPr>
      </w:pPr>
      <w:r>
        <w:rPr>
          <w:rFonts w:hint="eastAsia" w:ascii="仿宋" w:hAnsi="仿宋" w:eastAsia="仿宋"/>
          <w:color w:val="auto"/>
          <w:sz w:val="28"/>
          <w:szCs w:val="28"/>
          <w:highlight w:val="none"/>
        </w:rPr>
        <w:t>5、项目售后服务措施</w:t>
      </w:r>
    </w:p>
    <w:p w14:paraId="2A1090E7">
      <w:pPr>
        <w:pStyle w:val="18"/>
        <w:spacing w:line="480" w:lineRule="auto"/>
        <w:rPr>
          <w:rFonts w:ascii="仿宋" w:hAnsi="仿宋" w:eastAsia="仿宋"/>
          <w:color w:val="auto"/>
          <w:sz w:val="28"/>
          <w:szCs w:val="28"/>
          <w:highlight w:val="none"/>
        </w:rPr>
      </w:pPr>
      <w:r>
        <w:rPr>
          <w:rFonts w:hint="eastAsia" w:ascii="仿宋" w:hAnsi="仿宋" w:eastAsia="仿宋"/>
          <w:color w:val="auto"/>
          <w:sz w:val="28"/>
          <w:szCs w:val="28"/>
          <w:highlight w:val="none"/>
        </w:rPr>
        <w:t>6、项目管理班子配备情况</w:t>
      </w:r>
    </w:p>
    <w:p w14:paraId="4CDDFABD">
      <w:pPr>
        <w:pStyle w:val="18"/>
        <w:spacing w:line="360" w:lineRule="auto"/>
        <w:ind w:firstLine="420"/>
        <w:jc w:val="center"/>
        <w:rPr>
          <w:color w:val="auto"/>
          <w:highlight w:val="none"/>
        </w:rPr>
      </w:pPr>
      <w:r>
        <w:rPr>
          <w:rFonts w:ascii="仿宋_GB2312" w:hAnsi="宋体" w:eastAsia="仿宋_GB2312"/>
          <w:color w:val="auto"/>
          <w:sz w:val="28"/>
          <w:szCs w:val="28"/>
          <w:highlight w:val="none"/>
        </w:rPr>
        <w:br w:type="page"/>
      </w:r>
    </w:p>
    <w:p w14:paraId="0ECBF9AA">
      <w:pPr>
        <w:pStyle w:val="71"/>
        <w:spacing w:line="360" w:lineRule="auto"/>
        <w:ind w:firstLine="562"/>
        <w:jc w:val="left"/>
        <w:rPr>
          <w:rFonts w:ascii="宋体" w:hAnsi="宋体"/>
          <w:b/>
          <w:color w:val="auto"/>
          <w:sz w:val="28"/>
          <w:szCs w:val="28"/>
          <w:highlight w:val="none"/>
        </w:rPr>
      </w:pPr>
    </w:p>
    <w:p w14:paraId="194750A8">
      <w:pPr>
        <w:pStyle w:val="71"/>
        <w:ind w:firstLine="0" w:firstLineChars="0"/>
        <w:outlineLvl w:val="1"/>
        <w:rPr>
          <w:rFonts w:ascii="仿宋" w:hAnsi="仿宋" w:eastAsia="仿宋"/>
          <w:b/>
          <w:color w:val="auto"/>
          <w:kern w:val="0"/>
          <w:sz w:val="28"/>
          <w:szCs w:val="28"/>
          <w:highlight w:val="none"/>
        </w:rPr>
      </w:pPr>
      <w:bookmarkStart w:id="95" w:name="_Toc11728"/>
      <w:bookmarkStart w:id="96" w:name="_Toc27168"/>
      <w:r>
        <w:rPr>
          <w:rFonts w:hint="eastAsia" w:ascii="仿宋" w:hAnsi="仿宋" w:eastAsia="仿宋"/>
          <w:b/>
          <w:color w:val="auto"/>
          <w:kern w:val="0"/>
          <w:sz w:val="28"/>
          <w:szCs w:val="28"/>
          <w:highlight w:val="none"/>
        </w:rPr>
        <w:t>五、投标文件格式</w:t>
      </w:r>
      <w:r>
        <w:rPr>
          <w:rFonts w:ascii="仿宋" w:hAnsi="仿宋" w:eastAsia="仿宋"/>
          <w:b/>
          <w:color w:val="auto"/>
          <w:kern w:val="0"/>
          <w:sz w:val="28"/>
          <w:szCs w:val="28"/>
          <w:highlight w:val="none"/>
        </w:rPr>
        <w:t>—</w:t>
      </w:r>
      <w:r>
        <w:rPr>
          <w:rFonts w:hint="eastAsia" w:ascii="仿宋" w:hAnsi="仿宋" w:eastAsia="仿宋"/>
          <w:b/>
          <w:color w:val="auto"/>
          <w:kern w:val="0"/>
          <w:sz w:val="28"/>
          <w:szCs w:val="28"/>
          <w:highlight w:val="none"/>
        </w:rPr>
        <w:t>商务标部分</w:t>
      </w:r>
      <w:bookmarkEnd w:id="95"/>
      <w:bookmarkEnd w:id="96"/>
    </w:p>
    <w:p w14:paraId="699EA9B3">
      <w:pPr>
        <w:pStyle w:val="18"/>
        <w:jc w:val="center"/>
        <w:rPr>
          <w:rFonts w:ascii="黑体" w:hAnsi="黑体" w:eastAsia="黑体"/>
          <w:bCs/>
          <w:color w:val="auto"/>
          <w:sz w:val="84"/>
          <w:szCs w:val="84"/>
          <w:highlight w:val="none"/>
        </w:rPr>
      </w:pPr>
    </w:p>
    <w:p w14:paraId="4401BFC9">
      <w:pPr>
        <w:pStyle w:val="18"/>
        <w:jc w:val="center"/>
        <w:rPr>
          <w:rFonts w:ascii="黑体" w:hAnsi="黑体" w:eastAsia="黑体"/>
          <w:bCs/>
          <w:color w:val="auto"/>
          <w:sz w:val="72"/>
          <w:szCs w:val="72"/>
          <w:highlight w:val="none"/>
        </w:rPr>
      </w:pPr>
      <w:r>
        <w:rPr>
          <w:rFonts w:hint="eastAsia" w:ascii="黑体" w:hAnsi="黑体" w:eastAsia="黑体"/>
          <w:bCs/>
          <w:color w:val="auto"/>
          <w:sz w:val="72"/>
          <w:szCs w:val="72"/>
          <w:highlight w:val="none"/>
        </w:rPr>
        <w:t>非依法必须招标项目服务类</w:t>
      </w:r>
    </w:p>
    <w:p w14:paraId="1D1E2570">
      <w:pPr>
        <w:pStyle w:val="18"/>
        <w:jc w:val="center"/>
        <w:rPr>
          <w:rFonts w:ascii="黑体" w:hAnsi="黑体" w:eastAsia="黑体"/>
          <w:bCs/>
          <w:color w:val="auto"/>
          <w:sz w:val="84"/>
          <w:szCs w:val="84"/>
          <w:highlight w:val="none"/>
        </w:rPr>
      </w:pPr>
    </w:p>
    <w:p w14:paraId="3E2BC203">
      <w:pPr>
        <w:pStyle w:val="18"/>
        <w:jc w:val="center"/>
        <w:rPr>
          <w:rFonts w:ascii="黑体" w:hAnsi="黑体" w:eastAsia="黑体"/>
          <w:bCs/>
          <w:color w:val="auto"/>
          <w:sz w:val="84"/>
          <w:szCs w:val="84"/>
          <w:highlight w:val="none"/>
        </w:rPr>
      </w:pPr>
      <w:r>
        <w:rPr>
          <w:rFonts w:hint="eastAsia" w:ascii="黑体" w:hAnsi="黑体" w:eastAsia="黑体"/>
          <w:bCs/>
          <w:color w:val="auto"/>
          <w:sz w:val="84"/>
          <w:szCs w:val="84"/>
          <w:highlight w:val="none"/>
        </w:rPr>
        <w:t>投 标 文 件</w:t>
      </w:r>
    </w:p>
    <w:p w14:paraId="291B5383">
      <w:pPr>
        <w:widowControl w:val="0"/>
        <w:ind w:left="988"/>
        <w:jc w:val="center"/>
        <w:rPr>
          <w:rFonts w:ascii="宋体" w:hAnsi="宋体"/>
          <w:color w:val="auto"/>
          <w:kern w:val="0"/>
          <w:sz w:val="32"/>
          <w:szCs w:val="21"/>
          <w:highlight w:val="none"/>
          <w:u w:val="single"/>
        </w:rPr>
      </w:pPr>
    </w:p>
    <w:p w14:paraId="4A3BDCA7">
      <w:pPr>
        <w:widowControl w:val="0"/>
        <w:ind w:left="988"/>
        <w:jc w:val="center"/>
        <w:rPr>
          <w:rFonts w:ascii="宋体" w:hAnsi="宋体"/>
          <w:color w:val="auto"/>
          <w:kern w:val="0"/>
          <w:sz w:val="32"/>
          <w:szCs w:val="21"/>
          <w:highlight w:val="none"/>
          <w:u w:val="single"/>
        </w:rPr>
      </w:pPr>
    </w:p>
    <w:p w14:paraId="4E5237DB">
      <w:pPr>
        <w:widowControl w:val="0"/>
        <w:ind w:left="0"/>
        <w:jc w:val="both"/>
        <w:rPr>
          <w:rFonts w:ascii="宋体" w:hAnsi="宋体"/>
          <w:color w:val="auto"/>
          <w:kern w:val="0"/>
          <w:sz w:val="32"/>
          <w:szCs w:val="21"/>
          <w:highlight w:val="none"/>
          <w:u w:val="single"/>
        </w:rPr>
      </w:pPr>
    </w:p>
    <w:p w14:paraId="07723856">
      <w:pPr>
        <w:widowControl w:val="0"/>
        <w:rPr>
          <w:rFonts w:ascii="宋体" w:hAnsi="宋体"/>
          <w:b/>
          <w:bCs/>
          <w:color w:val="auto"/>
          <w:kern w:val="0"/>
          <w:sz w:val="32"/>
          <w:szCs w:val="21"/>
          <w:highlight w:val="none"/>
        </w:rPr>
      </w:pPr>
    </w:p>
    <w:p w14:paraId="6D2118F0">
      <w:pPr>
        <w:widowControl w:val="0"/>
        <w:rPr>
          <w:rFonts w:ascii="宋体" w:hAnsi="宋体"/>
          <w:b/>
          <w:bCs/>
          <w:color w:val="auto"/>
          <w:kern w:val="0"/>
          <w:sz w:val="32"/>
          <w:szCs w:val="21"/>
          <w:highlight w:val="none"/>
        </w:rPr>
      </w:pPr>
    </w:p>
    <w:p w14:paraId="47EAA121">
      <w:pPr>
        <w:widowControl w:val="0"/>
        <w:rPr>
          <w:rFonts w:ascii="宋体" w:hAnsi="宋体"/>
          <w:b/>
          <w:bCs/>
          <w:color w:val="auto"/>
          <w:kern w:val="0"/>
          <w:sz w:val="32"/>
          <w:szCs w:val="21"/>
          <w:highlight w:val="none"/>
        </w:rPr>
      </w:pPr>
    </w:p>
    <w:p w14:paraId="2634D4CC">
      <w:pPr>
        <w:widowControl w:val="0"/>
        <w:rPr>
          <w:rFonts w:ascii="宋体" w:hAnsi="宋体"/>
          <w:b/>
          <w:bCs/>
          <w:color w:val="auto"/>
          <w:kern w:val="0"/>
          <w:sz w:val="32"/>
          <w:szCs w:val="21"/>
          <w:highlight w:val="none"/>
        </w:rPr>
      </w:pPr>
    </w:p>
    <w:p w14:paraId="397A36BF">
      <w:pPr>
        <w:widowControl w:val="0"/>
        <w:spacing w:line="360" w:lineRule="auto"/>
        <w:ind w:firstLine="840" w:firstLineChars="300"/>
        <w:rPr>
          <w:rFonts w:ascii="微软雅黑" w:hAnsi="宋体" w:eastAsia="微软雅黑"/>
          <w:bCs/>
          <w:color w:val="auto"/>
          <w:kern w:val="0"/>
          <w:sz w:val="28"/>
          <w:szCs w:val="21"/>
          <w:highlight w:val="none"/>
          <w:u w:val="single"/>
        </w:rPr>
      </w:pPr>
      <w:r>
        <w:rPr>
          <w:rFonts w:hint="eastAsia" w:ascii="微软雅黑" w:hAnsi="宋体" w:eastAsia="微软雅黑"/>
          <w:bCs/>
          <w:color w:val="auto"/>
          <w:kern w:val="0"/>
          <w:sz w:val="28"/>
          <w:szCs w:val="21"/>
          <w:highlight w:val="none"/>
        </w:rPr>
        <w:t>招标项目名称：</w:t>
      </w:r>
      <w:r>
        <w:rPr>
          <w:rFonts w:hint="eastAsia" w:ascii="微软雅黑" w:hAnsi="宋体" w:eastAsia="微软雅黑"/>
          <w:bCs/>
          <w:color w:val="auto"/>
          <w:kern w:val="0"/>
          <w:sz w:val="28"/>
          <w:szCs w:val="21"/>
          <w:highlight w:val="none"/>
          <w:u w:val="single"/>
        </w:rPr>
        <w:t xml:space="preserve">                                          </w:t>
      </w:r>
    </w:p>
    <w:p w14:paraId="08E641FD">
      <w:pPr>
        <w:widowControl w:val="0"/>
        <w:spacing w:line="360" w:lineRule="auto"/>
        <w:ind w:firstLine="840" w:firstLineChars="300"/>
        <w:rPr>
          <w:rFonts w:ascii="微软雅黑" w:hAnsi="宋体" w:eastAsia="微软雅黑"/>
          <w:bCs/>
          <w:color w:val="auto"/>
          <w:kern w:val="0"/>
          <w:sz w:val="28"/>
          <w:szCs w:val="21"/>
          <w:highlight w:val="none"/>
        </w:rPr>
      </w:pPr>
      <w:r>
        <w:rPr>
          <w:rFonts w:hint="eastAsia" w:ascii="微软雅黑" w:hAnsi="宋体" w:eastAsia="微软雅黑"/>
          <w:bCs/>
          <w:color w:val="auto"/>
          <w:kern w:val="0"/>
          <w:sz w:val="28"/>
          <w:szCs w:val="21"/>
          <w:highlight w:val="none"/>
        </w:rPr>
        <w:t xml:space="preserve">投标文件内容： </w:t>
      </w:r>
      <w:r>
        <w:rPr>
          <w:rFonts w:hint="eastAsia" w:ascii="微软雅黑" w:hAnsi="宋体" w:eastAsia="微软雅黑"/>
          <w:bCs/>
          <w:color w:val="auto"/>
          <w:kern w:val="0"/>
          <w:sz w:val="28"/>
          <w:szCs w:val="21"/>
          <w:highlight w:val="none"/>
          <w:u w:val="single"/>
        </w:rPr>
        <w:softHyphen/>
      </w:r>
      <w:r>
        <w:rPr>
          <w:rFonts w:hint="eastAsia" w:ascii="微软雅黑" w:hAnsi="宋体" w:eastAsia="微软雅黑"/>
          <w:bCs/>
          <w:color w:val="auto"/>
          <w:kern w:val="0"/>
          <w:sz w:val="28"/>
          <w:szCs w:val="21"/>
          <w:highlight w:val="none"/>
          <w:u w:val="single"/>
        </w:rPr>
        <w:softHyphen/>
      </w:r>
      <w:r>
        <w:rPr>
          <w:rFonts w:hint="eastAsia" w:ascii="微软雅黑" w:hAnsi="宋体" w:eastAsia="微软雅黑"/>
          <w:bCs/>
          <w:color w:val="auto"/>
          <w:kern w:val="0"/>
          <w:sz w:val="28"/>
          <w:szCs w:val="21"/>
          <w:highlight w:val="none"/>
          <w:u w:val="single"/>
        </w:rPr>
        <w:softHyphen/>
      </w:r>
      <w:r>
        <w:rPr>
          <w:rFonts w:hint="eastAsia" w:ascii="微软雅黑" w:hAnsi="宋体" w:eastAsia="微软雅黑"/>
          <w:bCs/>
          <w:color w:val="auto"/>
          <w:kern w:val="0"/>
          <w:sz w:val="28"/>
          <w:szCs w:val="21"/>
          <w:highlight w:val="none"/>
          <w:u w:val="single"/>
        </w:rPr>
        <w:softHyphen/>
      </w:r>
      <w:r>
        <w:rPr>
          <w:rFonts w:hint="eastAsia" w:ascii="微软雅黑" w:hAnsi="宋体" w:eastAsia="微软雅黑"/>
          <w:bCs/>
          <w:color w:val="auto"/>
          <w:kern w:val="0"/>
          <w:sz w:val="28"/>
          <w:szCs w:val="21"/>
          <w:highlight w:val="none"/>
          <w:u w:val="single"/>
        </w:rPr>
        <w:t xml:space="preserve">      </w:t>
      </w:r>
      <w:r>
        <w:rPr>
          <w:rFonts w:hint="eastAsia" w:ascii="微软雅黑" w:hAnsi="宋体" w:eastAsia="微软雅黑"/>
          <w:bCs/>
          <w:color w:val="auto"/>
          <w:kern w:val="0"/>
          <w:sz w:val="48"/>
          <w:szCs w:val="48"/>
          <w:highlight w:val="none"/>
          <w:u w:val="single"/>
        </w:rPr>
        <w:t>商务标部分</w:t>
      </w:r>
      <w:r>
        <w:rPr>
          <w:rFonts w:hint="eastAsia" w:ascii="微软雅黑" w:hAnsi="宋体" w:eastAsia="微软雅黑"/>
          <w:bCs/>
          <w:color w:val="auto"/>
          <w:kern w:val="0"/>
          <w:sz w:val="28"/>
          <w:szCs w:val="21"/>
          <w:highlight w:val="none"/>
          <w:u w:val="single"/>
        </w:rPr>
        <w:t xml:space="preserve">              </w:t>
      </w:r>
    </w:p>
    <w:p w14:paraId="13B97EE6">
      <w:pPr>
        <w:widowControl w:val="0"/>
        <w:spacing w:line="360" w:lineRule="auto"/>
        <w:ind w:firstLine="840" w:firstLineChars="300"/>
        <w:rPr>
          <w:rFonts w:ascii="微软雅黑" w:hAnsi="宋体" w:eastAsia="微软雅黑"/>
          <w:bCs/>
          <w:color w:val="auto"/>
          <w:kern w:val="0"/>
          <w:sz w:val="28"/>
          <w:szCs w:val="21"/>
          <w:highlight w:val="none"/>
          <w:u w:val="single"/>
        </w:rPr>
      </w:pPr>
      <w:r>
        <w:rPr>
          <w:rFonts w:hint="eastAsia" w:ascii="微软雅黑" w:hAnsi="宋体" w:eastAsia="微软雅黑"/>
          <w:bCs/>
          <w:color w:val="auto"/>
          <w:kern w:val="0"/>
          <w:sz w:val="28"/>
          <w:szCs w:val="21"/>
          <w:highlight w:val="none"/>
        </w:rPr>
        <w:t>投标单位（盖章）：</w:t>
      </w:r>
      <w:r>
        <w:rPr>
          <w:rFonts w:hint="eastAsia" w:ascii="微软雅黑" w:hAnsi="宋体" w:eastAsia="微软雅黑"/>
          <w:bCs/>
          <w:color w:val="auto"/>
          <w:kern w:val="0"/>
          <w:sz w:val="28"/>
          <w:szCs w:val="21"/>
          <w:highlight w:val="none"/>
          <w:u w:val="single"/>
        </w:rPr>
        <w:t xml:space="preserve">                                   </w:t>
      </w:r>
    </w:p>
    <w:p w14:paraId="305DE6B7">
      <w:pPr>
        <w:widowControl w:val="0"/>
        <w:spacing w:line="360" w:lineRule="auto"/>
        <w:ind w:firstLine="840" w:firstLineChars="300"/>
        <w:rPr>
          <w:rFonts w:ascii="微软雅黑" w:hAnsi="宋体" w:eastAsia="微软雅黑"/>
          <w:bCs/>
          <w:color w:val="auto"/>
          <w:kern w:val="0"/>
          <w:sz w:val="28"/>
          <w:szCs w:val="21"/>
          <w:highlight w:val="none"/>
          <w:u w:val="single"/>
        </w:rPr>
      </w:pPr>
      <w:r>
        <w:rPr>
          <w:rFonts w:hint="eastAsia" w:ascii="微软雅黑" w:hAnsi="宋体" w:eastAsia="微软雅黑"/>
          <w:bCs/>
          <w:color w:val="auto"/>
          <w:kern w:val="0"/>
          <w:sz w:val="28"/>
          <w:szCs w:val="21"/>
          <w:highlight w:val="none"/>
        </w:rPr>
        <w:t>法定代表人或其委托代理人（签字或盖章）：</w:t>
      </w:r>
      <w:r>
        <w:rPr>
          <w:rFonts w:hint="eastAsia" w:ascii="微软雅黑" w:hAnsi="宋体" w:eastAsia="微软雅黑"/>
          <w:bCs/>
          <w:color w:val="auto"/>
          <w:kern w:val="0"/>
          <w:sz w:val="28"/>
          <w:szCs w:val="21"/>
          <w:highlight w:val="none"/>
          <w:u w:val="single"/>
        </w:rPr>
        <w:t xml:space="preserve">            </w:t>
      </w:r>
    </w:p>
    <w:p w14:paraId="54EA5B8F">
      <w:pPr>
        <w:widowControl w:val="0"/>
        <w:spacing w:line="360" w:lineRule="auto"/>
        <w:ind w:firstLine="840" w:firstLineChars="300"/>
        <w:rPr>
          <w:rFonts w:ascii="微软雅黑" w:hAnsi="宋体" w:eastAsia="微软雅黑"/>
          <w:bCs/>
          <w:color w:val="auto"/>
          <w:kern w:val="0"/>
          <w:sz w:val="28"/>
          <w:szCs w:val="21"/>
          <w:highlight w:val="none"/>
        </w:rPr>
      </w:pPr>
      <w:r>
        <w:rPr>
          <w:rFonts w:hint="eastAsia" w:ascii="微软雅黑" w:hAnsi="宋体" w:eastAsia="微软雅黑"/>
          <w:bCs/>
          <w:color w:val="auto"/>
          <w:kern w:val="0"/>
          <w:sz w:val="28"/>
          <w:szCs w:val="21"/>
          <w:highlight w:val="none"/>
        </w:rPr>
        <w:t>日      期:</w:t>
      </w:r>
      <w:r>
        <w:rPr>
          <w:rFonts w:hint="eastAsia" w:ascii="微软雅黑" w:hAnsi="宋体" w:eastAsia="微软雅黑"/>
          <w:bCs/>
          <w:color w:val="auto"/>
          <w:kern w:val="0"/>
          <w:sz w:val="28"/>
          <w:szCs w:val="21"/>
          <w:highlight w:val="none"/>
          <w:u w:val="single"/>
        </w:rPr>
        <w:t xml:space="preserve">           </w:t>
      </w:r>
      <w:r>
        <w:rPr>
          <w:rFonts w:hint="eastAsia" w:ascii="微软雅黑" w:hAnsi="宋体" w:eastAsia="微软雅黑"/>
          <w:bCs/>
          <w:color w:val="auto"/>
          <w:kern w:val="0"/>
          <w:sz w:val="28"/>
          <w:szCs w:val="21"/>
          <w:highlight w:val="none"/>
        </w:rPr>
        <w:t>年</w:t>
      </w:r>
      <w:r>
        <w:rPr>
          <w:rFonts w:hint="eastAsia" w:ascii="微软雅黑" w:hAnsi="宋体" w:eastAsia="微软雅黑"/>
          <w:bCs/>
          <w:color w:val="auto"/>
          <w:kern w:val="0"/>
          <w:sz w:val="28"/>
          <w:szCs w:val="21"/>
          <w:highlight w:val="none"/>
          <w:u w:val="single"/>
        </w:rPr>
        <w:t xml:space="preserve">          </w:t>
      </w:r>
      <w:r>
        <w:rPr>
          <w:rFonts w:hint="eastAsia" w:ascii="微软雅黑" w:hAnsi="宋体" w:eastAsia="微软雅黑"/>
          <w:bCs/>
          <w:color w:val="auto"/>
          <w:kern w:val="0"/>
          <w:sz w:val="28"/>
          <w:szCs w:val="21"/>
          <w:highlight w:val="none"/>
        </w:rPr>
        <w:t>月</w:t>
      </w:r>
      <w:r>
        <w:rPr>
          <w:rFonts w:hint="eastAsia" w:ascii="微软雅黑" w:hAnsi="宋体" w:eastAsia="微软雅黑"/>
          <w:bCs/>
          <w:color w:val="auto"/>
          <w:kern w:val="0"/>
          <w:sz w:val="28"/>
          <w:szCs w:val="21"/>
          <w:highlight w:val="none"/>
          <w:u w:val="single"/>
        </w:rPr>
        <w:t xml:space="preserve">          </w:t>
      </w:r>
      <w:r>
        <w:rPr>
          <w:rFonts w:hint="eastAsia" w:ascii="微软雅黑" w:hAnsi="宋体" w:eastAsia="微软雅黑"/>
          <w:bCs/>
          <w:color w:val="auto"/>
          <w:kern w:val="0"/>
          <w:sz w:val="28"/>
          <w:szCs w:val="21"/>
          <w:highlight w:val="none"/>
        </w:rPr>
        <w:t>日</w:t>
      </w:r>
    </w:p>
    <w:p w14:paraId="101F6117">
      <w:pPr>
        <w:pStyle w:val="15"/>
        <w:spacing w:line="360" w:lineRule="auto"/>
        <w:ind w:firstLine="0" w:firstLineChars="0"/>
        <w:contextualSpacing/>
        <w:rPr>
          <w:rFonts w:ascii="宋体" w:hAnsi="宋体"/>
          <w:b/>
          <w:color w:val="auto"/>
          <w:highlight w:val="none"/>
        </w:rPr>
        <w:sectPr>
          <w:headerReference r:id="rId13" w:type="default"/>
          <w:footerReference r:id="rId14" w:type="default"/>
          <w:pgSz w:w="12240" w:h="15840"/>
          <w:pgMar w:top="1440" w:right="1797" w:bottom="1440" w:left="1797" w:header="720" w:footer="720" w:gutter="0"/>
          <w:pgNumType w:fmt="decimal"/>
          <w:cols w:space="720" w:num="1"/>
        </w:sectPr>
      </w:pPr>
    </w:p>
    <w:p w14:paraId="2BBE5F31">
      <w:pPr>
        <w:adjustRightInd w:val="0"/>
        <w:snapToGrid w:val="0"/>
        <w:spacing w:line="360" w:lineRule="auto"/>
        <w:jc w:val="center"/>
        <w:rPr>
          <w:rFonts w:ascii="黑体" w:hAnsi="黑体" w:eastAsia="黑体"/>
          <w:color w:val="auto"/>
          <w:kern w:val="0"/>
          <w:sz w:val="36"/>
          <w:szCs w:val="36"/>
          <w:highlight w:val="none"/>
        </w:rPr>
      </w:pPr>
      <w:r>
        <w:rPr>
          <w:rFonts w:hint="eastAsia" w:ascii="黑体" w:hAnsi="黑体" w:eastAsia="黑体"/>
          <w:color w:val="auto"/>
          <w:kern w:val="0"/>
          <w:sz w:val="36"/>
          <w:szCs w:val="36"/>
          <w:highlight w:val="none"/>
        </w:rPr>
        <w:t>商务标投标文件目录</w:t>
      </w:r>
    </w:p>
    <w:p w14:paraId="7D298ABD">
      <w:pPr>
        <w:pStyle w:val="71"/>
        <w:spacing w:line="560" w:lineRule="exact"/>
        <w:ind w:firstLine="56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1.投标总价</w:t>
      </w:r>
    </w:p>
    <w:p w14:paraId="6946A994">
      <w:pPr>
        <w:pStyle w:val="71"/>
        <w:spacing w:line="560" w:lineRule="exact"/>
        <w:ind w:firstLine="56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2.投标分项报价表</w:t>
      </w:r>
    </w:p>
    <w:p w14:paraId="1E029F19">
      <w:pPr>
        <w:pStyle w:val="71"/>
        <w:spacing w:line="360" w:lineRule="auto"/>
        <w:ind w:firstLine="560"/>
        <w:jc w:val="left"/>
        <w:rPr>
          <w:rFonts w:ascii="宋体" w:hAnsi="宋体" w:cs="黑体"/>
          <w:color w:val="auto"/>
          <w:sz w:val="28"/>
          <w:szCs w:val="28"/>
          <w:highlight w:val="none"/>
          <w:shd w:val="clear" w:color="050000" w:fill="auto"/>
        </w:rPr>
      </w:pPr>
    </w:p>
    <w:p w14:paraId="11EDE9FC">
      <w:pPr>
        <w:pStyle w:val="71"/>
        <w:spacing w:line="360" w:lineRule="auto"/>
        <w:ind w:firstLine="560"/>
        <w:jc w:val="left"/>
        <w:rPr>
          <w:rFonts w:ascii="宋体" w:hAnsi="宋体" w:cs="黑体"/>
          <w:color w:val="auto"/>
          <w:sz w:val="28"/>
          <w:szCs w:val="28"/>
          <w:highlight w:val="none"/>
          <w:shd w:val="clear" w:color="050000" w:fill="auto"/>
        </w:rPr>
      </w:pPr>
    </w:p>
    <w:p w14:paraId="4FB06756">
      <w:pPr>
        <w:pStyle w:val="71"/>
        <w:spacing w:line="360" w:lineRule="auto"/>
        <w:ind w:firstLine="560"/>
        <w:jc w:val="left"/>
        <w:rPr>
          <w:rFonts w:ascii="宋体" w:hAnsi="宋体" w:cs="黑体"/>
          <w:color w:val="auto"/>
          <w:sz w:val="28"/>
          <w:szCs w:val="28"/>
          <w:highlight w:val="none"/>
          <w:shd w:val="clear" w:color="050000" w:fill="auto"/>
        </w:rPr>
      </w:pPr>
    </w:p>
    <w:p w14:paraId="0802EF9D">
      <w:pPr>
        <w:pStyle w:val="71"/>
        <w:spacing w:line="360" w:lineRule="auto"/>
        <w:ind w:firstLine="560"/>
        <w:jc w:val="left"/>
        <w:rPr>
          <w:rFonts w:ascii="宋体" w:hAnsi="宋体" w:cs="黑体"/>
          <w:color w:val="auto"/>
          <w:sz w:val="28"/>
          <w:szCs w:val="28"/>
          <w:highlight w:val="none"/>
          <w:shd w:val="clear" w:color="050000" w:fill="auto"/>
        </w:rPr>
      </w:pPr>
    </w:p>
    <w:p w14:paraId="7C044FE6">
      <w:pPr>
        <w:pStyle w:val="71"/>
        <w:spacing w:line="360" w:lineRule="auto"/>
        <w:ind w:firstLine="560"/>
        <w:jc w:val="left"/>
        <w:rPr>
          <w:rFonts w:ascii="宋体" w:hAnsi="宋体" w:cs="黑体"/>
          <w:color w:val="auto"/>
          <w:sz w:val="28"/>
          <w:szCs w:val="28"/>
          <w:highlight w:val="none"/>
          <w:shd w:val="clear" w:color="050000" w:fill="auto"/>
        </w:rPr>
      </w:pPr>
    </w:p>
    <w:p w14:paraId="6C8EA398">
      <w:pPr>
        <w:pStyle w:val="71"/>
        <w:spacing w:line="360" w:lineRule="auto"/>
        <w:ind w:firstLine="560"/>
        <w:jc w:val="left"/>
        <w:rPr>
          <w:rFonts w:ascii="宋体" w:hAnsi="宋体" w:cs="黑体"/>
          <w:color w:val="auto"/>
          <w:sz w:val="28"/>
          <w:szCs w:val="28"/>
          <w:highlight w:val="none"/>
          <w:shd w:val="clear" w:color="050000" w:fill="auto"/>
        </w:rPr>
      </w:pPr>
    </w:p>
    <w:p w14:paraId="3C02F174">
      <w:pPr>
        <w:pStyle w:val="71"/>
        <w:spacing w:line="360" w:lineRule="auto"/>
        <w:ind w:firstLine="560"/>
        <w:jc w:val="left"/>
        <w:rPr>
          <w:rFonts w:ascii="宋体" w:hAnsi="宋体" w:cs="黑体"/>
          <w:color w:val="auto"/>
          <w:sz w:val="28"/>
          <w:szCs w:val="28"/>
          <w:highlight w:val="none"/>
          <w:shd w:val="clear" w:color="050000" w:fill="auto"/>
        </w:rPr>
      </w:pPr>
    </w:p>
    <w:p w14:paraId="6D7945E0">
      <w:pPr>
        <w:pStyle w:val="71"/>
        <w:spacing w:line="360" w:lineRule="auto"/>
        <w:ind w:firstLine="560"/>
        <w:jc w:val="left"/>
        <w:rPr>
          <w:rFonts w:ascii="宋体" w:hAnsi="宋体" w:cs="黑体"/>
          <w:color w:val="auto"/>
          <w:sz w:val="28"/>
          <w:szCs w:val="28"/>
          <w:highlight w:val="none"/>
          <w:shd w:val="clear" w:color="050000" w:fill="auto"/>
        </w:rPr>
      </w:pPr>
    </w:p>
    <w:p w14:paraId="6CDCB7A2">
      <w:pPr>
        <w:jc w:val="left"/>
        <w:rPr>
          <w:rFonts w:ascii="宋体" w:hAnsi="宋体" w:cs="黑体"/>
          <w:color w:val="auto"/>
          <w:sz w:val="28"/>
          <w:szCs w:val="28"/>
          <w:highlight w:val="none"/>
          <w:shd w:val="clear" w:color="050000" w:fill="auto"/>
        </w:rPr>
      </w:pPr>
      <w:r>
        <w:rPr>
          <w:rFonts w:ascii="宋体" w:hAnsi="宋体" w:cs="黑体"/>
          <w:color w:val="auto"/>
          <w:sz w:val="28"/>
          <w:szCs w:val="28"/>
          <w:highlight w:val="none"/>
          <w:shd w:val="clear" w:color="050000" w:fill="auto"/>
        </w:rPr>
        <w:br w:type="page"/>
      </w:r>
    </w:p>
    <w:p w14:paraId="0BFF81E6">
      <w:pPr>
        <w:pStyle w:val="71"/>
        <w:spacing w:line="360" w:lineRule="auto"/>
        <w:ind w:firstLine="560"/>
        <w:jc w:val="left"/>
        <w:rPr>
          <w:rFonts w:ascii="宋体" w:hAnsi="宋体" w:cs="黑体"/>
          <w:color w:val="auto"/>
          <w:sz w:val="28"/>
          <w:szCs w:val="28"/>
          <w:highlight w:val="none"/>
          <w:shd w:val="clear" w:color="050000" w:fill="auto"/>
        </w:rPr>
      </w:pPr>
    </w:p>
    <w:p w14:paraId="15A3E6DD">
      <w:pPr>
        <w:adjustRightInd w:val="0"/>
        <w:snapToGrid w:val="0"/>
        <w:spacing w:line="360" w:lineRule="auto"/>
        <w:jc w:val="center"/>
        <w:rPr>
          <w:rFonts w:ascii="黑体" w:hAnsi="黑体" w:eastAsia="黑体"/>
          <w:color w:val="auto"/>
          <w:kern w:val="0"/>
          <w:sz w:val="36"/>
          <w:szCs w:val="36"/>
          <w:highlight w:val="none"/>
        </w:rPr>
      </w:pPr>
      <w:r>
        <w:rPr>
          <w:rFonts w:hint="eastAsia" w:ascii="黑体" w:hAnsi="黑体" w:eastAsia="黑体"/>
          <w:color w:val="auto"/>
          <w:kern w:val="0"/>
          <w:sz w:val="36"/>
          <w:szCs w:val="36"/>
          <w:highlight w:val="none"/>
        </w:rPr>
        <w:t>投 标 总 价</w:t>
      </w:r>
    </w:p>
    <w:p w14:paraId="2CA71F31">
      <w:pPr>
        <w:pStyle w:val="18"/>
        <w:spacing w:line="360" w:lineRule="auto"/>
        <w:jc w:val="center"/>
        <w:rPr>
          <w:rFonts w:ascii="华文细黑" w:hAnsi="宋体" w:eastAsia="华文细黑"/>
          <w:color w:val="auto"/>
          <w:sz w:val="44"/>
          <w:highlight w:val="none"/>
        </w:rPr>
      </w:pPr>
    </w:p>
    <w:p w14:paraId="4C99A6F0">
      <w:pPr>
        <w:pStyle w:val="18"/>
        <w:spacing w:afterLines="50" w:line="400" w:lineRule="exact"/>
        <w:ind w:firstLine="560" w:firstLineChars="200"/>
        <w:rPr>
          <w:rFonts w:hAnsi="宋体"/>
          <w:color w:val="auto"/>
          <w:sz w:val="28"/>
          <w:highlight w:val="none"/>
        </w:rPr>
      </w:pPr>
    </w:p>
    <w:p w14:paraId="2DC553F2">
      <w:pPr>
        <w:pStyle w:val="18"/>
        <w:spacing w:line="400" w:lineRule="exact"/>
        <w:ind w:firstLine="560" w:firstLineChars="200"/>
        <w:jc w:val="left"/>
        <w:rPr>
          <w:rFonts w:ascii="仿宋" w:hAnsi="仿宋" w:eastAsia="仿宋"/>
          <w:color w:val="auto"/>
          <w:sz w:val="28"/>
          <w:highlight w:val="none"/>
          <w:u w:val="single"/>
        </w:rPr>
      </w:pPr>
      <w:r>
        <w:rPr>
          <w:rFonts w:hint="eastAsia" w:ascii="仿宋" w:hAnsi="仿宋" w:eastAsia="仿宋"/>
          <w:color w:val="auto"/>
          <w:sz w:val="28"/>
          <w:highlight w:val="none"/>
        </w:rPr>
        <w:t>招标人：</w:t>
      </w:r>
      <w:r>
        <w:rPr>
          <w:rFonts w:hint="eastAsia" w:ascii="仿宋" w:hAnsi="仿宋" w:eastAsia="仿宋"/>
          <w:color w:val="auto"/>
          <w:sz w:val="28"/>
          <w:highlight w:val="none"/>
          <w:u w:val="single"/>
        </w:rPr>
        <w:t xml:space="preserve">    </w:t>
      </w:r>
      <w:r>
        <w:rPr>
          <w:rFonts w:hint="eastAsia" w:ascii="仿宋" w:hAnsi="仿宋" w:eastAsia="仿宋"/>
          <w:color w:val="auto"/>
          <w:sz w:val="28"/>
          <w:highlight w:val="none"/>
          <w:u w:val="single"/>
          <w:lang w:val="en-US" w:eastAsia="zh-CN"/>
        </w:rPr>
        <w:t xml:space="preserve">                           </w:t>
      </w:r>
      <w:r>
        <w:rPr>
          <w:rFonts w:hint="eastAsia" w:ascii="仿宋" w:hAnsi="仿宋" w:eastAsia="仿宋"/>
          <w:color w:val="auto"/>
          <w:sz w:val="28"/>
          <w:highlight w:val="none"/>
          <w:u w:val="single"/>
        </w:rPr>
        <w:t xml:space="preserve">  </w:t>
      </w:r>
    </w:p>
    <w:p w14:paraId="47109458">
      <w:pPr>
        <w:pStyle w:val="18"/>
        <w:spacing w:line="400" w:lineRule="exact"/>
        <w:ind w:firstLine="1960" w:firstLineChars="700"/>
        <w:rPr>
          <w:rFonts w:ascii="仿宋" w:hAnsi="仿宋" w:eastAsia="仿宋"/>
          <w:color w:val="auto"/>
          <w:sz w:val="28"/>
          <w:highlight w:val="none"/>
        </w:rPr>
      </w:pPr>
    </w:p>
    <w:p w14:paraId="5D14B453">
      <w:pPr>
        <w:pStyle w:val="18"/>
        <w:spacing w:line="400" w:lineRule="exact"/>
        <w:ind w:firstLine="560" w:firstLineChars="200"/>
        <w:rPr>
          <w:rFonts w:ascii="仿宋" w:hAnsi="仿宋" w:eastAsia="仿宋"/>
          <w:color w:val="auto"/>
          <w:sz w:val="28"/>
          <w:highlight w:val="none"/>
        </w:rPr>
      </w:pPr>
      <w:r>
        <w:rPr>
          <w:rFonts w:hint="eastAsia" w:ascii="仿宋" w:hAnsi="仿宋" w:eastAsia="仿宋"/>
          <w:color w:val="auto"/>
          <w:sz w:val="28"/>
          <w:highlight w:val="none"/>
        </w:rPr>
        <w:t>招标项目名称：</w:t>
      </w:r>
      <w:r>
        <w:rPr>
          <w:rFonts w:hint="eastAsia" w:ascii="仿宋" w:hAnsi="仿宋" w:eastAsia="仿宋"/>
          <w:color w:val="auto"/>
          <w:sz w:val="28"/>
          <w:highlight w:val="none"/>
          <w:u w:val="single"/>
        </w:rPr>
        <w:t xml:space="preserve">  </w:t>
      </w:r>
      <w:r>
        <w:rPr>
          <w:rFonts w:hint="eastAsia" w:ascii="仿宋" w:hAnsi="仿宋" w:eastAsia="仿宋"/>
          <w:color w:val="auto"/>
          <w:sz w:val="28"/>
          <w:highlight w:val="none"/>
          <w:u w:val="single"/>
          <w:lang w:val="en-US" w:eastAsia="zh-CN"/>
        </w:rPr>
        <w:t xml:space="preserve">                  </w:t>
      </w:r>
      <w:r>
        <w:rPr>
          <w:rFonts w:hint="eastAsia" w:ascii="仿宋" w:hAnsi="仿宋" w:eastAsia="仿宋"/>
          <w:color w:val="auto"/>
          <w:sz w:val="28"/>
          <w:highlight w:val="none"/>
          <w:u w:val="single"/>
        </w:rPr>
        <w:t xml:space="preserve">         </w:t>
      </w:r>
    </w:p>
    <w:p w14:paraId="462F4AAD">
      <w:pPr>
        <w:pStyle w:val="18"/>
        <w:spacing w:line="400" w:lineRule="exact"/>
        <w:ind w:firstLine="200"/>
        <w:rPr>
          <w:rFonts w:ascii="仿宋" w:hAnsi="仿宋" w:eastAsia="仿宋"/>
          <w:color w:val="auto"/>
          <w:sz w:val="28"/>
          <w:highlight w:val="none"/>
        </w:rPr>
      </w:pPr>
    </w:p>
    <w:p w14:paraId="58B47A51">
      <w:pPr>
        <w:pStyle w:val="18"/>
        <w:spacing w:line="400" w:lineRule="exact"/>
        <w:ind w:firstLine="560" w:firstLineChars="200"/>
        <w:rPr>
          <w:rFonts w:ascii="仿宋" w:hAnsi="仿宋" w:eastAsia="仿宋"/>
          <w:color w:val="auto"/>
          <w:sz w:val="28"/>
          <w:highlight w:val="none"/>
          <w:u w:val="single"/>
        </w:rPr>
      </w:pPr>
      <w:r>
        <w:rPr>
          <w:rFonts w:hint="eastAsia" w:ascii="仿宋" w:hAnsi="仿宋" w:eastAsia="仿宋"/>
          <w:color w:val="auto"/>
          <w:sz w:val="28"/>
          <w:highlight w:val="none"/>
        </w:rPr>
        <w:t>投标</w:t>
      </w:r>
      <w:r>
        <w:rPr>
          <w:rFonts w:hint="eastAsia" w:ascii="仿宋" w:hAnsi="仿宋" w:eastAsia="仿宋"/>
          <w:color w:val="auto"/>
          <w:sz w:val="28"/>
          <w:highlight w:val="none"/>
          <w:lang w:val="en-US" w:eastAsia="zh-CN"/>
        </w:rPr>
        <w:t>含税</w:t>
      </w:r>
      <w:r>
        <w:rPr>
          <w:rFonts w:hint="eastAsia" w:ascii="仿宋" w:hAnsi="仿宋" w:eastAsia="仿宋"/>
          <w:color w:val="auto"/>
          <w:sz w:val="28"/>
          <w:highlight w:val="none"/>
        </w:rPr>
        <w:t>总价(大写)：</w:t>
      </w:r>
      <w:r>
        <w:rPr>
          <w:rFonts w:hint="eastAsia" w:ascii="仿宋" w:hAnsi="仿宋" w:eastAsia="仿宋"/>
          <w:color w:val="auto"/>
          <w:sz w:val="28"/>
          <w:highlight w:val="none"/>
          <w:u w:val="single"/>
        </w:rPr>
        <w:t xml:space="preserve">      </w:t>
      </w:r>
      <w:r>
        <w:rPr>
          <w:rFonts w:hint="eastAsia" w:ascii="仿宋" w:hAnsi="仿宋" w:eastAsia="仿宋"/>
          <w:color w:val="auto"/>
          <w:sz w:val="28"/>
          <w:highlight w:val="none"/>
          <w:u w:val="single"/>
          <w:lang w:val="en-US" w:eastAsia="zh-CN"/>
        </w:rPr>
        <w:t xml:space="preserve">    </w:t>
      </w:r>
      <w:r>
        <w:rPr>
          <w:rFonts w:hint="eastAsia" w:ascii="仿宋" w:hAnsi="仿宋" w:eastAsia="仿宋"/>
          <w:color w:val="auto"/>
          <w:sz w:val="28"/>
          <w:highlight w:val="none"/>
          <w:u w:val="single"/>
        </w:rPr>
        <w:t xml:space="preserve">       </w:t>
      </w:r>
      <w:r>
        <w:rPr>
          <w:rFonts w:hint="eastAsia" w:ascii="仿宋" w:hAnsi="仿宋" w:eastAsia="仿宋"/>
          <w:color w:val="auto"/>
          <w:sz w:val="28"/>
          <w:highlight w:val="none"/>
          <w:u w:val="single"/>
          <w:lang w:val="en-US" w:eastAsia="zh-CN"/>
        </w:rPr>
        <w:t xml:space="preserve">       </w:t>
      </w:r>
      <w:r>
        <w:rPr>
          <w:rFonts w:hint="eastAsia" w:ascii="仿宋" w:hAnsi="仿宋" w:eastAsia="仿宋"/>
          <w:color w:val="auto"/>
          <w:sz w:val="28"/>
          <w:highlight w:val="none"/>
          <w:u w:val="single"/>
        </w:rPr>
        <w:t xml:space="preserve">  </w:t>
      </w:r>
    </w:p>
    <w:p w14:paraId="588EB7C9">
      <w:pPr>
        <w:pStyle w:val="18"/>
        <w:spacing w:line="400" w:lineRule="exact"/>
        <w:ind w:firstLine="1680" w:firstLineChars="600"/>
        <w:rPr>
          <w:rFonts w:ascii="仿宋" w:hAnsi="仿宋" w:eastAsia="仿宋"/>
          <w:color w:val="auto"/>
          <w:sz w:val="28"/>
          <w:highlight w:val="none"/>
        </w:rPr>
      </w:pPr>
    </w:p>
    <w:p w14:paraId="65E97F7F">
      <w:pPr>
        <w:pStyle w:val="18"/>
        <w:spacing w:line="480" w:lineRule="auto"/>
        <w:ind w:firstLine="1680" w:firstLineChars="600"/>
        <w:rPr>
          <w:rFonts w:ascii="仿宋" w:hAnsi="仿宋" w:eastAsia="仿宋"/>
          <w:color w:val="auto"/>
          <w:sz w:val="28"/>
          <w:highlight w:val="none"/>
        </w:rPr>
      </w:pPr>
      <w:r>
        <w:rPr>
          <w:rFonts w:hint="eastAsia" w:ascii="仿宋" w:hAnsi="仿宋" w:eastAsia="仿宋"/>
          <w:color w:val="auto"/>
          <w:sz w:val="28"/>
          <w:highlight w:val="none"/>
        </w:rPr>
        <w:t>(小写)：</w:t>
      </w:r>
      <w:r>
        <w:rPr>
          <w:rFonts w:hint="eastAsia" w:ascii="仿宋" w:hAnsi="仿宋" w:eastAsia="仿宋"/>
          <w:color w:val="auto"/>
          <w:sz w:val="28"/>
          <w:highlight w:val="none"/>
          <w:u w:val="single"/>
        </w:rPr>
        <w:t xml:space="preserve">      </w:t>
      </w:r>
      <w:r>
        <w:rPr>
          <w:rFonts w:hint="eastAsia" w:ascii="仿宋" w:hAnsi="仿宋" w:eastAsia="仿宋"/>
          <w:color w:val="auto"/>
          <w:sz w:val="28"/>
          <w:highlight w:val="none"/>
          <w:u w:val="single"/>
          <w:lang w:val="en-US" w:eastAsia="zh-CN"/>
        </w:rPr>
        <w:t xml:space="preserve"> </w:t>
      </w:r>
      <w:r>
        <w:rPr>
          <w:rFonts w:hint="eastAsia" w:ascii="仿宋" w:hAnsi="仿宋" w:eastAsia="仿宋"/>
          <w:color w:val="auto"/>
          <w:sz w:val="28"/>
          <w:highlight w:val="none"/>
          <w:u w:val="single"/>
        </w:rPr>
        <w:t xml:space="preserve">                          </w:t>
      </w:r>
    </w:p>
    <w:p w14:paraId="1EBB939B">
      <w:pPr>
        <w:pStyle w:val="18"/>
        <w:spacing w:line="400" w:lineRule="exact"/>
        <w:ind w:firstLine="560" w:firstLineChars="200"/>
        <w:rPr>
          <w:rFonts w:ascii="仿宋" w:hAnsi="仿宋" w:eastAsia="仿宋"/>
          <w:color w:val="auto"/>
          <w:sz w:val="28"/>
          <w:highlight w:val="none"/>
        </w:rPr>
      </w:pPr>
    </w:p>
    <w:p w14:paraId="3E4CF480">
      <w:pPr>
        <w:pStyle w:val="18"/>
        <w:spacing w:line="400" w:lineRule="exact"/>
        <w:ind w:firstLine="560" w:firstLineChars="200"/>
        <w:rPr>
          <w:rFonts w:ascii="仿宋" w:hAnsi="仿宋" w:eastAsia="仿宋"/>
          <w:color w:val="auto"/>
          <w:sz w:val="28"/>
          <w:highlight w:val="none"/>
        </w:rPr>
      </w:pPr>
    </w:p>
    <w:p w14:paraId="2BEC68DD">
      <w:pPr>
        <w:pStyle w:val="18"/>
        <w:spacing w:line="400" w:lineRule="exact"/>
        <w:rPr>
          <w:rFonts w:ascii="仿宋" w:hAnsi="仿宋" w:eastAsia="仿宋"/>
          <w:color w:val="auto"/>
          <w:sz w:val="28"/>
          <w:highlight w:val="none"/>
        </w:rPr>
      </w:pPr>
    </w:p>
    <w:p w14:paraId="379E594C">
      <w:pPr>
        <w:pStyle w:val="18"/>
        <w:spacing w:line="400" w:lineRule="exact"/>
        <w:ind w:firstLine="560" w:firstLineChars="200"/>
        <w:rPr>
          <w:rFonts w:ascii="仿宋" w:hAnsi="仿宋" w:eastAsia="仿宋"/>
          <w:color w:val="auto"/>
          <w:sz w:val="28"/>
          <w:highlight w:val="none"/>
        </w:rPr>
      </w:pPr>
    </w:p>
    <w:p w14:paraId="05A62873">
      <w:pPr>
        <w:pStyle w:val="18"/>
        <w:spacing w:line="400" w:lineRule="exact"/>
        <w:ind w:firstLine="560" w:firstLineChars="200"/>
        <w:rPr>
          <w:rFonts w:ascii="仿宋" w:hAnsi="仿宋" w:eastAsia="仿宋"/>
          <w:color w:val="auto"/>
          <w:sz w:val="28"/>
          <w:highlight w:val="none"/>
        </w:rPr>
      </w:pPr>
    </w:p>
    <w:p w14:paraId="5E578C50">
      <w:pPr>
        <w:pStyle w:val="18"/>
        <w:spacing w:line="400" w:lineRule="exact"/>
        <w:rPr>
          <w:rFonts w:ascii="仿宋" w:hAnsi="仿宋" w:eastAsia="仿宋"/>
          <w:color w:val="auto"/>
          <w:sz w:val="28"/>
          <w:highlight w:val="none"/>
        </w:rPr>
      </w:pPr>
    </w:p>
    <w:p w14:paraId="56B1EB98">
      <w:pPr>
        <w:pStyle w:val="18"/>
        <w:spacing w:line="400" w:lineRule="exact"/>
        <w:ind w:firstLine="560" w:firstLineChars="200"/>
        <w:rPr>
          <w:rFonts w:ascii="仿宋" w:hAnsi="仿宋" w:eastAsia="仿宋"/>
          <w:color w:val="auto"/>
          <w:sz w:val="28"/>
          <w:highlight w:val="none"/>
        </w:rPr>
      </w:pPr>
    </w:p>
    <w:p w14:paraId="00E7DD21">
      <w:pPr>
        <w:pStyle w:val="18"/>
        <w:spacing w:line="400" w:lineRule="exact"/>
        <w:ind w:firstLine="280" w:firstLineChars="100"/>
        <w:rPr>
          <w:rFonts w:ascii="仿宋" w:hAnsi="仿宋" w:eastAsia="仿宋"/>
          <w:color w:val="auto"/>
          <w:sz w:val="28"/>
          <w:highlight w:val="none"/>
        </w:rPr>
      </w:pPr>
      <w:r>
        <w:rPr>
          <w:rFonts w:hint="eastAsia" w:ascii="仿宋" w:hAnsi="仿宋" w:eastAsia="仿宋"/>
          <w:color w:val="auto"/>
          <w:sz w:val="28"/>
          <w:highlight w:val="none"/>
        </w:rPr>
        <w:t>投  标  人(盖章)：</w:t>
      </w:r>
      <w:r>
        <w:rPr>
          <w:rFonts w:hint="eastAsia" w:ascii="仿宋" w:hAnsi="仿宋" w:eastAsia="仿宋"/>
          <w:color w:val="auto"/>
          <w:sz w:val="28"/>
          <w:highlight w:val="none"/>
          <w:u w:val="single"/>
        </w:rPr>
        <w:t xml:space="preserve">                                </w:t>
      </w:r>
    </w:p>
    <w:p w14:paraId="22E49323">
      <w:pPr>
        <w:pStyle w:val="18"/>
        <w:spacing w:line="400" w:lineRule="exact"/>
        <w:ind w:firstLine="280" w:firstLineChars="100"/>
        <w:rPr>
          <w:rFonts w:ascii="仿宋" w:hAnsi="仿宋" w:eastAsia="仿宋"/>
          <w:color w:val="auto"/>
          <w:sz w:val="28"/>
          <w:highlight w:val="none"/>
        </w:rPr>
      </w:pPr>
    </w:p>
    <w:p w14:paraId="7C3237F5">
      <w:pPr>
        <w:pStyle w:val="18"/>
        <w:spacing w:line="400" w:lineRule="exact"/>
        <w:ind w:firstLine="280" w:firstLineChars="100"/>
        <w:rPr>
          <w:rFonts w:ascii="仿宋" w:hAnsi="仿宋" w:eastAsia="仿宋"/>
          <w:color w:val="auto"/>
          <w:sz w:val="28"/>
          <w:highlight w:val="none"/>
        </w:rPr>
      </w:pPr>
      <w:r>
        <w:rPr>
          <w:rFonts w:hint="eastAsia" w:ascii="仿宋" w:hAnsi="仿宋" w:eastAsia="仿宋"/>
          <w:color w:val="auto"/>
          <w:sz w:val="28"/>
          <w:highlight w:val="none"/>
        </w:rPr>
        <w:t>法定代表人或委托代理人(签字或盖章)：</w:t>
      </w:r>
      <w:r>
        <w:rPr>
          <w:rFonts w:hint="eastAsia" w:ascii="仿宋" w:hAnsi="仿宋" w:eastAsia="仿宋"/>
          <w:color w:val="auto"/>
          <w:sz w:val="28"/>
          <w:highlight w:val="none"/>
          <w:u w:val="single"/>
        </w:rPr>
        <w:t xml:space="preserve">              </w:t>
      </w:r>
    </w:p>
    <w:p w14:paraId="5F6B84AD">
      <w:pPr>
        <w:pStyle w:val="18"/>
        <w:spacing w:line="400" w:lineRule="exact"/>
        <w:ind w:firstLine="1960" w:firstLineChars="700"/>
        <w:rPr>
          <w:rFonts w:ascii="仿宋" w:hAnsi="仿宋" w:eastAsia="仿宋"/>
          <w:color w:val="auto"/>
          <w:sz w:val="28"/>
          <w:highlight w:val="none"/>
        </w:rPr>
      </w:pPr>
    </w:p>
    <w:p w14:paraId="2D044AE1">
      <w:pPr>
        <w:tabs>
          <w:tab w:val="left" w:pos="1440"/>
        </w:tabs>
        <w:spacing w:line="360" w:lineRule="auto"/>
        <w:ind w:firstLine="585" w:firstLineChars="247"/>
        <w:jc w:val="center"/>
        <w:rPr>
          <w:rFonts w:hint="eastAsia" w:ascii="宋体" w:hAnsi="宋体" w:cs="宋体"/>
          <w:b/>
          <w:bCs/>
          <w:color w:val="auto"/>
          <w:spacing w:val="-2"/>
          <w:sz w:val="24"/>
          <w:highlight w:val="none"/>
          <w:lang w:val="en-US" w:eastAsia="zh-CN"/>
        </w:rPr>
      </w:pPr>
    </w:p>
    <w:p w14:paraId="6735D75C">
      <w:pPr>
        <w:tabs>
          <w:tab w:val="left" w:pos="1440"/>
        </w:tabs>
        <w:spacing w:line="360" w:lineRule="auto"/>
        <w:ind w:firstLine="585" w:firstLineChars="247"/>
        <w:jc w:val="center"/>
        <w:rPr>
          <w:rFonts w:hint="eastAsia" w:ascii="宋体" w:hAnsi="宋体" w:cs="宋体"/>
          <w:b/>
          <w:bCs/>
          <w:color w:val="auto"/>
          <w:spacing w:val="-2"/>
          <w:sz w:val="24"/>
          <w:highlight w:val="none"/>
          <w:lang w:val="en-US" w:eastAsia="zh-CN"/>
        </w:rPr>
      </w:pPr>
    </w:p>
    <w:p w14:paraId="0EE080A8">
      <w:pPr>
        <w:tabs>
          <w:tab w:val="left" w:pos="1440"/>
        </w:tabs>
        <w:spacing w:line="360" w:lineRule="auto"/>
        <w:jc w:val="both"/>
        <w:rPr>
          <w:rFonts w:hint="eastAsia" w:ascii="宋体" w:hAnsi="宋体" w:cs="宋体"/>
          <w:b/>
          <w:bCs/>
          <w:color w:val="auto"/>
          <w:spacing w:val="-2"/>
          <w:sz w:val="24"/>
          <w:highlight w:val="none"/>
          <w:lang w:val="en-US" w:eastAsia="zh-CN"/>
        </w:rPr>
      </w:pPr>
    </w:p>
    <w:p w14:paraId="7B1AAE11">
      <w:pPr>
        <w:tabs>
          <w:tab w:val="left" w:pos="1440"/>
        </w:tabs>
        <w:spacing w:line="360" w:lineRule="auto"/>
        <w:jc w:val="both"/>
        <w:rPr>
          <w:rFonts w:hint="eastAsia" w:ascii="宋体" w:hAnsi="宋体" w:cs="宋体"/>
          <w:b/>
          <w:bCs/>
          <w:color w:val="auto"/>
          <w:spacing w:val="-2"/>
          <w:sz w:val="24"/>
          <w:highlight w:val="none"/>
          <w:lang w:val="en-US" w:eastAsia="zh-CN"/>
        </w:rPr>
      </w:pPr>
    </w:p>
    <w:p w14:paraId="5BCDBFF2">
      <w:pPr>
        <w:tabs>
          <w:tab w:val="left" w:pos="1440"/>
        </w:tabs>
        <w:spacing w:line="360" w:lineRule="auto"/>
        <w:jc w:val="both"/>
        <w:rPr>
          <w:rFonts w:hint="eastAsia" w:ascii="宋体" w:hAnsi="宋体" w:cs="宋体"/>
          <w:b/>
          <w:bCs/>
          <w:color w:val="auto"/>
          <w:spacing w:val="-2"/>
          <w:sz w:val="24"/>
          <w:highlight w:val="none"/>
          <w:lang w:val="en-US" w:eastAsia="zh-CN"/>
        </w:rPr>
      </w:pPr>
    </w:p>
    <w:p w14:paraId="3240E974">
      <w:pPr>
        <w:tabs>
          <w:tab w:val="left" w:pos="1440"/>
        </w:tabs>
        <w:spacing w:line="360" w:lineRule="auto"/>
        <w:jc w:val="both"/>
        <w:rPr>
          <w:rFonts w:hint="eastAsia" w:ascii="宋体" w:hAnsi="宋体" w:cs="宋体"/>
          <w:b/>
          <w:bCs/>
          <w:color w:val="auto"/>
          <w:spacing w:val="-2"/>
          <w:sz w:val="24"/>
          <w:highlight w:val="none"/>
          <w:lang w:val="en-US" w:eastAsia="zh-CN"/>
        </w:rPr>
      </w:pPr>
    </w:p>
    <w:p w14:paraId="62B050C0">
      <w:pPr>
        <w:adjustRightInd w:val="0"/>
        <w:snapToGrid w:val="0"/>
        <w:spacing w:line="360" w:lineRule="auto"/>
        <w:jc w:val="center"/>
        <w:rPr>
          <w:rFonts w:ascii="黑体" w:hAnsi="黑体" w:eastAsia="黑体"/>
          <w:color w:val="auto"/>
          <w:kern w:val="0"/>
          <w:sz w:val="36"/>
          <w:szCs w:val="36"/>
          <w:highlight w:val="none"/>
        </w:rPr>
      </w:pPr>
      <w:r>
        <w:rPr>
          <w:rFonts w:hint="eastAsia" w:ascii="黑体" w:hAnsi="黑体" w:eastAsia="黑体"/>
          <w:color w:val="auto"/>
          <w:kern w:val="0"/>
          <w:sz w:val="36"/>
          <w:szCs w:val="36"/>
          <w:highlight w:val="none"/>
        </w:rPr>
        <w:t>投标报价表</w:t>
      </w:r>
    </w:p>
    <w:p w14:paraId="16F7E5A5">
      <w:pPr>
        <w:pStyle w:val="18"/>
        <w:spacing w:afterLines="50" w:line="520" w:lineRule="exact"/>
        <w:rPr>
          <w:rFonts w:hint="eastAsia" w:ascii="仿宋_GB2312" w:hAnsi="宋体" w:eastAsia="仿宋_GB2312"/>
          <w:color w:val="auto"/>
          <w:sz w:val="28"/>
          <w:szCs w:val="28"/>
          <w:highlight w:val="none"/>
          <w:u w:val="single"/>
        </w:rPr>
      </w:pPr>
      <w:r>
        <w:rPr>
          <w:rFonts w:hint="eastAsia" w:ascii="仿宋_GB2312" w:hAnsi="宋体" w:eastAsia="仿宋_GB2312"/>
          <w:color w:val="auto"/>
          <w:sz w:val="28"/>
          <w:szCs w:val="28"/>
          <w:highlight w:val="none"/>
        </w:rPr>
        <w:t>招标项目名称：</w:t>
      </w:r>
      <w:r>
        <w:rPr>
          <w:rFonts w:hint="eastAsia" w:ascii="仿宋_GB2312" w:hAnsi="宋体" w:eastAsia="仿宋_GB2312"/>
          <w:color w:val="auto"/>
          <w:sz w:val="28"/>
          <w:szCs w:val="28"/>
          <w:highlight w:val="none"/>
          <w:u w:val="single"/>
        </w:rPr>
        <w:t xml:space="preserve"> </w:t>
      </w:r>
      <w:r>
        <w:rPr>
          <w:rFonts w:hint="eastAsia" w:ascii="仿宋_GB2312" w:hAnsi="宋体" w:eastAsia="仿宋_GB2312" w:cs="Times New Roman"/>
          <w:color w:val="auto"/>
          <w:sz w:val="28"/>
          <w:szCs w:val="28"/>
          <w:highlight w:val="none"/>
          <w:u w:val="single"/>
          <w:lang w:val="en-US" w:eastAsia="zh-CN"/>
        </w:rPr>
        <w:t>重庆华南城</w:t>
      </w:r>
      <w:r>
        <w:rPr>
          <w:rFonts w:hint="eastAsia" w:ascii="仿宋_GB2312" w:hAnsi="宋体" w:eastAsia="仿宋_GB2312" w:cs="Times New Roman"/>
          <w:color w:val="auto"/>
          <w:sz w:val="28"/>
          <w:szCs w:val="28"/>
          <w:highlight w:val="none"/>
          <w:u w:val="single"/>
          <w:lang w:eastAsia="zh-CN"/>
        </w:rPr>
        <w:t>巴南华府伴遖山/巴南华府景云/招商中心/精品3456区/会展中心/奥莱小镇项目</w:t>
      </w:r>
      <w:r>
        <w:rPr>
          <w:rFonts w:hint="eastAsia" w:ascii="仿宋_GB2312" w:hAnsi="宋体" w:eastAsia="仿宋_GB2312" w:cs="Times New Roman"/>
          <w:color w:val="auto"/>
          <w:sz w:val="28"/>
          <w:szCs w:val="28"/>
          <w:highlight w:val="none"/>
          <w:u w:val="single"/>
          <w:lang w:val="en-US" w:eastAsia="zh-CN"/>
        </w:rPr>
        <w:t>绿化养护服务</w:t>
      </w:r>
      <w:r>
        <w:rPr>
          <w:rFonts w:hint="eastAsia" w:ascii="仿宋_GB2312" w:hAnsi="宋体" w:eastAsia="仿宋_GB2312"/>
          <w:color w:val="auto"/>
          <w:sz w:val="28"/>
          <w:szCs w:val="28"/>
          <w:highlight w:val="none"/>
          <w:u w:val="single"/>
          <w:lang w:val="en-US" w:eastAsia="zh-CN"/>
        </w:rPr>
        <w:t xml:space="preserve">  </w:t>
      </w:r>
      <w:r>
        <w:rPr>
          <w:rFonts w:hint="eastAsia" w:ascii="仿宋_GB2312" w:hAnsi="宋体" w:eastAsia="仿宋_GB2312"/>
          <w:color w:val="auto"/>
          <w:sz w:val="28"/>
          <w:szCs w:val="28"/>
          <w:highlight w:val="none"/>
          <w:u w:val="single"/>
        </w:rPr>
        <w:t xml:space="preserve"> </w:t>
      </w:r>
    </w:p>
    <w:tbl>
      <w:tblPr>
        <w:tblStyle w:val="35"/>
        <w:tblW w:w="8726" w:type="dxa"/>
        <w:tblInd w:w="2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2400"/>
        <w:gridCol w:w="1388"/>
        <w:gridCol w:w="1750"/>
        <w:gridCol w:w="1460"/>
        <w:gridCol w:w="1119"/>
      </w:tblGrid>
      <w:tr w14:paraId="20151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609" w:type="dxa"/>
            <w:noWrap w:val="0"/>
            <w:vAlign w:val="center"/>
          </w:tcPr>
          <w:p w14:paraId="33E4AA51">
            <w:pPr>
              <w:jc w:val="center"/>
              <w:rPr>
                <w:rFonts w:ascii="宋体" w:hAnsi="宋体" w:cs="宋体"/>
                <w:color w:val="auto"/>
                <w:sz w:val="24"/>
                <w:highlight w:val="none"/>
              </w:rPr>
            </w:pPr>
            <w:r>
              <w:rPr>
                <w:rFonts w:hint="eastAsia" w:ascii="宋体" w:hAnsi="宋体" w:cs="宋体"/>
                <w:color w:val="auto"/>
                <w:sz w:val="24"/>
                <w:highlight w:val="none"/>
                <w:lang w:val="en-US" w:eastAsia="zh-CN"/>
              </w:rPr>
              <w:t>序</w:t>
            </w:r>
            <w:r>
              <w:rPr>
                <w:rFonts w:hint="eastAsia" w:ascii="宋体" w:hAnsi="宋体" w:cs="宋体"/>
                <w:color w:val="auto"/>
                <w:sz w:val="24"/>
                <w:highlight w:val="none"/>
              </w:rPr>
              <w:t>号</w:t>
            </w:r>
          </w:p>
        </w:tc>
        <w:tc>
          <w:tcPr>
            <w:tcW w:w="2400" w:type="dxa"/>
            <w:noWrap w:val="0"/>
            <w:vAlign w:val="center"/>
          </w:tcPr>
          <w:p w14:paraId="752425C7">
            <w:pPr>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项目名称</w:t>
            </w:r>
          </w:p>
        </w:tc>
        <w:tc>
          <w:tcPr>
            <w:tcW w:w="1388" w:type="dxa"/>
            <w:noWrap w:val="0"/>
            <w:vAlign w:val="center"/>
          </w:tcPr>
          <w:p w14:paraId="27138EAA">
            <w:pPr>
              <w:jc w:val="center"/>
              <w:rPr>
                <w:rFonts w:hint="default" w:ascii="宋体" w:hAnsi="宋体" w:eastAsia="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绿化面积（</w:t>
            </w:r>
            <w:r>
              <w:rPr>
                <w:rFonts w:hint="eastAsia" w:ascii="仿宋" w:hAnsi="仿宋" w:eastAsia="仿宋" w:cs="宋体"/>
                <w:b w:val="0"/>
                <w:bCs w:val="0"/>
                <w:color w:val="auto"/>
                <w:kern w:val="0"/>
                <w:sz w:val="28"/>
                <w:szCs w:val="28"/>
                <w:highlight w:val="none"/>
                <w:lang w:val="en-US" w:eastAsia="zh-CN"/>
              </w:rPr>
              <w:t>㎡</w:t>
            </w:r>
            <w:r>
              <w:rPr>
                <w:rFonts w:hint="eastAsia" w:ascii="宋体" w:hAnsi="宋体" w:cs="宋体"/>
                <w:b w:val="0"/>
                <w:bCs w:val="0"/>
                <w:color w:val="auto"/>
                <w:sz w:val="24"/>
                <w:highlight w:val="none"/>
                <w:lang w:val="en-US" w:eastAsia="zh-CN"/>
              </w:rPr>
              <w:t>）</w:t>
            </w:r>
          </w:p>
        </w:tc>
        <w:tc>
          <w:tcPr>
            <w:tcW w:w="1750" w:type="dxa"/>
            <w:noWrap w:val="0"/>
            <w:vAlign w:val="center"/>
          </w:tcPr>
          <w:p w14:paraId="64476C74">
            <w:pPr>
              <w:jc w:val="center"/>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单价</w:t>
            </w:r>
          </w:p>
          <w:p w14:paraId="1A29BEED">
            <w:pPr>
              <w:jc w:val="center"/>
              <w:rPr>
                <w:rFonts w:hint="eastAsia" w:ascii="宋体" w:hAnsi="宋体" w:eastAsia="宋体" w:cs="宋体"/>
                <w:b w:val="0"/>
                <w:bCs w:val="0"/>
                <w:color w:val="auto"/>
                <w:sz w:val="24"/>
                <w:highlight w:val="none"/>
                <w:lang w:eastAsia="zh-CN"/>
              </w:rPr>
            </w:pPr>
            <w:r>
              <w:rPr>
                <w:rFonts w:hint="eastAsia" w:ascii="宋体" w:hAnsi="宋体" w:cs="宋体"/>
                <w:b w:val="0"/>
                <w:bCs w:val="0"/>
                <w:color w:val="auto"/>
                <w:sz w:val="24"/>
                <w:highlight w:val="none"/>
                <w:lang w:eastAsia="zh-CN"/>
              </w:rPr>
              <w:t>（</w:t>
            </w:r>
            <w:r>
              <w:rPr>
                <w:rFonts w:hint="eastAsia" w:ascii="仿宋" w:hAnsi="仿宋" w:eastAsia="仿宋" w:cs="宋体"/>
                <w:b w:val="0"/>
                <w:bCs w:val="0"/>
                <w:color w:val="auto"/>
                <w:kern w:val="0"/>
                <w:sz w:val="28"/>
                <w:szCs w:val="28"/>
                <w:highlight w:val="none"/>
                <w:lang w:val="en-US" w:eastAsia="zh-CN"/>
              </w:rPr>
              <w:t>元/㎡/月</w:t>
            </w:r>
            <w:r>
              <w:rPr>
                <w:rFonts w:hint="eastAsia" w:ascii="宋体" w:hAnsi="宋体" w:cs="宋体"/>
                <w:b w:val="0"/>
                <w:bCs w:val="0"/>
                <w:color w:val="auto"/>
                <w:sz w:val="24"/>
                <w:highlight w:val="none"/>
                <w:lang w:eastAsia="zh-CN"/>
              </w:rPr>
              <w:t>）</w:t>
            </w:r>
          </w:p>
        </w:tc>
        <w:tc>
          <w:tcPr>
            <w:tcW w:w="1460" w:type="dxa"/>
            <w:noWrap w:val="0"/>
            <w:vAlign w:val="center"/>
          </w:tcPr>
          <w:p w14:paraId="4B848E03">
            <w:pPr>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总金额</w:t>
            </w:r>
          </w:p>
          <w:p w14:paraId="4EA38BB2">
            <w:pPr>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（元）</w:t>
            </w:r>
          </w:p>
        </w:tc>
        <w:tc>
          <w:tcPr>
            <w:tcW w:w="1119" w:type="dxa"/>
            <w:noWrap w:val="0"/>
            <w:vAlign w:val="center"/>
          </w:tcPr>
          <w:p w14:paraId="53FB020F">
            <w:pPr>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服务期限</w:t>
            </w:r>
          </w:p>
        </w:tc>
      </w:tr>
      <w:tr w14:paraId="7CC70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9" w:hRule="atLeast"/>
        </w:trPr>
        <w:tc>
          <w:tcPr>
            <w:tcW w:w="609" w:type="dxa"/>
            <w:noWrap w:val="0"/>
            <w:vAlign w:val="center"/>
          </w:tcPr>
          <w:p w14:paraId="5ECA3DCD">
            <w:pPr>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1</w:t>
            </w:r>
          </w:p>
        </w:tc>
        <w:tc>
          <w:tcPr>
            <w:tcW w:w="2400" w:type="dxa"/>
            <w:noWrap w:val="0"/>
            <w:vAlign w:val="center"/>
          </w:tcPr>
          <w:p w14:paraId="6561EF4D">
            <w:pPr>
              <w:keepNext w:val="0"/>
              <w:keepLines w:val="0"/>
              <w:pageBreakBefore w:val="0"/>
              <w:widowControl/>
              <w:kinsoku/>
              <w:wordWrap/>
              <w:overflowPunct/>
              <w:topLinePunct w:val="0"/>
              <w:autoSpaceDE/>
              <w:autoSpaceDN/>
              <w:bidi w:val="0"/>
              <w:adjustRightInd/>
              <w:snapToGrid/>
              <w:spacing w:line="440" w:lineRule="exact"/>
              <w:ind w:firstLine="0" w:firstLineChars="0"/>
              <w:jc w:val="both"/>
              <w:textAlignment w:val="auto"/>
              <w:rPr>
                <w:rFonts w:hint="eastAsia" w:ascii="仿宋" w:hAnsi="仿宋" w:eastAsia="仿宋" w:cs="仿宋"/>
                <w:color w:val="auto"/>
                <w:sz w:val="24"/>
                <w:highlight w:val="non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重庆华南城巴南华府伴遖山/巴南华府景云/招商中心/精品3456区/会展中心/奥莱小镇项目绿化养护服务</w:t>
            </w:r>
          </w:p>
        </w:tc>
        <w:tc>
          <w:tcPr>
            <w:tcW w:w="1388" w:type="dxa"/>
            <w:noWrap w:val="0"/>
            <w:vAlign w:val="center"/>
          </w:tcPr>
          <w:p w14:paraId="127DDF02">
            <w:pPr>
              <w:ind w:firstLine="0" w:firstLineChars="0"/>
              <w:jc w:val="center"/>
              <w:rPr>
                <w:rFonts w:hint="default" w:ascii="宋体" w:hAnsi="宋体" w:cs="宋体"/>
                <w:color w:val="auto"/>
                <w:sz w:val="24"/>
                <w:highlight w:val="none"/>
                <w:lang w:val="en-US"/>
              </w:rPr>
            </w:pPr>
            <w:r>
              <w:rPr>
                <w:rFonts w:hint="eastAsia" w:ascii="仿宋_GB2312" w:hAnsi="仿宋_GB2312" w:eastAsia="仿宋_GB2312" w:cs="仿宋_GB2312"/>
                <w:b w:val="0"/>
                <w:bCs w:val="0"/>
                <w:color w:val="000000"/>
                <w:kern w:val="0"/>
                <w:sz w:val="28"/>
                <w:szCs w:val="28"/>
                <w:highlight w:val="none"/>
                <w:lang w:val="en-US" w:eastAsia="zh-CN"/>
              </w:rPr>
              <w:t>166699</w:t>
            </w:r>
          </w:p>
        </w:tc>
        <w:tc>
          <w:tcPr>
            <w:tcW w:w="1750" w:type="dxa"/>
            <w:noWrap w:val="0"/>
            <w:vAlign w:val="center"/>
          </w:tcPr>
          <w:p w14:paraId="650F84B2">
            <w:pPr>
              <w:ind w:firstLine="240" w:firstLineChars="100"/>
              <w:jc w:val="both"/>
              <w:rPr>
                <w:rFonts w:hint="eastAsia" w:ascii="宋体" w:hAnsi="宋体" w:cs="宋体"/>
                <w:color w:val="auto"/>
                <w:sz w:val="24"/>
                <w:highlight w:val="none"/>
                <w:u w:val="single"/>
                <w:lang w:val="en-US" w:eastAsia="zh-CN"/>
              </w:rPr>
            </w:pPr>
          </w:p>
        </w:tc>
        <w:tc>
          <w:tcPr>
            <w:tcW w:w="1460" w:type="dxa"/>
            <w:noWrap w:val="0"/>
            <w:vAlign w:val="center"/>
          </w:tcPr>
          <w:p w14:paraId="3637FEDD">
            <w:pPr>
              <w:ind w:firstLine="240" w:firstLineChars="100"/>
              <w:jc w:val="both"/>
              <w:rPr>
                <w:rFonts w:hint="eastAsia" w:ascii="宋体" w:hAnsi="宋体" w:cs="宋体"/>
                <w:color w:val="auto"/>
                <w:sz w:val="24"/>
                <w:highlight w:val="none"/>
                <w:u w:val="single"/>
                <w:lang w:val="en-US" w:eastAsia="zh-CN"/>
              </w:rPr>
            </w:pPr>
          </w:p>
        </w:tc>
        <w:tc>
          <w:tcPr>
            <w:tcW w:w="1119" w:type="dxa"/>
            <w:noWrap w:val="0"/>
            <w:vAlign w:val="center"/>
          </w:tcPr>
          <w:p w14:paraId="2AFFED6E">
            <w:pPr>
              <w:ind w:firstLine="0" w:firstLineChars="0"/>
              <w:jc w:val="center"/>
              <w:rPr>
                <w:rFonts w:hint="default" w:ascii="宋体" w:hAnsi="宋体" w:cs="宋体"/>
                <w:color w:val="auto"/>
                <w:sz w:val="24"/>
                <w:highlight w:val="none"/>
                <w:u w:val="single"/>
                <w:lang w:val="en-US" w:eastAsia="zh-CN"/>
              </w:rPr>
            </w:pPr>
            <w:r>
              <w:rPr>
                <w:rFonts w:hint="eastAsia" w:ascii="仿宋_GB2312" w:hAnsi="仿宋_GB2312" w:eastAsia="仿宋_GB2312" w:cs="仿宋_GB2312"/>
                <w:b w:val="0"/>
                <w:bCs w:val="0"/>
                <w:color w:val="000000"/>
                <w:kern w:val="0"/>
                <w:sz w:val="28"/>
                <w:szCs w:val="28"/>
                <w:highlight w:val="none"/>
                <w:lang w:val="en-US" w:eastAsia="zh-CN"/>
              </w:rPr>
              <w:t>壹年</w:t>
            </w:r>
          </w:p>
        </w:tc>
      </w:tr>
      <w:tr w14:paraId="582CD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8726" w:type="dxa"/>
            <w:gridSpan w:val="6"/>
            <w:noWrap w:val="0"/>
            <w:vAlign w:val="top"/>
          </w:tcPr>
          <w:p w14:paraId="49F5484A">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宋体" w:hAnsi="宋体" w:cs="宋体"/>
                <w:color w:val="auto"/>
                <w:sz w:val="24"/>
                <w:highlight w:val="none"/>
              </w:rPr>
            </w:pPr>
            <w:r>
              <w:rPr>
                <w:rFonts w:hint="eastAsia" w:ascii="仿宋_GB2312" w:hAnsi="仿宋_GB2312" w:eastAsia="仿宋_GB2312" w:cs="仿宋_GB2312"/>
                <w:color w:val="auto"/>
                <w:sz w:val="28"/>
                <w:szCs w:val="28"/>
                <w:highlight w:val="none"/>
              </w:rPr>
              <w:t>附表一：单价分析表（分析内容包含但不限于车辆、设备、人工、物料、其他等）</w:t>
            </w:r>
            <w:r>
              <w:rPr>
                <w:rFonts w:hint="eastAsia" w:ascii="仿宋_GB2312" w:hAnsi="仿宋_GB2312" w:eastAsia="仿宋_GB2312" w:cs="仿宋_GB2312"/>
                <w:color w:val="auto"/>
                <w:sz w:val="28"/>
                <w:szCs w:val="28"/>
                <w:highlight w:val="none"/>
                <w:lang w:eastAsia="zh-CN"/>
              </w:rPr>
              <w:t>（注：投标人自行分析提供）</w:t>
            </w:r>
          </w:p>
        </w:tc>
      </w:tr>
      <w:tr w14:paraId="3AC9B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26" w:type="dxa"/>
            <w:gridSpan w:val="6"/>
            <w:noWrap w:val="0"/>
            <w:vAlign w:val="top"/>
          </w:tcPr>
          <w:p w14:paraId="7FE67506">
            <w:pPr>
              <w:rPr>
                <w:rFonts w:hint="eastAsia" w:ascii="宋体" w:hAnsi="宋体" w:cs="宋体"/>
                <w:color w:val="auto"/>
                <w:sz w:val="24"/>
                <w:highlight w:val="none"/>
              </w:rPr>
            </w:pPr>
            <w:r>
              <w:rPr>
                <w:rFonts w:hint="eastAsia" w:ascii="仿宋_GB2312" w:hAnsi="仿宋_GB2312" w:eastAsia="仿宋_GB2312" w:cs="仿宋_GB2312"/>
                <w:color w:val="auto"/>
                <w:sz w:val="28"/>
                <w:szCs w:val="28"/>
                <w:highlight w:val="none"/>
              </w:rPr>
              <w:t xml:space="preserve">投标单位须根据华南城经营业态的实际情况进行商务报价。 </w:t>
            </w:r>
          </w:p>
        </w:tc>
      </w:tr>
    </w:tbl>
    <w:p w14:paraId="42786B65">
      <w:pPr>
        <w:adjustRightInd w:val="0"/>
        <w:snapToGrid w:val="0"/>
        <w:spacing w:line="360" w:lineRule="auto"/>
        <w:rPr>
          <w:rFonts w:hint="default" w:ascii="仿宋_GB2312" w:hAnsi="宋体" w:eastAsia="仿宋_GB2312"/>
          <w:color w:val="auto"/>
          <w:sz w:val="28"/>
          <w:szCs w:val="28"/>
          <w:highlight w:val="none"/>
          <w:lang w:val="en-US" w:eastAsia="zh-CN"/>
        </w:rPr>
      </w:pPr>
      <w:r>
        <w:rPr>
          <w:rFonts w:hint="eastAsia" w:ascii="仿宋_GB2312" w:hAnsi="宋体" w:eastAsia="仿宋_GB2312"/>
          <w:color w:val="auto"/>
          <w:sz w:val="28"/>
          <w:szCs w:val="28"/>
          <w:highlight w:val="none"/>
        </w:rPr>
        <w:t xml:space="preserve">  </w:t>
      </w:r>
      <w:r>
        <w:rPr>
          <w:rFonts w:hint="eastAsia" w:ascii="仿宋_GB2312" w:hAnsi="宋体" w:eastAsia="仿宋_GB2312"/>
          <w:color w:val="auto"/>
          <w:sz w:val="28"/>
          <w:szCs w:val="28"/>
          <w:highlight w:val="none"/>
          <w:lang w:val="en-US" w:eastAsia="zh-CN"/>
        </w:rPr>
        <w:t>说明：</w:t>
      </w:r>
    </w:p>
    <w:p w14:paraId="45B72D6D">
      <w:pPr>
        <w:pStyle w:val="18"/>
        <w:spacing w:after="156" w:afterLines="50" w:line="240" w:lineRule="auto"/>
        <w:ind w:firstLine="480" w:firstLineChars="200"/>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lang w:val="en-US" w:eastAsia="zh-CN"/>
        </w:rPr>
        <w:t>1、</w:t>
      </w:r>
      <w:r>
        <w:rPr>
          <w:rFonts w:hint="eastAsia" w:ascii="仿宋" w:hAnsi="仿宋" w:eastAsia="仿宋" w:cs="宋体"/>
          <w:color w:val="auto"/>
          <w:kern w:val="0"/>
          <w:sz w:val="24"/>
          <w:szCs w:val="24"/>
          <w:highlight w:val="none"/>
        </w:rPr>
        <w:t>本次投标</w:t>
      </w:r>
      <w:r>
        <w:rPr>
          <w:rFonts w:hint="eastAsia" w:ascii="仿宋" w:hAnsi="仿宋" w:eastAsia="仿宋" w:cs="宋体"/>
          <w:color w:val="auto"/>
          <w:kern w:val="0"/>
          <w:sz w:val="24"/>
          <w:szCs w:val="24"/>
          <w:highlight w:val="none"/>
          <w:lang w:eastAsia="zh-CN"/>
        </w:rPr>
        <w:t>报价不能超过</w:t>
      </w:r>
      <w:r>
        <w:rPr>
          <w:rFonts w:hint="eastAsia" w:ascii="仿宋" w:hAnsi="仿宋" w:eastAsia="仿宋" w:cs="宋体"/>
          <w:color w:val="auto"/>
          <w:kern w:val="0"/>
          <w:sz w:val="24"/>
          <w:szCs w:val="24"/>
          <w:highlight w:val="none"/>
          <w:lang w:val="en-US" w:eastAsia="zh-CN"/>
        </w:rPr>
        <w:t>本项目的投标上限价</w:t>
      </w:r>
      <w:r>
        <w:rPr>
          <w:rFonts w:hint="eastAsia" w:ascii="仿宋" w:hAnsi="仿宋" w:eastAsia="仿宋" w:cs="宋体"/>
          <w:color w:val="auto"/>
          <w:kern w:val="0"/>
          <w:sz w:val="24"/>
          <w:szCs w:val="24"/>
          <w:highlight w:val="none"/>
        </w:rPr>
        <w:t>。</w:t>
      </w:r>
    </w:p>
    <w:p w14:paraId="5B8A11BF">
      <w:pPr>
        <w:pStyle w:val="18"/>
        <w:spacing w:after="156" w:afterLines="50" w:line="240" w:lineRule="auto"/>
        <w:ind w:firstLine="480" w:firstLineChars="200"/>
        <w:rPr>
          <w:rFonts w:ascii="仿宋_GB2312" w:hAnsi="宋体" w:eastAsia="仿宋_GB2312"/>
          <w:color w:val="auto"/>
          <w:sz w:val="28"/>
          <w:szCs w:val="28"/>
          <w:highlight w:val="none"/>
        </w:rPr>
      </w:pPr>
      <w:r>
        <w:rPr>
          <w:rFonts w:hint="eastAsia" w:ascii="仿宋" w:hAnsi="仿宋" w:eastAsia="仿宋" w:cs="宋体"/>
          <w:color w:val="auto"/>
          <w:kern w:val="0"/>
          <w:sz w:val="24"/>
          <w:szCs w:val="24"/>
          <w:highlight w:val="none"/>
        </w:rPr>
        <w:t>2、本次投标报价开具增值税</w:t>
      </w:r>
      <w:r>
        <w:rPr>
          <w:rFonts w:hint="eastAsia" w:ascii="仿宋" w:hAnsi="仿宋" w:eastAsia="仿宋" w:cs="宋体"/>
          <w:color w:val="auto"/>
          <w:kern w:val="0"/>
          <w:sz w:val="24"/>
          <w:szCs w:val="24"/>
          <w:highlight w:val="none"/>
          <w:u w:val="single"/>
        </w:rPr>
        <w:t xml:space="preserve">   </w:t>
      </w:r>
      <w:r>
        <w:rPr>
          <w:rFonts w:hint="eastAsia" w:ascii="仿宋" w:hAnsi="仿宋" w:eastAsia="仿宋" w:cs="宋体"/>
          <w:color w:val="auto"/>
          <w:kern w:val="0"/>
          <w:sz w:val="24"/>
          <w:szCs w:val="24"/>
          <w:highlight w:val="none"/>
        </w:rPr>
        <w:t>发票税点为</w:t>
      </w:r>
      <w:r>
        <w:rPr>
          <w:rFonts w:hint="eastAsia" w:ascii="仿宋" w:hAnsi="仿宋" w:eastAsia="仿宋" w:cs="宋体"/>
          <w:color w:val="auto"/>
          <w:kern w:val="0"/>
          <w:sz w:val="24"/>
          <w:szCs w:val="24"/>
          <w:highlight w:val="none"/>
          <w:u w:val="single"/>
        </w:rPr>
        <w:t xml:space="preserve"> </w:t>
      </w:r>
      <w:r>
        <w:rPr>
          <w:rFonts w:hint="eastAsia" w:ascii="仿宋" w:hAnsi="仿宋" w:eastAsia="仿宋" w:cs="宋体"/>
          <w:color w:val="auto"/>
          <w:kern w:val="0"/>
          <w:sz w:val="24"/>
          <w:szCs w:val="24"/>
          <w:highlight w:val="none"/>
          <w:u w:val="single"/>
          <w:lang w:val="en-US" w:eastAsia="zh-CN"/>
        </w:rPr>
        <w:t xml:space="preserve"> </w:t>
      </w:r>
      <w:r>
        <w:rPr>
          <w:rFonts w:hint="eastAsia" w:ascii="仿宋" w:hAnsi="仿宋" w:eastAsia="仿宋" w:cs="宋体"/>
          <w:color w:val="auto"/>
          <w:kern w:val="0"/>
          <w:sz w:val="24"/>
          <w:szCs w:val="24"/>
          <w:highlight w:val="none"/>
          <w:u w:val="single"/>
        </w:rPr>
        <w:t xml:space="preserve"> </w:t>
      </w:r>
      <w:r>
        <w:rPr>
          <w:rFonts w:hint="eastAsia" w:ascii="仿宋" w:hAnsi="仿宋" w:eastAsia="仿宋" w:cs="宋体"/>
          <w:color w:val="auto"/>
          <w:kern w:val="0"/>
          <w:sz w:val="24"/>
          <w:szCs w:val="24"/>
          <w:highlight w:val="none"/>
          <w:u w:val="none"/>
        </w:rPr>
        <w:t xml:space="preserve"> </w:t>
      </w:r>
      <w:r>
        <w:rPr>
          <w:rFonts w:hint="eastAsia" w:ascii="仿宋" w:hAnsi="仿宋" w:eastAsia="仿宋" w:cs="宋体"/>
          <w:color w:val="auto"/>
          <w:kern w:val="0"/>
          <w:sz w:val="24"/>
          <w:szCs w:val="24"/>
          <w:highlight w:val="none"/>
        </w:rPr>
        <w:t>%。</w:t>
      </w:r>
    </w:p>
    <w:p w14:paraId="7B5DE39F">
      <w:pPr>
        <w:pStyle w:val="71"/>
        <w:tabs>
          <w:tab w:val="center" w:pos="4382"/>
          <w:tab w:val="left" w:pos="7061"/>
        </w:tabs>
        <w:ind w:firstLine="0" w:firstLineChars="0"/>
        <w:jc w:val="left"/>
        <w:outlineLvl w:val="0"/>
        <w:rPr>
          <w:rFonts w:hint="eastAsia" w:ascii="宋体" w:hAnsi="宋体"/>
          <w:b/>
          <w:bCs/>
          <w:color w:val="auto"/>
          <w:kern w:val="0"/>
          <w:sz w:val="48"/>
          <w:szCs w:val="48"/>
          <w:highlight w:val="none"/>
          <w:lang w:eastAsia="zh-CN"/>
        </w:rPr>
      </w:pPr>
      <w:bookmarkStart w:id="97" w:name="_Toc6544"/>
      <w:r>
        <w:rPr>
          <w:rFonts w:hint="eastAsia" w:ascii="宋体" w:hAnsi="宋体"/>
          <w:b/>
          <w:bCs/>
          <w:color w:val="auto"/>
          <w:kern w:val="0"/>
          <w:sz w:val="48"/>
          <w:szCs w:val="48"/>
          <w:highlight w:val="none"/>
          <w:lang w:eastAsia="zh-CN"/>
        </w:rPr>
        <w:tab/>
      </w:r>
    </w:p>
    <w:p w14:paraId="28AC0FA1">
      <w:pPr>
        <w:pStyle w:val="71"/>
        <w:tabs>
          <w:tab w:val="center" w:pos="4382"/>
          <w:tab w:val="left" w:pos="7061"/>
        </w:tabs>
        <w:ind w:firstLine="0" w:firstLineChars="0"/>
        <w:jc w:val="left"/>
        <w:outlineLvl w:val="0"/>
        <w:rPr>
          <w:rFonts w:hint="eastAsia" w:ascii="宋体" w:hAnsi="宋体"/>
          <w:b/>
          <w:bCs/>
          <w:color w:val="auto"/>
          <w:kern w:val="0"/>
          <w:sz w:val="48"/>
          <w:szCs w:val="48"/>
          <w:highlight w:val="none"/>
          <w:lang w:eastAsia="zh-CN"/>
        </w:rPr>
      </w:pPr>
    </w:p>
    <w:p w14:paraId="0CFF16F4">
      <w:pPr>
        <w:pStyle w:val="71"/>
        <w:tabs>
          <w:tab w:val="center" w:pos="4382"/>
          <w:tab w:val="left" w:pos="7061"/>
        </w:tabs>
        <w:ind w:firstLine="0" w:firstLineChars="0"/>
        <w:jc w:val="left"/>
        <w:outlineLvl w:val="0"/>
        <w:rPr>
          <w:rFonts w:hint="eastAsia" w:ascii="宋体" w:hAnsi="宋体"/>
          <w:b/>
          <w:bCs/>
          <w:color w:val="auto"/>
          <w:kern w:val="0"/>
          <w:sz w:val="48"/>
          <w:szCs w:val="48"/>
          <w:highlight w:val="none"/>
          <w:lang w:eastAsia="zh-CN"/>
        </w:rPr>
      </w:pPr>
    </w:p>
    <w:p w14:paraId="4552BAC0">
      <w:pPr>
        <w:pStyle w:val="71"/>
        <w:tabs>
          <w:tab w:val="center" w:pos="4382"/>
          <w:tab w:val="left" w:pos="7061"/>
        </w:tabs>
        <w:ind w:firstLine="0" w:firstLineChars="0"/>
        <w:jc w:val="left"/>
        <w:outlineLvl w:val="0"/>
        <w:rPr>
          <w:rFonts w:hint="eastAsia" w:ascii="宋体" w:hAnsi="宋体"/>
          <w:b/>
          <w:bCs/>
          <w:color w:val="auto"/>
          <w:kern w:val="0"/>
          <w:sz w:val="48"/>
          <w:szCs w:val="48"/>
          <w:highlight w:val="none"/>
          <w:lang w:eastAsia="zh-CN"/>
        </w:rPr>
      </w:pPr>
    </w:p>
    <w:p w14:paraId="2E73FDD1">
      <w:pPr>
        <w:pStyle w:val="71"/>
        <w:tabs>
          <w:tab w:val="center" w:pos="4382"/>
          <w:tab w:val="left" w:pos="7061"/>
        </w:tabs>
        <w:ind w:firstLine="0" w:firstLineChars="0"/>
        <w:jc w:val="left"/>
        <w:outlineLvl w:val="0"/>
        <w:rPr>
          <w:rFonts w:hint="eastAsia" w:ascii="宋体" w:hAnsi="宋体"/>
          <w:b/>
          <w:bCs/>
          <w:color w:val="auto"/>
          <w:kern w:val="0"/>
          <w:sz w:val="48"/>
          <w:szCs w:val="48"/>
          <w:highlight w:val="none"/>
          <w:lang w:eastAsia="zh-CN"/>
        </w:rPr>
      </w:pPr>
    </w:p>
    <w:p w14:paraId="137A47FE">
      <w:pPr>
        <w:pStyle w:val="71"/>
        <w:tabs>
          <w:tab w:val="center" w:pos="4382"/>
          <w:tab w:val="left" w:pos="7061"/>
        </w:tabs>
        <w:ind w:left="0" w:leftChars="0" w:firstLine="0" w:firstLineChars="0"/>
        <w:jc w:val="center"/>
        <w:outlineLvl w:val="0"/>
        <w:rPr>
          <w:rFonts w:hint="eastAsia" w:ascii="宋体" w:hAnsi="宋体" w:eastAsia="宋体"/>
          <w:b/>
          <w:bCs/>
          <w:color w:val="auto"/>
          <w:kern w:val="0"/>
          <w:sz w:val="48"/>
          <w:szCs w:val="48"/>
          <w:highlight w:val="none"/>
          <w:lang w:eastAsia="zh-CN"/>
        </w:rPr>
      </w:pPr>
      <w:bookmarkStart w:id="98" w:name="_Toc2398"/>
      <w:r>
        <w:rPr>
          <w:rFonts w:hint="eastAsia" w:ascii="宋体" w:hAnsi="宋体"/>
          <w:b/>
          <w:bCs/>
          <w:color w:val="auto"/>
          <w:kern w:val="0"/>
          <w:sz w:val="48"/>
          <w:szCs w:val="48"/>
          <w:highlight w:val="none"/>
        </w:rPr>
        <w:t>第六章 中标通知书</w:t>
      </w:r>
      <w:bookmarkEnd w:id="97"/>
      <w:bookmarkEnd w:id="98"/>
    </w:p>
    <w:p w14:paraId="56486981">
      <w:pPr>
        <w:pStyle w:val="71"/>
        <w:ind w:firstLine="0" w:firstLineChars="0"/>
        <w:jc w:val="center"/>
        <w:rPr>
          <w:rFonts w:ascii="仿宋" w:hAnsi="仿宋" w:eastAsia="仿宋"/>
          <w:b/>
          <w:bCs/>
          <w:color w:val="auto"/>
          <w:kern w:val="0"/>
          <w:sz w:val="36"/>
          <w:szCs w:val="36"/>
          <w:highlight w:val="none"/>
        </w:rPr>
      </w:pPr>
    </w:p>
    <w:p w14:paraId="4271BF35">
      <w:pPr>
        <w:spacing w:line="360" w:lineRule="auto"/>
        <w:jc w:val="left"/>
        <w:rPr>
          <w:rFonts w:ascii="仿宋" w:hAnsi="仿宋" w:eastAsia="仿宋"/>
          <w:color w:val="auto"/>
          <w:sz w:val="28"/>
          <w:szCs w:val="28"/>
          <w:highlight w:val="none"/>
        </w:rPr>
      </w:pPr>
      <w:r>
        <w:rPr>
          <w:rFonts w:hint="eastAsia" w:ascii="仿宋" w:hAnsi="仿宋" w:eastAsia="仿宋"/>
          <w:color w:val="auto"/>
          <w:sz w:val="28"/>
          <w:szCs w:val="28"/>
          <w:highlight w:val="none"/>
        </w:rPr>
        <w:t>致</w:t>
      </w:r>
      <w:r>
        <w:rPr>
          <w:rFonts w:hint="eastAsia" w:ascii="仿宋" w:hAnsi="仿宋" w:eastAsia="仿宋" w:cs="仿宋_GB2312"/>
          <w:color w:val="auto"/>
          <w:sz w:val="28"/>
          <w:szCs w:val="28"/>
          <w:highlight w:val="none"/>
          <w:u w:val="single"/>
        </w:rPr>
        <w:t xml:space="preserve">                </w:t>
      </w:r>
      <w:r>
        <w:rPr>
          <w:rFonts w:hint="eastAsia" w:ascii="仿宋" w:hAnsi="仿宋" w:eastAsia="仿宋"/>
          <w:color w:val="auto"/>
          <w:sz w:val="28"/>
          <w:szCs w:val="28"/>
          <w:highlight w:val="none"/>
        </w:rPr>
        <w:t>：</w:t>
      </w:r>
    </w:p>
    <w:p w14:paraId="42170AE3">
      <w:pPr>
        <w:spacing w:line="360" w:lineRule="auto"/>
        <w:ind w:firstLine="560" w:firstLineChars="200"/>
        <w:jc w:val="left"/>
        <w:rPr>
          <w:rFonts w:ascii="仿宋" w:hAnsi="仿宋" w:eastAsia="仿宋"/>
          <w:color w:val="auto"/>
          <w:sz w:val="28"/>
          <w:szCs w:val="28"/>
          <w:highlight w:val="none"/>
        </w:rPr>
      </w:pPr>
      <w:r>
        <w:rPr>
          <w:rFonts w:hint="eastAsia" w:ascii="仿宋" w:hAnsi="仿宋" w:eastAsia="仿宋" w:cs="仿宋_GB2312"/>
          <w:color w:val="auto"/>
          <w:sz w:val="28"/>
          <w:szCs w:val="28"/>
          <w:highlight w:val="none"/>
        </w:rPr>
        <w:t>我司</w:t>
      </w:r>
      <w:r>
        <w:rPr>
          <w:rFonts w:hint="eastAsia" w:ascii="仿宋" w:hAnsi="仿宋" w:eastAsia="仿宋" w:cs="仿宋_GB2312"/>
          <w:color w:val="auto"/>
          <w:sz w:val="28"/>
          <w:szCs w:val="28"/>
          <w:highlight w:val="none"/>
          <w:u w:val="single"/>
        </w:rPr>
        <w:t xml:space="preserve">                    </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已于</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年</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月</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日进行招标，经评定，现正式通知贵司，我司已选定贵司为</w:t>
      </w:r>
      <w:r>
        <w:rPr>
          <w:rFonts w:hint="eastAsia" w:ascii="仿宋" w:hAnsi="仿宋" w:eastAsia="仿宋" w:cs="仿宋_GB2312"/>
          <w:color w:val="auto"/>
          <w:sz w:val="28"/>
          <w:szCs w:val="28"/>
          <w:highlight w:val="none"/>
          <w:u w:val="single"/>
        </w:rPr>
        <w:t xml:space="preserve">                 </w:t>
      </w:r>
      <w:r>
        <w:rPr>
          <w:rFonts w:hint="eastAsia" w:ascii="仿宋" w:hAnsi="仿宋" w:eastAsia="仿宋"/>
          <w:color w:val="auto"/>
          <w:sz w:val="28"/>
          <w:szCs w:val="28"/>
          <w:highlight w:val="none"/>
        </w:rPr>
        <w:t>中标单位，并接纳贵公司的投标文件：</w:t>
      </w:r>
    </w:p>
    <w:p w14:paraId="269F342D">
      <w:pPr>
        <w:spacing w:line="360" w:lineRule="auto"/>
        <w:ind w:left="705"/>
        <w:jc w:val="left"/>
        <w:rPr>
          <w:rFonts w:ascii="仿宋" w:hAnsi="仿宋" w:eastAsia="仿宋"/>
          <w:color w:val="auto"/>
          <w:sz w:val="28"/>
          <w:szCs w:val="28"/>
          <w:highlight w:val="none"/>
        </w:rPr>
      </w:pPr>
      <w:r>
        <w:rPr>
          <w:rFonts w:hint="eastAsia" w:ascii="仿宋" w:hAnsi="仿宋" w:eastAsia="仿宋" w:cs="宋体"/>
          <w:color w:val="auto"/>
          <w:kern w:val="0"/>
          <w:sz w:val="28"/>
          <w:szCs w:val="32"/>
          <w:highlight w:val="none"/>
        </w:rPr>
        <w:t>1、</w:t>
      </w:r>
      <w:r>
        <w:rPr>
          <w:rFonts w:hint="eastAsia" w:ascii="仿宋" w:hAnsi="仿宋" w:eastAsia="仿宋"/>
          <w:color w:val="auto"/>
          <w:sz w:val="28"/>
          <w:szCs w:val="28"/>
          <w:highlight w:val="none"/>
        </w:rPr>
        <w:t>中标价格：</w:t>
      </w:r>
      <w:r>
        <w:rPr>
          <w:rFonts w:hint="eastAsia" w:ascii="仿宋" w:hAnsi="仿宋" w:eastAsia="仿宋"/>
          <w:color w:val="auto"/>
          <w:sz w:val="28"/>
          <w:szCs w:val="28"/>
          <w:highlight w:val="none"/>
          <w:u w:val="single"/>
        </w:rPr>
        <w:t xml:space="preserve">￥      元  </w:t>
      </w:r>
      <w:r>
        <w:rPr>
          <w:rFonts w:hint="eastAsia" w:ascii="仿宋" w:hAnsi="仿宋" w:eastAsia="仿宋"/>
          <w:color w:val="auto"/>
          <w:sz w:val="28"/>
          <w:szCs w:val="28"/>
          <w:highlight w:val="none"/>
        </w:rPr>
        <w:t>人民币（大写）：</w:t>
      </w:r>
      <w:r>
        <w:rPr>
          <w:rFonts w:hint="eastAsia" w:ascii="仿宋" w:hAnsi="仿宋" w:eastAsia="仿宋"/>
          <w:color w:val="auto"/>
          <w:sz w:val="28"/>
          <w:szCs w:val="28"/>
          <w:highlight w:val="none"/>
          <w:u w:val="single"/>
        </w:rPr>
        <w:t xml:space="preserve">       </w:t>
      </w:r>
      <w:r>
        <w:rPr>
          <w:rFonts w:hint="eastAsia" w:ascii="仿宋" w:hAnsi="仿宋" w:eastAsia="仿宋" w:cs="宋体"/>
          <w:color w:val="auto"/>
          <w:kern w:val="0"/>
          <w:sz w:val="28"/>
          <w:szCs w:val="32"/>
          <w:highlight w:val="none"/>
        </w:rPr>
        <w:t>；</w:t>
      </w:r>
    </w:p>
    <w:p w14:paraId="5E32BE8A">
      <w:pPr>
        <w:spacing w:line="360" w:lineRule="auto"/>
        <w:ind w:firstLine="700" w:firstLineChars="250"/>
        <w:jc w:val="left"/>
        <w:rPr>
          <w:rFonts w:ascii="仿宋" w:hAnsi="仿宋" w:eastAsia="仿宋"/>
          <w:color w:val="auto"/>
          <w:sz w:val="28"/>
          <w:szCs w:val="28"/>
          <w:highlight w:val="none"/>
        </w:rPr>
      </w:pPr>
      <w:r>
        <w:rPr>
          <w:rFonts w:hint="eastAsia" w:ascii="仿宋" w:hAnsi="仿宋" w:eastAsia="仿宋"/>
          <w:color w:val="auto"/>
          <w:sz w:val="28"/>
          <w:szCs w:val="28"/>
          <w:highlight w:val="none"/>
        </w:rPr>
        <w:t>2、中标服务周期：</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天</w:t>
      </w:r>
    </w:p>
    <w:p w14:paraId="7096884E">
      <w:pPr>
        <w:spacing w:line="360" w:lineRule="auto"/>
        <w:ind w:firstLine="700" w:firstLineChars="250"/>
        <w:jc w:val="left"/>
        <w:rPr>
          <w:rFonts w:ascii="仿宋" w:hAnsi="仿宋" w:eastAsia="仿宋"/>
          <w:color w:val="auto"/>
          <w:sz w:val="28"/>
          <w:szCs w:val="28"/>
          <w:highlight w:val="none"/>
          <w:u w:val="single"/>
        </w:rPr>
      </w:pPr>
      <w:r>
        <w:rPr>
          <w:rFonts w:hint="eastAsia" w:ascii="仿宋" w:hAnsi="仿宋" w:eastAsia="仿宋"/>
          <w:color w:val="auto"/>
          <w:sz w:val="28"/>
          <w:szCs w:val="28"/>
          <w:highlight w:val="none"/>
        </w:rPr>
        <w:t>3、项目负责人：</w:t>
      </w:r>
      <w:r>
        <w:rPr>
          <w:rFonts w:hint="eastAsia" w:ascii="仿宋" w:hAnsi="仿宋" w:eastAsia="仿宋"/>
          <w:color w:val="auto"/>
          <w:sz w:val="28"/>
          <w:szCs w:val="28"/>
          <w:highlight w:val="none"/>
          <w:u w:val="single"/>
        </w:rPr>
        <w:t xml:space="preserve">        </w:t>
      </w:r>
    </w:p>
    <w:p w14:paraId="64E32706">
      <w:pPr>
        <w:spacing w:line="360" w:lineRule="auto"/>
        <w:ind w:firstLine="700" w:firstLineChars="250"/>
        <w:jc w:val="left"/>
        <w:rPr>
          <w:rFonts w:ascii="仿宋" w:hAnsi="仿宋" w:eastAsia="仿宋"/>
          <w:color w:val="auto"/>
          <w:sz w:val="28"/>
          <w:szCs w:val="28"/>
          <w:highlight w:val="none"/>
        </w:rPr>
      </w:pPr>
      <w:r>
        <w:rPr>
          <w:rFonts w:hint="eastAsia" w:ascii="仿宋" w:hAnsi="仿宋" w:eastAsia="仿宋"/>
          <w:color w:val="auto"/>
          <w:sz w:val="28"/>
          <w:szCs w:val="28"/>
          <w:highlight w:val="none"/>
        </w:rPr>
        <w:t>4、贵公司须在接到本通知后</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日内与我司商议并签订合同。</w:t>
      </w:r>
    </w:p>
    <w:p w14:paraId="1CDB5FA8">
      <w:pPr>
        <w:spacing w:line="360" w:lineRule="auto"/>
        <w:ind w:firstLine="1120" w:firstLineChars="400"/>
        <w:jc w:val="left"/>
        <w:rPr>
          <w:rFonts w:ascii="仿宋" w:hAnsi="仿宋" w:eastAsia="仿宋"/>
          <w:color w:val="auto"/>
          <w:sz w:val="28"/>
          <w:szCs w:val="28"/>
          <w:highlight w:val="none"/>
        </w:rPr>
      </w:pPr>
      <w:r>
        <w:rPr>
          <w:rFonts w:hint="eastAsia" w:ascii="仿宋" w:hAnsi="仿宋" w:eastAsia="仿宋"/>
          <w:color w:val="auto"/>
          <w:sz w:val="28"/>
          <w:szCs w:val="28"/>
          <w:highlight w:val="none"/>
        </w:rPr>
        <w:t>谨此函告</w:t>
      </w:r>
    </w:p>
    <w:p w14:paraId="622D0B22">
      <w:pPr>
        <w:spacing w:line="360" w:lineRule="auto"/>
        <w:rPr>
          <w:rFonts w:ascii="仿宋" w:hAnsi="仿宋" w:eastAsia="仿宋"/>
          <w:color w:val="auto"/>
          <w:sz w:val="28"/>
          <w:szCs w:val="28"/>
          <w:highlight w:val="none"/>
        </w:rPr>
      </w:pPr>
    </w:p>
    <w:p w14:paraId="251C9F0C">
      <w:pPr>
        <w:spacing w:line="360" w:lineRule="auto"/>
        <w:rPr>
          <w:rFonts w:ascii="仿宋" w:hAnsi="仿宋" w:eastAsia="仿宋"/>
          <w:color w:val="auto"/>
          <w:sz w:val="28"/>
          <w:szCs w:val="28"/>
          <w:highlight w:val="none"/>
        </w:rPr>
      </w:pPr>
    </w:p>
    <w:p w14:paraId="2A2DEE86">
      <w:pPr>
        <w:wordWrap w:val="0"/>
        <w:spacing w:line="360" w:lineRule="auto"/>
        <w:ind w:right="140"/>
        <w:jc w:val="right"/>
        <w:rPr>
          <w:rFonts w:ascii="仿宋" w:hAnsi="仿宋" w:eastAsia="仿宋"/>
          <w:color w:val="auto"/>
          <w:sz w:val="28"/>
          <w:szCs w:val="28"/>
          <w:highlight w:val="none"/>
        </w:rPr>
      </w:pPr>
      <w:r>
        <w:rPr>
          <w:rFonts w:hint="eastAsia" w:ascii="仿宋" w:hAnsi="仿宋" w:eastAsia="仿宋"/>
          <w:color w:val="auto"/>
          <w:sz w:val="28"/>
          <w:szCs w:val="28"/>
          <w:highlight w:val="none"/>
        </w:rPr>
        <w:t xml:space="preserve">（招标人）   </w:t>
      </w:r>
    </w:p>
    <w:p w14:paraId="42853771">
      <w:pPr>
        <w:widowControl w:val="0"/>
        <w:spacing w:line="560" w:lineRule="exact"/>
        <w:ind w:firstLine="435"/>
        <w:rPr>
          <w:rFonts w:ascii="仿宋" w:hAnsi="仿宋" w:eastAsia="仿宋"/>
          <w:color w:val="auto"/>
          <w:sz w:val="28"/>
          <w:szCs w:val="28"/>
          <w:highlight w:val="none"/>
          <w:u w:val="single"/>
        </w:rPr>
      </w:pPr>
      <w:r>
        <w:rPr>
          <w:rFonts w:hint="eastAsia" w:ascii="仿宋" w:hAnsi="仿宋" w:eastAsia="仿宋"/>
          <w:color w:val="auto"/>
          <w:sz w:val="28"/>
          <w:szCs w:val="28"/>
          <w:highlight w:val="none"/>
        </w:rPr>
        <w:t xml:space="preserve">                                     </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年</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月</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日</w:t>
      </w:r>
    </w:p>
    <w:p w14:paraId="48AC037F">
      <w:pPr>
        <w:widowControl w:val="0"/>
        <w:spacing w:line="560" w:lineRule="exact"/>
        <w:rPr>
          <w:rFonts w:ascii="仿宋" w:hAnsi="仿宋" w:eastAsia="仿宋"/>
          <w:color w:val="auto"/>
          <w:sz w:val="28"/>
          <w:szCs w:val="28"/>
          <w:highlight w:val="none"/>
        </w:rPr>
      </w:pPr>
    </w:p>
    <w:sectPr>
      <w:headerReference r:id="rId15" w:type="default"/>
      <w:pgSz w:w="12240" w:h="15840"/>
      <w:pgMar w:top="1440" w:right="1797" w:bottom="1440" w:left="1797" w:header="720" w:footer="720" w:gutter="0"/>
      <w:pgNumType w:fmt="decimal"/>
      <w:cols w:space="720" w:num="1"/>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C09E822-7D55-462E-9A36-988994E315C6}"/>
  </w:font>
  <w:font w:name="黑体">
    <w:panose1 w:val="02010609060101010101"/>
    <w:charset w:val="86"/>
    <w:family w:val="auto"/>
    <w:pitch w:val="default"/>
    <w:sig w:usb0="800002BF" w:usb1="38CF7CFA" w:usb2="00000016" w:usb3="00000000" w:csb0="00040001" w:csb1="00000000"/>
    <w:embedRegular r:id="rId2" w:fontKey="{FFB2134C-BBC1-4D4F-8F63-52E6F928F9E7}"/>
  </w:font>
  <w:font w:name="Courier New">
    <w:panose1 w:val="02070309020205020404"/>
    <w:charset w:val="01"/>
    <w:family w:val="modern"/>
    <w:pitch w:val="default"/>
    <w:sig w:usb0="E0002EFF" w:usb1="C0007843" w:usb2="00000009" w:usb3="00000000" w:csb0="400001FF" w:csb1="FFFF0000"/>
    <w:embedRegular r:id="rId3" w:fontKey="{8582EDEE-95F7-4634-9766-B7BBE07BCCC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05296AF8-7344-4CD9-B817-7BBBC48804B2}"/>
  </w:font>
  <w:font w:name="Cambria">
    <w:panose1 w:val="02040503050406030204"/>
    <w:charset w:val="00"/>
    <w:family w:val="roman"/>
    <w:pitch w:val="default"/>
    <w:sig w:usb0="E00006FF" w:usb1="420024FF" w:usb2="02000000" w:usb3="00000000" w:csb0="2000019F" w:csb1="00000000"/>
  </w:font>
  <w:font w:name="长城楷体">
    <w:altName w:val="楷体_GB2312"/>
    <w:panose1 w:val="00000000000000000000"/>
    <w:charset w:val="86"/>
    <w:family w:val="moder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embedRegular r:id="rId5" w:fontKey="{EB2CF004-0EB9-41B1-99B5-5F675C054E1A}"/>
  </w:font>
  <w:font w:name="Verdana">
    <w:panose1 w:val="020B0604030504040204"/>
    <w:charset w:val="00"/>
    <w:family w:val="swiss"/>
    <w:pitch w:val="default"/>
    <w:sig w:usb0="A00006FF" w:usb1="4000205B" w:usb2="00000010" w:usb3="00000000" w:csb0="2000019F" w:csb1="00000000"/>
    <w:embedRegular r:id="rId6" w:fontKey="{1FA81B8E-8CBE-4218-BEDC-A5A1905220C9}"/>
  </w:font>
  <w:font w:name="仿宋_GB2312">
    <w:panose1 w:val="02010609030101010101"/>
    <w:charset w:val="86"/>
    <w:family w:val="auto"/>
    <w:pitch w:val="default"/>
    <w:sig w:usb0="00000001" w:usb1="080E0000" w:usb2="00000000" w:usb3="00000000" w:csb0="00040000" w:csb1="00000000"/>
    <w:embedRegular r:id="rId7" w:fontKey="{CBF0A703-9455-437D-9A23-1A783646EB96}"/>
  </w:font>
  <w:font w:name="微软雅黑">
    <w:panose1 w:val="020B0503020204020204"/>
    <w:charset w:val="86"/>
    <w:family w:val="auto"/>
    <w:pitch w:val="default"/>
    <w:sig w:usb0="80000287" w:usb1="2ACF3C50" w:usb2="00000016" w:usb3="00000000" w:csb0="0004001F" w:csb1="00000000"/>
    <w:embedRegular r:id="rId8" w:fontKey="{AF832E50-F861-4029-AE4E-5EA8D2A722C7}"/>
  </w:font>
  <w:font w:name="仿宋">
    <w:panose1 w:val="02010609060101010101"/>
    <w:charset w:val="86"/>
    <w:family w:val="modern"/>
    <w:pitch w:val="default"/>
    <w:sig w:usb0="800002BF" w:usb1="38CF7CFA" w:usb2="00000016" w:usb3="00000000" w:csb0="00040001" w:csb1="00000000"/>
    <w:embedRegular r:id="rId9" w:fontKey="{C8489865-9A34-447E-95AA-581F8FCD334D}"/>
  </w:font>
  <w:font w:name="创艺简标宋">
    <w:panose1 w:val="00000000000000000000"/>
    <w:charset w:val="86"/>
    <w:family w:val="auto"/>
    <w:pitch w:val="default"/>
    <w:sig w:usb0="00000000" w:usb1="00000000" w:usb2="00000000" w:usb3="00000000" w:csb0="00000000" w:csb1="00000000"/>
    <w:embedRegular r:id="rId10" w:fontKey="{AC505B4B-BD72-4A9A-8FF6-BCA7C727A3DE}"/>
  </w:font>
  <w:font w:name="华文细黑">
    <w:panose1 w:val="02010600040101010101"/>
    <w:charset w:val="86"/>
    <w:family w:val="auto"/>
    <w:pitch w:val="default"/>
    <w:sig w:usb0="00000287" w:usb1="080F0000" w:usb2="00000000" w:usb3="00000000" w:csb0="0004009F" w:csb1="DFD70000"/>
    <w:embedRegular r:id="rId11" w:fontKey="{43E07916-124D-4FBA-B4F6-4A6270F572AF}"/>
  </w:font>
  <w:font w:name="方正小标宋简体">
    <w:panose1 w:val="03000509000000000000"/>
    <w:charset w:val="86"/>
    <w:family w:val="auto"/>
    <w:pitch w:val="default"/>
    <w:sig w:usb0="00000001" w:usb1="080E0000" w:usb2="00000000" w:usb3="00000000" w:csb0="00040000" w:csb1="00000000"/>
    <w:embedRegular r:id="rId12" w:fontKey="{68477F88-8F20-4E8F-9FD2-6954EF6D03F4}"/>
  </w:font>
  <w:font w:name="WPSEMBED26">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B8FDF">
    <w:pPr>
      <w:pStyle w:val="2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E32229">
                          <w:pPr>
                            <w:pStyle w:val="23"/>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3E32229">
                    <w:pPr>
                      <w:pStyle w:val="23"/>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p>
                </w:txbxContent>
              </v:textbox>
            </v:shape>
          </w:pict>
        </mc:Fallback>
      </mc:AlternateContent>
    </w:r>
  </w:p>
  <w:p w14:paraId="0297F784">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88A75">
    <w:pPr>
      <w:pStyle w:val="2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EDE0C3">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0EDE0C3">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59823">
    <w:pPr>
      <w:pStyle w:val="23"/>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FA0B6E">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pCPP/IAQAAmQMAAA4AAAAAAAAAAQAgAAAAHgEAAGRycy9lMm9Eb2Mu&#10;eG1sUEsFBgAAAAAGAAYAWQEAAFgFAAAAAA==&#10;">
              <v:fill on="f" focussize="0,0"/>
              <v:stroke on="f"/>
              <v:imagedata o:title=""/>
              <o:lock v:ext="edit" aspectratio="f"/>
              <v:textbox inset="0mm,0mm,0mm,0mm" style="mso-fit-shape-to-text:t;">
                <w:txbxContent>
                  <w:p w14:paraId="70FA0B6E">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5EEC5">
    <w:pPr>
      <w:pStyle w:val="23"/>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C7BA01">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ZaJkj8cBAACaAwAADgAAAAAAAAABACAAAAAeAQAAZHJzL2Uyb0RvYy54&#10;bWxQSwUGAAAAAAYABgBZAQAAVwUAAAAA&#10;">
              <v:fill on="f" focussize="0,0"/>
              <v:stroke on="f"/>
              <v:imagedata o:title=""/>
              <o:lock v:ext="edit" aspectratio="f"/>
              <v:textbox inset="0mm,0mm,0mm,0mm" style="mso-fit-shape-to-text:t;">
                <w:txbxContent>
                  <w:p w14:paraId="6FC7BA01">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1FD6B">
    <w:pPr>
      <w:pStyle w:val="23"/>
      <w:jc w:val="right"/>
    </w:pPr>
    <w:r>
      <w:pict>
        <v:shape id="文本框 2052" o:spid="_x0000_s4097" o:spt="202" type="#_x0000_t202" style="position:absolute;left:0pt;margin-left:392.55pt;margin-top:-2.7pt;height:19.85pt;width:144pt;mso-position-horizontal-relative:margin;mso-wrap-style:none;z-index:251664384;mso-width-relative:page;mso-height-relative:page;" filled="f" stroked="f" coordsize="21600,21600">
          <v:path/>
          <v:fill on="f" focussize="0,0"/>
          <v:stroke on="f"/>
          <v:imagedata o:title=""/>
          <o:lock v:ext="edit" aspectratio="f"/>
          <v:textbox inset="0mm,0mm,0mm,0mm">
            <w:txbxContent>
              <w:p w14:paraId="2504D094">
                <w:pPr>
                  <w:pStyle w:val="23"/>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p>
            </w:txbxContent>
          </v:textbox>
        </v:shape>
      </w:pict>
    </w:r>
    <w:r>
      <w:pict>
        <v:shape id="文本框 2049" o:spid="_x0000_s4098" o:spt="202" type="#_x0000_t202" style="position:absolute;left:0pt;margin-top:0pt;height:144pt;width:144pt;mso-position-horizontal:outside;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14:paraId="4CF77826">
                <w:pPr>
                  <w:pStyle w:val="23"/>
                  <w:rPr>
                    <w:rFonts w:hint="eastAsia"/>
                  </w:rPr>
                </w:pPr>
              </w:p>
            </w:txbxContent>
          </v:textbox>
        </v:shape>
      </w:pict>
    </w:r>
  </w:p>
  <w:p w14:paraId="156D2585">
    <w:pPr>
      <w:pStyle w:val="2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9DE64">
    <w:pPr>
      <w:pStyle w:val="23"/>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DCABB1">
                          <w:pPr>
                            <w:pStyle w:val="23"/>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44DCABB1">
                    <w:pPr>
                      <w:pStyle w:val="23"/>
                    </w:pPr>
                    <w:r>
                      <w:fldChar w:fldCharType="begin"/>
                    </w:r>
                    <w:r>
                      <w:instrText xml:space="preserve"> PAGE  \* MERGEFORMAT </w:instrText>
                    </w:r>
                    <w:r>
                      <w:fldChar w:fldCharType="separate"/>
                    </w:r>
                    <w:r>
                      <w:t>94</w:t>
                    </w:r>
                    <w:r>
                      <w:fldChar w:fldCharType="end"/>
                    </w:r>
                  </w:p>
                </w:txbxContent>
              </v:textbox>
            </v:shape>
          </w:pict>
        </mc:Fallback>
      </mc:AlternateContent>
    </w:r>
  </w:p>
  <w:p w14:paraId="22A66C00">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BA138">
    <w:pPr>
      <w:pStyle w:val="24"/>
      <w:pBdr>
        <w:bottom w:val="none" w:color="auto" w:sz="0" w:space="0"/>
      </w:pBdr>
      <w:jc w:val="right"/>
      <w:rPr>
        <w:rFonts w:hint="default" w:eastAsia="宋体"/>
        <w:lang w:val="en-US" w:eastAsia="zh-CN"/>
      </w:rPr>
    </w:pPr>
    <w:r>
      <w:rPr>
        <w:rFonts w:hint="eastAsia"/>
        <w:lang w:eastAsia="zh-CN"/>
      </w:rPr>
      <w:t>深圳第一亚太物业管理有限公司</w:t>
    </w:r>
    <w:r>
      <w:rPr>
        <w:rFonts w:hint="eastAsia"/>
        <w:lang w:val="en-US" w:eastAsia="zh-CN"/>
      </w:rPr>
      <w:t>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B9188">
    <w:pPr>
      <w:pStyle w:val="24"/>
      <w:pBdr>
        <w:bottom w:val="none" w:color="auto" w:sz="0" w:space="0"/>
      </w:pBdr>
      <w:jc w:val="right"/>
      <w:rPr>
        <w:rFonts w:hint="default" w:eastAsia="宋体"/>
        <w:lang w:val="en-US" w:eastAsia="zh-CN"/>
      </w:rPr>
    </w:pPr>
    <w:r>
      <w:rPr>
        <w:rFonts w:hint="eastAsia"/>
        <w:lang w:eastAsia="zh-CN"/>
      </w:rPr>
      <w:t>深圳第一亚太物业管理有限公司</w:t>
    </w:r>
    <w:r>
      <w:rPr>
        <w:rFonts w:hint="eastAsia"/>
        <w:lang w:val="en-US" w:eastAsia="zh-CN"/>
      </w:rPr>
      <w:t>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B2EF2">
    <w:pPr>
      <w:pStyle w:val="2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000BC">
    <w:pPr>
      <w:pStyle w:val="24"/>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D541B">
    <w:pPr>
      <w:pStyle w:val="24"/>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1F901">
    <w:pPr>
      <w:pStyle w:val="24"/>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4A20B">
    <w:pPr>
      <w:pStyle w:val="2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1AFDC"/>
    <w:multiLevelType w:val="singleLevel"/>
    <w:tmpl w:val="89D1AFDC"/>
    <w:lvl w:ilvl="0" w:tentative="0">
      <w:start w:val="1"/>
      <w:numFmt w:val="chineseCounting"/>
      <w:suff w:val="nothing"/>
      <w:lvlText w:val="%1、"/>
      <w:lvlJc w:val="left"/>
      <w:rPr>
        <w:rFonts w:hint="eastAsia"/>
      </w:rPr>
    </w:lvl>
  </w:abstractNum>
  <w:abstractNum w:abstractNumId="1">
    <w:nsid w:val="29A435CD"/>
    <w:multiLevelType w:val="multilevel"/>
    <w:tmpl w:val="29A435C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TrueTypeFonts/>
  <w:saveSubsetFonts/>
  <w:bordersDoNotSurroundHeader w:val="0"/>
  <w:bordersDoNotSurroundFooter w:val="0"/>
  <w:documentProtection w:enforcement="0"/>
  <w:defaultTabStop w:val="420"/>
  <w:hyphenationZone w:val="360"/>
  <w:drawingGridHorizontalSpacing w:val="105"/>
  <w:displayHorizontalDrawingGridEvery w:val="1"/>
  <w:displayVerticalDrawingGridEvery w:val="1"/>
  <w:doNotShadeFormData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wZTMzOTA1MmVhYTk4ZDQyZjUyNTIxZDI0YzJiOWQifQ=="/>
  </w:docVars>
  <w:rsids>
    <w:rsidRoot w:val="002B2031"/>
    <w:rsid w:val="00002492"/>
    <w:rsid w:val="00002C6C"/>
    <w:rsid w:val="000061B0"/>
    <w:rsid w:val="000106D5"/>
    <w:rsid w:val="000107F9"/>
    <w:rsid w:val="0001185C"/>
    <w:rsid w:val="000118AA"/>
    <w:rsid w:val="00011DCC"/>
    <w:rsid w:val="0001254D"/>
    <w:rsid w:val="00012725"/>
    <w:rsid w:val="00013467"/>
    <w:rsid w:val="00013606"/>
    <w:rsid w:val="000147CF"/>
    <w:rsid w:val="00015EFD"/>
    <w:rsid w:val="0001650E"/>
    <w:rsid w:val="000168C3"/>
    <w:rsid w:val="0001772D"/>
    <w:rsid w:val="00017BD7"/>
    <w:rsid w:val="00017E55"/>
    <w:rsid w:val="00017E83"/>
    <w:rsid w:val="00020EB0"/>
    <w:rsid w:val="0002138B"/>
    <w:rsid w:val="000233AF"/>
    <w:rsid w:val="000254CF"/>
    <w:rsid w:val="00026186"/>
    <w:rsid w:val="00026FC2"/>
    <w:rsid w:val="00027325"/>
    <w:rsid w:val="000273B2"/>
    <w:rsid w:val="000274D5"/>
    <w:rsid w:val="00027F85"/>
    <w:rsid w:val="00030270"/>
    <w:rsid w:val="00031EA1"/>
    <w:rsid w:val="000329B3"/>
    <w:rsid w:val="00033682"/>
    <w:rsid w:val="000345C2"/>
    <w:rsid w:val="0003500C"/>
    <w:rsid w:val="0003522C"/>
    <w:rsid w:val="0003526A"/>
    <w:rsid w:val="00035742"/>
    <w:rsid w:val="000358EC"/>
    <w:rsid w:val="00036997"/>
    <w:rsid w:val="00040DA2"/>
    <w:rsid w:val="00040F06"/>
    <w:rsid w:val="000417E9"/>
    <w:rsid w:val="00043BDA"/>
    <w:rsid w:val="00043F72"/>
    <w:rsid w:val="00044967"/>
    <w:rsid w:val="00045233"/>
    <w:rsid w:val="00045894"/>
    <w:rsid w:val="00046218"/>
    <w:rsid w:val="00047E7C"/>
    <w:rsid w:val="000523EB"/>
    <w:rsid w:val="00052582"/>
    <w:rsid w:val="00052801"/>
    <w:rsid w:val="00053AE1"/>
    <w:rsid w:val="00055D99"/>
    <w:rsid w:val="00057FB3"/>
    <w:rsid w:val="0006072F"/>
    <w:rsid w:val="00061161"/>
    <w:rsid w:val="00061687"/>
    <w:rsid w:val="000628E1"/>
    <w:rsid w:val="00062E57"/>
    <w:rsid w:val="000635D3"/>
    <w:rsid w:val="00064201"/>
    <w:rsid w:val="000645DE"/>
    <w:rsid w:val="00065CCF"/>
    <w:rsid w:val="00066C32"/>
    <w:rsid w:val="00070177"/>
    <w:rsid w:val="00070612"/>
    <w:rsid w:val="00073D93"/>
    <w:rsid w:val="0007480F"/>
    <w:rsid w:val="00075263"/>
    <w:rsid w:val="00075B43"/>
    <w:rsid w:val="000765AC"/>
    <w:rsid w:val="000766D8"/>
    <w:rsid w:val="000772EE"/>
    <w:rsid w:val="00077474"/>
    <w:rsid w:val="000804D9"/>
    <w:rsid w:val="000811A9"/>
    <w:rsid w:val="00081A12"/>
    <w:rsid w:val="00081DB0"/>
    <w:rsid w:val="00081F49"/>
    <w:rsid w:val="000853BD"/>
    <w:rsid w:val="00091693"/>
    <w:rsid w:val="00091D90"/>
    <w:rsid w:val="00093B49"/>
    <w:rsid w:val="000956C5"/>
    <w:rsid w:val="00096641"/>
    <w:rsid w:val="000A3383"/>
    <w:rsid w:val="000A4808"/>
    <w:rsid w:val="000A568E"/>
    <w:rsid w:val="000A5D1F"/>
    <w:rsid w:val="000A6155"/>
    <w:rsid w:val="000B2056"/>
    <w:rsid w:val="000B22D2"/>
    <w:rsid w:val="000B2FF1"/>
    <w:rsid w:val="000B536B"/>
    <w:rsid w:val="000B7324"/>
    <w:rsid w:val="000B7F30"/>
    <w:rsid w:val="000B7F92"/>
    <w:rsid w:val="000C1DCA"/>
    <w:rsid w:val="000C2B17"/>
    <w:rsid w:val="000C2F4D"/>
    <w:rsid w:val="000C3553"/>
    <w:rsid w:val="000C3554"/>
    <w:rsid w:val="000C38BA"/>
    <w:rsid w:val="000C4C0B"/>
    <w:rsid w:val="000C6037"/>
    <w:rsid w:val="000D1617"/>
    <w:rsid w:val="000D2928"/>
    <w:rsid w:val="000D33C6"/>
    <w:rsid w:val="000D3446"/>
    <w:rsid w:val="000D4F89"/>
    <w:rsid w:val="000D5533"/>
    <w:rsid w:val="000D64EF"/>
    <w:rsid w:val="000D79D5"/>
    <w:rsid w:val="000D7F64"/>
    <w:rsid w:val="000E168E"/>
    <w:rsid w:val="000E30D5"/>
    <w:rsid w:val="000E3C2E"/>
    <w:rsid w:val="000E3CB9"/>
    <w:rsid w:val="000E7B3E"/>
    <w:rsid w:val="000F06A4"/>
    <w:rsid w:val="000F1105"/>
    <w:rsid w:val="000F21D4"/>
    <w:rsid w:val="000F2DA6"/>
    <w:rsid w:val="000F2EA8"/>
    <w:rsid w:val="000F489A"/>
    <w:rsid w:val="000F7C92"/>
    <w:rsid w:val="00100C2C"/>
    <w:rsid w:val="00100DAD"/>
    <w:rsid w:val="00101629"/>
    <w:rsid w:val="00102265"/>
    <w:rsid w:val="001024A5"/>
    <w:rsid w:val="00102F68"/>
    <w:rsid w:val="00104329"/>
    <w:rsid w:val="00104D1D"/>
    <w:rsid w:val="001065D2"/>
    <w:rsid w:val="00107397"/>
    <w:rsid w:val="001104DE"/>
    <w:rsid w:val="00111363"/>
    <w:rsid w:val="001119B9"/>
    <w:rsid w:val="00111A4C"/>
    <w:rsid w:val="00112244"/>
    <w:rsid w:val="00114E8E"/>
    <w:rsid w:val="00114F60"/>
    <w:rsid w:val="001156A7"/>
    <w:rsid w:val="001158BA"/>
    <w:rsid w:val="001160EC"/>
    <w:rsid w:val="001166BE"/>
    <w:rsid w:val="00116B0A"/>
    <w:rsid w:val="00120BD8"/>
    <w:rsid w:val="0012455E"/>
    <w:rsid w:val="00124583"/>
    <w:rsid w:val="001245E6"/>
    <w:rsid w:val="0013231B"/>
    <w:rsid w:val="001339A5"/>
    <w:rsid w:val="00133FC4"/>
    <w:rsid w:val="0013518D"/>
    <w:rsid w:val="00136E6B"/>
    <w:rsid w:val="0014050A"/>
    <w:rsid w:val="00142348"/>
    <w:rsid w:val="001451D1"/>
    <w:rsid w:val="001459C9"/>
    <w:rsid w:val="00145B58"/>
    <w:rsid w:val="00145CDD"/>
    <w:rsid w:val="00146A3D"/>
    <w:rsid w:val="00146DA7"/>
    <w:rsid w:val="0014744E"/>
    <w:rsid w:val="00150554"/>
    <w:rsid w:val="00150779"/>
    <w:rsid w:val="001508B2"/>
    <w:rsid w:val="001516CC"/>
    <w:rsid w:val="00152E41"/>
    <w:rsid w:val="00152FEB"/>
    <w:rsid w:val="00153BAB"/>
    <w:rsid w:val="00154F28"/>
    <w:rsid w:val="00155A90"/>
    <w:rsid w:val="00155DDD"/>
    <w:rsid w:val="00156655"/>
    <w:rsid w:val="001577E7"/>
    <w:rsid w:val="00157F3B"/>
    <w:rsid w:val="00160800"/>
    <w:rsid w:val="001630B6"/>
    <w:rsid w:val="001633E4"/>
    <w:rsid w:val="001635A5"/>
    <w:rsid w:val="00163CD9"/>
    <w:rsid w:val="001647F2"/>
    <w:rsid w:val="00164DAB"/>
    <w:rsid w:val="001657D9"/>
    <w:rsid w:val="0016584B"/>
    <w:rsid w:val="0016587B"/>
    <w:rsid w:val="0016599B"/>
    <w:rsid w:val="00165EC2"/>
    <w:rsid w:val="00166647"/>
    <w:rsid w:val="00167785"/>
    <w:rsid w:val="001677B0"/>
    <w:rsid w:val="0017030B"/>
    <w:rsid w:val="00171909"/>
    <w:rsid w:val="001719E7"/>
    <w:rsid w:val="00174B16"/>
    <w:rsid w:val="00176453"/>
    <w:rsid w:val="00176D91"/>
    <w:rsid w:val="00180C6B"/>
    <w:rsid w:val="00181087"/>
    <w:rsid w:val="00181FD9"/>
    <w:rsid w:val="0018221C"/>
    <w:rsid w:val="00182B6F"/>
    <w:rsid w:val="00184981"/>
    <w:rsid w:val="00185DD2"/>
    <w:rsid w:val="00186618"/>
    <w:rsid w:val="00186A69"/>
    <w:rsid w:val="00192B21"/>
    <w:rsid w:val="00193A04"/>
    <w:rsid w:val="0019424C"/>
    <w:rsid w:val="0019431D"/>
    <w:rsid w:val="00195010"/>
    <w:rsid w:val="00196A8B"/>
    <w:rsid w:val="001A0DA0"/>
    <w:rsid w:val="001A47C4"/>
    <w:rsid w:val="001A4F86"/>
    <w:rsid w:val="001A5D2B"/>
    <w:rsid w:val="001A626F"/>
    <w:rsid w:val="001A78B4"/>
    <w:rsid w:val="001B25CB"/>
    <w:rsid w:val="001B26EA"/>
    <w:rsid w:val="001B2A1B"/>
    <w:rsid w:val="001B3624"/>
    <w:rsid w:val="001B3A13"/>
    <w:rsid w:val="001B3A68"/>
    <w:rsid w:val="001B4910"/>
    <w:rsid w:val="001B4BD9"/>
    <w:rsid w:val="001B58B9"/>
    <w:rsid w:val="001B5963"/>
    <w:rsid w:val="001B6D39"/>
    <w:rsid w:val="001C006F"/>
    <w:rsid w:val="001C07CA"/>
    <w:rsid w:val="001C30E2"/>
    <w:rsid w:val="001C4F55"/>
    <w:rsid w:val="001C59E1"/>
    <w:rsid w:val="001C5AAF"/>
    <w:rsid w:val="001C60F4"/>
    <w:rsid w:val="001C7861"/>
    <w:rsid w:val="001D0171"/>
    <w:rsid w:val="001D03BA"/>
    <w:rsid w:val="001D0436"/>
    <w:rsid w:val="001D1583"/>
    <w:rsid w:val="001D3433"/>
    <w:rsid w:val="001D5C0A"/>
    <w:rsid w:val="001D5E48"/>
    <w:rsid w:val="001D64E9"/>
    <w:rsid w:val="001D6B7F"/>
    <w:rsid w:val="001E09C5"/>
    <w:rsid w:val="001E38D8"/>
    <w:rsid w:val="001E4DA5"/>
    <w:rsid w:val="001E6629"/>
    <w:rsid w:val="001E67DC"/>
    <w:rsid w:val="001E786D"/>
    <w:rsid w:val="001E7DB4"/>
    <w:rsid w:val="001E7F8E"/>
    <w:rsid w:val="001F1C11"/>
    <w:rsid w:val="001F2FF5"/>
    <w:rsid w:val="001F485A"/>
    <w:rsid w:val="002002BE"/>
    <w:rsid w:val="002016BE"/>
    <w:rsid w:val="00202736"/>
    <w:rsid w:val="00203D46"/>
    <w:rsid w:val="0020402F"/>
    <w:rsid w:val="00206F32"/>
    <w:rsid w:val="00207ADE"/>
    <w:rsid w:val="00207EFC"/>
    <w:rsid w:val="002111B7"/>
    <w:rsid w:val="00211CD2"/>
    <w:rsid w:val="002125C7"/>
    <w:rsid w:val="00214191"/>
    <w:rsid w:val="00214768"/>
    <w:rsid w:val="00214AC0"/>
    <w:rsid w:val="00215A21"/>
    <w:rsid w:val="00216281"/>
    <w:rsid w:val="00216B9A"/>
    <w:rsid w:val="00216BA4"/>
    <w:rsid w:val="00216F2D"/>
    <w:rsid w:val="00222AC7"/>
    <w:rsid w:val="00224863"/>
    <w:rsid w:val="00225817"/>
    <w:rsid w:val="00225987"/>
    <w:rsid w:val="00225D35"/>
    <w:rsid w:val="00226550"/>
    <w:rsid w:val="00227D13"/>
    <w:rsid w:val="0023014D"/>
    <w:rsid w:val="002301F7"/>
    <w:rsid w:val="0023135D"/>
    <w:rsid w:val="002328AF"/>
    <w:rsid w:val="00232AF4"/>
    <w:rsid w:val="002337DE"/>
    <w:rsid w:val="00234E6D"/>
    <w:rsid w:val="00235A7F"/>
    <w:rsid w:val="0023728C"/>
    <w:rsid w:val="002411E8"/>
    <w:rsid w:val="00242224"/>
    <w:rsid w:val="00243150"/>
    <w:rsid w:val="00243FB6"/>
    <w:rsid w:val="0024427D"/>
    <w:rsid w:val="00244B93"/>
    <w:rsid w:val="00245923"/>
    <w:rsid w:val="00245A7B"/>
    <w:rsid w:val="00246C24"/>
    <w:rsid w:val="002475E5"/>
    <w:rsid w:val="00247A9C"/>
    <w:rsid w:val="00250BBA"/>
    <w:rsid w:val="00251B98"/>
    <w:rsid w:val="00252141"/>
    <w:rsid w:val="002522E4"/>
    <w:rsid w:val="0025391A"/>
    <w:rsid w:val="00253D0B"/>
    <w:rsid w:val="00254C27"/>
    <w:rsid w:val="00254C64"/>
    <w:rsid w:val="002558CA"/>
    <w:rsid w:val="00255BBB"/>
    <w:rsid w:val="00255C4C"/>
    <w:rsid w:val="0025736B"/>
    <w:rsid w:val="002578D2"/>
    <w:rsid w:val="00262857"/>
    <w:rsid w:val="002632B2"/>
    <w:rsid w:val="0026404B"/>
    <w:rsid w:val="0026422A"/>
    <w:rsid w:val="00265038"/>
    <w:rsid w:val="002669C6"/>
    <w:rsid w:val="00266E44"/>
    <w:rsid w:val="0026791B"/>
    <w:rsid w:val="00270137"/>
    <w:rsid w:val="00270DF2"/>
    <w:rsid w:val="002724F9"/>
    <w:rsid w:val="0027375E"/>
    <w:rsid w:val="002737C5"/>
    <w:rsid w:val="00273C13"/>
    <w:rsid w:val="00274C9E"/>
    <w:rsid w:val="002753FB"/>
    <w:rsid w:val="00275DA7"/>
    <w:rsid w:val="002763D7"/>
    <w:rsid w:val="00276658"/>
    <w:rsid w:val="00276D29"/>
    <w:rsid w:val="00281EF9"/>
    <w:rsid w:val="00281FC8"/>
    <w:rsid w:val="0028236B"/>
    <w:rsid w:val="002826C7"/>
    <w:rsid w:val="002828D5"/>
    <w:rsid w:val="0028349A"/>
    <w:rsid w:val="00283772"/>
    <w:rsid w:val="00283BBA"/>
    <w:rsid w:val="002841E1"/>
    <w:rsid w:val="00284704"/>
    <w:rsid w:val="0028544F"/>
    <w:rsid w:val="002857A1"/>
    <w:rsid w:val="00285FD4"/>
    <w:rsid w:val="002868F9"/>
    <w:rsid w:val="00287B93"/>
    <w:rsid w:val="00290C9A"/>
    <w:rsid w:val="00291DCE"/>
    <w:rsid w:val="00291E28"/>
    <w:rsid w:val="00293B27"/>
    <w:rsid w:val="00295012"/>
    <w:rsid w:val="00295B49"/>
    <w:rsid w:val="00295FB1"/>
    <w:rsid w:val="00296850"/>
    <w:rsid w:val="00297BD8"/>
    <w:rsid w:val="00297CFF"/>
    <w:rsid w:val="00297E22"/>
    <w:rsid w:val="002A0207"/>
    <w:rsid w:val="002A09CD"/>
    <w:rsid w:val="002A2EF0"/>
    <w:rsid w:val="002A32E2"/>
    <w:rsid w:val="002A4A92"/>
    <w:rsid w:val="002A4AC7"/>
    <w:rsid w:val="002A70DD"/>
    <w:rsid w:val="002A75BA"/>
    <w:rsid w:val="002A766F"/>
    <w:rsid w:val="002A7936"/>
    <w:rsid w:val="002A7D2B"/>
    <w:rsid w:val="002B1B44"/>
    <w:rsid w:val="002B1DFB"/>
    <w:rsid w:val="002B2031"/>
    <w:rsid w:val="002B311D"/>
    <w:rsid w:val="002B34F8"/>
    <w:rsid w:val="002B441C"/>
    <w:rsid w:val="002B5710"/>
    <w:rsid w:val="002B5D65"/>
    <w:rsid w:val="002B772A"/>
    <w:rsid w:val="002B7E5E"/>
    <w:rsid w:val="002C00EA"/>
    <w:rsid w:val="002C109B"/>
    <w:rsid w:val="002C1B6A"/>
    <w:rsid w:val="002C49B4"/>
    <w:rsid w:val="002C4CA2"/>
    <w:rsid w:val="002C6D9D"/>
    <w:rsid w:val="002D056A"/>
    <w:rsid w:val="002D2304"/>
    <w:rsid w:val="002D2BAC"/>
    <w:rsid w:val="002D36A3"/>
    <w:rsid w:val="002D36B0"/>
    <w:rsid w:val="002D43AB"/>
    <w:rsid w:val="002D4BF0"/>
    <w:rsid w:val="002D4D5C"/>
    <w:rsid w:val="002D5868"/>
    <w:rsid w:val="002D7947"/>
    <w:rsid w:val="002D7AB5"/>
    <w:rsid w:val="002D7DB8"/>
    <w:rsid w:val="002E11DD"/>
    <w:rsid w:val="002E1795"/>
    <w:rsid w:val="002E1C51"/>
    <w:rsid w:val="002E44B7"/>
    <w:rsid w:val="002E4990"/>
    <w:rsid w:val="002E5C82"/>
    <w:rsid w:val="002E6782"/>
    <w:rsid w:val="002E6A72"/>
    <w:rsid w:val="002F0364"/>
    <w:rsid w:val="002F06B4"/>
    <w:rsid w:val="002F0D56"/>
    <w:rsid w:val="002F18F9"/>
    <w:rsid w:val="002F1A0A"/>
    <w:rsid w:val="002F25AE"/>
    <w:rsid w:val="002F2682"/>
    <w:rsid w:val="002F2CDF"/>
    <w:rsid w:val="002F3382"/>
    <w:rsid w:val="002F3A73"/>
    <w:rsid w:val="002F4044"/>
    <w:rsid w:val="002F4B1F"/>
    <w:rsid w:val="002F4EEC"/>
    <w:rsid w:val="002F565A"/>
    <w:rsid w:val="003007F7"/>
    <w:rsid w:val="00301225"/>
    <w:rsid w:val="00301E6B"/>
    <w:rsid w:val="00302187"/>
    <w:rsid w:val="00302B86"/>
    <w:rsid w:val="00302BBC"/>
    <w:rsid w:val="003034FD"/>
    <w:rsid w:val="00305226"/>
    <w:rsid w:val="003063C8"/>
    <w:rsid w:val="00307068"/>
    <w:rsid w:val="00307911"/>
    <w:rsid w:val="00307DC0"/>
    <w:rsid w:val="00310FF5"/>
    <w:rsid w:val="0031113A"/>
    <w:rsid w:val="00311AFC"/>
    <w:rsid w:val="003123B3"/>
    <w:rsid w:val="00312872"/>
    <w:rsid w:val="003135B2"/>
    <w:rsid w:val="00313932"/>
    <w:rsid w:val="00314247"/>
    <w:rsid w:val="003154CE"/>
    <w:rsid w:val="00315917"/>
    <w:rsid w:val="003174DF"/>
    <w:rsid w:val="003175E5"/>
    <w:rsid w:val="00317CC6"/>
    <w:rsid w:val="003201CE"/>
    <w:rsid w:val="00320612"/>
    <w:rsid w:val="00321126"/>
    <w:rsid w:val="00321458"/>
    <w:rsid w:val="003229D4"/>
    <w:rsid w:val="00323459"/>
    <w:rsid w:val="00323EAE"/>
    <w:rsid w:val="00324B85"/>
    <w:rsid w:val="00325443"/>
    <w:rsid w:val="003255BE"/>
    <w:rsid w:val="00330548"/>
    <w:rsid w:val="003316F0"/>
    <w:rsid w:val="003326AC"/>
    <w:rsid w:val="00332DD0"/>
    <w:rsid w:val="0033411C"/>
    <w:rsid w:val="00334A8A"/>
    <w:rsid w:val="00335A36"/>
    <w:rsid w:val="00335AA2"/>
    <w:rsid w:val="00335EE2"/>
    <w:rsid w:val="00336019"/>
    <w:rsid w:val="003416E8"/>
    <w:rsid w:val="00342296"/>
    <w:rsid w:val="00343B9C"/>
    <w:rsid w:val="0034410A"/>
    <w:rsid w:val="003453A2"/>
    <w:rsid w:val="0034562D"/>
    <w:rsid w:val="00350E44"/>
    <w:rsid w:val="0035130E"/>
    <w:rsid w:val="0035427F"/>
    <w:rsid w:val="003562F4"/>
    <w:rsid w:val="00356F34"/>
    <w:rsid w:val="003577E1"/>
    <w:rsid w:val="00361787"/>
    <w:rsid w:val="00361840"/>
    <w:rsid w:val="00361B73"/>
    <w:rsid w:val="0036212A"/>
    <w:rsid w:val="00363FA8"/>
    <w:rsid w:val="00363FDE"/>
    <w:rsid w:val="00364BE1"/>
    <w:rsid w:val="00364CBF"/>
    <w:rsid w:val="00366824"/>
    <w:rsid w:val="003669DA"/>
    <w:rsid w:val="0036723E"/>
    <w:rsid w:val="00367346"/>
    <w:rsid w:val="003675F0"/>
    <w:rsid w:val="00367F4F"/>
    <w:rsid w:val="00370704"/>
    <w:rsid w:val="0037150B"/>
    <w:rsid w:val="00371865"/>
    <w:rsid w:val="0037200D"/>
    <w:rsid w:val="00372C43"/>
    <w:rsid w:val="00373117"/>
    <w:rsid w:val="003731FD"/>
    <w:rsid w:val="00373E08"/>
    <w:rsid w:val="00374B6F"/>
    <w:rsid w:val="00375D11"/>
    <w:rsid w:val="00375E9E"/>
    <w:rsid w:val="00376F1E"/>
    <w:rsid w:val="0038047E"/>
    <w:rsid w:val="00380493"/>
    <w:rsid w:val="003811C0"/>
    <w:rsid w:val="00381960"/>
    <w:rsid w:val="00382815"/>
    <w:rsid w:val="00382DA5"/>
    <w:rsid w:val="003847DE"/>
    <w:rsid w:val="003851AC"/>
    <w:rsid w:val="00385461"/>
    <w:rsid w:val="00390CD9"/>
    <w:rsid w:val="00391880"/>
    <w:rsid w:val="003919A2"/>
    <w:rsid w:val="003920D1"/>
    <w:rsid w:val="00394823"/>
    <w:rsid w:val="00394AC5"/>
    <w:rsid w:val="003A1877"/>
    <w:rsid w:val="003A1B86"/>
    <w:rsid w:val="003A2A8A"/>
    <w:rsid w:val="003A39E5"/>
    <w:rsid w:val="003A6C1B"/>
    <w:rsid w:val="003A74D3"/>
    <w:rsid w:val="003A7F55"/>
    <w:rsid w:val="003B367E"/>
    <w:rsid w:val="003B3B9D"/>
    <w:rsid w:val="003B5110"/>
    <w:rsid w:val="003B53CF"/>
    <w:rsid w:val="003B5A89"/>
    <w:rsid w:val="003B6C84"/>
    <w:rsid w:val="003B71F6"/>
    <w:rsid w:val="003C1213"/>
    <w:rsid w:val="003C2650"/>
    <w:rsid w:val="003C2A23"/>
    <w:rsid w:val="003C5995"/>
    <w:rsid w:val="003C629B"/>
    <w:rsid w:val="003C6865"/>
    <w:rsid w:val="003C6EDD"/>
    <w:rsid w:val="003D0A27"/>
    <w:rsid w:val="003D0B83"/>
    <w:rsid w:val="003D3167"/>
    <w:rsid w:val="003D4DFA"/>
    <w:rsid w:val="003D73FC"/>
    <w:rsid w:val="003D7B49"/>
    <w:rsid w:val="003D7F59"/>
    <w:rsid w:val="003D7F99"/>
    <w:rsid w:val="003E033A"/>
    <w:rsid w:val="003E04D5"/>
    <w:rsid w:val="003E3B7D"/>
    <w:rsid w:val="003E3FD3"/>
    <w:rsid w:val="003E4884"/>
    <w:rsid w:val="003E4A35"/>
    <w:rsid w:val="003E5015"/>
    <w:rsid w:val="003E6DB3"/>
    <w:rsid w:val="003F06A9"/>
    <w:rsid w:val="003F0BB0"/>
    <w:rsid w:val="003F2093"/>
    <w:rsid w:val="003F46FB"/>
    <w:rsid w:val="003F539A"/>
    <w:rsid w:val="003F5E00"/>
    <w:rsid w:val="003F744B"/>
    <w:rsid w:val="0040001F"/>
    <w:rsid w:val="0040029C"/>
    <w:rsid w:val="00402718"/>
    <w:rsid w:val="004030A8"/>
    <w:rsid w:val="004038D6"/>
    <w:rsid w:val="00403BFE"/>
    <w:rsid w:val="00403C03"/>
    <w:rsid w:val="00404048"/>
    <w:rsid w:val="00404174"/>
    <w:rsid w:val="004041C4"/>
    <w:rsid w:val="004046B7"/>
    <w:rsid w:val="00404F70"/>
    <w:rsid w:val="004053A7"/>
    <w:rsid w:val="00406620"/>
    <w:rsid w:val="00407387"/>
    <w:rsid w:val="00412485"/>
    <w:rsid w:val="00413E3A"/>
    <w:rsid w:val="0041472D"/>
    <w:rsid w:val="00414A7F"/>
    <w:rsid w:val="0041582A"/>
    <w:rsid w:val="00416824"/>
    <w:rsid w:val="00417A27"/>
    <w:rsid w:val="00420247"/>
    <w:rsid w:val="00420DC7"/>
    <w:rsid w:val="004214B0"/>
    <w:rsid w:val="004225DA"/>
    <w:rsid w:val="00422907"/>
    <w:rsid w:val="004242FA"/>
    <w:rsid w:val="00424512"/>
    <w:rsid w:val="00425226"/>
    <w:rsid w:val="0042537F"/>
    <w:rsid w:val="00425A90"/>
    <w:rsid w:val="00426374"/>
    <w:rsid w:val="00427DAF"/>
    <w:rsid w:val="0043017D"/>
    <w:rsid w:val="004315D4"/>
    <w:rsid w:val="0043191E"/>
    <w:rsid w:val="00431E96"/>
    <w:rsid w:val="00432632"/>
    <w:rsid w:val="004329A9"/>
    <w:rsid w:val="00434A47"/>
    <w:rsid w:val="004359BE"/>
    <w:rsid w:val="00436363"/>
    <w:rsid w:val="00436927"/>
    <w:rsid w:val="00436971"/>
    <w:rsid w:val="00436A33"/>
    <w:rsid w:val="004402A2"/>
    <w:rsid w:val="00442D3E"/>
    <w:rsid w:val="00443753"/>
    <w:rsid w:val="00443CFE"/>
    <w:rsid w:val="00445107"/>
    <w:rsid w:val="00446BEB"/>
    <w:rsid w:val="00447F11"/>
    <w:rsid w:val="004505E8"/>
    <w:rsid w:val="00450804"/>
    <w:rsid w:val="00450A67"/>
    <w:rsid w:val="00451158"/>
    <w:rsid w:val="00451C02"/>
    <w:rsid w:val="00452817"/>
    <w:rsid w:val="00453268"/>
    <w:rsid w:val="00456E40"/>
    <w:rsid w:val="00456F12"/>
    <w:rsid w:val="004604D8"/>
    <w:rsid w:val="004607ED"/>
    <w:rsid w:val="00460997"/>
    <w:rsid w:val="004610D9"/>
    <w:rsid w:val="00461CEE"/>
    <w:rsid w:val="00462EFE"/>
    <w:rsid w:val="00463BB4"/>
    <w:rsid w:val="00463CDD"/>
    <w:rsid w:val="004669AD"/>
    <w:rsid w:val="00470325"/>
    <w:rsid w:val="00470493"/>
    <w:rsid w:val="00470D8E"/>
    <w:rsid w:val="00470F05"/>
    <w:rsid w:val="00475F45"/>
    <w:rsid w:val="0047791E"/>
    <w:rsid w:val="00480186"/>
    <w:rsid w:val="00480398"/>
    <w:rsid w:val="004806FD"/>
    <w:rsid w:val="00481336"/>
    <w:rsid w:val="00481434"/>
    <w:rsid w:val="00482BAC"/>
    <w:rsid w:val="00482E02"/>
    <w:rsid w:val="00483933"/>
    <w:rsid w:val="004839EC"/>
    <w:rsid w:val="004859DF"/>
    <w:rsid w:val="00485E7F"/>
    <w:rsid w:val="00486F5B"/>
    <w:rsid w:val="004873AE"/>
    <w:rsid w:val="00487C46"/>
    <w:rsid w:val="00494025"/>
    <w:rsid w:val="0049413D"/>
    <w:rsid w:val="00494E8D"/>
    <w:rsid w:val="00494F8E"/>
    <w:rsid w:val="004959B3"/>
    <w:rsid w:val="00496B10"/>
    <w:rsid w:val="0049750E"/>
    <w:rsid w:val="004A0249"/>
    <w:rsid w:val="004A29B4"/>
    <w:rsid w:val="004A2A54"/>
    <w:rsid w:val="004A40F2"/>
    <w:rsid w:val="004A478E"/>
    <w:rsid w:val="004A4AE2"/>
    <w:rsid w:val="004A57AE"/>
    <w:rsid w:val="004A59C1"/>
    <w:rsid w:val="004A5B16"/>
    <w:rsid w:val="004A7882"/>
    <w:rsid w:val="004A7C0D"/>
    <w:rsid w:val="004B043E"/>
    <w:rsid w:val="004B3284"/>
    <w:rsid w:val="004B6FE0"/>
    <w:rsid w:val="004B7092"/>
    <w:rsid w:val="004C0F42"/>
    <w:rsid w:val="004C3810"/>
    <w:rsid w:val="004C39F9"/>
    <w:rsid w:val="004C3F9F"/>
    <w:rsid w:val="004C52D6"/>
    <w:rsid w:val="004C6C1B"/>
    <w:rsid w:val="004C77BD"/>
    <w:rsid w:val="004D0151"/>
    <w:rsid w:val="004D09F0"/>
    <w:rsid w:val="004D1DF9"/>
    <w:rsid w:val="004D29B7"/>
    <w:rsid w:val="004D4F9F"/>
    <w:rsid w:val="004D537A"/>
    <w:rsid w:val="004D5732"/>
    <w:rsid w:val="004D5877"/>
    <w:rsid w:val="004D6907"/>
    <w:rsid w:val="004E0C9D"/>
    <w:rsid w:val="004E2C19"/>
    <w:rsid w:val="004E3E72"/>
    <w:rsid w:val="004E4075"/>
    <w:rsid w:val="004E4948"/>
    <w:rsid w:val="004E5667"/>
    <w:rsid w:val="004E5D5F"/>
    <w:rsid w:val="004E67CC"/>
    <w:rsid w:val="004E747D"/>
    <w:rsid w:val="004E7865"/>
    <w:rsid w:val="004F01C3"/>
    <w:rsid w:val="004F0341"/>
    <w:rsid w:val="004F1271"/>
    <w:rsid w:val="004F259A"/>
    <w:rsid w:val="004F306F"/>
    <w:rsid w:val="004F349D"/>
    <w:rsid w:val="004F56C5"/>
    <w:rsid w:val="004F581E"/>
    <w:rsid w:val="004F58C8"/>
    <w:rsid w:val="004F655D"/>
    <w:rsid w:val="004F73E2"/>
    <w:rsid w:val="004F7CA1"/>
    <w:rsid w:val="00501E79"/>
    <w:rsid w:val="0050219A"/>
    <w:rsid w:val="0050225C"/>
    <w:rsid w:val="005026B7"/>
    <w:rsid w:val="005026F6"/>
    <w:rsid w:val="00502E5F"/>
    <w:rsid w:val="00507257"/>
    <w:rsid w:val="00507444"/>
    <w:rsid w:val="005106BA"/>
    <w:rsid w:val="0051090C"/>
    <w:rsid w:val="005120F4"/>
    <w:rsid w:val="00513085"/>
    <w:rsid w:val="005142EB"/>
    <w:rsid w:val="005148B0"/>
    <w:rsid w:val="005158B4"/>
    <w:rsid w:val="0051646E"/>
    <w:rsid w:val="00522324"/>
    <w:rsid w:val="005232B6"/>
    <w:rsid w:val="005250C2"/>
    <w:rsid w:val="00525691"/>
    <w:rsid w:val="005261BE"/>
    <w:rsid w:val="005269B2"/>
    <w:rsid w:val="00530182"/>
    <w:rsid w:val="005325FD"/>
    <w:rsid w:val="00532B5A"/>
    <w:rsid w:val="005330D9"/>
    <w:rsid w:val="00534BBE"/>
    <w:rsid w:val="00535C63"/>
    <w:rsid w:val="00537345"/>
    <w:rsid w:val="005379EC"/>
    <w:rsid w:val="0054006A"/>
    <w:rsid w:val="00540449"/>
    <w:rsid w:val="00540C95"/>
    <w:rsid w:val="00540E46"/>
    <w:rsid w:val="00540FFC"/>
    <w:rsid w:val="00544AA8"/>
    <w:rsid w:val="005467D7"/>
    <w:rsid w:val="005469EF"/>
    <w:rsid w:val="005502D4"/>
    <w:rsid w:val="00551DAF"/>
    <w:rsid w:val="00551F26"/>
    <w:rsid w:val="00552DB1"/>
    <w:rsid w:val="00553481"/>
    <w:rsid w:val="00553BA7"/>
    <w:rsid w:val="00553E98"/>
    <w:rsid w:val="005543E4"/>
    <w:rsid w:val="00554B1B"/>
    <w:rsid w:val="00554C5B"/>
    <w:rsid w:val="00555399"/>
    <w:rsid w:val="00555D89"/>
    <w:rsid w:val="0055610D"/>
    <w:rsid w:val="00556B01"/>
    <w:rsid w:val="00556EE8"/>
    <w:rsid w:val="00556FF2"/>
    <w:rsid w:val="0055747A"/>
    <w:rsid w:val="005577FF"/>
    <w:rsid w:val="005606EF"/>
    <w:rsid w:val="00562FE3"/>
    <w:rsid w:val="00563672"/>
    <w:rsid w:val="005648C7"/>
    <w:rsid w:val="005650BB"/>
    <w:rsid w:val="00565655"/>
    <w:rsid w:val="0056678D"/>
    <w:rsid w:val="005669BE"/>
    <w:rsid w:val="005707B0"/>
    <w:rsid w:val="00570A9D"/>
    <w:rsid w:val="005716D9"/>
    <w:rsid w:val="005720E4"/>
    <w:rsid w:val="00572EC3"/>
    <w:rsid w:val="00573C53"/>
    <w:rsid w:val="005744BE"/>
    <w:rsid w:val="005750B0"/>
    <w:rsid w:val="00575165"/>
    <w:rsid w:val="00576C1A"/>
    <w:rsid w:val="00576FA3"/>
    <w:rsid w:val="00577106"/>
    <w:rsid w:val="00577A03"/>
    <w:rsid w:val="005802B9"/>
    <w:rsid w:val="00581650"/>
    <w:rsid w:val="00581915"/>
    <w:rsid w:val="00581EC8"/>
    <w:rsid w:val="00582563"/>
    <w:rsid w:val="00582D08"/>
    <w:rsid w:val="00583284"/>
    <w:rsid w:val="00583560"/>
    <w:rsid w:val="005835A1"/>
    <w:rsid w:val="00585244"/>
    <w:rsid w:val="00587736"/>
    <w:rsid w:val="00587F4A"/>
    <w:rsid w:val="00590AD1"/>
    <w:rsid w:val="00590EA7"/>
    <w:rsid w:val="005914EB"/>
    <w:rsid w:val="005919AC"/>
    <w:rsid w:val="00591DB6"/>
    <w:rsid w:val="005924CE"/>
    <w:rsid w:val="00593781"/>
    <w:rsid w:val="00593A38"/>
    <w:rsid w:val="00593E0B"/>
    <w:rsid w:val="00593E47"/>
    <w:rsid w:val="00594621"/>
    <w:rsid w:val="0059530F"/>
    <w:rsid w:val="0059611A"/>
    <w:rsid w:val="00596869"/>
    <w:rsid w:val="005A0EE5"/>
    <w:rsid w:val="005A12C3"/>
    <w:rsid w:val="005A2022"/>
    <w:rsid w:val="005A4064"/>
    <w:rsid w:val="005A5A5D"/>
    <w:rsid w:val="005A6242"/>
    <w:rsid w:val="005A6E27"/>
    <w:rsid w:val="005B167C"/>
    <w:rsid w:val="005B1BB5"/>
    <w:rsid w:val="005B3FAF"/>
    <w:rsid w:val="005B48D4"/>
    <w:rsid w:val="005B4BCD"/>
    <w:rsid w:val="005B5684"/>
    <w:rsid w:val="005B5AEC"/>
    <w:rsid w:val="005B5E58"/>
    <w:rsid w:val="005B61BF"/>
    <w:rsid w:val="005B6411"/>
    <w:rsid w:val="005B6B43"/>
    <w:rsid w:val="005C0B61"/>
    <w:rsid w:val="005C0F0D"/>
    <w:rsid w:val="005C125F"/>
    <w:rsid w:val="005C18D9"/>
    <w:rsid w:val="005C323F"/>
    <w:rsid w:val="005C3479"/>
    <w:rsid w:val="005C38EA"/>
    <w:rsid w:val="005C560E"/>
    <w:rsid w:val="005C6393"/>
    <w:rsid w:val="005D1F32"/>
    <w:rsid w:val="005D1F89"/>
    <w:rsid w:val="005D562E"/>
    <w:rsid w:val="005D6E28"/>
    <w:rsid w:val="005D6F6B"/>
    <w:rsid w:val="005D74B6"/>
    <w:rsid w:val="005D75F3"/>
    <w:rsid w:val="005D7DFE"/>
    <w:rsid w:val="005E0E03"/>
    <w:rsid w:val="005E3E20"/>
    <w:rsid w:val="005E62FC"/>
    <w:rsid w:val="005E6826"/>
    <w:rsid w:val="005E71D8"/>
    <w:rsid w:val="005E7987"/>
    <w:rsid w:val="005F042B"/>
    <w:rsid w:val="005F0D5E"/>
    <w:rsid w:val="005F1055"/>
    <w:rsid w:val="005F26A3"/>
    <w:rsid w:val="005F29D6"/>
    <w:rsid w:val="005F2A88"/>
    <w:rsid w:val="005F304A"/>
    <w:rsid w:val="005F30FC"/>
    <w:rsid w:val="005F4E8E"/>
    <w:rsid w:val="005F5755"/>
    <w:rsid w:val="005F7B6B"/>
    <w:rsid w:val="00600492"/>
    <w:rsid w:val="00600AC8"/>
    <w:rsid w:val="00601363"/>
    <w:rsid w:val="006020D6"/>
    <w:rsid w:val="00602D17"/>
    <w:rsid w:val="00604835"/>
    <w:rsid w:val="0060522F"/>
    <w:rsid w:val="00607740"/>
    <w:rsid w:val="00607FD1"/>
    <w:rsid w:val="00610226"/>
    <w:rsid w:val="00610495"/>
    <w:rsid w:val="006115C1"/>
    <w:rsid w:val="00613B17"/>
    <w:rsid w:val="00615BA9"/>
    <w:rsid w:val="00615D37"/>
    <w:rsid w:val="00617735"/>
    <w:rsid w:val="00617C7D"/>
    <w:rsid w:val="00620444"/>
    <w:rsid w:val="00622576"/>
    <w:rsid w:val="00624AA4"/>
    <w:rsid w:val="006275AF"/>
    <w:rsid w:val="00630781"/>
    <w:rsid w:val="00630DB0"/>
    <w:rsid w:val="00631C12"/>
    <w:rsid w:val="0063271E"/>
    <w:rsid w:val="00632E8F"/>
    <w:rsid w:val="00632F4D"/>
    <w:rsid w:val="00633C1F"/>
    <w:rsid w:val="00633E4B"/>
    <w:rsid w:val="00634763"/>
    <w:rsid w:val="00634F99"/>
    <w:rsid w:val="00637385"/>
    <w:rsid w:val="00637A15"/>
    <w:rsid w:val="00640511"/>
    <w:rsid w:val="00640B09"/>
    <w:rsid w:val="00641195"/>
    <w:rsid w:val="00641396"/>
    <w:rsid w:val="0064180C"/>
    <w:rsid w:val="006445FA"/>
    <w:rsid w:val="0064579C"/>
    <w:rsid w:val="00645FEF"/>
    <w:rsid w:val="0064656C"/>
    <w:rsid w:val="0064675B"/>
    <w:rsid w:val="0064767F"/>
    <w:rsid w:val="00650D4C"/>
    <w:rsid w:val="00652D06"/>
    <w:rsid w:val="006538F6"/>
    <w:rsid w:val="00654157"/>
    <w:rsid w:val="00655275"/>
    <w:rsid w:val="006607B9"/>
    <w:rsid w:val="00661766"/>
    <w:rsid w:val="00662313"/>
    <w:rsid w:val="006625E1"/>
    <w:rsid w:val="00663070"/>
    <w:rsid w:val="00663C41"/>
    <w:rsid w:val="00663CDD"/>
    <w:rsid w:val="006645DC"/>
    <w:rsid w:val="00664EC1"/>
    <w:rsid w:val="006650F9"/>
    <w:rsid w:val="006664E8"/>
    <w:rsid w:val="00666906"/>
    <w:rsid w:val="0066692D"/>
    <w:rsid w:val="0066770F"/>
    <w:rsid w:val="00670685"/>
    <w:rsid w:val="00670739"/>
    <w:rsid w:val="00671543"/>
    <w:rsid w:val="00671F4E"/>
    <w:rsid w:val="0067248C"/>
    <w:rsid w:val="0067275D"/>
    <w:rsid w:val="00673856"/>
    <w:rsid w:val="00675A8A"/>
    <w:rsid w:val="006762BB"/>
    <w:rsid w:val="00677A56"/>
    <w:rsid w:val="0068026D"/>
    <w:rsid w:val="00680CB5"/>
    <w:rsid w:val="00681353"/>
    <w:rsid w:val="0068577D"/>
    <w:rsid w:val="0068652D"/>
    <w:rsid w:val="00686831"/>
    <w:rsid w:val="006909AA"/>
    <w:rsid w:val="006911AC"/>
    <w:rsid w:val="006911BA"/>
    <w:rsid w:val="00691505"/>
    <w:rsid w:val="00693819"/>
    <w:rsid w:val="00693989"/>
    <w:rsid w:val="00695B41"/>
    <w:rsid w:val="006967FB"/>
    <w:rsid w:val="006975F1"/>
    <w:rsid w:val="00697B23"/>
    <w:rsid w:val="006A065C"/>
    <w:rsid w:val="006A0C79"/>
    <w:rsid w:val="006A1297"/>
    <w:rsid w:val="006A2548"/>
    <w:rsid w:val="006A2B7B"/>
    <w:rsid w:val="006A38C8"/>
    <w:rsid w:val="006A421E"/>
    <w:rsid w:val="006A4EE1"/>
    <w:rsid w:val="006A4F9B"/>
    <w:rsid w:val="006A62EA"/>
    <w:rsid w:val="006A6DE7"/>
    <w:rsid w:val="006B0274"/>
    <w:rsid w:val="006B0572"/>
    <w:rsid w:val="006B21D8"/>
    <w:rsid w:val="006B2294"/>
    <w:rsid w:val="006B24B4"/>
    <w:rsid w:val="006B33CF"/>
    <w:rsid w:val="006B58DF"/>
    <w:rsid w:val="006B6F29"/>
    <w:rsid w:val="006C0372"/>
    <w:rsid w:val="006C0D2C"/>
    <w:rsid w:val="006C2494"/>
    <w:rsid w:val="006C29F1"/>
    <w:rsid w:val="006C3D46"/>
    <w:rsid w:val="006C4505"/>
    <w:rsid w:val="006C4BE8"/>
    <w:rsid w:val="006C53CD"/>
    <w:rsid w:val="006C59DE"/>
    <w:rsid w:val="006D04A5"/>
    <w:rsid w:val="006D08E4"/>
    <w:rsid w:val="006D2514"/>
    <w:rsid w:val="006D3F5B"/>
    <w:rsid w:val="006D418D"/>
    <w:rsid w:val="006D500D"/>
    <w:rsid w:val="006D6AC7"/>
    <w:rsid w:val="006D6D58"/>
    <w:rsid w:val="006E0045"/>
    <w:rsid w:val="006E00CA"/>
    <w:rsid w:val="006E0702"/>
    <w:rsid w:val="006E5130"/>
    <w:rsid w:val="006E5D23"/>
    <w:rsid w:val="006E71AD"/>
    <w:rsid w:val="006E75FF"/>
    <w:rsid w:val="006E76BF"/>
    <w:rsid w:val="006F14C7"/>
    <w:rsid w:val="006F1FFA"/>
    <w:rsid w:val="006F31E0"/>
    <w:rsid w:val="006F3A96"/>
    <w:rsid w:val="006F4A70"/>
    <w:rsid w:val="006F50DC"/>
    <w:rsid w:val="00700BCC"/>
    <w:rsid w:val="00701466"/>
    <w:rsid w:val="00702243"/>
    <w:rsid w:val="00703878"/>
    <w:rsid w:val="0070406C"/>
    <w:rsid w:val="00705428"/>
    <w:rsid w:val="00705539"/>
    <w:rsid w:val="00705FBC"/>
    <w:rsid w:val="00706798"/>
    <w:rsid w:val="00706ABC"/>
    <w:rsid w:val="0070705F"/>
    <w:rsid w:val="00710117"/>
    <w:rsid w:val="0071095F"/>
    <w:rsid w:val="007109C1"/>
    <w:rsid w:val="00710B2D"/>
    <w:rsid w:val="007112E5"/>
    <w:rsid w:val="00711EEE"/>
    <w:rsid w:val="0071218B"/>
    <w:rsid w:val="00713179"/>
    <w:rsid w:val="00713752"/>
    <w:rsid w:val="007174BE"/>
    <w:rsid w:val="00720F70"/>
    <w:rsid w:val="007213E1"/>
    <w:rsid w:val="00721726"/>
    <w:rsid w:val="007224AF"/>
    <w:rsid w:val="00722B1A"/>
    <w:rsid w:val="007247E4"/>
    <w:rsid w:val="00725104"/>
    <w:rsid w:val="007253BC"/>
    <w:rsid w:val="00725BAA"/>
    <w:rsid w:val="007262B2"/>
    <w:rsid w:val="00727CA7"/>
    <w:rsid w:val="00730E3D"/>
    <w:rsid w:val="00730FBF"/>
    <w:rsid w:val="007335DE"/>
    <w:rsid w:val="00736AA2"/>
    <w:rsid w:val="0073743F"/>
    <w:rsid w:val="00737571"/>
    <w:rsid w:val="00737A90"/>
    <w:rsid w:val="00737D9E"/>
    <w:rsid w:val="00737EC4"/>
    <w:rsid w:val="007408A4"/>
    <w:rsid w:val="00741AD7"/>
    <w:rsid w:val="00741F0F"/>
    <w:rsid w:val="00743A85"/>
    <w:rsid w:val="0074465C"/>
    <w:rsid w:val="00744845"/>
    <w:rsid w:val="00744EF6"/>
    <w:rsid w:val="007451CF"/>
    <w:rsid w:val="00745393"/>
    <w:rsid w:val="00745585"/>
    <w:rsid w:val="0074649C"/>
    <w:rsid w:val="00746DFF"/>
    <w:rsid w:val="00747609"/>
    <w:rsid w:val="00747804"/>
    <w:rsid w:val="00747A56"/>
    <w:rsid w:val="00750242"/>
    <w:rsid w:val="00750882"/>
    <w:rsid w:val="0075227C"/>
    <w:rsid w:val="007536E1"/>
    <w:rsid w:val="00753ACF"/>
    <w:rsid w:val="00754757"/>
    <w:rsid w:val="00754923"/>
    <w:rsid w:val="00754AA5"/>
    <w:rsid w:val="00754E88"/>
    <w:rsid w:val="00756187"/>
    <w:rsid w:val="0076076E"/>
    <w:rsid w:val="00760A0E"/>
    <w:rsid w:val="00761B1D"/>
    <w:rsid w:val="007623EB"/>
    <w:rsid w:val="00763643"/>
    <w:rsid w:val="00764365"/>
    <w:rsid w:val="00764E15"/>
    <w:rsid w:val="0076531B"/>
    <w:rsid w:val="00766130"/>
    <w:rsid w:val="00767493"/>
    <w:rsid w:val="007678D1"/>
    <w:rsid w:val="0077043B"/>
    <w:rsid w:val="00772186"/>
    <w:rsid w:val="007735CE"/>
    <w:rsid w:val="0077436F"/>
    <w:rsid w:val="00774EDB"/>
    <w:rsid w:val="00776F5C"/>
    <w:rsid w:val="00777D77"/>
    <w:rsid w:val="007818E4"/>
    <w:rsid w:val="00782ECC"/>
    <w:rsid w:val="00783B4D"/>
    <w:rsid w:val="007843D0"/>
    <w:rsid w:val="00784B14"/>
    <w:rsid w:val="00785578"/>
    <w:rsid w:val="00787872"/>
    <w:rsid w:val="00790C63"/>
    <w:rsid w:val="007912D5"/>
    <w:rsid w:val="00791FF2"/>
    <w:rsid w:val="00792B2C"/>
    <w:rsid w:val="00794D74"/>
    <w:rsid w:val="00795101"/>
    <w:rsid w:val="007955D8"/>
    <w:rsid w:val="007965AE"/>
    <w:rsid w:val="00797C72"/>
    <w:rsid w:val="007A3731"/>
    <w:rsid w:val="007A59DE"/>
    <w:rsid w:val="007A6FED"/>
    <w:rsid w:val="007A72CE"/>
    <w:rsid w:val="007A73B6"/>
    <w:rsid w:val="007B1615"/>
    <w:rsid w:val="007B18E6"/>
    <w:rsid w:val="007B201A"/>
    <w:rsid w:val="007B295D"/>
    <w:rsid w:val="007B38F9"/>
    <w:rsid w:val="007B3CDA"/>
    <w:rsid w:val="007B4701"/>
    <w:rsid w:val="007B4840"/>
    <w:rsid w:val="007B5222"/>
    <w:rsid w:val="007C0307"/>
    <w:rsid w:val="007C11AE"/>
    <w:rsid w:val="007C1E50"/>
    <w:rsid w:val="007C2256"/>
    <w:rsid w:val="007C2C3A"/>
    <w:rsid w:val="007C32A2"/>
    <w:rsid w:val="007C354C"/>
    <w:rsid w:val="007C3976"/>
    <w:rsid w:val="007C43D1"/>
    <w:rsid w:val="007C4A61"/>
    <w:rsid w:val="007C4FCC"/>
    <w:rsid w:val="007C5F19"/>
    <w:rsid w:val="007C7408"/>
    <w:rsid w:val="007D1377"/>
    <w:rsid w:val="007D14A8"/>
    <w:rsid w:val="007D26F1"/>
    <w:rsid w:val="007D2E5E"/>
    <w:rsid w:val="007D412F"/>
    <w:rsid w:val="007D490D"/>
    <w:rsid w:val="007D67E4"/>
    <w:rsid w:val="007D71F2"/>
    <w:rsid w:val="007D77E7"/>
    <w:rsid w:val="007E0071"/>
    <w:rsid w:val="007E0E87"/>
    <w:rsid w:val="007E36F7"/>
    <w:rsid w:val="007E578D"/>
    <w:rsid w:val="007E590D"/>
    <w:rsid w:val="007E69B7"/>
    <w:rsid w:val="007F102E"/>
    <w:rsid w:val="007F236F"/>
    <w:rsid w:val="007F4146"/>
    <w:rsid w:val="007F51C1"/>
    <w:rsid w:val="007F5420"/>
    <w:rsid w:val="007F617A"/>
    <w:rsid w:val="007F6888"/>
    <w:rsid w:val="007F6A51"/>
    <w:rsid w:val="007F7639"/>
    <w:rsid w:val="00803691"/>
    <w:rsid w:val="008044E0"/>
    <w:rsid w:val="00804878"/>
    <w:rsid w:val="00804AEF"/>
    <w:rsid w:val="00805FE6"/>
    <w:rsid w:val="008069A1"/>
    <w:rsid w:val="00812403"/>
    <w:rsid w:val="008126DF"/>
    <w:rsid w:val="008132B3"/>
    <w:rsid w:val="00813D29"/>
    <w:rsid w:val="0081489F"/>
    <w:rsid w:val="0081527D"/>
    <w:rsid w:val="008156AF"/>
    <w:rsid w:val="00817DD2"/>
    <w:rsid w:val="0082016C"/>
    <w:rsid w:val="0082071B"/>
    <w:rsid w:val="00820F37"/>
    <w:rsid w:val="00821725"/>
    <w:rsid w:val="0082206D"/>
    <w:rsid w:val="00822327"/>
    <w:rsid w:val="00823903"/>
    <w:rsid w:val="008259EE"/>
    <w:rsid w:val="00826517"/>
    <w:rsid w:val="00827556"/>
    <w:rsid w:val="00827F37"/>
    <w:rsid w:val="00830C5A"/>
    <w:rsid w:val="008311E3"/>
    <w:rsid w:val="00834E73"/>
    <w:rsid w:val="008357E5"/>
    <w:rsid w:val="00836980"/>
    <w:rsid w:val="008378B5"/>
    <w:rsid w:val="008403F9"/>
    <w:rsid w:val="00840B25"/>
    <w:rsid w:val="00841740"/>
    <w:rsid w:val="0084188E"/>
    <w:rsid w:val="008425AC"/>
    <w:rsid w:val="008436FF"/>
    <w:rsid w:val="008448AA"/>
    <w:rsid w:val="00844BBF"/>
    <w:rsid w:val="00850929"/>
    <w:rsid w:val="00851432"/>
    <w:rsid w:val="00853E8D"/>
    <w:rsid w:val="0085696D"/>
    <w:rsid w:val="00856BE0"/>
    <w:rsid w:val="00857420"/>
    <w:rsid w:val="00860015"/>
    <w:rsid w:val="008613A1"/>
    <w:rsid w:val="00861415"/>
    <w:rsid w:val="00861DC0"/>
    <w:rsid w:val="00863481"/>
    <w:rsid w:val="00863D97"/>
    <w:rsid w:val="008644B5"/>
    <w:rsid w:val="0086549C"/>
    <w:rsid w:val="0086554C"/>
    <w:rsid w:val="00867095"/>
    <w:rsid w:val="008713A0"/>
    <w:rsid w:val="00872DBC"/>
    <w:rsid w:val="008759E5"/>
    <w:rsid w:val="00876C03"/>
    <w:rsid w:val="0088036D"/>
    <w:rsid w:val="0088171C"/>
    <w:rsid w:val="00884024"/>
    <w:rsid w:val="00884E36"/>
    <w:rsid w:val="008853FA"/>
    <w:rsid w:val="00885482"/>
    <w:rsid w:val="0088685D"/>
    <w:rsid w:val="00886B69"/>
    <w:rsid w:val="0088795A"/>
    <w:rsid w:val="00887AD3"/>
    <w:rsid w:val="00887F7C"/>
    <w:rsid w:val="0089020F"/>
    <w:rsid w:val="00890CEF"/>
    <w:rsid w:val="008913D5"/>
    <w:rsid w:val="00893649"/>
    <w:rsid w:val="00895676"/>
    <w:rsid w:val="00895B32"/>
    <w:rsid w:val="008970A0"/>
    <w:rsid w:val="00897ACA"/>
    <w:rsid w:val="008A0564"/>
    <w:rsid w:val="008A0FA4"/>
    <w:rsid w:val="008A1BFD"/>
    <w:rsid w:val="008A2467"/>
    <w:rsid w:val="008A3C47"/>
    <w:rsid w:val="008A41DC"/>
    <w:rsid w:val="008A4358"/>
    <w:rsid w:val="008A6B17"/>
    <w:rsid w:val="008A71F9"/>
    <w:rsid w:val="008B08D5"/>
    <w:rsid w:val="008B147D"/>
    <w:rsid w:val="008B1837"/>
    <w:rsid w:val="008B1D75"/>
    <w:rsid w:val="008B4801"/>
    <w:rsid w:val="008B52CC"/>
    <w:rsid w:val="008B5D4A"/>
    <w:rsid w:val="008B67DB"/>
    <w:rsid w:val="008B6B7D"/>
    <w:rsid w:val="008C0A99"/>
    <w:rsid w:val="008C1985"/>
    <w:rsid w:val="008C2C0A"/>
    <w:rsid w:val="008C6974"/>
    <w:rsid w:val="008D0180"/>
    <w:rsid w:val="008D085C"/>
    <w:rsid w:val="008D088A"/>
    <w:rsid w:val="008D17BA"/>
    <w:rsid w:val="008D25C4"/>
    <w:rsid w:val="008D3F57"/>
    <w:rsid w:val="008D43C2"/>
    <w:rsid w:val="008D446D"/>
    <w:rsid w:val="008D5284"/>
    <w:rsid w:val="008D578E"/>
    <w:rsid w:val="008D77B1"/>
    <w:rsid w:val="008E0F3E"/>
    <w:rsid w:val="008E0FB6"/>
    <w:rsid w:val="008E11C4"/>
    <w:rsid w:val="008E1751"/>
    <w:rsid w:val="008E189D"/>
    <w:rsid w:val="008E227A"/>
    <w:rsid w:val="008E362E"/>
    <w:rsid w:val="008E5151"/>
    <w:rsid w:val="008E733E"/>
    <w:rsid w:val="008F04F0"/>
    <w:rsid w:val="008F09D7"/>
    <w:rsid w:val="008F0A91"/>
    <w:rsid w:val="008F1CFF"/>
    <w:rsid w:val="008F206C"/>
    <w:rsid w:val="008F3358"/>
    <w:rsid w:val="008F3A64"/>
    <w:rsid w:val="008F3D9C"/>
    <w:rsid w:val="008F5C7A"/>
    <w:rsid w:val="008F6B23"/>
    <w:rsid w:val="008F6F19"/>
    <w:rsid w:val="00900602"/>
    <w:rsid w:val="009010BB"/>
    <w:rsid w:val="00901963"/>
    <w:rsid w:val="009028AD"/>
    <w:rsid w:val="0090296F"/>
    <w:rsid w:val="009030B1"/>
    <w:rsid w:val="00903303"/>
    <w:rsid w:val="0090646F"/>
    <w:rsid w:val="00906B61"/>
    <w:rsid w:val="00906B6F"/>
    <w:rsid w:val="00910499"/>
    <w:rsid w:val="00911132"/>
    <w:rsid w:val="00912335"/>
    <w:rsid w:val="0091438B"/>
    <w:rsid w:val="00914579"/>
    <w:rsid w:val="00920810"/>
    <w:rsid w:val="00920D39"/>
    <w:rsid w:val="00921A53"/>
    <w:rsid w:val="00922922"/>
    <w:rsid w:val="00923A9B"/>
    <w:rsid w:val="00925537"/>
    <w:rsid w:val="00925538"/>
    <w:rsid w:val="00925646"/>
    <w:rsid w:val="00926491"/>
    <w:rsid w:val="00926DEB"/>
    <w:rsid w:val="00930720"/>
    <w:rsid w:val="00931087"/>
    <w:rsid w:val="00931ACD"/>
    <w:rsid w:val="00933779"/>
    <w:rsid w:val="0093449C"/>
    <w:rsid w:val="009344A2"/>
    <w:rsid w:val="009351F6"/>
    <w:rsid w:val="00935624"/>
    <w:rsid w:val="00937748"/>
    <w:rsid w:val="00937B97"/>
    <w:rsid w:val="00940AAF"/>
    <w:rsid w:val="00943EEE"/>
    <w:rsid w:val="00944531"/>
    <w:rsid w:val="00944FC8"/>
    <w:rsid w:val="009458DE"/>
    <w:rsid w:val="0094646F"/>
    <w:rsid w:val="00951D4D"/>
    <w:rsid w:val="00953477"/>
    <w:rsid w:val="00955A71"/>
    <w:rsid w:val="00956587"/>
    <w:rsid w:val="009622A7"/>
    <w:rsid w:val="0096235E"/>
    <w:rsid w:val="00962F23"/>
    <w:rsid w:val="0096360B"/>
    <w:rsid w:val="00963A6C"/>
    <w:rsid w:val="00964525"/>
    <w:rsid w:val="0096560B"/>
    <w:rsid w:val="00965A1A"/>
    <w:rsid w:val="00966166"/>
    <w:rsid w:val="009661FB"/>
    <w:rsid w:val="00966420"/>
    <w:rsid w:val="00966E8B"/>
    <w:rsid w:val="00967CC0"/>
    <w:rsid w:val="00967E10"/>
    <w:rsid w:val="00971150"/>
    <w:rsid w:val="009713F1"/>
    <w:rsid w:val="00972540"/>
    <w:rsid w:val="009729B2"/>
    <w:rsid w:val="009739A8"/>
    <w:rsid w:val="0097418A"/>
    <w:rsid w:val="0097440E"/>
    <w:rsid w:val="00974643"/>
    <w:rsid w:val="00974B08"/>
    <w:rsid w:val="00974BF2"/>
    <w:rsid w:val="0097767C"/>
    <w:rsid w:val="009812AF"/>
    <w:rsid w:val="00981789"/>
    <w:rsid w:val="00983A42"/>
    <w:rsid w:val="00984906"/>
    <w:rsid w:val="00987728"/>
    <w:rsid w:val="00987DBA"/>
    <w:rsid w:val="009905EF"/>
    <w:rsid w:val="009911DA"/>
    <w:rsid w:val="00992714"/>
    <w:rsid w:val="00992D1D"/>
    <w:rsid w:val="00994D89"/>
    <w:rsid w:val="00994F80"/>
    <w:rsid w:val="00995475"/>
    <w:rsid w:val="00996709"/>
    <w:rsid w:val="00996C25"/>
    <w:rsid w:val="009A0683"/>
    <w:rsid w:val="009A0C42"/>
    <w:rsid w:val="009A23EF"/>
    <w:rsid w:val="009A27CA"/>
    <w:rsid w:val="009A2892"/>
    <w:rsid w:val="009A2D44"/>
    <w:rsid w:val="009A2EC9"/>
    <w:rsid w:val="009A3246"/>
    <w:rsid w:val="009A4B67"/>
    <w:rsid w:val="009A56CF"/>
    <w:rsid w:val="009A6BF5"/>
    <w:rsid w:val="009B2C7E"/>
    <w:rsid w:val="009B4867"/>
    <w:rsid w:val="009B4944"/>
    <w:rsid w:val="009B5D6B"/>
    <w:rsid w:val="009B5E41"/>
    <w:rsid w:val="009B7490"/>
    <w:rsid w:val="009C07EC"/>
    <w:rsid w:val="009C0BC4"/>
    <w:rsid w:val="009C2157"/>
    <w:rsid w:val="009C33A9"/>
    <w:rsid w:val="009C3806"/>
    <w:rsid w:val="009C3F97"/>
    <w:rsid w:val="009C46BD"/>
    <w:rsid w:val="009C4CC1"/>
    <w:rsid w:val="009C5468"/>
    <w:rsid w:val="009C6A20"/>
    <w:rsid w:val="009C742B"/>
    <w:rsid w:val="009D31E6"/>
    <w:rsid w:val="009D3847"/>
    <w:rsid w:val="009D39E9"/>
    <w:rsid w:val="009D39F8"/>
    <w:rsid w:val="009D3AAC"/>
    <w:rsid w:val="009D3DF2"/>
    <w:rsid w:val="009D3E11"/>
    <w:rsid w:val="009D466F"/>
    <w:rsid w:val="009D5107"/>
    <w:rsid w:val="009D5580"/>
    <w:rsid w:val="009D55C8"/>
    <w:rsid w:val="009D7200"/>
    <w:rsid w:val="009D773E"/>
    <w:rsid w:val="009E15EC"/>
    <w:rsid w:val="009E1888"/>
    <w:rsid w:val="009E2060"/>
    <w:rsid w:val="009E3547"/>
    <w:rsid w:val="009E57A1"/>
    <w:rsid w:val="009E7CBA"/>
    <w:rsid w:val="009F0B9E"/>
    <w:rsid w:val="009F1240"/>
    <w:rsid w:val="009F2CD7"/>
    <w:rsid w:val="009F4C72"/>
    <w:rsid w:val="009F5E46"/>
    <w:rsid w:val="009F62BC"/>
    <w:rsid w:val="009F651C"/>
    <w:rsid w:val="00A0159E"/>
    <w:rsid w:val="00A0267D"/>
    <w:rsid w:val="00A032E6"/>
    <w:rsid w:val="00A0350F"/>
    <w:rsid w:val="00A03F60"/>
    <w:rsid w:val="00A04689"/>
    <w:rsid w:val="00A068B5"/>
    <w:rsid w:val="00A07A5F"/>
    <w:rsid w:val="00A07AB0"/>
    <w:rsid w:val="00A10B8D"/>
    <w:rsid w:val="00A11D22"/>
    <w:rsid w:val="00A11E55"/>
    <w:rsid w:val="00A1214F"/>
    <w:rsid w:val="00A1262A"/>
    <w:rsid w:val="00A12F64"/>
    <w:rsid w:val="00A136B5"/>
    <w:rsid w:val="00A13FE6"/>
    <w:rsid w:val="00A16350"/>
    <w:rsid w:val="00A17094"/>
    <w:rsid w:val="00A1766B"/>
    <w:rsid w:val="00A2047B"/>
    <w:rsid w:val="00A20931"/>
    <w:rsid w:val="00A21686"/>
    <w:rsid w:val="00A22F2B"/>
    <w:rsid w:val="00A240A6"/>
    <w:rsid w:val="00A243E1"/>
    <w:rsid w:val="00A24421"/>
    <w:rsid w:val="00A24D9F"/>
    <w:rsid w:val="00A25246"/>
    <w:rsid w:val="00A27535"/>
    <w:rsid w:val="00A31195"/>
    <w:rsid w:val="00A31A7B"/>
    <w:rsid w:val="00A31D26"/>
    <w:rsid w:val="00A31E02"/>
    <w:rsid w:val="00A32B9E"/>
    <w:rsid w:val="00A34100"/>
    <w:rsid w:val="00A34AA2"/>
    <w:rsid w:val="00A34B83"/>
    <w:rsid w:val="00A36099"/>
    <w:rsid w:val="00A3637F"/>
    <w:rsid w:val="00A40FED"/>
    <w:rsid w:val="00A41388"/>
    <w:rsid w:val="00A42074"/>
    <w:rsid w:val="00A420C7"/>
    <w:rsid w:val="00A42B85"/>
    <w:rsid w:val="00A42F5E"/>
    <w:rsid w:val="00A45971"/>
    <w:rsid w:val="00A45B5E"/>
    <w:rsid w:val="00A46724"/>
    <w:rsid w:val="00A47858"/>
    <w:rsid w:val="00A506E4"/>
    <w:rsid w:val="00A539A1"/>
    <w:rsid w:val="00A556B9"/>
    <w:rsid w:val="00A55B7B"/>
    <w:rsid w:val="00A55E4F"/>
    <w:rsid w:val="00A56DF2"/>
    <w:rsid w:val="00A570C3"/>
    <w:rsid w:val="00A57FA0"/>
    <w:rsid w:val="00A61890"/>
    <w:rsid w:val="00A62157"/>
    <w:rsid w:val="00A6216F"/>
    <w:rsid w:val="00A6267B"/>
    <w:rsid w:val="00A62A4A"/>
    <w:rsid w:val="00A62E3F"/>
    <w:rsid w:val="00A62F3C"/>
    <w:rsid w:val="00A64C57"/>
    <w:rsid w:val="00A65303"/>
    <w:rsid w:val="00A65C05"/>
    <w:rsid w:val="00A6724E"/>
    <w:rsid w:val="00A67312"/>
    <w:rsid w:val="00A67D8E"/>
    <w:rsid w:val="00A70199"/>
    <w:rsid w:val="00A70428"/>
    <w:rsid w:val="00A716A4"/>
    <w:rsid w:val="00A717C8"/>
    <w:rsid w:val="00A71876"/>
    <w:rsid w:val="00A72650"/>
    <w:rsid w:val="00A726A8"/>
    <w:rsid w:val="00A7355A"/>
    <w:rsid w:val="00A735C1"/>
    <w:rsid w:val="00A741E8"/>
    <w:rsid w:val="00A74BE2"/>
    <w:rsid w:val="00A7550D"/>
    <w:rsid w:val="00A7636D"/>
    <w:rsid w:val="00A77236"/>
    <w:rsid w:val="00A77802"/>
    <w:rsid w:val="00A80A96"/>
    <w:rsid w:val="00A80CF8"/>
    <w:rsid w:val="00A80DCC"/>
    <w:rsid w:val="00A8254A"/>
    <w:rsid w:val="00A82946"/>
    <w:rsid w:val="00A83219"/>
    <w:rsid w:val="00A83EED"/>
    <w:rsid w:val="00A86E30"/>
    <w:rsid w:val="00A877A4"/>
    <w:rsid w:val="00A92604"/>
    <w:rsid w:val="00A93794"/>
    <w:rsid w:val="00A9385B"/>
    <w:rsid w:val="00A9394E"/>
    <w:rsid w:val="00A949C1"/>
    <w:rsid w:val="00A94AF8"/>
    <w:rsid w:val="00A94BFC"/>
    <w:rsid w:val="00A9605A"/>
    <w:rsid w:val="00A97A65"/>
    <w:rsid w:val="00AA14D1"/>
    <w:rsid w:val="00AA4B87"/>
    <w:rsid w:val="00AA4D74"/>
    <w:rsid w:val="00AA4ECF"/>
    <w:rsid w:val="00AA5318"/>
    <w:rsid w:val="00AA5DB3"/>
    <w:rsid w:val="00AA6680"/>
    <w:rsid w:val="00AA7008"/>
    <w:rsid w:val="00AB01F7"/>
    <w:rsid w:val="00AB0CD5"/>
    <w:rsid w:val="00AB1374"/>
    <w:rsid w:val="00AB195C"/>
    <w:rsid w:val="00AB2641"/>
    <w:rsid w:val="00AB40DD"/>
    <w:rsid w:val="00AB4F47"/>
    <w:rsid w:val="00AB503C"/>
    <w:rsid w:val="00AB5872"/>
    <w:rsid w:val="00AB6256"/>
    <w:rsid w:val="00AB7191"/>
    <w:rsid w:val="00AB7642"/>
    <w:rsid w:val="00AC0585"/>
    <w:rsid w:val="00AC0649"/>
    <w:rsid w:val="00AC1A89"/>
    <w:rsid w:val="00AC1F2E"/>
    <w:rsid w:val="00AC3B26"/>
    <w:rsid w:val="00AC5A3C"/>
    <w:rsid w:val="00AC6216"/>
    <w:rsid w:val="00AC6F90"/>
    <w:rsid w:val="00AD02C5"/>
    <w:rsid w:val="00AD10AA"/>
    <w:rsid w:val="00AD1395"/>
    <w:rsid w:val="00AD209F"/>
    <w:rsid w:val="00AD27E8"/>
    <w:rsid w:val="00AD28E7"/>
    <w:rsid w:val="00AD39BB"/>
    <w:rsid w:val="00AD3D3A"/>
    <w:rsid w:val="00AD4356"/>
    <w:rsid w:val="00AD537D"/>
    <w:rsid w:val="00AD54FC"/>
    <w:rsid w:val="00AD5E08"/>
    <w:rsid w:val="00AD602D"/>
    <w:rsid w:val="00AD6068"/>
    <w:rsid w:val="00AD6483"/>
    <w:rsid w:val="00AE13DE"/>
    <w:rsid w:val="00AE4D0F"/>
    <w:rsid w:val="00AE5088"/>
    <w:rsid w:val="00AE5B55"/>
    <w:rsid w:val="00AE5DD0"/>
    <w:rsid w:val="00AE5E27"/>
    <w:rsid w:val="00AE5E6B"/>
    <w:rsid w:val="00AE5F74"/>
    <w:rsid w:val="00AF0D15"/>
    <w:rsid w:val="00AF1594"/>
    <w:rsid w:val="00AF2179"/>
    <w:rsid w:val="00AF2906"/>
    <w:rsid w:val="00AF3562"/>
    <w:rsid w:val="00AF5FBB"/>
    <w:rsid w:val="00AF6E1F"/>
    <w:rsid w:val="00AF7325"/>
    <w:rsid w:val="00B0033A"/>
    <w:rsid w:val="00B00DF3"/>
    <w:rsid w:val="00B01179"/>
    <w:rsid w:val="00B012E3"/>
    <w:rsid w:val="00B0273F"/>
    <w:rsid w:val="00B03C6D"/>
    <w:rsid w:val="00B03D14"/>
    <w:rsid w:val="00B03DC6"/>
    <w:rsid w:val="00B0548E"/>
    <w:rsid w:val="00B0593B"/>
    <w:rsid w:val="00B05DDC"/>
    <w:rsid w:val="00B10A6F"/>
    <w:rsid w:val="00B113DA"/>
    <w:rsid w:val="00B12B91"/>
    <w:rsid w:val="00B13279"/>
    <w:rsid w:val="00B13842"/>
    <w:rsid w:val="00B140B7"/>
    <w:rsid w:val="00B142FE"/>
    <w:rsid w:val="00B14CCA"/>
    <w:rsid w:val="00B15119"/>
    <w:rsid w:val="00B16243"/>
    <w:rsid w:val="00B20285"/>
    <w:rsid w:val="00B21FD2"/>
    <w:rsid w:val="00B25DB1"/>
    <w:rsid w:val="00B26451"/>
    <w:rsid w:val="00B26663"/>
    <w:rsid w:val="00B27E76"/>
    <w:rsid w:val="00B3061B"/>
    <w:rsid w:val="00B31A1E"/>
    <w:rsid w:val="00B321BC"/>
    <w:rsid w:val="00B32A59"/>
    <w:rsid w:val="00B33BC6"/>
    <w:rsid w:val="00B361B8"/>
    <w:rsid w:val="00B369BE"/>
    <w:rsid w:val="00B37EBF"/>
    <w:rsid w:val="00B4028D"/>
    <w:rsid w:val="00B4033D"/>
    <w:rsid w:val="00B40986"/>
    <w:rsid w:val="00B409FE"/>
    <w:rsid w:val="00B43993"/>
    <w:rsid w:val="00B45D84"/>
    <w:rsid w:val="00B479FF"/>
    <w:rsid w:val="00B47E10"/>
    <w:rsid w:val="00B537A0"/>
    <w:rsid w:val="00B54D77"/>
    <w:rsid w:val="00B55201"/>
    <w:rsid w:val="00B5626E"/>
    <w:rsid w:val="00B570B2"/>
    <w:rsid w:val="00B60813"/>
    <w:rsid w:val="00B6132F"/>
    <w:rsid w:val="00B625FC"/>
    <w:rsid w:val="00B62BEA"/>
    <w:rsid w:val="00B634F8"/>
    <w:rsid w:val="00B664BE"/>
    <w:rsid w:val="00B67233"/>
    <w:rsid w:val="00B70665"/>
    <w:rsid w:val="00B72B10"/>
    <w:rsid w:val="00B72CC5"/>
    <w:rsid w:val="00B72CF0"/>
    <w:rsid w:val="00B730B5"/>
    <w:rsid w:val="00B73239"/>
    <w:rsid w:val="00B740B3"/>
    <w:rsid w:val="00B755BC"/>
    <w:rsid w:val="00B76CE5"/>
    <w:rsid w:val="00B76E93"/>
    <w:rsid w:val="00B77101"/>
    <w:rsid w:val="00B7748F"/>
    <w:rsid w:val="00B820F1"/>
    <w:rsid w:val="00B82526"/>
    <w:rsid w:val="00B8252C"/>
    <w:rsid w:val="00B838F5"/>
    <w:rsid w:val="00B83A8F"/>
    <w:rsid w:val="00B84713"/>
    <w:rsid w:val="00B848BE"/>
    <w:rsid w:val="00B85C98"/>
    <w:rsid w:val="00B90A00"/>
    <w:rsid w:val="00B9124B"/>
    <w:rsid w:val="00B915EE"/>
    <w:rsid w:val="00B939C1"/>
    <w:rsid w:val="00B94517"/>
    <w:rsid w:val="00B94A38"/>
    <w:rsid w:val="00B964CA"/>
    <w:rsid w:val="00B976A8"/>
    <w:rsid w:val="00BA0584"/>
    <w:rsid w:val="00BA3334"/>
    <w:rsid w:val="00BA5B51"/>
    <w:rsid w:val="00BA6396"/>
    <w:rsid w:val="00BB0841"/>
    <w:rsid w:val="00BB1094"/>
    <w:rsid w:val="00BB1554"/>
    <w:rsid w:val="00BB284B"/>
    <w:rsid w:val="00BB2CA3"/>
    <w:rsid w:val="00BB4897"/>
    <w:rsid w:val="00BB4D62"/>
    <w:rsid w:val="00BB51AE"/>
    <w:rsid w:val="00BB55AA"/>
    <w:rsid w:val="00BB5DF3"/>
    <w:rsid w:val="00BB7559"/>
    <w:rsid w:val="00BC0C39"/>
    <w:rsid w:val="00BC16B1"/>
    <w:rsid w:val="00BC243F"/>
    <w:rsid w:val="00BC2B8D"/>
    <w:rsid w:val="00BC4428"/>
    <w:rsid w:val="00BC48DD"/>
    <w:rsid w:val="00BC48EB"/>
    <w:rsid w:val="00BC4F8F"/>
    <w:rsid w:val="00BC5942"/>
    <w:rsid w:val="00BC5ADB"/>
    <w:rsid w:val="00BC7CF9"/>
    <w:rsid w:val="00BD0C4A"/>
    <w:rsid w:val="00BD14DE"/>
    <w:rsid w:val="00BD15BC"/>
    <w:rsid w:val="00BD189F"/>
    <w:rsid w:val="00BD26C3"/>
    <w:rsid w:val="00BD2C4A"/>
    <w:rsid w:val="00BD3060"/>
    <w:rsid w:val="00BD43F1"/>
    <w:rsid w:val="00BD45DE"/>
    <w:rsid w:val="00BD564C"/>
    <w:rsid w:val="00BD780C"/>
    <w:rsid w:val="00BE163E"/>
    <w:rsid w:val="00BE1D33"/>
    <w:rsid w:val="00BE1D46"/>
    <w:rsid w:val="00BE2B32"/>
    <w:rsid w:val="00BE2E9A"/>
    <w:rsid w:val="00BE33CE"/>
    <w:rsid w:val="00BE3C08"/>
    <w:rsid w:val="00BE5227"/>
    <w:rsid w:val="00BE5295"/>
    <w:rsid w:val="00BE5560"/>
    <w:rsid w:val="00BE6317"/>
    <w:rsid w:val="00BE66C2"/>
    <w:rsid w:val="00BF0D5D"/>
    <w:rsid w:val="00BF2979"/>
    <w:rsid w:val="00BF2A20"/>
    <w:rsid w:val="00BF2FA9"/>
    <w:rsid w:val="00BF3407"/>
    <w:rsid w:val="00BF3A2C"/>
    <w:rsid w:val="00BF47E1"/>
    <w:rsid w:val="00BF4D8F"/>
    <w:rsid w:val="00BF51C5"/>
    <w:rsid w:val="00BF5885"/>
    <w:rsid w:val="00BF5BB1"/>
    <w:rsid w:val="00BF7D2E"/>
    <w:rsid w:val="00BF7ECC"/>
    <w:rsid w:val="00C017A7"/>
    <w:rsid w:val="00C02034"/>
    <w:rsid w:val="00C0251E"/>
    <w:rsid w:val="00C02548"/>
    <w:rsid w:val="00C04828"/>
    <w:rsid w:val="00C04B23"/>
    <w:rsid w:val="00C04D8E"/>
    <w:rsid w:val="00C05834"/>
    <w:rsid w:val="00C05CAF"/>
    <w:rsid w:val="00C118AE"/>
    <w:rsid w:val="00C11ADF"/>
    <w:rsid w:val="00C125EE"/>
    <w:rsid w:val="00C13412"/>
    <w:rsid w:val="00C135A3"/>
    <w:rsid w:val="00C13F20"/>
    <w:rsid w:val="00C15814"/>
    <w:rsid w:val="00C15AB1"/>
    <w:rsid w:val="00C17983"/>
    <w:rsid w:val="00C20231"/>
    <w:rsid w:val="00C20C03"/>
    <w:rsid w:val="00C23472"/>
    <w:rsid w:val="00C25E5B"/>
    <w:rsid w:val="00C26ADF"/>
    <w:rsid w:val="00C27732"/>
    <w:rsid w:val="00C27853"/>
    <w:rsid w:val="00C278F5"/>
    <w:rsid w:val="00C27D2E"/>
    <w:rsid w:val="00C302DE"/>
    <w:rsid w:val="00C30C62"/>
    <w:rsid w:val="00C31D5E"/>
    <w:rsid w:val="00C32CA3"/>
    <w:rsid w:val="00C33098"/>
    <w:rsid w:val="00C3399B"/>
    <w:rsid w:val="00C36464"/>
    <w:rsid w:val="00C379D5"/>
    <w:rsid w:val="00C37FE8"/>
    <w:rsid w:val="00C40A42"/>
    <w:rsid w:val="00C43FC0"/>
    <w:rsid w:val="00C44B33"/>
    <w:rsid w:val="00C45A5A"/>
    <w:rsid w:val="00C467E6"/>
    <w:rsid w:val="00C46BF2"/>
    <w:rsid w:val="00C50189"/>
    <w:rsid w:val="00C510DB"/>
    <w:rsid w:val="00C51EF2"/>
    <w:rsid w:val="00C546FE"/>
    <w:rsid w:val="00C55746"/>
    <w:rsid w:val="00C566E7"/>
    <w:rsid w:val="00C56BF5"/>
    <w:rsid w:val="00C56C8F"/>
    <w:rsid w:val="00C6016A"/>
    <w:rsid w:val="00C6145C"/>
    <w:rsid w:val="00C614BC"/>
    <w:rsid w:val="00C61FCB"/>
    <w:rsid w:val="00C6286B"/>
    <w:rsid w:val="00C62B4A"/>
    <w:rsid w:val="00C6374F"/>
    <w:rsid w:val="00C6406D"/>
    <w:rsid w:val="00C6422E"/>
    <w:rsid w:val="00C64C44"/>
    <w:rsid w:val="00C7083D"/>
    <w:rsid w:val="00C70B77"/>
    <w:rsid w:val="00C7160D"/>
    <w:rsid w:val="00C71955"/>
    <w:rsid w:val="00C71BB6"/>
    <w:rsid w:val="00C7253F"/>
    <w:rsid w:val="00C7320A"/>
    <w:rsid w:val="00C736EE"/>
    <w:rsid w:val="00C73BA6"/>
    <w:rsid w:val="00C73D0A"/>
    <w:rsid w:val="00C76BA5"/>
    <w:rsid w:val="00C77A50"/>
    <w:rsid w:val="00C77EA7"/>
    <w:rsid w:val="00C77F5C"/>
    <w:rsid w:val="00C8080C"/>
    <w:rsid w:val="00C81DB9"/>
    <w:rsid w:val="00C835AA"/>
    <w:rsid w:val="00C8369B"/>
    <w:rsid w:val="00C84651"/>
    <w:rsid w:val="00C850AA"/>
    <w:rsid w:val="00C864F4"/>
    <w:rsid w:val="00C90338"/>
    <w:rsid w:val="00C905D9"/>
    <w:rsid w:val="00C90B8A"/>
    <w:rsid w:val="00C90D76"/>
    <w:rsid w:val="00C91387"/>
    <w:rsid w:val="00C91465"/>
    <w:rsid w:val="00C9290A"/>
    <w:rsid w:val="00C92BDD"/>
    <w:rsid w:val="00C92D14"/>
    <w:rsid w:val="00C93480"/>
    <w:rsid w:val="00C94C86"/>
    <w:rsid w:val="00C94CC9"/>
    <w:rsid w:val="00C954B7"/>
    <w:rsid w:val="00C96462"/>
    <w:rsid w:val="00CA02E9"/>
    <w:rsid w:val="00CA1D66"/>
    <w:rsid w:val="00CA2A28"/>
    <w:rsid w:val="00CA474D"/>
    <w:rsid w:val="00CA5259"/>
    <w:rsid w:val="00CA5592"/>
    <w:rsid w:val="00CA5F15"/>
    <w:rsid w:val="00CA738A"/>
    <w:rsid w:val="00CA7898"/>
    <w:rsid w:val="00CA7A0C"/>
    <w:rsid w:val="00CB1B05"/>
    <w:rsid w:val="00CB290B"/>
    <w:rsid w:val="00CB30DD"/>
    <w:rsid w:val="00CB3E7B"/>
    <w:rsid w:val="00CB42D6"/>
    <w:rsid w:val="00CB5B8B"/>
    <w:rsid w:val="00CB6294"/>
    <w:rsid w:val="00CB689B"/>
    <w:rsid w:val="00CB7E17"/>
    <w:rsid w:val="00CC050A"/>
    <w:rsid w:val="00CC1422"/>
    <w:rsid w:val="00CC14C8"/>
    <w:rsid w:val="00CC15A8"/>
    <w:rsid w:val="00CC21E3"/>
    <w:rsid w:val="00CC32E0"/>
    <w:rsid w:val="00CC49C1"/>
    <w:rsid w:val="00CC6EF2"/>
    <w:rsid w:val="00CD03B2"/>
    <w:rsid w:val="00CD05A3"/>
    <w:rsid w:val="00CD264F"/>
    <w:rsid w:val="00CD2D67"/>
    <w:rsid w:val="00CD36E3"/>
    <w:rsid w:val="00CD4BD4"/>
    <w:rsid w:val="00CD4FD1"/>
    <w:rsid w:val="00CD5244"/>
    <w:rsid w:val="00CD5A4C"/>
    <w:rsid w:val="00CD5F71"/>
    <w:rsid w:val="00CD6024"/>
    <w:rsid w:val="00CD665E"/>
    <w:rsid w:val="00CD71D5"/>
    <w:rsid w:val="00CD759B"/>
    <w:rsid w:val="00CD7942"/>
    <w:rsid w:val="00CE1105"/>
    <w:rsid w:val="00CE11FE"/>
    <w:rsid w:val="00CE2475"/>
    <w:rsid w:val="00CE2B66"/>
    <w:rsid w:val="00CE2DDA"/>
    <w:rsid w:val="00CE3DAE"/>
    <w:rsid w:val="00CE4D3D"/>
    <w:rsid w:val="00CE4DD3"/>
    <w:rsid w:val="00CE56FF"/>
    <w:rsid w:val="00CE5E28"/>
    <w:rsid w:val="00CE6137"/>
    <w:rsid w:val="00CE76AB"/>
    <w:rsid w:val="00CF27D1"/>
    <w:rsid w:val="00CF2849"/>
    <w:rsid w:val="00CF2B11"/>
    <w:rsid w:val="00CF32D4"/>
    <w:rsid w:val="00CF454F"/>
    <w:rsid w:val="00CF55DD"/>
    <w:rsid w:val="00CF5A25"/>
    <w:rsid w:val="00CF5A78"/>
    <w:rsid w:val="00CF63C3"/>
    <w:rsid w:val="00CF6C2A"/>
    <w:rsid w:val="00D00B2E"/>
    <w:rsid w:val="00D019FF"/>
    <w:rsid w:val="00D0297D"/>
    <w:rsid w:val="00D03D98"/>
    <w:rsid w:val="00D05BB5"/>
    <w:rsid w:val="00D05BBF"/>
    <w:rsid w:val="00D0618C"/>
    <w:rsid w:val="00D06700"/>
    <w:rsid w:val="00D07BC3"/>
    <w:rsid w:val="00D104DF"/>
    <w:rsid w:val="00D10A20"/>
    <w:rsid w:val="00D10BA6"/>
    <w:rsid w:val="00D12776"/>
    <w:rsid w:val="00D12894"/>
    <w:rsid w:val="00D12D4C"/>
    <w:rsid w:val="00D14617"/>
    <w:rsid w:val="00D150C3"/>
    <w:rsid w:val="00D154C1"/>
    <w:rsid w:val="00D16390"/>
    <w:rsid w:val="00D16F37"/>
    <w:rsid w:val="00D17C6A"/>
    <w:rsid w:val="00D209B8"/>
    <w:rsid w:val="00D20BAB"/>
    <w:rsid w:val="00D21384"/>
    <w:rsid w:val="00D2226D"/>
    <w:rsid w:val="00D24751"/>
    <w:rsid w:val="00D25D43"/>
    <w:rsid w:val="00D26314"/>
    <w:rsid w:val="00D26EFD"/>
    <w:rsid w:val="00D27AC1"/>
    <w:rsid w:val="00D310C2"/>
    <w:rsid w:val="00D310F3"/>
    <w:rsid w:val="00D32078"/>
    <w:rsid w:val="00D328DD"/>
    <w:rsid w:val="00D32A00"/>
    <w:rsid w:val="00D33332"/>
    <w:rsid w:val="00D33B10"/>
    <w:rsid w:val="00D340E2"/>
    <w:rsid w:val="00D342A6"/>
    <w:rsid w:val="00D34FF7"/>
    <w:rsid w:val="00D35C05"/>
    <w:rsid w:val="00D37BDB"/>
    <w:rsid w:val="00D41AEB"/>
    <w:rsid w:val="00D41BDE"/>
    <w:rsid w:val="00D41CF1"/>
    <w:rsid w:val="00D41D82"/>
    <w:rsid w:val="00D42DA2"/>
    <w:rsid w:val="00D4358B"/>
    <w:rsid w:val="00D4432A"/>
    <w:rsid w:val="00D45493"/>
    <w:rsid w:val="00D45F8A"/>
    <w:rsid w:val="00D46A1E"/>
    <w:rsid w:val="00D47D24"/>
    <w:rsid w:val="00D511F9"/>
    <w:rsid w:val="00D51258"/>
    <w:rsid w:val="00D53141"/>
    <w:rsid w:val="00D536FD"/>
    <w:rsid w:val="00D55A0D"/>
    <w:rsid w:val="00D55B6C"/>
    <w:rsid w:val="00D561DD"/>
    <w:rsid w:val="00D56767"/>
    <w:rsid w:val="00D57424"/>
    <w:rsid w:val="00D57755"/>
    <w:rsid w:val="00D601BC"/>
    <w:rsid w:val="00D60C83"/>
    <w:rsid w:val="00D63023"/>
    <w:rsid w:val="00D634B0"/>
    <w:rsid w:val="00D64090"/>
    <w:rsid w:val="00D64236"/>
    <w:rsid w:val="00D64621"/>
    <w:rsid w:val="00D65C43"/>
    <w:rsid w:val="00D65CBC"/>
    <w:rsid w:val="00D66BFE"/>
    <w:rsid w:val="00D67D17"/>
    <w:rsid w:val="00D7382F"/>
    <w:rsid w:val="00D742D9"/>
    <w:rsid w:val="00D74B07"/>
    <w:rsid w:val="00D74D11"/>
    <w:rsid w:val="00D75644"/>
    <w:rsid w:val="00D7593E"/>
    <w:rsid w:val="00D762B6"/>
    <w:rsid w:val="00D763AE"/>
    <w:rsid w:val="00D77433"/>
    <w:rsid w:val="00D77B19"/>
    <w:rsid w:val="00D77BB4"/>
    <w:rsid w:val="00D77FE1"/>
    <w:rsid w:val="00D8158F"/>
    <w:rsid w:val="00D824EC"/>
    <w:rsid w:val="00D83450"/>
    <w:rsid w:val="00D8381C"/>
    <w:rsid w:val="00D8383C"/>
    <w:rsid w:val="00D850C2"/>
    <w:rsid w:val="00D851AB"/>
    <w:rsid w:val="00D8545A"/>
    <w:rsid w:val="00D85680"/>
    <w:rsid w:val="00D85842"/>
    <w:rsid w:val="00D86633"/>
    <w:rsid w:val="00D86BBA"/>
    <w:rsid w:val="00D870CF"/>
    <w:rsid w:val="00D8740A"/>
    <w:rsid w:val="00D87A89"/>
    <w:rsid w:val="00D91B9B"/>
    <w:rsid w:val="00D91EDB"/>
    <w:rsid w:val="00D91F4B"/>
    <w:rsid w:val="00D92899"/>
    <w:rsid w:val="00D9295D"/>
    <w:rsid w:val="00D92E14"/>
    <w:rsid w:val="00D93722"/>
    <w:rsid w:val="00D948A8"/>
    <w:rsid w:val="00D94949"/>
    <w:rsid w:val="00D95276"/>
    <w:rsid w:val="00D96814"/>
    <w:rsid w:val="00D96B93"/>
    <w:rsid w:val="00D972E3"/>
    <w:rsid w:val="00DA09B0"/>
    <w:rsid w:val="00DA1158"/>
    <w:rsid w:val="00DA16DB"/>
    <w:rsid w:val="00DA22B1"/>
    <w:rsid w:val="00DA336B"/>
    <w:rsid w:val="00DA349A"/>
    <w:rsid w:val="00DA3A40"/>
    <w:rsid w:val="00DA494A"/>
    <w:rsid w:val="00DA4E7C"/>
    <w:rsid w:val="00DA6D58"/>
    <w:rsid w:val="00DB0204"/>
    <w:rsid w:val="00DB0A73"/>
    <w:rsid w:val="00DB0E2A"/>
    <w:rsid w:val="00DB44B1"/>
    <w:rsid w:val="00DB67AE"/>
    <w:rsid w:val="00DB6E09"/>
    <w:rsid w:val="00DB76F1"/>
    <w:rsid w:val="00DC194A"/>
    <w:rsid w:val="00DC1DA7"/>
    <w:rsid w:val="00DC2C5E"/>
    <w:rsid w:val="00DC2EE0"/>
    <w:rsid w:val="00DC34A6"/>
    <w:rsid w:val="00DC37C2"/>
    <w:rsid w:val="00DC553C"/>
    <w:rsid w:val="00DC5822"/>
    <w:rsid w:val="00DC5EFC"/>
    <w:rsid w:val="00DC6063"/>
    <w:rsid w:val="00DC724D"/>
    <w:rsid w:val="00DC7D3C"/>
    <w:rsid w:val="00DD0213"/>
    <w:rsid w:val="00DD0425"/>
    <w:rsid w:val="00DD25D9"/>
    <w:rsid w:val="00DD2C7F"/>
    <w:rsid w:val="00DD30CE"/>
    <w:rsid w:val="00DD3785"/>
    <w:rsid w:val="00DD43C6"/>
    <w:rsid w:val="00DD4ADE"/>
    <w:rsid w:val="00DD70E3"/>
    <w:rsid w:val="00DE140D"/>
    <w:rsid w:val="00DE5FC5"/>
    <w:rsid w:val="00DF098F"/>
    <w:rsid w:val="00DF0DDB"/>
    <w:rsid w:val="00DF1324"/>
    <w:rsid w:val="00DF228D"/>
    <w:rsid w:val="00DF4761"/>
    <w:rsid w:val="00DF524B"/>
    <w:rsid w:val="00DF549B"/>
    <w:rsid w:val="00DF55F8"/>
    <w:rsid w:val="00DF5800"/>
    <w:rsid w:val="00DF5A11"/>
    <w:rsid w:val="00DF729A"/>
    <w:rsid w:val="00E00BFB"/>
    <w:rsid w:val="00E0280F"/>
    <w:rsid w:val="00E02A97"/>
    <w:rsid w:val="00E03205"/>
    <w:rsid w:val="00E03549"/>
    <w:rsid w:val="00E04E3E"/>
    <w:rsid w:val="00E05529"/>
    <w:rsid w:val="00E05B14"/>
    <w:rsid w:val="00E06766"/>
    <w:rsid w:val="00E06AC9"/>
    <w:rsid w:val="00E070F6"/>
    <w:rsid w:val="00E1007E"/>
    <w:rsid w:val="00E11659"/>
    <w:rsid w:val="00E118D9"/>
    <w:rsid w:val="00E11E5B"/>
    <w:rsid w:val="00E127CA"/>
    <w:rsid w:val="00E1297B"/>
    <w:rsid w:val="00E1373A"/>
    <w:rsid w:val="00E1492B"/>
    <w:rsid w:val="00E14A94"/>
    <w:rsid w:val="00E154F6"/>
    <w:rsid w:val="00E1551F"/>
    <w:rsid w:val="00E167D9"/>
    <w:rsid w:val="00E16C5B"/>
    <w:rsid w:val="00E20C29"/>
    <w:rsid w:val="00E21D9D"/>
    <w:rsid w:val="00E21EA4"/>
    <w:rsid w:val="00E23543"/>
    <w:rsid w:val="00E24F0E"/>
    <w:rsid w:val="00E2570A"/>
    <w:rsid w:val="00E2775B"/>
    <w:rsid w:val="00E306E1"/>
    <w:rsid w:val="00E30726"/>
    <w:rsid w:val="00E311D7"/>
    <w:rsid w:val="00E31BF2"/>
    <w:rsid w:val="00E31F92"/>
    <w:rsid w:val="00E3230A"/>
    <w:rsid w:val="00E331BE"/>
    <w:rsid w:val="00E3478D"/>
    <w:rsid w:val="00E35457"/>
    <w:rsid w:val="00E361BB"/>
    <w:rsid w:val="00E40201"/>
    <w:rsid w:val="00E436A9"/>
    <w:rsid w:val="00E45096"/>
    <w:rsid w:val="00E45915"/>
    <w:rsid w:val="00E46E2A"/>
    <w:rsid w:val="00E51868"/>
    <w:rsid w:val="00E523F5"/>
    <w:rsid w:val="00E53691"/>
    <w:rsid w:val="00E56090"/>
    <w:rsid w:val="00E602DA"/>
    <w:rsid w:val="00E6038C"/>
    <w:rsid w:val="00E60580"/>
    <w:rsid w:val="00E6222A"/>
    <w:rsid w:val="00E650AF"/>
    <w:rsid w:val="00E653A7"/>
    <w:rsid w:val="00E6599E"/>
    <w:rsid w:val="00E70AD2"/>
    <w:rsid w:val="00E70BBB"/>
    <w:rsid w:val="00E71360"/>
    <w:rsid w:val="00E71609"/>
    <w:rsid w:val="00E71F93"/>
    <w:rsid w:val="00E71FB7"/>
    <w:rsid w:val="00E72E18"/>
    <w:rsid w:val="00E74E68"/>
    <w:rsid w:val="00E7576F"/>
    <w:rsid w:val="00E75E46"/>
    <w:rsid w:val="00E771CE"/>
    <w:rsid w:val="00E774D3"/>
    <w:rsid w:val="00E77839"/>
    <w:rsid w:val="00E822E5"/>
    <w:rsid w:val="00E838F4"/>
    <w:rsid w:val="00E83E08"/>
    <w:rsid w:val="00E86224"/>
    <w:rsid w:val="00E863FA"/>
    <w:rsid w:val="00E86F70"/>
    <w:rsid w:val="00E86FCC"/>
    <w:rsid w:val="00E8765B"/>
    <w:rsid w:val="00E87F48"/>
    <w:rsid w:val="00E90049"/>
    <w:rsid w:val="00E917E0"/>
    <w:rsid w:val="00E921C6"/>
    <w:rsid w:val="00E92404"/>
    <w:rsid w:val="00E93EE0"/>
    <w:rsid w:val="00E94190"/>
    <w:rsid w:val="00E9482D"/>
    <w:rsid w:val="00E951C0"/>
    <w:rsid w:val="00E952A8"/>
    <w:rsid w:val="00E95FCD"/>
    <w:rsid w:val="00E96350"/>
    <w:rsid w:val="00EA16C9"/>
    <w:rsid w:val="00EA2537"/>
    <w:rsid w:val="00EA3696"/>
    <w:rsid w:val="00EA42E2"/>
    <w:rsid w:val="00EA49B0"/>
    <w:rsid w:val="00EA5B57"/>
    <w:rsid w:val="00EA5DF0"/>
    <w:rsid w:val="00EA680E"/>
    <w:rsid w:val="00EB1CC8"/>
    <w:rsid w:val="00EB311A"/>
    <w:rsid w:val="00EB3DAB"/>
    <w:rsid w:val="00EB532E"/>
    <w:rsid w:val="00EB6460"/>
    <w:rsid w:val="00EB6846"/>
    <w:rsid w:val="00EB7350"/>
    <w:rsid w:val="00EC12B6"/>
    <w:rsid w:val="00EC1915"/>
    <w:rsid w:val="00EC2C55"/>
    <w:rsid w:val="00EC40BF"/>
    <w:rsid w:val="00EC49BF"/>
    <w:rsid w:val="00EC5B8E"/>
    <w:rsid w:val="00EC6311"/>
    <w:rsid w:val="00EC792E"/>
    <w:rsid w:val="00EC7CBF"/>
    <w:rsid w:val="00ED28DB"/>
    <w:rsid w:val="00ED3186"/>
    <w:rsid w:val="00ED33EC"/>
    <w:rsid w:val="00ED3541"/>
    <w:rsid w:val="00ED40E7"/>
    <w:rsid w:val="00ED57FD"/>
    <w:rsid w:val="00ED6571"/>
    <w:rsid w:val="00EE0E72"/>
    <w:rsid w:val="00EE14BF"/>
    <w:rsid w:val="00EE14E2"/>
    <w:rsid w:val="00EE1552"/>
    <w:rsid w:val="00EE3473"/>
    <w:rsid w:val="00EE3531"/>
    <w:rsid w:val="00EE35B2"/>
    <w:rsid w:val="00EE3A76"/>
    <w:rsid w:val="00EE54A9"/>
    <w:rsid w:val="00EE653C"/>
    <w:rsid w:val="00EE78D3"/>
    <w:rsid w:val="00EE7C1F"/>
    <w:rsid w:val="00EF2785"/>
    <w:rsid w:val="00EF3BF2"/>
    <w:rsid w:val="00EF52BB"/>
    <w:rsid w:val="00EF58A7"/>
    <w:rsid w:val="00EF644B"/>
    <w:rsid w:val="00EF69BE"/>
    <w:rsid w:val="00EF6B47"/>
    <w:rsid w:val="00EF7231"/>
    <w:rsid w:val="00EF73E6"/>
    <w:rsid w:val="00F0166E"/>
    <w:rsid w:val="00F01CE5"/>
    <w:rsid w:val="00F02410"/>
    <w:rsid w:val="00F027B7"/>
    <w:rsid w:val="00F029CB"/>
    <w:rsid w:val="00F0405E"/>
    <w:rsid w:val="00F04A1A"/>
    <w:rsid w:val="00F06285"/>
    <w:rsid w:val="00F06BA9"/>
    <w:rsid w:val="00F06DFD"/>
    <w:rsid w:val="00F07119"/>
    <w:rsid w:val="00F07377"/>
    <w:rsid w:val="00F075FE"/>
    <w:rsid w:val="00F1000F"/>
    <w:rsid w:val="00F10CB2"/>
    <w:rsid w:val="00F13646"/>
    <w:rsid w:val="00F14109"/>
    <w:rsid w:val="00F150AB"/>
    <w:rsid w:val="00F15384"/>
    <w:rsid w:val="00F15430"/>
    <w:rsid w:val="00F159F6"/>
    <w:rsid w:val="00F179C4"/>
    <w:rsid w:val="00F17A15"/>
    <w:rsid w:val="00F212CD"/>
    <w:rsid w:val="00F21610"/>
    <w:rsid w:val="00F2179A"/>
    <w:rsid w:val="00F21894"/>
    <w:rsid w:val="00F22353"/>
    <w:rsid w:val="00F2336A"/>
    <w:rsid w:val="00F24751"/>
    <w:rsid w:val="00F264B5"/>
    <w:rsid w:val="00F3051D"/>
    <w:rsid w:val="00F32FB4"/>
    <w:rsid w:val="00F33E58"/>
    <w:rsid w:val="00F34435"/>
    <w:rsid w:val="00F3478B"/>
    <w:rsid w:val="00F36779"/>
    <w:rsid w:val="00F40B1A"/>
    <w:rsid w:val="00F438BC"/>
    <w:rsid w:val="00F453D6"/>
    <w:rsid w:val="00F46843"/>
    <w:rsid w:val="00F46856"/>
    <w:rsid w:val="00F55899"/>
    <w:rsid w:val="00F55D9D"/>
    <w:rsid w:val="00F57914"/>
    <w:rsid w:val="00F57B48"/>
    <w:rsid w:val="00F57E46"/>
    <w:rsid w:val="00F57FF7"/>
    <w:rsid w:val="00F602B4"/>
    <w:rsid w:val="00F60A92"/>
    <w:rsid w:val="00F6145B"/>
    <w:rsid w:val="00F614AA"/>
    <w:rsid w:val="00F64E14"/>
    <w:rsid w:val="00F65173"/>
    <w:rsid w:val="00F65B36"/>
    <w:rsid w:val="00F66DCD"/>
    <w:rsid w:val="00F67ACB"/>
    <w:rsid w:val="00F67D59"/>
    <w:rsid w:val="00F70611"/>
    <w:rsid w:val="00F719AA"/>
    <w:rsid w:val="00F72B91"/>
    <w:rsid w:val="00F72EEC"/>
    <w:rsid w:val="00F741FC"/>
    <w:rsid w:val="00F746AD"/>
    <w:rsid w:val="00F75BC2"/>
    <w:rsid w:val="00F7603C"/>
    <w:rsid w:val="00F77EFA"/>
    <w:rsid w:val="00F802C1"/>
    <w:rsid w:val="00F8045B"/>
    <w:rsid w:val="00F80CD7"/>
    <w:rsid w:val="00F8159E"/>
    <w:rsid w:val="00F8160D"/>
    <w:rsid w:val="00F82676"/>
    <w:rsid w:val="00F83CC5"/>
    <w:rsid w:val="00F8495F"/>
    <w:rsid w:val="00F873ED"/>
    <w:rsid w:val="00F87E3D"/>
    <w:rsid w:val="00F91942"/>
    <w:rsid w:val="00F9219E"/>
    <w:rsid w:val="00F930F1"/>
    <w:rsid w:val="00F93B35"/>
    <w:rsid w:val="00F93CE5"/>
    <w:rsid w:val="00F94F7D"/>
    <w:rsid w:val="00F96A13"/>
    <w:rsid w:val="00F96DEB"/>
    <w:rsid w:val="00F970BE"/>
    <w:rsid w:val="00F973A0"/>
    <w:rsid w:val="00FA010A"/>
    <w:rsid w:val="00FA0FCF"/>
    <w:rsid w:val="00FA182A"/>
    <w:rsid w:val="00FA23B0"/>
    <w:rsid w:val="00FA290D"/>
    <w:rsid w:val="00FA393E"/>
    <w:rsid w:val="00FA39E4"/>
    <w:rsid w:val="00FA4905"/>
    <w:rsid w:val="00FA67EF"/>
    <w:rsid w:val="00FA6B51"/>
    <w:rsid w:val="00FA7007"/>
    <w:rsid w:val="00FA75F9"/>
    <w:rsid w:val="00FA77C2"/>
    <w:rsid w:val="00FA77F5"/>
    <w:rsid w:val="00FA7DD5"/>
    <w:rsid w:val="00FB02FD"/>
    <w:rsid w:val="00FB22FC"/>
    <w:rsid w:val="00FB2F4C"/>
    <w:rsid w:val="00FB327A"/>
    <w:rsid w:val="00FB33FE"/>
    <w:rsid w:val="00FB5989"/>
    <w:rsid w:val="00FB728F"/>
    <w:rsid w:val="00FC14D4"/>
    <w:rsid w:val="00FC383E"/>
    <w:rsid w:val="00FC3CC7"/>
    <w:rsid w:val="00FC3F92"/>
    <w:rsid w:val="00FC4BAB"/>
    <w:rsid w:val="00FC7FFB"/>
    <w:rsid w:val="00FD02BF"/>
    <w:rsid w:val="00FD0A97"/>
    <w:rsid w:val="00FD0B5D"/>
    <w:rsid w:val="00FD2021"/>
    <w:rsid w:val="00FD33D3"/>
    <w:rsid w:val="00FD57F2"/>
    <w:rsid w:val="00FD5C35"/>
    <w:rsid w:val="00FD699A"/>
    <w:rsid w:val="00FD7338"/>
    <w:rsid w:val="00FE256E"/>
    <w:rsid w:val="00FE2CF9"/>
    <w:rsid w:val="00FE2D4A"/>
    <w:rsid w:val="00FE43CF"/>
    <w:rsid w:val="00FE6124"/>
    <w:rsid w:val="00FE624B"/>
    <w:rsid w:val="00FE7453"/>
    <w:rsid w:val="00FF1E4B"/>
    <w:rsid w:val="00FF4A6D"/>
    <w:rsid w:val="00FF4ABB"/>
    <w:rsid w:val="00FF6076"/>
    <w:rsid w:val="00FF793A"/>
    <w:rsid w:val="00FF7DB5"/>
    <w:rsid w:val="010A217F"/>
    <w:rsid w:val="0116425B"/>
    <w:rsid w:val="011D015A"/>
    <w:rsid w:val="01251B2E"/>
    <w:rsid w:val="01393642"/>
    <w:rsid w:val="01467A26"/>
    <w:rsid w:val="01A82D52"/>
    <w:rsid w:val="01B667F4"/>
    <w:rsid w:val="01BF3E03"/>
    <w:rsid w:val="01F21292"/>
    <w:rsid w:val="01F833FC"/>
    <w:rsid w:val="026C2A2F"/>
    <w:rsid w:val="028C03C2"/>
    <w:rsid w:val="02922C89"/>
    <w:rsid w:val="02971947"/>
    <w:rsid w:val="032304D7"/>
    <w:rsid w:val="03265180"/>
    <w:rsid w:val="039B3DC0"/>
    <w:rsid w:val="03B1108F"/>
    <w:rsid w:val="03BB3611"/>
    <w:rsid w:val="04277401"/>
    <w:rsid w:val="04447599"/>
    <w:rsid w:val="04566197"/>
    <w:rsid w:val="045F6B9B"/>
    <w:rsid w:val="04B8726C"/>
    <w:rsid w:val="04CB170F"/>
    <w:rsid w:val="050B6D23"/>
    <w:rsid w:val="05401F48"/>
    <w:rsid w:val="0548247D"/>
    <w:rsid w:val="05560FDD"/>
    <w:rsid w:val="055C2B9D"/>
    <w:rsid w:val="056E1151"/>
    <w:rsid w:val="058237FA"/>
    <w:rsid w:val="05843B17"/>
    <w:rsid w:val="059E36F3"/>
    <w:rsid w:val="05C145CC"/>
    <w:rsid w:val="05CB30AD"/>
    <w:rsid w:val="05D24F9A"/>
    <w:rsid w:val="05FF196A"/>
    <w:rsid w:val="064211ED"/>
    <w:rsid w:val="065149EE"/>
    <w:rsid w:val="07072066"/>
    <w:rsid w:val="072D11D3"/>
    <w:rsid w:val="072E4C00"/>
    <w:rsid w:val="07885BED"/>
    <w:rsid w:val="078A03D3"/>
    <w:rsid w:val="07923EFB"/>
    <w:rsid w:val="07C54A92"/>
    <w:rsid w:val="07F62213"/>
    <w:rsid w:val="08253C6E"/>
    <w:rsid w:val="084B3EDB"/>
    <w:rsid w:val="08825ED1"/>
    <w:rsid w:val="089759B9"/>
    <w:rsid w:val="08995B46"/>
    <w:rsid w:val="08B06B69"/>
    <w:rsid w:val="08BE4849"/>
    <w:rsid w:val="08C761B1"/>
    <w:rsid w:val="08D36DB1"/>
    <w:rsid w:val="08FE0A13"/>
    <w:rsid w:val="0971461D"/>
    <w:rsid w:val="099B0CDE"/>
    <w:rsid w:val="09B216D6"/>
    <w:rsid w:val="09D97B3F"/>
    <w:rsid w:val="09E15AC5"/>
    <w:rsid w:val="0A156382"/>
    <w:rsid w:val="0A3B7E6A"/>
    <w:rsid w:val="0A447D68"/>
    <w:rsid w:val="0A934DF9"/>
    <w:rsid w:val="0AC13BFD"/>
    <w:rsid w:val="0ADD7A63"/>
    <w:rsid w:val="0AFA33CD"/>
    <w:rsid w:val="0B380146"/>
    <w:rsid w:val="0B4A2AED"/>
    <w:rsid w:val="0B6E2D55"/>
    <w:rsid w:val="0B8415DD"/>
    <w:rsid w:val="0BDD3044"/>
    <w:rsid w:val="0C2030B4"/>
    <w:rsid w:val="0C250D60"/>
    <w:rsid w:val="0C4B61B7"/>
    <w:rsid w:val="0C6679BB"/>
    <w:rsid w:val="0C8A569C"/>
    <w:rsid w:val="0C994C14"/>
    <w:rsid w:val="0CF665FA"/>
    <w:rsid w:val="0D01738D"/>
    <w:rsid w:val="0D03387B"/>
    <w:rsid w:val="0D0A6419"/>
    <w:rsid w:val="0D60137B"/>
    <w:rsid w:val="0D696CDD"/>
    <w:rsid w:val="0D930996"/>
    <w:rsid w:val="0DD2613F"/>
    <w:rsid w:val="0DD83F89"/>
    <w:rsid w:val="0DE56999"/>
    <w:rsid w:val="0E07796B"/>
    <w:rsid w:val="0E180552"/>
    <w:rsid w:val="0E2A2C9C"/>
    <w:rsid w:val="0E5F4CE6"/>
    <w:rsid w:val="0E686A3B"/>
    <w:rsid w:val="0EAD6A25"/>
    <w:rsid w:val="0EC45252"/>
    <w:rsid w:val="0EDF666B"/>
    <w:rsid w:val="0F014296"/>
    <w:rsid w:val="0F0F4FC2"/>
    <w:rsid w:val="0F4F44B9"/>
    <w:rsid w:val="0F6E2388"/>
    <w:rsid w:val="0FB46350"/>
    <w:rsid w:val="0FEE5277"/>
    <w:rsid w:val="10074B10"/>
    <w:rsid w:val="10141182"/>
    <w:rsid w:val="1025656E"/>
    <w:rsid w:val="105C7F20"/>
    <w:rsid w:val="107D6F0B"/>
    <w:rsid w:val="108D4427"/>
    <w:rsid w:val="10C2298C"/>
    <w:rsid w:val="10C252A1"/>
    <w:rsid w:val="10D67B53"/>
    <w:rsid w:val="10FC5325"/>
    <w:rsid w:val="110959DE"/>
    <w:rsid w:val="11667069"/>
    <w:rsid w:val="11D67700"/>
    <w:rsid w:val="11D825FC"/>
    <w:rsid w:val="11F3687F"/>
    <w:rsid w:val="120A6451"/>
    <w:rsid w:val="123C6C11"/>
    <w:rsid w:val="125F24D0"/>
    <w:rsid w:val="126943A9"/>
    <w:rsid w:val="12781557"/>
    <w:rsid w:val="127A4AC8"/>
    <w:rsid w:val="12833748"/>
    <w:rsid w:val="129B6061"/>
    <w:rsid w:val="12B5730E"/>
    <w:rsid w:val="12BA6BFB"/>
    <w:rsid w:val="12E446E0"/>
    <w:rsid w:val="1394538E"/>
    <w:rsid w:val="13BC1C47"/>
    <w:rsid w:val="13D00CB0"/>
    <w:rsid w:val="145E6E6F"/>
    <w:rsid w:val="14622C30"/>
    <w:rsid w:val="14795197"/>
    <w:rsid w:val="14AD6645"/>
    <w:rsid w:val="14D4126B"/>
    <w:rsid w:val="15195FAE"/>
    <w:rsid w:val="15235F88"/>
    <w:rsid w:val="15354668"/>
    <w:rsid w:val="153A022B"/>
    <w:rsid w:val="15484293"/>
    <w:rsid w:val="1584013C"/>
    <w:rsid w:val="159A4C5C"/>
    <w:rsid w:val="15DA2525"/>
    <w:rsid w:val="15E45AE9"/>
    <w:rsid w:val="15F93AD9"/>
    <w:rsid w:val="166167A3"/>
    <w:rsid w:val="166D5B8B"/>
    <w:rsid w:val="16985F3D"/>
    <w:rsid w:val="16A10441"/>
    <w:rsid w:val="16CD271D"/>
    <w:rsid w:val="17012210"/>
    <w:rsid w:val="170B0D59"/>
    <w:rsid w:val="17380C6C"/>
    <w:rsid w:val="17544FE9"/>
    <w:rsid w:val="175D6096"/>
    <w:rsid w:val="176E505C"/>
    <w:rsid w:val="176F7294"/>
    <w:rsid w:val="1787048B"/>
    <w:rsid w:val="17B24558"/>
    <w:rsid w:val="17D8237F"/>
    <w:rsid w:val="18025EF0"/>
    <w:rsid w:val="18254283"/>
    <w:rsid w:val="18643C8B"/>
    <w:rsid w:val="18C96881"/>
    <w:rsid w:val="18CF0E3D"/>
    <w:rsid w:val="18DF4076"/>
    <w:rsid w:val="18ED332F"/>
    <w:rsid w:val="18F65ADA"/>
    <w:rsid w:val="19002AD9"/>
    <w:rsid w:val="192844EE"/>
    <w:rsid w:val="193039E8"/>
    <w:rsid w:val="1990114D"/>
    <w:rsid w:val="19A335C5"/>
    <w:rsid w:val="19B27315"/>
    <w:rsid w:val="19FF014A"/>
    <w:rsid w:val="1A654388"/>
    <w:rsid w:val="1A7B6807"/>
    <w:rsid w:val="1AFB4FE2"/>
    <w:rsid w:val="1B141953"/>
    <w:rsid w:val="1B1647A4"/>
    <w:rsid w:val="1B5A2202"/>
    <w:rsid w:val="1B6B3381"/>
    <w:rsid w:val="1B7E27F3"/>
    <w:rsid w:val="1B8E1761"/>
    <w:rsid w:val="1BB90D09"/>
    <w:rsid w:val="1BC94671"/>
    <w:rsid w:val="1BD65195"/>
    <w:rsid w:val="1BF478EC"/>
    <w:rsid w:val="1C0363BD"/>
    <w:rsid w:val="1C0D5E84"/>
    <w:rsid w:val="1C245C10"/>
    <w:rsid w:val="1C281B11"/>
    <w:rsid w:val="1C4806E9"/>
    <w:rsid w:val="1C4C2DD0"/>
    <w:rsid w:val="1C727D18"/>
    <w:rsid w:val="1C7A78D8"/>
    <w:rsid w:val="1CB1370F"/>
    <w:rsid w:val="1CB75276"/>
    <w:rsid w:val="1CBC645E"/>
    <w:rsid w:val="1CCF26E2"/>
    <w:rsid w:val="1D3121A2"/>
    <w:rsid w:val="1DAE3F03"/>
    <w:rsid w:val="1DEA2928"/>
    <w:rsid w:val="1DFF1E6A"/>
    <w:rsid w:val="1E0C793C"/>
    <w:rsid w:val="1E1F71F8"/>
    <w:rsid w:val="1E2405CD"/>
    <w:rsid w:val="1E497368"/>
    <w:rsid w:val="1E560836"/>
    <w:rsid w:val="1E57492F"/>
    <w:rsid w:val="1E7C3A2F"/>
    <w:rsid w:val="1E7D1D68"/>
    <w:rsid w:val="1EBB6C6C"/>
    <w:rsid w:val="1EE003DD"/>
    <w:rsid w:val="1EF539E3"/>
    <w:rsid w:val="1F026787"/>
    <w:rsid w:val="1F4E7AE0"/>
    <w:rsid w:val="1F593F1B"/>
    <w:rsid w:val="1F6D0DBA"/>
    <w:rsid w:val="1FAA6C81"/>
    <w:rsid w:val="1FB42039"/>
    <w:rsid w:val="1FCC2C43"/>
    <w:rsid w:val="1FFBCE5E"/>
    <w:rsid w:val="20064A43"/>
    <w:rsid w:val="20140E00"/>
    <w:rsid w:val="20182BD0"/>
    <w:rsid w:val="202B07D6"/>
    <w:rsid w:val="20364D81"/>
    <w:rsid w:val="20384A18"/>
    <w:rsid w:val="20721A0B"/>
    <w:rsid w:val="208D563E"/>
    <w:rsid w:val="20A872D2"/>
    <w:rsid w:val="20B12FA2"/>
    <w:rsid w:val="20EA2320"/>
    <w:rsid w:val="20EC63DB"/>
    <w:rsid w:val="212B7882"/>
    <w:rsid w:val="213F5B84"/>
    <w:rsid w:val="216C2F50"/>
    <w:rsid w:val="21770010"/>
    <w:rsid w:val="217B0BD5"/>
    <w:rsid w:val="21A17C29"/>
    <w:rsid w:val="21F06433"/>
    <w:rsid w:val="223C5C43"/>
    <w:rsid w:val="22481353"/>
    <w:rsid w:val="224D2B69"/>
    <w:rsid w:val="2262184E"/>
    <w:rsid w:val="226D7729"/>
    <w:rsid w:val="2283117C"/>
    <w:rsid w:val="228D1052"/>
    <w:rsid w:val="22936348"/>
    <w:rsid w:val="22A7181E"/>
    <w:rsid w:val="22C71C6A"/>
    <w:rsid w:val="22D86655"/>
    <w:rsid w:val="22FF382A"/>
    <w:rsid w:val="2302130E"/>
    <w:rsid w:val="23672DEF"/>
    <w:rsid w:val="236B1910"/>
    <w:rsid w:val="237E030D"/>
    <w:rsid w:val="23957B07"/>
    <w:rsid w:val="23C4404B"/>
    <w:rsid w:val="23D749CD"/>
    <w:rsid w:val="23F960F5"/>
    <w:rsid w:val="24103191"/>
    <w:rsid w:val="24547457"/>
    <w:rsid w:val="24897977"/>
    <w:rsid w:val="248F028D"/>
    <w:rsid w:val="249A383B"/>
    <w:rsid w:val="249F616B"/>
    <w:rsid w:val="24A578B1"/>
    <w:rsid w:val="24DD1F41"/>
    <w:rsid w:val="24EF141E"/>
    <w:rsid w:val="25096983"/>
    <w:rsid w:val="253579BB"/>
    <w:rsid w:val="254B4D27"/>
    <w:rsid w:val="256516E0"/>
    <w:rsid w:val="25BD02B3"/>
    <w:rsid w:val="25D36F91"/>
    <w:rsid w:val="25F27E05"/>
    <w:rsid w:val="260175C0"/>
    <w:rsid w:val="26025528"/>
    <w:rsid w:val="26143C24"/>
    <w:rsid w:val="26145393"/>
    <w:rsid w:val="266103C2"/>
    <w:rsid w:val="267D0359"/>
    <w:rsid w:val="267D1BB8"/>
    <w:rsid w:val="26EA6341"/>
    <w:rsid w:val="26F159B7"/>
    <w:rsid w:val="27097394"/>
    <w:rsid w:val="272F2B42"/>
    <w:rsid w:val="274176DD"/>
    <w:rsid w:val="27670128"/>
    <w:rsid w:val="27D9482F"/>
    <w:rsid w:val="27E901D9"/>
    <w:rsid w:val="27ECC82F"/>
    <w:rsid w:val="280B0C8B"/>
    <w:rsid w:val="28294365"/>
    <w:rsid w:val="282A2D2F"/>
    <w:rsid w:val="28305CCF"/>
    <w:rsid w:val="28557A11"/>
    <w:rsid w:val="286065D9"/>
    <w:rsid w:val="28897CD6"/>
    <w:rsid w:val="28A44A7A"/>
    <w:rsid w:val="28C61DB2"/>
    <w:rsid w:val="28D01566"/>
    <w:rsid w:val="28D6248D"/>
    <w:rsid w:val="28DE7E5D"/>
    <w:rsid w:val="28E35791"/>
    <w:rsid w:val="290063B1"/>
    <w:rsid w:val="29162ABB"/>
    <w:rsid w:val="291C2257"/>
    <w:rsid w:val="295D53A7"/>
    <w:rsid w:val="29765023"/>
    <w:rsid w:val="29BA083F"/>
    <w:rsid w:val="29D82802"/>
    <w:rsid w:val="2A44045E"/>
    <w:rsid w:val="2A4B17EC"/>
    <w:rsid w:val="2A524929"/>
    <w:rsid w:val="2A6F2790"/>
    <w:rsid w:val="2A8D21AB"/>
    <w:rsid w:val="2AA07DB1"/>
    <w:rsid w:val="2AAD4837"/>
    <w:rsid w:val="2AAE09A9"/>
    <w:rsid w:val="2AB15847"/>
    <w:rsid w:val="2AD3777E"/>
    <w:rsid w:val="2B08436F"/>
    <w:rsid w:val="2B401E8D"/>
    <w:rsid w:val="2B4F4DF1"/>
    <w:rsid w:val="2B5B3A94"/>
    <w:rsid w:val="2B65243A"/>
    <w:rsid w:val="2B653518"/>
    <w:rsid w:val="2B804089"/>
    <w:rsid w:val="2B904406"/>
    <w:rsid w:val="2BA968AE"/>
    <w:rsid w:val="2BBB64FD"/>
    <w:rsid w:val="2BBD4024"/>
    <w:rsid w:val="2BC5709C"/>
    <w:rsid w:val="2BC61F5D"/>
    <w:rsid w:val="2BE14A2F"/>
    <w:rsid w:val="2BFD7B3B"/>
    <w:rsid w:val="2C10207C"/>
    <w:rsid w:val="2C136339"/>
    <w:rsid w:val="2C224286"/>
    <w:rsid w:val="2C2D28F3"/>
    <w:rsid w:val="2C2E6D7B"/>
    <w:rsid w:val="2C45504C"/>
    <w:rsid w:val="2C593A1D"/>
    <w:rsid w:val="2C5C37DA"/>
    <w:rsid w:val="2C8175CF"/>
    <w:rsid w:val="2C82443B"/>
    <w:rsid w:val="2C92725E"/>
    <w:rsid w:val="2C9E7D7D"/>
    <w:rsid w:val="2CA049C5"/>
    <w:rsid w:val="2CAA31DC"/>
    <w:rsid w:val="2CC338BC"/>
    <w:rsid w:val="2CD86E1F"/>
    <w:rsid w:val="2D521BAD"/>
    <w:rsid w:val="2D810644"/>
    <w:rsid w:val="2DC35148"/>
    <w:rsid w:val="2DCF6290"/>
    <w:rsid w:val="2DDB7755"/>
    <w:rsid w:val="2DDE6CE6"/>
    <w:rsid w:val="2DE547E7"/>
    <w:rsid w:val="2E182B57"/>
    <w:rsid w:val="2E200F13"/>
    <w:rsid w:val="2E330A38"/>
    <w:rsid w:val="2E381790"/>
    <w:rsid w:val="2E3D0659"/>
    <w:rsid w:val="2E650359"/>
    <w:rsid w:val="2E8121BC"/>
    <w:rsid w:val="2E943E85"/>
    <w:rsid w:val="2EB016A5"/>
    <w:rsid w:val="2EB37960"/>
    <w:rsid w:val="2EF31F27"/>
    <w:rsid w:val="2F08083F"/>
    <w:rsid w:val="2F1A1F4C"/>
    <w:rsid w:val="2F2C11F4"/>
    <w:rsid w:val="2F4F1BCB"/>
    <w:rsid w:val="2F4FB57F"/>
    <w:rsid w:val="2F7D2448"/>
    <w:rsid w:val="2F850DD9"/>
    <w:rsid w:val="2FB13FCA"/>
    <w:rsid w:val="2FB4365F"/>
    <w:rsid w:val="2FC35981"/>
    <w:rsid w:val="2FC5243F"/>
    <w:rsid w:val="2FD22C23"/>
    <w:rsid w:val="2FEF6776"/>
    <w:rsid w:val="30041971"/>
    <w:rsid w:val="302012CD"/>
    <w:rsid w:val="30214ECC"/>
    <w:rsid w:val="30230612"/>
    <w:rsid w:val="304271ED"/>
    <w:rsid w:val="307577AA"/>
    <w:rsid w:val="30A6777C"/>
    <w:rsid w:val="30C57DDE"/>
    <w:rsid w:val="312749F5"/>
    <w:rsid w:val="313E1763"/>
    <w:rsid w:val="316F4012"/>
    <w:rsid w:val="31AB36C3"/>
    <w:rsid w:val="31B9703B"/>
    <w:rsid w:val="31C520BF"/>
    <w:rsid w:val="31C679AA"/>
    <w:rsid w:val="31E06859"/>
    <w:rsid w:val="31F47A7E"/>
    <w:rsid w:val="32261822"/>
    <w:rsid w:val="327412E2"/>
    <w:rsid w:val="32893179"/>
    <w:rsid w:val="329D23D0"/>
    <w:rsid w:val="32A06348"/>
    <w:rsid w:val="32B26F44"/>
    <w:rsid w:val="330101C3"/>
    <w:rsid w:val="332B5D17"/>
    <w:rsid w:val="337551E4"/>
    <w:rsid w:val="33897DD1"/>
    <w:rsid w:val="33A378FF"/>
    <w:rsid w:val="33A61C86"/>
    <w:rsid w:val="33B45D0C"/>
    <w:rsid w:val="33E523B4"/>
    <w:rsid w:val="33F94182"/>
    <w:rsid w:val="34337A3B"/>
    <w:rsid w:val="34943D90"/>
    <w:rsid w:val="349C6850"/>
    <w:rsid w:val="34A77600"/>
    <w:rsid w:val="34BB30CA"/>
    <w:rsid w:val="34D46CD5"/>
    <w:rsid w:val="34F06B97"/>
    <w:rsid w:val="35130EF5"/>
    <w:rsid w:val="35152498"/>
    <w:rsid w:val="351A6043"/>
    <w:rsid w:val="351C6C09"/>
    <w:rsid w:val="35224246"/>
    <w:rsid w:val="35587150"/>
    <w:rsid w:val="35664F77"/>
    <w:rsid w:val="3588002E"/>
    <w:rsid w:val="35A46A41"/>
    <w:rsid w:val="35BBB421"/>
    <w:rsid w:val="35BC4400"/>
    <w:rsid w:val="35BF1707"/>
    <w:rsid w:val="35ED3757"/>
    <w:rsid w:val="360202AF"/>
    <w:rsid w:val="361F5BEB"/>
    <w:rsid w:val="362A3D83"/>
    <w:rsid w:val="366A2FFA"/>
    <w:rsid w:val="367B7DD2"/>
    <w:rsid w:val="36A51CFA"/>
    <w:rsid w:val="36AA1648"/>
    <w:rsid w:val="36E12C8C"/>
    <w:rsid w:val="36F12692"/>
    <w:rsid w:val="37024756"/>
    <w:rsid w:val="371371EE"/>
    <w:rsid w:val="37166CDE"/>
    <w:rsid w:val="372B2789"/>
    <w:rsid w:val="372F1454"/>
    <w:rsid w:val="37C36795"/>
    <w:rsid w:val="3825542A"/>
    <w:rsid w:val="387E4B3B"/>
    <w:rsid w:val="388F7FC9"/>
    <w:rsid w:val="389905F2"/>
    <w:rsid w:val="38A15863"/>
    <w:rsid w:val="38B368FA"/>
    <w:rsid w:val="38B36EDA"/>
    <w:rsid w:val="38C407ED"/>
    <w:rsid w:val="38DE137D"/>
    <w:rsid w:val="38DF3CE2"/>
    <w:rsid w:val="38EC2FF3"/>
    <w:rsid w:val="390D2D44"/>
    <w:rsid w:val="39166626"/>
    <w:rsid w:val="392456E2"/>
    <w:rsid w:val="393C747D"/>
    <w:rsid w:val="397E7917"/>
    <w:rsid w:val="39825E89"/>
    <w:rsid w:val="39CB4426"/>
    <w:rsid w:val="39DE0025"/>
    <w:rsid w:val="39E83F35"/>
    <w:rsid w:val="39F5707E"/>
    <w:rsid w:val="39FD3C62"/>
    <w:rsid w:val="39FF4982"/>
    <w:rsid w:val="3A783302"/>
    <w:rsid w:val="3AAD35C6"/>
    <w:rsid w:val="3AD851A6"/>
    <w:rsid w:val="3ADC4A5E"/>
    <w:rsid w:val="3AE012DA"/>
    <w:rsid w:val="3AE338A3"/>
    <w:rsid w:val="3B263A9D"/>
    <w:rsid w:val="3B283ACB"/>
    <w:rsid w:val="3B287DE2"/>
    <w:rsid w:val="3B4007CD"/>
    <w:rsid w:val="3B5C4285"/>
    <w:rsid w:val="3BA1436A"/>
    <w:rsid w:val="3BCB2F07"/>
    <w:rsid w:val="3BED6B7C"/>
    <w:rsid w:val="3BFD65FB"/>
    <w:rsid w:val="3C436929"/>
    <w:rsid w:val="3C4E087E"/>
    <w:rsid w:val="3C5C1637"/>
    <w:rsid w:val="3C8C1E91"/>
    <w:rsid w:val="3C9457CB"/>
    <w:rsid w:val="3CAD3C5D"/>
    <w:rsid w:val="3CE31410"/>
    <w:rsid w:val="3D015025"/>
    <w:rsid w:val="3D042357"/>
    <w:rsid w:val="3D135C8D"/>
    <w:rsid w:val="3D262980"/>
    <w:rsid w:val="3D48732D"/>
    <w:rsid w:val="3D6643E0"/>
    <w:rsid w:val="3D9257BF"/>
    <w:rsid w:val="3D9A5EF6"/>
    <w:rsid w:val="3DB45648"/>
    <w:rsid w:val="3E0F2E2C"/>
    <w:rsid w:val="3E111FAD"/>
    <w:rsid w:val="3E302B2D"/>
    <w:rsid w:val="3E382264"/>
    <w:rsid w:val="3E614CE2"/>
    <w:rsid w:val="3ED53A8B"/>
    <w:rsid w:val="3EE14FAF"/>
    <w:rsid w:val="3F035D9A"/>
    <w:rsid w:val="3F224D0D"/>
    <w:rsid w:val="3F404B1D"/>
    <w:rsid w:val="3F60143E"/>
    <w:rsid w:val="3F6FA725"/>
    <w:rsid w:val="3F782882"/>
    <w:rsid w:val="3F7B1DB1"/>
    <w:rsid w:val="3FBEB031"/>
    <w:rsid w:val="3FEC7AC4"/>
    <w:rsid w:val="40210ECA"/>
    <w:rsid w:val="40287F7B"/>
    <w:rsid w:val="403F72A5"/>
    <w:rsid w:val="40412DC6"/>
    <w:rsid w:val="40920B61"/>
    <w:rsid w:val="40BC20AC"/>
    <w:rsid w:val="40E1035D"/>
    <w:rsid w:val="40F934B9"/>
    <w:rsid w:val="41122511"/>
    <w:rsid w:val="41172D18"/>
    <w:rsid w:val="41830C28"/>
    <w:rsid w:val="41B11ADD"/>
    <w:rsid w:val="41CB2592"/>
    <w:rsid w:val="41CC47CD"/>
    <w:rsid w:val="41E2613A"/>
    <w:rsid w:val="41E970F3"/>
    <w:rsid w:val="41F15479"/>
    <w:rsid w:val="420022FA"/>
    <w:rsid w:val="420B5CBA"/>
    <w:rsid w:val="42154E96"/>
    <w:rsid w:val="42183A30"/>
    <w:rsid w:val="42415A41"/>
    <w:rsid w:val="428D6C68"/>
    <w:rsid w:val="42915C45"/>
    <w:rsid w:val="429F668A"/>
    <w:rsid w:val="42AA1864"/>
    <w:rsid w:val="43160791"/>
    <w:rsid w:val="43381634"/>
    <w:rsid w:val="436A3889"/>
    <w:rsid w:val="43770EE3"/>
    <w:rsid w:val="437725F8"/>
    <w:rsid w:val="438D657A"/>
    <w:rsid w:val="43C35DCB"/>
    <w:rsid w:val="43D741DF"/>
    <w:rsid w:val="44070FDD"/>
    <w:rsid w:val="44162309"/>
    <w:rsid w:val="444E4A79"/>
    <w:rsid w:val="44593550"/>
    <w:rsid w:val="44930287"/>
    <w:rsid w:val="44CF61C1"/>
    <w:rsid w:val="44F759DC"/>
    <w:rsid w:val="45015625"/>
    <w:rsid w:val="454A70A8"/>
    <w:rsid w:val="456406B5"/>
    <w:rsid w:val="45793564"/>
    <w:rsid w:val="457D7297"/>
    <w:rsid w:val="4585575A"/>
    <w:rsid w:val="45C1250B"/>
    <w:rsid w:val="460B7C00"/>
    <w:rsid w:val="46952996"/>
    <w:rsid w:val="46B329CD"/>
    <w:rsid w:val="46EB3CE3"/>
    <w:rsid w:val="47134FE8"/>
    <w:rsid w:val="47220AC2"/>
    <w:rsid w:val="47252A80"/>
    <w:rsid w:val="472A2E92"/>
    <w:rsid w:val="4790044B"/>
    <w:rsid w:val="479309EF"/>
    <w:rsid w:val="47A73F48"/>
    <w:rsid w:val="47B30910"/>
    <w:rsid w:val="47E359FA"/>
    <w:rsid w:val="47FF53D0"/>
    <w:rsid w:val="48334182"/>
    <w:rsid w:val="483C75E2"/>
    <w:rsid w:val="48B13818"/>
    <w:rsid w:val="492F4A73"/>
    <w:rsid w:val="494C783C"/>
    <w:rsid w:val="495A19E6"/>
    <w:rsid w:val="498C61C7"/>
    <w:rsid w:val="49A55352"/>
    <w:rsid w:val="49D15412"/>
    <w:rsid w:val="49EE3ABB"/>
    <w:rsid w:val="4A0468A5"/>
    <w:rsid w:val="4A1501DE"/>
    <w:rsid w:val="4A3819C1"/>
    <w:rsid w:val="4A3952A6"/>
    <w:rsid w:val="4A455895"/>
    <w:rsid w:val="4AA5064D"/>
    <w:rsid w:val="4AAB52BD"/>
    <w:rsid w:val="4AAD305D"/>
    <w:rsid w:val="4AD60722"/>
    <w:rsid w:val="4B0C22BD"/>
    <w:rsid w:val="4B706565"/>
    <w:rsid w:val="4B837794"/>
    <w:rsid w:val="4BE43459"/>
    <w:rsid w:val="4BF83CB2"/>
    <w:rsid w:val="4C06511B"/>
    <w:rsid w:val="4C0F4D8B"/>
    <w:rsid w:val="4C886A34"/>
    <w:rsid w:val="4C9672A4"/>
    <w:rsid w:val="4CA20CF9"/>
    <w:rsid w:val="4D260627"/>
    <w:rsid w:val="4D4602B8"/>
    <w:rsid w:val="4D534390"/>
    <w:rsid w:val="4E183FCF"/>
    <w:rsid w:val="4E4E792F"/>
    <w:rsid w:val="4E4F6905"/>
    <w:rsid w:val="4E625182"/>
    <w:rsid w:val="4E885A16"/>
    <w:rsid w:val="4E89032C"/>
    <w:rsid w:val="4ED949BC"/>
    <w:rsid w:val="4F0A1409"/>
    <w:rsid w:val="4F0E65B7"/>
    <w:rsid w:val="4F1B1495"/>
    <w:rsid w:val="4F1E14E4"/>
    <w:rsid w:val="4F2102B7"/>
    <w:rsid w:val="4F225F06"/>
    <w:rsid w:val="4F227C49"/>
    <w:rsid w:val="4F26187A"/>
    <w:rsid w:val="4F390095"/>
    <w:rsid w:val="4F561E8D"/>
    <w:rsid w:val="4F97138E"/>
    <w:rsid w:val="4FD03E43"/>
    <w:rsid w:val="4FD67E2E"/>
    <w:rsid w:val="4FDB4A9A"/>
    <w:rsid w:val="4FFB8B47"/>
    <w:rsid w:val="50097C06"/>
    <w:rsid w:val="506913A5"/>
    <w:rsid w:val="509A0D48"/>
    <w:rsid w:val="50BB72F9"/>
    <w:rsid w:val="50DD08C1"/>
    <w:rsid w:val="50ED1C36"/>
    <w:rsid w:val="510346DE"/>
    <w:rsid w:val="512E7089"/>
    <w:rsid w:val="51425E23"/>
    <w:rsid w:val="51553C62"/>
    <w:rsid w:val="515E1BD7"/>
    <w:rsid w:val="51713037"/>
    <w:rsid w:val="518C3EDA"/>
    <w:rsid w:val="518D4C4A"/>
    <w:rsid w:val="51DD247A"/>
    <w:rsid w:val="51EB136C"/>
    <w:rsid w:val="51EB7539"/>
    <w:rsid w:val="522056E8"/>
    <w:rsid w:val="525B7AEE"/>
    <w:rsid w:val="528944EF"/>
    <w:rsid w:val="52A276AD"/>
    <w:rsid w:val="52BD1E76"/>
    <w:rsid w:val="52C015B7"/>
    <w:rsid w:val="52C66EED"/>
    <w:rsid w:val="52E229FD"/>
    <w:rsid w:val="530369D3"/>
    <w:rsid w:val="533E33EC"/>
    <w:rsid w:val="53400F13"/>
    <w:rsid w:val="53434C71"/>
    <w:rsid w:val="536851E2"/>
    <w:rsid w:val="53890B0C"/>
    <w:rsid w:val="53984A61"/>
    <w:rsid w:val="53CC6BBA"/>
    <w:rsid w:val="54004CC0"/>
    <w:rsid w:val="54081F37"/>
    <w:rsid w:val="541A5C08"/>
    <w:rsid w:val="54285222"/>
    <w:rsid w:val="544139C6"/>
    <w:rsid w:val="54442A72"/>
    <w:rsid w:val="549C3F93"/>
    <w:rsid w:val="54AB5F49"/>
    <w:rsid w:val="54AE3234"/>
    <w:rsid w:val="54CA3166"/>
    <w:rsid w:val="54CE2B34"/>
    <w:rsid w:val="54D33936"/>
    <w:rsid w:val="54E03140"/>
    <w:rsid w:val="54FD5E96"/>
    <w:rsid w:val="55415F7F"/>
    <w:rsid w:val="554442EC"/>
    <w:rsid w:val="55937848"/>
    <w:rsid w:val="559B68D4"/>
    <w:rsid w:val="55AD05A3"/>
    <w:rsid w:val="55E4619F"/>
    <w:rsid w:val="561D363A"/>
    <w:rsid w:val="5677490F"/>
    <w:rsid w:val="568502CD"/>
    <w:rsid w:val="56AD68BF"/>
    <w:rsid w:val="56AD690D"/>
    <w:rsid w:val="56C20BD1"/>
    <w:rsid w:val="56D7576D"/>
    <w:rsid w:val="57030BD5"/>
    <w:rsid w:val="5705494D"/>
    <w:rsid w:val="57181609"/>
    <w:rsid w:val="57211FE5"/>
    <w:rsid w:val="574436B0"/>
    <w:rsid w:val="5791301D"/>
    <w:rsid w:val="57BF3ED1"/>
    <w:rsid w:val="57EB6225"/>
    <w:rsid w:val="57FE0F91"/>
    <w:rsid w:val="57FE5D13"/>
    <w:rsid w:val="583835E6"/>
    <w:rsid w:val="58562F86"/>
    <w:rsid w:val="586147BE"/>
    <w:rsid w:val="58690D9B"/>
    <w:rsid w:val="5887607C"/>
    <w:rsid w:val="58DC16DE"/>
    <w:rsid w:val="58ED590A"/>
    <w:rsid w:val="590666E9"/>
    <w:rsid w:val="593A6404"/>
    <w:rsid w:val="59717221"/>
    <w:rsid w:val="59822759"/>
    <w:rsid w:val="59B4334D"/>
    <w:rsid w:val="59B55424"/>
    <w:rsid w:val="59ED3353"/>
    <w:rsid w:val="59FD8873"/>
    <w:rsid w:val="5A555505"/>
    <w:rsid w:val="5A8815FF"/>
    <w:rsid w:val="5AA62EAD"/>
    <w:rsid w:val="5ADC2D5B"/>
    <w:rsid w:val="5AE34067"/>
    <w:rsid w:val="5B0F4876"/>
    <w:rsid w:val="5B2F01EA"/>
    <w:rsid w:val="5B5F7C32"/>
    <w:rsid w:val="5B6A38CA"/>
    <w:rsid w:val="5B7E766A"/>
    <w:rsid w:val="5B8D4F9A"/>
    <w:rsid w:val="5BA15AF4"/>
    <w:rsid w:val="5BA77F8E"/>
    <w:rsid w:val="5BFF9888"/>
    <w:rsid w:val="5C3D458D"/>
    <w:rsid w:val="5C875E04"/>
    <w:rsid w:val="5C92062B"/>
    <w:rsid w:val="5CAD3776"/>
    <w:rsid w:val="5CBD2310"/>
    <w:rsid w:val="5CC130C4"/>
    <w:rsid w:val="5CFD1A64"/>
    <w:rsid w:val="5D066D29"/>
    <w:rsid w:val="5D0D02F2"/>
    <w:rsid w:val="5D11509D"/>
    <w:rsid w:val="5D4930BA"/>
    <w:rsid w:val="5D4D6140"/>
    <w:rsid w:val="5D4E6CF7"/>
    <w:rsid w:val="5D5859E0"/>
    <w:rsid w:val="5D7BE905"/>
    <w:rsid w:val="5D7F1638"/>
    <w:rsid w:val="5D865520"/>
    <w:rsid w:val="5DA6050C"/>
    <w:rsid w:val="5DB46785"/>
    <w:rsid w:val="5DB70302"/>
    <w:rsid w:val="5DD27B5C"/>
    <w:rsid w:val="5DF4736A"/>
    <w:rsid w:val="5DF61182"/>
    <w:rsid w:val="5E021BE6"/>
    <w:rsid w:val="5E067AF1"/>
    <w:rsid w:val="5E227348"/>
    <w:rsid w:val="5E232BE8"/>
    <w:rsid w:val="5E3E18F2"/>
    <w:rsid w:val="5E6463C2"/>
    <w:rsid w:val="5E7D126D"/>
    <w:rsid w:val="5EBDBD36"/>
    <w:rsid w:val="5EF01B09"/>
    <w:rsid w:val="5EF87866"/>
    <w:rsid w:val="5F5E0BE0"/>
    <w:rsid w:val="5F5E5C0C"/>
    <w:rsid w:val="5FCD2FE7"/>
    <w:rsid w:val="5FCF298F"/>
    <w:rsid w:val="5FD24FE6"/>
    <w:rsid w:val="5FDB77DB"/>
    <w:rsid w:val="60091B86"/>
    <w:rsid w:val="60402552"/>
    <w:rsid w:val="60474C29"/>
    <w:rsid w:val="6084667D"/>
    <w:rsid w:val="608D6FF3"/>
    <w:rsid w:val="610F6B81"/>
    <w:rsid w:val="61B015DC"/>
    <w:rsid w:val="61FA2BD4"/>
    <w:rsid w:val="62254A18"/>
    <w:rsid w:val="62257C51"/>
    <w:rsid w:val="622B0062"/>
    <w:rsid w:val="623B3854"/>
    <w:rsid w:val="6243777C"/>
    <w:rsid w:val="627D5DE1"/>
    <w:rsid w:val="62B77A3A"/>
    <w:rsid w:val="62BA09D8"/>
    <w:rsid w:val="62DD677E"/>
    <w:rsid w:val="639E4F9F"/>
    <w:rsid w:val="63B81254"/>
    <w:rsid w:val="63BB1BDE"/>
    <w:rsid w:val="63C727E5"/>
    <w:rsid w:val="63CA3F8D"/>
    <w:rsid w:val="63DF16CA"/>
    <w:rsid w:val="63FAB14A"/>
    <w:rsid w:val="640071C8"/>
    <w:rsid w:val="64127FC0"/>
    <w:rsid w:val="646E2C84"/>
    <w:rsid w:val="64962235"/>
    <w:rsid w:val="64A245A3"/>
    <w:rsid w:val="64BE05C5"/>
    <w:rsid w:val="64E542A8"/>
    <w:rsid w:val="65627111"/>
    <w:rsid w:val="65643F6C"/>
    <w:rsid w:val="65A6241B"/>
    <w:rsid w:val="65CC686E"/>
    <w:rsid w:val="6612616F"/>
    <w:rsid w:val="66163B25"/>
    <w:rsid w:val="662335F3"/>
    <w:rsid w:val="665D3CB1"/>
    <w:rsid w:val="66664CDC"/>
    <w:rsid w:val="66694211"/>
    <w:rsid w:val="6671731A"/>
    <w:rsid w:val="66AC6BF2"/>
    <w:rsid w:val="66B405E1"/>
    <w:rsid w:val="67044206"/>
    <w:rsid w:val="67127206"/>
    <w:rsid w:val="673D6D3E"/>
    <w:rsid w:val="676C00D0"/>
    <w:rsid w:val="6790015A"/>
    <w:rsid w:val="67E9260F"/>
    <w:rsid w:val="67FB08EB"/>
    <w:rsid w:val="68224C33"/>
    <w:rsid w:val="683A3D55"/>
    <w:rsid w:val="68403510"/>
    <w:rsid w:val="6856122A"/>
    <w:rsid w:val="68586C22"/>
    <w:rsid w:val="68662E79"/>
    <w:rsid w:val="687C276B"/>
    <w:rsid w:val="689F5992"/>
    <w:rsid w:val="68CF0917"/>
    <w:rsid w:val="69215262"/>
    <w:rsid w:val="6924643D"/>
    <w:rsid w:val="69490B89"/>
    <w:rsid w:val="69572A3C"/>
    <w:rsid w:val="696A6BEE"/>
    <w:rsid w:val="698C0735"/>
    <w:rsid w:val="69B212C8"/>
    <w:rsid w:val="6A221273"/>
    <w:rsid w:val="6A3749C6"/>
    <w:rsid w:val="6A566BA4"/>
    <w:rsid w:val="6A5A4B58"/>
    <w:rsid w:val="6A8146AE"/>
    <w:rsid w:val="6AB7027F"/>
    <w:rsid w:val="6AE8529F"/>
    <w:rsid w:val="6AF3AA97"/>
    <w:rsid w:val="6B063451"/>
    <w:rsid w:val="6B281AAA"/>
    <w:rsid w:val="6B2A62D8"/>
    <w:rsid w:val="6B372425"/>
    <w:rsid w:val="6B457C6F"/>
    <w:rsid w:val="6B5506CC"/>
    <w:rsid w:val="6B840C37"/>
    <w:rsid w:val="6B8C6F93"/>
    <w:rsid w:val="6BAA7EB9"/>
    <w:rsid w:val="6C0B1445"/>
    <w:rsid w:val="6C135112"/>
    <w:rsid w:val="6C143B45"/>
    <w:rsid w:val="6C1F3963"/>
    <w:rsid w:val="6C6677E4"/>
    <w:rsid w:val="6C706AE0"/>
    <w:rsid w:val="6C88747C"/>
    <w:rsid w:val="6C8D011C"/>
    <w:rsid w:val="6C8F1F80"/>
    <w:rsid w:val="6CD522A9"/>
    <w:rsid w:val="6CE04409"/>
    <w:rsid w:val="6CED1BF5"/>
    <w:rsid w:val="6D302213"/>
    <w:rsid w:val="6D505C6C"/>
    <w:rsid w:val="6D5F6AA9"/>
    <w:rsid w:val="6D6B522D"/>
    <w:rsid w:val="6D77E124"/>
    <w:rsid w:val="6D8C29C6"/>
    <w:rsid w:val="6D8F68C7"/>
    <w:rsid w:val="6D9373D8"/>
    <w:rsid w:val="6DAD6DE3"/>
    <w:rsid w:val="6DB790CA"/>
    <w:rsid w:val="6DD94315"/>
    <w:rsid w:val="6DE97F9D"/>
    <w:rsid w:val="6E3B660D"/>
    <w:rsid w:val="6E437671"/>
    <w:rsid w:val="6E5D69C5"/>
    <w:rsid w:val="6E61771C"/>
    <w:rsid w:val="6EFF182A"/>
    <w:rsid w:val="6F4D641A"/>
    <w:rsid w:val="6F626C83"/>
    <w:rsid w:val="6F687190"/>
    <w:rsid w:val="6F7BA029"/>
    <w:rsid w:val="6F857ECA"/>
    <w:rsid w:val="6F8744EE"/>
    <w:rsid w:val="6F994BA2"/>
    <w:rsid w:val="6F9C351D"/>
    <w:rsid w:val="6F9C5C63"/>
    <w:rsid w:val="6FAE51B9"/>
    <w:rsid w:val="6FB97C2B"/>
    <w:rsid w:val="6FF43359"/>
    <w:rsid w:val="6FF47256"/>
    <w:rsid w:val="6FF7C9B7"/>
    <w:rsid w:val="704C197A"/>
    <w:rsid w:val="705404F2"/>
    <w:rsid w:val="70585696"/>
    <w:rsid w:val="705C3FCD"/>
    <w:rsid w:val="70CA22A0"/>
    <w:rsid w:val="70CA6520"/>
    <w:rsid w:val="70E47F7B"/>
    <w:rsid w:val="71130850"/>
    <w:rsid w:val="71130F86"/>
    <w:rsid w:val="71264E9E"/>
    <w:rsid w:val="716377AF"/>
    <w:rsid w:val="717464FF"/>
    <w:rsid w:val="717B7324"/>
    <w:rsid w:val="71BE59CD"/>
    <w:rsid w:val="71C23ED4"/>
    <w:rsid w:val="71C86630"/>
    <w:rsid w:val="71ED1E0E"/>
    <w:rsid w:val="71EF458C"/>
    <w:rsid w:val="71FC08D7"/>
    <w:rsid w:val="72431DF9"/>
    <w:rsid w:val="724B1876"/>
    <w:rsid w:val="72712E58"/>
    <w:rsid w:val="72910CA2"/>
    <w:rsid w:val="72C532B1"/>
    <w:rsid w:val="72CA0F7E"/>
    <w:rsid w:val="72D507E6"/>
    <w:rsid w:val="731A1822"/>
    <w:rsid w:val="73370C6A"/>
    <w:rsid w:val="73394FE7"/>
    <w:rsid w:val="734309A3"/>
    <w:rsid w:val="73444A30"/>
    <w:rsid w:val="73481C55"/>
    <w:rsid w:val="73565578"/>
    <w:rsid w:val="73C26933"/>
    <w:rsid w:val="73E543A8"/>
    <w:rsid w:val="73E71D1D"/>
    <w:rsid w:val="73EE586A"/>
    <w:rsid w:val="74100036"/>
    <w:rsid w:val="741B0EB4"/>
    <w:rsid w:val="743E4C1F"/>
    <w:rsid w:val="74406745"/>
    <w:rsid w:val="744108B8"/>
    <w:rsid w:val="747B0791"/>
    <w:rsid w:val="747C351C"/>
    <w:rsid w:val="74932399"/>
    <w:rsid w:val="74A4065A"/>
    <w:rsid w:val="74CD5FD1"/>
    <w:rsid w:val="74CE3CD7"/>
    <w:rsid w:val="75041948"/>
    <w:rsid w:val="750802D9"/>
    <w:rsid w:val="75133572"/>
    <w:rsid w:val="756D0C5A"/>
    <w:rsid w:val="757219DD"/>
    <w:rsid w:val="75727C06"/>
    <w:rsid w:val="75B55338"/>
    <w:rsid w:val="75CB329A"/>
    <w:rsid w:val="762632D6"/>
    <w:rsid w:val="766E4AC5"/>
    <w:rsid w:val="76732C10"/>
    <w:rsid w:val="76874903"/>
    <w:rsid w:val="769B3A14"/>
    <w:rsid w:val="76B5249C"/>
    <w:rsid w:val="76BCDB15"/>
    <w:rsid w:val="76BD26F7"/>
    <w:rsid w:val="775B5AE3"/>
    <w:rsid w:val="777A09B9"/>
    <w:rsid w:val="77843214"/>
    <w:rsid w:val="7785787E"/>
    <w:rsid w:val="778D031B"/>
    <w:rsid w:val="77AF6BFF"/>
    <w:rsid w:val="77B9191F"/>
    <w:rsid w:val="77D777E8"/>
    <w:rsid w:val="77E2106C"/>
    <w:rsid w:val="77FC72FD"/>
    <w:rsid w:val="781D0435"/>
    <w:rsid w:val="784862B2"/>
    <w:rsid w:val="78966125"/>
    <w:rsid w:val="78D84FA5"/>
    <w:rsid w:val="7926434B"/>
    <w:rsid w:val="79363231"/>
    <w:rsid w:val="79420C91"/>
    <w:rsid w:val="795B02B7"/>
    <w:rsid w:val="798E2128"/>
    <w:rsid w:val="799A6034"/>
    <w:rsid w:val="79D92690"/>
    <w:rsid w:val="7A0379AE"/>
    <w:rsid w:val="7A1E7854"/>
    <w:rsid w:val="7A2D466F"/>
    <w:rsid w:val="7A7A7701"/>
    <w:rsid w:val="7A816FD1"/>
    <w:rsid w:val="7A9B6258"/>
    <w:rsid w:val="7AC41273"/>
    <w:rsid w:val="7ADD0716"/>
    <w:rsid w:val="7AE17AD9"/>
    <w:rsid w:val="7AFE4403"/>
    <w:rsid w:val="7B62629F"/>
    <w:rsid w:val="7B854078"/>
    <w:rsid w:val="7BA45C33"/>
    <w:rsid w:val="7BEFAF33"/>
    <w:rsid w:val="7BF36269"/>
    <w:rsid w:val="7BFDAE4B"/>
    <w:rsid w:val="7BFF9EDE"/>
    <w:rsid w:val="7C122ADA"/>
    <w:rsid w:val="7C1845D7"/>
    <w:rsid w:val="7C2D79D7"/>
    <w:rsid w:val="7C523EB3"/>
    <w:rsid w:val="7C691083"/>
    <w:rsid w:val="7C80044E"/>
    <w:rsid w:val="7C896F4D"/>
    <w:rsid w:val="7C8E2D62"/>
    <w:rsid w:val="7CD6006E"/>
    <w:rsid w:val="7CE0667C"/>
    <w:rsid w:val="7CE338D3"/>
    <w:rsid w:val="7CFA27B6"/>
    <w:rsid w:val="7D181FBC"/>
    <w:rsid w:val="7D2E7D13"/>
    <w:rsid w:val="7D493485"/>
    <w:rsid w:val="7D6F9CB0"/>
    <w:rsid w:val="7D7613F2"/>
    <w:rsid w:val="7D825721"/>
    <w:rsid w:val="7D873735"/>
    <w:rsid w:val="7D966E93"/>
    <w:rsid w:val="7D9D6E79"/>
    <w:rsid w:val="7DD72A24"/>
    <w:rsid w:val="7DFD020C"/>
    <w:rsid w:val="7E0E1901"/>
    <w:rsid w:val="7E1946BB"/>
    <w:rsid w:val="7E245A9C"/>
    <w:rsid w:val="7E2C7CF9"/>
    <w:rsid w:val="7E3A748B"/>
    <w:rsid w:val="7E502525"/>
    <w:rsid w:val="7E5218A9"/>
    <w:rsid w:val="7E6C0CA5"/>
    <w:rsid w:val="7E8516D5"/>
    <w:rsid w:val="7E8614D5"/>
    <w:rsid w:val="7E8F2BCB"/>
    <w:rsid w:val="7EC919A5"/>
    <w:rsid w:val="7ECB1729"/>
    <w:rsid w:val="7ED05376"/>
    <w:rsid w:val="7ED0780B"/>
    <w:rsid w:val="7ED24865"/>
    <w:rsid w:val="7EDFDD34"/>
    <w:rsid w:val="7EEB4BDC"/>
    <w:rsid w:val="7F346B96"/>
    <w:rsid w:val="7F3B240A"/>
    <w:rsid w:val="7FBE4016"/>
    <w:rsid w:val="7FD4521F"/>
    <w:rsid w:val="7FEE68B9"/>
    <w:rsid w:val="7FF83E44"/>
    <w:rsid w:val="7FF98F04"/>
    <w:rsid w:val="7FFF86B8"/>
    <w:rsid w:val="86F3D45D"/>
    <w:rsid w:val="A5C78809"/>
    <w:rsid w:val="B93E4158"/>
    <w:rsid w:val="B9BFC176"/>
    <w:rsid w:val="BCFF0B21"/>
    <w:rsid w:val="BDBFBA64"/>
    <w:rsid w:val="BDDCACB3"/>
    <w:rsid w:val="BF7E376F"/>
    <w:rsid w:val="BFD64E45"/>
    <w:rsid w:val="CBB9E242"/>
    <w:rsid w:val="CED7E258"/>
    <w:rsid w:val="CEF36AC0"/>
    <w:rsid w:val="CFDBE970"/>
    <w:rsid w:val="D71F0ED8"/>
    <w:rsid w:val="D7BFE966"/>
    <w:rsid w:val="DB6F3246"/>
    <w:rsid w:val="DBD7F9BC"/>
    <w:rsid w:val="DEAE32D6"/>
    <w:rsid w:val="DF6D2606"/>
    <w:rsid w:val="DFDEA8C2"/>
    <w:rsid w:val="DFEFC1E8"/>
    <w:rsid w:val="E5EF00BF"/>
    <w:rsid w:val="E7ED98DA"/>
    <w:rsid w:val="EA6B156C"/>
    <w:rsid w:val="EABDCE1E"/>
    <w:rsid w:val="EBEE40F6"/>
    <w:rsid w:val="EDBEF028"/>
    <w:rsid w:val="EDFFA2DE"/>
    <w:rsid w:val="EFA1527E"/>
    <w:rsid w:val="EFFB3734"/>
    <w:rsid w:val="EFFD0D24"/>
    <w:rsid w:val="F0BF7788"/>
    <w:rsid w:val="F3FD4B2B"/>
    <w:rsid w:val="F5FF12EF"/>
    <w:rsid w:val="F9EE2F7B"/>
    <w:rsid w:val="FABFD11E"/>
    <w:rsid w:val="FAFF294A"/>
    <w:rsid w:val="FBF75847"/>
    <w:rsid w:val="FBF88A03"/>
    <w:rsid w:val="FBF9627D"/>
    <w:rsid w:val="FEFC5F5D"/>
    <w:rsid w:val="FF5DF1B6"/>
    <w:rsid w:val="FFCF3E75"/>
    <w:rsid w:val="FFFDB9B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qFormat="1"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jc w:val="both"/>
    </w:pPr>
    <w:rPr>
      <w:rFonts w:ascii="Times New Roman" w:hAnsi="Times New Roman" w:eastAsia="宋体" w:cs="Times New Roman"/>
      <w:kern w:val="2"/>
      <w:sz w:val="21"/>
      <w:lang w:val="en-US" w:eastAsia="zh-CN" w:bidi="ar-SA"/>
    </w:rPr>
  </w:style>
  <w:style w:type="paragraph" w:styleId="2">
    <w:name w:val="heading 1"/>
    <w:basedOn w:val="1"/>
    <w:next w:val="1"/>
    <w:link w:val="45"/>
    <w:autoRedefine/>
    <w:qFormat/>
    <w:uiPriority w:val="0"/>
    <w:pPr>
      <w:keepNext/>
      <w:keepLines/>
      <w:widowControl w:val="0"/>
      <w:spacing w:before="340" w:after="330" w:line="576" w:lineRule="auto"/>
      <w:outlineLvl w:val="0"/>
    </w:pPr>
    <w:rPr>
      <w:b/>
      <w:bCs/>
      <w:kern w:val="44"/>
      <w:sz w:val="44"/>
      <w:szCs w:val="44"/>
    </w:rPr>
  </w:style>
  <w:style w:type="paragraph" w:styleId="3">
    <w:name w:val="heading 2"/>
    <w:basedOn w:val="1"/>
    <w:next w:val="1"/>
    <w:link w:val="46"/>
    <w:autoRedefine/>
    <w:semiHidden/>
    <w:unhideWhenUsed/>
    <w:qFormat/>
    <w:uiPriority w:val="0"/>
    <w:pPr>
      <w:keepNext/>
      <w:keepLines/>
      <w:adjustRightInd w:val="0"/>
      <w:spacing w:before="260" w:after="260" w:line="416" w:lineRule="atLeast"/>
      <w:textAlignment w:val="baseline"/>
      <w:outlineLvl w:val="1"/>
    </w:pPr>
    <w:rPr>
      <w:rFonts w:ascii="Arial" w:hAnsi="Arial" w:eastAsia="黑体"/>
      <w:b/>
      <w:kern w:val="0"/>
      <w:sz w:val="32"/>
    </w:rPr>
  </w:style>
  <w:style w:type="paragraph" w:styleId="4">
    <w:name w:val="heading 3"/>
    <w:basedOn w:val="1"/>
    <w:next w:val="1"/>
    <w:link w:val="47"/>
    <w:autoRedefine/>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48"/>
    <w:autoRedefine/>
    <w:semiHidden/>
    <w:unhideWhenUsed/>
    <w:qFormat/>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1"/>
    <w:link w:val="49"/>
    <w:autoRedefine/>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link w:val="50"/>
    <w:autoRedefine/>
    <w:semiHidden/>
    <w:unhideWhenUsed/>
    <w:qFormat/>
    <w:uiPriority w:val="0"/>
    <w:pPr>
      <w:keepNext/>
      <w:keepLines/>
      <w:spacing w:before="240" w:after="64" w:line="320" w:lineRule="auto"/>
      <w:outlineLvl w:val="5"/>
    </w:pPr>
    <w:rPr>
      <w:rFonts w:ascii="Cambria" w:hAnsi="Cambria"/>
      <w:b/>
      <w:bCs/>
      <w:sz w:val="24"/>
      <w:szCs w:val="24"/>
    </w:rPr>
  </w:style>
  <w:style w:type="paragraph" w:styleId="8">
    <w:name w:val="heading 9"/>
    <w:basedOn w:val="1"/>
    <w:next w:val="1"/>
    <w:link w:val="51"/>
    <w:autoRedefine/>
    <w:semiHidden/>
    <w:unhideWhenUsed/>
    <w:qFormat/>
    <w:uiPriority w:val="0"/>
    <w:pPr>
      <w:keepNext/>
      <w:keepLines/>
      <w:spacing w:before="240" w:after="64" w:line="320" w:lineRule="auto"/>
      <w:outlineLvl w:val="8"/>
    </w:pPr>
    <w:rPr>
      <w:rFonts w:ascii="Cambria" w:hAnsi="Cambria"/>
      <w:szCs w:val="21"/>
    </w:rPr>
  </w:style>
  <w:style w:type="character" w:default="1" w:styleId="38">
    <w:name w:val="Default Paragraph Font"/>
    <w:autoRedefine/>
    <w:semiHidden/>
    <w:qFormat/>
    <w:uiPriority w:val="0"/>
  </w:style>
  <w:style w:type="table" w:default="1" w:styleId="35">
    <w:name w:val="Normal Table"/>
    <w:autoRedefine/>
    <w:semiHidden/>
    <w:qFormat/>
    <w:uiPriority w:val="0"/>
    <w:tblPr>
      <w:tblCellMar>
        <w:top w:w="0" w:type="dxa"/>
        <w:left w:w="108" w:type="dxa"/>
        <w:bottom w:w="0" w:type="dxa"/>
        <w:right w:w="108" w:type="dxa"/>
      </w:tblCellMar>
    </w:tblPr>
  </w:style>
  <w:style w:type="paragraph" w:styleId="9">
    <w:name w:val="toc 7"/>
    <w:basedOn w:val="1"/>
    <w:next w:val="1"/>
    <w:autoRedefine/>
    <w:qFormat/>
    <w:uiPriority w:val="0"/>
    <w:pPr>
      <w:ind w:left="1260"/>
      <w:jc w:val="left"/>
    </w:pPr>
    <w:rPr>
      <w:rFonts w:ascii="Calibri" w:hAnsi="Calibri" w:cs="Calibri"/>
      <w:sz w:val="18"/>
      <w:szCs w:val="18"/>
    </w:rPr>
  </w:style>
  <w:style w:type="paragraph" w:styleId="10">
    <w:name w:val="Normal Indent"/>
    <w:basedOn w:val="1"/>
    <w:next w:val="1"/>
    <w:qFormat/>
    <w:uiPriority w:val="0"/>
    <w:pPr>
      <w:widowControl w:val="0"/>
      <w:overflowPunct w:val="0"/>
      <w:autoSpaceDE w:val="0"/>
      <w:autoSpaceDN w:val="0"/>
      <w:adjustRightInd w:val="0"/>
      <w:spacing w:line="560" w:lineRule="exact"/>
      <w:ind w:firstLine="641"/>
      <w:jc w:val="left"/>
      <w:textAlignment w:val="baseline"/>
    </w:pPr>
    <w:rPr>
      <w:rFonts w:ascii="长城楷体" w:hAnsi="长城楷体" w:eastAsia="宋体" w:cs="Times New Roman"/>
      <w:kern w:val="0"/>
      <w:szCs w:val="20"/>
    </w:rPr>
  </w:style>
  <w:style w:type="paragraph" w:styleId="11">
    <w:name w:val="envelope address"/>
    <w:basedOn w:val="1"/>
    <w:autoRedefine/>
    <w:qFormat/>
    <w:uiPriority w:val="0"/>
    <w:pPr>
      <w:framePr w:w="7920" w:h="1980" w:hRule="exact" w:hSpace="180" w:wrap="around" w:vAnchor="margin" w:hAnchor="page" w:xAlign="center" w:yAlign="bottom"/>
      <w:widowControl w:val="0"/>
      <w:snapToGrid w:val="0"/>
      <w:ind w:left="100" w:leftChars="1400"/>
    </w:pPr>
    <w:rPr>
      <w:rFonts w:ascii="Arial" w:hAnsi="Arial" w:cs="Arial"/>
      <w:sz w:val="24"/>
      <w:szCs w:val="24"/>
    </w:rPr>
  </w:style>
  <w:style w:type="paragraph" w:styleId="12">
    <w:name w:val="Document Map"/>
    <w:basedOn w:val="1"/>
    <w:link w:val="52"/>
    <w:autoRedefine/>
    <w:qFormat/>
    <w:uiPriority w:val="0"/>
    <w:rPr>
      <w:rFonts w:ascii="宋体"/>
      <w:sz w:val="18"/>
      <w:szCs w:val="18"/>
    </w:rPr>
  </w:style>
  <w:style w:type="paragraph" w:styleId="13">
    <w:name w:val="annotation text"/>
    <w:basedOn w:val="1"/>
    <w:link w:val="53"/>
    <w:autoRedefine/>
    <w:qFormat/>
    <w:uiPriority w:val="0"/>
    <w:pPr>
      <w:jc w:val="left"/>
    </w:pPr>
  </w:style>
  <w:style w:type="paragraph" w:styleId="14">
    <w:name w:val="Body Text"/>
    <w:basedOn w:val="1"/>
    <w:link w:val="54"/>
    <w:autoRedefine/>
    <w:qFormat/>
    <w:uiPriority w:val="0"/>
    <w:pPr>
      <w:spacing w:after="120"/>
    </w:pPr>
  </w:style>
  <w:style w:type="paragraph" w:styleId="15">
    <w:name w:val="Body Text Indent"/>
    <w:basedOn w:val="1"/>
    <w:link w:val="55"/>
    <w:autoRedefine/>
    <w:qFormat/>
    <w:uiPriority w:val="0"/>
    <w:pPr>
      <w:spacing w:line="360" w:lineRule="auto"/>
      <w:ind w:firstLine="360" w:firstLineChars="150"/>
    </w:pPr>
    <w:rPr>
      <w:sz w:val="24"/>
      <w:szCs w:val="24"/>
    </w:rPr>
  </w:style>
  <w:style w:type="paragraph" w:styleId="16">
    <w:name w:val="toc 5"/>
    <w:basedOn w:val="1"/>
    <w:next w:val="1"/>
    <w:autoRedefine/>
    <w:qFormat/>
    <w:uiPriority w:val="0"/>
    <w:pPr>
      <w:ind w:left="840"/>
      <w:jc w:val="left"/>
    </w:pPr>
    <w:rPr>
      <w:rFonts w:ascii="Calibri" w:hAnsi="Calibri" w:cs="Calibri"/>
      <w:sz w:val="18"/>
      <w:szCs w:val="18"/>
    </w:rPr>
  </w:style>
  <w:style w:type="paragraph" w:styleId="17">
    <w:name w:val="toc 3"/>
    <w:basedOn w:val="1"/>
    <w:next w:val="1"/>
    <w:autoRedefine/>
    <w:qFormat/>
    <w:uiPriority w:val="0"/>
    <w:pPr>
      <w:ind w:left="420"/>
      <w:jc w:val="left"/>
    </w:pPr>
    <w:rPr>
      <w:rFonts w:ascii="Calibri" w:hAnsi="Calibri" w:cs="Calibri"/>
      <w:i/>
      <w:iCs/>
      <w:sz w:val="20"/>
    </w:rPr>
  </w:style>
  <w:style w:type="paragraph" w:styleId="18">
    <w:name w:val="Plain Text"/>
    <w:basedOn w:val="1"/>
    <w:link w:val="56"/>
    <w:autoRedefine/>
    <w:unhideWhenUsed/>
    <w:qFormat/>
    <w:uiPriority w:val="0"/>
    <w:pPr>
      <w:widowControl w:val="0"/>
    </w:pPr>
    <w:rPr>
      <w:rFonts w:ascii="宋体" w:hAnsi="Courier New"/>
      <w:kern w:val="0"/>
      <w:sz w:val="20"/>
      <w:szCs w:val="21"/>
    </w:rPr>
  </w:style>
  <w:style w:type="paragraph" w:styleId="19">
    <w:name w:val="toc 8"/>
    <w:basedOn w:val="1"/>
    <w:next w:val="1"/>
    <w:autoRedefine/>
    <w:qFormat/>
    <w:uiPriority w:val="0"/>
    <w:pPr>
      <w:ind w:left="1470"/>
      <w:jc w:val="left"/>
    </w:pPr>
    <w:rPr>
      <w:rFonts w:ascii="Calibri" w:hAnsi="Calibri" w:cs="Calibri"/>
      <w:sz w:val="18"/>
      <w:szCs w:val="18"/>
    </w:rPr>
  </w:style>
  <w:style w:type="paragraph" w:styleId="20">
    <w:name w:val="Date"/>
    <w:basedOn w:val="1"/>
    <w:next w:val="1"/>
    <w:link w:val="57"/>
    <w:autoRedefine/>
    <w:qFormat/>
    <w:uiPriority w:val="0"/>
    <w:pPr>
      <w:ind w:left="100" w:leftChars="2500"/>
    </w:pPr>
  </w:style>
  <w:style w:type="paragraph" w:styleId="21">
    <w:name w:val="Body Text Indent 2"/>
    <w:basedOn w:val="1"/>
    <w:link w:val="58"/>
    <w:autoRedefine/>
    <w:qFormat/>
    <w:uiPriority w:val="0"/>
    <w:pPr>
      <w:spacing w:after="120" w:line="480" w:lineRule="auto"/>
      <w:ind w:left="420" w:leftChars="200"/>
    </w:pPr>
  </w:style>
  <w:style w:type="paragraph" w:styleId="22">
    <w:name w:val="Balloon Text"/>
    <w:basedOn w:val="1"/>
    <w:link w:val="59"/>
    <w:autoRedefine/>
    <w:semiHidden/>
    <w:qFormat/>
    <w:uiPriority w:val="0"/>
    <w:rPr>
      <w:sz w:val="18"/>
      <w:szCs w:val="18"/>
    </w:rPr>
  </w:style>
  <w:style w:type="paragraph" w:styleId="23">
    <w:name w:val="footer"/>
    <w:basedOn w:val="1"/>
    <w:link w:val="60"/>
    <w:autoRedefine/>
    <w:qFormat/>
    <w:uiPriority w:val="0"/>
    <w:pPr>
      <w:tabs>
        <w:tab w:val="center" w:pos="4153"/>
        <w:tab w:val="right" w:pos="8306"/>
      </w:tabs>
      <w:snapToGrid w:val="0"/>
      <w:jc w:val="left"/>
    </w:pPr>
    <w:rPr>
      <w:sz w:val="18"/>
      <w:szCs w:val="18"/>
    </w:rPr>
  </w:style>
  <w:style w:type="paragraph" w:styleId="24">
    <w:name w:val="header"/>
    <w:basedOn w:val="1"/>
    <w:link w:val="61"/>
    <w:autoRedefine/>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autoRedefine/>
    <w:qFormat/>
    <w:uiPriority w:val="0"/>
    <w:pPr>
      <w:spacing w:before="120" w:after="120"/>
      <w:jc w:val="left"/>
    </w:pPr>
    <w:rPr>
      <w:rFonts w:ascii="Calibri" w:hAnsi="Calibri" w:cs="Calibri"/>
      <w:b/>
      <w:bCs/>
      <w:caps/>
      <w:sz w:val="20"/>
    </w:rPr>
  </w:style>
  <w:style w:type="paragraph" w:styleId="26">
    <w:name w:val="toc 4"/>
    <w:basedOn w:val="1"/>
    <w:next w:val="1"/>
    <w:autoRedefine/>
    <w:qFormat/>
    <w:uiPriority w:val="0"/>
    <w:pPr>
      <w:ind w:left="630"/>
      <w:jc w:val="left"/>
    </w:pPr>
    <w:rPr>
      <w:rFonts w:ascii="Calibri" w:hAnsi="Calibri" w:cs="Calibri"/>
      <w:sz w:val="18"/>
      <w:szCs w:val="18"/>
    </w:rPr>
  </w:style>
  <w:style w:type="paragraph" w:styleId="27">
    <w:name w:val="toc 6"/>
    <w:basedOn w:val="1"/>
    <w:next w:val="1"/>
    <w:autoRedefine/>
    <w:qFormat/>
    <w:uiPriority w:val="0"/>
    <w:pPr>
      <w:ind w:left="1050"/>
      <w:jc w:val="left"/>
    </w:pPr>
    <w:rPr>
      <w:rFonts w:ascii="Calibri" w:hAnsi="Calibri" w:cs="Calibri"/>
      <w:sz w:val="18"/>
      <w:szCs w:val="18"/>
    </w:rPr>
  </w:style>
  <w:style w:type="paragraph" w:styleId="28">
    <w:name w:val="Body Text Indent 3"/>
    <w:basedOn w:val="1"/>
    <w:link w:val="62"/>
    <w:autoRedefine/>
    <w:qFormat/>
    <w:uiPriority w:val="0"/>
    <w:pPr>
      <w:widowControl w:val="0"/>
      <w:spacing w:line="400" w:lineRule="exact"/>
      <w:ind w:firstLine="630"/>
    </w:pPr>
    <w:rPr>
      <w:rFonts w:ascii="宋体" w:hAnsi="宋体"/>
      <w:szCs w:val="24"/>
    </w:rPr>
  </w:style>
  <w:style w:type="paragraph" w:styleId="29">
    <w:name w:val="toc 2"/>
    <w:basedOn w:val="1"/>
    <w:next w:val="1"/>
    <w:autoRedefine/>
    <w:qFormat/>
    <w:uiPriority w:val="0"/>
    <w:pPr>
      <w:ind w:left="210"/>
      <w:jc w:val="left"/>
    </w:pPr>
    <w:rPr>
      <w:rFonts w:ascii="Calibri" w:hAnsi="Calibri" w:cs="Calibri"/>
      <w:smallCaps/>
      <w:sz w:val="20"/>
    </w:rPr>
  </w:style>
  <w:style w:type="paragraph" w:styleId="30">
    <w:name w:val="toc 9"/>
    <w:basedOn w:val="1"/>
    <w:next w:val="1"/>
    <w:autoRedefine/>
    <w:qFormat/>
    <w:uiPriority w:val="0"/>
    <w:pPr>
      <w:ind w:left="1680"/>
      <w:jc w:val="left"/>
    </w:pPr>
    <w:rPr>
      <w:rFonts w:ascii="Calibri" w:hAnsi="Calibri" w:cs="Calibri"/>
      <w:sz w:val="18"/>
      <w:szCs w:val="18"/>
    </w:rPr>
  </w:style>
  <w:style w:type="paragraph" w:styleId="31">
    <w:name w:val="Normal (Web)"/>
    <w:basedOn w:val="1"/>
    <w:autoRedefine/>
    <w:qFormat/>
    <w:uiPriority w:val="0"/>
    <w:pPr>
      <w:spacing w:before="100" w:beforeAutospacing="1" w:after="100" w:afterAutospacing="1"/>
      <w:jc w:val="left"/>
    </w:pPr>
    <w:rPr>
      <w:rFonts w:ascii="宋体" w:hAnsi="宋体" w:cs="宋体"/>
      <w:kern w:val="0"/>
      <w:sz w:val="24"/>
      <w:szCs w:val="24"/>
    </w:rPr>
  </w:style>
  <w:style w:type="paragraph" w:styleId="32">
    <w:name w:val="index 1"/>
    <w:basedOn w:val="1"/>
    <w:next w:val="1"/>
    <w:autoRedefine/>
    <w:qFormat/>
    <w:uiPriority w:val="0"/>
    <w:pPr>
      <w:widowControl w:val="0"/>
      <w:spacing w:line="360" w:lineRule="auto"/>
    </w:pPr>
    <w:rPr>
      <w:rFonts w:ascii="宋体"/>
      <w:b/>
      <w:color w:val="0000FF"/>
      <w:sz w:val="24"/>
      <w:szCs w:val="24"/>
    </w:rPr>
  </w:style>
  <w:style w:type="paragraph" w:styleId="33">
    <w:name w:val="annotation subject"/>
    <w:basedOn w:val="13"/>
    <w:next w:val="13"/>
    <w:link w:val="63"/>
    <w:autoRedefine/>
    <w:qFormat/>
    <w:uiPriority w:val="0"/>
    <w:rPr>
      <w:b/>
      <w:bCs/>
    </w:rPr>
  </w:style>
  <w:style w:type="paragraph" w:styleId="34">
    <w:name w:val="Body Text First Indent 2"/>
    <w:basedOn w:val="15"/>
    <w:link w:val="64"/>
    <w:autoRedefine/>
    <w:qFormat/>
    <w:uiPriority w:val="0"/>
    <w:pPr>
      <w:widowControl w:val="0"/>
      <w:ind w:firstLine="420" w:firstLineChars="200"/>
    </w:pPr>
    <w:rPr>
      <w:rFonts w:ascii="宋体"/>
      <w:szCs w:val="20"/>
    </w:rPr>
  </w:style>
  <w:style w:type="table" w:styleId="36">
    <w:name w:val="Table Grid"/>
    <w:basedOn w:val="3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7">
    <w:name w:val="Light Shading Accent 4"/>
    <w:basedOn w:val="35"/>
    <w:autoRedefine/>
    <w:qFormat/>
    <w:uiPriority w:val="60"/>
    <w:rPr>
      <w:color w:val="5F497A"/>
    </w:rPr>
    <w:tblPr>
      <w:tblBorders>
        <w:top w:val="single" w:color="8064A2" w:sz="8" w:space="0"/>
        <w:bottom w:val="single" w:color="8064A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sz="8" w:space="0"/>
          <w:left w:val="nil"/>
          <w:bottom w:val="single" w:color="8064A2" w:sz="8" w:space="0"/>
          <w:right w:val="nil"/>
          <w:insideH w:val="nil"/>
          <w:insideV w:val="nil"/>
          <w:tl2br w:val="nil"/>
          <w:tr2bl w:val="nil"/>
        </w:tcBorders>
      </w:tcPr>
    </w:tblStylePr>
    <w:tblStylePr w:type="lastRow">
      <w:pPr>
        <w:spacing w:before="0" w:after="0" w:line="240" w:lineRule="auto"/>
      </w:pPr>
      <w:rPr>
        <w:b/>
        <w:bCs/>
      </w:rPr>
      <w:tblPr/>
      <w:tcPr>
        <w:tcBorders>
          <w:top w:val="single" w:color="8064A2" w:sz="8" w:space="0"/>
          <w:left w:val="nil"/>
          <w:bottom w:val="single" w:color="8064A2" w:sz="8" w:space="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character" w:styleId="39">
    <w:name w:val="Strong"/>
    <w:basedOn w:val="38"/>
    <w:autoRedefine/>
    <w:qFormat/>
    <w:uiPriority w:val="0"/>
    <w:rPr>
      <w:b/>
      <w:bCs/>
    </w:rPr>
  </w:style>
  <w:style w:type="character" w:styleId="40">
    <w:name w:val="page number"/>
    <w:basedOn w:val="38"/>
    <w:qFormat/>
    <w:uiPriority w:val="0"/>
    <w:rPr>
      <w:rFonts w:ascii="Times New Roman" w:hAnsi="Times New Roman" w:eastAsia="宋体" w:cs="Times New Roman"/>
    </w:rPr>
  </w:style>
  <w:style w:type="character" w:styleId="41">
    <w:name w:val="Emphasis"/>
    <w:basedOn w:val="38"/>
    <w:autoRedefine/>
    <w:qFormat/>
    <w:uiPriority w:val="0"/>
    <w:rPr>
      <w:i/>
      <w:iCs/>
    </w:rPr>
  </w:style>
  <w:style w:type="character" w:styleId="42">
    <w:name w:val="Hyperlink"/>
    <w:autoRedefine/>
    <w:qFormat/>
    <w:uiPriority w:val="0"/>
    <w:rPr>
      <w:color w:val="0000FF"/>
      <w:u w:val="single"/>
    </w:rPr>
  </w:style>
  <w:style w:type="character" w:styleId="43">
    <w:name w:val="annotation reference"/>
    <w:autoRedefine/>
    <w:qFormat/>
    <w:uiPriority w:val="0"/>
    <w:rPr>
      <w:sz w:val="21"/>
      <w:szCs w:val="21"/>
    </w:rPr>
  </w:style>
  <w:style w:type="character" w:styleId="44">
    <w:name w:val="HTML Sample"/>
    <w:autoRedefine/>
    <w:qFormat/>
    <w:uiPriority w:val="0"/>
    <w:rPr>
      <w:rFonts w:ascii="Courier New" w:hAnsi="Courier New" w:cs="Courier New"/>
    </w:rPr>
  </w:style>
  <w:style w:type="character" w:customStyle="1" w:styleId="45">
    <w:name w:val="标题 1 Char"/>
    <w:link w:val="2"/>
    <w:autoRedefine/>
    <w:qFormat/>
    <w:uiPriority w:val="0"/>
    <w:rPr>
      <w:b/>
      <w:bCs/>
      <w:kern w:val="44"/>
      <w:sz w:val="44"/>
      <w:szCs w:val="44"/>
    </w:rPr>
  </w:style>
  <w:style w:type="character" w:customStyle="1" w:styleId="46">
    <w:name w:val="标题 2 Char"/>
    <w:link w:val="3"/>
    <w:autoRedefine/>
    <w:qFormat/>
    <w:uiPriority w:val="0"/>
    <w:rPr>
      <w:rFonts w:ascii="Arial" w:hAnsi="Arial" w:eastAsia="黑体"/>
      <w:b/>
      <w:sz w:val="32"/>
    </w:rPr>
  </w:style>
  <w:style w:type="character" w:customStyle="1" w:styleId="47">
    <w:name w:val="标题 3 Char"/>
    <w:basedOn w:val="38"/>
    <w:link w:val="4"/>
    <w:autoRedefine/>
    <w:qFormat/>
    <w:uiPriority w:val="0"/>
    <w:rPr>
      <w:b/>
      <w:bCs/>
      <w:kern w:val="2"/>
      <w:sz w:val="32"/>
      <w:szCs w:val="32"/>
    </w:rPr>
  </w:style>
  <w:style w:type="character" w:customStyle="1" w:styleId="48">
    <w:name w:val="标题 4 Char"/>
    <w:basedOn w:val="38"/>
    <w:link w:val="5"/>
    <w:autoRedefine/>
    <w:qFormat/>
    <w:uiPriority w:val="0"/>
    <w:rPr>
      <w:rFonts w:ascii="Cambria" w:hAnsi="Cambria" w:eastAsia="宋体" w:cs="Times New Roman"/>
      <w:b/>
      <w:bCs/>
      <w:kern w:val="2"/>
      <w:sz w:val="28"/>
      <w:szCs w:val="28"/>
    </w:rPr>
  </w:style>
  <w:style w:type="character" w:customStyle="1" w:styleId="49">
    <w:name w:val="标题 5 Char"/>
    <w:basedOn w:val="38"/>
    <w:link w:val="6"/>
    <w:autoRedefine/>
    <w:qFormat/>
    <w:uiPriority w:val="0"/>
    <w:rPr>
      <w:b/>
      <w:bCs/>
      <w:kern w:val="2"/>
      <w:sz w:val="28"/>
      <w:szCs w:val="28"/>
    </w:rPr>
  </w:style>
  <w:style w:type="character" w:customStyle="1" w:styleId="50">
    <w:name w:val="标题 6 Char"/>
    <w:basedOn w:val="38"/>
    <w:link w:val="7"/>
    <w:autoRedefine/>
    <w:qFormat/>
    <w:uiPriority w:val="0"/>
    <w:rPr>
      <w:rFonts w:ascii="Cambria" w:hAnsi="Cambria" w:eastAsia="宋体" w:cs="Times New Roman"/>
      <w:b/>
      <w:bCs/>
      <w:kern w:val="2"/>
      <w:sz w:val="24"/>
      <w:szCs w:val="24"/>
    </w:rPr>
  </w:style>
  <w:style w:type="character" w:customStyle="1" w:styleId="51">
    <w:name w:val="标题 9 Char"/>
    <w:basedOn w:val="38"/>
    <w:link w:val="8"/>
    <w:autoRedefine/>
    <w:semiHidden/>
    <w:qFormat/>
    <w:uiPriority w:val="0"/>
    <w:rPr>
      <w:rFonts w:ascii="Cambria" w:hAnsi="Cambria" w:eastAsia="宋体" w:cs="Times New Roman"/>
      <w:kern w:val="2"/>
      <w:sz w:val="21"/>
      <w:szCs w:val="21"/>
    </w:rPr>
  </w:style>
  <w:style w:type="character" w:customStyle="1" w:styleId="52">
    <w:name w:val="文档结构图 Char"/>
    <w:link w:val="12"/>
    <w:autoRedefine/>
    <w:qFormat/>
    <w:uiPriority w:val="0"/>
    <w:rPr>
      <w:rFonts w:ascii="宋体"/>
      <w:kern w:val="2"/>
      <w:sz w:val="18"/>
      <w:szCs w:val="18"/>
    </w:rPr>
  </w:style>
  <w:style w:type="character" w:customStyle="1" w:styleId="53">
    <w:name w:val="批注文字 Char"/>
    <w:link w:val="13"/>
    <w:autoRedefine/>
    <w:qFormat/>
    <w:uiPriority w:val="0"/>
    <w:rPr>
      <w:kern w:val="2"/>
      <w:sz w:val="21"/>
    </w:rPr>
  </w:style>
  <w:style w:type="character" w:customStyle="1" w:styleId="54">
    <w:name w:val="正文文本 Char"/>
    <w:basedOn w:val="38"/>
    <w:link w:val="14"/>
    <w:autoRedefine/>
    <w:semiHidden/>
    <w:qFormat/>
    <w:uiPriority w:val="0"/>
    <w:rPr>
      <w:kern w:val="2"/>
      <w:sz w:val="21"/>
    </w:rPr>
  </w:style>
  <w:style w:type="character" w:customStyle="1" w:styleId="55">
    <w:name w:val="正文文本缩进 Char"/>
    <w:link w:val="15"/>
    <w:autoRedefine/>
    <w:qFormat/>
    <w:uiPriority w:val="0"/>
    <w:rPr>
      <w:kern w:val="2"/>
      <w:sz w:val="24"/>
      <w:szCs w:val="24"/>
    </w:rPr>
  </w:style>
  <w:style w:type="character" w:customStyle="1" w:styleId="56">
    <w:name w:val="纯文本 Char"/>
    <w:link w:val="18"/>
    <w:autoRedefine/>
    <w:qFormat/>
    <w:locked/>
    <w:uiPriority w:val="0"/>
    <w:rPr>
      <w:rFonts w:ascii="宋体" w:hAnsi="Courier New"/>
      <w:szCs w:val="21"/>
      <w:lang w:bidi="ar-SA"/>
    </w:rPr>
  </w:style>
  <w:style w:type="character" w:customStyle="1" w:styleId="57">
    <w:name w:val="日期 Char"/>
    <w:basedOn w:val="38"/>
    <w:link w:val="20"/>
    <w:autoRedefine/>
    <w:qFormat/>
    <w:uiPriority w:val="0"/>
    <w:rPr>
      <w:kern w:val="2"/>
      <w:sz w:val="21"/>
    </w:rPr>
  </w:style>
  <w:style w:type="character" w:customStyle="1" w:styleId="58">
    <w:name w:val="正文文本缩进 2 Char"/>
    <w:basedOn w:val="38"/>
    <w:link w:val="21"/>
    <w:autoRedefine/>
    <w:semiHidden/>
    <w:qFormat/>
    <w:uiPriority w:val="0"/>
    <w:rPr>
      <w:kern w:val="2"/>
      <w:sz w:val="21"/>
    </w:rPr>
  </w:style>
  <w:style w:type="character" w:customStyle="1" w:styleId="59">
    <w:name w:val="批注框文本 Char"/>
    <w:link w:val="22"/>
    <w:autoRedefine/>
    <w:semiHidden/>
    <w:qFormat/>
    <w:uiPriority w:val="99"/>
    <w:rPr>
      <w:kern w:val="2"/>
      <w:sz w:val="18"/>
      <w:szCs w:val="18"/>
    </w:rPr>
  </w:style>
  <w:style w:type="character" w:customStyle="1" w:styleId="60">
    <w:name w:val="页脚 Char"/>
    <w:link w:val="23"/>
    <w:autoRedefine/>
    <w:qFormat/>
    <w:uiPriority w:val="99"/>
    <w:rPr>
      <w:kern w:val="2"/>
      <w:sz w:val="18"/>
      <w:szCs w:val="18"/>
    </w:rPr>
  </w:style>
  <w:style w:type="character" w:customStyle="1" w:styleId="61">
    <w:name w:val="页眉 Char"/>
    <w:link w:val="24"/>
    <w:autoRedefine/>
    <w:qFormat/>
    <w:uiPriority w:val="99"/>
    <w:rPr>
      <w:kern w:val="2"/>
      <w:sz w:val="18"/>
      <w:szCs w:val="18"/>
    </w:rPr>
  </w:style>
  <w:style w:type="character" w:customStyle="1" w:styleId="62">
    <w:name w:val="正文文本缩进 3 Char"/>
    <w:basedOn w:val="38"/>
    <w:link w:val="28"/>
    <w:autoRedefine/>
    <w:qFormat/>
    <w:uiPriority w:val="0"/>
    <w:rPr>
      <w:rFonts w:ascii="宋体" w:hAnsi="宋体"/>
      <w:kern w:val="2"/>
      <w:sz w:val="21"/>
      <w:szCs w:val="24"/>
    </w:rPr>
  </w:style>
  <w:style w:type="character" w:customStyle="1" w:styleId="63">
    <w:name w:val="批注主题 Char"/>
    <w:link w:val="33"/>
    <w:autoRedefine/>
    <w:qFormat/>
    <w:uiPriority w:val="0"/>
    <w:rPr>
      <w:b/>
      <w:bCs/>
      <w:kern w:val="2"/>
      <w:sz w:val="21"/>
    </w:rPr>
  </w:style>
  <w:style w:type="character" w:customStyle="1" w:styleId="64">
    <w:name w:val="正文首行缩进 2 Char"/>
    <w:basedOn w:val="55"/>
    <w:link w:val="34"/>
    <w:autoRedefine/>
    <w:qFormat/>
    <w:uiPriority w:val="0"/>
    <w:rPr>
      <w:rFonts w:ascii="宋体"/>
    </w:rPr>
  </w:style>
  <w:style w:type="character" w:customStyle="1" w:styleId="65">
    <w:name w:val="标题 9 字符"/>
    <w:autoRedefine/>
    <w:qFormat/>
    <w:uiPriority w:val="0"/>
    <w:rPr>
      <w:rFonts w:ascii="Arial" w:hAnsi="Arial" w:eastAsia="黑体" w:cs="Times New Roman"/>
      <w:kern w:val="0"/>
      <w:szCs w:val="21"/>
    </w:rPr>
  </w:style>
  <w:style w:type="paragraph" w:customStyle="1" w:styleId="66">
    <w:name w:val="TOC Heading"/>
    <w:basedOn w:val="2"/>
    <w:next w:val="1"/>
    <w:autoRedefine/>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67">
    <w:name w:val="Revision"/>
    <w:autoRedefine/>
    <w:semiHidden/>
    <w:qFormat/>
    <w:uiPriority w:val="99"/>
    <w:rPr>
      <w:rFonts w:ascii="Times New Roman" w:hAnsi="Times New Roman" w:eastAsia="宋体" w:cs="Times New Roman"/>
      <w:kern w:val="2"/>
      <w:sz w:val="21"/>
      <w:lang w:val="en-US" w:eastAsia="zh-CN" w:bidi="ar-SA"/>
    </w:rPr>
  </w:style>
  <w:style w:type="paragraph" w:customStyle="1" w:styleId="68">
    <w:name w:val="p0"/>
    <w:basedOn w:val="1"/>
    <w:autoRedefine/>
    <w:qFormat/>
    <w:uiPriority w:val="0"/>
    <w:rPr>
      <w:rFonts w:ascii="Calibri" w:hAnsi="Calibri" w:cs="宋体"/>
      <w:kern w:val="0"/>
      <w:szCs w:val="21"/>
    </w:rPr>
  </w:style>
  <w:style w:type="paragraph" w:customStyle="1" w:styleId="69">
    <w:name w:val="List Paragraph1"/>
    <w:basedOn w:val="1"/>
    <w:autoRedefine/>
    <w:qFormat/>
    <w:uiPriority w:val="99"/>
    <w:pPr>
      <w:ind w:firstLine="420" w:firstLineChars="200"/>
    </w:pPr>
  </w:style>
  <w:style w:type="paragraph" w:customStyle="1" w:styleId="70">
    <w:name w:val="列出段落1"/>
    <w:basedOn w:val="1"/>
    <w:autoRedefine/>
    <w:qFormat/>
    <w:uiPriority w:val="34"/>
    <w:pPr>
      <w:widowControl w:val="0"/>
      <w:ind w:firstLine="420" w:firstLineChars="200"/>
    </w:pPr>
    <w:rPr>
      <w:rFonts w:ascii="Calibri" w:hAnsi="Calibri"/>
      <w:szCs w:val="22"/>
    </w:rPr>
  </w:style>
  <w:style w:type="paragraph" w:styleId="71">
    <w:name w:val="List Paragraph"/>
    <w:basedOn w:val="1"/>
    <w:autoRedefine/>
    <w:semiHidden/>
    <w:unhideWhenUsed/>
    <w:qFormat/>
    <w:uiPriority w:val="99"/>
    <w:pPr>
      <w:widowControl w:val="0"/>
      <w:ind w:firstLine="420" w:firstLineChars="200"/>
    </w:pPr>
    <w:rPr>
      <w:szCs w:val="24"/>
    </w:rPr>
  </w:style>
  <w:style w:type="paragraph" w:customStyle="1" w:styleId="72">
    <w:name w:val="Char1 Char Char Char"/>
    <w:basedOn w:val="1"/>
    <w:autoRedefine/>
    <w:qFormat/>
    <w:uiPriority w:val="0"/>
    <w:pPr>
      <w:widowControl w:val="0"/>
      <w:spacing w:line="360" w:lineRule="auto"/>
      <w:ind w:left="230" w:leftChars="230"/>
    </w:pPr>
    <w:rPr>
      <w:rFonts w:ascii="Arial" w:hAnsi="Arial" w:cs="Arial"/>
      <w:sz w:val="20"/>
    </w:rPr>
  </w:style>
  <w:style w:type="paragraph" w:customStyle="1" w:styleId="73">
    <w:name w:val="Char"/>
    <w:basedOn w:val="1"/>
    <w:autoRedefine/>
    <w:qFormat/>
    <w:uiPriority w:val="0"/>
    <w:pPr>
      <w:spacing w:after="160" w:line="240" w:lineRule="exact"/>
      <w:jc w:val="left"/>
    </w:pPr>
    <w:rPr>
      <w:rFonts w:ascii="Verdana" w:hAnsi="Verdana" w:eastAsia="仿宋_GB2312"/>
      <w:spacing w:val="-4"/>
      <w:kern w:val="0"/>
      <w:sz w:val="24"/>
      <w:lang w:eastAsia="en-US"/>
    </w:rPr>
  </w:style>
  <w:style w:type="character" w:customStyle="1" w:styleId="74">
    <w:name w:val="font61"/>
    <w:basedOn w:val="38"/>
    <w:autoRedefine/>
    <w:qFormat/>
    <w:uiPriority w:val="0"/>
    <w:rPr>
      <w:rFonts w:hint="eastAsia" w:ascii="宋体" w:hAnsi="宋体" w:eastAsia="宋体" w:cs="宋体"/>
      <w:b/>
      <w:bCs/>
      <w:color w:val="000000"/>
      <w:sz w:val="18"/>
      <w:szCs w:val="18"/>
      <w:u w:val="none"/>
    </w:rPr>
  </w:style>
  <w:style w:type="character" w:customStyle="1" w:styleId="75">
    <w:name w:val="font41"/>
    <w:basedOn w:val="38"/>
    <w:autoRedefine/>
    <w:qFormat/>
    <w:uiPriority w:val="0"/>
    <w:rPr>
      <w:rFonts w:hint="eastAsia" w:ascii="微软雅黑" w:hAnsi="微软雅黑" w:eastAsia="微软雅黑" w:cs="微软雅黑"/>
      <w:b/>
      <w:bCs/>
      <w:color w:val="000000"/>
      <w:sz w:val="18"/>
      <w:szCs w:val="18"/>
      <w:u w:val="none"/>
    </w:rPr>
  </w:style>
  <w:style w:type="character" w:customStyle="1" w:styleId="76">
    <w:name w:val="font91"/>
    <w:basedOn w:val="38"/>
    <w:autoRedefine/>
    <w:qFormat/>
    <w:uiPriority w:val="0"/>
    <w:rPr>
      <w:rFonts w:hint="eastAsia" w:ascii="宋体" w:hAnsi="宋体" w:eastAsia="宋体" w:cs="宋体"/>
      <w:color w:val="000000"/>
      <w:sz w:val="24"/>
      <w:szCs w:val="24"/>
      <w:u w:val="single"/>
    </w:rPr>
  </w:style>
  <w:style w:type="character" w:customStyle="1" w:styleId="77">
    <w:name w:val="font21"/>
    <w:basedOn w:val="38"/>
    <w:autoRedefine/>
    <w:qFormat/>
    <w:uiPriority w:val="0"/>
    <w:rPr>
      <w:rFonts w:hint="eastAsia" w:ascii="宋体" w:hAnsi="宋体" w:eastAsia="宋体" w:cs="宋体"/>
      <w:color w:val="000000"/>
      <w:sz w:val="24"/>
      <w:szCs w:val="24"/>
      <w:u w:val="none"/>
    </w:rPr>
  </w:style>
  <w:style w:type="paragraph" w:customStyle="1" w:styleId="78">
    <w:name w:val="正文文本缩进 34"/>
    <w:basedOn w:val="1"/>
    <w:autoRedefine/>
    <w:qFormat/>
    <w:uiPriority w:val="0"/>
    <w:pPr>
      <w:spacing w:after="120"/>
      <w:ind w:left="420" w:leftChars="200"/>
    </w:pPr>
    <w:rPr>
      <w:kern w:val="0"/>
      <w:sz w:val="16"/>
      <w:szCs w:val="16"/>
    </w:rPr>
  </w:style>
  <w:style w:type="paragraph" w:customStyle="1" w:styleId="79">
    <w:name w:val="Body Text Indent 3"/>
    <w:basedOn w:val="1"/>
    <w:autoRedefine/>
    <w:qFormat/>
    <w:uiPriority w:val="0"/>
    <w:pPr>
      <w:spacing w:after="120" w:afterLines="0"/>
      <w:ind w:left="420" w:leftChars="200"/>
    </w:pPr>
    <w:rPr>
      <w:sz w:val="16"/>
      <w:szCs w:val="16"/>
    </w:rPr>
  </w:style>
  <w:style w:type="character" w:customStyle="1" w:styleId="80">
    <w:name w:val="font31"/>
    <w:basedOn w:val="38"/>
    <w:autoRedefine/>
    <w:qFormat/>
    <w:uiPriority w:val="0"/>
    <w:rPr>
      <w:rFonts w:hint="eastAsia" w:ascii="宋体" w:hAnsi="宋体" w:eastAsia="宋体" w:cs="宋体"/>
      <w:color w:val="000000"/>
      <w:sz w:val="18"/>
      <w:szCs w:val="18"/>
      <w:u w:val="none"/>
    </w:rPr>
  </w:style>
  <w:style w:type="character" w:customStyle="1" w:styleId="81">
    <w:name w:val="font71"/>
    <w:basedOn w:val="38"/>
    <w:autoRedefine/>
    <w:qFormat/>
    <w:uiPriority w:val="0"/>
    <w:rPr>
      <w:rFonts w:hint="eastAsia" w:ascii="宋体" w:hAnsi="宋体" w:eastAsia="宋体" w:cs="宋体"/>
      <w:color w:val="000000"/>
      <w:sz w:val="20"/>
      <w:szCs w:val="20"/>
      <w:u w:val="none"/>
    </w:rPr>
  </w:style>
  <w:style w:type="character" w:customStyle="1" w:styleId="82">
    <w:name w:val="font11"/>
    <w:basedOn w:val="38"/>
    <w:autoRedefine/>
    <w:qFormat/>
    <w:uiPriority w:val="0"/>
    <w:rPr>
      <w:rFonts w:hint="eastAsia" w:ascii="宋体" w:hAnsi="宋体" w:eastAsia="宋体" w:cs="宋体"/>
      <w:b/>
      <w:bCs/>
      <w:color w:val="000000"/>
      <w:sz w:val="28"/>
      <w:szCs w:val="28"/>
      <w:u w:val="none"/>
    </w:rPr>
  </w:style>
  <w:style w:type="paragraph" w:customStyle="1" w:styleId="83">
    <w:name w:val="xl32"/>
    <w:basedOn w:val="1"/>
    <w:qFormat/>
    <w:uiPriority w:val="0"/>
    <w:pPr>
      <w:widowControl/>
      <w:pBdr>
        <w:left w:val="single" w:color="auto" w:sz="4" w:space="0"/>
        <w:right w:val="single" w:color="auto" w:sz="4" w:space="0"/>
      </w:pBdr>
      <w:spacing w:before="100" w:beforeLines="0" w:beforeAutospacing="1" w:after="100" w:afterLines="0" w:afterAutospacing="1"/>
      <w:jc w:val="center"/>
      <w:textAlignment w:val="center"/>
    </w:pPr>
    <w:rPr>
      <w:rFonts w:ascii="宋体" w:hAnsi="宋体" w:eastAsia="宋体" w:cs="Times New Roman"/>
      <w:kern w:val="0"/>
      <w:sz w:val="20"/>
    </w:rPr>
  </w:style>
  <w:style w:type="paragraph" w:customStyle="1" w:styleId="84">
    <w:name w:val="font6"/>
    <w:basedOn w:val="1"/>
    <w:qFormat/>
    <w:uiPriority w:val="0"/>
    <w:pPr>
      <w:widowControl/>
      <w:spacing w:before="100" w:beforeLines="0" w:beforeAutospacing="1" w:after="100" w:afterLines="0" w:afterAutospacing="1"/>
      <w:jc w:val="left"/>
    </w:pPr>
    <w:rPr>
      <w:rFonts w:hint="eastAsia" w:ascii="宋体" w:hAnsi="宋体" w:eastAsia="宋体" w:cs="Times New Roman"/>
      <w:kern w:val="0"/>
      <w:sz w:val="20"/>
    </w:rPr>
  </w:style>
  <w:style w:type="paragraph" w:customStyle="1" w:styleId="85">
    <w:name w:val="_Style 3"/>
    <w:basedOn w:val="1"/>
    <w:qFormat/>
    <w:uiPriority w:val="34"/>
    <w:pPr>
      <w:widowControl w:val="0"/>
      <w:ind w:firstLine="420" w:firstLineChars="200"/>
    </w:pPr>
    <w:rPr>
      <w:rFonts w:ascii="Times New Roman" w:hAnsi="Times New Roman" w:eastAsia="宋体" w:cs="Times New Roman"/>
    </w:rPr>
  </w:style>
  <w:style w:type="character" w:customStyle="1" w:styleId="86">
    <w:name w:val="页脚 字符"/>
    <w:qFormat/>
    <w:uiPriority w:val="99"/>
    <w:rPr>
      <w:rFonts w:ascii="Times New Roman" w:hAnsi="Times New Roman" w:eastAsia="宋体" w:cs="Times New Roman"/>
      <w:sz w:val="18"/>
      <w:szCs w:val="18"/>
    </w:rPr>
  </w:style>
  <w:style w:type="character" w:customStyle="1" w:styleId="87">
    <w:name w:val="页眉 字符"/>
    <w:semiHidden/>
    <w:qFormat/>
    <w:uiPriority w:val="99"/>
    <w:rPr>
      <w:rFonts w:ascii="Times New Roman" w:hAnsi="Times New Roman" w:eastAsia="宋体" w:cs="Times New Roman"/>
      <w:sz w:val="18"/>
      <w:szCs w:val="18"/>
    </w:rPr>
  </w:style>
  <w:style w:type="character" w:customStyle="1" w:styleId="88">
    <w:name w:val="日期 字符"/>
    <w:qFormat/>
    <w:uiPriority w:val="0"/>
    <w:rPr>
      <w:rFonts w:ascii="Times New Roman" w:hAnsi="Times New Roman" w:eastAsia="宋体" w:cs="Times New Roman"/>
      <w:kern w:val="2"/>
      <w:sz w:val="21"/>
      <w:szCs w:val="24"/>
    </w:rPr>
  </w:style>
  <w:style w:type="paragraph" w:customStyle="1" w:styleId="89">
    <w:name w:val="TableOfAuthoring"/>
    <w:next w:val="1"/>
    <w:qFormat/>
    <w:uiPriority w:val="0"/>
    <w:pPr>
      <w:ind w:left="420" w:leftChars="200"/>
      <w:jc w:val="both"/>
    </w:pPr>
    <w:rPr>
      <w:rFonts w:ascii="Calibri" w:hAnsi="Calibri" w:eastAsia="宋体" w:cs="Times New Roman"/>
      <w:kern w:val="2"/>
      <w:sz w:val="21"/>
      <w:szCs w:val="24"/>
      <w:lang w:val="en-US" w:eastAsia="zh-CN" w:bidi="ar-SA"/>
    </w:rPr>
  </w:style>
  <w:style w:type="paragraph" w:customStyle="1" w:styleId="9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91">
    <w:name w:val="t-14"/>
    <w:qFormat/>
    <w:uiPriority w:val="0"/>
    <w:rPr>
      <w:rFonts w:ascii="Times New Roman" w:hAnsi="Times New Roman" w:eastAsia="宋体" w:cs="Times New Roman"/>
    </w:rPr>
  </w:style>
  <w:style w:type="paragraph" w:customStyle="1" w:styleId="92">
    <w:name w:val="Normal (Web)"/>
    <w:basedOn w:val="1"/>
    <w:qFormat/>
    <w:uiPriority w:val="0"/>
    <w:pPr>
      <w:widowControl/>
      <w:spacing w:before="100" w:beforeLines="0" w:beforeAutospacing="1" w:after="100" w:afterLines="0" w:afterAutospacing="1" w:line="283" w:lineRule="atLeast"/>
      <w:jc w:val="left"/>
    </w:pPr>
    <w:rPr>
      <w:rFonts w:ascii="宋体" w:hAnsi="宋体"/>
      <w:color w:val="000000"/>
      <w:kern w:val="0"/>
      <w:sz w:val="19"/>
      <w:szCs w:val="19"/>
    </w:rPr>
  </w:style>
  <w:style w:type="paragraph" w:customStyle="1" w:styleId="93">
    <w:name w:val="普通(网站)1"/>
    <w:basedOn w:val="1"/>
    <w:qFormat/>
    <w:uiPriority w:val="0"/>
    <w:pPr>
      <w:spacing w:before="100" w:beforeAutospacing="1" w:after="100" w:afterAutospacing="1" w:line="283" w:lineRule="atLeast"/>
      <w:jc w:val="left"/>
    </w:pPr>
    <w:rPr>
      <w:rFonts w:ascii="宋体" w:hAnsi="宋体"/>
      <w:color w:val="000000"/>
      <w:kern w:val="0"/>
      <w:sz w:val="19"/>
      <w:szCs w:val="19"/>
    </w:rPr>
  </w:style>
  <w:style w:type="paragraph" w:customStyle="1" w:styleId="94">
    <w:name w:val="正文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5">
    <w:name w:val="纯文本 New"/>
    <w:basedOn w:val="94"/>
    <w:qFormat/>
    <w:uiPriority w:val="0"/>
    <w:rPr>
      <w:rFonts w:ascii="宋体" w:hAnsi="Courier New"/>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microsoft.com/office/2006/relationships/keyMapCustomizations" Target="customizations.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w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4097" textRotate="1"/>
    <customShpInfo spid="_x0000_s409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94</Pages>
  <Words>18479</Words>
  <Characters>19755</Characters>
  <Lines>212</Lines>
  <Paragraphs>59</Paragraphs>
  <TotalTime>11</TotalTime>
  <ScaleCrop>false</ScaleCrop>
  <LinksUpToDate>false</LinksUpToDate>
  <CharactersWithSpaces>20816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2021-07-14T03:22:00Z</dcterms:created>
  <dc:creator>Administrator</dc:creator>
  <cp:lastModifiedBy>李家乐</cp:lastModifiedBy>
  <cp:lastPrinted>2021-08-24T08:13:00Z</cp:lastPrinted>
  <dcterms:modified xsi:type="dcterms:W3CDTF">2026-06-09T08:39:42Z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6712ABC4375342F8BB782D1D45685118_13</vt:lpwstr>
  </property>
  <property fmtid="{D5CDD505-2E9C-101B-9397-08002B2CF9AE}" pid="4" name="KSOTemplateDocerSaveRecord">
    <vt:lpwstr>eyJoZGlkIjoiOTJkMjhkMGYxYzA1OGY3N2EzZmJmODFlY2U5NmVlYTUiLCJ1c2VySWQiOiI0NjA0OTI0MDYifQ==</vt:lpwstr>
  </property>
</Properties>
</file>