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6BB8E">
      <w:pPr>
        <w:rPr>
          <w:rFonts w:hint="eastAsia" w:ascii="华文隶书" w:hAnsi="华文中宋" w:eastAsia="华文隶书"/>
          <w:b/>
          <w:szCs w:val="21"/>
        </w:rPr>
      </w:pPr>
    </w:p>
    <w:p w14:paraId="21D3C9BA">
      <w:pPr>
        <w:rPr>
          <w:rFonts w:hint="eastAsia" w:ascii="华文隶书" w:hAnsi="华文中宋" w:eastAsia="华文隶书"/>
          <w:b/>
          <w:szCs w:val="21"/>
        </w:rPr>
      </w:pPr>
    </w:p>
    <w:p w14:paraId="19502CBD">
      <w:pPr>
        <w:rPr>
          <w:rFonts w:hint="eastAsia" w:ascii="华文隶书" w:hAnsi="华文中宋" w:eastAsia="华文隶书"/>
          <w:b/>
          <w:szCs w:val="21"/>
        </w:rPr>
      </w:pPr>
    </w:p>
    <w:p w14:paraId="15377101">
      <w:pPr>
        <w:jc w:val="center"/>
        <w:rPr>
          <w:rFonts w:hint="eastAsia" w:ascii="华文中宋" w:hAnsi="华文中宋" w:eastAsia="华文中宋"/>
          <w:b/>
          <w:sz w:val="52"/>
          <w:szCs w:val="52"/>
        </w:rPr>
      </w:pPr>
      <w:r>
        <w:rPr>
          <w:rFonts w:hint="eastAsia" w:ascii="华文中宋" w:hAnsi="华文中宋" w:eastAsia="华文中宋"/>
          <w:b/>
          <w:sz w:val="52"/>
          <w:szCs w:val="52"/>
        </w:rPr>
        <w:t>阳朔县深能环保有限公司202</w:t>
      </w:r>
      <w:r>
        <w:rPr>
          <w:rFonts w:hint="eastAsia" w:ascii="华文中宋" w:hAnsi="华文中宋" w:eastAsia="华文中宋"/>
          <w:b/>
          <w:sz w:val="52"/>
          <w:szCs w:val="52"/>
          <w:lang w:val="en-US" w:eastAsia="zh-CN"/>
        </w:rPr>
        <w:t>6</w:t>
      </w:r>
      <w:r>
        <w:rPr>
          <w:rFonts w:hint="eastAsia" w:ascii="华文中宋" w:hAnsi="华文中宋" w:eastAsia="华文中宋"/>
          <w:b/>
          <w:sz w:val="52"/>
          <w:szCs w:val="52"/>
        </w:rPr>
        <w:t>年实验室</w:t>
      </w:r>
    </w:p>
    <w:p w14:paraId="380EE7D6">
      <w:pPr>
        <w:jc w:val="center"/>
        <w:rPr>
          <w:rFonts w:hint="eastAsia" w:ascii="华文中宋" w:hAnsi="华文中宋" w:eastAsia="华文中宋"/>
          <w:b/>
          <w:bCs/>
          <w:sz w:val="52"/>
          <w:szCs w:val="52"/>
        </w:rPr>
      </w:pPr>
      <w:r>
        <w:rPr>
          <w:rFonts w:hint="eastAsia" w:ascii="华文中宋" w:hAnsi="华文中宋" w:eastAsia="华文中宋"/>
          <w:b/>
          <w:sz w:val="52"/>
          <w:szCs w:val="52"/>
        </w:rPr>
        <w:t>仪器校准服务合同</w:t>
      </w:r>
    </w:p>
    <w:p w14:paraId="194D014A">
      <w:pPr>
        <w:rPr>
          <w:rFonts w:hint="eastAsia"/>
        </w:rPr>
      </w:pPr>
    </w:p>
    <w:p w14:paraId="7C8761EF">
      <w:pPr>
        <w:rPr>
          <w:rFonts w:hint="eastAsia"/>
        </w:rPr>
      </w:pPr>
    </w:p>
    <w:p w14:paraId="3C05768E">
      <w:pPr>
        <w:rPr>
          <w:rFonts w:hint="eastAsia"/>
        </w:rPr>
      </w:pPr>
    </w:p>
    <w:p w14:paraId="39AAFC52">
      <w:pPr>
        <w:rPr>
          <w:rFonts w:hint="eastAsia"/>
        </w:rPr>
      </w:pPr>
    </w:p>
    <w:p w14:paraId="1DC4DA24">
      <w:pPr>
        <w:rPr>
          <w:rFonts w:hint="eastAsia"/>
        </w:rPr>
      </w:pPr>
    </w:p>
    <w:p w14:paraId="22BCCFE9">
      <w:pPr>
        <w:rPr>
          <w:rFonts w:hint="eastAsia"/>
        </w:rPr>
      </w:pPr>
    </w:p>
    <w:p w14:paraId="60C4F5FC">
      <w:pPr>
        <w:pStyle w:val="7"/>
        <w:rPr>
          <w:rFonts w:hint="eastAsia"/>
        </w:rPr>
      </w:pPr>
    </w:p>
    <w:p w14:paraId="760B4986">
      <w:pPr>
        <w:pStyle w:val="7"/>
        <w:rPr>
          <w:rFonts w:hint="eastAsia"/>
        </w:rPr>
      </w:pPr>
    </w:p>
    <w:p w14:paraId="6490CEB1">
      <w:pPr>
        <w:pStyle w:val="7"/>
        <w:rPr>
          <w:rFonts w:hint="eastAsia"/>
        </w:rPr>
      </w:pPr>
    </w:p>
    <w:p w14:paraId="52210D80">
      <w:pPr>
        <w:pStyle w:val="7"/>
        <w:rPr>
          <w:rFonts w:hint="eastAsia"/>
        </w:rPr>
      </w:pPr>
    </w:p>
    <w:p w14:paraId="0F5AF396">
      <w:pPr>
        <w:pStyle w:val="7"/>
        <w:rPr>
          <w:rFonts w:hint="eastAsia"/>
        </w:rPr>
      </w:pPr>
    </w:p>
    <w:p w14:paraId="0A5BEC07">
      <w:pPr>
        <w:pStyle w:val="7"/>
        <w:rPr>
          <w:rFonts w:hint="eastAsia"/>
        </w:rPr>
      </w:pPr>
    </w:p>
    <w:p w14:paraId="682E563B">
      <w:pPr>
        <w:rPr>
          <w:rFonts w:hint="eastAsia"/>
        </w:rPr>
      </w:pPr>
    </w:p>
    <w:p w14:paraId="29437E56">
      <w:pPr>
        <w:spacing w:line="560" w:lineRule="exact"/>
        <w:ind w:firstLine="2240" w:firstLineChars="800"/>
        <w:rPr>
          <w:rFonts w:hint="eastAsia" w:ascii="宋体" w:eastAsia="宋体"/>
          <w:color w:val="000000" w:themeColor="text1"/>
          <w:sz w:val="28"/>
          <w:szCs w:val="28"/>
          <w:lang w:eastAsia="zh-CN"/>
          <w14:textFill>
            <w14:solidFill>
              <w14:schemeClr w14:val="tx1"/>
            </w14:solidFill>
          </w14:textFill>
        </w:rPr>
      </w:pPr>
      <w:r>
        <w:rPr>
          <w:rFonts w:hint="eastAsia" w:ascii="宋体" w:hAnsi="宋体"/>
          <w:color w:val="000000" w:themeColor="text1"/>
          <w:sz w:val="28"/>
          <w:szCs w:val="28"/>
          <w14:textFill>
            <w14:solidFill>
              <w14:schemeClr w14:val="tx1"/>
            </w14:solidFill>
          </w14:textFill>
        </w:rPr>
        <w:t>甲方：</w:t>
      </w:r>
      <w:r>
        <w:rPr>
          <w:rFonts w:hint="eastAsia" w:ascii="宋体" w:hAnsi="宋体"/>
          <w:color w:val="000000" w:themeColor="text1"/>
          <w:sz w:val="28"/>
          <w:szCs w:val="28"/>
          <w:u w:val="single"/>
          <w:lang w:eastAsia="zh-CN"/>
          <w14:textFill>
            <w14:solidFill>
              <w14:schemeClr w14:val="tx1"/>
            </w14:solidFill>
          </w14:textFill>
        </w:rPr>
        <w:t>阳朔县深能环保有限公司</w:t>
      </w:r>
    </w:p>
    <w:p w14:paraId="3BE6446B">
      <w:pPr>
        <w:spacing w:line="560" w:lineRule="exact"/>
        <w:ind w:firstLine="2240" w:firstLineChars="800"/>
        <w:rPr>
          <w:rFonts w:hint="default" w:ascii="宋体" w:eastAsia="宋体"/>
          <w:color w:val="000000" w:themeColor="text1"/>
          <w:sz w:val="32"/>
          <w:szCs w:val="32"/>
          <w:u w:val="single"/>
          <w:lang w:val="en-US" w:eastAsia="zh-CN"/>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乙方：</w:t>
      </w:r>
      <w:r>
        <w:rPr>
          <w:rFonts w:hint="eastAsia" w:ascii="宋体" w:hAnsi="宋体"/>
          <w:color w:val="000000" w:themeColor="text1"/>
          <w:sz w:val="28"/>
          <w:szCs w:val="28"/>
          <w:u w:val="single"/>
          <w:lang w:val="en-US" w:eastAsia="zh-CN"/>
          <w14:textFill>
            <w14:solidFill>
              <w14:schemeClr w14:val="tx1"/>
            </w14:solidFill>
          </w14:textFill>
        </w:rPr>
        <w:t>长沙华维检测技术有限公司</w:t>
      </w:r>
    </w:p>
    <w:p w14:paraId="03DD77E2">
      <w:pPr>
        <w:spacing w:line="560" w:lineRule="exact"/>
        <w:rPr>
          <w:rFonts w:ascii="宋体"/>
          <w:color w:val="000000" w:themeColor="text1"/>
          <w:sz w:val="32"/>
          <w:szCs w:val="32"/>
          <w14:textFill>
            <w14:solidFill>
              <w14:schemeClr w14:val="tx1"/>
            </w14:solidFill>
          </w14:textFill>
        </w:rPr>
      </w:pPr>
    </w:p>
    <w:p w14:paraId="5ABEAFE2">
      <w:pPr>
        <w:spacing w:line="560" w:lineRule="exact"/>
        <w:jc w:val="center"/>
        <w:rPr>
          <w:rFonts w:ascii="宋体"/>
          <w:color w:val="000000" w:themeColor="text1"/>
          <w:sz w:val="32"/>
          <w:szCs w:val="32"/>
          <w14:textFill>
            <w14:solidFill>
              <w14:schemeClr w14:val="tx1"/>
            </w14:solidFill>
          </w14:textFill>
        </w:rPr>
      </w:pPr>
    </w:p>
    <w:p w14:paraId="7679BB5A">
      <w:pPr>
        <w:spacing w:line="560" w:lineRule="exact"/>
        <w:jc w:val="both"/>
        <w:rPr>
          <w:rFonts w:ascii="宋体" w:hAnsi="宋体"/>
          <w:color w:val="000000" w:themeColor="text1"/>
          <w:sz w:val="32"/>
          <w:szCs w:val="32"/>
          <w14:textFill>
            <w14:solidFill>
              <w14:schemeClr w14:val="tx1"/>
            </w14:solidFill>
          </w14:textFill>
        </w:rPr>
      </w:pPr>
    </w:p>
    <w:p w14:paraId="5F4773EE">
      <w:pPr>
        <w:spacing w:line="560" w:lineRule="exact"/>
        <w:jc w:val="both"/>
        <w:rPr>
          <w:rFonts w:ascii="宋体" w:hAnsi="宋体"/>
          <w:color w:val="000000" w:themeColor="text1"/>
          <w:sz w:val="32"/>
          <w:szCs w:val="32"/>
          <w14:textFill>
            <w14:solidFill>
              <w14:schemeClr w14:val="tx1"/>
            </w14:solidFill>
          </w14:textFill>
        </w:rPr>
      </w:pPr>
    </w:p>
    <w:p w14:paraId="0807764C">
      <w:pPr>
        <w:spacing w:line="560" w:lineRule="exact"/>
        <w:jc w:val="both"/>
        <w:rPr>
          <w:rFonts w:ascii="宋体" w:hAnsi="宋体"/>
          <w:color w:val="000000" w:themeColor="text1"/>
          <w:sz w:val="32"/>
          <w:szCs w:val="32"/>
          <w14:textFill>
            <w14:solidFill>
              <w14:schemeClr w14:val="tx1"/>
            </w14:solidFill>
          </w14:textFill>
        </w:rPr>
      </w:pPr>
    </w:p>
    <w:p w14:paraId="17E3CB23">
      <w:pPr>
        <w:spacing w:line="560" w:lineRule="exact"/>
        <w:jc w:val="both"/>
        <w:rPr>
          <w:rFonts w:ascii="宋体" w:hAnsi="宋体"/>
          <w:color w:val="000000" w:themeColor="text1"/>
          <w:sz w:val="32"/>
          <w:szCs w:val="32"/>
          <w14:textFill>
            <w14:solidFill>
              <w14:schemeClr w14:val="tx1"/>
            </w14:solidFill>
          </w14:textFill>
        </w:rPr>
      </w:pPr>
    </w:p>
    <w:p w14:paraId="63874346">
      <w:pPr>
        <w:spacing w:line="560" w:lineRule="exact"/>
        <w:jc w:val="center"/>
        <w:rPr>
          <w:rFonts w:ascii="仿宋_GB2312" w:hAnsi="宋体"/>
          <w:b/>
          <w:snapToGrid w:val="0"/>
          <w:color w:val="000000" w:themeColor="text1"/>
          <w:sz w:val="36"/>
          <w:szCs w:val="36"/>
          <w14:textFill>
            <w14:solidFill>
              <w14:schemeClr w14:val="tx1"/>
            </w14:solidFill>
          </w14:textFill>
        </w:rPr>
      </w:pPr>
      <w:r>
        <w:rPr>
          <w:rFonts w:ascii="宋体" w:hAnsi="宋体"/>
          <w:color w:val="000000" w:themeColor="text1"/>
          <w:sz w:val="32"/>
          <w:szCs w:val="32"/>
          <w:highlight w:val="none"/>
          <w14:textFill>
            <w14:solidFill>
              <w14:schemeClr w14:val="tx1"/>
            </w14:solidFill>
          </w14:textFill>
        </w:rPr>
        <w:t>20</w:t>
      </w:r>
      <w:r>
        <w:rPr>
          <w:rFonts w:hint="eastAsia" w:ascii="宋体" w:hAnsi="宋体"/>
          <w:color w:val="000000" w:themeColor="text1"/>
          <w:sz w:val="32"/>
          <w:szCs w:val="32"/>
          <w:highlight w:val="none"/>
          <w14:textFill>
            <w14:solidFill>
              <w14:schemeClr w14:val="tx1"/>
            </w14:solidFill>
          </w14:textFill>
        </w:rPr>
        <w:t>2</w:t>
      </w:r>
      <w:r>
        <w:rPr>
          <w:rFonts w:hint="eastAsia" w:ascii="宋体" w:hAnsi="宋体"/>
          <w:color w:val="000000" w:themeColor="text1"/>
          <w:sz w:val="32"/>
          <w:szCs w:val="32"/>
          <w:highlight w:val="none"/>
          <w:lang w:val="en-US" w:eastAsia="zh-CN"/>
          <w14:textFill>
            <w14:solidFill>
              <w14:schemeClr w14:val="tx1"/>
            </w14:solidFill>
          </w14:textFill>
        </w:rPr>
        <w:t>6</w:t>
      </w:r>
      <w:r>
        <w:rPr>
          <w:rFonts w:hint="eastAsia" w:ascii="宋体" w:hAnsi="宋体"/>
          <w:color w:val="000000" w:themeColor="text1"/>
          <w:sz w:val="32"/>
          <w:szCs w:val="32"/>
          <w:highlight w:val="none"/>
          <w14:textFill>
            <w14:solidFill>
              <w14:schemeClr w14:val="tx1"/>
            </w14:solidFill>
          </w14:textFill>
        </w:rPr>
        <w:t>年</w:t>
      </w:r>
      <w:r>
        <w:rPr>
          <w:rFonts w:hint="eastAsia" w:ascii="宋体" w:hAnsi="宋体"/>
          <w:color w:val="000000" w:themeColor="text1"/>
          <w:sz w:val="32"/>
          <w:szCs w:val="32"/>
          <w:highlight w:val="none"/>
          <w:lang w:val="en-US" w:eastAsia="zh-CN"/>
          <w14:textFill>
            <w14:solidFill>
              <w14:schemeClr w14:val="tx1"/>
            </w14:solidFill>
          </w14:textFill>
        </w:rPr>
        <w:t xml:space="preserve">  </w:t>
      </w:r>
      <w:r>
        <w:rPr>
          <w:rFonts w:hint="eastAsia" w:ascii="宋体" w:hAnsi="宋体"/>
          <w:color w:val="000000" w:themeColor="text1"/>
          <w:sz w:val="32"/>
          <w:szCs w:val="32"/>
          <w:highlight w:val="none"/>
          <w14:textFill>
            <w14:solidFill>
              <w14:schemeClr w14:val="tx1"/>
            </w14:solidFill>
          </w14:textFill>
        </w:rPr>
        <w:t>月</w:t>
      </w:r>
    </w:p>
    <w:p w14:paraId="4321CCA9">
      <w:pPr>
        <w:rPr>
          <w:rFonts w:hint="eastAsia"/>
        </w:rPr>
      </w:pPr>
    </w:p>
    <w:p w14:paraId="518CC6D9">
      <w:pPr>
        <w:spacing w:line="360" w:lineRule="exact"/>
        <w:jc w:val="both"/>
        <w:rPr>
          <w:rFonts w:hint="eastAsia" w:ascii="华文中宋" w:hAnsi="华文中宋" w:eastAsia="华文中宋"/>
          <w:b/>
          <w:szCs w:val="21"/>
        </w:rPr>
      </w:pPr>
    </w:p>
    <w:p w14:paraId="5A43395C">
      <w:pPr>
        <w:spacing w:line="360" w:lineRule="exact"/>
        <w:jc w:val="center"/>
        <w:rPr>
          <w:rFonts w:hint="eastAsia" w:ascii="华文中宋" w:hAnsi="华文中宋" w:eastAsia="华文中宋"/>
          <w:b/>
          <w:szCs w:val="21"/>
        </w:rPr>
      </w:pPr>
    </w:p>
    <w:p w14:paraId="7AA6C61D">
      <w:pPr>
        <w:jc w:val="center"/>
        <w:rPr>
          <w:rFonts w:hint="eastAsia" w:ascii="华文中宋" w:hAnsi="华文中宋" w:eastAsia="华文中宋"/>
          <w:b/>
          <w:sz w:val="52"/>
          <w:szCs w:val="52"/>
        </w:rPr>
        <w:sectPr>
          <w:headerReference r:id="rId3" w:type="default"/>
          <w:footerReference r:id="rId4" w:type="default"/>
          <w:pgSz w:w="11906" w:h="16838"/>
          <w:pgMar w:top="1440" w:right="748" w:bottom="623" w:left="902" w:header="454" w:footer="533" w:gutter="0"/>
          <w:pgNumType w:fmt="decimal"/>
          <w:cols w:space="720" w:num="1"/>
          <w:docGrid w:type="lines" w:linePitch="312" w:charSpace="0"/>
        </w:sectPr>
      </w:pPr>
    </w:p>
    <w:p w14:paraId="7BE36B29">
      <w:pPr>
        <w:jc w:val="center"/>
        <w:rPr>
          <w:rFonts w:hint="eastAsia" w:ascii="华文隶书" w:hAnsi="华文中宋" w:eastAsia="华文隶书"/>
          <w:b/>
          <w:bCs/>
          <w:sz w:val="52"/>
          <w:szCs w:val="52"/>
        </w:rPr>
      </w:pPr>
      <w:r>
        <w:rPr>
          <w:rFonts w:hint="eastAsia" w:ascii="华文中宋" w:hAnsi="华文中宋" w:eastAsia="华文中宋"/>
          <w:b/>
          <w:sz w:val="52"/>
          <w:szCs w:val="52"/>
          <w:lang w:val="en-US" w:eastAsia="zh-CN"/>
        </w:rPr>
        <w:t xml:space="preserve"> </w:t>
      </w:r>
      <w:r>
        <w:rPr>
          <w:rFonts w:hint="eastAsia" w:ascii="华文中宋" w:hAnsi="华文中宋" w:eastAsia="华文中宋"/>
          <w:b/>
          <w:sz w:val="52"/>
          <w:szCs w:val="52"/>
        </w:rPr>
        <w:t>阳朔县深能环保有限公司202</w:t>
      </w:r>
      <w:r>
        <w:rPr>
          <w:rFonts w:hint="eastAsia" w:ascii="华文中宋" w:hAnsi="华文中宋" w:eastAsia="华文中宋"/>
          <w:b/>
          <w:sz w:val="52"/>
          <w:szCs w:val="52"/>
          <w:lang w:val="en-US" w:eastAsia="zh-CN"/>
        </w:rPr>
        <w:t>6</w:t>
      </w:r>
      <w:r>
        <w:rPr>
          <w:rFonts w:hint="eastAsia" w:ascii="华文中宋" w:hAnsi="华文中宋" w:eastAsia="华文中宋"/>
          <w:b/>
          <w:sz w:val="52"/>
          <w:szCs w:val="52"/>
        </w:rPr>
        <w:t>年实验室仪器校准服务合同</w:t>
      </w:r>
    </w:p>
    <w:p w14:paraId="791F936B">
      <w:pPr>
        <w:spacing w:line="360" w:lineRule="auto"/>
        <w:jc w:val="center"/>
        <w:rPr>
          <w:rFonts w:hint="eastAsia" w:ascii="华文中宋" w:hAnsi="华文中宋" w:eastAsia="华文中宋"/>
          <w:bCs/>
          <w:szCs w:val="21"/>
        </w:rPr>
      </w:pPr>
    </w:p>
    <w:tbl>
      <w:tblPr>
        <w:tblStyle w:val="8"/>
        <w:tblW w:w="0" w:type="auto"/>
        <w:tblInd w:w="108" w:type="dxa"/>
        <w:tblLayout w:type="fixed"/>
        <w:tblCellMar>
          <w:top w:w="0" w:type="dxa"/>
          <w:left w:w="108" w:type="dxa"/>
          <w:bottom w:w="0" w:type="dxa"/>
          <w:right w:w="108" w:type="dxa"/>
        </w:tblCellMar>
      </w:tblPr>
      <w:tblGrid>
        <w:gridCol w:w="1440"/>
        <w:gridCol w:w="3780"/>
        <w:gridCol w:w="1440"/>
        <w:gridCol w:w="3600"/>
      </w:tblGrid>
      <w:tr w14:paraId="36D51146">
        <w:tblPrEx>
          <w:tblCellMar>
            <w:top w:w="0" w:type="dxa"/>
            <w:left w:w="108" w:type="dxa"/>
            <w:bottom w:w="0" w:type="dxa"/>
            <w:right w:w="108" w:type="dxa"/>
          </w:tblCellMar>
        </w:tblPrEx>
        <w:trPr>
          <w:trHeight w:val="695" w:hRule="atLeast"/>
        </w:trPr>
        <w:tc>
          <w:tcPr>
            <w:tcW w:w="1440" w:type="dxa"/>
            <w:noWrap w:val="0"/>
            <w:vAlign w:val="center"/>
          </w:tcPr>
          <w:p w14:paraId="285E61CE">
            <w:pPr>
              <w:rPr>
                <w:rFonts w:ascii="宋体" w:hAnsi="宋体"/>
                <w:szCs w:val="21"/>
                <w:highlight w:val="none"/>
              </w:rPr>
            </w:pPr>
            <w:r>
              <w:rPr>
                <w:rFonts w:hint="eastAsia" w:ascii="宋体" w:hAnsi="宋体"/>
                <w:szCs w:val="21"/>
                <w:highlight w:val="none"/>
              </w:rPr>
              <w:t>甲方：</w:t>
            </w:r>
          </w:p>
        </w:tc>
        <w:tc>
          <w:tcPr>
            <w:tcW w:w="3780" w:type="dxa"/>
            <w:noWrap w:val="0"/>
            <w:vAlign w:val="center"/>
          </w:tcPr>
          <w:p w14:paraId="120CE357">
            <w:pPr>
              <w:pStyle w:val="6"/>
              <w:pBdr>
                <w:bottom w:val="none" w:color="auto" w:sz="0" w:space="0"/>
              </w:pBdr>
              <w:spacing w:line="288" w:lineRule="auto"/>
              <w:jc w:val="both"/>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阳朔县深能环保有限公司</w:t>
            </w:r>
          </w:p>
        </w:tc>
        <w:tc>
          <w:tcPr>
            <w:tcW w:w="1440" w:type="dxa"/>
            <w:noWrap w:val="0"/>
            <w:vAlign w:val="center"/>
          </w:tcPr>
          <w:p w14:paraId="39C42494">
            <w:pPr>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乙方：</w:t>
            </w:r>
          </w:p>
        </w:tc>
        <w:tc>
          <w:tcPr>
            <w:tcW w:w="3600" w:type="dxa"/>
            <w:noWrap w:val="0"/>
            <w:vAlign w:val="center"/>
          </w:tcPr>
          <w:p w14:paraId="1B429886">
            <w:pPr>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pict>
                <v:shape id="_x0000_i1025" o:spt="201" type="#_x0000_t201" style="height:0pt;width:0.05pt;" filled="f" coordsize="21600,21600">
                  <v:path/>
                  <v:fill on="f" focussize="0,0"/>
                  <v:stroke/>
                  <v:imagedata o:title=""/>
                  <o:lock v:ext="edit" aspectratio="t"/>
                  <w10:wrap type="none"/>
                  <w10:anchorlock/>
                </v:shape>
              </w:pict>
            </w:r>
            <w:r>
              <w:rPr>
                <w:rFonts w:hint="eastAsia" w:ascii="宋体" w:hAnsi="宋体" w:eastAsia="宋体" w:cs="Times New Roman"/>
                <w:kern w:val="2"/>
                <w:sz w:val="21"/>
                <w:szCs w:val="21"/>
                <w:highlight w:val="none"/>
                <w:lang w:val="en-US" w:eastAsia="zh-CN" w:bidi="ar-SA"/>
              </w:rPr>
              <w:t>长沙华维检测技术有限公司</w:t>
            </w:r>
            <w:r>
              <w:rPr>
                <w:rFonts w:hint="eastAsia" w:ascii="宋体" w:hAnsi="宋体" w:cs="Times New Roman"/>
                <w:kern w:val="2"/>
                <w:sz w:val="21"/>
                <w:szCs w:val="21"/>
                <w:highlight w:val="none"/>
                <w:lang w:val="en-US" w:eastAsia="zh-CN" w:bidi="ar-SA"/>
              </w:rPr>
              <w:t xml:space="preserve"> </w:t>
            </w:r>
          </w:p>
        </w:tc>
      </w:tr>
      <w:tr w14:paraId="76DFB409">
        <w:tblPrEx>
          <w:tblCellMar>
            <w:top w:w="0" w:type="dxa"/>
            <w:left w:w="108" w:type="dxa"/>
            <w:bottom w:w="0" w:type="dxa"/>
            <w:right w:w="108" w:type="dxa"/>
          </w:tblCellMar>
        </w:tblPrEx>
        <w:trPr>
          <w:trHeight w:val="695" w:hRule="atLeast"/>
        </w:trPr>
        <w:tc>
          <w:tcPr>
            <w:tcW w:w="1440" w:type="dxa"/>
            <w:noWrap w:val="0"/>
            <w:vAlign w:val="center"/>
          </w:tcPr>
          <w:p w14:paraId="05F7D2BB">
            <w:pPr>
              <w:rPr>
                <w:rFonts w:hint="eastAsia" w:ascii="宋体" w:hAnsi="宋体"/>
                <w:szCs w:val="21"/>
                <w:highlight w:val="none"/>
              </w:rPr>
            </w:pPr>
            <w:r>
              <w:rPr>
                <w:rFonts w:hint="eastAsia" w:ascii="宋体" w:hAnsi="宋体"/>
                <w:szCs w:val="21"/>
                <w:highlight w:val="none"/>
              </w:rPr>
              <w:t>统一社会信用代码：</w:t>
            </w:r>
          </w:p>
        </w:tc>
        <w:tc>
          <w:tcPr>
            <w:tcW w:w="3780" w:type="dxa"/>
            <w:noWrap w:val="0"/>
            <w:vAlign w:val="center"/>
          </w:tcPr>
          <w:p w14:paraId="4F8655EC">
            <w:pPr>
              <w:pStyle w:val="6"/>
              <w:pBdr>
                <w:bottom w:val="none" w:color="auto" w:sz="0" w:space="0"/>
              </w:pBdr>
              <w:spacing w:line="288" w:lineRule="auto"/>
              <w:jc w:val="both"/>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91450321MA5MY48K74</w:t>
            </w:r>
          </w:p>
        </w:tc>
        <w:tc>
          <w:tcPr>
            <w:tcW w:w="1440" w:type="dxa"/>
            <w:noWrap w:val="0"/>
            <w:vAlign w:val="center"/>
          </w:tcPr>
          <w:p w14:paraId="64A90057">
            <w:pPr>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统一社会信用代码：</w:t>
            </w:r>
          </w:p>
        </w:tc>
        <w:tc>
          <w:tcPr>
            <w:tcW w:w="3600" w:type="dxa"/>
            <w:noWrap w:val="0"/>
            <w:vAlign w:val="center"/>
          </w:tcPr>
          <w:p w14:paraId="3371E004">
            <w:pPr>
              <w:jc w:val="left"/>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 xml:space="preserve">91430112MA4T97EU38   </w:t>
            </w:r>
          </w:p>
        </w:tc>
      </w:tr>
      <w:tr w14:paraId="3F5459B3">
        <w:tblPrEx>
          <w:tblCellMar>
            <w:top w:w="0" w:type="dxa"/>
            <w:left w:w="108" w:type="dxa"/>
            <w:bottom w:w="0" w:type="dxa"/>
            <w:right w:w="108" w:type="dxa"/>
          </w:tblCellMar>
        </w:tblPrEx>
        <w:trPr>
          <w:trHeight w:val="483" w:hRule="atLeast"/>
        </w:trPr>
        <w:tc>
          <w:tcPr>
            <w:tcW w:w="1440" w:type="dxa"/>
            <w:noWrap w:val="0"/>
            <w:vAlign w:val="center"/>
          </w:tcPr>
          <w:p w14:paraId="37AA4464">
            <w:pPr>
              <w:rPr>
                <w:rFonts w:hint="eastAsia" w:ascii="宋体" w:hAnsi="宋体"/>
                <w:szCs w:val="21"/>
                <w:highlight w:val="none"/>
              </w:rPr>
            </w:pPr>
            <w:r>
              <w:rPr>
                <w:rFonts w:hint="eastAsia" w:ascii="宋体" w:hAnsi="宋体"/>
                <w:szCs w:val="21"/>
                <w:highlight w:val="none"/>
                <w:lang w:val="en-US" w:eastAsia="zh-CN"/>
              </w:rPr>
              <w:t>技术</w:t>
            </w:r>
            <w:r>
              <w:rPr>
                <w:rFonts w:hint="eastAsia" w:ascii="宋体" w:hAnsi="宋体"/>
                <w:szCs w:val="21"/>
                <w:highlight w:val="none"/>
              </w:rPr>
              <w:t>联系人：</w:t>
            </w:r>
          </w:p>
        </w:tc>
        <w:tc>
          <w:tcPr>
            <w:tcW w:w="3780" w:type="dxa"/>
            <w:noWrap w:val="0"/>
            <w:vAlign w:val="center"/>
          </w:tcPr>
          <w:p w14:paraId="69ED8210">
            <w:pPr>
              <w:pStyle w:val="6"/>
              <w:pBdr>
                <w:bottom w:val="none" w:color="auto" w:sz="0" w:space="0"/>
              </w:pBdr>
              <w:spacing w:line="288" w:lineRule="auto"/>
              <w:jc w:val="both"/>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张丽</w:t>
            </w:r>
            <w:r>
              <w:rPr>
                <w:rFonts w:hint="eastAsia" w:ascii="宋体" w:hAnsi="宋体" w:eastAsia="宋体" w:cs="Times New Roman"/>
                <w:kern w:val="2"/>
                <w:sz w:val="21"/>
                <w:szCs w:val="21"/>
                <w:highlight w:val="none"/>
                <w:lang w:val="en-US" w:eastAsia="zh-CN" w:bidi="ar-SA"/>
              </w:rPr>
              <w:t xml:space="preserve">  15078388037</w:t>
            </w:r>
          </w:p>
        </w:tc>
        <w:tc>
          <w:tcPr>
            <w:tcW w:w="1440" w:type="dxa"/>
            <w:noWrap w:val="0"/>
            <w:vAlign w:val="center"/>
          </w:tcPr>
          <w:p w14:paraId="6C4F4DEF">
            <w:pPr>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联系人:</w:t>
            </w:r>
          </w:p>
        </w:tc>
        <w:tc>
          <w:tcPr>
            <w:tcW w:w="3600" w:type="dxa"/>
            <w:noWrap w:val="0"/>
            <w:vAlign w:val="center"/>
          </w:tcPr>
          <w:p w14:paraId="12F4020D">
            <w:pPr>
              <w:jc w:val="left"/>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 xml:space="preserve"> 向晓宇 18374415761      </w:t>
            </w:r>
          </w:p>
        </w:tc>
      </w:tr>
      <w:tr w14:paraId="631C292A">
        <w:tblPrEx>
          <w:tblCellMar>
            <w:top w:w="0" w:type="dxa"/>
            <w:left w:w="108" w:type="dxa"/>
            <w:bottom w:w="0" w:type="dxa"/>
            <w:right w:w="108" w:type="dxa"/>
          </w:tblCellMar>
        </w:tblPrEx>
        <w:trPr>
          <w:trHeight w:val="552" w:hRule="atLeast"/>
        </w:trPr>
        <w:tc>
          <w:tcPr>
            <w:tcW w:w="1440" w:type="dxa"/>
            <w:noWrap w:val="0"/>
            <w:vAlign w:val="center"/>
          </w:tcPr>
          <w:p w14:paraId="0B3A94F9">
            <w:pPr>
              <w:rPr>
                <w:rFonts w:hint="eastAsia" w:ascii="宋体" w:hAnsi="宋体"/>
                <w:szCs w:val="21"/>
                <w:highlight w:val="none"/>
              </w:rPr>
            </w:pPr>
            <w:r>
              <w:rPr>
                <w:rFonts w:hint="eastAsia" w:ascii="宋体" w:hAnsi="宋体"/>
                <w:szCs w:val="21"/>
                <w:highlight w:val="none"/>
              </w:rPr>
              <w:t>地址：</w:t>
            </w:r>
          </w:p>
        </w:tc>
        <w:tc>
          <w:tcPr>
            <w:tcW w:w="3780" w:type="dxa"/>
            <w:noWrap w:val="0"/>
            <w:vAlign w:val="center"/>
          </w:tcPr>
          <w:p w14:paraId="44F665CC">
            <w:pPr>
              <w:pStyle w:val="6"/>
              <w:pBdr>
                <w:bottom w:val="none" w:color="auto" w:sz="0" w:space="0"/>
              </w:pBdr>
              <w:spacing w:line="288" w:lineRule="auto"/>
              <w:jc w:val="both"/>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阳朔县福利镇青鸟村委龙回寨村</w:t>
            </w:r>
          </w:p>
        </w:tc>
        <w:tc>
          <w:tcPr>
            <w:tcW w:w="1440" w:type="dxa"/>
            <w:noWrap w:val="0"/>
            <w:vAlign w:val="center"/>
          </w:tcPr>
          <w:p w14:paraId="7107EC98">
            <w:pPr>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地址：</w:t>
            </w:r>
          </w:p>
        </w:tc>
        <w:tc>
          <w:tcPr>
            <w:tcW w:w="3600" w:type="dxa"/>
            <w:noWrap w:val="0"/>
            <w:vAlign w:val="center"/>
          </w:tcPr>
          <w:p w14:paraId="653CC2D4">
            <w:pPr>
              <w:jc w:val="left"/>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 xml:space="preserve">长沙市望城经济技术开发区普瑞西路858号金荣望城科技产业园厂房七期第F2幢三层301         </w:t>
            </w:r>
          </w:p>
        </w:tc>
      </w:tr>
    </w:tbl>
    <w:p w14:paraId="60211111">
      <w:pPr>
        <w:adjustRightInd w:val="0"/>
        <w:snapToGrid w:val="0"/>
        <w:spacing w:line="380" w:lineRule="exact"/>
        <w:rPr>
          <w:rFonts w:hint="eastAsia" w:ascii="宋体" w:hAnsi="宋体"/>
          <w:b/>
          <w:szCs w:val="21"/>
        </w:rPr>
      </w:pPr>
    </w:p>
    <w:p w14:paraId="13EA9B36">
      <w:pPr>
        <w:tabs>
          <w:tab w:val="left" w:pos="1260"/>
        </w:tabs>
        <w:adjustRightInd w:val="0"/>
        <w:snapToGrid w:val="0"/>
        <w:spacing w:line="360" w:lineRule="auto"/>
        <w:ind w:firstLine="420" w:firstLineChars="200"/>
        <w:rPr>
          <w:rFonts w:hint="eastAsia" w:ascii="宋体" w:hAnsi="宋体"/>
          <w:szCs w:val="21"/>
        </w:rPr>
      </w:pPr>
      <w:r>
        <w:rPr>
          <w:rFonts w:hint="eastAsia" w:ascii="宋体" w:hAnsi="宋体"/>
          <w:szCs w:val="21"/>
        </w:rPr>
        <w:t>经甲乙双方平等友好协商，根据《中华人民共和国</w:t>
      </w:r>
      <w:r>
        <w:rPr>
          <w:rFonts w:hint="eastAsia" w:ascii="宋体" w:hAnsi="宋体"/>
          <w:szCs w:val="21"/>
          <w:lang w:val="en-US" w:eastAsia="zh-CN"/>
        </w:rPr>
        <w:t>民法典</w:t>
      </w:r>
      <w:r>
        <w:rPr>
          <w:rFonts w:hint="eastAsia" w:ascii="宋体" w:hAnsi="宋体"/>
          <w:szCs w:val="21"/>
        </w:rPr>
        <w:t>》及相关法律法规的规定，就甲方委托乙方提供</w:t>
      </w:r>
      <w:r>
        <w:rPr>
          <w:rFonts w:hint="eastAsia" w:ascii="宋体" w:hAnsi="宋体"/>
          <w:szCs w:val="21"/>
          <w:lang w:val="en-US" w:eastAsia="zh-CN"/>
        </w:rPr>
        <w:t>实验室</w:t>
      </w:r>
      <w:r>
        <w:rPr>
          <w:rFonts w:hint="eastAsia" w:ascii="宋体" w:hAnsi="宋体"/>
          <w:szCs w:val="21"/>
        </w:rPr>
        <w:t>仪器计量校准服务事宜，达成以下合作协议，以共同恪守。</w:t>
      </w:r>
    </w:p>
    <w:p w14:paraId="5FB34678">
      <w:pPr>
        <w:tabs>
          <w:tab w:val="left" w:pos="1260"/>
        </w:tabs>
        <w:adjustRightInd w:val="0"/>
        <w:snapToGrid w:val="0"/>
        <w:spacing w:line="360" w:lineRule="auto"/>
        <w:ind w:left="360"/>
        <w:rPr>
          <w:rFonts w:hint="eastAsia" w:ascii="宋体" w:hAnsi="宋体"/>
          <w:szCs w:val="21"/>
        </w:rPr>
      </w:pPr>
    </w:p>
    <w:p w14:paraId="6DEA12F4">
      <w:pPr>
        <w:numPr>
          <w:ilvl w:val="0"/>
          <w:numId w:val="1"/>
        </w:numPr>
        <w:adjustRightInd w:val="0"/>
        <w:snapToGrid w:val="0"/>
        <w:spacing w:line="360" w:lineRule="auto"/>
        <w:rPr>
          <w:rFonts w:hint="eastAsia" w:ascii="宋体" w:hAnsi="宋体"/>
          <w:szCs w:val="21"/>
        </w:rPr>
      </w:pPr>
      <w:r>
        <w:rPr>
          <w:rFonts w:hint="eastAsia" w:ascii="宋体" w:hAnsi="宋体"/>
          <w:szCs w:val="21"/>
        </w:rPr>
        <w:t xml:space="preserve">  技术服务的内容：</w:t>
      </w:r>
    </w:p>
    <w:p w14:paraId="31B7D12A">
      <w:pPr>
        <w:adjustRightInd w:val="0"/>
        <w:snapToGrid w:val="0"/>
        <w:spacing w:line="360" w:lineRule="auto"/>
        <w:ind w:firstLine="840" w:firstLineChars="400"/>
        <w:rPr>
          <w:rFonts w:hint="eastAsia" w:ascii="宋体" w:hAnsi="宋体"/>
          <w:szCs w:val="21"/>
        </w:rPr>
      </w:pPr>
      <w:r>
        <w:rPr>
          <w:rFonts w:hint="eastAsia" w:ascii="宋体" w:hAnsi="宋体"/>
          <w:szCs w:val="21"/>
        </w:rPr>
        <w:t>1、技术服务的目标：乙方对甲方委托的仪器仪表进行计量校准。</w:t>
      </w:r>
    </w:p>
    <w:p w14:paraId="1A60EE68">
      <w:pPr>
        <w:adjustRightInd w:val="0"/>
        <w:snapToGrid w:val="0"/>
        <w:spacing w:line="360" w:lineRule="auto"/>
        <w:ind w:left="1191" w:leftChars="417" w:hanging="315" w:hangingChars="150"/>
        <w:rPr>
          <w:rFonts w:hint="eastAsia" w:ascii="宋体" w:hAnsi="宋体"/>
          <w:szCs w:val="21"/>
        </w:rPr>
      </w:pPr>
      <w:r>
        <w:rPr>
          <w:rFonts w:hint="eastAsia" w:ascii="宋体" w:hAnsi="宋体"/>
          <w:szCs w:val="21"/>
        </w:rPr>
        <w:t>2、技术服务的内容：乙方根据国家相关规程和标准对甲方委托的仪器仪表进行计量校准，出具校准证书/检测报告。</w:t>
      </w:r>
    </w:p>
    <w:p w14:paraId="614295F6">
      <w:pPr>
        <w:adjustRightInd w:val="0"/>
        <w:snapToGrid w:val="0"/>
        <w:spacing w:line="360" w:lineRule="auto"/>
        <w:ind w:firstLine="840" w:firstLineChars="400"/>
        <w:rPr>
          <w:rFonts w:hint="eastAsia" w:ascii="宋体" w:hAnsi="宋体"/>
          <w:szCs w:val="21"/>
        </w:rPr>
      </w:pPr>
      <w:r>
        <w:rPr>
          <w:rFonts w:hint="eastAsia" w:ascii="宋体" w:hAnsi="宋体"/>
          <w:szCs w:val="21"/>
        </w:rPr>
        <w:t>3、技术服务的方式：</w:t>
      </w:r>
    </w:p>
    <w:p w14:paraId="29E1B3E1">
      <w:pPr>
        <w:adjustRightInd w:val="0"/>
        <w:snapToGrid w:val="0"/>
        <w:spacing w:line="360" w:lineRule="auto"/>
        <w:ind w:left="1256" w:leftChars="578" w:hanging="42" w:hangingChars="20"/>
        <w:rPr>
          <w:rFonts w:hint="eastAsia" w:ascii="宋体" w:hAnsi="宋体"/>
          <w:szCs w:val="21"/>
        </w:rPr>
      </w:pPr>
      <w:r>
        <w:rPr>
          <w:rFonts w:hint="eastAsia" w:ascii="宋体" w:hAnsi="宋体"/>
          <w:szCs w:val="21"/>
        </w:rPr>
        <w:t>（1）</w:t>
      </w:r>
      <w:r>
        <w:rPr>
          <w:rFonts w:hint="eastAsia" w:ascii="宋体" w:hAnsi="宋体"/>
          <w:szCs w:val="21"/>
          <w:lang w:val="en-US" w:eastAsia="zh-CN"/>
        </w:rPr>
        <w:t>甲方提前预约检测单位，约定时间安排检测人员入厂</w:t>
      </w:r>
      <w:r>
        <w:rPr>
          <w:rFonts w:hint="eastAsia" w:ascii="宋体" w:hAnsi="宋体"/>
          <w:szCs w:val="21"/>
        </w:rPr>
        <w:t>对</w:t>
      </w:r>
      <w:r>
        <w:rPr>
          <w:rFonts w:hint="eastAsia" w:ascii="宋体" w:hAnsi="宋体"/>
          <w:szCs w:val="21"/>
          <w:lang w:val="en-US" w:eastAsia="zh-CN"/>
        </w:rPr>
        <w:t>仪器</w:t>
      </w:r>
      <w:r>
        <w:rPr>
          <w:rFonts w:hint="eastAsia" w:ascii="宋体" w:hAnsi="宋体"/>
          <w:szCs w:val="21"/>
        </w:rPr>
        <w:t>进行</w:t>
      </w:r>
      <w:r>
        <w:rPr>
          <w:rFonts w:hint="eastAsia" w:ascii="宋体" w:hAnsi="宋体"/>
          <w:szCs w:val="21"/>
          <w:lang w:val="en-US" w:eastAsia="zh-CN"/>
        </w:rPr>
        <w:t>校准校准</w:t>
      </w:r>
      <w:r>
        <w:rPr>
          <w:rFonts w:hint="eastAsia" w:ascii="宋体" w:hAnsi="宋体"/>
          <w:szCs w:val="21"/>
        </w:rPr>
        <w:t>，</w:t>
      </w:r>
      <w:r>
        <w:rPr>
          <w:rFonts w:hint="eastAsia" w:ascii="宋体" w:hAnsi="宋体"/>
          <w:szCs w:val="21"/>
          <w:lang w:val="en-US" w:eastAsia="zh-CN"/>
        </w:rPr>
        <w:t>如有现场无法完成校准校准的，检测人员可将仪器带回其单位进行校准校准</w:t>
      </w:r>
      <w:r>
        <w:rPr>
          <w:rFonts w:hint="eastAsia" w:ascii="宋体" w:hAnsi="宋体"/>
          <w:szCs w:val="21"/>
          <w:lang w:eastAsia="zh-CN"/>
        </w:rPr>
        <w:t>。</w:t>
      </w:r>
    </w:p>
    <w:p w14:paraId="7F8B70EC">
      <w:pPr>
        <w:tabs>
          <w:tab w:val="left" w:pos="1260"/>
        </w:tabs>
        <w:adjustRightInd w:val="0"/>
        <w:snapToGrid w:val="0"/>
        <w:spacing w:line="360" w:lineRule="auto"/>
        <w:rPr>
          <w:rFonts w:hint="eastAsia" w:ascii="宋体" w:hAnsi="宋体"/>
          <w:szCs w:val="21"/>
        </w:rPr>
      </w:pPr>
      <w:r>
        <w:rPr>
          <w:rFonts w:hint="eastAsia" w:ascii="宋体" w:hAnsi="宋体"/>
          <w:szCs w:val="21"/>
        </w:rPr>
        <w:t>第二条  乙方应按下列要求完成技术服务工作：</w:t>
      </w:r>
    </w:p>
    <w:p w14:paraId="356C5F88">
      <w:pPr>
        <w:tabs>
          <w:tab w:val="left" w:pos="1260"/>
        </w:tabs>
        <w:adjustRightInd w:val="0"/>
        <w:snapToGrid w:val="0"/>
        <w:spacing w:line="360" w:lineRule="auto"/>
        <w:ind w:firstLine="840" w:firstLineChars="400"/>
        <w:rPr>
          <w:rFonts w:hint="eastAsia" w:ascii="宋体" w:hAnsi="宋体"/>
          <w:szCs w:val="21"/>
          <w:u w:val="single"/>
          <w:shd w:val="pct10" w:color="auto" w:fill="FFFFFF"/>
        </w:rPr>
      </w:pPr>
      <w:r>
        <w:rPr>
          <w:rFonts w:hint="eastAsia" w:ascii="宋体" w:hAnsi="宋体"/>
          <w:szCs w:val="21"/>
        </w:rPr>
        <w:t>1、技术服务地点：</w:t>
      </w:r>
      <w:r>
        <w:rPr>
          <w:rFonts w:hint="eastAsia" w:ascii="宋体" w:hAnsi="宋体"/>
          <w:szCs w:val="21"/>
          <w:u w:val="single"/>
          <w:shd w:val="pct10" w:color="auto" w:fill="FFFFFF"/>
        </w:rPr>
        <w:t>甲方工作场所、乙方实验室。</w:t>
      </w:r>
    </w:p>
    <w:p w14:paraId="0D96159D">
      <w:pPr>
        <w:tabs>
          <w:tab w:val="left" w:pos="1260"/>
        </w:tabs>
        <w:adjustRightInd w:val="0"/>
        <w:snapToGrid w:val="0"/>
        <w:spacing w:line="360" w:lineRule="auto"/>
        <w:ind w:firstLine="840" w:firstLineChars="400"/>
        <w:rPr>
          <w:rFonts w:hint="eastAsia" w:ascii="宋体" w:hAnsi="宋体"/>
          <w:szCs w:val="21"/>
          <w:u w:val="single"/>
          <w:shd w:val="pct10" w:color="auto" w:fill="FFFFFF"/>
        </w:rPr>
      </w:pPr>
      <w:r>
        <w:rPr>
          <w:rFonts w:hint="eastAsia" w:ascii="宋体" w:hAnsi="宋体"/>
          <w:szCs w:val="21"/>
        </w:rPr>
        <w:t>2、</w:t>
      </w:r>
      <w:r>
        <w:rPr>
          <w:rFonts w:hint="eastAsia" w:ascii="宋体" w:hAnsi="宋体"/>
          <w:szCs w:val="21"/>
          <w:lang w:val="en-US" w:eastAsia="zh-CN"/>
        </w:rPr>
        <w:t>合同服务期</w:t>
      </w:r>
      <w:r>
        <w:rPr>
          <w:rFonts w:hint="eastAsia" w:ascii="宋体" w:hAnsi="宋体"/>
          <w:szCs w:val="21"/>
        </w:rPr>
        <w:t>：</w:t>
      </w:r>
      <w:r>
        <w:rPr>
          <w:rFonts w:hint="eastAsia" w:ascii="宋体" w:hAnsi="宋体"/>
          <w:szCs w:val="21"/>
          <w:u w:val="single"/>
        </w:rPr>
        <w:t xml:space="preserve">  </w:t>
      </w:r>
      <w:r>
        <w:rPr>
          <w:rFonts w:hint="eastAsia" w:ascii="宋体" w:hAnsi="宋体"/>
          <w:szCs w:val="21"/>
          <w:highlight w:val="none"/>
          <w:u w:val="single"/>
          <w:lang w:val="en-US" w:eastAsia="zh-CN"/>
        </w:rPr>
        <w:t>自合同签订之日起一年</w:t>
      </w:r>
      <w:r>
        <w:rPr>
          <w:rFonts w:hint="eastAsia" w:ascii="宋体" w:hAnsi="宋体"/>
          <w:szCs w:val="21"/>
          <w:highlight w:val="none"/>
          <w:u w:val="single"/>
        </w:rPr>
        <w:t>。</w:t>
      </w:r>
    </w:p>
    <w:p w14:paraId="3BC74F7B">
      <w:pPr>
        <w:tabs>
          <w:tab w:val="left" w:pos="1260"/>
        </w:tabs>
        <w:adjustRightInd w:val="0"/>
        <w:snapToGrid w:val="0"/>
        <w:spacing w:line="360" w:lineRule="auto"/>
        <w:ind w:firstLine="840" w:firstLineChars="400"/>
        <w:rPr>
          <w:rFonts w:hint="eastAsia" w:ascii="宋体" w:hAnsi="宋体"/>
          <w:szCs w:val="21"/>
        </w:rPr>
      </w:pPr>
      <w:r>
        <w:rPr>
          <w:rFonts w:hint="eastAsia" w:ascii="宋体" w:hAnsi="宋体"/>
          <w:szCs w:val="21"/>
        </w:rPr>
        <w:t>3、技术服务进度：乙方服务时要尽量以不影响或少影响甲方的正常生产为前提。</w:t>
      </w:r>
    </w:p>
    <w:p w14:paraId="5363CA53">
      <w:pPr>
        <w:tabs>
          <w:tab w:val="left" w:pos="1260"/>
        </w:tabs>
        <w:adjustRightInd w:val="0"/>
        <w:snapToGrid w:val="0"/>
        <w:spacing w:line="360" w:lineRule="auto"/>
        <w:ind w:left="1315" w:leftChars="626" w:firstLine="96" w:firstLineChars="46"/>
        <w:rPr>
          <w:rFonts w:hint="eastAsia" w:ascii="宋体" w:hAnsi="宋体"/>
          <w:szCs w:val="21"/>
        </w:rPr>
      </w:pPr>
      <w:r>
        <w:rPr>
          <w:rFonts w:hint="eastAsia" w:ascii="宋体" w:hAnsi="宋体"/>
          <w:szCs w:val="21"/>
        </w:rPr>
        <w:t>（1）甲方需向乙方提供准确详尽的被校仪器仪表清单（含名称、型号、数量等</w:t>
      </w:r>
      <w:r>
        <w:rPr>
          <w:rFonts w:ascii="宋体" w:hAnsi="宋体"/>
          <w:szCs w:val="21"/>
        </w:rPr>
        <w:t>）</w:t>
      </w:r>
      <w:r>
        <w:rPr>
          <w:rFonts w:hint="eastAsia" w:ascii="宋体" w:hAnsi="宋体"/>
          <w:szCs w:val="21"/>
        </w:rPr>
        <w:t>，</w:t>
      </w:r>
      <w:r>
        <w:rPr>
          <w:rFonts w:hint="eastAsia" w:ascii="宋体" w:hAnsi="宋体"/>
          <w:szCs w:val="21"/>
          <w:lang w:val="en-US" w:eastAsia="zh-CN"/>
        </w:rPr>
        <w:t>乙方</w:t>
      </w:r>
      <w:r>
        <w:rPr>
          <w:rFonts w:hint="eastAsia" w:ascii="宋体" w:hAnsi="宋体"/>
          <w:szCs w:val="21"/>
        </w:rPr>
        <w:t>必须按说明书或操作规程操作仪器设备，避免因操作设备造成的安全事故。</w:t>
      </w:r>
      <w:r>
        <w:rPr>
          <w:rFonts w:hint="eastAsia" w:ascii="宋体" w:hAnsi="宋体" w:eastAsia="宋体" w:cs="Times New Roman"/>
          <w:szCs w:val="21"/>
        </w:rPr>
        <w:t>应加强对仪器设备的保护，避免现场检测和移动时对设备主机及</w:t>
      </w:r>
      <w:r>
        <w:rPr>
          <w:rFonts w:hint="eastAsia" w:ascii="宋体" w:hAnsi="宋体" w:eastAsia="宋体" w:cs="Times New Roman"/>
          <w:szCs w:val="21"/>
          <w:lang w:val="en-US" w:eastAsia="zh-CN"/>
        </w:rPr>
        <w:t>接</w:t>
      </w:r>
      <w:r>
        <w:rPr>
          <w:rFonts w:hint="eastAsia" w:ascii="宋体" w:hAnsi="宋体" w:eastAsia="宋体" w:cs="Times New Roman"/>
          <w:szCs w:val="21"/>
        </w:rPr>
        <w:t>线的碰撞损伤</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校准</w:t>
      </w:r>
      <w:r>
        <w:rPr>
          <w:rFonts w:hint="eastAsia" w:ascii="宋体" w:hAnsi="宋体"/>
          <w:szCs w:val="21"/>
          <w:lang w:val="en-US" w:eastAsia="zh-CN"/>
        </w:rPr>
        <w:t>过程原则上不允许对仪器造成损坏，如校准过程中因检测人员操作的过失造成仪器的损坏，乙方需依照实际情况进行赔偿。</w:t>
      </w:r>
      <w:r>
        <w:rPr>
          <w:rFonts w:hint="eastAsia" w:ascii="宋体" w:hAnsi="宋体"/>
          <w:szCs w:val="21"/>
        </w:rPr>
        <w:t>乙方取回仪器并寄回仪器，要保证仪器与取回之前相同程度的完好，若有损坏，乙方承担责任。乙方需在</w:t>
      </w:r>
      <w:r>
        <w:rPr>
          <w:rFonts w:hint="eastAsia" w:ascii="宋体" w:hAnsi="宋体"/>
          <w:szCs w:val="21"/>
          <w:lang w:val="en-US" w:eastAsia="zh-CN"/>
        </w:rPr>
        <w:t>自甲方通知之日起15个工作日内完成所有仪器、器皿校验</w:t>
      </w:r>
      <w:r>
        <w:rPr>
          <w:rFonts w:hint="eastAsia" w:ascii="宋体" w:hAnsi="宋体"/>
          <w:szCs w:val="21"/>
        </w:rPr>
        <w:t>并出具报告</w:t>
      </w:r>
      <w:r>
        <w:rPr>
          <w:rFonts w:hint="eastAsia" w:ascii="宋体" w:hAnsi="宋体"/>
          <w:szCs w:val="21"/>
          <w:lang w:val="en-US" w:eastAsia="zh-CN"/>
        </w:rPr>
        <w:t>或证明（书）（至少纸质版一份+电子版一份）</w:t>
      </w:r>
      <w:r>
        <w:rPr>
          <w:rFonts w:hint="eastAsia" w:ascii="宋体" w:hAnsi="宋体"/>
          <w:szCs w:val="21"/>
        </w:rPr>
        <w:t>，</w:t>
      </w:r>
      <w:r>
        <w:rPr>
          <w:rFonts w:hint="eastAsia" w:ascii="宋体" w:hAnsi="宋体"/>
          <w:szCs w:val="21"/>
          <w:lang w:val="en-US" w:eastAsia="zh-CN"/>
        </w:rPr>
        <w:t>校准</w:t>
      </w:r>
      <w:r>
        <w:rPr>
          <w:rFonts w:hint="eastAsia" w:ascii="宋体" w:hAnsi="宋体"/>
          <w:szCs w:val="21"/>
        </w:rPr>
        <w:t>报告需符合国家相关规范要求</w:t>
      </w:r>
      <w:r>
        <w:rPr>
          <w:rFonts w:hint="eastAsia" w:ascii="宋体" w:hAnsi="宋体"/>
          <w:szCs w:val="21"/>
          <w:lang w:val="en-US" w:eastAsia="zh-CN"/>
        </w:rPr>
        <w:t>，（特殊情况除外，仪器异常，外包、甲方标准器送检等。）</w:t>
      </w:r>
    </w:p>
    <w:p w14:paraId="0ECA8807">
      <w:pPr>
        <w:tabs>
          <w:tab w:val="left" w:pos="1260"/>
        </w:tabs>
        <w:adjustRightInd w:val="0"/>
        <w:snapToGrid w:val="0"/>
        <w:spacing w:line="360" w:lineRule="auto"/>
        <w:ind w:left="1315" w:leftChars="626" w:firstLine="96" w:firstLineChars="46"/>
        <w:rPr>
          <w:rFonts w:hint="eastAsia"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）如需加急服务，甲方应提前3</w:t>
      </w:r>
      <w:r>
        <w:rPr>
          <w:rFonts w:hint="eastAsia" w:ascii="宋体"/>
          <w:szCs w:val="21"/>
        </w:rPr>
        <w:t>个工作日</w:t>
      </w:r>
      <w:r>
        <w:rPr>
          <w:rFonts w:hint="eastAsia" w:ascii="宋体" w:hAnsi="宋体"/>
          <w:szCs w:val="21"/>
        </w:rPr>
        <w:t>以邮件或传真或电话通知向乙方预约和确认。</w:t>
      </w:r>
    </w:p>
    <w:p w14:paraId="684EFE97">
      <w:pPr>
        <w:tabs>
          <w:tab w:val="left" w:pos="1260"/>
        </w:tabs>
        <w:adjustRightInd w:val="0"/>
        <w:snapToGrid w:val="0"/>
        <w:spacing w:line="360" w:lineRule="auto"/>
        <w:ind w:left="1315" w:leftChars="626" w:firstLine="96" w:firstLineChars="46"/>
        <w:rPr>
          <w:rFonts w:hint="default" w:ascii="宋体" w:hAnsi="宋体" w:eastAsia="宋体"/>
          <w:szCs w:val="21"/>
          <w:lang w:val="en-US" w:eastAsia="zh-CN"/>
        </w:rPr>
      </w:pPr>
      <w:r>
        <w:rPr>
          <w:rFonts w:hint="eastAsia" w:ascii="宋体" w:hAnsi="宋体"/>
          <w:szCs w:val="21"/>
          <w:lang w:val="en-US" w:eastAsia="zh-CN"/>
        </w:rPr>
        <w:t>（3）甲方邮寄仪器自乙方按照快递签收时间的1个工作日内如没有向甲方提出仪器异常或损坏说明，默认乙方收到需被校准仪器完好无损；乙方邮寄仪器自甲方按照快递签收时间的1个工作日内如没有向乙方提出仪器异常或损坏说明，默认甲方收到的校准仪器完好无损。如校准过程中因检测人员操作的过失造成仪器的损坏，乙方需依照实际情况进行赔偿。乙方取回仪器并寄回仪器，要保证仪器与取回之前相同程度的完好，若有损坏，乙方承担责任。</w:t>
      </w:r>
    </w:p>
    <w:p w14:paraId="5EF01FF1">
      <w:pPr>
        <w:tabs>
          <w:tab w:val="left" w:pos="1260"/>
        </w:tabs>
        <w:adjustRightInd w:val="0"/>
        <w:snapToGrid w:val="0"/>
        <w:spacing w:line="360" w:lineRule="auto"/>
        <w:ind w:left="1197" w:leftChars="420" w:hanging="315" w:hangingChars="150"/>
        <w:rPr>
          <w:rFonts w:hint="eastAsia" w:ascii="宋体"/>
          <w:szCs w:val="21"/>
        </w:rPr>
      </w:pPr>
      <w:r>
        <w:rPr>
          <w:rFonts w:hint="eastAsia" w:ascii="宋体" w:hAnsi="宋体"/>
          <w:szCs w:val="21"/>
        </w:rPr>
        <w:t>4、技术服务质量要求：</w:t>
      </w:r>
      <w:r>
        <w:rPr>
          <w:rFonts w:hint="eastAsia" w:ascii="宋体"/>
          <w:szCs w:val="21"/>
        </w:rPr>
        <w:t>乙</w:t>
      </w:r>
      <w:r>
        <w:rPr>
          <w:rFonts w:hint="eastAsia" w:ascii="宋体" w:hAnsi="宋体"/>
          <w:szCs w:val="21"/>
        </w:rPr>
        <w:t>方为具有独立法人资格的第三方计量检测机构，所出具的计量检测数据可溯源到国家计量基准和国际单位制，具有国际公信力，满足国家相关规范要求</w:t>
      </w:r>
      <w:r>
        <w:rPr>
          <w:rFonts w:hint="eastAsia" w:ascii="宋体"/>
          <w:szCs w:val="21"/>
        </w:rPr>
        <w:t xml:space="preserve">。 </w:t>
      </w:r>
    </w:p>
    <w:p w14:paraId="2456ABAD">
      <w:pPr>
        <w:tabs>
          <w:tab w:val="left" w:pos="1260"/>
        </w:tabs>
        <w:adjustRightInd w:val="0"/>
        <w:snapToGrid w:val="0"/>
        <w:spacing w:line="360" w:lineRule="auto"/>
        <w:rPr>
          <w:rFonts w:hint="eastAsia" w:ascii="宋体"/>
          <w:szCs w:val="21"/>
        </w:rPr>
      </w:pPr>
      <w:r>
        <w:rPr>
          <w:rFonts w:hint="eastAsia" w:ascii="宋体"/>
          <w:szCs w:val="21"/>
        </w:rPr>
        <w:t>第三条  为保证乙方有效进行技术服务工作，甲方应当向乙方提供下列工作条件和协助事项：</w:t>
      </w:r>
    </w:p>
    <w:p w14:paraId="71808E7B">
      <w:pPr>
        <w:numPr>
          <w:ilvl w:val="0"/>
          <w:numId w:val="2"/>
        </w:numPr>
        <w:tabs>
          <w:tab w:val="left" w:pos="1276"/>
          <w:tab w:val="clear" w:pos="1440"/>
        </w:tabs>
        <w:adjustRightInd w:val="0"/>
        <w:snapToGrid w:val="0"/>
        <w:spacing w:line="360" w:lineRule="auto"/>
        <w:ind w:hanging="589"/>
        <w:rPr>
          <w:rFonts w:hint="eastAsia" w:ascii="宋体"/>
          <w:szCs w:val="21"/>
        </w:rPr>
      </w:pPr>
      <w:r>
        <w:rPr>
          <w:rFonts w:hint="eastAsia" w:ascii="宋体"/>
          <w:szCs w:val="21"/>
        </w:rPr>
        <w:t>提供技术资料：提供与校准工作有关的技术说明书。</w:t>
      </w:r>
    </w:p>
    <w:p w14:paraId="6D374F65">
      <w:pPr>
        <w:numPr>
          <w:ilvl w:val="0"/>
          <w:numId w:val="2"/>
        </w:numPr>
        <w:tabs>
          <w:tab w:val="left" w:pos="1260"/>
        </w:tabs>
        <w:adjustRightInd w:val="0"/>
        <w:snapToGrid w:val="0"/>
        <w:spacing w:line="360" w:lineRule="auto"/>
        <w:ind w:hanging="589"/>
        <w:rPr>
          <w:rFonts w:hint="eastAsia" w:ascii="宋体" w:hAnsi="宋体"/>
          <w:szCs w:val="21"/>
        </w:rPr>
      </w:pPr>
      <w:r>
        <w:rPr>
          <w:rFonts w:hint="eastAsia" w:ascii="宋体"/>
          <w:szCs w:val="21"/>
        </w:rPr>
        <w:t>提供工作条件：下厂现场校准时，提供满足现场校准所需的合格场地、辅助设施等。</w:t>
      </w:r>
    </w:p>
    <w:p w14:paraId="379F83B9">
      <w:pPr>
        <w:numPr>
          <w:ilvl w:val="0"/>
          <w:numId w:val="2"/>
        </w:numPr>
        <w:tabs>
          <w:tab w:val="left" w:pos="1260"/>
        </w:tabs>
        <w:adjustRightInd w:val="0"/>
        <w:snapToGrid w:val="0"/>
        <w:spacing w:line="360" w:lineRule="auto"/>
        <w:ind w:hanging="589"/>
        <w:rPr>
          <w:rFonts w:hint="eastAsia" w:ascii="宋体" w:hAnsi="宋体"/>
          <w:szCs w:val="21"/>
        </w:rPr>
      </w:pPr>
      <w:r>
        <w:rPr>
          <w:rFonts w:hint="eastAsia" w:ascii="宋体"/>
          <w:szCs w:val="21"/>
        </w:rPr>
        <w:t>安排专人协助：安排具体负责人同乙方进行业务联系、沟通及确认。</w:t>
      </w:r>
    </w:p>
    <w:p w14:paraId="3A015EB0">
      <w:pPr>
        <w:numPr>
          <w:ilvl w:val="0"/>
          <w:numId w:val="3"/>
        </w:numPr>
        <w:adjustRightInd w:val="0"/>
        <w:snapToGrid w:val="0"/>
        <w:spacing w:line="360" w:lineRule="auto"/>
        <w:rPr>
          <w:rFonts w:hint="eastAsia" w:ascii="宋体" w:hAnsi="宋体"/>
          <w:szCs w:val="21"/>
        </w:rPr>
      </w:pPr>
      <w:r>
        <w:rPr>
          <w:rFonts w:hint="eastAsia" w:ascii="宋体" w:hAnsi="宋体"/>
          <w:szCs w:val="21"/>
        </w:rPr>
        <w:t>服务费用支付方式：</w:t>
      </w:r>
    </w:p>
    <w:p w14:paraId="6C1BA6F7">
      <w:pPr>
        <w:adjustRightInd w:val="0"/>
        <w:snapToGrid w:val="0"/>
        <w:spacing w:line="360" w:lineRule="auto"/>
        <w:ind w:left="1199" w:leftChars="421" w:hanging="315" w:hangingChars="150"/>
        <w:rPr>
          <w:rFonts w:hint="eastAsia" w:ascii="宋体" w:hAnsi="宋体"/>
          <w:szCs w:val="21"/>
        </w:rPr>
      </w:pPr>
      <w:r>
        <w:rPr>
          <w:rFonts w:hint="eastAsia" w:ascii="宋体" w:hAnsi="宋体"/>
          <w:szCs w:val="21"/>
          <w:highlight w:val="none"/>
        </w:rPr>
        <w:t>1、校准费用：</w:t>
      </w:r>
      <w:r>
        <w:rPr>
          <w:rFonts w:hint="eastAsia" w:ascii="宋体" w:hAnsi="宋体"/>
          <w:szCs w:val="21"/>
          <w:highlight w:val="none"/>
          <w:lang w:val="en-US" w:eastAsia="zh-CN"/>
        </w:rPr>
        <w:t>本合同为单价合同，</w:t>
      </w:r>
      <w:r>
        <w:rPr>
          <w:rFonts w:hint="eastAsia" w:ascii="宋体" w:hAnsi="宋体"/>
          <w:szCs w:val="21"/>
          <w:highlight w:val="none"/>
        </w:rPr>
        <w:t>合同</w:t>
      </w:r>
      <w:r>
        <w:rPr>
          <w:rFonts w:hint="eastAsia" w:ascii="宋体" w:hAnsi="宋体"/>
          <w:szCs w:val="21"/>
          <w:highlight w:val="none"/>
          <w:u w:val="single"/>
        </w:rPr>
        <w:t>金额</w:t>
      </w:r>
      <w:r>
        <w:rPr>
          <w:rFonts w:hint="eastAsia" w:ascii="宋体" w:hAnsi="宋体"/>
          <w:szCs w:val="21"/>
          <w:highlight w:val="none"/>
          <w:u w:val="single"/>
          <w:lang w:val="en-US" w:eastAsia="zh-CN"/>
        </w:rPr>
        <w:t>暂估为</w:t>
      </w:r>
      <w:r>
        <w:rPr>
          <w:rFonts w:hint="eastAsia" w:ascii="宋体" w:hAnsi="宋体"/>
          <w:szCs w:val="21"/>
          <w:highlight w:val="none"/>
          <w:u w:val="single"/>
        </w:rPr>
        <w:t>¥</w:t>
      </w:r>
      <w:r>
        <w:rPr>
          <w:rFonts w:hint="eastAsia" w:ascii="宋体" w:hAnsi="宋体"/>
          <w:szCs w:val="21"/>
          <w:highlight w:val="none"/>
          <w:u w:val="single"/>
          <w:lang w:val="en-US" w:eastAsia="zh-CN"/>
        </w:rPr>
        <w:t>4810</w:t>
      </w:r>
      <w:r>
        <w:rPr>
          <w:rFonts w:hint="eastAsia" w:ascii="宋体" w:hAnsi="宋体"/>
          <w:szCs w:val="21"/>
          <w:highlight w:val="none"/>
          <w:u w:val="single"/>
        </w:rPr>
        <w:t>（人民币</w:t>
      </w:r>
      <w:r>
        <w:rPr>
          <w:rFonts w:hint="eastAsia" w:ascii="宋体" w:hAnsi="宋体"/>
          <w:szCs w:val="21"/>
          <w:highlight w:val="none"/>
          <w:u w:val="single"/>
          <w:lang w:val="en-US" w:eastAsia="zh-CN"/>
        </w:rPr>
        <w:t xml:space="preserve">肆仟捌佰壹拾元整 </w:t>
      </w:r>
      <w:r>
        <w:rPr>
          <w:rFonts w:hint="eastAsia" w:ascii="宋体" w:hAnsi="宋体"/>
          <w:szCs w:val="21"/>
          <w:highlight w:val="none"/>
        </w:rPr>
        <w:t>），上述服务费按《</w:t>
      </w:r>
      <w:r>
        <w:rPr>
          <w:rFonts w:hint="eastAsia" w:ascii="宋体" w:hAnsi="宋体"/>
          <w:szCs w:val="21"/>
          <w:highlight w:val="none"/>
          <w:lang w:val="en-US" w:eastAsia="zh-CN"/>
        </w:rPr>
        <w:t>响应报价一览</w:t>
      </w:r>
      <w:r>
        <w:rPr>
          <w:rFonts w:hint="eastAsia" w:ascii="宋体" w:hAnsi="宋体"/>
          <w:szCs w:val="21"/>
          <w:lang w:val="en-US" w:eastAsia="zh-CN"/>
        </w:rPr>
        <w:t>表</w:t>
      </w:r>
      <w:r>
        <w:rPr>
          <w:rFonts w:hint="eastAsia" w:ascii="宋体" w:hAnsi="宋体"/>
          <w:szCs w:val="21"/>
        </w:rPr>
        <w:t>》确定的</w:t>
      </w:r>
      <w:r>
        <w:rPr>
          <w:rFonts w:hint="eastAsia" w:ascii="宋体" w:hAnsi="宋体"/>
          <w:szCs w:val="21"/>
          <w:lang w:val="en-US" w:eastAsia="zh-CN"/>
        </w:rPr>
        <w:t>单价</w:t>
      </w:r>
      <w:r>
        <w:rPr>
          <w:rFonts w:hint="eastAsia" w:ascii="宋体" w:hAnsi="宋体"/>
          <w:szCs w:val="21"/>
        </w:rPr>
        <w:t>计价，</w:t>
      </w:r>
      <w:r>
        <w:rPr>
          <w:rFonts w:hint="eastAsia" w:ascii="宋体" w:hAnsi="宋体"/>
          <w:szCs w:val="21"/>
          <w:lang w:val="en-US" w:eastAsia="zh-CN"/>
        </w:rPr>
        <w:t>据实结算，合同完成后一次性结算</w:t>
      </w:r>
      <w:r>
        <w:rPr>
          <w:rFonts w:hint="eastAsia" w:ascii="宋体" w:hAnsi="宋体"/>
          <w:szCs w:val="21"/>
        </w:rPr>
        <w:t>。超出《</w:t>
      </w:r>
      <w:r>
        <w:rPr>
          <w:rFonts w:hint="eastAsia" w:ascii="宋体" w:hAnsi="宋体"/>
          <w:szCs w:val="21"/>
          <w:lang w:val="en-US" w:eastAsia="zh-CN"/>
        </w:rPr>
        <w:t>响应报价一览表</w:t>
      </w:r>
      <w:r>
        <w:rPr>
          <w:rFonts w:hint="eastAsia" w:ascii="宋体" w:hAnsi="宋体"/>
          <w:szCs w:val="21"/>
        </w:rPr>
        <w:t>》部分，另行协商。</w:t>
      </w:r>
    </w:p>
    <w:p w14:paraId="2D7BC27F">
      <w:pPr>
        <w:adjustRightInd w:val="0"/>
        <w:snapToGrid w:val="0"/>
        <w:spacing w:line="360" w:lineRule="auto"/>
        <w:ind w:firstLine="810" w:firstLineChars="386"/>
        <w:rPr>
          <w:rFonts w:hint="eastAsia" w:ascii="宋体" w:hAnsi="宋体"/>
          <w:szCs w:val="21"/>
          <w:highlight w:val="none"/>
          <w:shd w:val="pct10" w:color="auto" w:fill="FFFFFF"/>
        </w:rPr>
      </w:pPr>
      <w:r>
        <w:rPr>
          <w:rFonts w:hint="eastAsia" w:ascii="宋体" w:hAnsi="宋体"/>
          <w:szCs w:val="21"/>
          <w:highlight w:val="none"/>
        </w:rPr>
        <w:t xml:space="preserve">2、支付方式：采用   </w:t>
      </w:r>
      <w:r>
        <w:rPr>
          <w:rFonts w:hint="eastAsia" w:ascii="宋体" w:hAnsi="宋体"/>
          <w:szCs w:val="21"/>
          <w:highlight w:val="none"/>
          <w:lang w:eastAsia="zh-CN"/>
        </w:rPr>
        <w:t>☑</w:t>
      </w:r>
      <w:r>
        <w:rPr>
          <w:rFonts w:ascii="宋体" w:hAnsi="宋体"/>
          <w:szCs w:val="21"/>
          <w:highlight w:val="none"/>
        </w:rPr>
        <w:t>银行转账</w:t>
      </w:r>
      <w:r>
        <w:rPr>
          <w:rFonts w:hint="eastAsia" w:ascii="宋体" w:hAnsi="宋体" w:eastAsia="宋体" w:cs="Times New Roman"/>
          <w:szCs w:val="21"/>
          <w:highlight w:val="none"/>
        </w:rPr>
        <w:t>的方式。</w:t>
      </w:r>
    </w:p>
    <w:p w14:paraId="09E29550">
      <w:pPr>
        <w:adjustRightInd w:val="0"/>
        <w:snapToGrid w:val="0"/>
        <w:spacing w:line="360" w:lineRule="auto"/>
        <w:ind w:left="1255" w:leftChars="405" w:hanging="405" w:hangingChars="193"/>
        <w:rPr>
          <w:rFonts w:hint="eastAsia" w:ascii="宋体" w:hAnsi="宋体"/>
          <w:szCs w:val="21"/>
        </w:rPr>
      </w:pPr>
      <w:r>
        <w:rPr>
          <w:rFonts w:hint="eastAsia" w:ascii="宋体" w:hAnsi="宋体"/>
          <w:szCs w:val="21"/>
        </w:rPr>
        <w:t>3、</w:t>
      </w:r>
      <w:r>
        <w:rPr>
          <w:rFonts w:hint="eastAsia"/>
          <w:szCs w:val="21"/>
        </w:rPr>
        <w:t>乙方完成</w:t>
      </w:r>
      <w:r>
        <w:rPr>
          <w:rFonts w:hint="eastAsia"/>
          <w:szCs w:val="21"/>
          <w:u w:val="single"/>
        </w:rPr>
        <w:t>全部</w:t>
      </w:r>
      <w:r>
        <w:rPr>
          <w:rFonts w:hint="eastAsia"/>
          <w:szCs w:val="21"/>
        </w:rPr>
        <w:t>校准任务，经甲方查验合格后</w:t>
      </w:r>
      <w:r>
        <w:rPr>
          <w:rFonts w:hint="eastAsia"/>
          <w:szCs w:val="21"/>
          <w:lang w:eastAsia="zh-CN"/>
        </w:rPr>
        <w:t>，</w:t>
      </w:r>
      <w:r>
        <w:rPr>
          <w:rFonts w:hint="eastAsia" w:ascii="宋体" w:hAnsi="宋体"/>
          <w:szCs w:val="21"/>
        </w:rPr>
        <w:t>寄出证书</w:t>
      </w:r>
      <w:r>
        <w:rPr>
          <w:rFonts w:hint="eastAsia" w:ascii="宋体" w:hAnsi="宋体"/>
          <w:szCs w:val="21"/>
          <w:lang w:eastAsia="zh-CN"/>
        </w:rPr>
        <w:t>，</w:t>
      </w:r>
      <w:r>
        <w:rPr>
          <w:rFonts w:hint="eastAsia" w:ascii="宋体" w:hAnsi="宋体"/>
          <w:szCs w:val="21"/>
          <w:lang w:val="en-US" w:eastAsia="zh-CN"/>
        </w:rPr>
        <w:t>甲方收到证书双方确认后在15个工作日内支付合同款</w:t>
      </w:r>
      <w:r>
        <w:rPr>
          <w:rFonts w:hint="eastAsia" w:ascii="宋体" w:hAnsi="宋体"/>
          <w:szCs w:val="21"/>
        </w:rPr>
        <w:t>。</w:t>
      </w:r>
    </w:p>
    <w:p w14:paraId="48E96F47">
      <w:pPr>
        <w:pStyle w:val="7"/>
        <w:rPr>
          <w:rFonts w:hint="default" w:eastAsia="宋体"/>
          <w:lang w:val="en-US" w:eastAsia="zh-CN"/>
        </w:rPr>
      </w:pPr>
      <w:r>
        <w:rPr>
          <w:rFonts w:hint="eastAsia" w:ascii="宋体" w:hAnsi="宋体" w:eastAsia="宋体" w:cs="Times New Roman"/>
          <w:kern w:val="2"/>
          <w:sz w:val="21"/>
          <w:szCs w:val="21"/>
          <w:lang w:val="en-US" w:eastAsia="zh-CN" w:bidi="ar-SA"/>
        </w:rPr>
        <w:t>4、</w:t>
      </w:r>
      <w:r>
        <w:rPr>
          <w:rFonts w:hint="eastAsia"/>
        </w:rPr>
        <w:t>在每次办理付款前，乙方需向按税法规定向甲方开具6%的增值税专用发票。若乙方实际开具增值税专用发票税率与合同签订时约定的税率不符，税差相应调整，但以下情况除外：合同签订阶段时，乙方为小规模纳税人，在后续执行过程中变更为一般纳税人；或者合同签订阶段时，乙方享受国家减税优惠政策的，在后续执行过程中优惠政策取消。因前述2项情况开具高于合同约定的税率而产生的税差由乙方自行承担，甲方不予补偿。</w:t>
      </w:r>
      <w:r>
        <w:rPr>
          <w:rFonts w:hint="eastAsia"/>
          <w:lang w:val="en-US" w:eastAsia="zh-CN"/>
        </w:rPr>
        <w:t>本合同签订税率为6%。</w:t>
      </w:r>
    </w:p>
    <w:p w14:paraId="22E8C05D">
      <w:pPr>
        <w:adjustRightInd w:val="0"/>
        <w:snapToGrid w:val="0"/>
        <w:spacing w:line="360" w:lineRule="auto"/>
        <w:ind w:left="1255" w:leftChars="405" w:hanging="405" w:hangingChars="193"/>
        <w:rPr>
          <w:rFonts w:hint="eastAsia" w:ascii="宋体" w:hAnsi="宋体"/>
          <w:szCs w:val="21"/>
          <w:lang w:val="en-US" w:eastAsia="zh-CN"/>
        </w:rPr>
      </w:pPr>
      <w:r>
        <w:rPr>
          <w:rFonts w:hint="eastAsia" w:ascii="宋体" w:hAnsi="宋体"/>
          <w:szCs w:val="21"/>
          <w:lang w:val="en-US" w:eastAsia="zh-CN"/>
        </w:rPr>
        <w:t>5、甲方开票信息：</w:t>
      </w:r>
    </w:p>
    <w:tbl>
      <w:tblPr>
        <w:tblStyle w:val="8"/>
        <w:tblW w:w="7009" w:type="dxa"/>
        <w:tblInd w:w="5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455"/>
        <w:gridCol w:w="4554"/>
      </w:tblGrid>
      <w:tr w14:paraId="0F070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455" w:type="dxa"/>
            <w:tcBorders>
              <w:top w:val="nil"/>
              <w:left w:val="nil"/>
              <w:bottom w:val="nil"/>
              <w:right w:val="nil"/>
            </w:tcBorders>
            <w:noWrap/>
            <w:tcMar>
              <w:top w:w="15" w:type="dxa"/>
              <w:left w:w="15" w:type="dxa"/>
              <w:right w:w="15" w:type="dxa"/>
            </w:tcMar>
            <w:vAlign w:val="bottom"/>
          </w:tcPr>
          <w:p w14:paraId="66B3F741">
            <w:pPr>
              <w:adjustRightInd w:val="0"/>
              <w:snapToGrid w:val="0"/>
              <w:spacing w:line="360" w:lineRule="auto"/>
              <w:ind w:left="1257" w:leftChars="405" w:hanging="407" w:hangingChars="193"/>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名称</w:t>
            </w:r>
          </w:p>
        </w:tc>
        <w:tc>
          <w:tcPr>
            <w:tcW w:w="4554" w:type="dxa"/>
            <w:tcBorders>
              <w:top w:val="nil"/>
              <w:left w:val="nil"/>
              <w:bottom w:val="nil"/>
              <w:right w:val="nil"/>
            </w:tcBorders>
            <w:noWrap/>
            <w:tcMar>
              <w:top w:w="15" w:type="dxa"/>
              <w:left w:w="15" w:type="dxa"/>
              <w:right w:w="15" w:type="dxa"/>
            </w:tcMar>
            <w:vAlign w:val="bottom"/>
          </w:tcPr>
          <w:p w14:paraId="5C2EDAEB">
            <w:pPr>
              <w:adjustRightInd w:val="0"/>
              <w:snapToGrid w:val="0"/>
              <w:spacing w:line="360" w:lineRule="auto"/>
              <w:ind w:left="1257" w:leftChars="405" w:hanging="407" w:hangingChars="193"/>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阳朔县深能环保有限公司</w:t>
            </w:r>
          </w:p>
        </w:tc>
      </w:tr>
      <w:tr w14:paraId="70B7C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455" w:type="dxa"/>
            <w:tcBorders>
              <w:top w:val="nil"/>
              <w:left w:val="nil"/>
              <w:bottom w:val="nil"/>
              <w:right w:val="nil"/>
            </w:tcBorders>
            <w:noWrap/>
            <w:tcMar>
              <w:top w:w="15" w:type="dxa"/>
              <w:left w:w="15" w:type="dxa"/>
              <w:right w:w="15" w:type="dxa"/>
            </w:tcMar>
            <w:vAlign w:val="bottom"/>
          </w:tcPr>
          <w:p w14:paraId="3D80F752">
            <w:pPr>
              <w:adjustRightInd w:val="0"/>
              <w:snapToGrid w:val="0"/>
              <w:spacing w:line="360" w:lineRule="auto"/>
              <w:ind w:left="1257" w:leftChars="405" w:hanging="407" w:hangingChars="193"/>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纳税人识别号</w:t>
            </w:r>
          </w:p>
        </w:tc>
        <w:tc>
          <w:tcPr>
            <w:tcW w:w="4554" w:type="dxa"/>
            <w:tcBorders>
              <w:top w:val="nil"/>
              <w:left w:val="nil"/>
              <w:bottom w:val="nil"/>
              <w:right w:val="nil"/>
            </w:tcBorders>
            <w:noWrap/>
            <w:tcMar>
              <w:top w:w="15" w:type="dxa"/>
              <w:left w:w="15" w:type="dxa"/>
              <w:right w:w="15" w:type="dxa"/>
            </w:tcMar>
            <w:vAlign w:val="bottom"/>
          </w:tcPr>
          <w:p w14:paraId="492FC737">
            <w:pPr>
              <w:adjustRightInd w:val="0"/>
              <w:snapToGrid w:val="0"/>
              <w:spacing w:line="360" w:lineRule="auto"/>
              <w:ind w:left="1257" w:leftChars="405" w:hanging="407" w:hangingChars="193"/>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91450321MA5MY48K74</w:t>
            </w:r>
          </w:p>
        </w:tc>
      </w:tr>
      <w:tr w14:paraId="4EAB2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455" w:type="dxa"/>
            <w:tcBorders>
              <w:top w:val="nil"/>
              <w:left w:val="nil"/>
              <w:bottom w:val="nil"/>
              <w:right w:val="nil"/>
            </w:tcBorders>
            <w:noWrap/>
            <w:tcMar>
              <w:top w:w="15" w:type="dxa"/>
              <w:left w:w="15" w:type="dxa"/>
              <w:right w:w="15" w:type="dxa"/>
            </w:tcMar>
            <w:vAlign w:val="bottom"/>
          </w:tcPr>
          <w:p w14:paraId="38A8D829">
            <w:pPr>
              <w:adjustRightInd w:val="0"/>
              <w:snapToGrid w:val="0"/>
              <w:spacing w:line="360" w:lineRule="auto"/>
              <w:ind w:left="1257" w:leftChars="405" w:hanging="407" w:hangingChars="193"/>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地址</w:t>
            </w:r>
          </w:p>
        </w:tc>
        <w:tc>
          <w:tcPr>
            <w:tcW w:w="4554" w:type="dxa"/>
            <w:tcBorders>
              <w:top w:val="nil"/>
              <w:left w:val="nil"/>
              <w:bottom w:val="nil"/>
              <w:right w:val="nil"/>
            </w:tcBorders>
            <w:noWrap/>
            <w:tcMar>
              <w:top w:w="15" w:type="dxa"/>
              <w:left w:w="15" w:type="dxa"/>
              <w:right w:w="15" w:type="dxa"/>
            </w:tcMar>
            <w:vAlign w:val="bottom"/>
          </w:tcPr>
          <w:p w14:paraId="3621D3E2">
            <w:pPr>
              <w:adjustRightInd w:val="0"/>
              <w:snapToGrid w:val="0"/>
              <w:spacing w:line="360" w:lineRule="auto"/>
              <w:ind w:left="1257" w:leftChars="405" w:hanging="407" w:hangingChars="193"/>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阳朔县福利镇青鸟村委龙回寨村</w:t>
            </w:r>
          </w:p>
        </w:tc>
      </w:tr>
      <w:tr w14:paraId="382CD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455" w:type="dxa"/>
            <w:tcBorders>
              <w:top w:val="nil"/>
              <w:left w:val="nil"/>
              <w:bottom w:val="nil"/>
              <w:right w:val="nil"/>
            </w:tcBorders>
            <w:noWrap/>
            <w:tcMar>
              <w:top w:w="15" w:type="dxa"/>
              <w:left w:w="15" w:type="dxa"/>
              <w:right w:w="15" w:type="dxa"/>
            </w:tcMar>
            <w:vAlign w:val="bottom"/>
          </w:tcPr>
          <w:p w14:paraId="07BFD195">
            <w:pPr>
              <w:adjustRightInd w:val="0"/>
              <w:snapToGrid w:val="0"/>
              <w:spacing w:line="360" w:lineRule="auto"/>
              <w:ind w:left="1257" w:leftChars="405" w:hanging="407" w:hangingChars="193"/>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电话</w:t>
            </w:r>
          </w:p>
        </w:tc>
        <w:tc>
          <w:tcPr>
            <w:tcW w:w="4554" w:type="dxa"/>
            <w:tcBorders>
              <w:top w:val="nil"/>
              <w:left w:val="nil"/>
              <w:bottom w:val="nil"/>
              <w:right w:val="nil"/>
            </w:tcBorders>
            <w:noWrap/>
            <w:tcMar>
              <w:top w:w="15" w:type="dxa"/>
              <w:left w:w="15" w:type="dxa"/>
              <w:right w:w="15" w:type="dxa"/>
            </w:tcMar>
            <w:vAlign w:val="bottom"/>
          </w:tcPr>
          <w:p w14:paraId="3B7FEBF8">
            <w:pPr>
              <w:adjustRightInd w:val="0"/>
              <w:snapToGrid w:val="0"/>
              <w:spacing w:line="360" w:lineRule="auto"/>
              <w:ind w:left="1257" w:leftChars="405" w:hanging="407" w:hangingChars="193"/>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0773-3680323</w:t>
            </w:r>
          </w:p>
        </w:tc>
      </w:tr>
      <w:tr w14:paraId="620CE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455" w:type="dxa"/>
            <w:tcBorders>
              <w:top w:val="nil"/>
              <w:left w:val="nil"/>
              <w:bottom w:val="nil"/>
              <w:right w:val="nil"/>
            </w:tcBorders>
            <w:noWrap/>
            <w:tcMar>
              <w:top w:w="15" w:type="dxa"/>
              <w:left w:w="15" w:type="dxa"/>
              <w:right w:w="15" w:type="dxa"/>
            </w:tcMar>
            <w:vAlign w:val="bottom"/>
          </w:tcPr>
          <w:p w14:paraId="0783F57A">
            <w:pPr>
              <w:adjustRightInd w:val="0"/>
              <w:snapToGrid w:val="0"/>
              <w:spacing w:line="360" w:lineRule="auto"/>
              <w:ind w:left="1257" w:leftChars="405" w:hanging="407" w:hangingChars="193"/>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开户行</w:t>
            </w:r>
          </w:p>
        </w:tc>
        <w:tc>
          <w:tcPr>
            <w:tcW w:w="4554" w:type="dxa"/>
            <w:tcBorders>
              <w:top w:val="nil"/>
              <w:left w:val="nil"/>
              <w:bottom w:val="nil"/>
              <w:right w:val="nil"/>
            </w:tcBorders>
            <w:noWrap/>
            <w:tcMar>
              <w:top w:w="15" w:type="dxa"/>
              <w:left w:w="15" w:type="dxa"/>
              <w:right w:w="15" w:type="dxa"/>
            </w:tcMar>
            <w:vAlign w:val="bottom"/>
          </w:tcPr>
          <w:p w14:paraId="495E7E3F">
            <w:pPr>
              <w:adjustRightInd w:val="0"/>
              <w:snapToGrid w:val="0"/>
              <w:spacing w:line="360" w:lineRule="auto"/>
              <w:ind w:left="1257" w:leftChars="405" w:hanging="407" w:hangingChars="193"/>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中国农业银行股份有限公司阳朔县支行</w:t>
            </w:r>
          </w:p>
        </w:tc>
      </w:tr>
      <w:tr w14:paraId="1F9D6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455" w:type="dxa"/>
            <w:tcBorders>
              <w:top w:val="nil"/>
              <w:left w:val="nil"/>
              <w:bottom w:val="nil"/>
              <w:right w:val="nil"/>
            </w:tcBorders>
            <w:noWrap/>
            <w:tcMar>
              <w:top w:w="15" w:type="dxa"/>
              <w:left w:w="15" w:type="dxa"/>
              <w:right w:w="15" w:type="dxa"/>
            </w:tcMar>
            <w:vAlign w:val="bottom"/>
          </w:tcPr>
          <w:p w14:paraId="3B3C3DA1">
            <w:pPr>
              <w:adjustRightInd w:val="0"/>
              <w:snapToGrid w:val="0"/>
              <w:spacing w:line="360" w:lineRule="auto"/>
              <w:ind w:left="1257" w:leftChars="405" w:hanging="407" w:hangingChars="193"/>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账号</w:t>
            </w:r>
          </w:p>
        </w:tc>
        <w:tc>
          <w:tcPr>
            <w:tcW w:w="4554" w:type="dxa"/>
            <w:tcBorders>
              <w:top w:val="nil"/>
              <w:left w:val="nil"/>
              <w:bottom w:val="nil"/>
              <w:right w:val="nil"/>
            </w:tcBorders>
            <w:noWrap/>
            <w:tcMar>
              <w:top w:w="15" w:type="dxa"/>
              <w:left w:w="15" w:type="dxa"/>
              <w:right w:w="15" w:type="dxa"/>
            </w:tcMar>
            <w:vAlign w:val="bottom"/>
          </w:tcPr>
          <w:p w14:paraId="597D0A22">
            <w:pPr>
              <w:adjustRightInd w:val="0"/>
              <w:snapToGrid w:val="0"/>
              <w:spacing w:line="360" w:lineRule="auto"/>
              <w:ind w:left="1257" w:leftChars="405" w:hanging="407" w:hangingChars="193"/>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20225101040011434</w:t>
            </w:r>
          </w:p>
        </w:tc>
      </w:tr>
    </w:tbl>
    <w:p w14:paraId="1E446292">
      <w:pPr>
        <w:adjustRightInd w:val="0"/>
        <w:snapToGrid w:val="0"/>
        <w:spacing w:line="360" w:lineRule="auto"/>
        <w:ind w:left="1255" w:leftChars="405" w:hanging="405" w:hangingChars="193"/>
        <w:rPr>
          <w:rFonts w:hint="default" w:ascii="宋体" w:hAnsi="宋体"/>
          <w:szCs w:val="21"/>
          <w:lang w:val="en-US" w:eastAsia="zh-CN"/>
        </w:rPr>
      </w:pPr>
    </w:p>
    <w:p w14:paraId="31DE5A6E">
      <w:pPr>
        <w:adjustRightInd w:val="0"/>
        <w:snapToGrid w:val="0"/>
        <w:spacing w:line="360" w:lineRule="auto"/>
        <w:ind w:left="1255" w:leftChars="405" w:hanging="405" w:hangingChars="193"/>
        <w:rPr>
          <w:rFonts w:hint="eastAsia" w:ascii="宋体" w:hAnsi="宋体"/>
          <w:szCs w:val="21"/>
          <w:lang w:val="en-US" w:eastAsia="zh-CN"/>
        </w:rPr>
      </w:pPr>
      <w:r>
        <w:rPr>
          <w:rFonts w:hint="eastAsia" w:ascii="宋体" w:hAnsi="宋体"/>
          <w:szCs w:val="21"/>
          <w:lang w:val="en-US" w:eastAsia="zh-CN"/>
        </w:rPr>
        <w:t xml:space="preserve">6、乙方账户信息： </w:t>
      </w:r>
    </w:p>
    <w:p w14:paraId="7F5743A6">
      <w:pPr>
        <w:adjustRightInd w:val="0"/>
        <w:snapToGrid w:val="0"/>
        <w:spacing w:line="360" w:lineRule="auto"/>
        <w:ind w:left="1257" w:leftChars="405" w:hanging="407" w:hangingChars="193"/>
        <w:rPr>
          <w:rFonts w:hint="eastAsia" w:cs="Times New Roman"/>
          <w:b/>
          <w:bCs/>
          <w:szCs w:val="21"/>
          <w:highlight w:val="none"/>
          <w:lang w:val="en-US" w:eastAsia="zh-CN"/>
        </w:rPr>
      </w:pPr>
      <w:r>
        <w:rPr>
          <w:rFonts w:hint="eastAsia" w:ascii="Times New Roman" w:hAnsi="Times New Roman" w:eastAsia="宋体" w:cs="Times New Roman"/>
          <w:b/>
          <w:bCs/>
          <w:szCs w:val="21"/>
          <w:highlight w:val="none"/>
          <w:lang w:val="en-US" w:eastAsia="zh-CN"/>
        </w:rPr>
        <w:t>开户银行： 中国建设银行股份有限公司长沙书院南路支行</w:t>
      </w:r>
      <w:r>
        <w:rPr>
          <w:rFonts w:hint="eastAsia" w:cs="Times New Roman"/>
          <w:b/>
          <w:bCs/>
          <w:szCs w:val="21"/>
          <w:highlight w:val="none"/>
          <w:lang w:val="en-US" w:eastAsia="zh-CN"/>
        </w:rPr>
        <w:t xml:space="preserve"> </w:t>
      </w:r>
    </w:p>
    <w:p w14:paraId="71972EA6">
      <w:pPr>
        <w:adjustRightInd w:val="0"/>
        <w:snapToGrid w:val="0"/>
        <w:spacing w:line="360" w:lineRule="auto"/>
        <w:ind w:left="1257" w:leftChars="405" w:hanging="407" w:hangingChars="193"/>
        <w:rPr>
          <w:rFonts w:hint="eastAsia" w:ascii="Times New Roman" w:hAnsi="Times New Roman" w:eastAsia="宋体" w:cs="Times New Roman"/>
          <w:b/>
          <w:bCs/>
          <w:szCs w:val="21"/>
          <w:highlight w:val="none"/>
          <w:lang w:val="en-US" w:eastAsia="zh-CN"/>
        </w:rPr>
      </w:pPr>
      <w:r>
        <w:rPr>
          <w:rFonts w:hint="eastAsia" w:ascii="Times New Roman" w:hAnsi="Times New Roman" w:eastAsia="宋体" w:cs="Times New Roman"/>
          <w:b/>
          <w:bCs/>
          <w:szCs w:val="21"/>
          <w:highlight w:val="none"/>
          <w:lang w:val="en-US" w:eastAsia="zh-CN"/>
        </w:rPr>
        <w:t>开户名称： 长沙华维检测技术有限公司</w:t>
      </w:r>
      <w:r>
        <w:rPr>
          <w:rFonts w:hint="eastAsia" w:cs="Times New Roman"/>
          <w:b/>
          <w:bCs/>
          <w:szCs w:val="21"/>
          <w:highlight w:val="none"/>
          <w:lang w:val="en-US" w:eastAsia="zh-CN"/>
        </w:rPr>
        <w:t xml:space="preserve"> </w:t>
      </w:r>
    </w:p>
    <w:p w14:paraId="476B267B">
      <w:pPr>
        <w:adjustRightInd w:val="0"/>
        <w:snapToGrid w:val="0"/>
        <w:spacing w:line="360" w:lineRule="auto"/>
        <w:ind w:left="1257" w:leftChars="405" w:hanging="407" w:hangingChars="193"/>
        <w:rPr>
          <w:rFonts w:hint="eastAsia" w:ascii="Times New Roman" w:hAnsi="Times New Roman" w:eastAsia="宋体" w:cs="Times New Roman"/>
          <w:b/>
          <w:bCs/>
          <w:szCs w:val="21"/>
          <w:highlight w:val="none"/>
          <w:lang w:val="en-US" w:eastAsia="zh-CN"/>
        </w:rPr>
      </w:pPr>
      <w:r>
        <w:rPr>
          <w:rFonts w:hint="eastAsia" w:ascii="Times New Roman" w:hAnsi="Times New Roman" w:eastAsia="宋体" w:cs="Times New Roman"/>
          <w:b/>
          <w:bCs/>
          <w:szCs w:val="21"/>
          <w:highlight w:val="none"/>
          <w:lang w:val="en-US" w:eastAsia="zh-CN"/>
        </w:rPr>
        <w:t>账号： 4305 0177 5236 0000 0425</w:t>
      </w:r>
      <w:r>
        <w:rPr>
          <w:rFonts w:hint="eastAsia" w:cs="Times New Roman"/>
          <w:b/>
          <w:bCs/>
          <w:szCs w:val="21"/>
          <w:highlight w:val="none"/>
          <w:lang w:val="en-US" w:eastAsia="zh-CN"/>
        </w:rPr>
        <w:t xml:space="preserve"> </w:t>
      </w:r>
    </w:p>
    <w:p w14:paraId="479D9A46">
      <w:pPr>
        <w:tabs>
          <w:tab w:val="left" w:pos="1620"/>
        </w:tabs>
        <w:adjustRightInd w:val="0"/>
        <w:snapToGrid w:val="0"/>
        <w:spacing w:line="360" w:lineRule="auto"/>
        <w:rPr>
          <w:rFonts w:hint="eastAsia" w:ascii="宋体" w:hAnsi="宋体"/>
          <w:szCs w:val="21"/>
        </w:rPr>
      </w:pPr>
      <w:r>
        <w:rPr>
          <w:rFonts w:hint="eastAsia" w:ascii="宋体" w:hAnsi="宋体"/>
          <w:szCs w:val="21"/>
        </w:rPr>
        <w:t>第五条  双方确定因履行本合同应遵守的保密义务如下：</w:t>
      </w:r>
    </w:p>
    <w:p w14:paraId="42CF2CEC">
      <w:pPr>
        <w:adjustRightInd w:val="0"/>
        <w:snapToGrid w:val="0"/>
        <w:spacing w:line="360" w:lineRule="auto"/>
        <w:ind w:left="840" w:leftChars="400" w:firstLine="0" w:firstLineChars="0"/>
        <w:rPr>
          <w:rFonts w:hint="eastAsia" w:ascii="宋体" w:hAnsi="宋体"/>
          <w:szCs w:val="21"/>
        </w:rPr>
      </w:pPr>
      <w:r>
        <w:rPr>
          <w:rFonts w:hint="eastAsia" w:ascii="宋体" w:hAnsi="宋体"/>
          <w:szCs w:val="21"/>
        </w:rPr>
        <w:t>1、乙方应为甲方所提供的技术情报和资料及非正式出版物等承担保密义务。</w:t>
      </w:r>
    </w:p>
    <w:p w14:paraId="10E5BAB5">
      <w:pPr>
        <w:adjustRightInd w:val="0"/>
        <w:snapToGrid w:val="0"/>
        <w:spacing w:line="360" w:lineRule="auto"/>
        <w:ind w:left="840" w:leftChars="400" w:firstLine="0" w:firstLineChars="0"/>
        <w:rPr>
          <w:rFonts w:hint="eastAsia" w:ascii="宋体" w:hAnsi="宋体"/>
          <w:szCs w:val="21"/>
        </w:rPr>
      </w:pPr>
      <w:r>
        <w:rPr>
          <w:rFonts w:hint="eastAsia" w:ascii="宋体" w:hAnsi="宋体"/>
          <w:szCs w:val="21"/>
        </w:rPr>
        <w:t>2、乙方应为甲方所提供的仪器仪表以及环境状况、产品技术、生产工艺等承担保密义务。</w:t>
      </w:r>
    </w:p>
    <w:p w14:paraId="3E4EE3D6">
      <w:pPr>
        <w:adjustRightInd w:val="0"/>
        <w:snapToGrid w:val="0"/>
        <w:spacing w:line="360" w:lineRule="auto"/>
        <w:ind w:left="840" w:leftChars="400" w:firstLine="0" w:firstLineChars="0"/>
        <w:rPr>
          <w:rFonts w:hint="eastAsia" w:ascii="宋体" w:hAnsi="宋体"/>
          <w:szCs w:val="21"/>
        </w:rPr>
      </w:pPr>
      <w:r>
        <w:rPr>
          <w:rFonts w:hint="eastAsia" w:ascii="宋体" w:hAnsi="宋体"/>
          <w:szCs w:val="21"/>
        </w:rPr>
        <w:t>3、未经对方书面许可，任何一方不得向第三方泄露本合同的如下内容：合作范围、内容、方式、费用；双方权利、责任；争议处理的方式。</w:t>
      </w:r>
    </w:p>
    <w:p w14:paraId="158778CB">
      <w:pPr>
        <w:pStyle w:val="10"/>
        <w:spacing w:line="360" w:lineRule="auto"/>
        <w:ind w:left="840" w:leftChars="400" w:firstLine="0" w:firstLineChars="0"/>
        <w:rPr>
          <w:rFonts w:hint="eastAsia"/>
          <w:szCs w:val="21"/>
        </w:rPr>
      </w:pPr>
      <w:r>
        <w:rPr>
          <w:rFonts w:hint="eastAsia" w:ascii="宋体" w:hAnsi="宋体"/>
          <w:szCs w:val="21"/>
        </w:rPr>
        <w:t>4、一旦一方泄密，则泄密方须承担</w:t>
      </w:r>
      <w:r>
        <w:rPr>
          <w:rFonts w:hint="eastAsia"/>
          <w:szCs w:val="21"/>
        </w:rPr>
        <w:t>因此造成的一切损失</w:t>
      </w:r>
      <w:r>
        <w:rPr>
          <w:rFonts w:hint="eastAsia" w:ascii="宋体" w:hAnsi="宋体"/>
          <w:szCs w:val="21"/>
        </w:rPr>
        <w:t>。</w:t>
      </w:r>
    </w:p>
    <w:p w14:paraId="31154279">
      <w:pPr>
        <w:adjustRightInd w:val="0"/>
        <w:snapToGrid w:val="0"/>
        <w:spacing w:line="360" w:lineRule="auto"/>
        <w:ind w:left="840" w:hanging="840" w:hangingChars="400"/>
        <w:rPr>
          <w:rFonts w:hint="eastAsia" w:ascii="宋体" w:hAnsi="宋体"/>
          <w:szCs w:val="21"/>
        </w:rPr>
      </w:pPr>
      <w:r>
        <w:rPr>
          <w:rFonts w:hint="eastAsia" w:ascii="宋体" w:hAnsi="宋体"/>
          <w:szCs w:val="21"/>
        </w:rPr>
        <w:t>第六条  免责条款：</w:t>
      </w:r>
    </w:p>
    <w:p w14:paraId="16286948">
      <w:pPr>
        <w:adjustRightInd w:val="0"/>
        <w:snapToGrid w:val="0"/>
        <w:spacing w:line="360" w:lineRule="auto"/>
        <w:ind w:left="876" w:leftChars="417"/>
        <w:rPr>
          <w:rFonts w:hint="eastAsia" w:ascii="宋体" w:hAnsi="宋体"/>
          <w:szCs w:val="21"/>
        </w:rPr>
      </w:pPr>
      <w:r>
        <w:rPr>
          <w:rFonts w:hint="eastAsia" w:ascii="宋体" w:hAnsi="宋体"/>
          <w:szCs w:val="21"/>
        </w:rPr>
        <w:t>双方确定，由于不可预见事件或不可抗力，直接影响本合同的履行或者致使不能按约定的条件履行的，遇不可抗力事件一方应及时通知对方，并应在三十天内提供事故详情及不可抗力的有效证明文件。按照不可抗力对协议的影响程度，由双方协商决定是否解除本合同，或者部分免除不可抗力一方的责任，或者延期履行本合同。</w:t>
      </w:r>
    </w:p>
    <w:p w14:paraId="71358CDF">
      <w:pPr>
        <w:adjustRightInd w:val="0"/>
        <w:snapToGrid w:val="0"/>
        <w:spacing w:line="360" w:lineRule="auto"/>
        <w:ind w:left="840" w:hanging="840" w:hangingChars="400"/>
        <w:rPr>
          <w:rFonts w:hint="eastAsia" w:ascii="宋体" w:hAnsi="宋体"/>
          <w:szCs w:val="21"/>
        </w:rPr>
      </w:pPr>
      <w:r>
        <w:rPr>
          <w:rFonts w:hint="eastAsia" w:ascii="宋体" w:hAnsi="宋体"/>
          <w:szCs w:val="21"/>
        </w:rPr>
        <w:t>第七条  争议的处理：</w:t>
      </w:r>
    </w:p>
    <w:p w14:paraId="446D40B8">
      <w:pPr>
        <w:numPr>
          <w:ilvl w:val="0"/>
          <w:numId w:val="4"/>
        </w:numPr>
        <w:adjustRightInd w:val="0"/>
        <w:snapToGrid w:val="0"/>
        <w:spacing w:line="360" w:lineRule="auto"/>
        <w:rPr>
          <w:rFonts w:hint="eastAsia" w:ascii="宋体" w:hAnsi="宋体"/>
          <w:szCs w:val="21"/>
        </w:rPr>
      </w:pPr>
      <w:r>
        <w:rPr>
          <w:rFonts w:hint="eastAsia" w:ascii="宋体" w:hAnsi="宋体"/>
          <w:szCs w:val="21"/>
        </w:rPr>
        <w:t>双方就本合同的效力、解释或履行发生争议时，应努力通过友好协商解决；如协商不成，任何一方</w:t>
      </w:r>
      <w:r>
        <w:rPr>
          <w:rFonts w:hint="eastAsia"/>
          <w:szCs w:val="21"/>
        </w:rPr>
        <w:t>均应向甲方住所地有管辖权的人民法院提起诉讼</w:t>
      </w:r>
      <w:r>
        <w:rPr>
          <w:rFonts w:hint="eastAsia" w:ascii="宋体" w:hAnsi="宋体"/>
          <w:szCs w:val="21"/>
        </w:rPr>
        <w:t>。</w:t>
      </w:r>
    </w:p>
    <w:p w14:paraId="6A0EC341">
      <w:pPr>
        <w:numPr>
          <w:ilvl w:val="0"/>
          <w:numId w:val="4"/>
        </w:numPr>
        <w:adjustRightInd w:val="0"/>
        <w:snapToGrid w:val="0"/>
        <w:spacing w:line="360" w:lineRule="auto"/>
        <w:rPr>
          <w:rFonts w:hint="eastAsia" w:ascii="宋体" w:hAnsi="宋体"/>
          <w:szCs w:val="21"/>
        </w:rPr>
      </w:pPr>
      <w:r>
        <w:rPr>
          <w:rFonts w:hint="eastAsia" w:ascii="宋体" w:hAnsi="宋体"/>
          <w:szCs w:val="21"/>
        </w:rPr>
        <w:t>任何一方违反本合同条款（免责条款除外），另一方可提出终止本合同，同时可要求对方赔偿因由而引起相应的直接损失。</w:t>
      </w:r>
    </w:p>
    <w:p w14:paraId="683A0B25">
      <w:pPr>
        <w:numPr>
          <w:ilvl w:val="0"/>
          <w:numId w:val="4"/>
        </w:numPr>
        <w:adjustRightInd w:val="0"/>
        <w:snapToGrid w:val="0"/>
        <w:spacing w:line="360" w:lineRule="auto"/>
        <w:rPr>
          <w:rFonts w:hint="eastAsia" w:ascii="宋体" w:hAnsi="宋体"/>
          <w:szCs w:val="21"/>
        </w:rPr>
      </w:pPr>
      <w:r>
        <w:rPr>
          <w:rFonts w:hint="eastAsia" w:ascii="宋体" w:hAnsi="宋体"/>
          <w:szCs w:val="21"/>
        </w:rPr>
        <w:t>仪器仪表经乙方计量校准后，甲方应在</w:t>
      </w:r>
      <w:r>
        <w:rPr>
          <w:rFonts w:hint="eastAsia" w:ascii="宋体" w:hAnsi="宋体"/>
          <w:szCs w:val="21"/>
          <w:lang w:val="en-US" w:eastAsia="zh-CN"/>
        </w:rPr>
        <w:t>十天</w:t>
      </w:r>
      <w:r>
        <w:rPr>
          <w:rFonts w:hint="eastAsia" w:ascii="宋体" w:hAnsi="宋体"/>
          <w:szCs w:val="21"/>
        </w:rPr>
        <w:t>内验收,如发现有问题，双方协商解决。若甲方在</w:t>
      </w:r>
      <w:r>
        <w:rPr>
          <w:rFonts w:hint="eastAsia" w:ascii="宋体" w:hAnsi="宋体"/>
          <w:szCs w:val="21"/>
          <w:lang w:val="en-US" w:eastAsia="zh-CN"/>
        </w:rPr>
        <w:t>三十天</w:t>
      </w:r>
      <w:r>
        <w:rPr>
          <w:rFonts w:hint="eastAsia" w:ascii="宋体" w:hAnsi="宋体"/>
          <w:szCs w:val="21"/>
        </w:rPr>
        <w:t xml:space="preserve">内未提出异议，视为乙方提供的校准/检测服务符合双方约定。 </w:t>
      </w:r>
    </w:p>
    <w:p w14:paraId="0FFFA708">
      <w:pPr>
        <w:numPr>
          <w:ilvl w:val="0"/>
          <w:numId w:val="4"/>
        </w:numPr>
        <w:adjustRightInd w:val="0"/>
        <w:snapToGrid w:val="0"/>
        <w:spacing w:line="360" w:lineRule="auto"/>
        <w:rPr>
          <w:rFonts w:hint="eastAsia" w:ascii="宋体" w:hAnsi="宋体"/>
          <w:szCs w:val="21"/>
        </w:rPr>
      </w:pPr>
      <w:r>
        <w:rPr>
          <w:rFonts w:ascii="宋体" w:hAnsi="宋体" w:cs="Arial"/>
          <w:szCs w:val="21"/>
        </w:rPr>
        <w:t>任何一方提出终止</w:t>
      </w:r>
      <w:r>
        <w:rPr>
          <w:rFonts w:hint="eastAsia" w:ascii="宋体" w:hAnsi="宋体" w:cs="Arial"/>
          <w:szCs w:val="21"/>
        </w:rPr>
        <w:t>本合同</w:t>
      </w:r>
      <w:r>
        <w:rPr>
          <w:rFonts w:ascii="宋体" w:hAnsi="宋体" w:cs="Arial"/>
          <w:szCs w:val="21"/>
        </w:rPr>
        <w:t>，应提前一个月通知对方，在提出终止前已执行的业务应继续有效进行。</w:t>
      </w:r>
    </w:p>
    <w:p w14:paraId="4B206789">
      <w:pPr>
        <w:adjustRightInd w:val="0"/>
        <w:snapToGrid w:val="0"/>
        <w:spacing w:line="360" w:lineRule="auto"/>
        <w:rPr>
          <w:rFonts w:hint="eastAsia" w:ascii="宋体" w:hAnsi="宋体"/>
          <w:szCs w:val="21"/>
        </w:rPr>
      </w:pPr>
      <w:r>
        <w:rPr>
          <w:rFonts w:hint="eastAsia" w:ascii="宋体" w:hAnsi="宋体" w:cs="Arial"/>
          <w:szCs w:val="21"/>
        </w:rPr>
        <w:t>第八条</w:t>
      </w:r>
      <w:r>
        <w:rPr>
          <w:rFonts w:hint="eastAsia" w:ascii="宋体" w:hAnsi="宋体"/>
          <w:szCs w:val="21"/>
        </w:rPr>
        <w:t xml:space="preserve">  合同的生效及其他：</w:t>
      </w:r>
    </w:p>
    <w:p w14:paraId="7A8040CC">
      <w:pPr>
        <w:adjustRightInd w:val="0"/>
        <w:snapToGrid w:val="0"/>
        <w:spacing w:line="360" w:lineRule="auto"/>
        <w:ind w:left="1191" w:leftChars="417" w:hanging="315" w:hangingChars="150"/>
        <w:rPr>
          <w:rFonts w:hint="eastAsia" w:ascii="宋体" w:hAnsi="宋体"/>
          <w:szCs w:val="21"/>
        </w:rPr>
      </w:pPr>
      <w:r>
        <w:rPr>
          <w:rFonts w:hint="eastAsia" w:ascii="宋体" w:hAnsi="宋体"/>
          <w:szCs w:val="21"/>
          <w:lang w:val="en-US" w:eastAsia="zh-CN"/>
        </w:rPr>
        <w:t>1</w:t>
      </w:r>
      <w:r>
        <w:rPr>
          <w:rFonts w:hint="eastAsia" w:ascii="宋体" w:hAnsi="宋体"/>
          <w:szCs w:val="21"/>
        </w:rPr>
        <w:t>、在合同履行过程中，《</w:t>
      </w:r>
      <w:r>
        <w:rPr>
          <w:rFonts w:hint="eastAsia" w:ascii="宋体" w:hAnsi="宋体"/>
          <w:szCs w:val="21"/>
          <w:lang w:val="en-US" w:eastAsia="zh-CN"/>
        </w:rPr>
        <w:t>单项报价表</w:t>
      </w:r>
      <w:r>
        <w:rPr>
          <w:rFonts w:hint="eastAsia" w:ascii="宋体" w:hAnsi="宋体"/>
          <w:szCs w:val="21"/>
        </w:rPr>
        <w:t>》</w:t>
      </w:r>
      <w:r>
        <w:rPr>
          <w:rFonts w:hint="eastAsia" w:ascii="宋体" w:hAnsi="宋体"/>
          <w:szCs w:val="21"/>
          <w:lang w:eastAsia="zh-CN"/>
        </w:rPr>
        <w:t>、《阳朔项目202</w:t>
      </w:r>
      <w:r>
        <w:rPr>
          <w:rFonts w:hint="eastAsia" w:ascii="宋体" w:hAnsi="宋体"/>
          <w:szCs w:val="21"/>
          <w:lang w:val="en-US" w:eastAsia="zh-CN"/>
        </w:rPr>
        <w:t>5</w:t>
      </w:r>
      <w:r>
        <w:rPr>
          <w:rFonts w:hint="eastAsia" w:ascii="宋体" w:hAnsi="宋体"/>
          <w:szCs w:val="21"/>
          <w:lang w:eastAsia="zh-CN"/>
        </w:rPr>
        <w:t>年化学实验室仪器校准技术规范书 》、</w:t>
      </w:r>
      <w:r>
        <w:rPr>
          <w:rFonts w:hint="eastAsia" w:ascii="宋体" w:hAnsi="宋体" w:eastAsia="宋体" w:cs="Times New Roman"/>
          <w:szCs w:val="21"/>
          <w:lang w:val="en-US" w:eastAsia="zh-CN"/>
        </w:rPr>
        <w:t>《安健环协议》</w:t>
      </w:r>
      <w:r>
        <w:rPr>
          <w:rFonts w:hint="eastAsia" w:ascii="宋体" w:hAnsi="宋体"/>
          <w:szCs w:val="21"/>
        </w:rPr>
        <w:t>和经双方确认的其它规定、实施记录及有关备忘录均作为本合同的附件，与本合同具有同等效力。</w:t>
      </w:r>
    </w:p>
    <w:p w14:paraId="7A4B4EF2">
      <w:pPr>
        <w:adjustRightInd w:val="0"/>
        <w:snapToGrid w:val="0"/>
        <w:spacing w:line="360" w:lineRule="auto"/>
        <w:ind w:left="876"/>
        <w:rPr>
          <w:rFonts w:hint="eastAsia" w:ascii="宋体" w:hAnsi="宋体"/>
          <w:szCs w:val="21"/>
        </w:rPr>
      </w:pPr>
      <w:r>
        <w:rPr>
          <w:rFonts w:hint="eastAsia" w:ascii="宋体" w:hAnsi="宋体"/>
          <w:szCs w:val="21"/>
          <w:lang w:val="en-US" w:eastAsia="zh-CN"/>
        </w:rPr>
        <w:t>2</w:t>
      </w:r>
      <w:r>
        <w:rPr>
          <w:rFonts w:hint="eastAsia" w:ascii="宋体" w:hAnsi="宋体"/>
          <w:szCs w:val="21"/>
        </w:rPr>
        <w:t>、本合</w:t>
      </w:r>
      <w:r>
        <w:rPr>
          <w:rFonts w:hint="eastAsia" w:ascii="宋体" w:hAnsi="宋体" w:eastAsia="宋体" w:cs="Times New Roman"/>
          <w:szCs w:val="21"/>
        </w:rPr>
        <w:t>同一式</w:t>
      </w:r>
      <w:r>
        <w:rPr>
          <w:rFonts w:hint="eastAsia" w:ascii="宋体" w:hAnsi="宋体" w:eastAsia="宋体" w:cs="Times New Roman"/>
          <w:szCs w:val="21"/>
          <w:lang w:val="en-US" w:eastAsia="zh-CN"/>
        </w:rPr>
        <w:t>肆</w:t>
      </w:r>
      <w:r>
        <w:rPr>
          <w:rFonts w:hint="eastAsia" w:ascii="宋体" w:hAnsi="宋体" w:eastAsia="宋体" w:cs="Times New Roman"/>
          <w:szCs w:val="21"/>
        </w:rPr>
        <w:t>份，由甲</w:t>
      </w:r>
      <w:r>
        <w:rPr>
          <w:rFonts w:hint="eastAsia" w:ascii="宋体" w:hAnsi="宋体" w:eastAsia="宋体" w:cs="Times New Roman"/>
          <w:szCs w:val="21"/>
          <w:lang w:val="en-US" w:eastAsia="zh-CN"/>
        </w:rPr>
        <w:t>方叁份乙方</w:t>
      </w:r>
      <w:r>
        <w:rPr>
          <w:rFonts w:hint="eastAsia" w:ascii="宋体" w:hAnsi="宋体" w:eastAsia="宋体" w:cs="Times New Roman"/>
          <w:szCs w:val="21"/>
        </w:rPr>
        <w:t>壹份，具</w:t>
      </w:r>
      <w:r>
        <w:rPr>
          <w:rFonts w:hint="eastAsia" w:ascii="宋体" w:hAnsi="宋体"/>
          <w:szCs w:val="21"/>
        </w:rPr>
        <w:t>有同等法律效力。</w:t>
      </w:r>
    </w:p>
    <w:p w14:paraId="0EB0DA06">
      <w:pPr>
        <w:adjustRightInd w:val="0"/>
        <w:snapToGrid w:val="0"/>
        <w:spacing w:line="360" w:lineRule="auto"/>
        <w:ind w:left="876"/>
        <w:rPr>
          <w:rFonts w:hint="eastAsia" w:ascii="宋体" w:hAnsi="宋体"/>
          <w:szCs w:val="21"/>
        </w:rPr>
      </w:pPr>
      <w:r>
        <w:rPr>
          <w:rFonts w:hint="eastAsia" w:ascii="宋体" w:hAnsi="宋体"/>
          <w:bCs/>
          <w:szCs w:val="21"/>
          <w:lang w:val="en-US" w:eastAsia="zh-CN"/>
        </w:rPr>
        <w:t>3</w:t>
      </w:r>
      <w:r>
        <w:rPr>
          <w:rFonts w:hint="eastAsia" w:ascii="宋体" w:hAnsi="宋体"/>
          <w:bCs/>
          <w:szCs w:val="21"/>
        </w:rPr>
        <w:t>、经</w:t>
      </w:r>
      <w:r>
        <w:rPr>
          <w:rFonts w:hint="eastAsia" w:ascii="宋体" w:hAnsi="宋体"/>
          <w:szCs w:val="21"/>
        </w:rPr>
        <w:t>双方签字确认后的</w:t>
      </w:r>
      <w:r>
        <w:rPr>
          <w:rFonts w:hint="eastAsia" w:ascii="宋体" w:hAnsi="宋体"/>
          <w:bCs/>
          <w:szCs w:val="21"/>
        </w:rPr>
        <w:t>合同及合同附件的传真件亦视为有效合同。</w:t>
      </w:r>
    </w:p>
    <w:p w14:paraId="600C42DA">
      <w:pPr>
        <w:adjustRightInd w:val="0"/>
        <w:snapToGrid w:val="0"/>
        <w:spacing w:line="360" w:lineRule="auto"/>
        <w:ind w:firstLine="840" w:firstLineChars="400"/>
        <w:rPr>
          <w:rFonts w:hint="eastAsia" w:ascii="宋体" w:hAnsi="宋体"/>
          <w:szCs w:val="21"/>
        </w:rPr>
      </w:pPr>
      <w:r>
        <w:rPr>
          <w:rFonts w:hint="eastAsia" w:ascii="宋体" w:hAnsi="宋体"/>
          <w:szCs w:val="21"/>
        </w:rPr>
        <w:t>附件：</w:t>
      </w:r>
    </w:p>
    <w:p w14:paraId="77AD1508">
      <w:pPr>
        <w:adjustRightInd w:val="0"/>
        <w:snapToGrid w:val="0"/>
        <w:spacing w:line="360" w:lineRule="auto"/>
        <w:ind w:firstLine="840" w:firstLineChars="400"/>
        <w:rPr>
          <w:rFonts w:hint="eastAsia" w:ascii="宋体" w:hAnsi="宋体" w:eastAsia="宋体" w:cs="Times New Roman"/>
          <w:szCs w:val="21"/>
        </w:rPr>
      </w:pPr>
      <w:r>
        <w:rPr>
          <w:rFonts w:hint="eastAsia" w:ascii="宋体" w:hAnsi="宋体"/>
          <w:szCs w:val="21"/>
          <w:lang w:val="en-US" w:eastAsia="zh-CN"/>
        </w:rPr>
        <w:t>附件一、</w:t>
      </w:r>
      <w:r>
        <w:rPr>
          <w:rFonts w:hint="eastAsia" w:ascii="宋体" w:hAnsi="宋体"/>
          <w:szCs w:val="21"/>
          <w:lang w:eastAsia="zh-CN"/>
        </w:rPr>
        <w:t>《阳朔项目202</w:t>
      </w:r>
      <w:r>
        <w:rPr>
          <w:rFonts w:hint="eastAsia" w:ascii="宋体" w:hAnsi="宋体"/>
          <w:szCs w:val="21"/>
          <w:lang w:val="en-US" w:eastAsia="zh-CN"/>
        </w:rPr>
        <w:t>5</w:t>
      </w:r>
      <w:r>
        <w:rPr>
          <w:rFonts w:hint="eastAsia" w:ascii="宋体" w:hAnsi="宋体"/>
          <w:szCs w:val="21"/>
          <w:lang w:eastAsia="zh-CN"/>
        </w:rPr>
        <w:t>年化学实验室仪器校准技术规范书》</w:t>
      </w:r>
      <w:r>
        <w:rPr>
          <w:rFonts w:hint="eastAsia" w:ascii="宋体" w:hAnsi="宋体" w:eastAsia="宋体" w:cs="Times New Roman"/>
          <w:szCs w:val="21"/>
        </w:rPr>
        <w:t xml:space="preserve"> </w:t>
      </w:r>
    </w:p>
    <w:p w14:paraId="6F334FE1">
      <w:pPr>
        <w:adjustRightInd w:val="0"/>
        <w:snapToGrid w:val="0"/>
        <w:spacing w:line="360" w:lineRule="auto"/>
        <w:ind w:firstLine="840" w:firstLineChars="40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附件二、《</w:t>
      </w:r>
      <w:r>
        <w:rPr>
          <w:rFonts w:hint="eastAsia" w:ascii="宋体" w:hAnsi="宋体"/>
          <w:szCs w:val="21"/>
          <w:lang w:val="en-US" w:eastAsia="zh-CN"/>
        </w:rPr>
        <w:t>单项报价表</w:t>
      </w:r>
      <w:r>
        <w:rPr>
          <w:rFonts w:hint="eastAsia" w:ascii="宋体" w:hAnsi="宋体" w:eastAsia="宋体" w:cs="Times New Roman"/>
          <w:szCs w:val="21"/>
          <w:lang w:val="en-US" w:eastAsia="zh-CN"/>
        </w:rPr>
        <w:t>》</w:t>
      </w:r>
    </w:p>
    <w:p w14:paraId="48620751">
      <w:pPr>
        <w:adjustRightInd w:val="0"/>
        <w:snapToGrid w:val="0"/>
        <w:spacing w:line="360" w:lineRule="auto"/>
        <w:ind w:firstLine="840" w:firstLineChars="400"/>
        <w:rPr>
          <w:rFonts w:hint="eastAsia" w:ascii="宋体" w:hAnsi="宋体"/>
          <w:szCs w:val="21"/>
        </w:rPr>
      </w:pPr>
      <w:r>
        <w:rPr>
          <w:rFonts w:hint="eastAsia" w:ascii="宋体" w:hAnsi="宋体" w:eastAsia="宋体" w:cs="Times New Roman"/>
          <w:szCs w:val="21"/>
          <w:lang w:val="en-US" w:eastAsia="zh-CN"/>
        </w:rPr>
        <w:t>附件三、《安健环协议》</w:t>
      </w:r>
      <w:r>
        <w:rPr>
          <w:rFonts w:hint="eastAsia" w:ascii="宋体" w:hAnsi="宋体" w:eastAsia="宋体" w:cs="Times New Roman"/>
          <w:szCs w:val="21"/>
        </w:rPr>
        <w:t xml:space="preserve">        </w:t>
      </w:r>
    </w:p>
    <w:tbl>
      <w:tblPr>
        <w:tblStyle w:val="8"/>
        <w:tblpPr w:leftFromText="180" w:rightFromText="180" w:vertAnchor="text" w:horzAnchor="page" w:tblpX="1002" w:tblpY="11"/>
        <w:tblOverlap w:val="never"/>
        <w:tblW w:w="0" w:type="auto"/>
        <w:tblInd w:w="0" w:type="dxa"/>
        <w:tblLayout w:type="fixed"/>
        <w:tblCellMar>
          <w:top w:w="0" w:type="dxa"/>
          <w:left w:w="108" w:type="dxa"/>
          <w:bottom w:w="0" w:type="dxa"/>
          <w:right w:w="108" w:type="dxa"/>
        </w:tblCellMar>
      </w:tblPr>
      <w:tblGrid>
        <w:gridCol w:w="1886"/>
        <w:gridCol w:w="2880"/>
        <w:gridCol w:w="2052"/>
        <w:gridCol w:w="3442"/>
      </w:tblGrid>
      <w:tr w14:paraId="738909B0">
        <w:tblPrEx>
          <w:tblCellMar>
            <w:top w:w="0" w:type="dxa"/>
            <w:left w:w="108" w:type="dxa"/>
            <w:bottom w:w="0" w:type="dxa"/>
            <w:right w:w="108" w:type="dxa"/>
          </w:tblCellMar>
        </w:tblPrEx>
        <w:trPr>
          <w:trHeight w:val="684" w:hRule="atLeast"/>
        </w:trPr>
        <w:tc>
          <w:tcPr>
            <w:tcW w:w="1886" w:type="dxa"/>
            <w:noWrap w:val="0"/>
            <w:vAlign w:val="center"/>
          </w:tcPr>
          <w:p w14:paraId="65B051C2">
            <w:pPr>
              <w:spacing w:line="360" w:lineRule="auto"/>
              <w:rPr>
                <w:rFonts w:hint="default" w:ascii="Verdana" w:hAnsi="Verdana" w:eastAsia="宋体" w:cs="Arial"/>
                <w:szCs w:val="21"/>
                <w:lang w:val="en-US" w:eastAsia="zh-CN"/>
              </w:rPr>
            </w:pPr>
            <w:r>
              <w:rPr>
                <w:rFonts w:hint="eastAsia" w:ascii="宋体" w:hAnsi="宋体"/>
                <w:szCs w:val="21"/>
              </w:rPr>
              <w:t>甲方(盖章):</w:t>
            </w:r>
          </w:p>
        </w:tc>
        <w:tc>
          <w:tcPr>
            <w:tcW w:w="2880" w:type="dxa"/>
            <w:noWrap w:val="0"/>
            <w:vAlign w:val="center"/>
          </w:tcPr>
          <w:p w14:paraId="2AC31E04">
            <w:pPr>
              <w:spacing w:line="360" w:lineRule="auto"/>
              <w:rPr>
                <w:rFonts w:hint="eastAsia" w:ascii="Verdana" w:hAnsi="Verdana" w:eastAsia="汉仪综艺体简" w:cs="Arial"/>
                <w:szCs w:val="21"/>
              </w:rPr>
            </w:pPr>
            <w:r>
              <w:rPr>
                <w:rFonts w:hint="eastAsia" w:ascii="宋体" w:hAnsi="宋体"/>
                <w:szCs w:val="21"/>
                <w:lang w:val="en-US" w:eastAsia="zh-CN"/>
              </w:rPr>
              <w:t>阳朔县深能环保有限公司</w:t>
            </w:r>
          </w:p>
        </w:tc>
        <w:tc>
          <w:tcPr>
            <w:tcW w:w="2052" w:type="dxa"/>
            <w:noWrap w:val="0"/>
            <w:vAlign w:val="center"/>
          </w:tcPr>
          <w:p w14:paraId="39D57BE9">
            <w:pPr>
              <w:spacing w:line="360" w:lineRule="auto"/>
              <w:rPr>
                <w:rFonts w:ascii="Verdana" w:hAnsi="Verdana" w:eastAsia="汉仪综艺体简" w:cs="Arial"/>
                <w:szCs w:val="21"/>
              </w:rPr>
            </w:pPr>
            <w:r>
              <w:rPr>
                <w:rFonts w:hint="eastAsia" w:ascii="宋体" w:hAnsi="宋体"/>
                <w:szCs w:val="21"/>
              </w:rPr>
              <w:t>乙方(盖章):</w:t>
            </w:r>
          </w:p>
        </w:tc>
        <w:tc>
          <w:tcPr>
            <w:tcW w:w="3442" w:type="dxa"/>
            <w:noWrap w:val="0"/>
            <w:vAlign w:val="center"/>
          </w:tcPr>
          <w:p w14:paraId="42EA4BA2">
            <w:pPr>
              <w:spacing w:line="360" w:lineRule="auto"/>
              <w:rPr>
                <w:rFonts w:hint="eastAsia" w:ascii="宋体" w:hAnsi="宋体" w:eastAsia="宋体"/>
                <w:szCs w:val="21"/>
                <w:lang w:eastAsia="zh-CN"/>
              </w:rPr>
            </w:pPr>
            <w:r>
              <w:rPr>
                <w:rFonts w:hint="eastAsia" w:ascii="宋体" w:hAnsi="宋体"/>
                <w:szCs w:val="21"/>
                <w:lang w:val="en-US" w:eastAsia="zh-CN"/>
              </w:rPr>
              <w:t xml:space="preserve"> 长沙华维检测技术有限公司</w:t>
            </w:r>
          </w:p>
        </w:tc>
      </w:tr>
      <w:tr w14:paraId="57DD5B02">
        <w:tblPrEx>
          <w:tblCellMar>
            <w:top w:w="0" w:type="dxa"/>
            <w:left w:w="108" w:type="dxa"/>
            <w:bottom w:w="0" w:type="dxa"/>
            <w:right w:w="108" w:type="dxa"/>
          </w:tblCellMar>
        </w:tblPrEx>
        <w:trPr>
          <w:trHeight w:val="1068" w:hRule="atLeast"/>
        </w:trPr>
        <w:tc>
          <w:tcPr>
            <w:tcW w:w="1886" w:type="dxa"/>
            <w:noWrap w:val="0"/>
            <w:vAlign w:val="center"/>
          </w:tcPr>
          <w:p w14:paraId="04D00926">
            <w:pPr>
              <w:spacing w:line="360" w:lineRule="auto"/>
              <w:rPr>
                <w:rFonts w:ascii="宋体" w:hAnsi="宋体" w:eastAsia="宋体" w:cs="Arial"/>
                <w:szCs w:val="21"/>
              </w:rPr>
            </w:pPr>
            <w:r>
              <w:rPr>
                <w:rFonts w:hint="eastAsia" w:ascii="宋体" w:hAnsi="宋体" w:eastAsia="宋体" w:cs="Arial"/>
                <w:szCs w:val="21"/>
              </w:rPr>
              <w:t>法定代表人或授权委托人(签字)</w:t>
            </w:r>
            <w:r>
              <w:rPr>
                <w:rFonts w:ascii="宋体" w:hAnsi="宋体" w:eastAsia="宋体" w:cs="Arial"/>
                <w:szCs w:val="21"/>
              </w:rPr>
              <w:t>：</w:t>
            </w:r>
          </w:p>
        </w:tc>
        <w:tc>
          <w:tcPr>
            <w:tcW w:w="2880" w:type="dxa"/>
            <w:noWrap w:val="0"/>
            <w:vAlign w:val="center"/>
          </w:tcPr>
          <w:p w14:paraId="49ADB487">
            <w:pPr>
              <w:spacing w:line="360" w:lineRule="auto"/>
              <w:rPr>
                <w:rFonts w:hint="eastAsia" w:ascii="宋体" w:hAnsi="宋体" w:eastAsia="宋体" w:cs="Arial"/>
                <w:szCs w:val="21"/>
              </w:rPr>
            </w:pPr>
          </w:p>
        </w:tc>
        <w:tc>
          <w:tcPr>
            <w:tcW w:w="2052" w:type="dxa"/>
            <w:noWrap w:val="0"/>
            <w:vAlign w:val="center"/>
          </w:tcPr>
          <w:p w14:paraId="4B9378AF">
            <w:pPr>
              <w:spacing w:line="360" w:lineRule="auto"/>
              <w:rPr>
                <w:rFonts w:ascii="宋体" w:hAnsi="宋体" w:cs="Arial"/>
                <w:szCs w:val="21"/>
              </w:rPr>
            </w:pPr>
            <w:r>
              <w:rPr>
                <w:rFonts w:hint="eastAsia" w:ascii="宋体" w:hAnsi="宋体" w:cs="Arial"/>
                <w:szCs w:val="21"/>
              </w:rPr>
              <w:t>法定代表人或授权委托人(签字)</w:t>
            </w:r>
            <w:r>
              <w:rPr>
                <w:rFonts w:ascii="宋体" w:hAnsi="宋体" w:cs="Arial"/>
                <w:szCs w:val="21"/>
              </w:rPr>
              <w:t>：</w:t>
            </w:r>
          </w:p>
        </w:tc>
        <w:tc>
          <w:tcPr>
            <w:tcW w:w="3442" w:type="dxa"/>
            <w:noWrap w:val="0"/>
            <w:vAlign w:val="center"/>
          </w:tcPr>
          <w:p w14:paraId="2891B9F5">
            <w:pPr>
              <w:spacing w:line="360" w:lineRule="auto"/>
              <w:rPr>
                <w:rFonts w:hint="eastAsia" w:ascii="Verdana" w:hAnsi="Verdana" w:cs="Arial"/>
                <w:szCs w:val="21"/>
              </w:rPr>
            </w:pPr>
          </w:p>
        </w:tc>
      </w:tr>
      <w:tr w14:paraId="48C0B7B5">
        <w:tblPrEx>
          <w:tblCellMar>
            <w:top w:w="0" w:type="dxa"/>
            <w:left w:w="108" w:type="dxa"/>
            <w:bottom w:w="0" w:type="dxa"/>
            <w:right w:w="108" w:type="dxa"/>
          </w:tblCellMar>
        </w:tblPrEx>
        <w:trPr>
          <w:trHeight w:val="112" w:hRule="atLeast"/>
        </w:trPr>
        <w:tc>
          <w:tcPr>
            <w:tcW w:w="4766" w:type="dxa"/>
            <w:gridSpan w:val="2"/>
            <w:noWrap w:val="0"/>
            <w:vAlign w:val="top"/>
          </w:tcPr>
          <w:p w14:paraId="1F476B40">
            <w:pPr>
              <w:spacing w:line="360" w:lineRule="auto"/>
              <w:rPr>
                <w:rFonts w:ascii="宋体" w:hAnsi="宋体" w:eastAsia="宋体" w:cs="Arial"/>
                <w:szCs w:val="21"/>
              </w:rPr>
            </w:pPr>
            <w:r>
              <w:rPr>
                <w:rFonts w:ascii="宋体" w:hAnsi="宋体" w:eastAsia="宋体" w:cs="Arial"/>
                <w:szCs w:val="21"/>
              </w:rPr>
              <w:t>日</w:t>
            </w:r>
            <w:r>
              <w:rPr>
                <w:rFonts w:hint="eastAsia" w:ascii="宋体" w:hAnsi="宋体" w:eastAsia="宋体" w:cs="Arial"/>
                <w:szCs w:val="21"/>
              </w:rPr>
              <w:t xml:space="preserve">     </w:t>
            </w:r>
            <w:r>
              <w:rPr>
                <w:rFonts w:ascii="宋体" w:hAnsi="宋体" w:eastAsia="宋体" w:cs="Arial"/>
                <w:szCs w:val="21"/>
              </w:rPr>
              <w:t>期：</w:t>
            </w:r>
            <w:r>
              <w:rPr>
                <w:rFonts w:hint="eastAsia" w:ascii="宋体" w:hAnsi="宋体" w:eastAsia="宋体" w:cs="Arial"/>
                <w:szCs w:val="21"/>
              </w:rPr>
              <w:t xml:space="preserve">     </w:t>
            </w:r>
            <w:r>
              <w:rPr>
                <w:rFonts w:ascii="宋体" w:hAnsi="宋体" w:eastAsia="宋体" w:cs="Arial"/>
                <w:szCs w:val="21"/>
              </w:rPr>
              <w:t>年</w:t>
            </w:r>
            <w:r>
              <w:rPr>
                <w:rFonts w:hint="eastAsia" w:ascii="宋体" w:hAnsi="宋体" w:eastAsia="宋体" w:cs="Arial"/>
                <w:szCs w:val="21"/>
              </w:rPr>
              <w:t xml:space="preserve">    </w:t>
            </w:r>
            <w:r>
              <w:rPr>
                <w:rFonts w:ascii="宋体" w:hAnsi="宋体" w:eastAsia="宋体" w:cs="Arial"/>
                <w:szCs w:val="21"/>
              </w:rPr>
              <w:t xml:space="preserve">月 </w:t>
            </w:r>
            <w:r>
              <w:rPr>
                <w:rFonts w:hint="eastAsia" w:ascii="宋体" w:hAnsi="宋体" w:eastAsia="宋体" w:cs="Arial"/>
                <w:szCs w:val="21"/>
              </w:rPr>
              <w:t xml:space="preserve">   </w:t>
            </w:r>
            <w:r>
              <w:rPr>
                <w:rFonts w:ascii="宋体" w:hAnsi="宋体" w:eastAsia="宋体" w:cs="Arial"/>
                <w:szCs w:val="21"/>
              </w:rPr>
              <w:t>日</w:t>
            </w:r>
          </w:p>
        </w:tc>
        <w:tc>
          <w:tcPr>
            <w:tcW w:w="5494" w:type="dxa"/>
            <w:gridSpan w:val="2"/>
            <w:noWrap w:val="0"/>
            <w:vAlign w:val="top"/>
          </w:tcPr>
          <w:p w14:paraId="63D10C53">
            <w:pPr>
              <w:spacing w:line="360" w:lineRule="auto"/>
              <w:rPr>
                <w:rFonts w:ascii="Verdana" w:hAnsi="Verdana" w:cs="Arial"/>
                <w:szCs w:val="21"/>
              </w:rPr>
            </w:pPr>
            <w:r>
              <w:rPr>
                <w:rFonts w:ascii="Verdana" w:hAnsi="Verdana" w:cs="Arial"/>
                <w:szCs w:val="21"/>
              </w:rPr>
              <w:t>日</w:t>
            </w:r>
            <w:r>
              <w:rPr>
                <w:rFonts w:hint="eastAsia" w:ascii="Verdana" w:hAnsi="Verdana" w:cs="Arial"/>
                <w:szCs w:val="21"/>
              </w:rPr>
              <w:t xml:space="preserve">     </w:t>
            </w:r>
            <w:r>
              <w:rPr>
                <w:rFonts w:ascii="Verdana" w:hAnsi="Verdana" w:cs="Arial"/>
                <w:szCs w:val="21"/>
              </w:rPr>
              <w:t>期：</w:t>
            </w:r>
            <w:r>
              <w:rPr>
                <w:rFonts w:hint="eastAsia" w:ascii="Verdana" w:hAnsi="Verdana" w:cs="Arial"/>
                <w:szCs w:val="21"/>
              </w:rPr>
              <w:t xml:space="preserve">    年     月    日</w:t>
            </w:r>
          </w:p>
        </w:tc>
      </w:tr>
    </w:tbl>
    <w:p w14:paraId="6899DB70">
      <w:pPr>
        <w:spacing w:line="340" w:lineRule="exact"/>
        <w:sectPr>
          <w:footerReference r:id="rId5" w:type="default"/>
          <w:pgSz w:w="11906" w:h="16838"/>
          <w:pgMar w:top="1440" w:right="748" w:bottom="623" w:left="902" w:header="454" w:footer="533" w:gutter="0"/>
          <w:pgNumType w:fmt="decimal"/>
          <w:cols w:space="720" w:num="1"/>
          <w:docGrid w:type="lines" w:linePitch="312" w:charSpace="0"/>
        </w:sectPr>
      </w:pPr>
    </w:p>
    <w:p w14:paraId="07E8DF88">
      <w:pPr>
        <w:spacing w:line="360" w:lineRule="auto"/>
        <w:jc w:val="both"/>
        <w:rPr>
          <w:rFonts w:hint="eastAsia" w:ascii="宋体" w:hAnsi="宋体"/>
          <w:sz w:val="28"/>
          <w:szCs w:val="28"/>
          <w:lang w:val="en-US" w:eastAsia="zh-CN"/>
        </w:rPr>
      </w:pPr>
      <w:r>
        <w:rPr>
          <w:rFonts w:hint="eastAsia" w:ascii="宋体" w:hAnsi="宋体"/>
          <w:sz w:val="28"/>
          <w:szCs w:val="28"/>
        </w:rPr>
        <w:t>附件</w:t>
      </w:r>
      <w:r>
        <w:rPr>
          <w:rFonts w:hint="eastAsia" w:ascii="宋体" w:hAnsi="宋体"/>
          <w:sz w:val="28"/>
          <w:szCs w:val="28"/>
          <w:lang w:val="en-US" w:eastAsia="zh-CN"/>
        </w:rPr>
        <w:t>一</w:t>
      </w:r>
    </w:p>
    <w:p w14:paraId="1B7004D2">
      <w:pPr>
        <w:spacing w:line="360" w:lineRule="auto"/>
        <w:jc w:val="center"/>
        <w:rPr>
          <w:rFonts w:hint="default"/>
          <w:b/>
          <w:bCs/>
          <w:sz w:val="52"/>
          <w:szCs w:val="52"/>
          <w:lang w:val="en-US" w:eastAsia="zh-CN"/>
        </w:rPr>
      </w:pPr>
      <w:r>
        <w:rPr>
          <w:rFonts w:hint="eastAsia"/>
          <w:b/>
          <w:bCs/>
          <w:sz w:val="52"/>
          <w:szCs w:val="52"/>
          <w:lang w:val="en-US" w:eastAsia="zh-CN"/>
        </w:rPr>
        <w:t>阳朔县深能环保有限公司2025年</w:t>
      </w:r>
    </w:p>
    <w:p w14:paraId="6988EA19">
      <w:pPr>
        <w:spacing w:line="360" w:lineRule="auto"/>
        <w:jc w:val="center"/>
        <w:rPr>
          <w:rFonts w:hint="eastAsia"/>
          <w:b/>
          <w:bCs/>
          <w:sz w:val="52"/>
          <w:szCs w:val="52"/>
          <w:lang w:val="en-US" w:eastAsia="zh-CN"/>
        </w:rPr>
      </w:pPr>
      <w:r>
        <w:rPr>
          <w:rFonts w:hint="eastAsia"/>
          <w:b/>
          <w:bCs/>
          <w:sz w:val="52"/>
          <w:szCs w:val="52"/>
          <w:lang w:val="en-US" w:eastAsia="zh-CN"/>
        </w:rPr>
        <w:t>化学实验室仪器校准</w:t>
      </w:r>
    </w:p>
    <w:p w14:paraId="3304CEEE">
      <w:pPr>
        <w:spacing w:line="360" w:lineRule="auto"/>
        <w:jc w:val="center"/>
        <w:rPr>
          <w:rFonts w:hint="eastAsia"/>
          <w:b/>
          <w:bCs/>
          <w:sz w:val="52"/>
          <w:szCs w:val="52"/>
          <w:lang w:val="en-US" w:eastAsia="zh-CN"/>
        </w:rPr>
      </w:pPr>
      <w:r>
        <w:rPr>
          <w:rFonts w:hint="eastAsia"/>
          <w:b/>
          <w:bCs/>
          <w:sz w:val="52"/>
          <w:szCs w:val="52"/>
          <w:lang w:val="en-US" w:eastAsia="zh-CN"/>
        </w:rPr>
        <w:t>技</w:t>
      </w:r>
    </w:p>
    <w:p w14:paraId="3F1177DA">
      <w:pPr>
        <w:spacing w:line="360" w:lineRule="auto"/>
        <w:jc w:val="center"/>
        <w:rPr>
          <w:rFonts w:hint="eastAsia"/>
          <w:b/>
          <w:bCs/>
          <w:sz w:val="52"/>
          <w:szCs w:val="52"/>
          <w:lang w:val="en-US" w:eastAsia="zh-CN"/>
        </w:rPr>
      </w:pPr>
      <w:r>
        <w:rPr>
          <w:rFonts w:hint="eastAsia"/>
          <w:b/>
          <w:bCs/>
          <w:sz w:val="52"/>
          <w:szCs w:val="52"/>
          <w:lang w:val="en-US" w:eastAsia="zh-CN"/>
        </w:rPr>
        <w:t>术</w:t>
      </w:r>
    </w:p>
    <w:p w14:paraId="00B5245E">
      <w:pPr>
        <w:spacing w:line="360" w:lineRule="auto"/>
        <w:jc w:val="center"/>
        <w:rPr>
          <w:rFonts w:hint="eastAsia"/>
          <w:b/>
          <w:bCs/>
          <w:sz w:val="52"/>
          <w:szCs w:val="52"/>
          <w:lang w:val="en-US" w:eastAsia="zh-CN"/>
        </w:rPr>
      </w:pPr>
      <w:r>
        <w:rPr>
          <w:rFonts w:hint="eastAsia"/>
          <w:b/>
          <w:bCs/>
          <w:sz w:val="52"/>
          <w:szCs w:val="52"/>
          <w:lang w:val="en-US" w:eastAsia="zh-CN"/>
        </w:rPr>
        <w:t>规</w:t>
      </w:r>
    </w:p>
    <w:p w14:paraId="63EB8011">
      <w:pPr>
        <w:spacing w:line="360" w:lineRule="auto"/>
        <w:jc w:val="center"/>
        <w:rPr>
          <w:rFonts w:hint="eastAsia"/>
          <w:b/>
          <w:bCs/>
          <w:sz w:val="52"/>
          <w:szCs w:val="52"/>
          <w:lang w:val="en-US" w:eastAsia="zh-CN"/>
        </w:rPr>
      </w:pPr>
      <w:r>
        <w:rPr>
          <w:rFonts w:hint="eastAsia"/>
          <w:b/>
          <w:bCs/>
          <w:sz w:val="52"/>
          <w:szCs w:val="52"/>
          <w:lang w:val="en-US" w:eastAsia="zh-CN"/>
        </w:rPr>
        <w:t>范</w:t>
      </w:r>
    </w:p>
    <w:p w14:paraId="753C58C9">
      <w:pPr>
        <w:spacing w:line="360" w:lineRule="auto"/>
        <w:jc w:val="center"/>
        <w:rPr>
          <w:rFonts w:hint="eastAsia"/>
          <w:b/>
          <w:bCs/>
          <w:sz w:val="52"/>
          <w:szCs w:val="52"/>
          <w:lang w:val="en-US" w:eastAsia="zh-CN"/>
        </w:rPr>
      </w:pPr>
      <w:r>
        <w:rPr>
          <w:rFonts w:hint="eastAsia"/>
          <w:b/>
          <w:bCs/>
          <w:sz w:val="52"/>
          <w:szCs w:val="52"/>
          <w:lang w:val="en-US" w:eastAsia="zh-CN"/>
        </w:rPr>
        <w:t>书</w:t>
      </w:r>
    </w:p>
    <w:p w14:paraId="0E0B1E2D">
      <w:pPr>
        <w:spacing w:line="360" w:lineRule="auto"/>
        <w:jc w:val="center"/>
        <w:rPr>
          <w:rFonts w:hint="eastAsia"/>
          <w:b/>
          <w:bCs/>
          <w:sz w:val="52"/>
          <w:szCs w:val="52"/>
          <w:lang w:val="en-US" w:eastAsia="zh-CN"/>
        </w:rPr>
      </w:pPr>
    </w:p>
    <w:p w14:paraId="288BEA90">
      <w:pPr>
        <w:spacing w:line="360" w:lineRule="auto"/>
        <w:jc w:val="center"/>
        <w:rPr>
          <w:rFonts w:hint="eastAsia"/>
          <w:b/>
          <w:bCs/>
          <w:sz w:val="52"/>
          <w:szCs w:val="52"/>
          <w:lang w:val="en-US" w:eastAsia="zh-CN"/>
        </w:rPr>
      </w:pPr>
    </w:p>
    <w:p w14:paraId="1C989876">
      <w:pPr>
        <w:spacing w:line="360" w:lineRule="auto"/>
        <w:jc w:val="center"/>
        <w:rPr>
          <w:rFonts w:hint="eastAsia"/>
          <w:b/>
          <w:bCs/>
          <w:sz w:val="52"/>
          <w:szCs w:val="52"/>
          <w:lang w:val="en-US" w:eastAsia="zh-CN"/>
        </w:rPr>
      </w:pPr>
    </w:p>
    <w:p w14:paraId="09B92D08">
      <w:pPr>
        <w:spacing w:line="360" w:lineRule="auto"/>
        <w:jc w:val="center"/>
        <w:rPr>
          <w:rFonts w:hint="eastAsia"/>
          <w:b/>
          <w:bCs/>
          <w:sz w:val="52"/>
          <w:szCs w:val="52"/>
          <w:lang w:val="en-US" w:eastAsia="zh-CN"/>
        </w:rPr>
      </w:pPr>
    </w:p>
    <w:p w14:paraId="160C9ACA">
      <w:pPr>
        <w:spacing w:line="360" w:lineRule="auto"/>
        <w:jc w:val="center"/>
        <w:rPr>
          <w:rFonts w:hint="eastAsia"/>
          <w:b/>
          <w:bCs/>
          <w:sz w:val="52"/>
          <w:szCs w:val="52"/>
          <w:lang w:val="en-US" w:eastAsia="zh-CN"/>
        </w:rPr>
      </w:pPr>
    </w:p>
    <w:p w14:paraId="3287D956">
      <w:pPr>
        <w:spacing w:line="360" w:lineRule="auto"/>
        <w:jc w:val="center"/>
        <w:rPr>
          <w:rFonts w:hint="eastAsia"/>
          <w:b/>
          <w:bCs/>
          <w:sz w:val="52"/>
          <w:szCs w:val="52"/>
          <w:lang w:val="en-US" w:eastAsia="zh-CN"/>
        </w:rPr>
      </w:pPr>
      <w:r>
        <w:rPr>
          <w:rFonts w:hint="eastAsia"/>
          <w:b w:val="0"/>
          <w:bCs w:val="0"/>
          <w:sz w:val="36"/>
          <w:szCs w:val="36"/>
          <w:lang w:val="en-US" w:eastAsia="zh-CN"/>
        </w:rPr>
        <w:t>2025年1月</w:t>
      </w:r>
    </w:p>
    <w:p w14:paraId="2B7D669C">
      <w:pPr>
        <w:spacing w:line="360" w:lineRule="auto"/>
        <w:jc w:val="center"/>
        <w:rPr>
          <w:rFonts w:hint="eastAsia"/>
          <w:b/>
          <w:bCs/>
          <w:sz w:val="52"/>
          <w:szCs w:val="52"/>
          <w:lang w:val="en-US" w:eastAsia="zh-CN"/>
        </w:rPr>
      </w:pPr>
    </w:p>
    <w:p w14:paraId="1E042BBD">
      <w:pPr>
        <w:pStyle w:val="2"/>
        <w:rPr>
          <w:rFonts w:hint="default" w:ascii="宋体" w:hAnsi="宋体" w:eastAsia="宋体" w:cs="仿宋_GB2312"/>
          <w:kern w:val="0"/>
          <w:sz w:val="24"/>
          <w:szCs w:val="24"/>
          <w:lang w:val="en-US" w:eastAsia="zh-CN"/>
        </w:rPr>
      </w:pPr>
      <w:bookmarkStart w:id="0" w:name="_Toc60672398"/>
      <w:r>
        <w:rPr>
          <w:rFonts w:hint="eastAsia" w:ascii="宋体" w:hAnsi="宋体" w:eastAsia="宋体" w:cs="仿宋_GB2312"/>
          <w:kern w:val="0"/>
          <w:sz w:val="24"/>
          <w:szCs w:val="24"/>
          <w:lang w:val="en-US" w:eastAsia="zh-CN"/>
        </w:rPr>
        <w:t>一、项目</w:t>
      </w:r>
      <w:bookmarkEnd w:id="0"/>
      <w:r>
        <w:rPr>
          <w:rFonts w:hint="eastAsia" w:ascii="宋体" w:hAnsi="宋体" w:eastAsia="宋体" w:cs="仿宋_GB2312"/>
          <w:kern w:val="0"/>
          <w:sz w:val="24"/>
          <w:szCs w:val="24"/>
          <w:lang w:val="en-US" w:eastAsia="zh-CN"/>
        </w:rPr>
        <w:t>简介</w:t>
      </w:r>
    </w:p>
    <w:p w14:paraId="10A2EC4B">
      <w:pPr>
        <w:autoSpaceDE w:val="0"/>
        <w:autoSpaceDN w:val="0"/>
        <w:adjustRightInd w:val="0"/>
        <w:spacing w:line="360" w:lineRule="auto"/>
        <w:ind w:right="-57" w:rightChars="-27" w:firstLine="460" w:firstLineChars="192"/>
        <w:jc w:val="left"/>
        <w:rPr>
          <w:rFonts w:hint="default" w:ascii="宋体" w:hAnsi="宋体" w:eastAsia="宋体" w:cs="仿宋_GB2312"/>
          <w:kern w:val="0"/>
          <w:sz w:val="24"/>
          <w:lang w:val="en-US" w:eastAsia="zh-CN"/>
        </w:rPr>
      </w:pPr>
      <w:r>
        <w:rPr>
          <w:rFonts w:hint="eastAsia" w:ascii="宋体" w:hAnsi="宋体" w:eastAsia="宋体" w:cs="仿宋_GB2312"/>
          <w:kern w:val="0"/>
          <w:sz w:val="24"/>
          <w:lang w:val="en-US" w:eastAsia="zh-CN"/>
        </w:rPr>
        <w:t>阳朔县深能环保有限公司化学实验室内各配备了一批实验仪器，根据公司技术监督考核要求，实验室仪器每年都须做仪器校准，以保证实验仪器测量数据的准确性，截至</w:t>
      </w:r>
      <w:r>
        <w:rPr>
          <w:rFonts w:hint="eastAsia" w:ascii="宋体" w:hAnsi="宋体" w:cs="仿宋_GB2312"/>
          <w:kern w:val="0"/>
          <w:sz w:val="24"/>
          <w:lang w:val="en-US" w:eastAsia="zh-CN"/>
        </w:rPr>
        <w:t>目前</w:t>
      </w:r>
      <w:r>
        <w:rPr>
          <w:rFonts w:hint="eastAsia" w:ascii="宋体" w:hAnsi="宋体" w:eastAsia="宋体" w:cs="仿宋_GB2312"/>
          <w:kern w:val="0"/>
          <w:sz w:val="24"/>
          <w:lang w:val="en-US" w:eastAsia="zh-CN"/>
        </w:rPr>
        <w:t>，化学化验室需校准仪器4</w:t>
      </w:r>
      <w:r>
        <w:rPr>
          <w:rFonts w:hint="eastAsia" w:ascii="宋体" w:hAnsi="宋体" w:cs="仿宋_GB2312"/>
          <w:kern w:val="0"/>
          <w:sz w:val="24"/>
          <w:lang w:val="en-US" w:eastAsia="zh-CN"/>
        </w:rPr>
        <w:t>7</w:t>
      </w:r>
      <w:r>
        <w:rPr>
          <w:rFonts w:hint="eastAsia" w:ascii="宋体" w:hAnsi="宋体" w:eastAsia="宋体" w:cs="仿宋_GB2312"/>
          <w:kern w:val="0"/>
          <w:sz w:val="24"/>
          <w:lang w:val="en-US" w:eastAsia="zh-CN"/>
        </w:rPr>
        <w:t>台。仪器检定需委托具有法定计量检定机构授权证书的单位，鉴定后出具检验报告或证书。</w:t>
      </w:r>
    </w:p>
    <w:p w14:paraId="735A7FC9">
      <w:pPr>
        <w:rPr>
          <w:rFonts w:hint="eastAsia"/>
          <w:lang w:val="en-US" w:eastAsia="zh-CN"/>
        </w:rPr>
      </w:pPr>
    </w:p>
    <w:p w14:paraId="2FBBDF5E">
      <w:pPr>
        <w:pStyle w:val="2"/>
        <w:rPr>
          <w:rFonts w:hint="eastAsia" w:ascii="宋体" w:hAnsi="宋体" w:eastAsia="宋体" w:cs="宋体"/>
          <w:sz w:val="24"/>
          <w:szCs w:val="24"/>
        </w:rPr>
      </w:pPr>
      <w:bookmarkStart w:id="1" w:name="_Toc130727749"/>
      <w:bookmarkEnd w:id="1"/>
      <w:bookmarkStart w:id="2" w:name="_Toc130727921"/>
      <w:bookmarkEnd w:id="2"/>
      <w:bookmarkStart w:id="3" w:name="_Toc130738507"/>
      <w:bookmarkEnd w:id="3"/>
      <w:bookmarkStart w:id="4" w:name="_Toc130738188"/>
      <w:bookmarkEnd w:id="4"/>
      <w:bookmarkStart w:id="5" w:name="_Toc60672399"/>
      <w:r>
        <w:rPr>
          <w:rFonts w:hint="eastAsia" w:ascii="宋体" w:hAnsi="宋体" w:eastAsia="宋体" w:cs="宋体"/>
          <w:sz w:val="24"/>
          <w:szCs w:val="24"/>
        </w:rPr>
        <w:t>二、检测鉴定依据</w:t>
      </w:r>
      <w:bookmarkEnd w:id="5"/>
    </w:p>
    <w:p w14:paraId="23CCF1BE">
      <w:pPr>
        <w:pStyle w:val="3"/>
        <w:ind w:left="0" w:leftChars="0" w:firstLine="0" w:firstLineChars="0"/>
        <w:rPr>
          <w:rFonts w:hint="eastAsia" w:hAnsi="宋体"/>
          <w:sz w:val="24"/>
          <w:szCs w:val="24"/>
        </w:rPr>
      </w:pPr>
      <w:r>
        <w:rPr>
          <w:rFonts w:hint="eastAsia" w:hAnsi="宋体"/>
          <w:sz w:val="24"/>
          <w:szCs w:val="24"/>
        </w:rPr>
        <w:t>对</w:t>
      </w:r>
      <w:r>
        <w:rPr>
          <w:rFonts w:hint="eastAsia" w:hAnsi="宋体"/>
          <w:sz w:val="24"/>
          <w:szCs w:val="24"/>
          <w:lang w:val="en-US" w:eastAsia="zh-CN"/>
        </w:rPr>
        <w:t>计量仪器</w:t>
      </w:r>
      <w:r>
        <w:rPr>
          <w:rFonts w:hint="eastAsia" w:hAnsi="宋体"/>
          <w:sz w:val="24"/>
          <w:szCs w:val="24"/>
        </w:rPr>
        <w:t>的检测</w:t>
      </w:r>
      <w:r>
        <w:rPr>
          <w:rFonts w:hint="eastAsia" w:hAnsi="宋体"/>
          <w:sz w:val="24"/>
          <w:szCs w:val="24"/>
          <w:lang w:val="en-US" w:eastAsia="zh-CN"/>
        </w:rPr>
        <w:t>校准主要</w:t>
      </w:r>
      <w:r>
        <w:rPr>
          <w:rFonts w:hint="eastAsia" w:hAnsi="宋体"/>
          <w:sz w:val="24"/>
          <w:szCs w:val="24"/>
        </w:rPr>
        <w:t>以下标准进行：</w:t>
      </w:r>
    </w:p>
    <w:p w14:paraId="439842A7">
      <w:pPr>
        <w:pStyle w:val="3"/>
        <w:ind w:left="0" w:leftChars="0" w:firstLine="0" w:firstLineChars="0"/>
        <w:rPr>
          <w:rFonts w:hint="eastAsia" w:hAnsi="宋体"/>
          <w:sz w:val="24"/>
          <w:szCs w:val="24"/>
          <w:lang w:val="en-US" w:eastAsia="zh-CN"/>
        </w:rPr>
      </w:pPr>
      <w:r>
        <w:rPr>
          <w:rFonts w:hint="eastAsia" w:hAnsi="宋体"/>
          <w:sz w:val="24"/>
          <w:szCs w:val="24"/>
          <w:lang w:val="en-US" w:eastAsia="zh-CN"/>
        </w:rPr>
        <w:t>《实验室pH（酸度）计检定规程》（JJG 119-2018）；</w:t>
      </w:r>
    </w:p>
    <w:p w14:paraId="3029C017">
      <w:pPr>
        <w:pStyle w:val="3"/>
        <w:ind w:left="0" w:leftChars="0" w:firstLine="0" w:firstLineChars="0"/>
        <w:rPr>
          <w:rFonts w:hint="eastAsia" w:hAnsi="宋体"/>
          <w:sz w:val="24"/>
          <w:szCs w:val="24"/>
          <w:lang w:val="en-US" w:eastAsia="zh-CN"/>
        </w:rPr>
      </w:pPr>
      <w:r>
        <w:rPr>
          <w:rFonts w:hint="eastAsia" w:hAnsi="宋体"/>
          <w:sz w:val="24"/>
          <w:szCs w:val="24"/>
          <w:lang w:val="en-US" w:eastAsia="zh-CN"/>
        </w:rPr>
        <w:t>《原子吸收分光光度计检定规程》（JJG 694-2009）；</w:t>
      </w:r>
    </w:p>
    <w:p w14:paraId="65FB6A6A">
      <w:pPr>
        <w:pStyle w:val="3"/>
        <w:ind w:left="0" w:leftChars="0" w:firstLine="0" w:firstLineChars="0"/>
        <w:rPr>
          <w:rFonts w:hint="eastAsia" w:hAnsi="宋体"/>
          <w:sz w:val="24"/>
          <w:szCs w:val="24"/>
          <w:lang w:val="en-US" w:eastAsia="zh-CN"/>
        </w:rPr>
      </w:pPr>
      <w:r>
        <w:rPr>
          <w:rFonts w:hint="eastAsia" w:hAnsi="宋体"/>
          <w:sz w:val="24"/>
          <w:szCs w:val="24"/>
          <w:lang w:val="en-US" w:eastAsia="zh-CN"/>
        </w:rPr>
        <w:t>《化学需氧量（COD）测定仪检定规程》（JJG975-2002）；</w:t>
      </w:r>
    </w:p>
    <w:p w14:paraId="1EEC2413">
      <w:pPr>
        <w:pStyle w:val="3"/>
        <w:ind w:left="0" w:leftChars="0" w:firstLine="0" w:firstLineChars="0"/>
        <w:rPr>
          <w:rFonts w:hint="eastAsia" w:hAnsi="宋体"/>
          <w:sz w:val="24"/>
          <w:szCs w:val="24"/>
        </w:rPr>
      </w:pPr>
      <w:r>
        <w:rPr>
          <w:rFonts w:hint="eastAsia" w:hAnsi="宋体"/>
          <w:sz w:val="24"/>
          <w:szCs w:val="24"/>
          <w:lang w:val="en-US" w:eastAsia="zh-CN"/>
        </w:rPr>
        <w:t>《浊度计检定规程》（JJG 880-2006）；</w:t>
      </w:r>
    </w:p>
    <w:p w14:paraId="3737D709">
      <w:pPr>
        <w:pStyle w:val="3"/>
        <w:ind w:left="0" w:leftChars="0" w:firstLine="0" w:firstLineChars="0"/>
        <w:rPr>
          <w:rFonts w:hint="eastAsia" w:hAnsi="宋体"/>
          <w:sz w:val="24"/>
          <w:szCs w:val="24"/>
        </w:rPr>
      </w:pPr>
      <w:r>
        <w:rPr>
          <w:rFonts w:hint="eastAsia" w:hAnsi="宋体"/>
          <w:sz w:val="24"/>
          <w:szCs w:val="24"/>
          <w:lang w:val="en-US" w:eastAsia="zh-CN"/>
        </w:rPr>
        <w:t>《</w:t>
      </w:r>
      <w:r>
        <w:rPr>
          <w:rFonts w:hint="eastAsia" w:hAnsi="宋体"/>
          <w:sz w:val="24"/>
          <w:szCs w:val="24"/>
          <w:lang w:eastAsia="zh-CN"/>
        </w:rPr>
        <w:t>烟尘采样器检定规程</w:t>
      </w:r>
      <w:r>
        <w:rPr>
          <w:rFonts w:hint="eastAsia" w:hAnsi="宋体"/>
          <w:sz w:val="24"/>
          <w:szCs w:val="24"/>
          <w:lang w:val="en-US" w:eastAsia="zh-CN"/>
        </w:rPr>
        <w:t>》</w:t>
      </w:r>
      <w:r>
        <w:rPr>
          <w:rFonts w:hint="eastAsia" w:hAnsi="宋体"/>
          <w:sz w:val="24"/>
          <w:szCs w:val="24"/>
          <w:lang w:eastAsia="zh-CN"/>
        </w:rPr>
        <w:t>（JJG 680）</w:t>
      </w:r>
    </w:p>
    <w:p w14:paraId="10A684FD">
      <w:pPr>
        <w:pStyle w:val="3"/>
        <w:ind w:left="0" w:leftChars="0" w:firstLine="0" w:firstLineChars="0"/>
        <w:rPr>
          <w:rFonts w:hint="eastAsia" w:hAnsi="宋体"/>
          <w:sz w:val="24"/>
          <w:szCs w:val="24"/>
        </w:rPr>
      </w:pPr>
      <w:r>
        <w:rPr>
          <w:rFonts w:hint="eastAsia" w:hAnsi="宋体"/>
          <w:sz w:val="24"/>
          <w:szCs w:val="24"/>
        </w:rPr>
        <w:t>《</w:t>
      </w:r>
      <w:r>
        <w:rPr>
          <w:rFonts w:hint="eastAsia" w:hAnsi="宋体"/>
          <w:sz w:val="24"/>
          <w:szCs w:val="24"/>
          <w:lang w:val="en-US" w:eastAsia="zh-CN"/>
        </w:rPr>
        <w:t>开口/闭口闪点测定仪校准规范</w:t>
      </w:r>
      <w:r>
        <w:rPr>
          <w:rFonts w:hint="eastAsia" w:hAnsi="宋体"/>
          <w:sz w:val="24"/>
          <w:szCs w:val="24"/>
        </w:rPr>
        <w:t>》（</w:t>
      </w:r>
      <w:r>
        <w:rPr>
          <w:rFonts w:hint="eastAsia" w:hAnsi="宋体"/>
          <w:sz w:val="24"/>
          <w:szCs w:val="24"/>
          <w:lang w:val="en-US" w:eastAsia="zh-CN"/>
        </w:rPr>
        <w:t>JJF</w:t>
      </w:r>
      <w:r>
        <w:rPr>
          <w:rFonts w:hint="eastAsia" w:hAnsi="宋体"/>
          <w:sz w:val="24"/>
          <w:szCs w:val="24"/>
        </w:rPr>
        <w:t xml:space="preserve"> </w:t>
      </w:r>
      <w:r>
        <w:rPr>
          <w:rFonts w:hint="eastAsia" w:hAnsi="宋体"/>
          <w:sz w:val="24"/>
          <w:szCs w:val="24"/>
          <w:lang w:val="en-US" w:eastAsia="zh-CN"/>
        </w:rPr>
        <w:t>1384-</w:t>
      </w:r>
      <w:r>
        <w:rPr>
          <w:rFonts w:hint="eastAsia" w:hAnsi="宋体"/>
          <w:sz w:val="24"/>
          <w:szCs w:val="24"/>
        </w:rPr>
        <w:t>20</w:t>
      </w:r>
      <w:r>
        <w:rPr>
          <w:rFonts w:hint="eastAsia" w:hAnsi="宋体"/>
          <w:sz w:val="24"/>
          <w:szCs w:val="24"/>
          <w:lang w:val="en-US" w:eastAsia="zh-CN"/>
        </w:rPr>
        <w:t>12</w:t>
      </w:r>
      <w:r>
        <w:rPr>
          <w:rFonts w:hint="eastAsia" w:hAnsi="宋体"/>
          <w:sz w:val="24"/>
          <w:szCs w:val="24"/>
        </w:rPr>
        <w:t>）；</w:t>
      </w:r>
    </w:p>
    <w:p w14:paraId="17213F53">
      <w:pPr>
        <w:pStyle w:val="3"/>
        <w:ind w:left="0" w:leftChars="0" w:firstLine="0" w:firstLineChars="0"/>
        <w:rPr>
          <w:rFonts w:hint="eastAsia" w:hAnsi="宋体"/>
          <w:sz w:val="24"/>
          <w:szCs w:val="24"/>
        </w:rPr>
      </w:pPr>
      <w:r>
        <w:rPr>
          <w:rFonts w:hint="eastAsia" w:hAnsi="宋体"/>
          <w:sz w:val="24"/>
          <w:szCs w:val="24"/>
        </w:rPr>
        <w:t>《</w:t>
      </w:r>
      <w:r>
        <w:rPr>
          <w:rFonts w:hint="eastAsia" w:hAnsi="宋体"/>
          <w:sz w:val="24"/>
          <w:szCs w:val="24"/>
          <w:lang w:val="en-US" w:eastAsia="zh-CN"/>
        </w:rPr>
        <w:t>气相色谱仪检定规程</w:t>
      </w:r>
      <w:r>
        <w:rPr>
          <w:rFonts w:hint="eastAsia" w:hAnsi="宋体"/>
          <w:sz w:val="24"/>
          <w:szCs w:val="24"/>
        </w:rPr>
        <w:t>》(JJ</w:t>
      </w:r>
      <w:r>
        <w:rPr>
          <w:rFonts w:hint="eastAsia" w:hAnsi="宋体"/>
          <w:sz w:val="24"/>
          <w:szCs w:val="24"/>
          <w:lang w:val="en-US" w:eastAsia="zh-CN"/>
        </w:rPr>
        <w:t>G</w:t>
      </w:r>
      <w:r>
        <w:rPr>
          <w:rFonts w:hint="eastAsia" w:hAnsi="宋体"/>
          <w:sz w:val="24"/>
          <w:szCs w:val="24"/>
        </w:rPr>
        <w:t xml:space="preserve"> </w:t>
      </w:r>
      <w:r>
        <w:rPr>
          <w:rFonts w:hint="eastAsia" w:hAnsi="宋体"/>
          <w:sz w:val="24"/>
          <w:szCs w:val="24"/>
          <w:lang w:val="en-US" w:eastAsia="zh-CN"/>
        </w:rPr>
        <w:t>700</w:t>
      </w:r>
      <w:r>
        <w:rPr>
          <w:rFonts w:hint="eastAsia" w:hAnsi="宋体"/>
          <w:sz w:val="24"/>
          <w:szCs w:val="24"/>
        </w:rPr>
        <w:t>-</w:t>
      </w:r>
      <w:r>
        <w:rPr>
          <w:rFonts w:hint="eastAsia" w:hAnsi="宋体"/>
          <w:sz w:val="24"/>
          <w:szCs w:val="24"/>
          <w:lang w:val="en-US" w:eastAsia="zh-CN"/>
        </w:rPr>
        <w:t>2018</w:t>
      </w:r>
      <w:r>
        <w:rPr>
          <w:rFonts w:hint="eastAsia" w:hAnsi="宋体"/>
          <w:sz w:val="24"/>
          <w:szCs w:val="24"/>
        </w:rPr>
        <w:t>)；</w:t>
      </w:r>
    </w:p>
    <w:p w14:paraId="10ED0EE7">
      <w:pPr>
        <w:pStyle w:val="3"/>
        <w:ind w:left="0" w:leftChars="0" w:firstLine="0" w:firstLineChars="0"/>
        <w:rPr>
          <w:rFonts w:hint="eastAsia" w:hAnsi="宋体"/>
          <w:sz w:val="24"/>
          <w:szCs w:val="24"/>
        </w:rPr>
      </w:pPr>
      <w:r>
        <w:rPr>
          <w:rFonts w:hint="eastAsia" w:hAnsi="宋体"/>
          <w:sz w:val="24"/>
          <w:szCs w:val="24"/>
        </w:rPr>
        <w:t>《</w:t>
      </w:r>
      <w:r>
        <w:rPr>
          <w:rFonts w:hint="eastAsia" w:hAnsi="宋体"/>
          <w:sz w:val="24"/>
          <w:szCs w:val="24"/>
          <w:lang w:val="en-US" w:eastAsia="zh-CN"/>
        </w:rPr>
        <w:t>运动粘度测定器校准规范</w:t>
      </w:r>
      <w:r>
        <w:rPr>
          <w:rFonts w:hint="eastAsia" w:hAnsi="宋体"/>
          <w:sz w:val="24"/>
          <w:szCs w:val="24"/>
        </w:rPr>
        <w:t>》（</w:t>
      </w:r>
      <w:r>
        <w:rPr>
          <w:rFonts w:hint="eastAsia" w:hAnsi="宋体"/>
          <w:sz w:val="24"/>
          <w:szCs w:val="24"/>
          <w:lang w:val="en-US" w:eastAsia="zh-CN"/>
        </w:rPr>
        <w:t>JJF</w:t>
      </w:r>
      <w:r>
        <w:rPr>
          <w:rFonts w:hint="eastAsia" w:hAnsi="宋体"/>
          <w:sz w:val="24"/>
          <w:szCs w:val="24"/>
        </w:rPr>
        <w:t xml:space="preserve"> </w:t>
      </w:r>
      <w:r>
        <w:rPr>
          <w:rFonts w:hint="eastAsia" w:hAnsi="宋体"/>
          <w:sz w:val="24"/>
          <w:szCs w:val="24"/>
          <w:lang w:val="en-US" w:eastAsia="zh-CN"/>
        </w:rPr>
        <w:t>1274</w:t>
      </w:r>
      <w:r>
        <w:rPr>
          <w:rFonts w:hint="eastAsia" w:hAnsi="宋体"/>
          <w:sz w:val="24"/>
          <w:szCs w:val="24"/>
        </w:rPr>
        <w:t>-201</w:t>
      </w:r>
      <w:r>
        <w:rPr>
          <w:rFonts w:hint="eastAsia" w:hAnsi="宋体"/>
          <w:sz w:val="24"/>
          <w:szCs w:val="24"/>
          <w:lang w:val="en-US" w:eastAsia="zh-CN"/>
        </w:rPr>
        <w:t>1</w:t>
      </w:r>
      <w:r>
        <w:rPr>
          <w:rFonts w:hint="eastAsia" w:hAnsi="宋体"/>
          <w:sz w:val="24"/>
          <w:szCs w:val="24"/>
        </w:rPr>
        <w:t>）；</w:t>
      </w:r>
    </w:p>
    <w:p w14:paraId="2F50E204">
      <w:pPr>
        <w:pStyle w:val="3"/>
        <w:ind w:left="0" w:leftChars="0" w:firstLine="0" w:firstLineChars="0"/>
        <w:rPr>
          <w:rFonts w:hint="eastAsia" w:hAnsi="宋体"/>
          <w:sz w:val="24"/>
          <w:szCs w:val="24"/>
          <w:lang w:eastAsia="zh-CN"/>
        </w:rPr>
      </w:pPr>
      <w:r>
        <w:rPr>
          <w:rFonts w:hint="eastAsia" w:hAnsi="宋体"/>
          <w:sz w:val="24"/>
          <w:szCs w:val="24"/>
        </w:rPr>
        <w:t>《</w:t>
      </w:r>
      <w:r>
        <w:rPr>
          <w:rFonts w:hint="eastAsia" w:hAnsi="宋体"/>
          <w:sz w:val="24"/>
          <w:szCs w:val="24"/>
          <w:lang w:val="en-US" w:eastAsia="zh-CN"/>
        </w:rPr>
        <w:t>元素分析仪校准规范</w:t>
      </w:r>
      <w:r>
        <w:rPr>
          <w:rFonts w:hint="eastAsia" w:hAnsi="宋体"/>
          <w:sz w:val="24"/>
          <w:szCs w:val="24"/>
        </w:rPr>
        <w:t>》（</w:t>
      </w:r>
      <w:r>
        <w:rPr>
          <w:rFonts w:hint="eastAsia" w:hAnsi="宋体"/>
          <w:sz w:val="24"/>
          <w:szCs w:val="24"/>
          <w:lang w:val="en-US" w:eastAsia="zh-CN"/>
        </w:rPr>
        <w:t>JJF</w:t>
      </w:r>
      <w:r>
        <w:rPr>
          <w:rFonts w:hint="eastAsia" w:hAnsi="宋体"/>
          <w:sz w:val="24"/>
          <w:szCs w:val="24"/>
        </w:rPr>
        <w:t xml:space="preserve"> </w:t>
      </w:r>
      <w:r>
        <w:rPr>
          <w:rFonts w:hint="eastAsia" w:hAnsi="宋体"/>
          <w:sz w:val="24"/>
          <w:szCs w:val="24"/>
          <w:lang w:val="en-US" w:eastAsia="zh-CN"/>
        </w:rPr>
        <w:t>1321</w:t>
      </w:r>
      <w:r>
        <w:rPr>
          <w:rFonts w:hint="eastAsia" w:hAnsi="宋体"/>
          <w:sz w:val="24"/>
          <w:szCs w:val="24"/>
        </w:rPr>
        <w:t>-201</w:t>
      </w:r>
      <w:r>
        <w:rPr>
          <w:rFonts w:hint="eastAsia" w:hAnsi="宋体"/>
          <w:sz w:val="24"/>
          <w:szCs w:val="24"/>
          <w:lang w:val="en-US" w:eastAsia="zh-CN"/>
        </w:rPr>
        <w:t>1</w:t>
      </w:r>
      <w:r>
        <w:rPr>
          <w:rFonts w:hint="eastAsia" w:hAnsi="宋体"/>
          <w:sz w:val="24"/>
          <w:szCs w:val="24"/>
        </w:rPr>
        <w:t>）</w:t>
      </w:r>
      <w:r>
        <w:rPr>
          <w:rFonts w:hint="eastAsia" w:hAnsi="宋体"/>
          <w:sz w:val="24"/>
          <w:szCs w:val="24"/>
          <w:lang w:eastAsia="zh-CN"/>
        </w:rPr>
        <w:t>。</w:t>
      </w:r>
    </w:p>
    <w:p w14:paraId="34A96A76">
      <w:pPr>
        <w:pStyle w:val="3"/>
        <w:ind w:left="0" w:leftChars="0" w:firstLine="0" w:firstLineChars="0"/>
        <w:rPr>
          <w:rFonts w:hint="eastAsia" w:hAnsi="宋体"/>
          <w:sz w:val="24"/>
          <w:szCs w:val="24"/>
          <w:lang w:eastAsia="zh-CN"/>
        </w:rPr>
      </w:pPr>
    </w:p>
    <w:p w14:paraId="21EF05C5">
      <w:pPr>
        <w:numPr>
          <w:ilvl w:val="0"/>
          <w:numId w:val="5"/>
        </w:numPr>
        <w:rPr>
          <w:rFonts w:hint="eastAsia" w:ascii="宋体" w:hAnsi="宋体" w:eastAsia="宋体" w:cs="宋体"/>
          <w:b/>
          <w:bCs/>
          <w:kern w:val="44"/>
          <w:sz w:val="24"/>
          <w:szCs w:val="24"/>
          <w:lang w:val="en-US" w:eastAsia="zh-CN" w:bidi="ar-SA"/>
        </w:rPr>
      </w:pPr>
      <w:bookmarkStart w:id="6" w:name="_Toc60672400"/>
      <w:r>
        <w:rPr>
          <w:rFonts w:hint="eastAsia" w:ascii="宋体" w:hAnsi="宋体" w:eastAsia="宋体" w:cs="宋体"/>
          <w:b/>
          <w:bCs/>
          <w:kern w:val="44"/>
          <w:sz w:val="24"/>
          <w:szCs w:val="24"/>
          <w:lang w:val="en-US" w:eastAsia="zh-CN" w:bidi="ar-SA"/>
        </w:rPr>
        <w:t>检定</w:t>
      </w:r>
      <w:bookmarkEnd w:id="6"/>
      <w:r>
        <w:rPr>
          <w:rFonts w:hint="eastAsia" w:ascii="宋体" w:hAnsi="宋体" w:eastAsia="宋体" w:cs="宋体"/>
          <w:b/>
          <w:bCs/>
          <w:kern w:val="44"/>
          <w:sz w:val="24"/>
          <w:szCs w:val="24"/>
          <w:lang w:val="en-US" w:eastAsia="zh-CN" w:bidi="ar-SA"/>
        </w:rPr>
        <w:t>方案及要求</w:t>
      </w:r>
    </w:p>
    <w:p w14:paraId="004EE379">
      <w:pPr>
        <w:numPr>
          <w:ilvl w:val="0"/>
          <w:numId w:val="0"/>
        </w:numPr>
        <w:rPr>
          <w:rFonts w:hint="default" w:ascii="宋体" w:hAnsi="宋体" w:eastAsia="宋体" w:cs="宋体"/>
          <w:b/>
          <w:bCs/>
          <w:kern w:val="44"/>
          <w:sz w:val="24"/>
          <w:szCs w:val="24"/>
          <w:lang w:val="en-US" w:eastAsia="zh-CN" w:bidi="ar-SA"/>
        </w:rPr>
      </w:pPr>
    </w:p>
    <w:p w14:paraId="31F2603B">
      <w:pPr>
        <w:numPr>
          <w:ilvl w:val="0"/>
          <w:numId w:val="0"/>
        </w:numPr>
        <w:rPr>
          <w:rFonts w:hint="default" w:ascii="宋体" w:hAnsi="宋体" w:eastAsia="宋体" w:cs="宋体"/>
          <w:b/>
          <w:bCs/>
          <w:kern w:val="44"/>
          <w:sz w:val="24"/>
          <w:szCs w:val="24"/>
          <w:lang w:val="en-US" w:eastAsia="zh-CN" w:bidi="ar-SA"/>
        </w:rPr>
      </w:pPr>
    </w:p>
    <w:p w14:paraId="30574304">
      <w:pPr>
        <w:snapToGrid w:val="0"/>
        <w:spacing w:line="360" w:lineRule="auto"/>
        <w:ind w:left="57" w:leftChars="27" w:firstLine="480" w:firstLineChars="200"/>
        <w:rPr>
          <w:rFonts w:hint="eastAsia"/>
          <w:lang w:val="en-US" w:eastAsia="zh-CN"/>
        </w:rPr>
      </w:pPr>
      <w:r>
        <w:rPr>
          <w:rFonts w:hint="eastAsia" w:ascii="Times New Roman" w:hAnsi="宋体" w:eastAsia="宋体" w:cs="Times New Roman"/>
          <w:kern w:val="2"/>
          <w:sz w:val="24"/>
          <w:szCs w:val="24"/>
          <w:lang w:val="en-US" w:eastAsia="zh-CN" w:bidi="ar-SA"/>
        </w:rPr>
        <w:t>仪器检定需委托具有法定计量检定机构授权证书的单位。我厂提前预约检测单位，约定时间安排检测人员入厂对仪器进行检定校准，如有现场无法完成检定校准的，检测人员可将仪器带回其单位进行检定校准。如有无法进行校准的情况，须和实验室负责人表明清楚，相应的在结算时对检测项目进行增减。检定过程原则上不允许对仪器造成损坏，如检定过程中因检测人员操作的过失造成仪器的损坏，检定单位需依照实际情况进行赔偿。检定结束后，检测单位须出具检测清单和检验报告或证明。</w:t>
      </w:r>
      <w:bookmarkStart w:id="7" w:name="_Toc60672402"/>
    </w:p>
    <w:p w14:paraId="1C8AB25A">
      <w:pPr>
        <w:snapToGrid w:val="0"/>
        <w:spacing w:line="360" w:lineRule="auto"/>
        <w:ind w:left="57" w:leftChars="27" w:firstLine="420" w:firstLineChars="200"/>
        <w:rPr>
          <w:rFonts w:hint="eastAsia"/>
          <w:lang w:val="en-US" w:eastAsia="zh-CN"/>
        </w:rPr>
      </w:pPr>
    </w:p>
    <w:bookmarkEnd w:id="7"/>
    <w:p w14:paraId="06FE5D5D">
      <w:pPr>
        <w:numPr>
          <w:ilvl w:val="0"/>
          <w:numId w:val="5"/>
        </w:numPr>
        <w:ind w:left="0" w:leftChars="0" w:firstLine="0" w:firstLineChars="0"/>
        <w:rPr>
          <w:rFonts w:hint="eastAsia" w:ascii="宋体" w:hAnsi="宋体" w:eastAsia="宋体" w:cs="宋体"/>
          <w:b/>
          <w:bCs/>
          <w:kern w:val="44"/>
          <w:sz w:val="24"/>
          <w:szCs w:val="24"/>
          <w:lang w:val="en-US" w:eastAsia="zh-CN" w:bidi="ar-SA"/>
        </w:rPr>
      </w:pPr>
      <w:bookmarkStart w:id="8" w:name="_Toc60672403"/>
      <w:r>
        <w:rPr>
          <w:rFonts w:hint="eastAsia" w:ascii="宋体" w:hAnsi="宋体" w:eastAsia="宋体" w:cs="宋体"/>
          <w:b/>
          <w:bCs/>
          <w:kern w:val="44"/>
          <w:sz w:val="24"/>
          <w:szCs w:val="24"/>
          <w:lang w:val="en-US" w:eastAsia="zh-CN" w:bidi="ar-SA"/>
        </w:rPr>
        <w:t>其他要求</w:t>
      </w:r>
      <w:bookmarkEnd w:id="8"/>
    </w:p>
    <w:p w14:paraId="3DF801FF">
      <w:pPr>
        <w:numPr>
          <w:ilvl w:val="0"/>
          <w:numId w:val="0"/>
        </w:numPr>
        <w:ind w:leftChars="0"/>
        <w:rPr>
          <w:rFonts w:hint="eastAsia" w:ascii="宋体" w:hAnsi="宋体" w:eastAsia="宋体" w:cs="宋体"/>
          <w:b/>
          <w:bCs/>
          <w:kern w:val="44"/>
          <w:sz w:val="24"/>
          <w:szCs w:val="24"/>
          <w:lang w:val="en-US" w:eastAsia="zh-CN" w:bidi="ar-SA"/>
        </w:rPr>
      </w:pPr>
    </w:p>
    <w:p w14:paraId="627F9133">
      <w:pPr>
        <w:numPr>
          <w:ilvl w:val="0"/>
          <w:numId w:val="0"/>
        </w:numPr>
        <w:ind w:leftChars="0"/>
        <w:rPr>
          <w:rFonts w:hint="eastAsia" w:ascii="宋体" w:hAnsi="宋体" w:eastAsia="宋体" w:cs="宋体"/>
          <w:b/>
          <w:bCs/>
          <w:kern w:val="44"/>
          <w:sz w:val="24"/>
          <w:szCs w:val="24"/>
          <w:lang w:val="en-US" w:eastAsia="zh-CN" w:bidi="ar-SA"/>
        </w:rPr>
      </w:pPr>
    </w:p>
    <w:p w14:paraId="77B609D8">
      <w:pPr>
        <w:pStyle w:val="3"/>
        <w:ind w:firstLine="480" w:firstLineChars="200"/>
        <w:rPr>
          <w:rFonts w:hint="eastAsia" w:hAnsi="宋体"/>
          <w:sz w:val="24"/>
          <w:szCs w:val="24"/>
          <w:lang w:val="en-US" w:eastAsia="zh-CN"/>
        </w:rPr>
      </w:pPr>
      <w:r>
        <w:rPr>
          <w:rFonts w:hint="eastAsia" w:hAnsi="宋体"/>
          <w:sz w:val="24"/>
          <w:szCs w:val="24"/>
          <w:lang w:val="en-US" w:eastAsia="zh-CN"/>
        </w:rPr>
        <w:t>1、必须按说明书或操作规程操作仪器设备，避免因操作设备造成的安全事故。</w:t>
      </w:r>
    </w:p>
    <w:p w14:paraId="4FA3EAB3">
      <w:pPr>
        <w:pStyle w:val="3"/>
        <w:ind w:firstLine="480" w:firstLineChars="200"/>
        <w:rPr>
          <w:rFonts w:hint="eastAsia" w:hAnsi="宋体"/>
          <w:sz w:val="24"/>
          <w:szCs w:val="24"/>
          <w:lang w:val="en-US" w:eastAsia="zh-CN"/>
        </w:rPr>
      </w:pPr>
      <w:r>
        <w:rPr>
          <w:rFonts w:hint="eastAsia" w:hAnsi="宋体"/>
          <w:sz w:val="24"/>
          <w:szCs w:val="24"/>
          <w:lang w:val="en-US" w:eastAsia="zh-CN"/>
        </w:rPr>
        <w:t>2、应加强对仪器设备的保护，避免现场检测和移动时对设备主机及接线的碰撞损伤。</w:t>
      </w:r>
    </w:p>
    <w:p w14:paraId="4B09FEC7">
      <w:pPr>
        <w:pStyle w:val="3"/>
        <w:ind w:firstLine="480" w:firstLineChars="200"/>
        <w:rPr>
          <w:rFonts w:hint="eastAsia" w:hAnsi="宋体"/>
          <w:sz w:val="24"/>
          <w:szCs w:val="24"/>
          <w:lang w:val="en-US" w:eastAsia="zh-CN"/>
        </w:rPr>
      </w:pPr>
      <w:r>
        <w:rPr>
          <w:rFonts w:hint="eastAsia" w:hAnsi="宋体"/>
          <w:sz w:val="24"/>
          <w:szCs w:val="24"/>
          <w:lang w:val="en-US" w:eastAsia="zh-CN"/>
        </w:rPr>
        <w:t>3、乙方需在自甲方通知之日起15个工作日内完成所有仪器、器皿校验并出具报告或证明（书）（至少纸质版一份+电子版一份），检定报告需符合国家相关规范要求，（特殊情况除外，仪器异常，外包、甲方标准器送检等。）</w:t>
      </w:r>
    </w:p>
    <w:p w14:paraId="7E1DF7E7">
      <w:pPr>
        <w:pStyle w:val="3"/>
        <w:ind w:firstLine="480" w:firstLineChars="200"/>
        <w:rPr>
          <w:rFonts w:hint="eastAsia" w:hAnsi="宋体"/>
          <w:sz w:val="24"/>
          <w:szCs w:val="24"/>
          <w:lang w:val="en-US" w:eastAsia="zh-CN"/>
        </w:rPr>
      </w:pPr>
      <w:r>
        <w:rPr>
          <w:rFonts w:hint="eastAsia" w:hAnsi="宋体"/>
          <w:sz w:val="24"/>
          <w:szCs w:val="24"/>
          <w:lang w:val="en-US" w:eastAsia="zh-CN"/>
        </w:rPr>
        <w:t>4、如果对校验结果如有异议，应于《校准证书》完成之日起30天内向乙方书面提出，同时附上《校准证书》原件。逾期未提出异议，则视为同意《校准证书》。</w:t>
      </w:r>
    </w:p>
    <w:p w14:paraId="38B35BF2">
      <w:pPr>
        <w:pStyle w:val="3"/>
        <w:ind w:firstLine="480" w:firstLineChars="200"/>
        <w:rPr>
          <w:rFonts w:hint="default" w:hAnsi="宋体"/>
          <w:sz w:val="24"/>
          <w:szCs w:val="24"/>
          <w:lang w:val="en-US" w:eastAsia="zh-CN"/>
        </w:rPr>
      </w:pPr>
      <w:r>
        <w:rPr>
          <w:rFonts w:hint="eastAsia" w:hAnsi="宋体"/>
          <w:sz w:val="24"/>
          <w:szCs w:val="24"/>
          <w:lang w:val="en-US" w:eastAsia="zh-CN"/>
        </w:rPr>
        <w:t>5、现场无法进行校准，需要邮寄的仪器，相关的运输邮寄费用、保险、保管责任由检定单位承担。</w:t>
      </w:r>
    </w:p>
    <w:p w14:paraId="5BC686C1"/>
    <w:p w14:paraId="425983AF"/>
    <w:p w14:paraId="2A50AD2E">
      <w:pPr>
        <w:sectPr>
          <w:headerReference r:id="rId7" w:type="first"/>
          <w:headerReference r:id="rId6" w:type="default"/>
          <w:footerReference r:id="rId8" w:type="default"/>
          <w:pgSz w:w="11907" w:h="16840"/>
          <w:pgMar w:top="1843" w:right="1134" w:bottom="1276" w:left="1418" w:header="1417" w:footer="907" w:gutter="0"/>
          <w:pgNumType w:fmt="decimal"/>
          <w:cols w:space="720" w:num="1"/>
          <w:titlePg/>
          <w:docGrid w:linePitch="286" w:charSpace="0"/>
        </w:sectPr>
      </w:pPr>
    </w:p>
    <w:p w14:paraId="4C78E6C4">
      <w:pPr>
        <w:rPr>
          <w:rFonts w:hint="default"/>
          <w:lang w:val="en-US" w:eastAsia="zh-CN"/>
        </w:rPr>
      </w:pPr>
      <w:r>
        <w:rPr>
          <w:rFonts w:hint="eastAsia"/>
          <w:lang w:val="en-US" w:eastAsia="zh-CN"/>
        </w:rPr>
        <w:t>附表</w:t>
      </w:r>
    </w:p>
    <w:p w14:paraId="06E8D6FE">
      <w:pPr>
        <w:rPr>
          <w:rFonts w:hint="eastAsia"/>
          <w:lang w:val="en-US" w:eastAsia="zh-CN"/>
        </w:rPr>
      </w:pPr>
      <w:r>
        <w:rPr>
          <w:rFonts w:hint="eastAsia"/>
          <w:lang w:val="en-US" w:eastAsia="zh-CN"/>
        </w:rPr>
        <w:t>化学化验室仪器清单</w:t>
      </w:r>
    </w:p>
    <w:p w14:paraId="5190E424">
      <w:pPr>
        <w:rPr>
          <w:rFonts w:hint="eastAsia"/>
          <w:lang w:val="en-US" w:eastAsia="zh-CN"/>
        </w:rPr>
      </w:pPr>
      <w:r>
        <w:rPr>
          <w:rFonts w:hint="eastAsia"/>
          <w:lang w:val="en-US" w:eastAsia="zh-CN"/>
        </w:rPr>
        <w:t>综合</w:t>
      </w:r>
      <w:r>
        <w:rPr>
          <w:rFonts w:hint="eastAsia"/>
        </w:rPr>
        <w:t>析</w:t>
      </w:r>
      <w:r>
        <w:rPr>
          <w:rFonts w:hint="eastAsia"/>
          <w:lang w:val="en-US" w:eastAsia="zh-CN"/>
        </w:rPr>
        <w:t>室</w:t>
      </w:r>
      <w:r>
        <w:rPr>
          <w:rFonts w:hint="eastAsia"/>
        </w:rPr>
        <w:t>仪器</w:t>
      </w:r>
    </w:p>
    <w:tbl>
      <w:tblPr>
        <w:tblStyle w:val="8"/>
        <w:tblW w:w="14836" w:type="dxa"/>
        <w:tblInd w:w="100" w:type="dxa"/>
        <w:tblLayout w:type="fixed"/>
        <w:tblCellMar>
          <w:top w:w="0" w:type="dxa"/>
          <w:left w:w="108" w:type="dxa"/>
          <w:bottom w:w="0" w:type="dxa"/>
          <w:right w:w="108" w:type="dxa"/>
        </w:tblCellMar>
      </w:tblPr>
      <w:tblGrid>
        <w:gridCol w:w="657"/>
        <w:gridCol w:w="2640"/>
        <w:gridCol w:w="1185"/>
        <w:gridCol w:w="1125"/>
        <w:gridCol w:w="1924"/>
        <w:gridCol w:w="1811"/>
        <w:gridCol w:w="1257"/>
        <w:gridCol w:w="2827"/>
        <w:gridCol w:w="1410"/>
      </w:tblGrid>
      <w:tr w14:paraId="3390736D">
        <w:tblPrEx>
          <w:tblCellMar>
            <w:top w:w="0" w:type="dxa"/>
            <w:left w:w="108" w:type="dxa"/>
            <w:bottom w:w="0" w:type="dxa"/>
            <w:right w:w="108" w:type="dxa"/>
          </w:tblCellMar>
        </w:tblPrEx>
        <w:trPr>
          <w:trHeight w:val="425"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4A8E21B2">
            <w:pPr>
              <w:rPr>
                <w:rFonts w:hint="eastAsia"/>
                <w:lang w:val="en-US" w:eastAsia="zh-CN"/>
              </w:rPr>
            </w:pPr>
            <w:r>
              <w:rPr>
                <w:rFonts w:hint="eastAsia"/>
                <w:lang w:val="en-US" w:eastAsia="zh-CN"/>
              </w:rPr>
              <w:t>序号</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05587A09">
            <w:pPr>
              <w:rPr>
                <w:rFonts w:hint="eastAsia"/>
                <w:lang w:val="en-US" w:eastAsia="zh-CN"/>
              </w:rPr>
            </w:pPr>
            <w:r>
              <w:rPr>
                <w:rFonts w:hint="eastAsia"/>
                <w:lang w:val="en-US" w:eastAsia="zh-CN"/>
              </w:rPr>
              <w:t>名称</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5FBE8636">
            <w:pPr>
              <w:rPr>
                <w:rFonts w:hint="eastAsia"/>
                <w:lang w:val="en-US" w:eastAsia="zh-CN"/>
              </w:rPr>
            </w:pPr>
            <w:r>
              <w:rPr>
                <w:rFonts w:hint="eastAsia"/>
                <w:lang w:val="en-US" w:eastAsia="zh-CN"/>
              </w:rPr>
              <w:t>制造单位</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30F2D2FD">
            <w:pPr>
              <w:rPr>
                <w:rFonts w:hint="eastAsia"/>
                <w:lang w:val="en-US" w:eastAsia="zh-CN"/>
              </w:rPr>
            </w:pPr>
            <w:r>
              <w:rPr>
                <w:rFonts w:hint="eastAsia"/>
                <w:lang w:val="en-US" w:eastAsia="zh-CN"/>
              </w:rPr>
              <w:t>数量</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1B97A65C">
            <w:pPr>
              <w:rPr>
                <w:rFonts w:hint="eastAsia"/>
                <w:lang w:val="en-US" w:eastAsia="zh-CN"/>
              </w:rPr>
            </w:pPr>
            <w:r>
              <w:rPr>
                <w:rFonts w:hint="eastAsia"/>
                <w:lang w:val="en-US" w:eastAsia="zh-CN"/>
              </w:rPr>
              <w:t>型号</w:t>
            </w:r>
          </w:p>
        </w:tc>
        <w:tc>
          <w:tcPr>
            <w:tcW w:w="3068" w:type="dxa"/>
            <w:gridSpan w:val="2"/>
            <w:tcBorders>
              <w:top w:val="single" w:color="000000" w:sz="4" w:space="0"/>
              <w:left w:val="single" w:color="000000" w:sz="4" w:space="0"/>
              <w:bottom w:val="single" w:color="000000" w:sz="4" w:space="0"/>
              <w:right w:val="single" w:color="000000" w:sz="4" w:space="0"/>
            </w:tcBorders>
            <w:noWrap/>
            <w:vAlign w:val="center"/>
          </w:tcPr>
          <w:p w14:paraId="1489430D">
            <w:pPr>
              <w:rPr>
                <w:rFonts w:hint="eastAsia"/>
                <w:lang w:val="en-US" w:eastAsia="zh-CN"/>
              </w:rPr>
            </w:pPr>
            <w:r>
              <w:rPr>
                <w:rFonts w:hint="eastAsia"/>
                <w:lang w:val="en-US" w:eastAsia="zh-CN"/>
              </w:rPr>
              <w:t>服务方式（现场/送检）</w:t>
            </w:r>
          </w:p>
        </w:tc>
        <w:tc>
          <w:tcPr>
            <w:tcW w:w="2827" w:type="dxa"/>
            <w:tcBorders>
              <w:top w:val="single" w:color="000000" w:sz="4" w:space="0"/>
              <w:left w:val="single" w:color="000000" w:sz="4" w:space="0"/>
              <w:bottom w:val="single" w:color="000000" w:sz="4" w:space="0"/>
              <w:right w:val="single" w:color="000000" w:sz="4" w:space="0"/>
            </w:tcBorders>
            <w:noWrap/>
            <w:vAlign w:val="center"/>
          </w:tcPr>
          <w:p w14:paraId="03FDEEB6">
            <w:pPr>
              <w:rPr>
                <w:rFonts w:hint="eastAsia"/>
                <w:lang w:val="en-US" w:eastAsia="zh-CN"/>
              </w:rPr>
            </w:pPr>
            <w:r>
              <w:rPr>
                <w:rFonts w:hint="eastAsia"/>
                <w:lang w:val="en-US" w:eastAsia="zh-CN"/>
              </w:rPr>
              <w:t>证书类型（校准/检定）</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71D44F7F">
            <w:pPr>
              <w:rPr>
                <w:rFonts w:hint="eastAsia"/>
                <w:lang w:val="en-US" w:eastAsia="zh-CN"/>
              </w:rPr>
            </w:pPr>
            <w:r>
              <w:rPr>
                <w:rFonts w:hint="eastAsia"/>
                <w:lang w:val="en-US" w:eastAsia="zh-CN"/>
              </w:rPr>
              <w:t>是否带标</w:t>
            </w:r>
          </w:p>
        </w:tc>
      </w:tr>
      <w:tr w14:paraId="7BBEE695">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20803156">
            <w:pPr>
              <w:rPr>
                <w:rFonts w:hint="eastAsia"/>
                <w:lang w:val="en-US" w:eastAsia="zh-CN"/>
              </w:rPr>
            </w:pPr>
            <w:r>
              <w:rPr>
                <w:rFonts w:hint="eastAsia"/>
                <w:lang w:val="en-US" w:eastAsia="zh-CN"/>
              </w:rPr>
              <w:t>1</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4AAAF295">
            <w:pPr>
              <w:rPr>
                <w:rFonts w:hint="eastAsia"/>
                <w:lang w:val="en-US" w:eastAsia="zh-CN"/>
              </w:rPr>
            </w:pPr>
            <w:r>
              <w:t>台式硅酸根分析仪</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6F262F6C">
            <w:pPr>
              <w:rPr>
                <w:rFonts w:hint="eastAsia"/>
                <w:lang w:val="en-US" w:eastAsia="zh-CN"/>
              </w:rPr>
            </w:pPr>
            <w:r>
              <w:rPr>
                <w:rFonts w:hint="eastAsia"/>
                <w:lang w:val="en-US" w:eastAsia="zh-CN"/>
              </w:rPr>
              <w:t>天宇沃特</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002BC580">
            <w:pPr>
              <w:rPr>
                <w:rFonts w:hint="default"/>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05F11562">
            <w:pPr>
              <w:rPr>
                <w:rFonts w:hint="eastAsia"/>
                <w:lang w:val="en-US" w:eastAsia="zh-CN"/>
              </w:rPr>
            </w:pPr>
            <w:r>
              <w:rPr>
                <w:rFonts w:hint="default"/>
                <w:lang w:val="en-US" w:eastAsia="zh-CN"/>
              </w:rPr>
              <w:t>TW-6326</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0320009F">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6288B552">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395914E9">
            <w:pPr>
              <w:rPr>
                <w:rFonts w:hint="default"/>
                <w:lang w:val="en-US" w:eastAsia="zh-CN"/>
              </w:rPr>
            </w:pPr>
            <w:r>
              <w:rPr>
                <w:rFonts w:hint="eastAsia"/>
                <w:lang w:val="en-US" w:eastAsia="zh-CN"/>
              </w:rPr>
              <w:t>是</w:t>
            </w:r>
          </w:p>
        </w:tc>
      </w:tr>
      <w:tr w14:paraId="71E1BF8B">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6B0CE267">
            <w:pPr>
              <w:rPr>
                <w:rFonts w:hint="default"/>
                <w:lang w:val="en-US" w:eastAsia="zh-CN"/>
              </w:rPr>
            </w:pPr>
            <w:r>
              <w:rPr>
                <w:rFonts w:hint="eastAsia"/>
                <w:lang w:val="en-US" w:eastAsia="zh-CN"/>
              </w:rPr>
              <w:t>2</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7246B6C7">
            <w:r>
              <w:t>台式磷酸根分析仪</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63502146">
            <w:pPr>
              <w:rPr>
                <w:rFonts w:hint="eastAsia"/>
                <w:lang w:val="en-US" w:eastAsia="zh-CN"/>
              </w:rPr>
            </w:pPr>
            <w:r>
              <w:rPr>
                <w:rFonts w:hint="eastAsia"/>
                <w:lang w:val="en-US" w:eastAsia="zh-CN"/>
              </w:rPr>
              <w:t>天宇沃特</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3DEDD371">
            <w:pPr>
              <w:rPr>
                <w:rFonts w:hint="default"/>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4C026876">
            <w:pPr>
              <w:rPr>
                <w:rFonts w:hint="default"/>
                <w:lang w:val="en-US" w:eastAsia="zh-CN"/>
              </w:rPr>
            </w:pPr>
            <w:r>
              <w:rPr>
                <w:rFonts w:hint="default"/>
                <w:lang w:val="en-US" w:eastAsia="zh-CN"/>
              </w:rPr>
              <w:t>TW-6316</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0BC0C76F">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1C74ABF2">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6AFE9F96">
            <w:pPr>
              <w:rPr>
                <w:rFonts w:hint="default"/>
                <w:lang w:val="en-US" w:eastAsia="zh-CN"/>
              </w:rPr>
            </w:pPr>
            <w:r>
              <w:rPr>
                <w:rFonts w:hint="eastAsia"/>
                <w:lang w:val="en-US" w:eastAsia="zh-CN"/>
              </w:rPr>
              <w:t>是</w:t>
            </w:r>
          </w:p>
        </w:tc>
      </w:tr>
      <w:tr w14:paraId="0569CDE6">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5F2334FA">
            <w:pPr>
              <w:rPr>
                <w:rFonts w:hint="default"/>
                <w:lang w:val="en-US" w:eastAsia="zh-CN"/>
              </w:rPr>
            </w:pPr>
            <w:r>
              <w:rPr>
                <w:rFonts w:hint="eastAsia"/>
                <w:lang w:val="en-US" w:eastAsia="zh-CN"/>
              </w:rPr>
              <w:t>3</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1A78AF9C">
            <w:r>
              <w:t>台式PH测定仪</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0822777F">
            <w:pPr>
              <w:rPr>
                <w:rFonts w:hint="eastAsia"/>
                <w:lang w:val="en-US" w:eastAsia="zh-CN"/>
              </w:rPr>
            </w:pPr>
            <w:r>
              <w:rPr>
                <w:rFonts w:hint="eastAsia"/>
                <w:lang w:val="en-US" w:eastAsia="zh-CN"/>
              </w:rPr>
              <w:t>天宇沃特</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6A62B346">
            <w:pPr>
              <w:rPr>
                <w:rFonts w:hint="eastAsia"/>
                <w:lang w:val="en-US" w:eastAsia="zh-CN"/>
              </w:rPr>
            </w:pPr>
            <w:r>
              <w:rPr>
                <w:rFonts w:hint="eastAsia"/>
                <w:lang w:val="en-US" w:eastAsia="zh-CN"/>
              </w:rPr>
              <w:t>2台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051A8CE4">
            <w:pPr>
              <w:rPr>
                <w:rFonts w:hint="default"/>
                <w:lang w:val="en-US" w:eastAsia="zh-CN"/>
              </w:rPr>
            </w:pPr>
            <w:r>
              <w:rPr>
                <w:rFonts w:hint="default"/>
                <w:lang w:val="en-US" w:eastAsia="zh-CN"/>
              </w:rPr>
              <w:t>TW-6226</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52C53CE1">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38EEA09C">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5AE3EAD7">
            <w:pPr>
              <w:rPr>
                <w:rFonts w:hint="default"/>
                <w:lang w:val="en-US" w:eastAsia="zh-CN"/>
              </w:rPr>
            </w:pPr>
            <w:r>
              <w:rPr>
                <w:rFonts w:hint="eastAsia"/>
                <w:lang w:val="en-US" w:eastAsia="zh-CN"/>
              </w:rPr>
              <w:t>是</w:t>
            </w:r>
          </w:p>
        </w:tc>
      </w:tr>
      <w:tr w14:paraId="65838B7E">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238BD46A">
            <w:pPr>
              <w:rPr>
                <w:rFonts w:hint="default"/>
                <w:lang w:val="en-US" w:eastAsia="zh-CN"/>
              </w:rPr>
            </w:pPr>
            <w:r>
              <w:rPr>
                <w:rFonts w:hint="eastAsia"/>
                <w:lang w:val="en-US" w:eastAsia="zh-CN"/>
              </w:rPr>
              <w:t>4</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6CB007D9">
            <w:r>
              <w:t>台式电导率仪</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23D8C22E">
            <w:pPr>
              <w:rPr>
                <w:rFonts w:hint="eastAsia"/>
                <w:lang w:val="en-US" w:eastAsia="zh-CN"/>
              </w:rPr>
            </w:pPr>
            <w:r>
              <w:rPr>
                <w:rFonts w:hint="eastAsia"/>
                <w:lang w:val="en-US" w:eastAsia="zh-CN"/>
              </w:rPr>
              <w:t>天宇沃特</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2B040F6A">
            <w:pPr>
              <w:rPr>
                <w:rFonts w:hint="eastAsia"/>
                <w:lang w:val="en-US" w:eastAsia="zh-CN"/>
              </w:rPr>
            </w:pPr>
            <w:r>
              <w:rPr>
                <w:rFonts w:hint="eastAsia"/>
                <w:lang w:val="en-US" w:eastAsia="zh-CN"/>
              </w:rPr>
              <w:t>2台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1F563965">
            <w:pPr>
              <w:rPr>
                <w:rFonts w:hint="default"/>
                <w:lang w:val="en-US" w:eastAsia="zh-CN"/>
              </w:rPr>
            </w:pPr>
            <w:r>
              <w:rPr>
                <w:rFonts w:hint="default"/>
                <w:lang w:val="en-US" w:eastAsia="zh-CN"/>
              </w:rPr>
              <w:t>TW-6216</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7B70CB58">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177A8ED4">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0B1BC9C2">
            <w:pPr>
              <w:rPr>
                <w:rFonts w:hint="default"/>
                <w:lang w:val="en-US" w:eastAsia="zh-CN"/>
              </w:rPr>
            </w:pPr>
            <w:r>
              <w:rPr>
                <w:rFonts w:hint="eastAsia"/>
                <w:lang w:val="en-US" w:eastAsia="zh-CN"/>
              </w:rPr>
              <w:t>是</w:t>
            </w:r>
          </w:p>
        </w:tc>
      </w:tr>
      <w:tr w14:paraId="6F229D0A">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3A183704">
            <w:pPr>
              <w:rPr>
                <w:rFonts w:hint="default"/>
                <w:lang w:val="en-US" w:eastAsia="zh-CN"/>
              </w:rPr>
            </w:pPr>
            <w:r>
              <w:rPr>
                <w:rFonts w:hint="eastAsia"/>
                <w:lang w:val="en-US" w:eastAsia="zh-CN"/>
              </w:rPr>
              <w:t>5</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0FE2248F">
            <w:r>
              <w:t>台式浊度测定仪</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7016E5A">
            <w:pPr>
              <w:rPr>
                <w:rFonts w:hint="eastAsia"/>
                <w:lang w:val="en-US" w:eastAsia="zh-CN"/>
              </w:rPr>
            </w:pPr>
            <w:r>
              <w:rPr>
                <w:rFonts w:hint="eastAsia"/>
                <w:lang w:val="en-US" w:eastAsia="zh-CN"/>
              </w:rPr>
              <w:t>天宇沃特</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706F595E">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1F1C35DE">
            <w:pPr>
              <w:rPr>
                <w:rFonts w:hint="default"/>
                <w:lang w:val="en-US" w:eastAsia="zh-CN"/>
              </w:rPr>
            </w:pPr>
            <w:r>
              <w:rPr>
                <w:rFonts w:hint="default"/>
                <w:lang w:val="en-US" w:eastAsia="zh-CN"/>
              </w:rPr>
              <w:t>TW-5218</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62B8227A">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12C9FEF3">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1EC4E585">
            <w:pPr>
              <w:rPr>
                <w:rFonts w:hint="default"/>
                <w:lang w:val="en-US" w:eastAsia="zh-CN"/>
              </w:rPr>
            </w:pPr>
            <w:r>
              <w:rPr>
                <w:rFonts w:hint="eastAsia"/>
                <w:lang w:val="en-US" w:eastAsia="zh-CN"/>
              </w:rPr>
              <w:t>是</w:t>
            </w:r>
          </w:p>
        </w:tc>
      </w:tr>
      <w:tr w14:paraId="41EE0372">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7D76F7CC">
            <w:pPr>
              <w:rPr>
                <w:rFonts w:hint="default"/>
                <w:lang w:val="en-US" w:eastAsia="zh-CN"/>
              </w:rPr>
            </w:pPr>
            <w:r>
              <w:rPr>
                <w:rFonts w:hint="eastAsia"/>
                <w:lang w:val="en-US" w:eastAsia="zh-CN"/>
              </w:rPr>
              <w:t>6</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5E2E0C21">
            <w:r>
              <w:t>钠离子测定仪</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7A0955BA">
            <w:pPr>
              <w:rPr>
                <w:rFonts w:hint="eastAsia"/>
                <w:lang w:val="en-US" w:eastAsia="zh-CN"/>
              </w:rPr>
            </w:pPr>
            <w:r>
              <w:rPr>
                <w:rFonts w:hint="eastAsia"/>
                <w:lang w:val="en-US" w:eastAsia="zh-CN"/>
              </w:rPr>
              <w:t>天宇沃特</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4CD085B5">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404079B5">
            <w:pPr>
              <w:rPr>
                <w:rFonts w:hint="default"/>
                <w:lang w:val="en-US" w:eastAsia="zh-CN"/>
              </w:rPr>
            </w:pPr>
            <w:r>
              <w:rPr>
                <w:rFonts w:hint="default"/>
                <w:lang w:val="en-US" w:eastAsia="zh-CN"/>
              </w:rPr>
              <w:t>TW-6266</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28FBE2EA">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61A52716">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4516EAB4">
            <w:pPr>
              <w:rPr>
                <w:rFonts w:hint="default"/>
                <w:lang w:val="en-US" w:eastAsia="zh-CN"/>
              </w:rPr>
            </w:pPr>
            <w:r>
              <w:rPr>
                <w:rFonts w:hint="eastAsia"/>
                <w:lang w:val="en-US" w:eastAsia="zh-CN"/>
              </w:rPr>
              <w:t>是</w:t>
            </w:r>
          </w:p>
        </w:tc>
      </w:tr>
      <w:tr w14:paraId="535BD639">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1F1EC163">
            <w:pPr>
              <w:rPr>
                <w:rFonts w:hint="default"/>
                <w:lang w:val="en-US" w:eastAsia="zh-CN"/>
              </w:rPr>
            </w:pPr>
            <w:r>
              <w:rPr>
                <w:rFonts w:hint="eastAsia"/>
                <w:lang w:val="en-US" w:eastAsia="zh-CN"/>
              </w:rPr>
              <w:t>7</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142D2869">
            <w:r>
              <w:t>便携式PH测定仪</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04C5E20B">
            <w:pPr>
              <w:rPr>
                <w:rFonts w:hint="eastAsia"/>
                <w:lang w:val="en-US" w:eastAsia="zh-CN"/>
              </w:rPr>
            </w:pPr>
            <w:r>
              <w:rPr>
                <w:rFonts w:hint="eastAsia"/>
                <w:lang w:val="en-US" w:eastAsia="zh-CN"/>
              </w:rPr>
              <w:t>天宇沃特</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5B596601">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67658D5B">
            <w:pPr>
              <w:rPr>
                <w:rFonts w:hint="default"/>
                <w:lang w:val="en-US" w:eastAsia="zh-CN"/>
              </w:rPr>
            </w:pPr>
            <w:r>
              <w:rPr>
                <w:rFonts w:hint="default"/>
                <w:lang w:val="en-US" w:eastAsia="zh-CN"/>
              </w:rPr>
              <w:t>TW-6196A</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32D034CC">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02DFD5F4">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794D0FE4">
            <w:pPr>
              <w:rPr>
                <w:rFonts w:hint="default"/>
                <w:lang w:val="en-US" w:eastAsia="zh-CN"/>
              </w:rPr>
            </w:pPr>
            <w:r>
              <w:rPr>
                <w:rFonts w:hint="eastAsia"/>
                <w:lang w:val="en-US" w:eastAsia="zh-CN"/>
              </w:rPr>
              <w:t>是</w:t>
            </w:r>
          </w:p>
        </w:tc>
      </w:tr>
      <w:tr w14:paraId="5E4F742C">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678A551D">
            <w:pPr>
              <w:rPr>
                <w:rFonts w:hint="default"/>
                <w:lang w:val="en-US" w:eastAsia="zh-CN"/>
              </w:rPr>
            </w:pPr>
            <w:r>
              <w:rPr>
                <w:rFonts w:hint="eastAsia"/>
                <w:lang w:val="en-US" w:eastAsia="zh-CN"/>
              </w:rPr>
              <w:t>8</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55FA9CAE">
            <w:r>
              <w:t>便携式浊度测定仪</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B9108D3">
            <w:pPr>
              <w:rPr>
                <w:rFonts w:hint="eastAsia"/>
                <w:lang w:val="en-US" w:eastAsia="zh-CN"/>
              </w:rPr>
            </w:pPr>
            <w:r>
              <w:rPr>
                <w:rFonts w:hint="eastAsia"/>
                <w:lang w:val="en-US" w:eastAsia="zh-CN"/>
              </w:rPr>
              <w:t>天宇沃特</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49729232">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3F114D94">
            <w:pPr>
              <w:rPr>
                <w:rFonts w:hint="default"/>
                <w:lang w:val="en-US" w:eastAsia="zh-CN"/>
              </w:rPr>
            </w:pPr>
            <w:r>
              <w:rPr>
                <w:rFonts w:hint="eastAsia"/>
                <w:lang w:val="en-US" w:eastAsia="zh-CN"/>
              </w:rPr>
              <w:t>TW-5118</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0962021A">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5AB1C556">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5E06158E">
            <w:pPr>
              <w:rPr>
                <w:rFonts w:hint="default"/>
                <w:lang w:val="en-US" w:eastAsia="zh-CN"/>
              </w:rPr>
            </w:pPr>
            <w:r>
              <w:rPr>
                <w:rFonts w:hint="eastAsia"/>
                <w:lang w:val="en-US" w:eastAsia="zh-CN"/>
              </w:rPr>
              <w:t>是</w:t>
            </w:r>
          </w:p>
        </w:tc>
      </w:tr>
      <w:tr w14:paraId="1D4C3339">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7223D335">
            <w:pPr>
              <w:rPr>
                <w:rFonts w:hint="default"/>
                <w:lang w:val="en-US" w:eastAsia="zh-CN"/>
              </w:rPr>
            </w:pPr>
            <w:r>
              <w:rPr>
                <w:rFonts w:hint="eastAsia"/>
                <w:lang w:val="en-US" w:eastAsia="zh-CN"/>
              </w:rPr>
              <w:t>9</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2B41C814">
            <w:r>
              <w:t>便携式电导率测定仪</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5A1BA0B5">
            <w:pPr>
              <w:rPr>
                <w:rFonts w:hint="eastAsia"/>
                <w:lang w:val="en-US" w:eastAsia="zh-CN"/>
              </w:rPr>
            </w:pPr>
            <w:r>
              <w:rPr>
                <w:rFonts w:hint="eastAsia"/>
                <w:lang w:val="en-US" w:eastAsia="zh-CN"/>
              </w:rPr>
              <w:t>天宇沃特</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290DB2BF">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0E8A36C2">
            <w:pPr>
              <w:rPr>
                <w:rFonts w:hint="default"/>
                <w:lang w:val="en-US" w:eastAsia="zh-CN"/>
              </w:rPr>
            </w:pPr>
            <w:r>
              <w:rPr>
                <w:rFonts w:hint="eastAsia"/>
                <w:lang w:val="en-US" w:eastAsia="zh-CN"/>
              </w:rPr>
              <w:t>TW-6196B</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5A6A66B6">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442FE2FC">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691396C2">
            <w:pPr>
              <w:rPr>
                <w:rFonts w:hint="default"/>
                <w:lang w:val="en-US" w:eastAsia="zh-CN"/>
              </w:rPr>
            </w:pPr>
            <w:r>
              <w:rPr>
                <w:rFonts w:hint="eastAsia"/>
                <w:lang w:val="en-US" w:eastAsia="zh-CN"/>
              </w:rPr>
              <w:t>是</w:t>
            </w:r>
          </w:p>
        </w:tc>
      </w:tr>
      <w:tr w14:paraId="46CEFB71">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4666AFE0">
            <w:pPr>
              <w:rPr>
                <w:rFonts w:hint="default"/>
                <w:lang w:val="en-US" w:eastAsia="zh-CN"/>
              </w:rPr>
            </w:pPr>
            <w:r>
              <w:rPr>
                <w:rFonts w:hint="eastAsia"/>
                <w:lang w:val="en-US" w:eastAsia="zh-CN"/>
              </w:rPr>
              <w:t>10</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7AE2E104">
            <w:r>
              <w:t>便携式余氯测定仪</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B2DA534">
            <w:pPr>
              <w:rPr>
                <w:rFonts w:hint="eastAsia"/>
                <w:lang w:val="en-US" w:eastAsia="zh-CN"/>
              </w:rPr>
            </w:pPr>
            <w:r>
              <w:rPr>
                <w:rFonts w:hint="eastAsia"/>
              </w:rPr>
              <w:t>奥立龙</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3F15D447">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51FA0514">
            <w:pPr>
              <w:rPr>
                <w:rFonts w:hint="default"/>
                <w:lang w:val="en-US" w:eastAsia="zh-CN"/>
              </w:rPr>
            </w:pPr>
            <w:r>
              <w:rPr>
                <w:rFonts w:hint="eastAsia"/>
                <w:lang w:val="en-US" w:eastAsia="zh-CN"/>
              </w:rPr>
              <w:t>AQ3170</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26AFF95C">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74F4526F">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51B56CF4">
            <w:pPr>
              <w:rPr>
                <w:rFonts w:hint="default"/>
                <w:lang w:val="en-US" w:eastAsia="zh-CN"/>
              </w:rPr>
            </w:pPr>
            <w:r>
              <w:rPr>
                <w:rFonts w:hint="eastAsia"/>
                <w:lang w:val="en-US" w:eastAsia="zh-CN"/>
              </w:rPr>
              <w:t>是</w:t>
            </w:r>
          </w:p>
        </w:tc>
      </w:tr>
      <w:tr w14:paraId="6C89A7D0">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3736708A">
            <w:pPr>
              <w:rPr>
                <w:rFonts w:hint="default"/>
                <w:lang w:val="en-US" w:eastAsia="zh-CN"/>
              </w:rPr>
            </w:pPr>
            <w:r>
              <w:rPr>
                <w:rFonts w:hint="eastAsia"/>
                <w:lang w:val="en-US" w:eastAsia="zh-CN"/>
              </w:rPr>
              <w:t>11</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7752201D">
            <w:r>
              <w:t>便携式溶解氧测定仪</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2C15A606">
            <w:pPr>
              <w:rPr>
                <w:rFonts w:hint="eastAsia"/>
                <w:lang w:val="en-US" w:eastAsia="zh-CN"/>
              </w:rPr>
            </w:pPr>
            <w:r>
              <w:rPr>
                <w:rFonts w:hint="eastAsia"/>
                <w:lang w:val="en-US" w:eastAsia="zh-CN"/>
              </w:rPr>
              <w:t>天宇沃特</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02080EC9">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7DBFA04A">
            <w:pPr>
              <w:rPr>
                <w:rFonts w:hint="default"/>
                <w:lang w:val="en-US" w:eastAsia="zh-CN"/>
              </w:rPr>
            </w:pPr>
            <w:r>
              <w:rPr>
                <w:rFonts w:hint="eastAsia"/>
                <w:lang w:val="en-US" w:eastAsia="zh-CN"/>
              </w:rPr>
              <w:t>TW-6136</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71880703">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2A0CB5C2">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33982833">
            <w:pPr>
              <w:rPr>
                <w:rFonts w:hint="default"/>
                <w:lang w:val="en-US" w:eastAsia="zh-CN"/>
              </w:rPr>
            </w:pPr>
            <w:r>
              <w:rPr>
                <w:rFonts w:hint="eastAsia"/>
                <w:lang w:val="en-US" w:eastAsia="zh-CN"/>
              </w:rPr>
              <w:t>是</w:t>
            </w:r>
          </w:p>
        </w:tc>
      </w:tr>
      <w:tr w14:paraId="6A418AFD">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58D3A60A">
            <w:pPr>
              <w:rPr>
                <w:rFonts w:hint="default"/>
                <w:lang w:val="en-US" w:eastAsia="zh-CN"/>
              </w:rPr>
            </w:pPr>
            <w:r>
              <w:rPr>
                <w:rFonts w:hint="eastAsia"/>
                <w:lang w:val="en-US" w:eastAsia="zh-CN"/>
              </w:rPr>
              <w:t>12</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110C914A">
            <w:r>
              <w:rPr>
                <w:rFonts w:hint="eastAsia"/>
              </w:rPr>
              <w:t>紫外可见</w:t>
            </w:r>
            <w:r>
              <w:t>光</w:t>
            </w:r>
            <w:r>
              <w:rPr>
                <w:rFonts w:hint="eastAsia"/>
              </w:rPr>
              <w:t>分光</w:t>
            </w:r>
            <w:r>
              <w:t>光度计</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64B53421">
            <w:pPr>
              <w:rPr>
                <w:rFonts w:hint="eastAsia"/>
                <w:lang w:val="en-US" w:eastAsia="zh-CN"/>
              </w:rPr>
            </w:pPr>
            <w:r>
              <w:rPr>
                <w:rFonts w:hint="eastAsia"/>
                <w:lang w:val="en-US" w:eastAsia="zh-CN"/>
              </w:rPr>
              <w:t>上海元析</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5CE8CE0C">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7D39261C">
            <w:pPr>
              <w:rPr>
                <w:rFonts w:hint="default"/>
                <w:lang w:val="en-US" w:eastAsia="zh-CN"/>
              </w:rPr>
            </w:pPr>
            <w:r>
              <w:rPr>
                <w:rFonts w:hint="eastAsia"/>
                <w:lang w:val="en-US" w:eastAsia="zh-CN"/>
              </w:rPr>
              <w:t>UV-5100</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73F9F77C">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7E4DB1D9">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766CA6FB">
            <w:pPr>
              <w:rPr>
                <w:rFonts w:hint="default"/>
                <w:lang w:val="en-US" w:eastAsia="zh-CN"/>
              </w:rPr>
            </w:pPr>
            <w:r>
              <w:rPr>
                <w:rFonts w:hint="eastAsia"/>
                <w:lang w:val="en-US" w:eastAsia="zh-CN"/>
              </w:rPr>
              <w:t>是</w:t>
            </w:r>
          </w:p>
        </w:tc>
      </w:tr>
      <w:tr w14:paraId="139D4849">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auto" w:sz="4" w:space="0"/>
              <w:right w:val="single" w:color="000000" w:sz="4" w:space="0"/>
            </w:tcBorders>
            <w:noWrap/>
            <w:vAlign w:val="center"/>
          </w:tcPr>
          <w:p w14:paraId="1C27A41E">
            <w:pPr>
              <w:rPr>
                <w:rFonts w:hint="default"/>
                <w:lang w:val="en-US" w:eastAsia="zh-CN"/>
              </w:rPr>
            </w:pPr>
            <w:r>
              <w:rPr>
                <w:rFonts w:hint="eastAsia"/>
                <w:lang w:val="en-US" w:eastAsia="zh-CN"/>
              </w:rPr>
              <w:t>13</w:t>
            </w:r>
          </w:p>
        </w:tc>
        <w:tc>
          <w:tcPr>
            <w:tcW w:w="2640" w:type="dxa"/>
            <w:tcBorders>
              <w:top w:val="single" w:color="000000" w:sz="4" w:space="0"/>
              <w:left w:val="single" w:color="000000" w:sz="4" w:space="0"/>
              <w:bottom w:val="single" w:color="auto" w:sz="4" w:space="0"/>
              <w:right w:val="single" w:color="000000" w:sz="4" w:space="0"/>
            </w:tcBorders>
            <w:noWrap/>
            <w:vAlign w:val="center"/>
          </w:tcPr>
          <w:p w14:paraId="6FC821C6">
            <w:r>
              <w:rPr>
                <w:rFonts w:hint="eastAsia"/>
              </w:rPr>
              <w:t>COD分析仪（带消解器）</w:t>
            </w:r>
          </w:p>
        </w:tc>
        <w:tc>
          <w:tcPr>
            <w:tcW w:w="1185" w:type="dxa"/>
            <w:tcBorders>
              <w:top w:val="single" w:color="000000" w:sz="4" w:space="0"/>
              <w:left w:val="single" w:color="000000" w:sz="4" w:space="0"/>
              <w:bottom w:val="single" w:color="auto" w:sz="4" w:space="0"/>
              <w:right w:val="single" w:color="000000" w:sz="4" w:space="0"/>
            </w:tcBorders>
            <w:noWrap/>
            <w:vAlign w:val="center"/>
          </w:tcPr>
          <w:p w14:paraId="028911E6">
            <w:pPr>
              <w:rPr>
                <w:rFonts w:hint="eastAsia"/>
                <w:lang w:val="en-US" w:eastAsia="zh-CN"/>
              </w:rPr>
            </w:pPr>
            <w:r>
              <w:rPr>
                <w:rFonts w:hint="eastAsia"/>
                <w:lang w:val="en-US" w:eastAsia="zh-CN"/>
              </w:rPr>
              <w:t>连华科技</w:t>
            </w:r>
          </w:p>
        </w:tc>
        <w:tc>
          <w:tcPr>
            <w:tcW w:w="1125" w:type="dxa"/>
            <w:tcBorders>
              <w:top w:val="single" w:color="000000" w:sz="4" w:space="0"/>
              <w:left w:val="single" w:color="000000" w:sz="4" w:space="0"/>
              <w:bottom w:val="single" w:color="auto" w:sz="4" w:space="0"/>
              <w:right w:val="single" w:color="000000" w:sz="4" w:space="0"/>
            </w:tcBorders>
            <w:noWrap/>
            <w:vAlign w:val="center"/>
          </w:tcPr>
          <w:p w14:paraId="3680F7A8">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auto" w:sz="4" w:space="0"/>
              <w:right w:val="single" w:color="000000" w:sz="4" w:space="0"/>
            </w:tcBorders>
            <w:noWrap/>
            <w:vAlign w:val="center"/>
          </w:tcPr>
          <w:p w14:paraId="2846402F">
            <w:pPr>
              <w:rPr>
                <w:rFonts w:hint="default"/>
                <w:lang w:val="en-US" w:eastAsia="zh-CN"/>
              </w:rPr>
            </w:pPr>
            <w:r>
              <w:rPr>
                <w:rFonts w:hint="eastAsia"/>
                <w:lang w:val="en-US" w:eastAsia="zh-CN"/>
              </w:rPr>
              <w:t>5B-3C</w:t>
            </w:r>
          </w:p>
        </w:tc>
        <w:tc>
          <w:tcPr>
            <w:tcW w:w="3068" w:type="dxa"/>
            <w:gridSpan w:val="2"/>
            <w:tcBorders>
              <w:top w:val="single" w:color="000000" w:sz="4" w:space="0"/>
              <w:left w:val="single" w:color="000000" w:sz="4" w:space="0"/>
              <w:bottom w:val="single" w:color="auto" w:sz="4" w:space="0"/>
              <w:right w:val="single" w:color="000000" w:sz="4" w:space="0"/>
            </w:tcBorders>
            <w:noWrap/>
            <w:vAlign w:val="bottom"/>
          </w:tcPr>
          <w:p w14:paraId="2270D8FE">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auto" w:sz="4" w:space="0"/>
              <w:right w:val="single" w:color="000000" w:sz="4" w:space="0"/>
            </w:tcBorders>
            <w:noWrap/>
            <w:vAlign w:val="bottom"/>
          </w:tcPr>
          <w:p w14:paraId="75B7DED7">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auto" w:sz="4" w:space="0"/>
              <w:right w:val="single" w:color="000000" w:sz="4" w:space="0"/>
            </w:tcBorders>
            <w:noWrap/>
            <w:vAlign w:val="bottom"/>
          </w:tcPr>
          <w:p w14:paraId="0D654B07">
            <w:pPr>
              <w:rPr>
                <w:rFonts w:hint="default"/>
                <w:lang w:val="en-US" w:eastAsia="zh-CN"/>
              </w:rPr>
            </w:pPr>
            <w:r>
              <w:rPr>
                <w:rFonts w:hint="eastAsia"/>
                <w:lang w:val="en-US" w:eastAsia="zh-CN"/>
              </w:rPr>
              <w:t>是</w:t>
            </w:r>
          </w:p>
        </w:tc>
      </w:tr>
      <w:tr w14:paraId="3344A2F9">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auto" w:sz="4" w:space="0"/>
              <w:right w:val="single" w:color="000000" w:sz="4" w:space="0"/>
            </w:tcBorders>
            <w:noWrap/>
            <w:vAlign w:val="center"/>
          </w:tcPr>
          <w:p w14:paraId="1BFA1495">
            <w:pPr>
              <w:rPr>
                <w:rFonts w:hint="default"/>
                <w:lang w:val="en-US" w:eastAsia="zh-CN"/>
              </w:rPr>
            </w:pPr>
            <w:r>
              <w:rPr>
                <w:rFonts w:hint="eastAsia"/>
                <w:lang w:val="en-US" w:eastAsia="zh-CN"/>
              </w:rPr>
              <w:t>14</w:t>
            </w:r>
          </w:p>
        </w:tc>
        <w:tc>
          <w:tcPr>
            <w:tcW w:w="2640" w:type="dxa"/>
            <w:tcBorders>
              <w:top w:val="single" w:color="000000" w:sz="4" w:space="0"/>
              <w:left w:val="single" w:color="000000" w:sz="4" w:space="0"/>
              <w:bottom w:val="single" w:color="auto" w:sz="4" w:space="0"/>
              <w:right w:val="single" w:color="000000" w:sz="4" w:space="0"/>
            </w:tcBorders>
            <w:noWrap/>
            <w:vAlign w:val="center"/>
          </w:tcPr>
          <w:p w14:paraId="60E072F7">
            <w:pPr>
              <w:rPr>
                <w:rFonts w:hint="eastAsia"/>
              </w:rPr>
            </w:pPr>
            <w:r>
              <w:t>电子天平1</w:t>
            </w:r>
          </w:p>
        </w:tc>
        <w:tc>
          <w:tcPr>
            <w:tcW w:w="1185" w:type="dxa"/>
            <w:tcBorders>
              <w:top w:val="single" w:color="000000" w:sz="4" w:space="0"/>
              <w:left w:val="single" w:color="000000" w:sz="4" w:space="0"/>
              <w:bottom w:val="single" w:color="auto" w:sz="4" w:space="0"/>
              <w:right w:val="single" w:color="000000" w:sz="4" w:space="0"/>
            </w:tcBorders>
            <w:noWrap/>
            <w:vAlign w:val="center"/>
          </w:tcPr>
          <w:p w14:paraId="1F0FAF61">
            <w:pPr>
              <w:rPr>
                <w:rFonts w:hint="eastAsia"/>
                <w:lang w:val="en-US" w:eastAsia="zh-CN"/>
              </w:rPr>
            </w:pPr>
            <w:r>
              <w:t>赛多利斯</w:t>
            </w:r>
          </w:p>
        </w:tc>
        <w:tc>
          <w:tcPr>
            <w:tcW w:w="1125" w:type="dxa"/>
            <w:tcBorders>
              <w:top w:val="single" w:color="000000" w:sz="4" w:space="0"/>
              <w:left w:val="single" w:color="000000" w:sz="4" w:space="0"/>
              <w:bottom w:val="single" w:color="auto" w:sz="4" w:space="0"/>
              <w:right w:val="single" w:color="000000" w:sz="4" w:space="0"/>
            </w:tcBorders>
            <w:noWrap/>
            <w:vAlign w:val="center"/>
          </w:tcPr>
          <w:p w14:paraId="004C222B">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auto" w:sz="4" w:space="0"/>
              <w:right w:val="single" w:color="000000" w:sz="4" w:space="0"/>
            </w:tcBorders>
            <w:noWrap/>
            <w:vAlign w:val="center"/>
          </w:tcPr>
          <w:p w14:paraId="1F40D338">
            <w:pPr>
              <w:rPr>
                <w:rFonts w:hint="eastAsia"/>
                <w:lang w:val="en-US" w:eastAsia="zh-CN"/>
              </w:rPr>
            </w:pPr>
            <w:r>
              <w:rPr>
                <w:rFonts w:hint="eastAsia"/>
              </w:rPr>
              <w:t>GL224i-1SN</w:t>
            </w:r>
          </w:p>
        </w:tc>
        <w:tc>
          <w:tcPr>
            <w:tcW w:w="3068" w:type="dxa"/>
            <w:gridSpan w:val="2"/>
            <w:tcBorders>
              <w:top w:val="single" w:color="000000" w:sz="4" w:space="0"/>
              <w:left w:val="single" w:color="000000" w:sz="4" w:space="0"/>
              <w:bottom w:val="single" w:color="auto" w:sz="4" w:space="0"/>
              <w:right w:val="single" w:color="000000" w:sz="4" w:space="0"/>
            </w:tcBorders>
            <w:noWrap/>
            <w:vAlign w:val="bottom"/>
          </w:tcPr>
          <w:p w14:paraId="6FFD8973">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auto" w:sz="4" w:space="0"/>
              <w:right w:val="single" w:color="000000" w:sz="4" w:space="0"/>
            </w:tcBorders>
            <w:noWrap/>
            <w:vAlign w:val="bottom"/>
          </w:tcPr>
          <w:p w14:paraId="5B6B67CD">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auto" w:sz="4" w:space="0"/>
              <w:right w:val="single" w:color="000000" w:sz="4" w:space="0"/>
            </w:tcBorders>
            <w:noWrap/>
            <w:vAlign w:val="bottom"/>
          </w:tcPr>
          <w:p w14:paraId="2C641F59">
            <w:pPr>
              <w:rPr>
                <w:rFonts w:hint="default"/>
                <w:lang w:val="en-US" w:eastAsia="zh-CN"/>
              </w:rPr>
            </w:pPr>
            <w:r>
              <w:rPr>
                <w:rFonts w:hint="eastAsia"/>
                <w:lang w:val="en-US" w:eastAsia="zh-CN"/>
              </w:rPr>
              <w:t>是</w:t>
            </w:r>
          </w:p>
        </w:tc>
      </w:tr>
      <w:tr w14:paraId="2A0F921E">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auto" w:sz="4" w:space="0"/>
              <w:right w:val="single" w:color="000000" w:sz="4" w:space="0"/>
            </w:tcBorders>
            <w:noWrap/>
            <w:vAlign w:val="center"/>
          </w:tcPr>
          <w:p w14:paraId="3CCA1E0A">
            <w:pPr>
              <w:rPr>
                <w:rFonts w:hint="default"/>
                <w:lang w:val="en-US" w:eastAsia="zh-CN"/>
              </w:rPr>
            </w:pPr>
            <w:r>
              <w:rPr>
                <w:rFonts w:hint="eastAsia"/>
                <w:lang w:val="en-US" w:eastAsia="zh-CN"/>
              </w:rPr>
              <w:t>15</w:t>
            </w:r>
          </w:p>
        </w:tc>
        <w:tc>
          <w:tcPr>
            <w:tcW w:w="2640" w:type="dxa"/>
            <w:tcBorders>
              <w:top w:val="single" w:color="000000" w:sz="4" w:space="0"/>
              <w:left w:val="single" w:color="000000" w:sz="4" w:space="0"/>
              <w:bottom w:val="single" w:color="auto" w:sz="4" w:space="0"/>
              <w:right w:val="single" w:color="000000" w:sz="4" w:space="0"/>
            </w:tcBorders>
            <w:noWrap/>
            <w:vAlign w:val="center"/>
          </w:tcPr>
          <w:p w14:paraId="7F17BB8F">
            <w:pPr>
              <w:rPr>
                <w:rFonts w:hint="eastAsia"/>
              </w:rPr>
            </w:pPr>
            <w:r>
              <w:t>电子天平</w:t>
            </w:r>
            <w:r>
              <w:rPr>
                <w:rFonts w:hint="eastAsia"/>
              </w:rPr>
              <w:t>3</w:t>
            </w:r>
          </w:p>
        </w:tc>
        <w:tc>
          <w:tcPr>
            <w:tcW w:w="1185" w:type="dxa"/>
            <w:tcBorders>
              <w:top w:val="single" w:color="000000" w:sz="4" w:space="0"/>
              <w:left w:val="single" w:color="000000" w:sz="4" w:space="0"/>
              <w:bottom w:val="single" w:color="auto" w:sz="4" w:space="0"/>
              <w:right w:val="single" w:color="000000" w:sz="4" w:space="0"/>
            </w:tcBorders>
            <w:noWrap/>
            <w:vAlign w:val="center"/>
          </w:tcPr>
          <w:p w14:paraId="14DFDACA">
            <w:pPr>
              <w:rPr>
                <w:rFonts w:hint="eastAsia"/>
                <w:lang w:val="en-US" w:eastAsia="zh-CN"/>
              </w:rPr>
            </w:pPr>
            <w:r>
              <w:t>赛多利斯</w:t>
            </w:r>
          </w:p>
        </w:tc>
        <w:tc>
          <w:tcPr>
            <w:tcW w:w="1125" w:type="dxa"/>
            <w:tcBorders>
              <w:top w:val="single" w:color="000000" w:sz="4" w:space="0"/>
              <w:left w:val="single" w:color="000000" w:sz="4" w:space="0"/>
              <w:bottom w:val="single" w:color="auto" w:sz="4" w:space="0"/>
              <w:right w:val="single" w:color="000000" w:sz="4" w:space="0"/>
            </w:tcBorders>
            <w:noWrap/>
            <w:vAlign w:val="center"/>
          </w:tcPr>
          <w:p w14:paraId="119CBDC9">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auto" w:sz="4" w:space="0"/>
              <w:right w:val="single" w:color="000000" w:sz="4" w:space="0"/>
            </w:tcBorders>
            <w:noWrap/>
            <w:vAlign w:val="center"/>
          </w:tcPr>
          <w:p w14:paraId="2146D9C3">
            <w:pPr>
              <w:rPr>
                <w:rFonts w:hint="eastAsia"/>
                <w:lang w:val="en-US" w:eastAsia="zh-CN"/>
              </w:rPr>
            </w:pPr>
            <w:r>
              <w:rPr>
                <w:rFonts w:hint="eastAsia"/>
              </w:rPr>
              <w:t>GL3202-1SCN</w:t>
            </w:r>
          </w:p>
        </w:tc>
        <w:tc>
          <w:tcPr>
            <w:tcW w:w="3068" w:type="dxa"/>
            <w:gridSpan w:val="2"/>
            <w:tcBorders>
              <w:top w:val="single" w:color="000000" w:sz="4" w:space="0"/>
              <w:left w:val="single" w:color="000000" w:sz="4" w:space="0"/>
              <w:bottom w:val="single" w:color="auto" w:sz="4" w:space="0"/>
              <w:right w:val="single" w:color="000000" w:sz="4" w:space="0"/>
            </w:tcBorders>
            <w:noWrap/>
            <w:vAlign w:val="bottom"/>
          </w:tcPr>
          <w:p w14:paraId="6203953F">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auto" w:sz="4" w:space="0"/>
              <w:right w:val="single" w:color="000000" w:sz="4" w:space="0"/>
            </w:tcBorders>
            <w:noWrap/>
            <w:vAlign w:val="bottom"/>
          </w:tcPr>
          <w:p w14:paraId="17C17677">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auto" w:sz="4" w:space="0"/>
              <w:right w:val="single" w:color="000000" w:sz="4" w:space="0"/>
            </w:tcBorders>
            <w:noWrap/>
            <w:vAlign w:val="bottom"/>
          </w:tcPr>
          <w:p w14:paraId="214580A4">
            <w:pPr>
              <w:rPr>
                <w:rFonts w:hint="default"/>
                <w:lang w:val="en-US" w:eastAsia="zh-CN"/>
              </w:rPr>
            </w:pPr>
            <w:r>
              <w:rPr>
                <w:rFonts w:hint="eastAsia"/>
                <w:lang w:val="en-US" w:eastAsia="zh-CN"/>
              </w:rPr>
              <w:t>是</w:t>
            </w:r>
          </w:p>
        </w:tc>
      </w:tr>
      <w:tr w14:paraId="07E8850C">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auto" w:sz="4" w:space="0"/>
              <w:right w:val="single" w:color="000000" w:sz="4" w:space="0"/>
            </w:tcBorders>
            <w:noWrap/>
            <w:vAlign w:val="center"/>
          </w:tcPr>
          <w:p w14:paraId="406F9175">
            <w:pPr>
              <w:rPr>
                <w:rFonts w:hint="default"/>
                <w:lang w:val="en-US" w:eastAsia="zh-CN"/>
              </w:rPr>
            </w:pPr>
            <w:r>
              <w:rPr>
                <w:rFonts w:hint="eastAsia"/>
                <w:lang w:val="en-US" w:eastAsia="zh-CN"/>
              </w:rPr>
              <w:t>16</w:t>
            </w:r>
          </w:p>
        </w:tc>
        <w:tc>
          <w:tcPr>
            <w:tcW w:w="2640" w:type="dxa"/>
            <w:tcBorders>
              <w:top w:val="single" w:color="000000" w:sz="4" w:space="0"/>
              <w:left w:val="single" w:color="000000" w:sz="4" w:space="0"/>
              <w:bottom w:val="single" w:color="auto" w:sz="4" w:space="0"/>
              <w:right w:val="single" w:color="000000" w:sz="4" w:space="0"/>
            </w:tcBorders>
            <w:noWrap/>
            <w:vAlign w:val="center"/>
          </w:tcPr>
          <w:p w14:paraId="1B3CC229">
            <w:r>
              <w:t>高纯水制水机</w:t>
            </w:r>
          </w:p>
        </w:tc>
        <w:tc>
          <w:tcPr>
            <w:tcW w:w="1185" w:type="dxa"/>
            <w:tcBorders>
              <w:top w:val="single" w:color="000000" w:sz="4" w:space="0"/>
              <w:left w:val="single" w:color="000000" w:sz="4" w:space="0"/>
              <w:bottom w:val="single" w:color="auto" w:sz="4" w:space="0"/>
              <w:right w:val="single" w:color="000000" w:sz="4" w:space="0"/>
            </w:tcBorders>
            <w:noWrap/>
            <w:vAlign w:val="center"/>
          </w:tcPr>
          <w:p w14:paraId="33CC064B">
            <w:r>
              <w:rPr>
                <w:rFonts w:hint="eastAsia"/>
                <w:lang w:val="en-US" w:eastAsia="zh-CN"/>
              </w:rPr>
              <w:t>泰州华源</w:t>
            </w:r>
          </w:p>
        </w:tc>
        <w:tc>
          <w:tcPr>
            <w:tcW w:w="1125" w:type="dxa"/>
            <w:tcBorders>
              <w:top w:val="single" w:color="000000" w:sz="4" w:space="0"/>
              <w:left w:val="single" w:color="000000" w:sz="4" w:space="0"/>
              <w:bottom w:val="single" w:color="auto" w:sz="4" w:space="0"/>
              <w:right w:val="single" w:color="000000" w:sz="4" w:space="0"/>
            </w:tcBorders>
            <w:noWrap/>
            <w:vAlign w:val="center"/>
          </w:tcPr>
          <w:p w14:paraId="3C1B2996">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auto" w:sz="4" w:space="0"/>
              <w:right w:val="single" w:color="000000" w:sz="4" w:space="0"/>
            </w:tcBorders>
            <w:noWrap/>
            <w:vAlign w:val="center"/>
          </w:tcPr>
          <w:p w14:paraId="7DC9CDEE">
            <w:pPr>
              <w:rPr>
                <w:rFonts w:hint="eastAsia"/>
              </w:rPr>
            </w:pPr>
            <w:r>
              <w:rPr>
                <w:rFonts w:hint="eastAsia"/>
                <w:lang w:val="en-US" w:eastAsia="zh-CN"/>
              </w:rPr>
              <w:t xml:space="preserve"> THYJ-40</w:t>
            </w:r>
          </w:p>
        </w:tc>
        <w:tc>
          <w:tcPr>
            <w:tcW w:w="3068" w:type="dxa"/>
            <w:gridSpan w:val="2"/>
            <w:tcBorders>
              <w:top w:val="single" w:color="000000" w:sz="4" w:space="0"/>
              <w:left w:val="single" w:color="000000" w:sz="4" w:space="0"/>
              <w:bottom w:val="single" w:color="auto" w:sz="4" w:space="0"/>
              <w:right w:val="single" w:color="000000" w:sz="4" w:space="0"/>
            </w:tcBorders>
            <w:noWrap/>
            <w:vAlign w:val="bottom"/>
          </w:tcPr>
          <w:p w14:paraId="4468DEEA">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auto" w:sz="4" w:space="0"/>
              <w:right w:val="single" w:color="000000" w:sz="4" w:space="0"/>
            </w:tcBorders>
            <w:noWrap/>
            <w:vAlign w:val="bottom"/>
          </w:tcPr>
          <w:p w14:paraId="768F2966">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auto" w:sz="4" w:space="0"/>
              <w:right w:val="single" w:color="000000" w:sz="4" w:space="0"/>
            </w:tcBorders>
            <w:noWrap/>
            <w:vAlign w:val="bottom"/>
          </w:tcPr>
          <w:p w14:paraId="02F53F1E">
            <w:pPr>
              <w:rPr>
                <w:rFonts w:hint="default"/>
                <w:lang w:val="en-US" w:eastAsia="zh-CN"/>
              </w:rPr>
            </w:pPr>
            <w:r>
              <w:rPr>
                <w:rFonts w:hint="eastAsia"/>
                <w:lang w:val="en-US" w:eastAsia="zh-CN"/>
              </w:rPr>
              <w:t>是</w:t>
            </w:r>
          </w:p>
        </w:tc>
      </w:tr>
      <w:tr w14:paraId="7A95FDA5">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auto" w:sz="4" w:space="0"/>
              <w:right w:val="single" w:color="000000" w:sz="4" w:space="0"/>
            </w:tcBorders>
            <w:noWrap/>
            <w:vAlign w:val="center"/>
          </w:tcPr>
          <w:p w14:paraId="25115770">
            <w:pPr>
              <w:rPr>
                <w:rFonts w:hint="default"/>
                <w:lang w:val="en-US" w:eastAsia="zh-CN"/>
              </w:rPr>
            </w:pPr>
            <w:r>
              <w:rPr>
                <w:rFonts w:hint="eastAsia"/>
                <w:lang w:val="en-US" w:eastAsia="zh-CN"/>
              </w:rPr>
              <w:t>17</w:t>
            </w:r>
          </w:p>
        </w:tc>
        <w:tc>
          <w:tcPr>
            <w:tcW w:w="2640" w:type="dxa"/>
            <w:tcBorders>
              <w:top w:val="single" w:color="000000" w:sz="4" w:space="0"/>
              <w:left w:val="single" w:color="000000" w:sz="4" w:space="0"/>
              <w:bottom w:val="single" w:color="auto" w:sz="4" w:space="0"/>
              <w:right w:val="single" w:color="000000" w:sz="4" w:space="0"/>
            </w:tcBorders>
            <w:noWrap/>
            <w:vAlign w:val="center"/>
          </w:tcPr>
          <w:p w14:paraId="713F4BFF">
            <w:r>
              <w:rPr>
                <w:rFonts w:hint="eastAsia"/>
                <w:lang w:val="en-US" w:eastAsia="zh-CN"/>
              </w:rPr>
              <w:t>电热板</w:t>
            </w:r>
          </w:p>
        </w:tc>
        <w:tc>
          <w:tcPr>
            <w:tcW w:w="1185" w:type="dxa"/>
            <w:tcBorders>
              <w:top w:val="single" w:color="000000" w:sz="4" w:space="0"/>
              <w:left w:val="single" w:color="000000" w:sz="4" w:space="0"/>
              <w:bottom w:val="single" w:color="auto" w:sz="4" w:space="0"/>
              <w:right w:val="single" w:color="000000" w:sz="4" w:space="0"/>
            </w:tcBorders>
            <w:noWrap/>
            <w:vAlign w:val="center"/>
          </w:tcPr>
          <w:p w14:paraId="0C541920">
            <w:r>
              <w:t>林茂科技</w:t>
            </w:r>
          </w:p>
        </w:tc>
        <w:tc>
          <w:tcPr>
            <w:tcW w:w="1125" w:type="dxa"/>
            <w:tcBorders>
              <w:top w:val="single" w:color="000000" w:sz="4" w:space="0"/>
              <w:left w:val="single" w:color="000000" w:sz="4" w:space="0"/>
              <w:bottom w:val="single" w:color="auto" w:sz="4" w:space="0"/>
              <w:right w:val="single" w:color="000000" w:sz="4" w:space="0"/>
            </w:tcBorders>
            <w:noWrap/>
            <w:vAlign w:val="center"/>
          </w:tcPr>
          <w:p w14:paraId="50A73D57">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auto" w:sz="4" w:space="0"/>
              <w:right w:val="single" w:color="000000" w:sz="4" w:space="0"/>
            </w:tcBorders>
            <w:noWrap/>
            <w:vAlign w:val="center"/>
          </w:tcPr>
          <w:p w14:paraId="51AA5008">
            <w:pPr>
              <w:rPr>
                <w:rFonts w:hint="eastAsia"/>
              </w:rPr>
            </w:pPr>
            <w:r>
              <w:rPr>
                <w:rFonts w:hint="eastAsia"/>
                <w:lang w:val="en-US" w:eastAsia="zh-CN"/>
              </w:rPr>
              <w:t xml:space="preserve">DF-101S </w:t>
            </w:r>
          </w:p>
        </w:tc>
        <w:tc>
          <w:tcPr>
            <w:tcW w:w="3068" w:type="dxa"/>
            <w:gridSpan w:val="2"/>
            <w:tcBorders>
              <w:top w:val="single" w:color="000000" w:sz="4" w:space="0"/>
              <w:left w:val="single" w:color="000000" w:sz="4" w:space="0"/>
              <w:bottom w:val="single" w:color="auto" w:sz="4" w:space="0"/>
              <w:right w:val="single" w:color="000000" w:sz="4" w:space="0"/>
            </w:tcBorders>
            <w:noWrap/>
            <w:vAlign w:val="bottom"/>
          </w:tcPr>
          <w:p w14:paraId="4D72043D">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auto" w:sz="4" w:space="0"/>
              <w:right w:val="single" w:color="000000" w:sz="4" w:space="0"/>
            </w:tcBorders>
            <w:noWrap/>
            <w:vAlign w:val="bottom"/>
          </w:tcPr>
          <w:p w14:paraId="33407BAB">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auto" w:sz="4" w:space="0"/>
              <w:right w:val="single" w:color="000000" w:sz="4" w:space="0"/>
            </w:tcBorders>
            <w:noWrap/>
            <w:vAlign w:val="bottom"/>
          </w:tcPr>
          <w:p w14:paraId="21DAFB6D">
            <w:pPr>
              <w:rPr>
                <w:rFonts w:hint="default"/>
                <w:lang w:val="en-US" w:eastAsia="zh-CN"/>
              </w:rPr>
            </w:pPr>
            <w:r>
              <w:rPr>
                <w:rFonts w:hint="eastAsia"/>
                <w:lang w:val="en-US" w:eastAsia="zh-CN"/>
              </w:rPr>
              <w:t>是</w:t>
            </w:r>
          </w:p>
        </w:tc>
      </w:tr>
      <w:tr w14:paraId="7F34B86A">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auto" w:sz="4" w:space="0"/>
              <w:right w:val="single" w:color="000000" w:sz="4" w:space="0"/>
            </w:tcBorders>
            <w:noWrap/>
            <w:vAlign w:val="center"/>
          </w:tcPr>
          <w:p w14:paraId="5DD2032C">
            <w:pPr>
              <w:rPr>
                <w:rFonts w:hint="default"/>
                <w:lang w:val="en-US" w:eastAsia="zh-CN"/>
              </w:rPr>
            </w:pPr>
            <w:r>
              <w:rPr>
                <w:rFonts w:hint="eastAsia"/>
                <w:lang w:val="en-US" w:eastAsia="zh-CN"/>
              </w:rPr>
              <w:t>18</w:t>
            </w:r>
          </w:p>
        </w:tc>
        <w:tc>
          <w:tcPr>
            <w:tcW w:w="2640" w:type="dxa"/>
            <w:tcBorders>
              <w:top w:val="single" w:color="000000" w:sz="4" w:space="0"/>
              <w:left w:val="single" w:color="000000" w:sz="4" w:space="0"/>
              <w:bottom w:val="single" w:color="auto" w:sz="4" w:space="0"/>
              <w:right w:val="single" w:color="000000" w:sz="4" w:space="0"/>
            </w:tcBorders>
            <w:noWrap/>
            <w:vAlign w:val="center"/>
          </w:tcPr>
          <w:p w14:paraId="27544DDE">
            <w:pPr>
              <w:rPr>
                <w:rFonts w:hint="eastAsia"/>
                <w:lang w:val="en-US" w:eastAsia="zh-CN"/>
              </w:rPr>
            </w:pPr>
            <w:r>
              <w:rPr>
                <w:rFonts w:hint="eastAsia"/>
              </w:rPr>
              <w:t>加热式磁力搅拌器</w:t>
            </w:r>
          </w:p>
        </w:tc>
        <w:tc>
          <w:tcPr>
            <w:tcW w:w="1185" w:type="dxa"/>
            <w:tcBorders>
              <w:top w:val="single" w:color="000000" w:sz="4" w:space="0"/>
              <w:left w:val="single" w:color="000000" w:sz="4" w:space="0"/>
              <w:bottom w:val="single" w:color="auto" w:sz="4" w:space="0"/>
              <w:right w:val="single" w:color="000000" w:sz="4" w:space="0"/>
            </w:tcBorders>
            <w:noWrap/>
            <w:vAlign w:val="center"/>
          </w:tcPr>
          <w:p w14:paraId="42138507">
            <w:r>
              <w:t>林茂科技</w:t>
            </w:r>
          </w:p>
        </w:tc>
        <w:tc>
          <w:tcPr>
            <w:tcW w:w="1125" w:type="dxa"/>
            <w:tcBorders>
              <w:top w:val="single" w:color="000000" w:sz="4" w:space="0"/>
              <w:left w:val="single" w:color="000000" w:sz="4" w:space="0"/>
              <w:bottom w:val="single" w:color="auto" w:sz="4" w:space="0"/>
              <w:right w:val="single" w:color="000000" w:sz="4" w:space="0"/>
            </w:tcBorders>
            <w:noWrap/>
            <w:vAlign w:val="center"/>
          </w:tcPr>
          <w:p w14:paraId="774BE57A">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auto" w:sz="4" w:space="0"/>
              <w:right w:val="single" w:color="000000" w:sz="4" w:space="0"/>
            </w:tcBorders>
            <w:noWrap/>
            <w:vAlign w:val="center"/>
          </w:tcPr>
          <w:p w14:paraId="39D1770E">
            <w:pPr>
              <w:rPr>
                <w:rFonts w:hint="eastAsia"/>
                <w:lang w:val="en-US" w:eastAsia="zh-CN"/>
              </w:rPr>
            </w:pPr>
            <w:r>
              <w:rPr>
                <w:rFonts w:hint="eastAsia"/>
                <w:lang w:val="en-US" w:eastAsia="zh-CN"/>
              </w:rPr>
              <w:t>DF-101S</w:t>
            </w:r>
          </w:p>
        </w:tc>
        <w:tc>
          <w:tcPr>
            <w:tcW w:w="3068" w:type="dxa"/>
            <w:gridSpan w:val="2"/>
            <w:tcBorders>
              <w:top w:val="single" w:color="000000" w:sz="4" w:space="0"/>
              <w:left w:val="single" w:color="000000" w:sz="4" w:space="0"/>
              <w:bottom w:val="single" w:color="auto" w:sz="4" w:space="0"/>
              <w:right w:val="single" w:color="000000" w:sz="4" w:space="0"/>
            </w:tcBorders>
            <w:noWrap/>
            <w:vAlign w:val="bottom"/>
          </w:tcPr>
          <w:p w14:paraId="6DAEAEFA">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auto" w:sz="4" w:space="0"/>
              <w:right w:val="single" w:color="000000" w:sz="4" w:space="0"/>
            </w:tcBorders>
            <w:noWrap/>
            <w:vAlign w:val="bottom"/>
          </w:tcPr>
          <w:p w14:paraId="35198A65">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auto" w:sz="4" w:space="0"/>
              <w:right w:val="single" w:color="000000" w:sz="4" w:space="0"/>
            </w:tcBorders>
            <w:noWrap/>
            <w:vAlign w:val="bottom"/>
          </w:tcPr>
          <w:p w14:paraId="4BF7451C">
            <w:pPr>
              <w:rPr>
                <w:rFonts w:hint="default"/>
                <w:lang w:val="en-US" w:eastAsia="zh-CN"/>
              </w:rPr>
            </w:pPr>
            <w:r>
              <w:rPr>
                <w:rFonts w:hint="eastAsia"/>
                <w:lang w:val="en-US" w:eastAsia="zh-CN"/>
              </w:rPr>
              <w:t>是</w:t>
            </w:r>
          </w:p>
        </w:tc>
      </w:tr>
      <w:tr w14:paraId="6F658056">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auto" w:sz="4" w:space="0"/>
              <w:right w:val="single" w:color="000000" w:sz="4" w:space="0"/>
            </w:tcBorders>
            <w:noWrap/>
            <w:vAlign w:val="center"/>
          </w:tcPr>
          <w:p w14:paraId="79628B4D">
            <w:pPr>
              <w:rPr>
                <w:rFonts w:hint="default"/>
                <w:lang w:val="en-US" w:eastAsia="zh-CN"/>
              </w:rPr>
            </w:pPr>
            <w:r>
              <w:rPr>
                <w:rFonts w:hint="eastAsia"/>
                <w:lang w:val="en-US" w:eastAsia="zh-CN"/>
              </w:rPr>
              <w:t>19</w:t>
            </w:r>
          </w:p>
        </w:tc>
        <w:tc>
          <w:tcPr>
            <w:tcW w:w="2640" w:type="dxa"/>
            <w:tcBorders>
              <w:top w:val="single" w:color="000000" w:sz="4" w:space="0"/>
              <w:left w:val="single" w:color="000000" w:sz="4" w:space="0"/>
              <w:bottom w:val="single" w:color="auto" w:sz="4" w:space="0"/>
              <w:right w:val="single" w:color="000000" w:sz="4" w:space="0"/>
            </w:tcBorders>
            <w:noWrap/>
            <w:vAlign w:val="center"/>
          </w:tcPr>
          <w:p w14:paraId="08BBBDE5">
            <w:pPr>
              <w:rPr>
                <w:rFonts w:hint="eastAsia"/>
                <w:lang w:val="en-US" w:eastAsia="zh-CN"/>
              </w:rPr>
            </w:pPr>
            <w:r>
              <w:t>电热鼓风干燥箱</w:t>
            </w:r>
          </w:p>
        </w:tc>
        <w:tc>
          <w:tcPr>
            <w:tcW w:w="1185" w:type="dxa"/>
            <w:tcBorders>
              <w:top w:val="single" w:color="000000" w:sz="4" w:space="0"/>
              <w:left w:val="single" w:color="000000" w:sz="4" w:space="0"/>
              <w:bottom w:val="single" w:color="auto" w:sz="4" w:space="0"/>
              <w:right w:val="single" w:color="000000" w:sz="4" w:space="0"/>
            </w:tcBorders>
            <w:noWrap/>
            <w:vAlign w:val="center"/>
          </w:tcPr>
          <w:p w14:paraId="491F0BF8">
            <w:r>
              <w:rPr>
                <w:rFonts w:hint="eastAsia"/>
                <w:lang w:val="en-US" w:eastAsia="zh-CN"/>
              </w:rPr>
              <w:t>泰斯特</w:t>
            </w:r>
          </w:p>
        </w:tc>
        <w:tc>
          <w:tcPr>
            <w:tcW w:w="1125" w:type="dxa"/>
            <w:tcBorders>
              <w:top w:val="single" w:color="000000" w:sz="4" w:space="0"/>
              <w:left w:val="single" w:color="000000" w:sz="4" w:space="0"/>
              <w:bottom w:val="single" w:color="auto" w:sz="4" w:space="0"/>
              <w:right w:val="single" w:color="000000" w:sz="4" w:space="0"/>
            </w:tcBorders>
            <w:noWrap/>
            <w:vAlign w:val="center"/>
          </w:tcPr>
          <w:p w14:paraId="1CFCBD44">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auto" w:sz="4" w:space="0"/>
              <w:right w:val="single" w:color="000000" w:sz="4" w:space="0"/>
            </w:tcBorders>
            <w:noWrap/>
            <w:vAlign w:val="center"/>
          </w:tcPr>
          <w:p w14:paraId="7B45067C">
            <w:pPr>
              <w:rPr>
                <w:rFonts w:hint="eastAsia"/>
                <w:lang w:val="en-US" w:eastAsia="zh-CN"/>
              </w:rPr>
            </w:pPr>
            <w:r>
              <w:rPr>
                <w:rFonts w:hint="default"/>
                <w:lang w:val="en-US" w:eastAsia="zh-CN"/>
              </w:rPr>
              <w:t>WGL-125B</w:t>
            </w:r>
          </w:p>
        </w:tc>
        <w:tc>
          <w:tcPr>
            <w:tcW w:w="3068" w:type="dxa"/>
            <w:gridSpan w:val="2"/>
            <w:tcBorders>
              <w:top w:val="single" w:color="000000" w:sz="4" w:space="0"/>
              <w:left w:val="single" w:color="000000" w:sz="4" w:space="0"/>
              <w:bottom w:val="single" w:color="auto" w:sz="4" w:space="0"/>
              <w:right w:val="single" w:color="000000" w:sz="4" w:space="0"/>
            </w:tcBorders>
            <w:noWrap/>
            <w:vAlign w:val="bottom"/>
          </w:tcPr>
          <w:p w14:paraId="33D9E4DC">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auto" w:sz="4" w:space="0"/>
              <w:right w:val="single" w:color="000000" w:sz="4" w:space="0"/>
            </w:tcBorders>
            <w:noWrap/>
            <w:vAlign w:val="bottom"/>
          </w:tcPr>
          <w:p w14:paraId="2D5CEF57">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auto" w:sz="4" w:space="0"/>
              <w:right w:val="single" w:color="000000" w:sz="4" w:space="0"/>
            </w:tcBorders>
            <w:noWrap/>
            <w:vAlign w:val="bottom"/>
          </w:tcPr>
          <w:p w14:paraId="124497AD">
            <w:pPr>
              <w:rPr>
                <w:rFonts w:hint="default"/>
                <w:lang w:val="en-US" w:eastAsia="zh-CN"/>
              </w:rPr>
            </w:pPr>
            <w:r>
              <w:rPr>
                <w:rFonts w:hint="eastAsia"/>
                <w:lang w:val="en-US" w:eastAsia="zh-CN"/>
              </w:rPr>
              <w:t>是</w:t>
            </w:r>
          </w:p>
        </w:tc>
      </w:tr>
      <w:tr w14:paraId="453BB567">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auto" w:sz="4" w:space="0"/>
              <w:right w:val="single" w:color="000000" w:sz="4" w:space="0"/>
            </w:tcBorders>
            <w:noWrap/>
            <w:vAlign w:val="center"/>
          </w:tcPr>
          <w:p w14:paraId="3FAFD20F">
            <w:pPr>
              <w:rPr>
                <w:rFonts w:hint="default"/>
                <w:lang w:val="en-US" w:eastAsia="zh-CN"/>
              </w:rPr>
            </w:pPr>
            <w:r>
              <w:rPr>
                <w:rFonts w:hint="eastAsia"/>
                <w:lang w:val="en-US" w:eastAsia="zh-CN"/>
              </w:rPr>
              <w:t>20</w:t>
            </w:r>
          </w:p>
        </w:tc>
        <w:tc>
          <w:tcPr>
            <w:tcW w:w="2640" w:type="dxa"/>
            <w:tcBorders>
              <w:top w:val="single" w:color="000000" w:sz="4" w:space="0"/>
              <w:left w:val="single" w:color="000000" w:sz="4" w:space="0"/>
              <w:bottom w:val="single" w:color="auto" w:sz="4" w:space="0"/>
              <w:right w:val="single" w:color="000000" w:sz="4" w:space="0"/>
            </w:tcBorders>
            <w:noWrap/>
            <w:vAlign w:val="center"/>
          </w:tcPr>
          <w:p w14:paraId="0D94358B">
            <w:r>
              <w:t>超声波玻璃器皿清洗机</w:t>
            </w:r>
          </w:p>
        </w:tc>
        <w:tc>
          <w:tcPr>
            <w:tcW w:w="1185" w:type="dxa"/>
            <w:tcBorders>
              <w:top w:val="single" w:color="000000" w:sz="4" w:space="0"/>
              <w:left w:val="single" w:color="000000" w:sz="4" w:space="0"/>
              <w:bottom w:val="single" w:color="auto" w:sz="4" w:space="0"/>
              <w:right w:val="single" w:color="000000" w:sz="4" w:space="0"/>
            </w:tcBorders>
            <w:noWrap/>
            <w:vAlign w:val="center"/>
          </w:tcPr>
          <w:p w14:paraId="17E0E0DF">
            <w:pPr>
              <w:rPr>
                <w:rFonts w:hint="eastAsia"/>
                <w:lang w:val="en-US" w:eastAsia="zh-CN"/>
              </w:rPr>
            </w:pPr>
            <w:r>
              <w:rPr>
                <w:rFonts w:hint="eastAsia"/>
                <w:lang w:val="en-US" w:eastAsia="zh-CN"/>
              </w:rPr>
              <w:t>洁康</w:t>
            </w:r>
          </w:p>
        </w:tc>
        <w:tc>
          <w:tcPr>
            <w:tcW w:w="1125" w:type="dxa"/>
            <w:tcBorders>
              <w:top w:val="single" w:color="000000" w:sz="4" w:space="0"/>
              <w:left w:val="single" w:color="000000" w:sz="4" w:space="0"/>
              <w:bottom w:val="single" w:color="auto" w:sz="4" w:space="0"/>
              <w:right w:val="single" w:color="000000" w:sz="4" w:space="0"/>
            </w:tcBorders>
            <w:noWrap/>
            <w:vAlign w:val="center"/>
          </w:tcPr>
          <w:p w14:paraId="57A76A6C">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auto" w:sz="4" w:space="0"/>
              <w:right w:val="single" w:color="000000" w:sz="4" w:space="0"/>
            </w:tcBorders>
            <w:noWrap/>
            <w:vAlign w:val="center"/>
          </w:tcPr>
          <w:p w14:paraId="654F3684">
            <w:pPr>
              <w:rPr>
                <w:rFonts w:hint="default"/>
                <w:lang w:val="en-US" w:eastAsia="zh-CN"/>
              </w:rPr>
            </w:pPr>
            <w:r>
              <w:rPr>
                <w:rFonts w:hint="eastAsia"/>
                <w:lang w:val="en-US" w:eastAsia="zh-CN"/>
              </w:rPr>
              <w:t xml:space="preserve"> </w:t>
            </w:r>
            <w:r>
              <w:t>PS-30A</w:t>
            </w:r>
          </w:p>
        </w:tc>
        <w:tc>
          <w:tcPr>
            <w:tcW w:w="3068" w:type="dxa"/>
            <w:gridSpan w:val="2"/>
            <w:tcBorders>
              <w:top w:val="single" w:color="000000" w:sz="4" w:space="0"/>
              <w:left w:val="single" w:color="000000" w:sz="4" w:space="0"/>
              <w:bottom w:val="single" w:color="auto" w:sz="4" w:space="0"/>
              <w:right w:val="single" w:color="000000" w:sz="4" w:space="0"/>
            </w:tcBorders>
            <w:noWrap/>
            <w:vAlign w:val="bottom"/>
          </w:tcPr>
          <w:p w14:paraId="74AD5FFC">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auto" w:sz="4" w:space="0"/>
              <w:right w:val="single" w:color="000000" w:sz="4" w:space="0"/>
            </w:tcBorders>
            <w:noWrap/>
            <w:vAlign w:val="bottom"/>
          </w:tcPr>
          <w:p w14:paraId="2F9CBB19">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auto" w:sz="4" w:space="0"/>
              <w:right w:val="single" w:color="000000" w:sz="4" w:space="0"/>
            </w:tcBorders>
            <w:noWrap/>
            <w:vAlign w:val="bottom"/>
          </w:tcPr>
          <w:p w14:paraId="763F8153">
            <w:pPr>
              <w:rPr>
                <w:rFonts w:hint="default"/>
                <w:lang w:val="en-US" w:eastAsia="zh-CN"/>
              </w:rPr>
            </w:pPr>
            <w:r>
              <w:rPr>
                <w:rFonts w:hint="eastAsia"/>
                <w:lang w:val="en-US" w:eastAsia="zh-CN"/>
              </w:rPr>
              <w:t>是</w:t>
            </w:r>
          </w:p>
        </w:tc>
      </w:tr>
      <w:tr w14:paraId="07136A08">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auto" w:sz="4" w:space="0"/>
              <w:right w:val="single" w:color="000000" w:sz="4" w:space="0"/>
            </w:tcBorders>
            <w:noWrap/>
            <w:vAlign w:val="center"/>
          </w:tcPr>
          <w:p w14:paraId="0C255548">
            <w:pPr>
              <w:rPr>
                <w:rFonts w:hint="default"/>
                <w:lang w:val="en-US" w:eastAsia="zh-CN"/>
              </w:rPr>
            </w:pPr>
            <w:r>
              <w:rPr>
                <w:rFonts w:hint="eastAsia"/>
                <w:lang w:val="en-US" w:eastAsia="zh-CN"/>
              </w:rPr>
              <w:t>21</w:t>
            </w:r>
          </w:p>
        </w:tc>
        <w:tc>
          <w:tcPr>
            <w:tcW w:w="2640" w:type="dxa"/>
            <w:tcBorders>
              <w:top w:val="single" w:color="000000" w:sz="4" w:space="0"/>
              <w:left w:val="single" w:color="000000" w:sz="4" w:space="0"/>
              <w:bottom w:val="single" w:color="auto" w:sz="4" w:space="0"/>
              <w:right w:val="single" w:color="000000" w:sz="4" w:space="0"/>
            </w:tcBorders>
            <w:noWrap/>
            <w:vAlign w:val="center"/>
          </w:tcPr>
          <w:p w14:paraId="420ABD2D">
            <w:r>
              <w:t>数字式湿温度计</w:t>
            </w:r>
          </w:p>
        </w:tc>
        <w:tc>
          <w:tcPr>
            <w:tcW w:w="1185" w:type="dxa"/>
            <w:tcBorders>
              <w:top w:val="single" w:color="000000" w:sz="4" w:space="0"/>
              <w:left w:val="single" w:color="000000" w:sz="4" w:space="0"/>
              <w:bottom w:val="single" w:color="auto" w:sz="4" w:space="0"/>
              <w:right w:val="single" w:color="000000" w:sz="4" w:space="0"/>
            </w:tcBorders>
            <w:noWrap/>
            <w:vAlign w:val="center"/>
          </w:tcPr>
          <w:p w14:paraId="568BB072">
            <w:pPr>
              <w:rPr>
                <w:rFonts w:hint="eastAsia"/>
                <w:lang w:val="en-US" w:eastAsia="zh-CN"/>
              </w:rPr>
            </w:pPr>
          </w:p>
        </w:tc>
        <w:tc>
          <w:tcPr>
            <w:tcW w:w="1125" w:type="dxa"/>
            <w:tcBorders>
              <w:top w:val="single" w:color="000000" w:sz="4" w:space="0"/>
              <w:left w:val="single" w:color="000000" w:sz="4" w:space="0"/>
              <w:bottom w:val="single" w:color="auto" w:sz="4" w:space="0"/>
              <w:right w:val="single" w:color="000000" w:sz="4" w:space="0"/>
            </w:tcBorders>
            <w:noWrap/>
            <w:vAlign w:val="center"/>
          </w:tcPr>
          <w:p w14:paraId="644B358B">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auto" w:sz="4" w:space="0"/>
              <w:right w:val="single" w:color="000000" w:sz="4" w:space="0"/>
            </w:tcBorders>
            <w:noWrap/>
            <w:vAlign w:val="center"/>
          </w:tcPr>
          <w:p w14:paraId="49B2F7A6">
            <w:pPr>
              <w:rPr>
                <w:rFonts w:hint="default"/>
                <w:lang w:val="en-US" w:eastAsia="zh-CN"/>
              </w:rPr>
            </w:pPr>
            <w:r>
              <w:rPr>
                <w:rFonts w:hint="eastAsia"/>
                <w:lang w:val="en-US" w:eastAsia="zh-CN"/>
              </w:rPr>
              <w:t>HX100</w:t>
            </w:r>
          </w:p>
        </w:tc>
        <w:tc>
          <w:tcPr>
            <w:tcW w:w="3068" w:type="dxa"/>
            <w:gridSpan w:val="2"/>
            <w:tcBorders>
              <w:top w:val="single" w:color="000000" w:sz="4" w:space="0"/>
              <w:left w:val="single" w:color="000000" w:sz="4" w:space="0"/>
              <w:bottom w:val="single" w:color="auto" w:sz="4" w:space="0"/>
              <w:right w:val="single" w:color="000000" w:sz="4" w:space="0"/>
            </w:tcBorders>
            <w:noWrap/>
            <w:vAlign w:val="bottom"/>
          </w:tcPr>
          <w:p w14:paraId="04D242B0">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auto" w:sz="4" w:space="0"/>
              <w:right w:val="single" w:color="000000" w:sz="4" w:space="0"/>
            </w:tcBorders>
            <w:noWrap/>
            <w:vAlign w:val="bottom"/>
          </w:tcPr>
          <w:p w14:paraId="67FCCAB5">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auto" w:sz="4" w:space="0"/>
              <w:right w:val="single" w:color="000000" w:sz="4" w:space="0"/>
            </w:tcBorders>
            <w:noWrap/>
            <w:vAlign w:val="bottom"/>
          </w:tcPr>
          <w:p w14:paraId="6BE33B2D">
            <w:pPr>
              <w:rPr>
                <w:rFonts w:hint="default"/>
                <w:lang w:val="en-US" w:eastAsia="zh-CN"/>
              </w:rPr>
            </w:pPr>
            <w:r>
              <w:rPr>
                <w:rFonts w:hint="eastAsia"/>
                <w:lang w:val="en-US" w:eastAsia="zh-CN"/>
              </w:rPr>
              <w:t>是</w:t>
            </w:r>
          </w:p>
        </w:tc>
      </w:tr>
      <w:tr w14:paraId="6339C4A3">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auto" w:sz="4" w:space="0"/>
              <w:right w:val="single" w:color="000000" w:sz="4" w:space="0"/>
            </w:tcBorders>
            <w:noWrap/>
            <w:vAlign w:val="center"/>
          </w:tcPr>
          <w:p w14:paraId="3419F6F8">
            <w:pPr>
              <w:rPr>
                <w:rFonts w:hint="default"/>
                <w:lang w:val="en-US" w:eastAsia="zh-CN"/>
              </w:rPr>
            </w:pPr>
            <w:r>
              <w:rPr>
                <w:rFonts w:hint="eastAsia"/>
                <w:lang w:val="en-US" w:eastAsia="zh-CN"/>
              </w:rPr>
              <w:t>22</w:t>
            </w:r>
          </w:p>
        </w:tc>
        <w:tc>
          <w:tcPr>
            <w:tcW w:w="2640" w:type="dxa"/>
            <w:tcBorders>
              <w:top w:val="single" w:color="000000" w:sz="4" w:space="0"/>
              <w:left w:val="single" w:color="000000" w:sz="4" w:space="0"/>
              <w:bottom w:val="single" w:color="auto" w:sz="4" w:space="0"/>
              <w:right w:val="single" w:color="000000" w:sz="4" w:space="0"/>
            </w:tcBorders>
            <w:noWrap/>
            <w:vAlign w:val="center"/>
          </w:tcPr>
          <w:p w14:paraId="6B2C0F30">
            <w:pPr>
              <w:rPr>
                <w:rFonts w:hint="default" w:eastAsia="宋体"/>
                <w:lang w:val="en-US" w:eastAsia="zh-CN"/>
              </w:rPr>
            </w:pPr>
            <w:r>
              <w:rPr>
                <w:rFonts w:hint="eastAsia"/>
                <w:lang w:val="en-US" w:eastAsia="zh-CN"/>
              </w:rPr>
              <w:t>调速多用振荡器</w:t>
            </w:r>
          </w:p>
        </w:tc>
        <w:tc>
          <w:tcPr>
            <w:tcW w:w="1185" w:type="dxa"/>
            <w:tcBorders>
              <w:top w:val="single" w:color="000000" w:sz="4" w:space="0"/>
              <w:left w:val="single" w:color="000000" w:sz="4" w:space="0"/>
              <w:bottom w:val="single" w:color="auto" w:sz="4" w:space="0"/>
              <w:right w:val="single" w:color="000000" w:sz="4" w:space="0"/>
            </w:tcBorders>
            <w:noWrap/>
            <w:vAlign w:val="center"/>
          </w:tcPr>
          <w:p w14:paraId="7B953380">
            <w:pPr>
              <w:rPr>
                <w:rFonts w:hint="default"/>
                <w:lang w:val="en-US" w:eastAsia="zh-CN"/>
              </w:rPr>
            </w:pPr>
            <w:r>
              <w:rPr>
                <w:rFonts w:hint="eastAsia"/>
                <w:lang w:val="en-US" w:eastAsia="zh-CN"/>
              </w:rPr>
              <w:t>朗越</w:t>
            </w:r>
          </w:p>
        </w:tc>
        <w:tc>
          <w:tcPr>
            <w:tcW w:w="1125" w:type="dxa"/>
            <w:tcBorders>
              <w:top w:val="single" w:color="000000" w:sz="4" w:space="0"/>
              <w:left w:val="single" w:color="000000" w:sz="4" w:space="0"/>
              <w:bottom w:val="single" w:color="auto" w:sz="4" w:space="0"/>
              <w:right w:val="single" w:color="000000" w:sz="4" w:space="0"/>
            </w:tcBorders>
            <w:noWrap/>
            <w:vAlign w:val="center"/>
          </w:tcPr>
          <w:p w14:paraId="29247E6C">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auto" w:sz="4" w:space="0"/>
              <w:right w:val="single" w:color="000000" w:sz="4" w:space="0"/>
            </w:tcBorders>
            <w:noWrap/>
            <w:vAlign w:val="center"/>
          </w:tcPr>
          <w:p w14:paraId="7890523E">
            <w:pPr>
              <w:rPr>
                <w:rFonts w:hint="default"/>
                <w:lang w:val="en-US" w:eastAsia="zh-CN"/>
              </w:rPr>
            </w:pPr>
            <w:r>
              <w:rPr>
                <w:rFonts w:hint="eastAsia"/>
                <w:lang w:val="en-US" w:eastAsia="zh-CN"/>
              </w:rPr>
              <w:t>HY-4</w:t>
            </w:r>
          </w:p>
        </w:tc>
        <w:tc>
          <w:tcPr>
            <w:tcW w:w="3068" w:type="dxa"/>
            <w:gridSpan w:val="2"/>
            <w:tcBorders>
              <w:top w:val="single" w:color="000000" w:sz="4" w:space="0"/>
              <w:left w:val="single" w:color="000000" w:sz="4" w:space="0"/>
              <w:bottom w:val="single" w:color="auto" w:sz="4" w:space="0"/>
              <w:right w:val="single" w:color="000000" w:sz="4" w:space="0"/>
            </w:tcBorders>
            <w:noWrap/>
            <w:vAlign w:val="bottom"/>
          </w:tcPr>
          <w:p w14:paraId="1B610029">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auto" w:sz="4" w:space="0"/>
              <w:right w:val="single" w:color="000000" w:sz="4" w:space="0"/>
            </w:tcBorders>
            <w:noWrap/>
            <w:vAlign w:val="bottom"/>
          </w:tcPr>
          <w:p w14:paraId="685E225C">
            <w:pPr>
              <w:rPr>
                <w:rFonts w:hint="eastAsia" w:ascii="Times New Roman" w:hAnsi="Times New Roman" w:eastAsia="宋体" w:cs="Times New Roman"/>
                <w:kern w:val="2"/>
                <w:sz w:val="21"/>
                <w:lang w:val="en-US" w:eastAsia="zh-CN" w:bidi="ar-SA"/>
              </w:rPr>
            </w:pPr>
            <w:r>
              <w:rPr>
                <w:rFonts w:hint="eastAsia"/>
                <w:lang w:val="en-US" w:eastAsia="zh-CN"/>
              </w:rPr>
              <w:t>校准</w:t>
            </w:r>
          </w:p>
        </w:tc>
        <w:tc>
          <w:tcPr>
            <w:tcW w:w="1410" w:type="dxa"/>
            <w:tcBorders>
              <w:top w:val="single" w:color="000000" w:sz="4" w:space="0"/>
              <w:left w:val="single" w:color="000000" w:sz="4" w:space="0"/>
              <w:bottom w:val="single" w:color="auto" w:sz="4" w:space="0"/>
              <w:right w:val="single" w:color="000000" w:sz="4" w:space="0"/>
            </w:tcBorders>
            <w:noWrap/>
            <w:vAlign w:val="bottom"/>
          </w:tcPr>
          <w:p w14:paraId="03A18B68">
            <w:pPr>
              <w:rPr>
                <w:rFonts w:hint="eastAsia" w:ascii="Times New Roman" w:hAnsi="Times New Roman" w:eastAsia="宋体" w:cs="Times New Roman"/>
                <w:kern w:val="2"/>
                <w:sz w:val="21"/>
                <w:lang w:val="en-US" w:eastAsia="zh-CN" w:bidi="ar-SA"/>
              </w:rPr>
            </w:pPr>
            <w:r>
              <w:rPr>
                <w:rFonts w:hint="eastAsia"/>
                <w:lang w:val="en-US" w:eastAsia="zh-CN"/>
              </w:rPr>
              <w:t>是</w:t>
            </w:r>
          </w:p>
        </w:tc>
      </w:tr>
      <w:tr w14:paraId="083E49E9">
        <w:tblPrEx>
          <w:tblCellMar>
            <w:top w:w="0" w:type="dxa"/>
            <w:left w:w="108" w:type="dxa"/>
            <w:bottom w:w="0" w:type="dxa"/>
            <w:right w:w="108" w:type="dxa"/>
          </w:tblCellMar>
        </w:tblPrEx>
        <w:trPr>
          <w:trHeight w:val="403" w:hRule="atLeast"/>
        </w:trPr>
        <w:tc>
          <w:tcPr>
            <w:tcW w:w="9342" w:type="dxa"/>
            <w:gridSpan w:val="6"/>
            <w:tcBorders>
              <w:top w:val="single" w:color="auto" w:sz="4" w:space="0"/>
              <w:left w:val="nil"/>
              <w:bottom w:val="single" w:color="auto" w:sz="4" w:space="0"/>
              <w:right w:val="nil"/>
            </w:tcBorders>
            <w:noWrap/>
            <w:vAlign w:val="center"/>
          </w:tcPr>
          <w:p w14:paraId="3D2953D4">
            <w:pPr>
              <w:rPr>
                <w:rFonts w:hint="eastAsia"/>
                <w:lang w:val="en-US" w:eastAsia="zh-CN"/>
              </w:rPr>
            </w:pPr>
          </w:p>
          <w:p w14:paraId="303F52E9">
            <w:pPr>
              <w:rPr>
                <w:rFonts w:hint="eastAsia"/>
                <w:lang w:val="en-US" w:eastAsia="zh-CN"/>
              </w:rPr>
            </w:pPr>
            <w:r>
              <w:rPr>
                <w:rFonts w:hint="eastAsia"/>
              </w:rPr>
              <w:t>油分析</w:t>
            </w:r>
            <w:r>
              <w:rPr>
                <w:rFonts w:hint="eastAsia"/>
                <w:lang w:val="en-US" w:eastAsia="zh-CN"/>
              </w:rPr>
              <w:t>室</w:t>
            </w:r>
            <w:r>
              <w:rPr>
                <w:rFonts w:hint="eastAsia"/>
              </w:rPr>
              <w:t>仪器</w:t>
            </w:r>
          </w:p>
        </w:tc>
        <w:tc>
          <w:tcPr>
            <w:tcW w:w="1257" w:type="dxa"/>
            <w:tcBorders>
              <w:top w:val="single" w:color="auto" w:sz="4" w:space="0"/>
              <w:left w:val="nil"/>
              <w:bottom w:val="single" w:color="auto" w:sz="4" w:space="0"/>
              <w:right w:val="nil"/>
            </w:tcBorders>
            <w:noWrap/>
            <w:vAlign w:val="center"/>
          </w:tcPr>
          <w:p w14:paraId="4EB5D4BF">
            <w:pPr>
              <w:rPr>
                <w:rFonts w:hint="eastAsia"/>
              </w:rPr>
            </w:pPr>
          </w:p>
        </w:tc>
        <w:tc>
          <w:tcPr>
            <w:tcW w:w="2827" w:type="dxa"/>
            <w:tcBorders>
              <w:top w:val="single" w:color="auto" w:sz="4" w:space="0"/>
              <w:left w:val="nil"/>
              <w:bottom w:val="single" w:color="auto" w:sz="4" w:space="0"/>
              <w:right w:val="nil"/>
            </w:tcBorders>
            <w:noWrap/>
            <w:vAlign w:val="center"/>
          </w:tcPr>
          <w:p w14:paraId="215E782A">
            <w:pPr>
              <w:rPr>
                <w:rFonts w:hint="eastAsia"/>
              </w:rPr>
            </w:pPr>
          </w:p>
        </w:tc>
        <w:tc>
          <w:tcPr>
            <w:tcW w:w="1410" w:type="dxa"/>
            <w:tcBorders>
              <w:top w:val="single" w:color="auto" w:sz="4" w:space="0"/>
              <w:left w:val="nil"/>
              <w:bottom w:val="single" w:color="auto" w:sz="4" w:space="0"/>
              <w:right w:val="nil"/>
            </w:tcBorders>
            <w:noWrap/>
            <w:vAlign w:val="center"/>
          </w:tcPr>
          <w:p w14:paraId="7E5091F9">
            <w:pPr>
              <w:rPr>
                <w:rFonts w:hint="eastAsia"/>
              </w:rPr>
            </w:pPr>
          </w:p>
        </w:tc>
      </w:tr>
      <w:tr w14:paraId="71297F1C">
        <w:tblPrEx>
          <w:tblCellMar>
            <w:top w:w="0" w:type="dxa"/>
            <w:left w:w="108" w:type="dxa"/>
            <w:bottom w:w="0" w:type="dxa"/>
            <w:right w:w="108" w:type="dxa"/>
          </w:tblCellMar>
        </w:tblPrEx>
        <w:trPr>
          <w:trHeight w:val="403" w:hRule="atLeast"/>
        </w:trPr>
        <w:tc>
          <w:tcPr>
            <w:tcW w:w="657" w:type="dxa"/>
            <w:tcBorders>
              <w:top w:val="single" w:color="auto" w:sz="4" w:space="0"/>
              <w:left w:val="single" w:color="000000" w:sz="4" w:space="0"/>
              <w:bottom w:val="single" w:color="000000" w:sz="4" w:space="0"/>
              <w:right w:val="single" w:color="000000" w:sz="4" w:space="0"/>
            </w:tcBorders>
            <w:noWrap/>
            <w:vAlign w:val="center"/>
          </w:tcPr>
          <w:p w14:paraId="7324F4AB">
            <w:pPr>
              <w:rPr>
                <w:rFonts w:hint="default"/>
                <w:lang w:val="en-US" w:eastAsia="zh-CN"/>
              </w:rPr>
            </w:pPr>
            <w:r>
              <w:rPr>
                <w:rFonts w:hint="eastAsia"/>
                <w:lang w:val="en-US" w:eastAsia="zh-CN"/>
              </w:rPr>
              <w:t>序号</w:t>
            </w:r>
          </w:p>
        </w:tc>
        <w:tc>
          <w:tcPr>
            <w:tcW w:w="2640" w:type="dxa"/>
            <w:tcBorders>
              <w:top w:val="single" w:color="auto" w:sz="4" w:space="0"/>
              <w:left w:val="single" w:color="000000" w:sz="4" w:space="0"/>
              <w:bottom w:val="single" w:color="000000" w:sz="4" w:space="0"/>
              <w:right w:val="single" w:color="000000" w:sz="4" w:space="0"/>
            </w:tcBorders>
            <w:noWrap/>
            <w:vAlign w:val="center"/>
          </w:tcPr>
          <w:p w14:paraId="321A365B">
            <w:pPr>
              <w:rPr>
                <w:rFonts w:hint="eastAsia"/>
                <w:lang w:val="en-US" w:eastAsia="zh-CN"/>
              </w:rPr>
            </w:pPr>
            <w:r>
              <w:rPr>
                <w:rFonts w:hint="eastAsia"/>
                <w:lang w:val="en-US" w:eastAsia="zh-CN"/>
              </w:rPr>
              <w:t>名称</w:t>
            </w:r>
          </w:p>
        </w:tc>
        <w:tc>
          <w:tcPr>
            <w:tcW w:w="1185" w:type="dxa"/>
            <w:tcBorders>
              <w:top w:val="single" w:color="auto" w:sz="4" w:space="0"/>
              <w:left w:val="single" w:color="000000" w:sz="4" w:space="0"/>
              <w:bottom w:val="single" w:color="000000" w:sz="4" w:space="0"/>
              <w:right w:val="single" w:color="000000" w:sz="4" w:space="0"/>
            </w:tcBorders>
            <w:noWrap/>
            <w:vAlign w:val="center"/>
          </w:tcPr>
          <w:p w14:paraId="03AE264D">
            <w:pPr>
              <w:rPr>
                <w:rFonts w:hint="eastAsia"/>
                <w:lang w:val="en-US" w:eastAsia="zh-CN"/>
              </w:rPr>
            </w:pPr>
            <w:r>
              <w:rPr>
                <w:rFonts w:hint="eastAsia"/>
                <w:lang w:val="en-US" w:eastAsia="zh-CN"/>
              </w:rPr>
              <w:t>制造单位</w:t>
            </w:r>
          </w:p>
        </w:tc>
        <w:tc>
          <w:tcPr>
            <w:tcW w:w="1125" w:type="dxa"/>
            <w:tcBorders>
              <w:top w:val="single" w:color="auto" w:sz="4" w:space="0"/>
              <w:left w:val="single" w:color="000000" w:sz="4" w:space="0"/>
              <w:bottom w:val="single" w:color="000000" w:sz="4" w:space="0"/>
              <w:right w:val="single" w:color="000000" w:sz="4" w:space="0"/>
            </w:tcBorders>
            <w:noWrap/>
            <w:vAlign w:val="center"/>
          </w:tcPr>
          <w:p w14:paraId="58B48FEE">
            <w:pPr>
              <w:rPr>
                <w:rFonts w:hint="eastAsia"/>
                <w:lang w:val="en-US" w:eastAsia="zh-CN"/>
              </w:rPr>
            </w:pPr>
            <w:r>
              <w:rPr>
                <w:rFonts w:hint="eastAsia"/>
                <w:lang w:val="en-US" w:eastAsia="zh-CN"/>
              </w:rPr>
              <w:t>数量</w:t>
            </w:r>
          </w:p>
        </w:tc>
        <w:tc>
          <w:tcPr>
            <w:tcW w:w="1924" w:type="dxa"/>
            <w:tcBorders>
              <w:top w:val="single" w:color="auto" w:sz="4" w:space="0"/>
              <w:left w:val="single" w:color="000000" w:sz="4" w:space="0"/>
              <w:bottom w:val="single" w:color="000000" w:sz="4" w:space="0"/>
              <w:right w:val="single" w:color="000000" w:sz="4" w:space="0"/>
            </w:tcBorders>
            <w:noWrap/>
            <w:vAlign w:val="center"/>
          </w:tcPr>
          <w:p w14:paraId="7758EC9C">
            <w:pPr>
              <w:rPr>
                <w:rFonts w:hint="default"/>
                <w:lang w:val="en-US" w:eastAsia="zh-CN"/>
              </w:rPr>
            </w:pPr>
            <w:r>
              <w:rPr>
                <w:rFonts w:hint="eastAsia"/>
                <w:lang w:val="en-US" w:eastAsia="zh-CN"/>
              </w:rPr>
              <w:t>型号</w:t>
            </w:r>
          </w:p>
        </w:tc>
        <w:tc>
          <w:tcPr>
            <w:tcW w:w="3068" w:type="dxa"/>
            <w:gridSpan w:val="2"/>
            <w:tcBorders>
              <w:top w:val="single" w:color="auto" w:sz="4" w:space="0"/>
              <w:left w:val="single" w:color="000000" w:sz="4" w:space="0"/>
              <w:bottom w:val="single" w:color="000000" w:sz="4" w:space="0"/>
              <w:right w:val="single" w:color="000000" w:sz="4" w:space="0"/>
            </w:tcBorders>
            <w:noWrap/>
            <w:vAlign w:val="center"/>
          </w:tcPr>
          <w:p w14:paraId="5526CA05">
            <w:pPr>
              <w:rPr>
                <w:rFonts w:hint="eastAsia"/>
                <w:lang w:val="en-US" w:eastAsia="zh-CN"/>
              </w:rPr>
            </w:pPr>
            <w:r>
              <w:rPr>
                <w:rFonts w:hint="eastAsia"/>
                <w:lang w:val="en-US" w:eastAsia="zh-CN"/>
              </w:rPr>
              <w:t>服务方式（现场/送检）</w:t>
            </w:r>
          </w:p>
        </w:tc>
        <w:tc>
          <w:tcPr>
            <w:tcW w:w="2827" w:type="dxa"/>
            <w:tcBorders>
              <w:top w:val="single" w:color="auto" w:sz="4" w:space="0"/>
              <w:left w:val="single" w:color="000000" w:sz="4" w:space="0"/>
              <w:bottom w:val="single" w:color="000000" w:sz="4" w:space="0"/>
              <w:right w:val="single" w:color="000000" w:sz="4" w:space="0"/>
            </w:tcBorders>
            <w:noWrap/>
            <w:vAlign w:val="center"/>
          </w:tcPr>
          <w:p w14:paraId="4DB9C3DC">
            <w:pPr>
              <w:rPr>
                <w:rFonts w:hint="eastAsia"/>
                <w:lang w:val="en-US" w:eastAsia="zh-CN"/>
              </w:rPr>
            </w:pPr>
            <w:r>
              <w:rPr>
                <w:rFonts w:hint="eastAsia"/>
                <w:lang w:val="en-US" w:eastAsia="zh-CN"/>
              </w:rPr>
              <w:t>证书类型（校准/检定）</w:t>
            </w:r>
          </w:p>
        </w:tc>
        <w:tc>
          <w:tcPr>
            <w:tcW w:w="1410" w:type="dxa"/>
            <w:tcBorders>
              <w:top w:val="single" w:color="auto" w:sz="4" w:space="0"/>
              <w:left w:val="single" w:color="000000" w:sz="4" w:space="0"/>
              <w:bottom w:val="single" w:color="000000" w:sz="4" w:space="0"/>
              <w:right w:val="single" w:color="000000" w:sz="4" w:space="0"/>
            </w:tcBorders>
            <w:noWrap/>
            <w:vAlign w:val="center"/>
          </w:tcPr>
          <w:p w14:paraId="59D3E92E">
            <w:pPr>
              <w:rPr>
                <w:rFonts w:hint="eastAsia"/>
                <w:lang w:val="en-US" w:eastAsia="zh-CN"/>
              </w:rPr>
            </w:pPr>
            <w:r>
              <w:rPr>
                <w:rFonts w:hint="eastAsia"/>
                <w:lang w:val="en-US" w:eastAsia="zh-CN"/>
              </w:rPr>
              <w:t>是否带标</w:t>
            </w:r>
          </w:p>
        </w:tc>
      </w:tr>
      <w:tr w14:paraId="4C182F18">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738492D5">
            <w:pPr>
              <w:rPr>
                <w:rFonts w:hint="default"/>
                <w:lang w:val="en-US" w:eastAsia="zh-CN"/>
              </w:rPr>
            </w:pPr>
            <w:r>
              <w:rPr>
                <w:rFonts w:hint="eastAsia"/>
                <w:lang w:val="en-US" w:eastAsia="zh-CN"/>
              </w:rPr>
              <w:t>1</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6063A3C9">
            <w:pPr>
              <w:rPr>
                <w:rFonts w:hint="eastAsia"/>
                <w:lang w:val="en-US" w:eastAsia="zh-CN"/>
              </w:rPr>
            </w:pPr>
            <w:r>
              <w:rPr>
                <w:rFonts w:hint="eastAsia"/>
              </w:rPr>
              <w:t>破乳化测定仪</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05176AB3">
            <w:pPr>
              <w:rPr>
                <w:rFonts w:hint="eastAsia"/>
                <w:lang w:val="en-US" w:eastAsia="zh-CN"/>
              </w:rPr>
            </w:pPr>
            <w:r>
              <w:rPr>
                <w:rFonts w:hint="eastAsia"/>
                <w:lang w:val="en-US" w:eastAsia="zh-CN"/>
              </w:rPr>
              <w:t>吉林百正</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21F90703">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239BF51E">
            <w:pPr>
              <w:rPr>
                <w:rFonts w:hint="eastAsia"/>
              </w:rPr>
            </w:pPr>
            <w:r>
              <w:rPr>
                <w:rFonts w:hint="eastAsia"/>
              </w:rPr>
              <w:t>BZRH-3SH</w:t>
            </w:r>
          </w:p>
          <w:p w14:paraId="1010D967">
            <w:pPr>
              <w:rPr>
                <w:rFonts w:hint="default"/>
                <w:lang w:val="en-US" w:eastAsia="zh-CN"/>
              </w:rPr>
            </w:pP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216DF256">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5DC4919D">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798DEC1D">
            <w:pPr>
              <w:rPr>
                <w:rFonts w:hint="default"/>
                <w:lang w:val="en-US" w:eastAsia="zh-CN"/>
              </w:rPr>
            </w:pPr>
            <w:r>
              <w:rPr>
                <w:rFonts w:hint="eastAsia"/>
                <w:lang w:val="en-US" w:eastAsia="zh-CN"/>
              </w:rPr>
              <w:t>是</w:t>
            </w:r>
          </w:p>
        </w:tc>
      </w:tr>
      <w:tr w14:paraId="6C685277">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1C7B17A3">
            <w:pPr>
              <w:rPr>
                <w:rFonts w:hint="default"/>
                <w:lang w:val="en-US" w:eastAsia="zh-CN"/>
              </w:rPr>
            </w:pPr>
            <w:r>
              <w:rPr>
                <w:rFonts w:hint="eastAsia"/>
                <w:lang w:val="en-US" w:eastAsia="zh-CN"/>
              </w:rPr>
              <w:t>2</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4D4229F8">
            <w:r>
              <w:rPr>
                <w:rFonts w:hint="eastAsia"/>
              </w:rPr>
              <w:t>运动粘度测定仪</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FF1610A">
            <w:pPr>
              <w:rPr>
                <w:rFonts w:hint="eastAsia"/>
                <w:lang w:val="en-US" w:eastAsia="zh-CN"/>
              </w:rPr>
            </w:pPr>
            <w:r>
              <w:rPr>
                <w:rFonts w:hint="eastAsia"/>
                <w:lang w:val="en-US" w:eastAsia="zh-CN"/>
              </w:rPr>
              <w:t>山东惠工</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273568B0">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7208F400">
            <w:pPr>
              <w:rPr>
                <w:rFonts w:hint="default"/>
                <w:lang w:val="en-US" w:eastAsia="zh-CN"/>
              </w:rPr>
            </w:pPr>
            <w:r>
              <w:rPr>
                <w:rFonts w:hint="default"/>
                <w:lang w:val="en-US" w:eastAsia="zh-CN"/>
              </w:rPr>
              <w:t>HGND203</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74635513">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5CA59086">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4AA0B229">
            <w:pPr>
              <w:rPr>
                <w:rFonts w:hint="default"/>
                <w:lang w:val="en-US" w:eastAsia="zh-CN"/>
              </w:rPr>
            </w:pPr>
            <w:r>
              <w:rPr>
                <w:rFonts w:hint="eastAsia"/>
                <w:lang w:val="en-US" w:eastAsia="zh-CN"/>
              </w:rPr>
              <w:t>是</w:t>
            </w:r>
          </w:p>
        </w:tc>
      </w:tr>
      <w:tr w14:paraId="6D01700F">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2F94B077">
            <w:pPr>
              <w:rPr>
                <w:rFonts w:hint="default"/>
                <w:lang w:val="en-US" w:eastAsia="zh-CN"/>
              </w:rPr>
            </w:pPr>
            <w:r>
              <w:rPr>
                <w:rFonts w:hint="eastAsia"/>
                <w:lang w:val="en-US" w:eastAsia="zh-CN"/>
              </w:rPr>
              <w:t>3</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72890E59">
            <w:r>
              <w:rPr>
                <w:rFonts w:hint="eastAsia"/>
              </w:rPr>
              <w:t>微量水分测定仪</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008B54FF">
            <w:pPr>
              <w:rPr>
                <w:rFonts w:hint="eastAsia"/>
                <w:lang w:val="en-US" w:eastAsia="zh-CN"/>
              </w:rPr>
            </w:pPr>
            <w:r>
              <w:rPr>
                <w:rFonts w:hint="eastAsia"/>
                <w:lang w:val="en-US" w:eastAsia="zh-CN"/>
              </w:rPr>
              <w:t>吉林百正</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18F44BE8">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3B5C65E1">
            <w:pPr>
              <w:rPr>
                <w:rFonts w:hint="default"/>
                <w:lang w:val="en-US" w:eastAsia="zh-CN"/>
              </w:rPr>
            </w:pPr>
            <w:r>
              <w:rPr>
                <w:rFonts w:hint="eastAsia"/>
              </w:rPr>
              <w:t>BZJF-</w:t>
            </w:r>
            <w:r>
              <w:rPr>
                <w:rFonts w:hint="eastAsia"/>
                <w:lang w:val="en-US" w:eastAsia="zh-CN"/>
              </w:rPr>
              <w:t>6</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3513A674">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059A8819">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2322C4FB">
            <w:pPr>
              <w:rPr>
                <w:rFonts w:hint="default"/>
                <w:lang w:val="en-US" w:eastAsia="zh-CN"/>
              </w:rPr>
            </w:pPr>
            <w:r>
              <w:rPr>
                <w:rFonts w:hint="eastAsia"/>
                <w:lang w:val="en-US" w:eastAsia="zh-CN"/>
              </w:rPr>
              <w:t>是</w:t>
            </w:r>
          </w:p>
        </w:tc>
      </w:tr>
      <w:tr w14:paraId="72CCA2F3">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29185FA2">
            <w:pPr>
              <w:rPr>
                <w:rFonts w:hint="default"/>
                <w:lang w:val="en-US" w:eastAsia="zh-CN"/>
              </w:rPr>
            </w:pPr>
            <w:r>
              <w:rPr>
                <w:rFonts w:hint="eastAsia"/>
                <w:lang w:val="en-US" w:eastAsia="zh-CN"/>
              </w:rPr>
              <w:t>4</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5584F8E2">
            <w:r>
              <w:rPr>
                <w:rFonts w:hint="eastAsia"/>
              </w:rPr>
              <w:t>开口闪点测定仪</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8CF9EE9">
            <w:pPr>
              <w:rPr>
                <w:rFonts w:hint="eastAsia"/>
                <w:lang w:val="en-US" w:eastAsia="zh-CN"/>
              </w:rPr>
            </w:pPr>
            <w:r>
              <w:rPr>
                <w:rFonts w:hint="eastAsia"/>
                <w:lang w:val="en-US" w:eastAsia="zh-CN"/>
              </w:rPr>
              <w:t>吉林百正</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69E78018">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01289C68">
            <w:pPr>
              <w:rPr>
                <w:rFonts w:hint="default"/>
                <w:lang w:val="en-US" w:eastAsia="zh-CN"/>
              </w:rPr>
            </w:pPr>
            <w:r>
              <w:rPr>
                <w:rFonts w:hint="eastAsia"/>
              </w:rPr>
              <w:t>BZSHD-3K</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436B5E52">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6AE6027A">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53443AA7">
            <w:pPr>
              <w:rPr>
                <w:rFonts w:hint="default"/>
                <w:lang w:val="en-US" w:eastAsia="zh-CN"/>
              </w:rPr>
            </w:pPr>
            <w:r>
              <w:rPr>
                <w:rFonts w:hint="eastAsia"/>
                <w:lang w:val="en-US" w:eastAsia="zh-CN"/>
              </w:rPr>
              <w:t>是</w:t>
            </w:r>
          </w:p>
        </w:tc>
      </w:tr>
      <w:tr w14:paraId="0E5BEC64">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6F7956DF">
            <w:pPr>
              <w:rPr>
                <w:rFonts w:hint="default"/>
                <w:lang w:val="en-US" w:eastAsia="zh-CN"/>
              </w:rPr>
            </w:pPr>
            <w:r>
              <w:rPr>
                <w:rFonts w:hint="eastAsia"/>
                <w:lang w:val="en-US" w:eastAsia="zh-CN"/>
              </w:rPr>
              <w:t>5</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2B746511">
            <w:r>
              <w:rPr>
                <w:rFonts w:hint="eastAsia"/>
              </w:rPr>
              <w:t>闭口闪点测定仪</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7C93CB5C">
            <w:pPr>
              <w:rPr>
                <w:rFonts w:hint="eastAsia"/>
                <w:lang w:val="en-US" w:eastAsia="zh-CN"/>
              </w:rPr>
            </w:pPr>
            <w:r>
              <w:rPr>
                <w:rFonts w:hint="eastAsia"/>
                <w:lang w:val="en-US" w:eastAsia="zh-CN"/>
              </w:rPr>
              <w:t>吉林百正</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790437A0">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2045E292">
            <w:pPr>
              <w:rPr>
                <w:rFonts w:hint="default"/>
                <w:lang w:val="en-US" w:eastAsia="zh-CN"/>
              </w:rPr>
            </w:pPr>
            <w:r>
              <w:rPr>
                <w:rFonts w:hint="eastAsia"/>
              </w:rPr>
              <w:t>BZSHD-3B</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5B6D6C2B">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1EAFFB32">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66D87BB8">
            <w:pPr>
              <w:rPr>
                <w:rFonts w:hint="default"/>
                <w:lang w:val="en-US" w:eastAsia="zh-CN"/>
              </w:rPr>
            </w:pPr>
            <w:r>
              <w:rPr>
                <w:rFonts w:hint="eastAsia"/>
                <w:lang w:val="en-US" w:eastAsia="zh-CN"/>
              </w:rPr>
              <w:t>是</w:t>
            </w:r>
          </w:p>
        </w:tc>
      </w:tr>
      <w:tr w14:paraId="6ABA15DA">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auto" w:sz="4" w:space="0"/>
              <w:right w:val="single" w:color="000000" w:sz="4" w:space="0"/>
            </w:tcBorders>
            <w:noWrap/>
            <w:vAlign w:val="center"/>
          </w:tcPr>
          <w:p w14:paraId="39FB8F7D">
            <w:pPr>
              <w:rPr>
                <w:rFonts w:hint="default"/>
                <w:lang w:val="en-US" w:eastAsia="zh-CN"/>
              </w:rPr>
            </w:pPr>
            <w:r>
              <w:rPr>
                <w:rFonts w:hint="eastAsia"/>
                <w:lang w:val="en-US" w:eastAsia="zh-CN"/>
              </w:rPr>
              <w:t>6</w:t>
            </w:r>
          </w:p>
        </w:tc>
        <w:tc>
          <w:tcPr>
            <w:tcW w:w="2640" w:type="dxa"/>
            <w:tcBorders>
              <w:top w:val="single" w:color="000000" w:sz="4" w:space="0"/>
              <w:left w:val="single" w:color="000000" w:sz="4" w:space="0"/>
              <w:bottom w:val="single" w:color="auto" w:sz="4" w:space="0"/>
              <w:right w:val="single" w:color="000000" w:sz="4" w:space="0"/>
            </w:tcBorders>
            <w:noWrap/>
            <w:vAlign w:val="center"/>
          </w:tcPr>
          <w:p w14:paraId="7A4D2220">
            <w:r>
              <w:rPr>
                <w:rFonts w:hint="eastAsia"/>
              </w:rPr>
              <w:t>酸值测定仪</w:t>
            </w:r>
          </w:p>
        </w:tc>
        <w:tc>
          <w:tcPr>
            <w:tcW w:w="1185" w:type="dxa"/>
            <w:tcBorders>
              <w:top w:val="single" w:color="000000" w:sz="4" w:space="0"/>
              <w:left w:val="single" w:color="000000" w:sz="4" w:space="0"/>
              <w:bottom w:val="single" w:color="auto" w:sz="4" w:space="0"/>
              <w:right w:val="single" w:color="000000" w:sz="4" w:space="0"/>
            </w:tcBorders>
            <w:noWrap/>
            <w:vAlign w:val="center"/>
          </w:tcPr>
          <w:p w14:paraId="5771346B">
            <w:pPr>
              <w:rPr>
                <w:rFonts w:hint="eastAsia"/>
                <w:lang w:val="en-US" w:eastAsia="zh-CN"/>
              </w:rPr>
            </w:pPr>
            <w:r>
              <w:rPr>
                <w:rFonts w:hint="eastAsia"/>
                <w:lang w:val="en-US" w:eastAsia="zh-CN"/>
              </w:rPr>
              <w:t>吉林百正</w:t>
            </w:r>
          </w:p>
        </w:tc>
        <w:tc>
          <w:tcPr>
            <w:tcW w:w="1125" w:type="dxa"/>
            <w:tcBorders>
              <w:top w:val="single" w:color="000000" w:sz="4" w:space="0"/>
              <w:left w:val="single" w:color="000000" w:sz="4" w:space="0"/>
              <w:bottom w:val="single" w:color="auto" w:sz="4" w:space="0"/>
              <w:right w:val="single" w:color="000000" w:sz="4" w:space="0"/>
            </w:tcBorders>
            <w:noWrap/>
            <w:vAlign w:val="center"/>
          </w:tcPr>
          <w:p w14:paraId="5FC1E73A">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auto" w:sz="4" w:space="0"/>
              <w:right w:val="single" w:color="000000" w:sz="4" w:space="0"/>
            </w:tcBorders>
            <w:noWrap/>
            <w:vAlign w:val="center"/>
          </w:tcPr>
          <w:p w14:paraId="05A9BE9F">
            <w:pPr>
              <w:rPr>
                <w:rFonts w:hint="default"/>
                <w:lang w:val="en-US" w:eastAsia="zh-CN"/>
              </w:rPr>
            </w:pPr>
            <w:r>
              <w:rPr>
                <w:rFonts w:hint="eastAsia"/>
              </w:rPr>
              <w:t>BZSZ-6X</w:t>
            </w:r>
          </w:p>
        </w:tc>
        <w:tc>
          <w:tcPr>
            <w:tcW w:w="3068" w:type="dxa"/>
            <w:gridSpan w:val="2"/>
            <w:tcBorders>
              <w:top w:val="single" w:color="000000" w:sz="4" w:space="0"/>
              <w:left w:val="single" w:color="000000" w:sz="4" w:space="0"/>
              <w:bottom w:val="single" w:color="auto" w:sz="4" w:space="0"/>
              <w:right w:val="single" w:color="000000" w:sz="4" w:space="0"/>
            </w:tcBorders>
            <w:noWrap/>
            <w:vAlign w:val="bottom"/>
          </w:tcPr>
          <w:p w14:paraId="342CC58F">
            <w:pPr>
              <w:rPr>
                <w:rFonts w:hint="eastAsia"/>
                <w:lang w:val="en-US" w:eastAsia="zh-CN"/>
              </w:rPr>
            </w:pPr>
            <w:r>
              <w:rPr>
                <w:rFonts w:hint="eastAsia"/>
                <w:lang w:val="en-US" w:eastAsia="zh-CN"/>
              </w:rPr>
              <w:t>现场</w:t>
            </w:r>
          </w:p>
        </w:tc>
        <w:tc>
          <w:tcPr>
            <w:tcW w:w="2827" w:type="dxa"/>
            <w:tcBorders>
              <w:top w:val="single" w:color="000000" w:sz="4" w:space="0"/>
              <w:left w:val="single" w:color="000000" w:sz="4" w:space="0"/>
              <w:bottom w:val="single" w:color="auto" w:sz="4" w:space="0"/>
              <w:right w:val="single" w:color="000000" w:sz="4" w:space="0"/>
            </w:tcBorders>
            <w:noWrap/>
            <w:vAlign w:val="bottom"/>
          </w:tcPr>
          <w:p w14:paraId="620E4E18">
            <w:pPr>
              <w:rPr>
                <w:rFonts w:hint="eastAsia"/>
                <w:lang w:val="en-US" w:eastAsia="zh-CN"/>
              </w:rPr>
            </w:pPr>
            <w:r>
              <w:rPr>
                <w:rFonts w:hint="eastAsia"/>
                <w:lang w:val="en-US" w:eastAsia="zh-CN"/>
              </w:rPr>
              <w:t>校准</w:t>
            </w:r>
          </w:p>
        </w:tc>
        <w:tc>
          <w:tcPr>
            <w:tcW w:w="1410" w:type="dxa"/>
            <w:tcBorders>
              <w:top w:val="single" w:color="000000" w:sz="4" w:space="0"/>
              <w:left w:val="single" w:color="000000" w:sz="4" w:space="0"/>
              <w:bottom w:val="single" w:color="auto" w:sz="4" w:space="0"/>
              <w:right w:val="single" w:color="000000" w:sz="4" w:space="0"/>
            </w:tcBorders>
            <w:noWrap/>
            <w:vAlign w:val="bottom"/>
          </w:tcPr>
          <w:p w14:paraId="71CD2F75">
            <w:pPr>
              <w:rPr>
                <w:rFonts w:hint="eastAsia"/>
                <w:lang w:val="en-US" w:eastAsia="zh-CN"/>
              </w:rPr>
            </w:pPr>
            <w:r>
              <w:rPr>
                <w:rFonts w:hint="eastAsia"/>
                <w:lang w:val="en-US" w:eastAsia="zh-CN"/>
              </w:rPr>
              <w:t>否</w:t>
            </w:r>
          </w:p>
        </w:tc>
      </w:tr>
      <w:tr w14:paraId="475A678A">
        <w:tblPrEx>
          <w:tblCellMar>
            <w:top w:w="0" w:type="dxa"/>
            <w:left w:w="108" w:type="dxa"/>
            <w:bottom w:w="0" w:type="dxa"/>
            <w:right w:w="108" w:type="dxa"/>
          </w:tblCellMar>
        </w:tblPrEx>
        <w:trPr>
          <w:trHeight w:val="1067" w:hRule="atLeast"/>
        </w:trPr>
        <w:tc>
          <w:tcPr>
            <w:tcW w:w="9342" w:type="dxa"/>
            <w:gridSpan w:val="6"/>
            <w:tcBorders>
              <w:top w:val="single" w:color="auto" w:sz="4" w:space="0"/>
              <w:left w:val="nil"/>
              <w:bottom w:val="single" w:color="auto" w:sz="4" w:space="0"/>
              <w:right w:val="nil"/>
            </w:tcBorders>
            <w:noWrap/>
            <w:vAlign w:val="center"/>
          </w:tcPr>
          <w:p w14:paraId="22062775">
            <w:pPr>
              <w:rPr>
                <w:rFonts w:hint="eastAsia"/>
              </w:rPr>
            </w:pPr>
          </w:p>
          <w:p w14:paraId="62361303">
            <w:pPr>
              <w:rPr>
                <w:rFonts w:hint="eastAsia"/>
                <w:lang w:val="en-US" w:eastAsia="zh-CN"/>
              </w:rPr>
            </w:pPr>
            <w:r>
              <w:rPr>
                <w:rFonts w:hint="eastAsia"/>
              </w:rPr>
              <w:t>污水分析</w:t>
            </w:r>
            <w:r>
              <w:rPr>
                <w:rFonts w:hint="eastAsia"/>
                <w:lang w:val="en-US" w:eastAsia="zh-CN"/>
              </w:rPr>
              <w:t>室</w:t>
            </w:r>
            <w:r>
              <w:rPr>
                <w:rFonts w:hint="eastAsia"/>
              </w:rPr>
              <w:t>仪器</w:t>
            </w:r>
          </w:p>
        </w:tc>
        <w:tc>
          <w:tcPr>
            <w:tcW w:w="1257" w:type="dxa"/>
            <w:tcBorders>
              <w:top w:val="single" w:color="auto" w:sz="4" w:space="0"/>
              <w:left w:val="nil"/>
              <w:bottom w:val="single" w:color="auto" w:sz="4" w:space="0"/>
              <w:right w:val="nil"/>
            </w:tcBorders>
            <w:noWrap/>
            <w:vAlign w:val="center"/>
          </w:tcPr>
          <w:p w14:paraId="105DA9F0">
            <w:pPr>
              <w:rPr>
                <w:rFonts w:hint="eastAsia"/>
              </w:rPr>
            </w:pPr>
          </w:p>
        </w:tc>
        <w:tc>
          <w:tcPr>
            <w:tcW w:w="2827" w:type="dxa"/>
            <w:tcBorders>
              <w:top w:val="single" w:color="auto" w:sz="4" w:space="0"/>
              <w:left w:val="nil"/>
              <w:bottom w:val="single" w:color="auto" w:sz="4" w:space="0"/>
              <w:right w:val="nil"/>
            </w:tcBorders>
            <w:noWrap/>
            <w:vAlign w:val="center"/>
          </w:tcPr>
          <w:p w14:paraId="0E4FBF45">
            <w:pPr>
              <w:rPr>
                <w:rFonts w:hint="eastAsia"/>
              </w:rPr>
            </w:pPr>
          </w:p>
        </w:tc>
        <w:tc>
          <w:tcPr>
            <w:tcW w:w="1410" w:type="dxa"/>
            <w:tcBorders>
              <w:top w:val="single" w:color="auto" w:sz="4" w:space="0"/>
              <w:left w:val="nil"/>
              <w:bottom w:val="single" w:color="auto" w:sz="4" w:space="0"/>
              <w:right w:val="nil"/>
            </w:tcBorders>
            <w:noWrap/>
            <w:vAlign w:val="center"/>
          </w:tcPr>
          <w:p w14:paraId="1AF42521">
            <w:pPr>
              <w:rPr>
                <w:rFonts w:hint="eastAsia"/>
              </w:rPr>
            </w:pPr>
          </w:p>
        </w:tc>
      </w:tr>
      <w:tr w14:paraId="653FF64D">
        <w:tblPrEx>
          <w:tblCellMar>
            <w:top w:w="0" w:type="dxa"/>
            <w:left w:w="108" w:type="dxa"/>
            <w:bottom w:w="0" w:type="dxa"/>
            <w:right w:w="108" w:type="dxa"/>
          </w:tblCellMar>
        </w:tblPrEx>
        <w:trPr>
          <w:trHeight w:val="403" w:hRule="atLeast"/>
        </w:trPr>
        <w:tc>
          <w:tcPr>
            <w:tcW w:w="657" w:type="dxa"/>
            <w:tcBorders>
              <w:top w:val="single" w:color="auto" w:sz="4" w:space="0"/>
              <w:left w:val="single" w:color="000000" w:sz="4" w:space="0"/>
              <w:bottom w:val="single" w:color="000000" w:sz="4" w:space="0"/>
              <w:right w:val="single" w:color="000000" w:sz="4" w:space="0"/>
            </w:tcBorders>
            <w:noWrap/>
            <w:vAlign w:val="center"/>
          </w:tcPr>
          <w:p w14:paraId="34C26B37">
            <w:pPr>
              <w:rPr>
                <w:rFonts w:hint="default"/>
                <w:lang w:val="en-US" w:eastAsia="zh-CN"/>
              </w:rPr>
            </w:pPr>
            <w:r>
              <w:rPr>
                <w:rFonts w:hint="eastAsia"/>
                <w:lang w:val="en-US" w:eastAsia="zh-CN"/>
              </w:rPr>
              <w:t>序号</w:t>
            </w:r>
          </w:p>
        </w:tc>
        <w:tc>
          <w:tcPr>
            <w:tcW w:w="2640" w:type="dxa"/>
            <w:tcBorders>
              <w:top w:val="single" w:color="auto" w:sz="4" w:space="0"/>
              <w:left w:val="single" w:color="000000" w:sz="4" w:space="0"/>
              <w:bottom w:val="single" w:color="000000" w:sz="4" w:space="0"/>
              <w:right w:val="single" w:color="000000" w:sz="4" w:space="0"/>
            </w:tcBorders>
            <w:noWrap/>
            <w:vAlign w:val="center"/>
          </w:tcPr>
          <w:p w14:paraId="77AC2712">
            <w:pPr>
              <w:rPr>
                <w:rFonts w:hint="eastAsia"/>
                <w:lang w:val="en-US" w:eastAsia="zh-CN"/>
              </w:rPr>
            </w:pPr>
            <w:r>
              <w:rPr>
                <w:rFonts w:hint="eastAsia"/>
                <w:lang w:val="en-US" w:eastAsia="zh-CN"/>
              </w:rPr>
              <w:t>名称</w:t>
            </w:r>
          </w:p>
        </w:tc>
        <w:tc>
          <w:tcPr>
            <w:tcW w:w="1185" w:type="dxa"/>
            <w:tcBorders>
              <w:top w:val="single" w:color="auto" w:sz="4" w:space="0"/>
              <w:left w:val="single" w:color="000000" w:sz="4" w:space="0"/>
              <w:bottom w:val="single" w:color="000000" w:sz="4" w:space="0"/>
              <w:right w:val="single" w:color="000000" w:sz="4" w:space="0"/>
            </w:tcBorders>
            <w:noWrap/>
            <w:vAlign w:val="center"/>
          </w:tcPr>
          <w:p w14:paraId="16FAF44A">
            <w:pPr>
              <w:rPr>
                <w:rFonts w:hint="eastAsia"/>
                <w:lang w:val="en-US" w:eastAsia="zh-CN"/>
              </w:rPr>
            </w:pPr>
            <w:r>
              <w:rPr>
                <w:rFonts w:hint="eastAsia"/>
                <w:lang w:val="en-US" w:eastAsia="zh-CN"/>
              </w:rPr>
              <w:t>制造单位</w:t>
            </w:r>
          </w:p>
        </w:tc>
        <w:tc>
          <w:tcPr>
            <w:tcW w:w="1125" w:type="dxa"/>
            <w:tcBorders>
              <w:top w:val="single" w:color="auto" w:sz="4" w:space="0"/>
              <w:left w:val="single" w:color="000000" w:sz="4" w:space="0"/>
              <w:bottom w:val="single" w:color="000000" w:sz="4" w:space="0"/>
              <w:right w:val="single" w:color="000000" w:sz="4" w:space="0"/>
            </w:tcBorders>
            <w:noWrap/>
            <w:vAlign w:val="center"/>
          </w:tcPr>
          <w:p w14:paraId="4B5D1FCC">
            <w:pPr>
              <w:rPr>
                <w:rFonts w:hint="eastAsia"/>
                <w:lang w:val="en-US" w:eastAsia="zh-CN"/>
              </w:rPr>
            </w:pPr>
            <w:r>
              <w:rPr>
                <w:rFonts w:hint="eastAsia"/>
                <w:lang w:val="en-US" w:eastAsia="zh-CN"/>
              </w:rPr>
              <w:t>数量</w:t>
            </w:r>
          </w:p>
        </w:tc>
        <w:tc>
          <w:tcPr>
            <w:tcW w:w="1924" w:type="dxa"/>
            <w:tcBorders>
              <w:top w:val="single" w:color="auto" w:sz="4" w:space="0"/>
              <w:left w:val="single" w:color="000000" w:sz="4" w:space="0"/>
              <w:bottom w:val="single" w:color="000000" w:sz="4" w:space="0"/>
              <w:right w:val="single" w:color="000000" w:sz="4" w:space="0"/>
            </w:tcBorders>
            <w:noWrap/>
            <w:vAlign w:val="center"/>
          </w:tcPr>
          <w:p w14:paraId="23E3687B">
            <w:pPr>
              <w:rPr>
                <w:rFonts w:hint="default"/>
                <w:lang w:val="en-US" w:eastAsia="zh-CN"/>
              </w:rPr>
            </w:pPr>
            <w:r>
              <w:rPr>
                <w:rFonts w:hint="eastAsia"/>
                <w:lang w:val="en-US" w:eastAsia="zh-CN"/>
              </w:rPr>
              <w:t>型号</w:t>
            </w:r>
          </w:p>
        </w:tc>
        <w:tc>
          <w:tcPr>
            <w:tcW w:w="3068" w:type="dxa"/>
            <w:gridSpan w:val="2"/>
            <w:tcBorders>
              <w:top w:val="single" w:color="auto" w:sz="4" w:space="0"/>
              <w:left w:val="single" w:color="000000" w:sz="4" w:space="0"/>
              <w:bottom w:val="single" w:color="000000" w:sz="4" w:space="0"/>
              <w:right w:val="single" w:color="000000" w:sz="4" w:space="0"/>
            </w:tcBorders>
            <w:noWrap/>
            <w:vAlign w:val="center"/>
          </w:tcPr>
          <w:p w14:paraId="35E4F809">
            <w:pPr>
              <w:rPr>
                <w:rFonts w:hint="eastAsia"/>
                <w:lang w:val="en-US" w:eastAsia="zh-CN"/>
              </w:rPr>
            </w:pPr>
            <w:r>
              <w:rPr>
                <w:rFonts w:hint="eastAsia"/>
                <w:lang w:val="en-US" w:eastAsia="zh-CN"/>
              </w:rPr>
              <w:t>服务方式（现场/送检）</w:t>
            </w:r>
          </w:p>
        </w:tc>
        <w:tc>
          <w:tcPr>
            <w:tcW w:w="2827" w:type="dxa"/>
            <w:tcBorders>
              <w:top w:val="single" w:color="auto" w:sz="4" w:space="0"/>
              <w:left w:val="single" w:color="000000" w:sz="4" w:space="0"/>
              <w:bottom w:val="single" w:color="000000" w:sz="4" w:space="0"/>
              <w:right w:val="single" w:color="000000" w:sz="4" w:space="0"/>
            </w:tcBorders>
            <w:noWrap/>
            <w:vAlign w:val="center"/>
          </w:tcPr>
          <w:p w14:paraId="46A41FD7">
            <w:pPr>
              <w:rPr>
                <w:rFonts w:hint="eastAsia"/>
                <w:lang w:val="en-US" w:eastAsia="zh-CN"/>
              </w:rPr>
            </w:pPr>
            <w:r>
              <w:rPr>
                <w:rFonts w:hint="eastAsia"/>
                <w:lang w:val="en-US" w:eastAsia="zh-CN"/>
              </w:rPr>
              <w:t>证书类型（校准/检定）</w:t>
            </w:r>
          </w:p>
        </w:tc>
        <w:tc>
          <w:tcPr>
            <w:tcW w:w="1410" w:type="dxa"/>
            <w:tcBorders>
              <w:top w:val="single" w:color="auto" w:sz="4" w:space="0"/>
              <w:left w:val="single" w:color="000000" w:sz="4" w:space="0"/>
              <w:bottom w:val="single" w:color="000000" w:sz="4" w:space="0"/>
              <w:right w:val="single" w:color="000000" w:sz="4" w:space="0"/>
            </w:tcBorders>
            <w:noWrap/>
            <w:vAlign w:val="center"/>
          </w:tcPr>
          <w:p w14:paraId="5234ED9A">
            <w:pPr>
              <w:rPr>
                <w:rFonts w:hint="eastAsia"/>
                <w:lang w:val="en-US" w:eastAsia="zh-CN"/>
              </w:rPr>
            </w:pPr>
            <w:r>
              <w:rPr>
                <w:rFonts w:hint="eastAsia"/>
                <w:lang w:val="en-US" w:eastAsia="zh-CN"/>
              </w:rPr>
              <w:t>是否带标</w:t>
            </w:r>
          </w:p>
        </w:tc>
      </w:tr>
      <w:tr w14:paraId="1E0BA6B9">
        <w:tblPrEx>
          <w:tblCellMar>
            <w:top w:w="0" w:type="dxa"/>
            <w:left w:w="108" w:type="dxa"/>
            <w:bottom w:w="0" w:type="dxa"/>
            <w:right w:w="108" w:type="dxa"/>
          </w:tblCellMar>
        </w:tblPrEx>
        <w:trPr>
          <w:trHeight w:val="403" w:hRule="atLeast"/>
        </w:trPr>
        <w:tc>
          <w:tcPr>
            <w:tcW w:w="657" w:type="dxa"/>
            <w:tcBorders>
              <w:top w:val="single" w:color="auto" w:sz="4" w:space="0"/>
              <w:left w:val="single" w:color="000000" w:sz="4" w:space="0"/>
              <w:bottom w:val="single" w:color="000000" w:sz="4" w:space="0"/>
              <w:right w:val="single" w:color="000000" w:sz="4" w:space="0"/>
            </w:tcBorders>
            <w:noWrap/>
            <w:vAlign w:val="center"/>
          </w:tcPr>
          <w:p w14:paraId="41DAE11B">
            <w:pPr>
              <w:rPr>
                <w:rFonts w:hint="default"/>
                <w:lang w:val="en-US" w:eastAsia="zh-CN"/>
              </w:rPr>
            </w:pPr>
            <w:r>
              <w:rPr>
                <w:rFonts w:hint="eastAsia"/>
                <w:lang w:val="en-US" w:eastAsia="zh-CN"/>
              </w:rPr>
              <w:t>1</w:t>
            </w:r>
          </w:p>
        </w:tc>
        <w:tc>
          <w:tcPr>
            <w:tcW w:w="2640" w:type="dxa"/>
            <w:tcBorders>
              <w:top w:val="single" w:color="auto" w:sz="4" w:space="0"/>
              <w:left w:val="single" w:color="000000" w:sz="4" w:space="0"/>
              <w:bottom w:val="single" w:color="000000" w:sz="4" w:space="0"/>
              <w:right w:val="single" w:color="000000" w:sz="4" w:space="0"/>
            </w:tcBorders>
            <w:noWrap/>
            <w:vAlign w:val="center"/>
          </w:tcPr>
          <w:p w14:paraId="5711E013">
            <w:r>
              <w:t>便携式溶解氧测定仪</w:t>
            </w:r>
          </w:p>
        </w:tc>
        <w:tc>
          <w:tcPr>
            <w:tcW w:w="1185" w:type="dxa"/>
            <w:tcBorders>
              <w:top w:val="single" w:color="auto" w:sz="4" w:space="0"/>
              <w:left w:val="single" w:color="000000" w:sz="4" w:space="0"/>
              <w:bottom w:val="single" w:color="000000" w:sz="4" w:space="0"/>
              <w:right w:val="single" w:color="000000" w:sz="4" w:space="0"/>
            </w:tcBorders>
            <w:noWrap/>
            <w:vAlign w:val="center"/>
          </w:tcPr>
          <w:p w14:paraId="77CA5BBE">
            <w:pPr>
              <w:rPr>
                <w:rFonts w:hint="eastAsia"/>
                <w:lang w:val="en-US" w:eastAsia="zh-CN"/>
              </w:rPr>
            </w:pPr>
            <w:r>
              <w:rPr>
                <w:rFonts w:hint="eastAsia"/>
              </w:rPr>
              <w:t>德国WTW</w:t>
            </w:r>
          </w:p>
        </w:tc>
        <w:tc>
          <w:tcPr>
            <w:tcW w:w="1125" w:type="dxa"/>
            <w:tcBorders>
              <w:top w:val="single" w:color="auto" w:sz="4" w:space="0"/>
              <w:left w:val="single" w:color="000000" w:sz="4" w:space="0"/>
              <w:bottom w:val="single" w:color="000000" w:sz="4" w:space="0"/>
              <w:right w:val="single" w:color="000000" w:sz="4" w:space="0"/>
            </w:tcBorders>
            <w:noWrap/>
            <w:vAlign w:val="center"/>
          </w:tcPr>
          <w:p w14:paraId="622B6A88">
            <w:pPr>
              <w:rPr>
                <w:rFonts w:hint="eastAsia"/>
                <w:lang w:val="en-US" w:eastAsia="zh-CN"/>
              </w:rPr>
            </w:pPr>
            <w:r>
              <w:rPr>
                <w:rFonts w:hint="eastAsia"/>
                <w:lang w:val="en-US" w:eastAsia="zh-CN"/>
              </w:rPr>
              <w:t>1台</w:t>
            </w:r>
          </w:p>
        </w:tc>
        <w:tc>
          <w:tcPr>
            <w:tcW w:w="1924" w:type="dxa"/>
            <w:tcBorders>
              <w:top w:val="single" w:color="auto" w:sz="4" w:space="0"/>
              <w:left w:val="single" w:color="000000" w:sz="4" w:space="0"/>
              <w:bottom w:val="single" w:color="000000" w:sz="4" w:space="0"/>
              <w:right w:val="single" w:color="000000" w:sz="4" w:space="0"/>
            </w:tcBorders>
            <w:noWrap/>
            <w:vAlign w:val="center"/>
          </w:tcPr>
          <w:p w14:paraId="70B9C85E">
            <w:pPr>
              <w:rPr>
                <w:rFonts w:hint="default"/>
                <w:lang w:val="en-US" w:eastAsia="zh-CN"/>
              </w:rPr>
            </w:pPr>
            <w:r>
              <w:rPr>
                <w:rFonts w:hint="eastAsia"/>
              </w:rPr>
              <w:t>Qxi3310</w:t>
            </w:r>
          </w:p>
        </w:tc>
        <w:tc>
          <w:tcPr>
            <w:tcW w:w="3068" w:type="dxa"/>
            <w:gridSpan w:val="2"/>
            <w:tcBorders>
              <w:top w:val="single" w:color="auto" w:sz="4" w:space="0"/>
              <w:left w:val="single" w:color="000000" w:sz="4" w:space="0"/>
              <w:bottom w:val="single" w:color="000000" w:sz="4" w:space="0"/>
              <w:right w:val="single" w:color="000000" w:sz="4" w:space="0"/>
            </w:tcBorders>
            <w:noWrap/>
            <w:vAlign w:val="bottom"/>
          </w:tcPr>
          <w:p w14:paraId="0C7DA7DC">
            <w:pPr>
              <w:rPr>
                <w:rFonts w:hint="default"/>
                <w:lang w:val="en-US" w:eastAsia="zh-CN"/>
              </w:rPr>
            </w:pPr>
            <w:r>
              <w:rPr>
                <w:rFonts w:hint="eastAsia"/>
                <w:lang w:val="en-US" w:eastAsia="zh-CN"/>
              </w:rPr>
              <w:t>现场</w:t>
            </w:r>
          </w:p>
        </w:tc>
        <w:tc>
          <w:tcPr>
            <w:tcW w:w="2827" w:type="dxa"/>
            <w:tcBorders>
              <w:top w:val="single" w:color="auto" w:sz="4" w:space="0"/>
              <w:left w:val="single" w:color="000000" w:sz="4" w:space="0"/>
              <w:bottom w:val="single" w:color="000000" w:sz="4" w:space="0"/>
              <w:right w:val="single" w:color="000000" w:sz="4" w:space="0"/>
            </w:tcBorders>
            <w:noWrap/>
            <w:vAlign w:val="bottom"/>
          </w:tcPr>
          <w:p w14:paraId="5A74AF04">
            <w:pPr>
              <w:rPr>
                <w:rFonts w:hint="default"/>
                <w:lang w:val="en-US" w:eastAsia="zh-CN"/>
              </w:rPr>
            </w:pPr>
            <w:r>
              <w:rPr>
                <w:rFonts w:hint="eastAsia"/>
                <w:lang w:val="en-US" w:eastAsia="zh-CN"/>
              </w:rPr>
              <w:t>校准</w:t>
            </w:r>
          </w:p>
        </w:tc>
        <w:tc>
          <w:tcPr>
            <w:tcW w:w="1410" w:type="dxa"/>
            <w:tcBorders>
              <w:top w:val="single" w:color="auto" w:sz="4" w:space="0"/>
              <w:left w:val="single" w:color="000000" w:sz="4" w:space="0"/>
              <w:bottom w:val="single" w:color="000000" w:sz="4" w:space="0"/>
              <w:right w:val="single" w:color="000000" w:sz="4" w:space="0"/>
            </w:tcBorders>
            <w:noWrap/>
            <w:vAlign w:val="bottom"/>
          </w:tcPr>
          <w:p w14:paraId="0506A702">
            <w:pPr>
              <w:rPr>
                <w:rFonts w:hint="default"/>
                <w:lang w:val="en-US" w:eastAsia="zh-CN"/>
              </w:rPr>
            </w:pPr>
            <w:r>
              <w:rPr>
                <w:rFonts w:hint="eastAsia"/>
                <w:lang w:val="en-US" w:eastAsia="zh-CN"/>
              </w:rPr>
              <w:t>是</w:t>
            </w:r>
          </w:p>
        </w:tc>
      </w:tr>
      <w:tr w14:paraId="3E6E7D90">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40EDE023">
            <w:pPr>
              <w:rPr>
                <w:rFonts w:hint="default"/>
                <w:lang w:val="en-US" w:eastAsia="zh-CN"/>
              </w:rPr>
            </w:pPr>
            <w:r>
              <w:rPr>
                <w:rFonts w:hint="eastAsia"/>
                <w:lang w:val="en-US" w:eastAsia="zh-CN"/>
              </w:rPr>
              <w:t>2</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61AB1ECC">
            <w:r>
              <w:t>多参数水质分析仪</w:t>
            </w:r>
          </w:p>
          <w:p w14:paraId="754C363F">
            <w:r>
              <w:t>（含消解炉）</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3BE6147A">
            <w:pPr>
              <w:rPr>
                <w:rFonts w:hint="eastAsia"/>
                <w:lang w:val="en-US" w:eastAsia="zh-CN"/>
              </w:rPr>
            </w:pPr>
            <w:r>
              <w:rPr>
                <w:rFonts w:hint="eastAsia"/>
                <w:lang w:val="en-US" w:eastAsia="zh-CN"/>
              </w:rPr>
              <w:t>连华科技</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33AB9584">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7A775869">
            <w:pPr>
              <w:rPr>
                <w:rFonts w:hint="default"/>
                <w:lang w:val="en-US" w:eastAsia="zh-CN"/>
              </w:rPr>
            </w:pPr>
            <w:r>
              <w:rPr>
                <w:rFonts w:hint="eastAsia"/>
                <w:lang w:val="en-US" w:eastAsia="zh-CN"/>
              </w:rPr>
              <w:t>5B-6C（V11）</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66B3D9C9">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27DDBA79">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58EA8D71">
            <w:pPr>
              <w:rPr>
                <w:rFonts w:hint="default"/>
                <w:lang w:val="en-US" w:eastAsia="zh-CN"/>
              </w:rPr>
            </w:pPr>
            <w:r>
              <w:rPr>
                <w:rFonts w:hint="eastAsia"/>
                <w:lang w:val="en-US" w:eastAsia="zh-CN"/>
              </w:rPr>
              <w:t>是</w:t>
            </w:r>
          </w:p>
        </w:tc>
      </w:tr>
      <w:tr w14:paraId="1F360A47">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4937B906">
            <w:pPr>
              <w:rPr>
                <w:rFonts w:hint="default"/>
                <w:lang w:val="en-US" w:eastAsia="zh-CN"/>
              </w:rPr>
            </w:pPr>
            <w:r>
              <w:rPr>
                <w:rFonts w:hint="eastAsia"/>
                <w:lang w:val="en-US" w:eastAsia="zh-CN"/>
              </w:rPr>
              <w:t>3</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0497E107">
            <w:r>
              <w:t>BOD分析仪</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65C8D98A">
            <w:pPr>
              <w:rPr>
                <w:rFonts w:hint="eastAsia"/>
                <w:lang w:val="en-US" w:eastAsia="zh-CN"/>
              </w:rPr>
            </w:pPr>
            <w:r>
              <w:rPr>
                <w:rFonts w:hint="eastAsia"/>
                <w:lang w:val="en-US" w:eastAsia="zh-CN"/>
              </w:rPr>
              <w:t>连华科技</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73F165D4">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7F6C215B">
            <w:pPr>
              <w:rPr>
                <w:rFonts w:hint="default"/>
                <w:lang w:val="en-US" w:eastAsia="zh-CN"/>
              </w:rPr>
            </w:pPr>
            <w:r>
              <w:rPr>
                <w:rFonts w:hint="eastAsia"/>
                <w:lang w:val="en-US" w:eastAsia="zh-CN"/>
              </w:rPr>
              <w:t>LH-BOD601（SL）</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185F2869">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5291C8DF">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5D6100FF">
            <w:pPr>
              <w:rPr>
                <w:rFonts w:hint="default"/>
                <w:lang w:val="en-US" w:eastAsia="zh-CN"/>
              </w:rPr>
            </w:pPr>
            <w:r>
              <w:rPr>
                <w:rFonts w:hint="eastAsia"/>
                <w:lang w:val="en-US" w:eastAsia="zh-CN"/>
              </w:rPr>
              <w:t>是</w:t>
            </w:r>
          </w:p>
        </w:tc>
      </w:tr>
      <w:tr w14:paraId="3A5494CF">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2706C67A">
            <w:pPr>
              <w:rPr>
                <w:rFonts w:hint="default"/>
                <w:lang w:val="en-US" w:eastAsia="zh-CN"/>
              </w:rPr>
            </w:pPr>
            <w:r>
              <w:rPr>
                <w:rFonts w:hint="eastAsia"/>
                <w:lang w:val="en-US" w:eastAsia="zh-CN"/>
              </w:rPr>
              <w:t>4</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20A9B0A8">
            <w:r>
              <w:t>生化培养箱</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0824C4E">
            <w:pPr>
              <w:rPr>
                <w:rFonts w:hint="eastAsia"/>
                <w:lang w:val="en-US" w:eastAsia="zh-CN"/>
              </w:rPr>
            </w:pPr>
            <w:r>
              <w:rPr>
                <w:rFonts w:hint="eastAsia"/>
                <w:lang w:val="en-US" w:eastAsia="zh-CN"/>
              </w:rPr>
              <w:t>北京林茂</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3551EE16">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7779B342">
            <w:pPr>
              <w:rPr>
                <w:rFonts w:hint="default"/>
                <w:lang w:val="en-US" w:eastAsia="zh-CN"/>
              </w:rPr>
            </w:pPr>
            <w:r>
              <w:rPr>
                <w:rFonts w:hint="eastAsia"/>
                <w:lang w:val="en-US" w:eastAsia="zh-CN"/>
              </w:rPr>
              <w:t>SPX-150</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2F546DB5">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663DE339">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2E8C534B">
            <w:pPr>
              <w:rPr>
                <w:rFonts w:hint="default"/>
                <w:lang w:val="en-US" w:eastAsia="zh-CN"/>
              </w:rPr>
            </w:pPr>
            <w:r>
              <w:rPr>
                <w:rFonts w:hint="eastAsia"/>
                <w:lang w:val="en-US" w:eastAsia="zh-CN"/>
              </w:rPr>
              <w:t>是</w:t>
            </w:r>
          </w:p>
        </w:tc>
      </w:tr>
      <w:tr w14:paraId="06FF2F62">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6883B9B1">
            <w:pPr>
              <w:rPr>
                <w:rFonts w:hint="default"/>
                <w:lang w:val="en-US" w:eastAsia="zh-CN"/>
              </w:rPr>
            </w:pPr>
            <w:r>
              <w:rPr>
                <w:rFonts w:hint="eastAsia"/>
                <w:lang w:val="en-US" w:eastAsia="zh-CN"/>
              </w:rPr>
              <w:t>5</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518B492F">
            <w:r>
              <w:t>沼气便携式分析仪</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425D1F0">
            <w:pPr>
              <w:rPr>
                <w:rFonts w:hint="eastAsia"/>
                <w:lang w:val="en-US" w:eastAsia="zh-CN"/>
              </w:rPr>
            </w:pPr>
            <w:r>
              <w:t>霍尼韦尔</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7A3FF403">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77BEC2DD">
            <w:pPr>
              <w:rPr>
                <w:rFonts w:hint="default"/>
                <w:lang w:val="en-US" w:eastAsia="zh-CN"/>
              </w:rPr>
            </w:pPr>
            <w:r>
              <w:t>PGM-6208</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401C080F">
            <w:pPr>
              <w:rPr>
                <w:rFonts w:hint="default"/>
                <w:lang w:val="en-US" w:eastAsia="zh-CN"/>
              </w:rPr>
            </w:pPr>
            <w:r>
              <w:rPr>
                <w:rFonts w:hint="eastAsia"/>
                <w:lang w:val="en-US" w:eastAsia="zh-CN"/>
              </w:rPr>
              <w:t>送检</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6CB8403B">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4B0208E5">
            <w:pPr>
              <w:rPr>
                <w:rFonts w:hint="default"/>
                <w:lang w:val="en-US" w:eastAsia="zh-CN"/>
              </w:rPr>
            </w:pPr>
            <w:r>
              <w:rPr>
                <w:rFonts w:hint="eastAsia"/>
                <w:lang w:val="en-US" w:eastAsia="zh-CN"/>
              </w:rPr>
              <w:t>是</w:t>
            </w:r>
          </w:p>
        </w:tc>
      </w:tr>
      <w:tr w14:paraId="7A785B54">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auto" w:sz="4" w:space="0"/>
              <w:right w:val="single" w:color="000000" w:sz="4" w:space="0"/>
            </w:tcBorders>
            <w:noWrap/>
            <w:vAlign w:val="center"/>
          </w:tcPr>
          <w:p w14:paraId="2D1E2163">
            <w:pPr>
              <w:rPr>
                <w:rFonts w:hint="default"/>
                <w:lang w:val="en-US" w:eastAsia="zh-CN"/>
              </w:rPr>
            </w:pPr>
            <w:r>
              <w:rPr>
                <w:rFonts w:hint="eastAsia"/>
                <w:lang w:val="en-US" w:eastAsia="zh-CN"/>
              </w:rPr>
              <w:t>6</w:t>
            </w:r>
          </w:p>
        </w:tc>
        <w:tc>
          <w:tcPr>
            <w:tcW w:w="2640" w:type="dxa"/>
            <w:tcBorders>
              <w:top w:val="single" w:color="000000" w:sz="4" w:space="0"/>
              <w:left w:val="single" w:color="000000" w:sz="4" w:space="0"/>
              <w:bottom w:val="single" w:color="auto" w:sz="4" w:space="0"/>
              <w:right w:val="single" w:color="000000" w:sz="4" w:space="0"/>
            </w:tcBorders>
            <w:noWrap/>
            <w:vAlign w:val="center"/>
          </w:tcPr>
          <w:p w14:paraId="012A5CCD">
            <w:r>
              <w:t>手持式硫化氢检测仪</w:t>
            </w:r>
          </w:p>
        </w:tc>
        <w:tc>
          <w:tcPr>
            <w:tcW w:w="1185" w:type="dxa"/>
            <w:tcBorders>
              <w:top w:val="single" w:color="000000" w:sz="4" w:space="0"/>
              <w:left w:val="single" w:color="000000" w:sz="4" w:space="0"/>
              <w:bottom w:val="single" w:color="auto" w:sz="4" w:space="0"/>
              <w:right w:val="single" w:color="000000" w:sz="4" w:space="0"/>
            </w:tcBorders>
            <w:noWrap/>
            <w:vAlign w:val="center"/>
          </w:tcPr>
          <w:p w14:paraId="06CFF522">
            <w:pPr>
              <w:rPr>
                <w:rFonts w:hint="eastAsia"/>
                <w:lang w:val="en-US" w:eastAsia="zh-CN"/>
              </w:rPr>
            </w:pPr>
            <w:r>
              <w:t>霍尼韦尔</w:t>
            </w:r>
          </w:p>
        </w:tc>
        <w:tc>
          <w:tcPr>
            <w:tcW w:w="1125" w:type="dxa"/>
            <w:tcBorders>
              <w:top w:val="single" w:color="000000" w:sz="4" w:space="0"/>
              <w:left w:val="single" w:color="000000" w:sz="4" w:space="0"/>
              <w:bottom w:val="single" w:color="auto" w:sz="4" w:space="0"/>
              <w:right w:val="single" w:color="000000" w:sz="4" w:space="0"/>
            </w:tcBorders>
            <w:noWrap/>
            <w:vAlign w:val="center"/>
          </w:tcPr>
          <w:p w14:paraId="4CE24490">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auto" w:sz="4" w:space="0"/>
              <w:right w:val="single" w:color="000000" w:sz="4" w:space="0"/>
            </w:tcBorders>
            <w:noWrap/>
            <w:vAlign w:val="center"/>
          </w:tcPr>
          <w:p w14:paraId="5D1609EF">
            <w:pPr>
              <w:rPr>
                <w:rFonts w:hint="default"/>
                <w:lang w:val="en-US" w:eastAsia="zh-CN"/>
              </w:rPr>
            </w:pPr>
            <w:r>
              <w:t>PGM-1860</w:t>
            </w:r>
          </w:p>
        </w:tc>
        <w:tc>
          <w:tcPr>
            <w:tcW w:w="3068" w:type="dxa"/>
            <w:gridSpan w:val="2"/>
            <w:tcBorders>
              <w:top w:val="single" w:color="000000" w:sz="4" w:space="0"/>
              <w:left w:val="single" w:color="000000" w:sz="4" w:space="0"/>
              <w:bottom w:val="single" w:color="auto" w:sz="4" w:space="0"/>
              <w:right w:val="single" w:color="000000" w:sz="4" w:space="0"/>
            </w:tcBorders>
            <w:noWrap/>
            <w:vAlign w:val="bottom"/>
          </w:tcPr>
          <w:p w14:paraId="0A591C75">
            <w:pPr>
              <w:rPr>
                <w:rFonts w:hint="default"/>
                <w:lang w:val="en-US" w:eastAsia="zh-CN"/>
              </w:rPr>
            </w:pPr>
            <w:r>
              <w:rPr>
                <w:rFonts w:hint="eastAsia"/>
                <w:lang w:val="en-US" w:eastAsia="zh-CN"/>
              </w:rPr>
              <w:t>送检</w:t>
            </w:r>
          </w:p>
        </w:tc>
        <w:tc>
          <w:tcPr>
            <w:tcW w:w="2827" w:type="dxa"/>
            <w:tcBorders>
              <w:top w:val="single" w:color="000000" w:sz="4" w:space="0"/>
              <w:left w:val="single" w:color="000000" w:sz="4" w:space="0"/>
              <w:bottom w:val="single" w:color="auto" w:sz="4" w:space="0"/>
              <w:right w:val="single" w:color="000000" w:sz="4" w:space="0"/>
            </w:tcBorders>
            <w:noWrap/>
            <w:vAlign w:val="bottom"/>
          </w:tcPr>
          <w:p w14:paraId="18FA02A8">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auto" w:sz="4" w:space="0"/>
              <w:right w:val="single" w:color="000000" w:sz="4" w:space="0"/>
            </w:tcBorders>
            <w:noWrap/>
            <w:vAlign w:val="bottom"/>
          </w:tcPr>
          <w:p w14:paraId="05312998">
            <w:pPr>
              <w:rPr>
                <w:rFonts w:hint="default"/>
                <w:lang w:val="en-US" w:eastAsia="zh-CN"/>
              </w:rPr>
            </w:pPr>
            <w:r>
              <w:rPr>
                <w:rFonts w:hint="eastAsia"/>
                <w:lang w:val="en-US" w:eastAsia="zh-CN"/>
              </w:rPr>
              <w:t>是</w:t>
            </w:r>
          </w:p>
        </w:tc>
      </w:tr>
      <w:tr w14:paraId="290B27E3">
        <w:tblPrEx>
          <w:tblCellMar>
            <w:top w:w="0" w:type="dxa"/>
            <w:left w:w="108" w:type="dxa"/>
            <w:bottom w:w="0" w:type="dxa"/>
            <w:right w:w="108" w:type="dxa"/>
          </w:tblCellMar>
        </w:tblPrEx>
        <w:trPr>
          <w:trHeight w:val="403" w:hRule="atLeast"/>
        </w:trPr>
        <w:tc>
          <w:tcPr>
            <w:tcW w:w="657" w:type="dxa"/>
            <w:tcBorders>
              <w:top w:val="single" w:color="auto" w:sz="4" w:space="0"/>
              <w:left w:val="single" w:color="auto" w:sz="4" w:space="0"/>
              <w:bottom w:val="single" w:color="auto" w:sz="4" w:space="0"/>
              <w:right w:val="single" w:color="auto" w:sz="4" w:space="0"/>
            </w:tcBorders>
            <w:noWrap/>
            <w:vAlign w:val="center"/>
          </w:tcPr>
          <w:p w14:paraId="3848F6F2">
            <w:pPr>
              <w:rPr>
                <w:rFonts w:hint="default"/>
                <w:lang w:val="en-US" w:eastAsia="zh-CN"/>
              </w:rPr>
            </w:pPr>
            <w:r>
              <w:rPr>
                <w:rFonts w:hint="eastAsia"/>
                <w:lang w:val="en-US" w:eastAsia="zh-CN"/>
              </w:rPr>
              <w:t>7</w:t>
            </w:r>
          </w:p>
        </w:tc>
        <w:tc>
          <w:tcPr>
            <w:tcW w:w="2640" w:type="dxa"/>
            <w:tcBorders>
              <w:top w:val="single" w:color="auto" w:sz="4" w:space="0"/>
              <w:left w:val="single" w:color="auto" w:sz="4" w:space="0"/>
              <w:bottom w:val="single" w:color="auto" w:sz="4" w:space="0"/>
              <w:right w:val="single" w:color="auto" w:sz="4" w:space="0"/>
            </w:tcBorders>
            <w:noWrap/>
            <w:vAlign w:val="center"/>
          </w:tcPr>
          <w:p w14:paraId="5A27AD50">
            <w:r>
              <w:t>电子式湿温度计</w:t>
            </w:r>
          </w:p>
        </w:tc>
        <w:tc>
          <w:tcPr>
            <w:tcW w:w="1185" w:type="dxa"/>
            <w:tcBorders>
              <w:top w:val="single" w:color="auto" w:sz="4" w:space="0"/>
              <w:left w:val="single" w:color="auto" w:sz="4" w:space="0"/>
              <w:bottom w:val="single" w:color="auto" w:sz="4" w:space="0"/>
              <w:right w:val="single" w:color="auto" w:sz="4" w:space="0"/>
            </w:tcBorders>
            <w:noWrap/>
            <w:vAlign w:val="center"/>
          </w:tcPr>
          <w:p w14:paraId="2120C6B5">
            <w:pPr>
              <w:rPr>
                <w:rFonts w:hint="eastAsia"/>
                <w:lang w:val="en-US" w:eastAsia="zh-CN"/>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36433077">
            <w:pPr>
              <w:rPr>
                <w:rFonts w:hint="eastAsia"/>
                <w:lang w:val="en-US" w:eastAsia="zh-CN"/>
              </w:rPr>
            </w:pPr>
            <w:r>
              <w:rPr>
                <w:rFonts w:hint="eastAsia"/>
                <w:lang w:val="en-US" w:eastAsia="zh-CN"/>
              </w:rPr>
              <w:t>1台</w:t>
            </w:r>
          </w:p>
        </w:tc>
        <w:tc>
          <w:tcPr>
            <w:tcW w:w="1924" w:type="dxa"/>
            <w:tcBorders>
              <w:top w:val="single" w:color="auto" w:sz="4" w:space="0"/>
              <w:left w:val="single" w:color="auto" w:sz="4" w:space="0"/>
              <w:bottom w:val="single" w:color="auto" w:sz="4" w:space="0"/>
              <w:right w:val="single" w:color="auto" w:sz="4" w:space="0"/>
            </w:tcBorders>
            <w:noWrap/>
            <w:vAlign w:val="center"/>
          </w:tcPr>
          <w:p w14:paraId="1DBD9A5E">
            <w:pPr>
              <w:rPr>
                <w:rFonts w:hint="default"/>
                <w:lang w:val="en-US" w:eastAsia="zh-CN"/>
              </w:rPr>
            </w:pPr>
          </w:p>
        </w:tc>
        <w:tc>
          <w:tcPr>
            <w:tcW w:w="3068" w:type="dxa"/>
            <w:gridSpan w:val="2"/>
            <w:tcBorders>
              <w:top w:val="single" w:color="auto" w:sz="4" w:space="0"/>
              <w:left w:val="single" w:color="auto" w:sz="4" w:space="0"/>
              <w:bottom w:val="single" w:color="auto" w:sz="4" w:space="0"/>
              <w:right w:val="single" w:color="auto" w:sz="4" w:space="0"/>
            </w:tcBorders>
            <w:noWrap/>
            <w:vAlign w:val="bottom"/>
          </w:tcPr>
          <w:p w14:paraId="5F052177">
            <w:pPr>
              <w:rPr>
                <w:rFonts w:hint="default"/>
                <w:lang w:val="en-US" w:eastAsia="zh-CN"/>
              </w:rPr>
            </w:pPr>
            <w:r>
              <w:rPr>
                <w:rFonts w:hint="eastAsia"/>
                <w:lang w:val="en-US" w:eastAsia="zh-CN"/>
              </w:rPr>
              <w:t>送检</w:t>
            </w:r>
          </w:p>
        </w:tc>
        <w:tc>
          <w:tcPr>
            <w:tcW w:w="2827" w:type="dxa"/>
            <w:tcBorders>
              <w:top w:val="single" w:color="auto" w:sz="4" w:space="0"/>
              <w:left w:val="single" w:color="auto" w:sz="4" w:space="0"/>
              <w:bottom w:val="single" w:color="auto" w:sz="4" w:space="0"/>
              <w:right w:val="single" w:color="auto" w:sz="4" w:space="0"/>
            </w:tcBorders>
            <w:noWrap/>
            <w:vAlign w:val="bottom"/>
          </w:tcPr>
          <w:p w14:paraId="7095E501">
            <w:pPr>
              <w:rPr>
                <w:rFonts w:hint="default"/>
                <w:lang w:val="en-US" w:eastAsia="zh-CN"/>
              </w:rPr>
            </w:pPr>
            <w:r>
              <w:rPr>
                <w:rFonts w:hint="eastAsia"/>
                <w:lang w:val="en-US" w:eastAsia="zh-CN"/>
              </w:rPr>
              <w:t>校准</w:t>
            </w:r>
          </w:p>
        </w:tc>
        <w:tc>
          <w:tcPr>
            <w:tcW w:w="1410" w:type="dxa"/>
            <w:tcBorders>
              <w:top w:val="single" w:color="auto" w:sz="4" w:space="0"/>
              <w:left w:val="single" w:color="auto" w:sz="4" w:space="0"/>
              <w:bottom w:val="single" w:color="auto" w:sz="4" w:space="0"/>
              <w:right w:val="single" w:color="auto" w:sz="4" w:space="0"/>
            </w:tcBorders>
            <w:noWrap/>
            <w:vAlign w:val="bottom"/>
          </w:tcPr>
          <w:p w14:paraId="72D4AC0A">
            <w:pPr>
              <w:rPr>
                <w:rFonts w:hint="default"/>
                <w:lang w:val="en-US" w:eastAsia="zh-CN"/>
              </w:rPr>
            </w:pPr>
            <w:r>
              <w:rPr>
                <w:rFonts w:hint="eastAsia"/>
                <w:lang w:val="en-US" w:eastAsia="zh-CN"/>
              </w:rPr>
              <w:t>是</w:t>
            </w:r>
          </w:p>
        </w:tc>
      </w:tr>
      <w:tr w14:paraId="7F0BAAEC">
        <w:tblPrEx>
          <w:tblCellMar>
            <w:top w:w="0" w:type="dxa"/>
            <w:left w:w="108" w:type="dxa"/>
            <w:bottom w:w="0" w:type="dxa"/>
            <w:right w:w="108" w:type="dxa"/>
          </w:tblCellMar>
        </w:tblPrEx>
        <w:trPr>
          <w:trHeight w:val="403" w:hRule="atLeast"/>
        </w:trPr>
        <w:tc>
          <w:tcPr>
            <w:tcW w:w="657" w:type="dxa"/>
            <w:tcBorders>
              <w:top w:val="single" w:color="auto" w:sz="4" w:space="0"/>
              <w:left w:val="single" w:color="auto" w:sz="4" w:space="0"/>
              <w:bottom w:val="single" w:color="auto" w:sz="4" w:space="0"/>
              <w:right w:val="single" w:color="auto" w:sz="4" w:space="0"/>
            </w:tcBorders>
            <w:noWrap/>
            <w:vAlign w:val="center"/>
          </w:tcPr>
          <w:p w14:paraId="0338C0E6">
            <w:pPr>
              <w:rPr>
                <w:rFonts w:hint="default"/>
                <w:lang w:val="en-US" w:eastAsia="zh-CN"/>
              </w:rPr>
            </w:pPr>
            <w:r>
              <w:rPr>
                <w:rFonts w:hint="eastAsia"/>
                <w:lang w:val="en-US" w:eastAsia="zh-CN"/>
              </w:rPr>
              <w:t>8</w:t>
            </w:r>
          </w:p>
        </w:tc>
        <w:tc>
          <w:tcPr>
            <w:tcW w:w="2640" w:type="dxa"/>
            <w:tcBorders>
              <w:top w:val="single" w:color="auto" w:sz="4" w:space="0"/>
              <w:left w:val="single" w:color="auto" w:sz="4" w:space="0"/>
              <w:bottom w:val="single" w:color="auto" w:sz="4" w:space="0"/>
              <w:right w:val="single" w:color="auto" w:sz="4" w:space="0"/>
            </w:tcBorders>
            <w:noWrap/>
            <w:vAlign w:val="center"/>
          </w:tcPr>
          <w:p w14:paraId="5F083464">
            <w:r>
              <w:t>电热恒温水浴锅</w:t>
            </w:r>
          </w:p>
        </w:tc>
        <w:tc>
          <w:tcPr>
            <w:tcW w:w="1185" w:type="dxa"/>
            <w:tcBorders>
              <w:top w:val="single" w:color="auto" w:sz="4" w:space="0"/>
              <w:left w:val="single" w:color="auto" w:sz="4" w:space="0"/>
              <w:bottom w:val="single" w:color="auto" w:sz="4" w:space="0"/>
              <w:right w:val="single" w:color="auto" w:sz="4" w:space="0"/>
            </w:tcBorders>
            <w:noWrap/>
            <w:vAlign w:val="center"/>
          </w:tcPr>
          <w:p w14:paraId="0FB1421B">
            <w:pPr>
              <w:rPr>
                <w:rFonts w:hint="eastAsia"/>
                <w:lang w:val="en-US" w:eastAsia="zh-CN"/>
              </w:rPr>
            </w:pPr>
            <w:r>
              <w:t>林茂科技</w:t>
            </w:r>
          </w:p>
        </w:tc>
        <w:tc>
          <w:tcPr>
            <w:tcW w:w="1125" w:type="dxa"/>
            <w:tcBorders>
              <w:top w:val="single" w:color="auto" w:sz="4" w:space="0"/>
              <w:left w:val="single" w:color="auto" w:sz="4" w:space="0"/>
              <w:bottom w:val="single" w:color="auto" w:sz="4" w:space="0"/>
              <w:right w:val="single" w:color="auto" w:sz="4" w:space="0"/>
            </w:tcBorders>
            <w:noWrap/>
            <w:vAlign w:val="center"/>
          </w:tcPr>
          <w:p w14:paraId="2840EA96">
            <w:pPr>
              <w:rPr>
                <w:rFonts w:hint="eastAsia"/>
                <w:lang w:val="en-US" w:eastAsia="zh-CN"/>
              </w:rPr>
            </w:pPr>
            <w:r>
              <w:rPr>
                <w:rFonts w:hint="eastAsia"/>
                <w:lang w:val="en-US" w:eastAsia="zh-CN"/>
              </w:rPr>
              <w:t>1台</w:t>
            </w:r>
          </w:p>
        </w:tc>
        <w:tc>
          <w:tcPr>
            <w:tcW w:w="1924" w:type="dxa"/>
            <w:tcBorders>
              <w:top w:val="single" w:color="auto" w:sz="4" w:space="0"/>
              <w:left w:val="single" w:color="auto" w:sz="4" w:space="0"/>
              <w:bottom w:val="single" w:color="auto" w:sz="4" w:space="0"/>
              <w:right w:val="single" w:color="auto" w:sz="4" w:space="0"/>
            </w:tcBorders>
            <w:noWrap/>
            <w:vAlign w:val="center"/>
          </w:tcPr>
          <w:p w14:paraId="18F7E53E">
            <w:pPr>
              <w:rPr>
                <w:rFonts w:hint="default"/>
                <w:lang w:val="en-US" w:eastAsia="zh-CN"/>
              </w:rPr>
            </w:pPr>
            <w:r>
              <w:rPr>
                <w:rFonts w:hint="eastAsia"/>
                <w:lang w:val="en-US" w:eastAsia="zh-CN"/>
              </w:rPr>
              <w:t>DZKW-4</w:t>
            </w:r>
          </w:p>
        </w:tc>
        <w:tc>
          <w:tcPr>
            <w:tcW w:w="3068" w:type="dxa"/>
            <w:gridSpan w:val="2"/>
            <w:tcBorders>
              <w:top w:val="single" w:color="auto" w:sz="4" w:space="0"/>
              <w:left w:val="single" w:color="auto" w:sz="4" w:space="0"/>
              <w:bottom w:val="single" w:color="auto" w:sz="4" w:space="0"/>
              <w:right w:val="single" w:color="auto" w:sz="4" w:space="0"/>
            </w:tcBorders>
            <w:noWrap/>
            <w:vAlign w:val="bottom"/>
          </w:tcPr>
          <w:p w14:paraId="1E5ECE80">
            <w:pPr>
              <w:rPr>
                <w:rFonts w:hint="default"/>
                <w:lang w:val="en-US" w:eastAsia="zh-CN"/>
              </w:rPr>
            </w:pPr>
            <w:r>
              <w:rPr>
                <w:rFonts w:hint="eastAsia"/>
                <w:lang w:val="en-US" w:eastAsia="zh-CN"/>
              </w:rPr>
              <w:t>现场</w:t>
            </w:r>
          </w:p>
        </w:tc>
        <w:tc>
          <w:tcPr>
            <w:tcW w:w="2827" w:type="dxa"/>
            <w:tcBorders>
              <w:top w:val="single" w:color="auto" w:sz="4" w:space="0"/>
              <w:left w:val="single" w:color="auto" w:sz="4" w:space="0"/>
              <w:bottom w:val="single" w:color="auto" w:sz="4" w:space="0"/>
              <w:right w:val="single" w:color="auto" w:sz="4" w:space="0"/>
            </w:tcBorders>
            <w:noWrap/>
            <w:vAlign w:val="bottom"/>
          </w:tcPr>
          <w:p w14:paraId="189E1BE2">
            <w:pPr>
              <w:rPr>
                <w:rFonts w:hint="default"/>
                <w:lang w:val="en-US" w:eastAsia="zh-CN"/>
              </w:rPr>
            </w:pPr>
            <w:r>
              <w:rPr>
                <w:rFonts w:hint="eastAsia"/>
                <w:lang w:val="en-US" w:eastAsia="zh-CN"/>
              </w:rPr>
              <w:t>校准</w:t>
            </w:r>
          </w:p>
        </w:tc>
        <w:tc>
          <w:tcPr>
            <w:tcW w:w="1410" w:type="dxa"/>
            <w:tcBorders>
              <w:top w:val="single" w:color="auto" w:sz="4" w:space="0"/>
              <w:left w:val="single" w:color="auto" w:sz="4" w:space="0"/>
              <w:bottom w:val="single" w:color="auto" w:sz="4" w:space="0"/>
              <w:right w:val="single" w:color="auto" w:sz="4" w:space="0"/>
            </w:tcBorders>
            <w:noWrap/>
            <w:vAlign w:val="bottom"/>
          </w:tcPr>
          <w:p w14:paraId="6FA865AD">
            <w:pPr>
              <w:rPr>
                <w:rFonts w:hint="default"/>
                <w:lang w:val="en-US" w:eastAsia="zh-CN"/>
              </w:rPr>
            </w:pPr>
            <w:r>
              <w:rPr>
                <w:rFonts w:hint="eastAsia"/>
                <w:lang w:val="en-US" w:eastAsia="zh-CN"/>
              </w:rPr>
              <w:t>是</w:t>
            </w:r>
          </w:p>
        </w:tc>
      </w:tr>
      <w:tr w14:paraId="71A84666">
        <w:tblPrEx>
          <w:tblCellMar>
            <w:top w:w="0" w:type="dxa"/>
            <w:left w:w="108" w:type="dxa"/>
            <w:bottom w:w="0" w:type="dxa"/>
            <w:right w:w="108" w:type="dxa"/>
          </w:tblCellMar>
        </w:tblPrEx>
        <w:trPr>
          <w:trHeight w:val="403" w:hRule="atLeast"/>
        </w:trPr>
        <w:tc>
          <w:tcPr>
            <w:tcW w:w="657" w:type="dxa"/>
            <w:tcBorders>
              <w:top w:val="single" w:color="auto" w:sz="4" w:space="0"/>
              <w:left w:val="single" w:color="auto" w:sz="4" w:space="0"/>
              <w:bottom w:val="single" w:color="auto" w:sz="4" w:space="0"/>
              <w:right w:val="single" w:color="auto" w:sz="4" w:space="0"/>
            </w:tcBorders>
            <w:noWrap/>
            <w:vAlign w:val="center"/>
          </w:tcPr>
          <w:p w14:paraId="74E823CF">
            <w:pPr>
              <w:rPr>
                <w:rFonts w:hint="default"/>
                <w:lang w:val="en-US" w:eastAsia="zh-CN"/>
              </w:rPr>
            </w:pPr>
            <w:r>
              <w:rPr>
                <w:rFonts w:hint="eastAsia"/>
                <w:lang w:val="en-US" w:eastAsia="zh-CN"/>
              </w:rPr>
              <w:t>9</w:t>
            </w:r>
          </w:p>
        </w:tc>
        <w:tc>
          <w:tcPr>
            <w:tcW w:w="2640" w:type="dxa"/>
            <w:tcBorders>
              <w:top w:val="single" w:color="auto" w:sz="4" w:space="0"/>
              <w:left w:val="single" w:color="auto" w:sz="4" w:space="0"/>
              <w:bottom w:val="single" w:color="auto" w:sz="4" w:space="0"/>
              <w:right w:val="single" w:color="auto" w:sz="4" w:space="0"/>
            </w:tcBorders>
            <w:noWrap/>
            <w:vAlign w:val="center"/>
          </w:tcPr>
          <w:p w14:paraId="7F343160">
            <w:pPr>
              <w:rPr>
                <w:rFonts w:hint="default" w:eastAsia="宋体"/>
                <w:lang w:val="en-US" w:eastAsia="zh-CN"/>
              </w:rPr>
            </w:pPr>
            <w:r>
              <w:rPr>
                <w:rFonts w:hint="eastAsia"/>
                <w:lang w:val="en-US" w:eastAsia="zh-CN"/>
              </w:rPr>
              <w:t>低速离心机</w:t>
            </w:r>
          </w:p>
        </w:tc>
        <w:tc>
          <w:tcPr>
            <w:tcW w:w="1185" w:type="dxa"/>
            <w:tcBorders>
              <w:top w:val="single" w:color="auto" w:sz="4" w:space="0"/>
              <w:left w:val="single" w:color="auto" w:sz="4" w:space="0"/>
              <w:bottom w:val="single" w:color="auto" w:sz="4" w:space="0"/>
              <w:right w:val="single" w:color="auto" w:sz="4" w:space="0"/>
            </w:tcBorders>
            <w:noWrap/>
            <w:vAlign w:val="center"/>
          </w:tcPr>
          <w:p w14:paraId="22B19690">
            <w:pPr>
              <w:rPr>
                <w:rFonts w:hint="eastAsia" w:eastAsia="宋体"/>
                <w:lang w:val="en-US" w:eastAsia="zh-CN"/>
              </w:rPr>
            </w:pPr>
            <w:r>
              <w:rPr>
                <w:rFonts w:hint="eastAsia"/>
                <w:lang w:val="en-US" w:eastAsia="zh-CN"/>
              </w:rPr>
              <w:t>中佳</w:t>
            </w:r>
          </w:p>
        </w:tc>
        <w:tc>
          <w:tcPr>
            <w:tcW w:w="1125" w:type="dxa"/>
            <w:tcBorders>
              <w:top w:val="single" w:color="auto" w:sz="4" w:space="0"/>
              <w:left w:val="single" w:color="auto" w:sz="4" w:space="0"/>
              <w:bottom w:val="single" w:color="auto" w:sz="4" w:space="0"/>
              <w:right w:val="single" w:color="auto" w:sz="4" w:space="0"/>
            </w:tcBorders>
            <w:noWrap/>
            <w:vAlign w:val="center"/>
          </w:tcPr>
          <w:p w14:paraId="183735E8">
            <w:pPr>
              <w:rPr>
                <w:rFonts w:hint="eastAsia" w:ascii="Times New Roman" w:hAnsi="Times New Roman" w:eastAsia="宋体" w:cs="Times New Roman"/>
                <w:kern w:val="2"/>
                <w:sz w:val="21"/>
                <w:lang w:val="en-US" w:eastAsia="zh-CN" w:bidi="ar-SA"/>
              </w:rPr>
            </w:pPr>
            <w:r>
              <w:rPr>
                <w:rFonts w:hint="eastAsia"/>
                <w:lang w:val="en-US" w:eastAsia="zh-CN"/>
              </w:rPr>
              <w:t>1台</w:t>
            </w:r>
          </w:p>
        </w:tc>
        <w:tc>
          <w:tcPr>
            <w:tcW w:w="1924" w:type="dxa"/>
            <w:tcBorders>
              <w:top w:val="single" w:color="auto" w:sz="4" w:space="0"/>
              <w:left w:val="single" w:color="auto" w:sz="4" w:space="0"/>
              <w:bottom w:val="single" w:color="auto" w:sz="4" w:space="0"/>
              <w:right w:val="single" w:color="auto" w:sz="4" w:space="0"/>
            </w:tcBorders>
            <w:noWrap/>
            <w:vAlign w:val="center"/>
          </w:tcPr>
          <w:p w14:paraId="7F4055A4">
            <w:pPr>
              <w:rPr>
                <w:rFonts w:hint="default" w:ascii="Times New Roman" w:hAnsi="Times New Roman" w:eastAsia="宋体" w:cs="Times New Roman"/>
                <w:kern w:val="2"/>
                <w:sz w:val="21"/>
                <w:lang w:val="en-US" w:eastAsia="zh-CN" w:bidi="ar-SA"/>
              </w:rPr>
            </w:pPr>
            <w:r>
              <w:rPr>
                <w:rFonts w:hint="eastAsia"/>
                <w:lang w:val="en-US" w:eastAsia="zh-CN"/>
              </w:rPr>
              <w:t>SC-3612</w:t>
            </w:r>
          </w:p>
        </w:tc>
        <w:tc>
          <w:tcPr>
            <w:tcW w:w="3068" w:type="dxa"/>
            <w:gridSpan w:val="2"/>
            <w:tcBorders>
              <w:top w:val="single" w:color="auto" w:sz="4" w:space="0"/>
              <w:left w:val="single" w:color="auto" w:sz="4" w:space="0"/>
              <w:bottom w:val="single" w:color="auto" w:sz="4" w:space="0"/>
              <w:right w:val="single" w:color="auto" w:sz="4" w:space="0"/>
            </w:tcBorders>
            <w:noWrap/>
            <w:vAlign w:val="bottom"/>
          </w:tcPr>
          <w:p w14:paraId="7267F9B5">
            <w:pPr>
              <w:rPr>
                <w:rFonts w:hint="eastAsia" w:ascii="Times New Roman" w:hAnsi="Times New Roman" w:eastAsia="宋体" w:cs="Times New Roman"/>
                <w:kern w:val="2"/>
                <w:sz w:val="21"/>
                <w:lang w:val="en-US" w:eastAsia="zh-CN" w:bidi="ar-SA"/>
              </w:rPr>
            </w:pPr>
            <w:r>
              <w:rPr>
                <w:rFonts w:hint="eastAsia"/>
                <w:lang w:val="en-US" w:eastAsia="zh-CN"/>
              </w:rPr>
              <w:t>现场</w:t>
            </w:r>
          </w:p>
        </w:tc>
        <w:tc>
          <w:tcPr>
            <w:tcW w:w="2827" w:type="dxa"/>
            <w:tcBorders>
              <w:top w:val="single" w:color="auto" w:sz="4" w:space="0"/>
              <w:left w:val="single" w:color="auto" w:sz="4" w:space="0"/>
              <w:bottom w:val="single" w:color="auto" w:sz="4" w:space="0"/>
              <w:right w:val="single" w:color="auto" w:sz="4" w:space="0"/>
            </w:tcBorders>
            <w:noWrap/>
            <w:vAlign w:val="bottom"/>
          </w:tcPr>
          <w:p w14:paraId="4AD00636">
            <w:pPr>
              <w:rPr>
                <w:rFonts w:hint="eastAsia" w:ascii="Times New Roman" w:hAnsi="Times New Roman" w:eastAsia="宋体" w:cs="Times New Roman"/>
                <w:kern w:val="2"/>
                <w:sz w:val="21"/>
                <w:lang w:val="en-US" w:eastAsia="zh-CN" w:bidi="ar-SA"/>
              </w:rPr>
            </w:pPr>
            <w:r>
              <w:rPr>
                <w:rFonts w:hint="eastAsia"/>
                <w:lang w:val="en-US" w:eastAsia="zh-CN"/>
              </w:rPr>
              <w:t>校准</w:t>
            </w:r>
          </w:p>
        </w:tc>
        <w:tc>
          <w:tcPr>
            <w:tcW w:w="1410" w:type="dxa"/>
            <w:tcBorders>
              <w:top w:val="single" w:color="auto" w:sz="4" w:space="0"/>
              <w:left w:val="single" w:color="auto" w:sz="4" w:space="0"/>
              <w:bottom w:val="single" w:color="auto" w:sz="4" w:space="0"/>
              <w:right w:val="single" w:color="auto" w:sz="4" w:space="0"/>
            </w:tcBorders>
            <w:noWrap/>
            <w:vAlign w:val="bottom"/>
          </w:tcPr>
          <w:p w14:paraId="604A7D6B">
            <w:pPr>
              <w:rPr>
                <w:rFonts w:hint="eastAsia" w:ascii="Times New Roman" w:hAnsi="Times New Roman" w:eastAsia="宋体" w:cs="Times New Roman"/>
                <w:kern w:val="2"/>
                <w:sz w:val="21"/>
                <w:lang w:val="en-US" w:eastAsia="zh-CN" w:bidi="ar-SA"/>
              </w:rPr>
            </w:pPr>
            <w:r>
              <w:rPr>
                <w:rFonts w:hint="eastAsia"/>
                <w:lang w:val="en-US" w:eastAsia="zh-CN"/>
              </w:rPr>
              <w:t>是</w:t>
            </w:r>
          </w:p>
        </w:tc>
      </w:tr>
      <w:tr w14:paraId="40DC414D">
        <w:tblPrEx>
          <w:tblCellMar>
            <w:top w:w="0" w:type="dxa"/>
            <w:left w:w="108" w:type="dxa"/>
            <w:bottom w:w="0" w:type="dxa"/>
            <w:right w:w="108" w:type="dxa"/>
          </w:tblCellMar>
        </w:tblPrEx>
        <w:trPr>
          <w:trHeight w:val="403" w:hRule="atLeast"/>
        </w:trPr>
        <w:tc>
          <w:tcPr>
            <w:tcW w:w="657" w:type="dxa"/>
            <w:tcBorders>
              <w:top w:val="single" w:color="auto" w:sz="4" w:space="0"/>
              <w:left w:val="single" w:color="auto" w:sz="4" w:space="0"/>
              <w:bottom w:val="single" w:color="auto" w:sz="4" w:space="0"/>
              <w:right w:val="single" w:color="auto" w:sz="4" w:space="0"/>
            </w:tcBorders>
            <w:noWrap/>
            <w:vAlign w:val="center"/>
          </w:tcPr>
          <w:p w14:paraId="2F4A5462">
            <w:pPr>
              <w:rPr>
                <w:rFonts w:hint="default"/>
                <w:lang w:val="en-US" w:eastAsia="zh-CN"/>
              </w:rPr>
            </w:pPr>
            <w:r>
              <w:rPr>
                <w:rFonts w:hint="eastAsia"/>
                <w:lang w:val="en-US" w:eastAsia="zh-CN"/>
              </w:rPr>
              <w:t>10</w:t>
            </w:r>
          </w:p>
        </w:tc>
        <w:tc>
          <w:tcPr>
            <w:tcW w:w="2640" w:type="dxa"/>
            <w:tcBorders>
              <w:top w:val="single" w:color="auto" w:sz="4" w:space="0"/>
              <w:left w:val="single" w:color="auto" w:sz="4" w:space="0"/>
              <w:bottom w:val="single" w:color="auto" w:sz="4" w:space="0"/>
              <w:right w:val="single" w:color="auto" w:sz="4" w:space="0"/>
            </w:tcBorders>
            <w:noWrap/>
            <w:vAlign w:val="center"/>
          </w:tcPr>
          <w:p w14:paraId="53C25E94">
            <w:pPr>
              <w:rPr>
                <w:rFonts w:hint="eastAsia"/>
                <w:lang w:val="en-US" w:eastAsia="zh-CN"/>
              </w:rPr>
            </w:pPr>
            <w:r>
              <w:rPr>
                <w:rFonts w:hint="eastAsia"/>
                <w:lang w:val="en-US" w:eastAsia="zh-CN"/>
              </w:rPr>
              <w:t>便携式溶解氧测定仪</w:t>
            </w:r>
          </w:p>
        </w:tc>
        <w:tc>
          <w:tcPr>
            <w:tcW w:w="1185" w:type="dxa"/>
            <w:tcBorders>
              <w:top w:val="single" w:color="auto" w:sz="4" w:space="0"/>
              <w:left w:val="single" w:color="auto" w:sz="4" w:space="0"/>
              <w:bottom w:val="single" w:color="auto" w:sz="4" w:space="0"/>
              <w:right w:val="single" w:color="auto" w:sz="4" w:space="0"/>
            </w:tcBorders>
            <w:noWrap/>
            <w:vAlign w:val="center"/>
          </w:tcPr>
          <w:p w14:paraId="5FEE0B1F">
            <w:pPr>
              <w:rPr>
                <w:rFonts w:hint="default"/>
                <w:lang w:val="en-US" w:eastAsia="zh-CN"/>
              </w:rPr>
            </w:pPr>
            <w:r>
              <w:rPr>
                <w:rFonts w:hint="eastAsia"/>
                <w:lang w:val="en-US" w:eastAsia="zh-CN"/>
              </w:rPr>
              <w:t>雷磁</w:t>
            </w:r>
          </w:p>
        </w:tc>
        <w:tc>
          <w:tcPr>
            <w:tcW w:w="1125" w:type="dxa"/>
            <w:tcBorders>
              <w:top w:val="single" w:color="auto" w:sz="4" w:space="0"/>
              <w:left w:val="single" w:color="auto" w:sz="4" w:space="0"/>
              <w:bottom w:val="single" w:color="auto" w:sz="4" w:space="0"/>
              <w:right w:val="single" w:color="auto" w:sz="4" w:space="0"/>
            </w:tcBorders>
            <w:noWrap/>
            <w:vAlign w:val="center"/>
          </w:tcPr>
          <w:p w14:paraId="37184EE2">
            <w:pPr>
              <w:rPr>
                <w:rFonts w:hint="eastAsia"/>
                <w:lang w:val="en-US" w:eastAsia="zh-CN"/>
              </w:rPr>
            </w:pPr>
            <w:r>
              <w:rPr>
                <w:rFonts w:hint="eastAsia"/>
                <w:lang w:val="en-US" w:eastAsia="zh-CN"/>
              </w:rPr>
              <w:t>1台</w:t>
            </w:r>
          </w:p>
        </w:tc>
        <w:tc>
          <w:tcPr>
            <w:tcW w:w="1924" w:type="dxa"/>
            <w:tcBorders>
              <w:top w:val="single" w:color="auto" w:sz="4" w:space="0"/>
              <w:left w:val="single" w:color="auto" w:sz="4" w:space="0"/>
              <w:bottom w:val="single" w:color="auto" w:sz="4" w:space="0"/>
              <w:right w:val="single" w:color="auto" w:sz="4" w:space="0"/>
            </w:tcBorders>
            <w:noWrap/>
            <w:vAlign w:val="center"/>
          </w:tcPr>
          <w:p w14:paraId="3462196F">
            <w:pPr>
              <w:rPr>
                <w:rFonts w:hint="default"/>
                <w:lang w:val="en-US" w:eastAsia="zh-CN"/>
              </w:rPr>
            </w:pPr>
            <w:r>
              <w:rPr>
                <w:rFonts w:hint="eastAsia"/>
                <w:lang w:val="en-US" w:eastAsia="zh-CN"/>
              </w:rPr>
              <w:t>JPB607A</w:t>
            </w:r>
          </w:p>
        </w:tc>
        <w:tc>
          <w:tcPr>
            <w:tcW w:w="3068" w:type="dxa"/>
            <w:gridSpan w:val="2"/>
            <w:tcBorders>
              <w:top w:val="single" w:color="auto" w:sz="4" w:space="0"/>
              <w:left w:val="single" w:color="auto" w:sz="4" w:space="0"/>
              <w:bottom w:val="single" w:color="auto" w:sz="4" w:space="0"/>
              <w:right w:val="single" w:color="auto" w:sz="4" w:space="0"/>
            </w:tcBorders>
            <w:noWrap/>
            <w:vAlign w:val="bottom"/>
          </w:tcPr>
          <w:p w14:paraId="68859096">
            <w:pPr>
              <w:rPr>
                <w:rFonts w:hint="eastAsia"/>
                <w:lang w:val="en-US" w:eastAsia="zh-CN"/>
              </w:rPr>
            </w:pPr>
            <w:r>
              <w:rPr>
                <w:rFonts w:hint="eastAsia"/>
                <w:lang w:val="en-US" w:eastAsia="zh-CN"/>
              </w:rPr>
              <w:t>现场</w:t>
            </w:r>
          </w:p>
        </w:tc>
        <w:tc>
          <w:tcPr>
            <w:tcW w:w="2827" w:type="dxa"/>
            <w:tcBorders>
              <w:top w:val="single" w:color="auto" w:sz="4" w:space="0"/>
              <w:left w:val="single" w:color="auto" w:sz="4" w:space="0"/>
              <w:bottom w:val="single" w:color="auto" w:sz="4" w:space="0"/>
              <w:right w:val="single" w:color="auto" w:sz="4" w:space="0"/>
            </w:tcBorders>
            <w:noWrap/>
            <w:vAlign w:val="bottom"/>
          </w:tcPr>
          <w:p w14:paraId="0ED83F35">
            <w:pPr>
              <w:rPr>
                <w:rFonts w:hint="eastAsia"/>
                <w:lang w:val="en-US" w:eastAsia="zh-CN"/>
              </w:rPr>
            </w:pPr>
            <w:r>
              <w:rPr>
                <w:rFonts w:hint="eastAsia"/>
                <w:lang w:val="en-US" w:eastAsia="zh-CN"/>
              </w:rPr>
              <w:t>校准</w:t>
            </w:r>
          </w:p>
        </w:tc>
        <w:tc>
          <w:tcPr>
            <w:tcW w:w="1410" w:type="dxa"/>
            <w:tcBorders>
              <w:top w:val="single" w:color="auto" w:sz="4" w:space="0"/>
              <w:left w:val="single" w:color="auto" w:sz="4" w:space="0"/>
              <w:bottom w:val="single" w:color="auto" w:sz="4" w:space="0"/>
              <w:right w:val="single" w:color="auto" w:sz="4" w:space="0"/>
            </w:tcBorders>
            <w:noWrap/>
            <w:vAlign w:val="bottom"/>
          </w:tcPr>
          <w:p w14:paraId="524B40CC">
            <w:pPr>
              <w:rPr>
                <w:rFonts w:hint="eastAsia"/>
                <w:lang w:val="en-US" w:eastAsia="zh-CN"/>
              </w:rPr>
            </w:pPr>
            <w:r>
              <w:rPr>
                <w:rFonts w:hint="eastAsia"/>
                <w:lang w:val="en-US" w:eastAsia="zh-CN"/>
              </w:rPr>
              <w:t>是</w:t>
            </w:r>
          </w:p>
        </w:tc>
      </w:tr>
      <w:tr w14:paraId="54779D9E">
        <w:tblPrEx>
          <w:tblCellMar>
            <w:top w:w="0" w:type="dxa"/>
            <w:left w:w="108" w:type="dxa"/>
            <w:bottom w:w="0" w:type="dxa"/>
            <w:right w:w="108" w:type="dxa"/>
          </w:tblCellMar>
        </w:tblPrEx>
        <w:trPr>
          <w:trHeight w:val="403" w:hRule="atLeast"/>
        </w:trPr>
        <w:tc>
          <w:tcPr>
            <w:tcW w:w="657" w:type="dxa"/>
            <w:tcBorders>
              <w:top w:val="single" w:color="auto" w:sz="4" w:space="0"/>
              <w:left w:val="single" w:color="auto" w:sz="4" w:space="0"/>
              <w:bottom w:val="single" w:color="auto" w:sz="4" w:space="0"/>
              <w:right w:val="single" w:color="auto" w:sz="4" w:space="0"/>
            </w:tcBorders>
            <w:noWrap/>
            <w:vAlign w:val="center"/>
          </w:tcPr>
          <w:p w14:paraId="5C6C4B05">
            <w:pPr>
              <w:rPr>
                <w:rFonts w:hint="default"/>
                <w:lang w:val="en-US" w:eastAsia="zh-CN"/>
              </w:rPr>
            </w:pPr>
            <w:r>
              <w:rPr>
                <w:rFonts w:hint="eastAsia"/>
                <w:lang w:val="en-US" w:eastAsia="zh-CN"/>
              </w:rPr>
              <w:t>11</w:t>
            </w:r>
          </w:p>
        </w:tc>
        <w:tc>
          <w:tcPr>
            <w:tcW w:w="2640" w:type="dxa"/>
            <w:tcBorders>
              <w:top w:val="single" w:color="auto" w:sz="4" w:space="0"/>
              <w:left w:val="single" w:color="auto" w:sz="4" w:space="0"/>
              <w:bottom w:val="single" w:color="auto" w:sz="4" w:space="0"/>
              <w:right w:val="single" w:color="auto" w:sz="4" w:space="0"/>
            </w:tcBorders>
            <w:noWrap/>
            <w:vAlign w:val="center"/>
          </w:tcPr>
          <w:p w14:paraId="77C208F5">
            <w:pPr>
              <w:rPr>
                <w:rFonts w:hint="eastAsia"/>
                <w:lang w:val="en-US" w:eastAsia="zh-CN"/>
              </w:rPr>
            </w:pPr>
            <w:r>
              <w:rPr>
                <w:rFonts w:hint="eastAsia"/>
                <w:lang w:val="en-US" w:eastAsia="zh-CN"/>
              </w:rPr>
              <w:t>便携式PH计</w:t>
            </w:r>
          </w:p>
        </w:tc>
        <w:tc>
          <w:tcPr>
            <w:tcW w:w="1185" w:type="dxa"/>
            <w:tcBorders>
              <w:top w:val="single" w:color="auto" w:sz="4" w:space="0"/>
              <w:left w:val="single" w:color="auto" w:sz="4" w:space="0"/>
              <w:bottom w:val="single" w:color="auto" w:sz="4" w:space="0"/>
              <w:right w:val="single" w:color="auto" w:sz="4" w:space="0"/>
            </w:tcBorders>
            <w:noWrap/>
            <w:vAlign w:val="center"/>
          </w:tcPr>
          <w:p w14:paraId="56CA771F">
            <w:pPr>
              <w:rPr>
                <w:rFonts w:hint="eastAsia"/>
                <w:lang w:val="en-US" w:eastAsia="zh-CN"/>
              </w:rPr>
            </w:pPr>
            <w:r>
              <w:rPr>
                <w:rFonts w:hint="eastAsia"/>
                <w:lang w:val="en-US" w:eastAsia="zh-CN"/>
              </w:rPr>
              <w:t>雷磁</w:t>
            </w:r>
          </w:p>
        </w:tc>
        <w:tc>
          <w:tcPr>
            <w:tcW w:w="1125" w:type="dxa"/>
            <w:tcBorders>
              <w:top w:val="single" w:color="auto" w:sz="4" w:space="0"/>
              <w:left w:val="single" w:color="auto" w:sz="4" w:space="0"/>
              <w:bottom w:val="single" w:color="auto" w:sz="4" w:space="0"/>
              <w:right w:val="single" w:color="auto" w:sz="4" w:space="0"/>
            </w:tcBorders>
            <w:noWrap/>
            <w:vAlign w:val="center"/>
          </w:tcPr>
          <w:p w14:paraId="1B44BF58">
            <w:pPr>
              <w:rPr>
                <w:rFonts w:hint="eastAsia"/>
                <w:lang w:val="en-US" w:eastAsia="zh-CN"/>
              </w:rPr>
            </w:pPr>
            <w:r>
              <w:rPr>
                <w:rFonts w:hint="eastAsia"/>
                <w:lang w:val="en-US" w:eastAsia="zh-CN"/>
              </w:rPr>
              <w:t>1台</w:t>
            </w:r>
          </w:p>
        </w:tc>
        <w:tc>
          <w:tcPr>
            <w:tcW w:w="1924" w:type="dxa"/>
            <w:tcBorders>
              <w:top w:val="single" w:color="auto" w:sz="4" w:space="0"/>
              <w:left w:val="single" w:color="auto" w:sz="4" w:space="0"/>
              <w:bottom w:val="single" w:color="auto" w:sz="4" w:space="0"/>
              <w:right w:val="single" w:color="auto" w:sz="4" w:space="0"/>
            </w:tcBorders>
            <w:noWrap/>
            <w:vAlign w:val="center"/>
          </w:tcPr>
          <w:p w14:paraId="0DF56588">
            <w:pPr>
              <w:rPr>
                <w:rFonts w:hint="default"/>
                <w:lang w:val="en-US" w:eastAsia="zh-CN"/>
              </w:rPr>
            </w:pPr>
            <w:r>
              <w:rPr>
                <w:rFonts w:hint="eastAsia"/>
                <w:lang w:val="en-US" w:eastAsia="zh-CN"/>
              </w:rPr>
              <w:t>PHB-4</w:t>
            </w:r>
          </w:p>
        </w:tc>
        <w:tc>
          <w:tcPr>
            <w:tcW w:w="3068" w:type="dxa"/>
            <w:gridSpan w:val="2"/>
            <w:tcBorders>
              <w:top w:val="single" w:color="auto" w:sz="4" w:space="0"/>
              <w:left w:val="single" w:color="auto" w:sz="4" w:space="0"/>
              <w:bottom w:val="single" w:color="auto" w:sz="4" w:space="0"/>
              <w:right w:val="single" w:color="auto" w:sz="4" w:space="0"/>
            </w:tcBorders>
            <w:shd w:val="clear" w:color="auto" w:fill="auto"/>
            <w:noWrap/>
            <w:vAlign w:val="bottom"/>
          </w:tcPr>
          <w:p w14:paraId="168B38C6">
            <w:pPr>
              <w:rPr>
                <w:rFonts w:hint="eastAsia" w:ascii="Times New Roman" w:hAnsi="Times New Roman" w:eastAsia="宋体" w:cs="Times New Roman"/>
                <w:kern w:val="2"/>
                <w:sz w:val="21"/>
                <w:lang w:val="en-US" w:eastAsia="zh-CN" w:bidi="ar-SA"/>
              </w:rPr>
            </w:pPr>
            <w:r>
              <w:rPr>
                <w:rFonts w:hint="eastAsia"/>
                <w:lang w:val="en-US" w:eastAsia="zh-CN"/>
              </w:rPr>
              <w:t>现场</w:t>
            </w:r>
          </w:p>
        </w:tc>
        <w:tc>
          <w:tcPr>
            <w:tcW w:w="2827"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2FF5B7A">
            <w:pPr>
              <w:rPr>
                <w:rFonts w:hint="eastAsia" w:ascii="Times New Roman" w:hAnsi="Times New Roman" w:eastAsia="宋体" w:cs="Times New Roman"/>
                <w:kern w:val="2"/>
                <w:sz w:val="21"/>
                <w:lang w:val="en-US" w:eastAsia="zh-CN" w:bidi="ar-SA"/>
              </w:rPr>
            </w:pPr>
            <w:r>
              <w:rPr>
                <w:rFonts w:hint="eastAsia"/>
                <w:lang w:val="en-US" w:eastAsia="zh-CN"/>
              </w:rPr>
              <w:t>校准</w:t>
            </w:r>
          </w:p>
        </w:tc>
        <w:tc>
          <w:tcPr>
            <w:tcW w:w="141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C26197E">
            <w:pPr>
              <w:rPr>
                <w:rFonts w:hint="eastAsia" w:ascii="Times New Roman" w:hAnsi="Times New Roman" w:eastAsia="宋体" w:cs="Times New Roman"/>
                <w:kern w:val="2"/>
                <w:sz w:val="21"/>
                <w:lang w:val="en-US" w:eastAsia="zh-CN" w:bidi="ar-SA"/>
              </w:rPr>
            </w:pPr>
            <w:r>
              <w:rPr>
                <w:rFonts w:hint="eastAsia"/>
                <w:lang w:val="en-US" w:eastAsia="zh-CN"/>
              </w:rPr>
              <w:t>是</w:t>
            </w:r>
          </w:p>
        </w:tc>
      </w:tr>
      <w:tr w14:paraId="07DB1F3A">
        <w:tblPrEx>
          <w:tblCellMar>
            <w:top w:w="0" w:type="dxa"/>
            <w:left w:w="108" w:type="dxa"/>
            <w:bottom w:w="0" w:type="dxa"/>
            <w:right w:w="108" w:type="dxa"/>
          </w:tblCellMar>
        </w:tblPrEx>
        <w:trPr>
          <w:trHeight w:val="797" w:hRule="atLeast"/>
        </w:trPr>
        <w:tc>
          <w:tcPr>
            <w:tcW w:w="9342" w:type="dxa"/>
            <w:gridSpan w:val="6"/>
            <w:tcBorders>
              <w:top w:val="single" w:color="auto" w:sz="4" w:space="0"/>
              <w:left w:val="nil"/>
              <w:bottom w:val="single" w:color="auto" w:sz="4" w:space="0"/>
              <w:right w:val="nil"/>
            </w:tcBorders>
            <w:noWrap/>
            <w:vAlign w:val="center"/>
          </w:tcPr>
          <w:p w14:paraId="70A2A738">
            <w:pPr>
              <w:rPr>
                <w:rFonts w:hint="eastAsia"/>
                <w:lang w:val="en-US" w:eastAsia="zh-CN"/>
              </w:rPr>
            </w:pPr>
          </w:p>
          <w:p w14:paraId="2EF44410">
            <w:pPr>
              <w:rPr>
                <w:rFonts w:hint="eastAsia"/>
                <w:lang w:val="en-US" w:eastAsia="zh-CN"/>
              </w:rPr>
            </w:pPr>
            <w:r>
              <w:rPr>
                <w:rFonts w:hint="eastAsia"/>
              </w:rPr>
              <w:t>炉渣分析仪器</w:t>
            </w:r>
          </w:p>
        </w:tc>
        <w:tc>
          <w:tcPr>
            <w:tcW w:w="1257" w:type="dxa"/>
            <w:tcBorders>
              <w:top w:val="single" w:color="auto" w:sz="4" w:space="0"/>
              <w:left w:val="nil"/>
              <w:bottom w:val="single" w:color="auto" w:sz="4" w:space="0"/>
              <w:right w:val="nil"/>
            </w:tcBorders>
            <w:noWrap/>
            <w:vAlign w:val="center"/>
          </w:tcPr>
          <w:p w14:paraId="55A6A8CC">
            <w:pPr>
              <w:rPr>
                <w:rFonts w:hint="eastAsia"/>
              </w:rPr>
            </w:pPr>
          </w:p>
        </w:tc>
        <w:tc>
          <w:tcPr>
            <w:tcW w:w="2827" w:type="dxa"/>
            <w:tcBorders>
              <w:top w:val="single" w:color="auto" w:sz="4" w:space="0"/>
              <w:left w:val="nil"/>
              <w:bottom w:val="single" w:color="auto" w:sz="4" w:space="0"/>
              <w:right w:val="nil"/>
            </w:tcBorders>
            <w:noWrap/>
            <w:vAlign w:val="center"/>
          </w:tcPr>
          <w:p w14:paraId="1F1077F3">
            <w:pPr>
              <w:rPr>
                <w:rFonts w:hint="eastAsia"/>
              </w:rPr>
            </w:pPr>
          </w:p>
        </w:tc>
        <w:tc>
          <w:tcPr>
            <w:tcW w:w="1410" w:type="dxa"/>
            <w:tcBorders>
              <w:top w:val="single" w:color="auto" w:sz="4" w:space="0"/>
              <w:left w:val="nil"/>
              <w:bottom w:val="single" w:color="auto" w:sz="4" w:space="0"/>
              <w:right w:val="nil"/>
            </w:tcBorders>
            <w:noWrap/>
            <w:vAlign w:val="center"/>
          </w:tcPr>
          <w:p w14:paraId="17556E1B">
            <w:pPr>
              <w:rPr>
                <w:rFonts w:hint="eastAsia"/>
              </w:rPr>
            </w:pPr>
          </w:p>
        </w:tc>
      </w:tr>
      <w:tr w14:paraId="6F42876E">
        <w:tblPrEx>
          <w:tblCellMar>
            <w:top w:w="0" w:type="dxa"/>
            <w:left w:w="108" w:type="dxa"/>
            <w:bottom w:w="0" w:type="dxa"/>
            <w:right w:w="108" w:type="dxa"/>
          </w:tblCellMar>
        </w:tblPrEx>
        <w:trPr>
          <w:trHeight w:val="403" w:hRule="atLeast"/>
        </w:trPr>
        <w:tc>
          <w:tcPr>
            <w:tcW w:w="657" w:type="dxa"/>
            <w:tcBorders>
              <w:top w:val="single" w:color="auto" w:sz="4" w:space="0"/>
              <w:left w:val="single" w:color="000000" w:sz="4" w:space="0"/>
              <w:bottom w:val="single" w:color="000000" w:sz="4" w:space="0"/>
              <w:right w:val="single" w:color="000000" w:sz="4" w:space="0"/>
            </w:tcBorders>
            <w:noWrap/>
            <w:vAlign w:val="center"/>
          </w:tcPr>
          <w:p w14:paraId="34BC8197">
            <w:pPr>
              <w:rPr>
                <w:rFonts w:hint="default"/>
                <w:lang w:val="en-US" w:eastAsia="zh-CN"/>
              </w:rPr>
            </w:pPr>
            <w:r>
              <w:rPr>
                <w:rFonts w:hint="eastAsia"/>
                <w:lang w:val="en-US" w:eastAsia="zh-CN"/>
              </w:rPr>
              <w:t>序号</w:t>
            </w:r>
          </w:p>
        </w:tc>
        <w:tc>
          <w:tcPr>
            <w:tcW w:w="2640" w:type="dxa"/>
            <w:tcBorders>
              <w:top w:val="single" w:color="auto" w:sz="4" w:space="0"/>
              <w:left w:val="single" w:color="000000" w:sz="4" w:space="0"/>
              <w:bottom w:val="single" w:color="000000" w:sz="4" w:space="0"/>
              <w:right w:val="single" w:color="000000" w:sz="4" w:space="0"/>
            </w:tcBorders>
            <w:noWrap/>
            <w:vAlign w:val="center"/>
          </w:tcPr>
          <w:p w14:paraId="612AEE10">
            <w:pPr>
              <w:rPr>
                <w:rFonts w:hint="eastAsia"/>
                <w:lang w:val="en-US" w:eastAsia="zh-CN"/>
              </w:rPr>
            </w:pPr>
            <w:r>
              <w:rPr>
                <w:rFonts w:hint="eastAsia"/>
                <w:lang w:val="en-US" w:eastAsia="zh-CN"/>
              </w:rPr>
              <w:t>名称</w:t>
            </w:r>
          </w:p>
        </w:tc>
        <w:tc>
          <w:tcPr>
            <w:tcW w:w="1185" w:type="dxa"/>
            <w:tcBorders>
              <w:top w:val="single" w:color="auto" w:sz="4" w:space="0"/>
              <w:left w:val="single" w:color="000000" w:sz="4" w:space="0"/>
              <w:bottom w:val="single" w:color="000000" w:sz="4" w:space="0"/>
              <w:right w:val="single" w:color="000000" w:sz="4" w:space="0"/>
            </w:tcBorders>
            <w:noWrap/>
            <w:vAlign w:val="center"/>
          </w:tcPr>
          <w:p w14:paraId="14747524">
            <w:pPr>
              <w:rPr>
                <w:rFonts w:hint="eastAsia"/>
                <w:lang w:val="en-US" w:eastAsia="zh-CN"/>
              </w:rPr>
            </w:pPr>
            <w:r>
              <w:rPr>
                <w:rFonts w:hint="eastAsia"/>
                <w:lang w:val="en-US" w:eastAsia="zh-CN"/>
              </w:rPr>
              <w:t>制造单位</w:t>
            </w:r>
          </w:p>
        </w:tc>
        <w:tc>
          <w:tcPr>
            <w:tcW w:w="1125" w:type="dxa"/>
            <w:tcBorders>
              <w:top w:val="single" w:color="auto" w:sz="4" w:space="0"/>
              <w:left w:val="single" w:color="000000" w:sz="4" w:space="0"/>
              <w:bottom w:val="single" w:color="000000" w:sz="4" w:space="0"/>
              <w:right w:val="single" w:color="000000" w:sz="4" w:space="0"/>
            </w:tcBorders>
            <w:noWrap/>
            <w:vAlign w:val="center"/>
          </w:tcPr>
          <w:p w14:paraId="1BEFA417">
            <w:pPr>
              <w:rPr>
                <w:rFonts w:hint="eastAsia"/>
                <w:lang w:val="en-US" w:eastAsia="zh-CN"/>
              </w:rPr>
            </w:pPr>
            <w:r>
              <w:rPr>
                <w:rFonts w:hint="eastAsia"/>
                <w:lang w:val="en-US" w:eastAsia="zh-CN"/>
              </w:rPr>
              <w:t>数量</w:t>
            </w:r>
          </w:p>
        </w:tc>
        <w:tc>
          <w:tcPr>
            <w:tcW w:w="1924" w:type="dxa"/>
            <w:tcBorders>
              <w:top w:val="single" w:color="auto" w:sz="4" w:space="0"/>
              <w:left w:val="single" w:color="000000" w:sz="4" w:space="0"/>
              <w:bottom w:val="single" w:color="000000" w:sz="4" w:space="0"/>
              <w:right w:val="single" w:color="000000" w:sz="4" w:space="0"/>
            </w:tcBorders>
            <w:noWrap/>
            <w:vAlign w:val="center"/>
          </w:tcPr>
          <w:p w14:paraId="2FF91567">
            <w:pPr>
              <w:rPr>
                <w:rFonts w:hint="default"/>
                <w:lang w:val="en-US" w:eastAsia="zh-CN"/>
              </w:rPr>
            </w:pPr>
            <w:r>
              <w:rPr>
                <w:rFonts w:hint="eastAsia"/>
                <w:lang w:val="en-US" w:eastAsia="zh-CN"/>
              </w:rPr>
              <w:t>型号</w:t>
            </w:r>
          </w:p>
        </w:tc>
        <w:tc>
          <w:tcPr>
            <w:tcW w:w="3068" w:type="dxa"/>
            <w:gridSpan w:val="2"/>
            <w:tcBorders>
              <w:top w:val="single" w:color="auto" w:sz="4" w:space="0"/>
              <w:left w:val="single" w:color="000000" w:sz="4" w:space="0"/>
              <w:bottom w:val="single" w:color="000000" w:sz="4" w:space="0"/>
              <w:right w:val="single" w:color="000000" w:sz="4" w:space="0"/>
            </w:tcBorders>
            <w:noWrap/>
            <w:vAlign w:val="center"/>
          </w:tcPr>
          <w:p w14:paraId="3DCD5952">
            <w:pPr>
              <w:rPr>
                <w:rFonts w:hint="eastAsia"/>
                <w:lang w:val="en-US" w:eastAsia="zh-CN"/>
              </w:rPr>
            </w:pPr>
            <w:r>
              <w:rPr>
                <w:rFonts w:hint="eastAsia"/>
                <w:lang w:val="en-US" w:eastAsia="zh-CN"/>
              </w:rPr>
              <w:t>服务方式（现场/送检）</w:t>
            </w:r>
          </w:p>
        </w:tc>
        <w:tc>
          <w:tcPr>
            <w:tcW w:w="2827" w:type="dxa"/>
            <w:tcBorders>
              <w:top w:val="single" w:color="auto" w:sz="4" w:space="0"/>
              <w:left w:val="single" w:color="000000" w:sz="4" w:space="0"/>
              <w:bottom w:val="single" w:color="000000" w:sz="4" w:space="0"/>
              <w:right w:val="single" w:color="000000" w:sz="4" w:space="0"/>
            </w:tcBorders>
            <w:noWrap/>
            <w:vAlign w:val="center"/>
          </w:tcPr>
          <w:p w14:paraId="55BBB959">
            <w:pPr>
              <w:rPr>
                <w:rFonts w:hint="eastAsia"/>
                <w:lang w:val="en-US" w:eastAsia="zh-CN"/>
              </w:rPr>
            </w:pPr>
            <w:r>
              <w:rPr>
                <w:rFonts w:hint="eastAsia"/>
                <w:lang w:val="en-US" w:eastAsia="zh-CN"/>
              </w:rPr>
              <w:t>证书类型（校准/检定）</w:t>
            </w:r>
          </w:p>
        </w:tc>
        <w:tc>
          <w:tcPr>
            <w:tcW w:w="1410" w:type="dxa"/>
            <w:tcBorders>
              <w:top w:val="single" w:color="auto" w:sz="4" w:space="0"/>
              <w:left w:val="single" w:color="000000" w:sz="4" w:space="0"/>
              <w:bottom w:val="single" w:color="000000" w:sz="4" w:space="0"/>
              <w:right w:val="single" w:color="000000" w:sz="4" w:space="0"/>
            </w:tcBorders>
            <w:noWrap/>
            <w:vAlign w:val="center"/>
          </w:tcPr>
          <w:p w14:paraId="6C4EABFA">
            <w:pPr>
              <w:rPr>
                <w:rFonts w:hint="eastAsia"/>
                <w:lang w:val="en-US" w:eastAsia="zh-CN"/>
              </w:rPr>
            </w:pPr>
            <w:r>
              <w:rPr>
                <w:rFonts w:hint="eastAsia"/>
                <w:lang w:val="en-US" w:eastAsia="zh-CN"/>
              </w:rPr>
              <w:t>是否带标</w:t>
            </w:r>
          </w:p>
        </w:tc>
      </w:tr>
      <w:tr w14:paraId="118C95B3">
        <w:tblPrEx>
          <w:tblCellMar>
            <w:top w:w="0" w:type="dxa"/>
            <w:left w:w="108" w:type="dxa"/>
            <w:bottom w:w="0" w:type="dxa"/>
            <w:right w:w="108" w:type="dxa"/>
          </w:tblCellMar>
        </w:tblPrEx>
        <w:trPr>
          <w:trHeight w:val="403" w:hRule="atLeast"/>
        </w:trPr>
        <w:tc>
          <w:tcPr>
            <w:tcW w:w="657" w:type="dxa"/>
            <w:tcBorders>
              <w:top w:val="single" w:color="auto" w:sz="4" w:space="0"/>
              <w:left w:val="single" w:color="auto" w:sz="4" w:space="0"/>
              <w:bottom w:val="single" w:color="auto" w:sz="4" w:space="0"/>
              <w:right w:val="single" w:color="auto" w:sz="4" w:space="0"/>
            </w:tcBorders>
            <w:noWrap/>
            <w:vAlign w:val="center"/>
          </w:tcPr>
          <w:p w14:paraId="46AB69A5">
            <w:pPr>
              <w:rPr>
                <w:rFonts w:hint="default"/>
                <w:lang w:val="en-US" w:eastAsia="zh-CN"/>
              </w:rPr>
            </w:pPr>
            <w:r>
              <w:rPr>
                <w:rFonts w:hint="eastAsia"/>
                <w:lang w:val="en-US" w:eastAsia="zh-CN"/>
              </w:rPr>
              <w:t>1</w:t>
            </w:r>
          </w:p>
        </w:tc>
        <w:tc>
          <w:tcPr>
            <w:tcW w:w="2640" w:type="dxa"/>
            <w:tcBorders>
              <w:top w:val="single" w:color="auto" w:sz="4" w:space="0"/>
              <w:left w:val="single" w:color="auto" w:sz="4" w:space="0"/>
              <w:bottom w:val="single" w:color="auto" w:sz="4" w:space="0"/>
              <w:right w:val="single" w:color="auto" w:sz="4" w:space="0"/>
            </w:tcBorders>
            <w:noWrap/>
            <w:vAlign w:val="center"/>
          </w:tcPr>
          <w:p w14:paraId="203F95ED">
            <w:pPr>
              <w:rPr>
                <w:lang w:val="en-US" w:eastAsia="zh-CN"/>
              </w:rPr>
            </w:pPr>
            <w:r>
              <w:rPr>
                <w:rFonts w:hint="eastAsia"/>
              </w:rPr>
              <w:t>制样粉碎机</w:t>
            </w:r>
          </w:p>
        </w:tc>
        <w:tc>
          <w:tcPr>
            <w:tcW w:w="1185" w:type="dxa"/>
            <w:tcBorders>
              <w:top w:val="single" w:color="auto" w:sz="4" w:space="0"/>
              <w:left w:val="single" w:color="auto" w:sz="4" w:space="0"/>
              <w:bottom w:val="single" w:color="auto" w:sz="4" w:space="0"/>
              <w:right w:val="single" w:color="auto" w:sz="4" w:space="0"/>
            </w:tcBorders>
            <w:noWrap/>
            <w:vAlign w:val="center"/>
          </w:tcPr>
          <w:p w14:paraId="2B922C71">
            <w:pPr>
              <w:rPr>
                <w:rFonts w:hint="eastAsia"/>
                <w:lang w:val="en-US" w:eastAsia="zh-CN"/>
              </w:rPr>
            </w:pPr>
            <w:r>
              <w:rPr>
                <w:rFonts w:hint="eastAsia"/>
                <w:lang w:val="en-US" w:eastAsia="zh-CN"/>
              </w:rPr>
              <w:t>湖南三德</w:t>
            </w:r>
          </w:p>
        </w:tc>
        <w:tc>
          <w:tcPr>
            <w:tcW w:w="1125" w:type="dxa"/>
            <w:tcBorders>
              <w:top w:val="single" w:color="auto" w:sz="4" w:space="0"/>
              <w:left w:val="single" w:color="auto" w:sz="4" w:space="0"/>
              <w:bottom w:val="single" w:color="auto" w:sz="4" w:space="0"/>
              <w:right w:val="single" w:color="auto" w:sz="4" w:space="0"/>
            </w:tcBorders>
            <w:noWrap/>
            <w:vAlign w:val="center"/>
          </w:tcPr>
          <w:p w14:paraId="2933D7AE">
            <w:pPr>
              <w:rPr>
                <w:rFonts w:hint="eastAsia"/>
                <w:lang w:val="en-US" w:eastAsia="zh-CN"/>
              </w:rPr>
            </w:pPr>
            <w:r>
              <w:rPr>
                <w:rFonts w:hint="eastAsia"/>
                <w:lang w:val="en-US" w:eastAsia="zh-CN"/>
              </w:rPr>
              <w:t>1台</w:t>
            </w:r>
          </w:p>
        </w:tc>
        <w:tc>
          <w:tcPr>
            <w:tcW w:w="1924" w:type="dxa"/>
            <w:tcBorders>
              <w:top w:val="single" w:color="auto" w:sz="4" w:space="0"/>
              <w:left w:val="single" w:color="auto" w:sz="4" w:space="0"/>
              <w:bottom w:val="single" w:color="auto" w:sz="4" w:space="0"/>
              <w:right w:val="single" w:color="auto" w:sz="4" w:space="0"/>
            </w:tcBorders>
            <w:noWrap/>
            <w:vAlign w:val="center"/>
          </w:tcPr>
          <w:p w14:paraId="77607A00">
            <w:pPr>
              <w:rPr>
                <w:rFonts w:hint="eastAsia"/>
                <w:lang w:val="en-US" w:eastAsia="zh-CN"/>
              </w:rPr>
            </w:pPr>
          </w:p>
          <w:p w14:paraId="73617E88">
            <w:pPr>
              <w:rPr>
                <w:rFonts w:hint="default"/>
                <w:lang w:val="en-US" w:eastAsia="zh-CN"/>
              </w:rPr>
            </w:pPr>
            <w:r>
              <w:rPr>
                <w:rFonts w:hint="eastAsia"/>
                <w:lang w:val="en-US" w:eastAsia="zh-CN"/>
              </w:rPr>
              <w:t>SDPP1*100t</w:t>
            </w:r>
          </w:p>
        </w:tc>
        <w:tc>
          <w:tcPr>
            <w:tcW w:w="3068" w:type="dxa"/>
            <w:gridSpan w:val="2"/>
            <w:tcBorders>
              <w:top w:val="single" w:color="auto" w:sz="4" w:space="0"/>
              <w:left w:val="single" w:color="auto" w:sz="4" w:space="0"/>
              <w:bottom w:val="single" w:color="auto" w:sz="4" w:space="0"/>
              <w:right w:val="single" w:color="auto" w:sz="4" w:space="0"/>
            </w:tcBorders>
            <w:noWrap/>
            <w:vAlign w:val="bottom"/>
          </w:tcPr>
          <w:p w14:paraId="5FA0C417">
            <w:pPr>
              <w:rPr>
                <w:rFonts w:hint="default"/>
                <w:lang w:val="en-US" w:eastAsia="zh-CN"/>
              </w:rPr>
            </w:pPr>
            <w:r>
              <w:rPr>
                <w:rFonts w:hint="eastAsia"/>
                <w:lang w:val="en-US" w:eastAsia="zh-CN"/>
              </w:rPr>
              <w:t>现场</w:t>
            </w:r>
          </w:p>
        </w:tc>
        <w:tc>
          <w:tcPr>
            <w:tcW w:w="2827" w:type="dxa"/>
            <w:tcBorders>
              <w:top w:val="single" w:color="auto" w:sz="4" w:space="0"/>
              <w:left w:val="single" w:color="auto" w:sz="4" w:space="0"/>
              <w:bottom w:val="single" w:color="auto" w:sz="4" w:space="0"/>
              <w:right w:val="single" w:color="auto" w:sz="4" w:space="0"/>
            </w:tcBorders>
            <w:noWrap/>
            <w:vAlign w:val="bottom"/>
          </w:tcPr>
          <w:p w14:paraId="1C993845">
            <w:pPr>
              <w:rPr>
                <w:rFonts w:hint="default"/>
                <w:lang w:val="en-US" w:eastAsia="zh-CN"/>
              </w:rPr>
            </w:pPr>
            <w:r>
              <w:rPr>
                <w:rFonts w:hint="eastAsia"/>
                <w:lang w:val="en-US" w:eastAsia="zh-CN"/>
              </w:rPr>
              <w:t>校准</w:t>
            </w:r>
          </w:p>
        </w:tc>
        <w:tc>
          <w:tcPr>
            <w:tcW w:w="1410" w:type="dxa"/>
            <w:tcBorders>
              <w:top w:val="single" w:color="auto" w:sz="4" w:space="0"/>
              <w:left w:val="single" w:color="auto" w:sz="4" w:space="0"/>
              <w:bottom w:val="single" w:color="auto" w:sz="4" w:space="0"/>
              <w:right w:val="single" w:color="auto" w:sz="4" w:space="0"/>
            </w:tcBorders>
            <w:noWrap/>
            <w:vAlign w:val="bottom"/>
          </w:tcPr>
          <w:p w14:paraId="545C2828">
            <w:pPr>
              <w:rPr>
                <w:rFonts w:hint="default"/>
                <w:lang w:val="en-US" w:eastAsia="zh-CN"/>
              </w:rPr>
            </w:pPr>
            <w:r>
              <w:rPr>
                <w:rFonts w:hint="eastAsia"/>
                <w:lang w:val="en-US" w:eastAsia="zh-CN"/>
              </w:rPr>
              <w:t>是</w:t>
            </w:r>
          </w:p>
        </w:tc>
      </w:tr>
      <w:tr w14:paraId="6010B9C8">
        <w:tblPrEx>
          <w:tblCellMar>
            <w:top w:w="0" w:type="dxa"/>
            <w:left w:w="108" w:type="dxa"/>
            <w:bottom w:w="0" w:type="dxa"/>
            <w:right w:w="108" w:type="dxa"/>
          </w:tblCellMar>
        </w:tblPrEx>
        <w:trPr>
          <w:trHeight w:val="403" w:hRule="atLeast"/>
        </w:trPr>
        <w:tc>
          <w:tcPr>
            <w:tcW w:w="657" w:type="dxa"/>
            <w:tcBorders>
              <w:top w:val="single" w:color="auto" w:sz="4" w:space="0"/>
              <w:left w:val="single" w:color="000000" w:sz="4" w:space="0"/>
              <w:bottom w:val="single" w:color="000000" w:sz="4" w:space="0"/>
              <w:right w:val="single" w:color="000000" w:sz="4" w:space="0"/>
            </w:tcBorders>
            <w:noWrap/>
            <w:vAlign w:val="center"/>
          </w:tcPr>
          <w:p w14:paraId="7179F503">
            <w:pPr>
              <w:rPr>
                <w:rFonts w:hint="default"/>
                <w:lang w:val="en-US" w:eastAsia="zh-CN"/>
              </w:rPr>
            </w:pPr>
            <w:r>
              <w:rPr>
                <w:rFonts w:hint="eastAsia"/>
                <w:lang w:val="en-US" w:eastAsia="zh-CN"/>
              </w:rPr>
              <w:t>2</w:t>
            </w:r>
          </w:p>
        </w:tc>
        <w:tc>
          <w:tcPr>
            <w:tcW w:w="2640" w:type="dxa"/>
            <w:tcBorders>
              <w:top w:val="single" w:color="auto" w:sz="4" w:space="0"/>
              <w:left w:val="single" w:color="000000" w:sz="4" w:space="0"/>
              <w:bottom w:val="single" w:color="000000" w:sz="4" w:space="0"/>
              <w:right w:val="single" w:color="000000" w:sz="4" w:space="0"/>
            </w:tcBorders>
            <w:noWrap/>
            <w:vAlign w:val="center"/>
          </w:tcPr>
          <w:p w14:paraId="67AB35EE">
            <w:r>
              <w:rPr>
                <w:rFonts w:hint="eastAsia"/>
              </w:rPr>
              <w:t>标准筛振筛机</w:t>
            </w:r>
          </w:p>
        </w:tc>
        <w:tc>
          <w:tcPr>
            <w:tcW w:w="1185" w:type="dxa"/>
            <w:tcBorders>
              <w:top w:val="single" w:color="auto" w:sz="4" w:space="0"/>
              <w:left w:val="single" w:color="000000" w:sz="4" w:space="0"/>
              <w:bottom w:val="single" w:color="000000" w:sz="4" w:space="0"/>
              <w:right w:val="single" w:color="000000" w:sz="4" w:space="0"/>
            </w:tcBorders>
            <w:noWrap/>
            <w:vAlign w:val="center"/>
          </w:tcPr>
          <w:p w14:paraId="69CB0178">
            <w:pPr>
              <w:rPr>
                <w:rFonts w:hint="eastAsia"/>
                <w:lang w:val="en-US" w:eastAsia="zh-CN"/>
              </w:rPr>
            </w:pPr>
            <w:r>
              <w:rPr>
                <w:rFonts w:hint="eastAsia"/>
                <w:lang w:val="en-US" w:eastAsia="zh-CN"/>
              </w:rPr>
              <w:t>湖南三德</w:t>
            </w:r>
          </w:p>
        </w:tc>
        <w:tc>
          <w:tcPr>
            <w:tcW w:w="1125" w:type="dxa"/>
            <w:tcBorders>
              <w:top w:val="single" w:color="auto" w:sz="4" w:space="0"/>
              <w:left w:val="single" w:color="000000" w:sz="4" w:space="0"/>
              <w:bottom w:val="single" w:color="000000" w:sz="4" w:space="0"/>
              <w:right w:val="single" w:color="000000" w:sz="4" w:space="0"/>
            </w:tcBorders>
            <w:noWrap/>
            <w:vAlign w:val="center"/>
          </w:tcPr>
          <w:p w14:paraId="3B8E4DFE">
            <w:pPr>
              <w:rPr>
                <w:rFonts w:hint="eastAsia"/>
                <w:lang w:val="en-US" w:eastAsia="zh-CN"/>
              </w:rPr>
            </w:pPr>
            <w:r>
              <w:rPr>
                <w:rFonts w:hint="eastAsia"/>
                <w:lang w:val="en-US" w:eastAsia="zh-CN"/>
              </w:rPr>
              <w:t>1台</w:t>
            </w:r>
          </w:p>
        </w:tc>
        <w:tc>
          <w:tcPr>
            <w:tcW w:w="1924" w:type="dxa"/>
            <w:tcBorders>
              <w:top w:val="single" w:color="auto" w:sz="4" w:space="0"/>
              <w:left w:val="single" w:color="000000" w:sz="4" w:space="0"/>
              <w:bottom w:val="single" w:color="000000" w:sz="4" w:space="0"/>
              <w:right w:val="single" w:color="000000" w:sz="4" w:space="0"/>
            </w:tcBorders>
            <w:noWrap/>
            <w:vAlign w:val="center"/>
          </w:tcPr>
          <w:p w14:paraId="4A777530">
            <w:pPr>
              <w:rPr>
                <w:rFonts w:hint="eastAsia"/>
                <w:lang w:val="en-US" w:eastAsia="zh-CN"/>
              </w:rPr>
            </w:pPr>
          </w:p>
          <w:p w14:paraId="462771EE">
            <w:pPr>
              <w:rPr>
                <w:rFonts w:hint="default"/>
                <w:lang w:val="en-US" w:eastAsia="zh-CN"/>
              </w:rPr>
            </w:pPr>
            <w:r>
              <w:rPr>
                <w:rFonts w:hint="eastAsia"/>
                <w:lang w:val="en-US" w:eastAsia="zh-CN"/>
              </w:rPr>
              <w:t>SDNS300t</w:t>
            </w:r>
          </w:p>
        </w:tc>
        <w:tc>
          <w:tcPr>
            <w:tcW w:w="3068" w:type="dxa"/>
            <w:gridSpan w:val="2"/>
            <w:tcBorders>
              <w:top w:val="single" w:color="auto" w:sz="4" w:space="0"/>
              <w:left w:val="single" w:color="000000" w:sz="4" w:space="0"/>
              <w:bottom w:val="single" w:color="000000" w:sz="4" w:space="0"/>
              <w:right w:val="single" w:color="000000" w:sz="4" w:space="0"/>
            </w:tcBorders>
            <w:noWrap/>
            <w:vAlign w:val="bottom"/>
          </w:tcPr>
          <w:p w14:paraId="672CFECB">
            <w:pPr>
              <w:rPr>
                <w:rFonts w:hint="default"/>
                <w:lang w:val="en-US" w:eastAsia="zh-CN"/>
              </w:rPr>
            </w:pPr>
            <w:r>
              <w:rPr>
                <w:rFonts w:hint="eastAsia"/>
                <w:lang w:val="en-US" w:eastAsia="zh-CN"/>
              </w:rPr>
              <w:t>现场</w:t>
            </w:r>
          </w:p>
        </w:tc>
        <w:tc>
          <w:tcPr>
            <w:tcW w:w="2827" w:type="dxa"/>
            <w:tcBorders>
              <w:top w:val="single" w:color="auto" w:sz="4" w:space="0"/>
              <w:left w:val="single" w:color="000000" w:sz="4" w:space="0"/>
              <w:bottom w:val="single" w:color="000000" w:sz="4" w:space="0"/>
              <w:right w:val="single" w:color="000000" w:sz="4" w:space="0"/>
            </w:tcBorders>
            <w:noWrap/>
            <w:vAlign w:val="bottom"/>
          </w:tcPr>
          <w:p w14:paraId="2D439408">
            <w:pPr>
              <w:rPr>
                <w:rFonts w:hint="default"/>
                <w:lang w:val="en-US" w:eastAsia="zh-CN"/>
              </w:rPr>
            </w:pPr>
            <w:r>
              <w:rPr>
                <w:rFonts w:hint="eastAsia"/>
                <w:lang w:val="en-US" w:eastAsia="zh-CN"/>
              </w:rPr>
              <w:t>校准</w:t>
            </w:r>
          </w:p>
        </w:tc>
        <w:tc>
          <w:tcPr>
            <w:tcW w:w="1410" w:type="dxa"/>
            <w:tcBorders>
              <w:top w:val="single" w:color="auto" w:sz="4" w:space="0"/>
              <w:left w:val="single" w:color="000000" w:sz="4" w:space="0"/>
              <w:bottom w:val="single" w:color="000000" w:sz="4" w:space="0"/>
              <w:right w:val="single" w:color="000000" w:sz="4" w:space="0"/>
            </w:tcBorders>
            <w:noWrap/>
            <w:vAlign w:val="bottom"/>
          </w:tcPr>
          <w:p w14:paraId="14D1EAD7">
            <w:pPr>
              <w:rPr>
                <w:rFonts w:hint="default"/>
                <w:lang w:val="en-US" w:eastAsia="zh-CN"/>
              </w:rPr>
            </w:pPr>
            <w:r>
              <w:rPr>
                <w:rFonts w:hint="eastAsia"/>
                <w:lang w:val="en-US" w:eastAsia="zh-CN"/>
              </w:rPr>
              <w:t>是</w:t>
            </w:r>
          </w:p>
        </w:tc>
      </w:tr>
      <w:tr w14:paraId="452CEA40">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33AEA98F">
            <w:pPr>
              <w:rPr>
                <w:rFonts w:hint="default"/>
                <w:lang w:val="en-US" w:eastAsia="zh-CN"/>
              </w:rPr>
            </w:pPr>
            <w:r>
              <w:rPr>
                <w:rFonts w:hint="eastAsia"/>
                <w:lang w:val="en-US" w:eastAsia="zh-CN"/>
              </w:rPr>
              <w:t>3</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5EE4F512">
            <w:r>
              <w:rPr>
                <w:rFonts w:hint="eastAsia"/>
              </w:rPr>
              <w:t>电热板</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00D7070">
            <w:pPr>
              <w:rPr>
                <w:rFonts w:hint="eastAsia"/>
                <w:lang w:val="en-US" w:eastAsia="zh-CN"/>
              </w:rPr>
            </w:pPr>
            <w:r>
              <w:t>林茂科技</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05B65413">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752ABE05">
            <w:pPr>
              <w:rPr>
                <w:rFonts w:hint="default"/>
                <w:lang w:val="en-US" w:eastAsia="zh-CN"/>
              </w:rPr>
            </w:pPr>
            <w:r>
              <w:rPr>
                <w:rFonts w:hint="eastAsia"/>
                <w:lang w:val="en-US" w:eastAsia="zh-CN"/>
              </w:rPr>
              <w:t>SXML-2-4</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4A41532D">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2E83FDD4">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1FBDADD4">
            <w:pPr>
              <w:rPr>
                <w:rFonts w:hint="default"/>
                <w:lang w:val="en-US" w:eastAsia="zh-CN"/>
              </w:rPr>
            </w:pPr>
            <w:r>
              <w:rPr>
                <w:rFonts w:hint="eastAsia"/>
                <w:lang w:val="en-US" w:eastAsia="zh-CN"/>
              </w:rPr>
              <w:t>是</w:t>
            </w:r>
          </w:p>
        </w:tc>
      </w:tr>
      <w:tr w14:paraId="25E4CD2E">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3D96D3B1">
            <w:pPr>
              <w:rPr>
                <w:rFonts w:hint="default"/>
                <w:lang w:val="en-US" w:eastAsia="zh-CN"/>
              </w:rPr>
            </w:pPr>
            <w:r>
              <w:rPr>
                <w:rFonts w:hint="eastAsia"/>
                <w:lang w:val="en-US" w:eastAsia="zh-CN"/>
              </w:rPr>
              <w:t>4</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0DD4B956">
            <w:r>
              <w:rPr>
                <w:rFonts w:hint="eastAsia"/>
              </w:rPr>
              <w:t>智能马弗炉</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482C4BCA">
            <w:pPr>
              <w:rPr>
                <w:rFonts w:hint="eastAsia"/>
                <w:lang w:val="en-US" w:eastAsia="zh-CN"/>
              </w:rPr>
            </w:pPr>
            <w:r>
              <w:rPr>
                <w:rFonts w:hint="eastAsia"/>
                <w:lang w:val="en-US" w:eastAsia="zh-CN"/>
              </w:rPr>
              <w:t>湖南三德</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44051DEC">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433B2DC2">
            <w:pPr>
              <w:rPr>
                <w:rFonts w:hint="eastAsia"/>
                <w:lang w:val="en-US" w:eastAsia="zh-CN"/>
              </w:rPr>
            </w:pPr>
            <w:r>
              <w:rPr>
                <w:rFonts w:hint="eastAsia"/>
                <w:lang w:val="en-US" w:eastAsia="zh-CN"/>
              </w:rPr>
              <w:t>SDMF300</w:t>
            </w:r>
          </w:p>
          <w:p w14:paraId="50800C11">
            <w:pPr>
              <w:rPr>
                <w:rFonts w:hint="default"/>
                <w:lang w:val="en-US" w:eastAsia="zh-CN"/>
              </w:rPr>
            </w:pP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6251739C">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3670E36B">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71E37209">
            <w:pPr>
              <w:rPr>
                <w:rFonts w:hint="default"/>
                <w:lang w:val="en-US" w:eastAsia="zh-CN"/>
              </w:rPr>
            </w:pPr>
            <w:r>
              <w:rPr>
                <w:rFonts w:hint="eastAsia"/>
                <w:lang w:val="en-US" w:eastAsia="zh-CN"/>
              </w:rPr>
              <w:t>是</w:t>
            </w:r>
          </w:p>
        </w:tc>
      </w:tr>
      <w:tr w14:paraId="0035AB2D">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5BFDAA82">
            <w:pPr>
              <w:rPr>
                <w:rFonts w:hint="default"/>
                <w:lang w:val="en-US" w:eastAsia="zh-CN"/>
              </w:rPr>
            </w:pPr>
            <w:r>
              <w:rPr>
                <w:rFonts w:hint="eastAsia"/>
                <w:lang w:val="en-US" w:eastAsia="zh-CN"/>
              </w:rPr>
              <w:t>5</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509792AF">
            <w:r>
              <w:t>电子天平2</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698FA0AD">
            <w:pPr>
              <w:rPr>
                <w:rFonts w:hint="eastAsia"/>
                <w:lang w:val="en-US" w:eastAsia="zh-CN"/>
              </w:rPr>
            </w:pPr>
            <w:r>
              <w:t>赛多利斯</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36F8B55F">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6CDE0CA1">
            <w:pPr>
              <w:rPr>
                <w:rFonts w:hint="default"/>
                <w:lang w:val="en-US" w:eastAsia="zh-CN"/>
              </w:rPr>
            </w:pPr>
            <w:r>
              <w:rPr>
                <w:rFonts w:hint="eastAsia"/>
              </w:rPr>
              <w:t>GL623i-1SCN</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6BB8D83A">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32C9F32C">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5708DF36">
            <w:pPr>
              <w:rPr>
                <w:rFonts w:hint="default"/>
                <w:lang w:val="en-US" w:eastAsia="zh-CN"/>
              </w:rPr>
            </w:pPr>
            <w:r>
              <w:rPr>
                <w:rFonts w:hint="eastAsia"/>
                <w:lang w:val="en-US" w:eastAsia="zh-CN"/>
              </w:rPr>
              <w:t>是</w:t>
            </w:r>
          </w:p>
        </w:tc>
      </w:tr>
      <w:tr w14:paraId="2E9FC714">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56A0C133">
            <w:pPr>
              <w:rPr>
                <w:rFonts w:hint="default"/>
                <w:lang w:val="en-US" w:eastAsia="zh-CN"/>
              </w:rPr>
            </w:pPr>
            <w:r>
              <w:rPr>
                <w:rFonts w:hint="eastAsia"/>
                <w:lang w:val="en-US" w:eastAsia="zh-CN"/>
              </w:rPr>
              <w:t>6</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29E76C86">
            <w:r>
              <w:t>真空抽滤泵</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7B14050B">
            <w:r>
              <w:t>林茂科技</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0C84198F">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747D34EC">
            <w:pPr>
              <w:rPr>
                <w:rFonts w:hint="eastAsia"/>
              </w:rPr>
            </w:pPr>
            <w:r>
              <w:rPr>
                <w:rFonts w:hint="eastAsia"/>
                <w:lang w:val="en-US" w:eastAsia="zh-CN"/>
              </w:rPr>
              <w:t>2XZ-0.5</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5C830079">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3A611188">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3CA9DAA9">
            <w:pPr>
              <w:rPr>
                <w:rFonts w:hint="default"/>
                <w:lang w:val="en-US" w:eastAsia="zh-CN"/>
              </w:rPr>
            </w:pPr>
            <w:r>
              <w:rPr>
                <w:rFonts w:hint="eastAsia"/>
                <w:lang w:val="en-US" w:eastAsia="zh-CN"/>
              </w:rPr>
              <w:t>是</w:t>
            </w:r>
          </w:p>
        </w:tc>
      </w:tr>
      <w:tr w14:paraId="681E46FC">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521E0E3C">
            <w:pPr>
              <w:rPr>
                <w:rFonts w:hint="default"/>
                <w:lang w:val="en-US" w:eastAsia="zh-CN"/>
              </w:rPr>
            </w:pPr>
            <w:r>
              <w:rPr>
                <w:rFonts w:hint="eastAsia"/>
                <w:lang w:val="en-US" w:eastAsia="zh-CN"/>
              </w:rPr>
              <w:t>7</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1F7D2F07">
            <w:r>
              <w:t>电热鼓风干燥箱</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6F49EA5">
            <w:r>
              <w:rPr>
                <w:rFonts w:hint="eastAsia"/>
                <w:lang w:val="en-US" w:eastAsia="zh-CN"/>
              </w:rPr>
              <w:t>泰斯特</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5929EC38">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5FDB26B6">
            <w:pPr>
              <w:rPr>
                <w:rFonts w:hint="eastAsia"/>
                <w:lang w:val="en-US" w:eastAsia="zh-CN"/>
              </w:rPr>
            </w:pPr>
            <w:r>
              <w:rPr>
                <w:rFonts w:hint="default"/>
                <w:lang w:val="en-US" w:eastAsia="zh-CN"/>
              </w:rPr>
              <w:t>WGL-125B</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355075EF">
            <w:pPr>
              <w:rPr>
                <w:rFonts w:hint="default"/>
                <w:lang w:val="en-US" w:eastAsia="zh-CN"/>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0DCE536A">
            <w:pPr>
              <w:rPr>
                <w:rFonts w:hint="default"/>
                <w:lang w:val="en-US" w:eastAsia="zh-CN"/>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74F8C5DD">
            <w:pPr>
              <w:rPr>
                <w:rFonts w:hint="default"/>
                <w:lang w:val="en-US" w:eastAsia="zh-CN"/>
              </w:rPr>
            </w:pPr>
            <w:r>
              <w:rPr>
                <w:rFonts w:hint="eastAsia"/>
                <w:lang w:val="en-US" w:eastAsia="zh-CN"/>
              </w:rPr>
              <w:t>是</w:t>
            </w:r>
          </w:p>
        </w:tc>
      </w:tr>
      <w:tr w14:paraId="742C8BE4">
        <w:tblPrEx>
          <w:tblCellMar>
            <w:top w:w="0" w:type="dxa"/>
            <w:left w:w="108" w:type="dxa"/>
            <w:bottom w:w="0" w:type="dxa"/>
            <w:right w:w="108" w:type="dxa"/>
          </w:tblCellMar>
        </w:tblPrEx>
        <w:trPr>
          <w:trHeight w:val="403" w:hRule="atLeast"/>
        </w:trPr>
        <w:tc>
          <w:tcPr>
            <w:tcW w:w="657" w:type="dxa"/>
            <w:tcBorders>
              <w:top w:val="single" w:color="000000" w:sz="4" w:space="0"/>
              <w:left w:val="single" w:color="000000" w:sz="4" w:space="0"/>
              <w:bottom w:val="single" w:color="000000" w:sz="4" w:space="0"/>
              <w:right w:val="single" w:color="000000" w:sz="4" w:space="0"/>
            </w:tcBorders>
            <w:noWrap/>
            <w:vAlign w:val="center"/>
          </w:tcPr>
          <w:p w14:paraId="7D54A554">
            <w:pPr>
              <w:rPr>
                <w:rFonts w:hint="default"/>
                <w:lang w:val="en-US" w:eastAsia="zh-CN"/>
              </w:rPr>
            </w:pPr>
            <w:r>
              <w:rPr>
                <w:rFonts w:hint="eastAsia"/>
                <w:lang w:val="en-US" w:eastAsia="zh-CN"/>
              </w:rPr>
              <w:t>8</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7C7492B8">
            <w:pPr>
              <w:rPr>
                <w:rFonts w:hint="default" w:eastAsia="宋体"/>
                <w:lang w:val="en-US" w:eastAsia="zh-CN"/>
              </w:rPr>
            </w:pPr>
            <w:r>
              <w:rPr>
                <w:rFonts w:hint="eastAsia"/>
                <w:lang w:val="en-US" w:eastAsia="zh-CN"/>
              </w:rPr>
              <w:t>全自动温控数显翻转振荡器</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230C868D">
            <w:pPr>
              <w:rPr>
                <w:rFonts w:hint="default"/>
                <w:lang w:val="en-US" w:eastAsia="zh-CN"/>
              </w:rPr>
            </w:pPr>
            <w:r>
              <w:rPr>
                <w:rFonts w:hint="eastAsia"/>
                <w:lang w:val="en-US" w:eastAsia="zh-CN"/>
              </w:rPr>
              <w:t>精科诚创（北京）</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5AD9F95F">
            <w:pPr>
              <w:rPr>
                <w:rFonts w:hint="eastAsia"/>
                <w:lang w:val="en-US" w:eastAsia="zh-CN"/>
              </w:rPr>
            </w:pPr>
            <w:r>
              <w:rPr>
                <w:rFonts w:hint="eastAsia"/>
                <w:lang w:val="en-US" w:eastAsia="zh-CN"/>
              </w:rPr>
              <w:t>1台</w:t>
            </w:r>
          </w:p>
        </w:tc>
        <w:tc>
          <w:tcPr>
            <w:tcW w:w="1924" w:type="dxa"/>
            <w:tcBorders>
              <w:top w:val="single" w:color="000000" w:sz="4" w:space="0"/>
              <w:left w:val="single" w:color="000000" w:sz="4" w:space="0"/>
              <w:bottom w:val="single" w:color="000000" w:sz="4" w:space="0"/>
              <w:right w:val="single" w:color="000000" w:sz="4" w:space="0"/>
            </w:tcBorders>
            <w:noWrap/>
            <w:vAlign w:val="center"/>
          </w:tcPr>
          <w:p w14:paraId="2626BC12">
            <w:pPr>
              <w:rPr>
                <w:rFonts w:hint="default"/>
                <w:lang w:val="en-US" w:eastAsia="zh-CN"/>
              </w:rPr>
            </w:pPr>
            <w:r>
              <w:rPr>
                <w:rFonts w:hint="eastAsia"/>
                <w:lang w:val="en-US" w:eastAsia="zh-CN"/>
              </w:rPr>
              <w:t>HK-318</w:t>
            </w:r>
          </w:p>
        </w:tc>
        <w:tc>
          <w:tcPr>
            <w:tcW w:w="3068" w:type="dxa"/>
            <w:gridSpan w:val="2"/>
            <w:tcBorders>
              <w:top w:val="single" w:color="000000" w:sz="4" w:space="0"/>
              <w:left w:val="single" w:color="000000" w:sz="4" w:space="0"/>
              <w:bottom w:val="single" w:color="000000" w:sz="4" w:space="0"/>
              <w:right w:val="single" w:color="000000" w:sz="4" w:space="0"/>
            </w:tcBorders>
            <w:noWrap/>
            <w:vAlign w:val="bottom"/>
          </w:tcPr>
          <w:p w14:paraId="558B1BA7">
            <w:pPr>
              <w:rPr>
                <w:rFonts w:hint="eastAsia" w:ascii="Times New Roman" w:hAnsi="Times New Roman" w:eastAsia="宋体" w:cs="Times New Roman"/>
                <w:kern w:val="2"/>
                <w:sz w:val="21"/>
                <w:lang w:val="en-US" w:eastAsia="zh-CN" w:bidi="ar-SA"/>
              </w:rPr>
            </w:pPr>
            <w:r>
              <w:rPr>
                <w:rFonts w:hint="eastAsia"/>
                <w:lang w:val="en-US" w:eastAsia="zh-CN"/>
              </w:rPr>
              <w:t>现场</w:t>
            </w:r>
          </w:p>
        </w:tc>
        <w:tc>
          <w:tcPr>
            <w:tcW w:w="2827" w:type="dxa"/>
            <w:tcBorders>
              <w:top w:val="single" w:color="000000" w:sz="4" w:space="0"/>
              <w:left w:val="single" w:color="000000" w:sz="4" w:space="0"/>
              <w:bottom w:val="single" w:color="000000" w:sz="4" w:space="0"/>
              <w:right w:val="single" w:color="000000" w:sz="4" w:space="0"/>
            </w:tcBorders>
            <w:noWrap/>
            <w:vAlign w:val="bottom"/>
          </w:tcPr>
          <w:p w14:paraId="2944D7B0">
            <w:pPr>
              <w:rPr>
                <w:rFonts w:hint="eastAsia" w:ascii="Times New Roman" w:hAnsi="Times New Roman" w:eastAsia="宋体" w:cs="Times New Roman"/>
                <w:kern w:val="2"/>
                <w:sz w:val="21"/>
                <w:lang w:val="en-US" w:eastAsia="zh-CN" w:bidi="ar-SA"/>
              </w:rPr>
            </w:pPr>
            <w:r>
              <w:rPr>
                <w:rFonts w:hint="eastAsia"/>
                <w:lang w:val="en-US" w:eastAsia="zh-CN"/>
              </w:rPr>
              <w:t>校准</w:t>
            </w:r>
          </w:p>
        </w:tc>
        <w:tc>
          <w:tcPr>
            <w:tcW w:w="1410" w:type="dxa"/>
            <w:tcBorders>
              <w:top w:val="single" w:color="000000" w:sz="4" w:space="0"/>
              <w:left w:val="single" w:color="000000" w:sz="4" w:space="0"/>
              <w:bottom w:val="single" w:color="000000" w:sz="4" w:space="0"/>
              <w:right w:val="single" w:color="000000" w:sz="4" w:space="0"/>
            </w:tcBorders>
            <w:noWrap/>
            <w:vAlign w:val="bottom"/>
          </w:tcPr>
          <w:p w14:paraId="7DB407D2">
            <w:pPr>
              <w:rPr>
                <w:rFonts w:hint="eastAsia" w:ascii="Times New Roman" w:hAnsi="Times New Roman" w:eastAsia="宋体" w:cs="Times New Roman"/>
                <w:kern w:val="2"/>
                <w:sz w:val="21"/>
                <w:lang w:val="en-US" w:eastAsia="zh-CN" w:bidi="ar-SA"/>
              </w:rPr>
            </w:pPr>
            <w:r>
              <w:rPr>
                <w:rFonts w:hint="eastAsia"/>
                <w:lang w:val="en-US" w:eastAsia="zh-CN"/>
              </w:rPr>
              <w:t>是</w:t>
            </w:r>
          </w:p>
        </w:tc>
      </w:tr>
    </w:tbl>
    <w:p w14:paraId="1E6BC7A9"/>
    <w:p w14:paraId="7B7C1E19"/>
    <w:p w14:paraId="7B4A4514">
      <w:pPr>
        <w:sectPr>
          <w:headerReference r:id="rId9" w:type="default"/>
          <w:footerReference r:id="rId10" w:type="default"/>
          <w:pgSz w:w="16838" w:h="11906" w:orient="landscape"/>
          <w:pgMar w:top="1440" w:right="748" w:bottom="624" w:left="901" w:header="454" w:footer="533" w:gutter="0"/>
          <w:pgNumType w:fmt="decimal"/>
          <w:cols w:space="720" w:num="1"/>
          <w:docGrid w:type="lines" w:linePitch="312" w:charSpace="0"/>
        </w:sectPr>
      </w:pPr>
    </w:p>
    <w:p w14:paraId="4F80D47D"/>
    <w:p w14:paraId="6511BF53">
      <w:pPr>
        <w:sectPr>
          <w:type w:val="continuous"/>
          <w:pgSz w:w="16838" w:h="11906" w:orient="landscape"/>
          <w:pgMar w:top="1440" w:right="748" w:bottom="624" w:left="901" w:header="454" w:footer="533" w:gutter="0"/>
          <w:pgNumType w:fmt="decimal"/>
          <w:cols w:space="720" w:num="1"/>
          <w:docGrid w:type="lines" w:linePitch="312" w:charSpace="0"/>
        </w:sectPr>
      </w:pPr>
    </w:p>
    <w:p w14:paraId="21169B5B">
      <w:pPr>
        <w:rPr>
          <w:rFonts w:hint="default"/>
          <w:sz w:val="28"/>
          <w:szCs w:val="28"/>
          <w:lang w:val="en-US" w:eastAsia="zh-CN"/>
        </w:rPr>
      </w:pPr>
      <w:r>
        <w:rPr>
          <w:rFonts w:hint="eastAsia"/>
          <w:sz w:val="28"/>
          <w:szCs w:val="28"/>
          <w:lang w:val="en-US" w:eastAsia="zh-CN"/>
        </w:rPr>
        <w:t>附件二、单项报价表</w:t>
      </w:r>
    </w:p>
    <w:tbl>
      <w:tblPr>
        <w:tblStyle w:val="8"/>
        <w:tblW w:w="114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43"/>
        <w:gridCol w:w="1312"/>
        <w:gridCol w:w="1054"/>
        <w:gridCol w:w="1044"/>
        <w:gridCol w:w="1350"/>
        <w:gridCol w:w="1054"/>
        <w:gridCol w:w="1527"/>
        <w:gridCol w:w="1044"/>
        <w:gridCol w:w="1065"/>
        <w:gridCol w:w="1367"/>
      </w:tblGrid>
      <w:tr w14:paraId="20065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11460"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72E0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综合析室仪器</w:t>
            </w:r>
          </w:p>
        </w:tc>
      </w:tr>
      <w:tr w14:paraId="7DA69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9B13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0B45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名称</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19D1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制造单位</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1ADC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CDE5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型号</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DF991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服务方式（现场</w:t>
            </w:r>
            <w:r>
              <w:rPr>
                <w:rStyle w:val="11"/>
                <w:lang w:val="en-US" w:eastAsia="zh-CN" w:bidi="ar"/>
              </w:rPr>
              <w:t>/</w:t>
            </w:r>
            <w:r>
              <w:rPr>
                <w:rStyle w:val="12"/>
                <w:lang w:val="en-US" w:eastAsia="zh-CN" w:bidi="ar"/>
              </w:rPr>
              <w:t>送检）</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B2AB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证书类型（校准/检定）</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513E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是否带标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9177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单价（元</w:t>
            </w:r>
            <w:r>
              <w:rPr>
                <w:rStyle w:val="11"/>
                <w:lang w:val="en-US" w:eastAsia="zh-CN" w:bidi="ar"/>
              </w:rPr>
              <w:t>/</w:t>
            </w:r>
            <w:r>
              <w:rPr>
                <w:rStyle w:val="12"/>
                <w:lang w:val="en-US" w:eastAsia="zh-CN" w:bidi="ar"/>
              </w:rPr>
              <w:t>台）</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A19C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小计（元）</w:t>
            </w:r>
          </w:p>
        </w:tc>
      </w:tr>
      <w:tr w14:paraId="2EBD1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FEACE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186D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台式硅酸根分析仪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809C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天宇沃特</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E9005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33A6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TW-6326</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1B2E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EE99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BFBA2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929B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CE156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3D715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FD8E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9F10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台式磷酸根分析仪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E435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天宇沃特</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5B25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F4BB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TW-6316</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C0BC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6401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8F5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97A85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4DAF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7371B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E7FB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D757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台式</w:t>
            </w:r>
            <w:r>
              <w:rPr>
                <w:rStyle w:val="11"/>
                <w:lang w:val="en-US" w:eastAsia="zh-CN" w:bidi="ar"/>
              </w:rPr>
              <w:t>PH</w:t>
            </w:r>
            <w:r>
              <w:rPr>
                <w:rStyle w:val="12"/>
                <w:lang w:val="en-US" w:eastAsia="zh-CN" w:bidi="ar"/>
              </w:rPr>
              <w:t>测定仪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073D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天宇沃特</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E1C3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9FC0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TW-6226</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2627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3B24E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7BDC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0F01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480A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r>
      <w:tr w14:paraId="37941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3EF9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6EFC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台式电导率仪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29DD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天宇沃特</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F848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DAAB3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TW-6216</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D175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A6ECE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03FC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63F4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D21D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r>
      <w:tr w14:paraId="234A0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880C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6614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台式浊度测定仪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CAFC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天宇沃特</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2FE3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69C3E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TW-5218</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6D95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F29A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B09F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2F6D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8759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14:paraId="6A5C9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A2FD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320F9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钠离子测定仪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DA49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天宇沃特</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4E61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094B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TW-6266</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D80D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C619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9A92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C219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9FE7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14:paraId="29BE5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54FC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AD8C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便携式</w:t>
            </w:r>
            <w:r>
              <w:rPr>
                <w:rStyle w:val="11"/>
                <w:lang w:val="en-US" w:eastAsia="zh-CN" w:bidi="ar"/>
              </w:rPr>
              <w:t>PH</w:t>
            </w:r>
            <w:r>
              <w:rPr>
                <w:rStyle w:val="12"/>
                <w:lang w:val="en-US" w:eastAsia="zh-CN" w:bidi="ar"/>
              </w:rPr>
              <w:t>测定仪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C416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天宇沃特</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9726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0427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TW-6196A</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CFB9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FD40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7EAB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63CE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DCB2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14:paraId="54534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C96D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9E27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便携式浊度测定仪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AEC7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天宇沃特</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C5E6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4CF7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TW-5118</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48E8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F1AA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E30C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60D5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BEDE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14:paraId="689C8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2C20F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73FB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便携式电导率测定仪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1BCE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天宇沃特</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DA12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BDFD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TW-6196B</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52880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3A158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E1CE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66D5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65BC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14:paraId="5EA90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1E6E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F98B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便携式余氯测定仪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DEE8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奥立龙</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FB8A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DC0D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AQ3170</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221F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373B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5A65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2A5C9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E32B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3B98A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F0E896">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11</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829D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便携式溶解氧测定仪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8875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天宇沃特</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128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44FA5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TW-6136</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809E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5E3F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E5CD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DDDC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5D02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r>
      <w:tr w14:paraId="4D03C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EC33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8D69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紫外可见光分光光度计</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F3C9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上海元析</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A40E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BEF4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UV-5100</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8023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33F3D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A14C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98BD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C4D2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r>
      <w:tr w14:paraId="2C208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C555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9810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COD</w:t>
            </w:r>
            <w:r>
              <w:rPr>
                <w:rStyle w:val="12"/>
                <w:lang w:val="en-US" w:eastAsia="zh-CN" w:bidi="ar"/>
              </w:rPr>
              <w:t>分析仪（带消解器）</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E14F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连华科技</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353C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5426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5B-3C</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6D08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D8C2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BCD6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CFC5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6E14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r>
      <w:tr w14:paraId="310D2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D113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849B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电子天平</w:t>
            </w:r>
            <w:r>
              <w:rPr>
                <w:rStyle w:val="11"/>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BD94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赛多利斯</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FBD8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087F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GL224i-1SN</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B96F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E870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186D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94DB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5D12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r>
      <w:tr w14:paraId="511F4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120B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56E8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电子天平</w:t>
            </w:r>
            <w:r>
              <w:rPr>
                <w:rStyle w:val="11"/>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2B0E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赛多利斯</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5FB6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82FA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GL3202-1SCN</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633D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B0AC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411C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D05A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081B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r>
      <w:tr w14:paraId="28745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44D1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6244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高纯水制水机</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156C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泰州华源</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A9B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87D8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THYJ-40</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1A00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DAC4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61865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7C2D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4DDF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r>
      <w:tr w14:paraId="56E5C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C407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CB84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电热板</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D9CB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林茂科技</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B184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834E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DF-101S</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4436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FD47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9A1D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A8C5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6DCF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r>
      <w:tr w14:paraId="7D1E6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3462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C84D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加热式磁力搅拌器</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4F42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林茂科技</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EDBE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32D0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DF-101S</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CE39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F861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86FD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B370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43EF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r>
      <w:tr w14:paraId="0325B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09C4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F6CC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电热鼓风干燥箱</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C628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泰斯特</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7D2C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1914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WGL-125B</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397C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8158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AFF3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56C7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2AC2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r>
      <w:tr w14:paraId="3B497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12D4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FF15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超声波玻璃器皿清洗机</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BE1A7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洁康</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2807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C44C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PS-30A</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7B96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9782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2583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70F2C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52E2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r>
      <w:tr w14:paraId="3DAC2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3F7E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4DD3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数字式湿温度计</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3548BD">
            <w:pPr>
              <w:jc w:val="center"/>
              <w:rPr>
                <w:rFonts w:hint="eastAsia" w:ascii="宋体" w:hAnsi="宋体" w:eastAsia="宋体" w:cs="宋体"/>
                <w:i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DF73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B41C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HX100</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B9E59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A599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1318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F018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233D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r>
      <w:tr w14:paraId="5FC38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14"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F70A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1BD9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调速多用振荡器</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B8F0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朗越</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FE24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D00A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HY-4</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D99A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95F6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71F2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5348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D8C9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r>
      <w:tr w14:paraId="14FBC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7"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C442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w:t>
            </w:r>
          </w:p>
        </w:tc>
        <w:tc>
          <w:tcPr>
            <w:tcW w:w="9450"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07B5DA">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D65F33">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2280</w:t>
            </w:r>
          </w:p>
        </w:tc>
      </w:tr>
      <w:tr w14:paraId="62A9A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5" w:hRule="atLeast"/>
          <w:jc w:val="center"/>
        </w:trPr>
        <w:tc>
          <w:tcPr>
            <w:tcW w:w="11460"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779B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油分析室仪器</w:t>
            </w:r>
          </w:p>
        </w:tc>
      </w:tr>
      <w:tr w14:paraId="391DA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BFCC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59FF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名称</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7C2C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制造单位</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AD5E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A505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型号</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67D5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服务方式（现场</w:t>
            </w:r>
            <w:r>
              <w:rPr>
                <w:rStyle w:val="11"/>
                <w:lang w:val="en-US" w:eastAsia="zh-CN" w:bidi="ar"/>
              </w:rPr>
              <w:t>/</w:t>
            </w:r>
            <w:r>
              <w:rPr>
                <w:rStyle w:val="12"/>
                <w:lang w:val="en-US" w:eastAsia="zh-CN" w:bidi="ar"/>
              </w:rPr>
              <w:t>送检）</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15DA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证书类型（校准</w:t>
            </w:r>
            <w:r>
              <w:rPr>
                <w:rStyle w:val="11"/>
                <w:lang w:val="en-US" w:eastAsia="zh-CN" w:bidi="ar"/>
              </w:rPr>
              <w:t>/</w:t>
            </w:r>
            <w:r>
              <w:rPr>
                <w:rStyle w:val="12"/>
                <w:lang w:val="en-US" w:eastAsia="zh-CN" w:bidi="ar"/>
              </w:rPr>
              <w:t>检定）</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4A30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是否带标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5D1E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单价（元</w:t>
            </w:r>
            <w:r>
              <w:rPr>
                <w:rStyle w:val="11"/>
                <w:lang w:val="en-US" w:eastAsia="zh-CN" w:bidi="ar"/>
              </w:rPr>
              <w:t>/</w:t>
            </w:r>
            <w:r>
              <w:rPr>
                <w:rStyle w:val="12"/>
                <w:lang w:val="en-US" w:eastAsia="zh-CN" w:bidi="ar"/>
              </w:rPr>
              <w:t>台）</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697E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小计（元）</w:t>
            </w:r>
          </w:p>
        </w:tc>
      </w:tr>
      <w:tr w14:paraId="6E710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01CB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3579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破乳化测定仪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5FD2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吉林百正</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0105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FE3D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BZRH-3SH</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BDCE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1F27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FB92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49C588">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80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8242EF">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80</w:t>
            </w:r>
          </w:p>
        </w:tc>
      </w:tr>
      <w:tr w14:paraId="7E97B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EB35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D899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运动粘度测定仪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B3A4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山东惠工</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2B24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58F2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HGND203</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5426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A328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F062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4E57F9">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80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4FD062">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80</w:t>
            </w:r>
          </w:p>
        </w:tc>
      </w:tr>
      <w:tr w14:paraId="22B44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D7C1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DA3D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微量水分测定仪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117D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吉林百正</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1F46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CAA5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BZJF-6</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A32D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0083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ABE1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2B809C">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100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6CF1DF">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100</w:t>
            </w:r>
          </w:p>
        </w:tc>
      </w:tr>
      <w:tr w14:paraId="576FF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C905F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D846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开口闪点测定仪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25ED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吉林百正</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FEA5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AEA0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BZSHD-3K</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0180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39A5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09BC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34D7EF">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120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DADCBC">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120</w:t>
            </w:r>
          </w:p>
        </w:tc>
      </w:tr>
      <w:tr w14:paraId="2A940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7434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83A8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闭口闪点测定仪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E598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吉林百正</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BBAB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CD76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BZSHD-3B</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AEC5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2ACA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94D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AA40E9">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120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86F434">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120</w:t>
            </w:r>
          </w:p>
        </w:tc>
      </w:tr>
      <w:tr w14:paraId="791EA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3AAB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04E5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酸值测定仪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B816D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吉林百正</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6AC5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2C90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BZSZ-6X</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D845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3282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E2EC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否</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EF08D9">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320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932F68">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320</w:t>
            </w:r>
          </w:p>
        </w:tc>
      </w:tr>
      <w:tr w14:paraId="5F6C8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6566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 xml:space="preserve"> </w:t>
            </w:r>
          </w:p>
        </w:tc>
        <w:tc>
          <w:tcPr>
            <w:tcW w:w="9450"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512C22">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B03DDB">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820</w:t>
            </w:r>
          </w:p>
        </w:tc>
      </w:tr>
      <w:tr w14:paraId="1254E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11460"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86CE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污水分析室仪器</w:t>
            </w:r>
          </w:p>
        </w:tc>
      </w:tr>
      <w:tr w14:paraId="39561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FDED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C0C6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名称</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677FF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制造单位</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4769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4965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型号</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2BDD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服务方式（现场</w:t>
            </w:r>
            <w:r>
              <w:rPr>
                <w:rStyle w:val="11"/>
                <w:lang w:val="en-US" w:eastAsia="zh-CN" w:bidi="ar"/>
              </w:rPr>
              <w:t>/</w:t>
            </w:r>
            <w:r>
              <w:rPr>
                <w:rStyle w:val="12"/>
                <w:lang w:val="en-US" w:eastAsia="zh-CN" w:bidi="ar"/>
              </w:rPr>
              <w:t>送检）</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032A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证书类型（校准</w:t>
            </w:r>
            <w:r>
              <w:rPr>
                <w:rStyle w:val="11"/>
                <w:lang w:val="en-US" w:eastAsia="zh-CN" w:bidi="ar"/>
              </w:rPr>
              <w:t>/</w:t>
            </w:r>
            <w:r>
              <w:rPr>
                <w:rStyle w:val="12"/>
                <w:lang w:val="en-US" w:eastAsia="zh-CN" w:bidi="ar"/>
              </w:rPr>
              <w:t>检定）</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A4A2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是否带标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956F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单价（元</w:t>
            </w:r>
            <w:r>
              <w:rPr>
                <w:rStyle w:val="11"/>
                <w:lang w:val="en-US" w:eastAsia="zh-CN" w:bidi="ar"/>
              </w:rPr>
              <w:t>/</w:t>
            </w:r>
            <w:r>
              <w:rPr>
                <w:rStyle w:val="12"/>
                <w:lang w:val="en-US" w:eastAsia="zh-CN" w:bidi="ar"/>
              </w:rPr>
              <w:t>台）</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10C9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小计（元）</w:t>
            </w:r>
          </w:p>
        </w:tc>
      </w:tr>
      <w:tr w14:paraId="79A66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6B39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899F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便携式溶解氧测定仪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FD3A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德国</w:t>
            </w:r>
            <w:r>
              <w:rPr>
                <w:rStyle w:val="11"/>
                <w:lang w:val="en-US" w:eastAsia="zh-CN" w:bidi="ar"/>
              </w:rPr>
              <w:t>WTW</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8456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9E39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Qxi3310</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83EE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272D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53CE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8AB8ED">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120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AB8E19">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120</w:t>
            </w:r>
          </w:p>
        </w:tc>
      </w:tr>
      <w:tr w14:paraId="2C014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6DB8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F827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多参数水质分析仪（含消解炉）</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30A6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连华科技</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FBC4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24DC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5B-6C</w:t>
            </w:r>
            <w:r>
              <w:rPr>
                <w:rStyle w:val="12"/>
                <w:lang w:val="en-US" w:eastAsia="zh-CN" w:bidi="ar"/>
              </w:rPr>
              <w:t>（</w:t>
            </w:r>
            <w:r>
              <w:rPr>
                <w:rStyle w:val="11"/>
                <w:lang w:val="en-US" w:eastAsia="zh-CN" w:bidi="ar"/>
              </w:rPr>
              <w:t>V11</w:t>
            </w:r>
            <w:r>
              <w:rPr>
                <w:rStyle w:val="12"/>
                <w:lang w:val="en-US" w:eastAsia="zh-CN" w:bidi="ar"/>
              </w:rPr>
              <w:t>）</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9B88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DC2D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C272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510E2F">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200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3662E2">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200</w:t>
            </w:r>
          </w:p>
        </w:tc>
      </w:tr>
      <w:tr w14:paraId="299AC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29EF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0761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BOD</w:t>
            </w:r>
            <w:r>
              <w:rPr>
                <w:rStyle w:val="12"/>
                <w:lang w:val="en-US" w:eastAsia="zh-CN" w:bidi="ar"/>
              </w:rPr>
              <w:t>分析仪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6950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连华科技</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FD76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FEBF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LH-BOD601</w:t>
            </w:r>
            <w:r>
              <w:rPr>
                <w:rStyle w:val="12"/>
                <w:lang w:val="en-US" w:eastAsia="zh-CN" w:bidi="ar"/>
              </w:rPr>
              <w:t>（</w:t>
            </w:r>
            <w:r>
              <w:rPr>
                <w:rStyle w:val="11"/>
                <w:lang w:val="en-US" w:eastAsia="zh-CN" w:bidi="ar"/>
              </w:rPr>
              <w:t>SL</w:t>
            </w:r>
            <w:r>
              <w:rPr>
                <w:rStyle w:val="12"/>
                <w:lang w:val="en-US" w:eastAsia="zh-CN" w:bidi="ar"/>
              </w:rPr>
              <w:t>）</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73B4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3DE1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3DFD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EE0F14">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120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FA267A">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120</w:t>
            </w:r>
          </w:p>
        </w:tc>
      </w:tr>
      <w:tr w14:paraId="3D91F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AECF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52DE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生化培养箱</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1710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北京林茂</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53AD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CFC4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SPX-150</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6941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5F99F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3AAB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A88687">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80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62F1BA">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80</w:t>
            </w:r>
          </w:p>
        </w:tc>
      </w:tr>
      <w:tr w14:paraId="1F275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7FFD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E776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沼气便携式分析仪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C563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霍尼韦尔</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7986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26EA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PGM-6208</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C97C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送检</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2DF8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2CC3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0181E2">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100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8FCBC6">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100</w:t>
            </w:r>
          </w:p>
        </w:tc>
      </w:tr>
      <w:tr w14:paraId="7A441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441E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52B2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手持式硫化氢检测仪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A9E2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霍尼韦尔</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6E1B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DC8F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PGM-1860</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B796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送检</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85962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EE268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257276">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100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441477">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100</w:t>
            </w:r>
          </w:p>
        </w:tc>
      </w:tr>
      <w:tr w14:paraId="271B2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2848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33FE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电子式湿温度计</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AC31E4">
            <w:pPr>
              <w:jc w:val="center"/>
              <w:rPr>
                <w:rFonts w:hint="eastAsia" w:ascii="宋体" w:hAnsi="宋体" w:eastAsia="宋体" w:cs="宋体"/>
                <w:i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FD4D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20891B">
            <w:pPr>
              <w:jc w:val="center"/>
              <w:rPr>
                <w:rFonts w:hint="eastAsia" w:ascii="宋体" w:hAnsi="宋体" w:eastAsia="宋体" w:cs="宋体"/>
                <w:i w:val="0"/>
                <w:color w:val="000000"/>
                <w:sz w:val="24"/>
                <w:szCs w:val="24"/>
                <w:u w:val="none"/>
              </w:rPr>
            </w:pP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D589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送检</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54BD4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1D07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DB9E4F">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30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C1354D">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30</w:t>
            </w:r>
          </w:p>
        </w:tc>
      </w:tr>
      <w:tr w14:paraId="02930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FE84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DEDF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电热恒温水浴锅</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C0B8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林茂科技</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9344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1434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DZKW-4</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A2CE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3DB3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AFE6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773E91">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60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D744D5">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60</w:t>
            </w:r>
          </w:p>
        </w:tc>
      </w:tr>
      <w:tr w14:paraId="2138E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2C98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715A8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低速离心机</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C001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中佳</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287D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8D5A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SC-3612</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A0E3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1F74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9867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AC7892">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100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9FAAD1">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100</w:t>
            </w:r>
          </w:p>
        </w:tc>
      </w:tr>
      <w:tr w14:paraId="7CA3C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8DD413">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10</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ABF43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便携式溶解氧测定仪</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1741A4">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雷磁</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B102B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D58A9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JPB607A</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14:paraId="32A8CC96">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14:paraId="006B296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14:paraId="46E65E2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EEFD5F">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120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2315DA">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120</w:t>
            </w:r>
          </w:p>
        </w:tc>
      </w:tr>
      <w:tr w14:paraId="7B365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2"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8BFED">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11</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C7849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便携式PH计</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2CDDA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雷磁</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81B22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7038E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PHB-4</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14:paraId="3FAE936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14:paraId="27105FD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14:paraId="4146E84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49F1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918580">
            <w:pPr>
              <w:keepNext w:val="0"/>
              <w:keepLines w:val="0"/>
              <w:widowControl/>
              <w:suppressLineNumbers w:val="0"/>
              <w:jc w:val="center"/>
              <w:textAlignment w:val="center"/>
              <w:rPr>
                <w:rFonts w:hint="eastAsia" w:ascii="宋体" w:hAnsi="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80</w:t>
            </w:r>
          </w:p>
        </w:tc>
      </w:tr>
      <w:tr w14:paraId="4C88D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2"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822E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 xml:space="preserve"> </w:t>
            </w:r>
          </w:p>
        </w:tc>
        <w:tc>
          <w:tcPr>
            <w:tcW w:w="9450"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F62761">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85D06D">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1110</w:t>
            </w:r>
          </w:p>
        </w:tc>
      </w:tr>
      <w:tr w14:paraId="103CA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8" w:hRule="atLeast"/>
          <w:jc w:val="center"/>
        </w:trPr>
        <w:tc>
          <w:tcPr>
            <w:tcW w:w="11460"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520E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炉渣分析仪器</w:t>
            </w:r>
          </w:p>
        </w:tc>
      </w:tr>
      <w:tr w14:paraId="1768F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441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6132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名称</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2E78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制造单位</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8293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3838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型号</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8576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服务方式（现场</w:t>
            </w:r>
            <w:r>
              <w:rPr>
                <w:rStyle w:val="11"/>
                <w:lang w:val="en-US" w:eastAsia="zh-CN" w:bidi="ar"/>
              </w:rPr>
              <w:t>/</w:t>
            </w:r>
            <w:r>
              <w:rPr>
                <w:rStyle w:val="12"/>
                <w:lang w:val="en-US" w:eastAsia="zh-CN" w:bidi="ar"/>
              </w:rPr>
              <w:t>送检）</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2937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证书类型（校准</w:t>
            </w:r>
            <w:r>
              <w:rPr>
                <w:rStyle w:val="11"/>
                <w:lang w:val="en-US" w:eastAsia="zh-CN" w:bidi="ar"/>
              </w:rPr>
              <w:t>/</w:t>
            </w:r>
            <w:r>
              <w:rPr>
                <w:rStyle w:val="12"/>
                <w:lang w:val="en-US" w:eastAsia="zh-CN" w:bidi="ar"/>
              </w:rPr>
              <w:t>检定）</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4F7F1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是否带标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E6B03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单价（元</w:t>
            </w:r>
            <w:r>
              <w:rPr>
                <w:rStyle w:val="11"/>
                <w:lang w:val="en-US" w:eastAsia="zh-CN" w:bidi="ar"/>
              </w:rPr>
              <w:t>/</w:t>
            </w:r>
            <w:r>
              <w:rPr>
                <w:rStyle w:val="12"/>
                <w:lang w:val="en-US" w:eastAsia="zh-CN" w:bidi="ar"/>
              </w:rPr>
              <w:t>台）</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D2A9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小计（元）</w:t>
            </w:r>
          </w:p>
        </w:tc>
      </w:tr>
      <w:tr w14:paraId="44846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7"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D8A1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1C3A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制样粉碎机</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7347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湖南三德</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89A2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4118A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SDPP1*100t</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1DBD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37DA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43B0C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AD9801">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31E4D7">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60</w:t>
            </w:r>
          </w:p>
        </w:tc>
      </w:tr>
      <w:tr w14:paraId="5F1C6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D275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3082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标准筛振筛机</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3713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湖南三德</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90A6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EE52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SDNS300t</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FB64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08E4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B781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6592B2">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BCA391">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60</w:t>
            </w:r>
          </w:p>
        </w:tc>
      </w:tr>
      <w:tr w14:paraId="6AFC0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7"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8525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CFAE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电热板</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2AB7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林茂科技</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7B06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2522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SXML-2-4</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5C7A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72C8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FDF8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B7CD69">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352EB9">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80</w:t>
            </w:r>
          </w:p>
        </w:tc>
      </w:tr>
      <w:tr w14:paraId="598E7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jc w:val="center"/>
        </w:trPr>
        <w:tc>
          <w:tcPr>
            <w:tcW w:w="64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729D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31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17FF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智能马弗炉</w:t>
            </w:r>
          </w:p>
        </w:tc>
        <w:tc>
          <w:tcPr>
            <w:tcW w:w="10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8F3E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湖南三德</w:t>
            </w:r>
          </w:p>
        </w:tc>
        <w:tc>
          <w:tcPr>
            <w:tcW w:w="104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376D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6F00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SDMF300</w:t>
            </w:r>
          </w:p>
        </w:tc>
        <w:tc>
          <w:tcPr>
            <w:tcW w:w="10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9791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CF42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67A8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6656F4">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p>
        </w:tc>
        <w:tc>
          <w:tcPr>
            <w:tcW w:w="136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068580">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100</w:t>
            </w:r>
          </w:p>
        </w:tc>
      </w:tr>
      <w:tr w14:paraId="5CD91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jc w:val="center"/>
        </w:trPr>
        <w:tc>
          <w:tcPr>
            <w:tcW w:w="64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6084EB">
            <w:pPr>
              <w:jc w:val="center"/>
              <w:rPr>
                <w:rFonts w:hint="eastAsia" w:ascii="宋体" w:hAnsi="宋体" w:eastAsia="宋体" w:cs="宋体"/>
                <w:i w:val="0"/>
                <w:color w:val="000000"/>
                <w:sz w:val="24"/>
                <w:szCs w:val="24"/>
                <w:u w:val="none"/>
              </w:rPr>
            </w:pPr>
          </w:p>
        </w:tc>
        <w:tc>
          <w:tcPr>
            <w:tcW w:w="131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F3E14B">
            <w:pPr>
              <w:jc w:val="center"/>
              <w:rPr>
                <w:rFonts w:hint="eastAsia" w:ascii="宋体" w:hAnsi="宋体" w:eastAsia="宋体" w:cs="宋体"/>
                <w:i w:val="0"/>
                <w:color w:val="000000"/>
                <w:sz w:val="24"/>
                <w:szCs w:val="24"/>
                <w:u w:val="none"/>
              </w:rPr>
            </w:pPr>
          </w:p>
        </w:tc>
        <w:tc>
          <w:tcPr>
            <w:tcW w:w="10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81C339">
            <w:pPr>
              <w:jc w:val="center"/>
              <w:rPr>
                <w:rFonts w:hint="eastAsia" w:ascii="宋体" w:hAnsi="宋体" w:eastAsia="宋体" w:cs="宋体"/>
                <w:i w:val="0"/>
                <w:color w:val="000000"/>
                <w:sz w:val="24"/>
                <w:szCs w:val="24"/>
                <w:u w:val="none"/>
              </w:rPr>
            </w:pPr>
          </w:p>
        </w:tc>
        <w:tc>
          <w:tcPr>
            <w:tcW w:w="104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00ACE2">
            <w:pPr>
              <w:jc w:val="center"/>
              <w:rPr>
                <w:rFonts w:hint="eastAsia" w:ascii="宋体" w:hAnsi="宋体" w:eastAsia="宋体" w:cs="宋体"/>
                <w:i w:val="0"/>
                <w:color w:val="000000"/>
                <w:sz w:val="24"/>
                <w:szCs w:val="24"/>
                <w:u w:val="none"/>
              </w:rPr>
            </w:pPr>
          </w:p>
        </w:tc>
        <w:tc>
          <w:tcPr>
            <w:tcW w:w="135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18A933">
            <w:pPr>
              <w:jc w:val="center"/>
              <w:rPr>
                <w:rFonts w:hint="eastAsia" w:ascii="宋体" w:hAnsi="宋体" w:eastAsia="宋体" w:cs="宋体"/>
                <w:i w:val="0"/>
                <w:color w:val="000000"/>
                <w:sz w:val="24"/>
                <w:szCs w:val="24"/>
                <w:u w:val="none"/>
              </w:rPr>
            </w:pPr>
          </w:p>
        </w:tc>
        <w:tc>
          <w:tcPr>
            <w:tcW w:w="10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0A090A">
            <w:pPr>
              <w:jc w:val="center"/>
              <w:rPr>
                <w:rFonts w:hint="eastAsia" w:ascii="宋体" w:hAnsi="宋体" w:eastAsia="宋体" w:cs="宋体"/>
                <w:i w:val="0"/>
                <w:color w:val="000000"/>
                <w:sz w:val="24"/>
                <w:szCs w:val="24"/>
                <w:u w:val="none"/>
              </w:rPr>
            </w:pPr>
          </w:p>
        </w:tc>
        <w:tc>
          <w:tcPr>
            <w:tcW w:w="152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66BDE4">
            <w:pPr>
              <w:jc w:val="center"/>
              <w:rPr>
                <w:rFonts w:hint="eastAsia" w:ascii="宋体" w:hAnsi="宋体" w:eastAsia="宋体" w:cs="宋体"/>
                <w:i w:val="0"/>
                <w:color w:val="000000"/>
                <w:sz w:val="24"/>
                <w:szCs w:val="24"/>
                <w:u w:val="none"/>
              </w:rPr>
            </w:pPr>
          </w:p>
        </w:tc>
        <w:tc>
          <w:tcPr>
            <w:tcW w:w="104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60D9DA">
            <w:pPr>
              <w:jc w:val="center"/>
              <w:rPr>
                <w:rFonts w:hint="eastAsia" w:ascii="宋体" w:hAnsi="宋体" w:eastAsia="宋体" w:cs="宋体"/>
                <w:i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BD877B">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p>
        </w:tc>
        <w:tc>
          <w:tcPr>
            <w:tcW w:w="13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979BC">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p>
        </w:tc>
      </w:tr>
      <w:tr w14:paraId="345B2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3256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5D20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电子天平</w:t>
            </w:r>
            <w:r>
              <w:rPr>
                <w:rStyle w:val="11"/>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C1678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赛多利斯</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E796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A97D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GL623i-1SCN</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B916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DBA6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B55D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39C832">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6E27F2">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60</w:t>
            </w:r>
          </w:p>
        </w:tc>
      </w:tr>
      <w:tr w14:paraId="70A1C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531A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0C2D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真空抽滤泵</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B83B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林茂科技</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6593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F851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2XZ-0.5</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A2A8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5DA4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E1CF1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90CC42">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7F9719">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100</w:t>
            </w:r>
          </w:p>
        </w:tc>
      </w:tr>
      <w:tr w14:paraId="1773B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9"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D2C4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E5C7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电热鼓风干燥箱</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A61E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泰斯特</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E9FE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5D72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WGL-125B</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4B8F7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8CD3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ADF8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BBBCCA">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1A1218">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80</w:t>
            </w:r>
          </w:p>
        </w:tc>
      </w:tr>
      <w:tr w14:paraId="3E9F0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7"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6500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06B8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全自动温控数显翻转振荡器</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077F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精科诚创（北京）</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0557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r>
              <w:rPr>
                <w:rStyle w:val="12"/>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086F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HK-318</w:t>
            </w:r>
          </w:p>
        </w:tc>
        <w:tc>
          <w:tcPr>
            <w:tcW w:w="1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385B7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现场</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6DD6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校准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0815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7342AE">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2268AC">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60</w:t>
            </w:r>
          </w:p>
        </w:tc>
      </w:tr>
      <w:tr w14:paraId="4FE8F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7"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1D2F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 xml:space="preserve"> </w:t>
            </w:r>
          </w:p>
        </w:tc>
        <w:tc>
          <w:tcPr>
            <w:tcW w:w="9450"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DC0EA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39F782">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600</w:t>
            </w:r>
          </w:p>
        </w:tc>
      </w:tr>
      <w:tr w14:paraId="68612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53" w:hRule="atLeast"/>
          <w:jc w:val="center"/>
        </w:trPr>
        <w:tc>
          <w:tcPr>
            <w:tcW w:w="6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2A4723">
            <w:pPr>
              <w:jc w:val="center"/>
              <w:rPr>
                <w:rFonts w:hint="eastAsia" w:ascii="宋体" w:hAnsi="宋体" w:eastAsia="宋体" w:cs="宋体"/>
                <w:i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B81072">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总计</w:t>
            </w:r>
            <w:r>
              <w:rPr>
                <w:rFonts w:hint="eastAsia" w:ascii="宋体" w:hAnsi="宋体" w:cs="宋体"/>
                <w:i w:val="0"/>
                <w:color w:val="000000"/>
                <w:kern w:val="0"/>
                <w:sz w:val="24"/>
                <w:szCs w:val="24"/>
                <w:u w:val="none"/>
                <w:lang w:val="en-US" w:eastAsia="zh-CN" w:bidi="ar"/>
              </w:rPr>
              <w:t>（元）</w:t>
            </w:r>
          </w:p>
        </w:tc>
        <w:tc>
          <w:tcPr>
            <w:tcW w:w="8138"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287D75">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以上单价包含检测费、人工费、报告费、差旅费、邮寄费、税费等一切费用</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4E43CB">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4810</w:t>
            </w:r>
          </w:p>
        </w:tc>
      </w:tr>
    </w:tbl>
    <w:p w14:paraId="7B76CC14">
      <w:pPr>
        <w:rPr>
          <w:rFonts w:hint="eastAsia"/>
          <w:sz w:val="28"/>
          <w:szCs w:val="28"/>
          <w:lang w:val="en-US" w:eastAsia="zh-CN"/>
        </w:rPr>
        <w:sectPr>
          <w:pgSz w:w="16838" w:h="11906" w:orient="landscape"/>
          <w:pgMar w:top="1440" w:right="748" w:bottom="624" w:left="901" w:header="454" w:footer="533" w:gutter="0"/>
          <w:pgNumType w:fmt="decimal"/>
          <w:cols w:space="720" w:num="1"/>
          <w:docGrid w:type="lines" w:linePitch="312" w:charSpace="0"/>
        </w:sectPr>
      </w:pPr>
    </w:p>
    <w:p w14:paraId="01C8786D">
      <w:pPr>
        <w:pStyle w:val="4"/>
        <w:snapToGrid w:val="0"/>
        <w:spacing w:line="360" w:lineRule="auto"/>
        <w:ind w:left="420" w:leftChars="200" w:right="290"/>
        <w:rPr>
          <w:bCs/>
          <w:u w:val="single"/>
        </w:rPr>
      </w:pPr>
      <w:r>
        <w:rPr>
          <w:rFonts w:hint="eastAsia"/>
          <w:sz w:val="28"/>
          <w:szCs w:val="28"/>
          <w:lang w:val="en-US" w:eastAsia="zh-CN"/>
        </w:rPr>
        <w:t>附件三、</w:t>
      </w:r>
      <w:bookmarkStart w:id="9" w:name="_Toc248027862"/>
    </w:p>
    <w:p w14:paraId="12F34448">
      <w:pPr>
        <w:pStyle w:val="4"/>
        <w:snapToGrid w:val="0"/>
        <w:spacing w:line="360" w:lineRule="auto"/>
        <w:ind w:left="0" w:leftChars="0" w:right="290"/>
        <w:rPr>
          <w:rFonts w:hint="eastAsia"/>
          <w:bCs/>
          <w:u w:val="single"/>
        </w:rPr>
      </w:pPr>
    </w:p>
    <w:p w14:paraId="714CDA2E">
      <w:pPr>
        <w:pStyle w:val="4"/>
        <w:snapToGrid w:val="0"/>
        <w:spacing w:line="360" w:lineRule="auto"/>
        <w:ind w:left="420" w:leftChars="200" w:right="290"/>
        <w:jc w:val="center"/>
        <w:rPr>
          <w:rFonts w:hint="eastAsia" w:ascii="黑体" w:hAnsi="黑体" w:eastAsia="黑体"/>
          <w:b/>
          <w:sz w:val="44"/>
          <w:szCs w:val="44"/>
        </w:rPr>
      </w:pPr>
      <w:r>
        <w:rPr>
          <w:rFonts w:hint="eastAsia" w:ascii="黑体" w:hAnsi="黑体" w:eastAsia="黑体"/>
          <w:b/>
          <w:sz w:val="44"/>
          <w:szCs w:val="44"/>
        </w:rPr>
        <w:t>安健环协议</w:t>
      </w:r>
      <w:bookmarkEnd w:id="9"/>
    </w:p>
    <w:p w14:paraId="2DAE7834">
      <w:pPr>
        <w:pStyle w:val="4"/>
        <w:snapToGrid w:val="0"/>
        <w:ind w:left="420" w:leftChars="200" w:right="290"/>
        <w:rPr>
          <w:lang w:val="en-GB"/>
        </w:rPr>
      </w:pPr>
    </w:p>
    <w:p w14:paraId="068FF55A">
      <w:pPr>
        <w:pStyle w:val="4"/>
        <w:snapToGrid w:val="0"/>
        <w:spacing w:line="360" w:lineRule="auto"/>
        <w:ind w:left="422" w:leftChars="0" w:right="290" w:hanging="422" w:hangingChars="200"/>
        <w:rPr>
          <w:rFonts w:hint="eastAsia"/>
          <w:b/>
          <w:u w:val="none"/>
          <w:lang w:val="en-GB"/>
        </w:rPr>
      </w:pPr>
      <w:r>
        <w:rPr>
          <w:rFonts w:hint="eastAsia"/>
          <w:b/>
          <w:lang w:val="en-GB"/>
        </w:rPr>
        <w:t>项目名称：</w:t>
      </w:r>
      <w:r>
        <w:rPr>
          <w:rFonts w:hint="eastAsia"/>
          <w:b/>
          <w:u w:val="single"/>
          <w:lang w:val="en-GB"/>
        </w:rPr>
        <w:t>阳朔县深能环保有限公司202</w:t>
      </w:r>
      <w:r>
        <w:rPr>
          <w:rFonts w:hint="eastAsia"/>
          <w:b/>
          <w:u w:val="single"/>
          <w:lang w:val="en-US" w:eastAsia="zh-CN"/>
        </w:rPr>
        <w:t>6</w:t>
      </w:r>
      <w:r>
        <w:rPr>
          <w:rFonts w:hint="eastAsia"/>
          <w:b/>
          <w:u w:val="single"/>
          <w:lang w:val="en-GB"/>
        </w:rPr>
        <w:t xml:space="preserve">年实验室仪器校准服务合同    </w:t>
      </w:r>
    </w:p>
    <w:p w14:paraId="688D0D0F">
      <w:pPr>
        <w:pStyle w:val="4"/>
        <w:snapToGrid w:val="0"/>
        <w:spacing w:line="360" w:lineRule="auto"/>
        <w:ind w:left="420" w:leftChars="200" w:right="290"/>
        <w:rPr>
          <w:rFonts w:hint="eastAsia"/>
          <w:b/>
          <w:lang w:val="en-GB"/>
        </w:rPr>
      </w:pPr>
      <w:r>
        <w:rPr>
          <w:rFonts w:hint="eastAsia"/>
          <w:b/>
          <w:lang w:val="en-GB"/>
        </w:rPr>
        <w:t>甲方（发包方）：</w:t>
      </w:r>
      <w:r>
        <w:rPr>
          <w:rFonts w:hint="eastAsia"/>
          <w:b/>
          <w:lang w:val="en-US" w:eastAsia="zh-CN"/>
        </w:rPr>
        <w:t>阳朔县深能环保有限公司</w:t>
      </w:r>
      <w:r>
        <w:rPr>
          <w:b/>
          <w:lang w:val="en-GB"/>
        </w:rPr>
        <w:t xml:space="preserve">            </w:t>
      </w:r>
    </w:p>
    <w:p w14:paraId="46E1B6C2">
      <w:pPr>
        <w:pStyle w:val="4"/>
        <w:snapToGrid w:val="0"/>
        <w:spacing w:line="360" w:lineRule="auto"/>
        <w:ind w:left="420" w:leftChars="200" w:right="290"/>
        <w:rPr>
          <w:lang w:val="en-GB"/>
        </w:rPr>
      </w:pPr>
      <w:r>
        <w:rPr>
          <w:rFonts w:hint="eastAsia"/>
          <w:b/>
          <w:lang w:val="en-GB"/>
        </w:rPr>
        <w:t>乙方（承包方）</w:t>
      </w:r>
      <w:r>
        <w:rPr>
          <w:rFonts w:hint="eastAsia"/>
          <w:b w:val="0"/>
          <w:bCs/>
          <w:lang w:val="en-GB"/>
        </w:rPr>
        <w:t>：</w:t>
      </w:r>
      <w:r>
        <w:rPr>
          <w:rFonts w:hint="eastAsia"/>
          <w:b/>
          <w:lang w:val="en-GB" w:eastAsia="zh-CN"/>
        </w:rPr>
        <w:t>长沙华维检测技术有限公司</w:t>
      </w:r>
      <w:r>
        <w:rPr>
          <w:rFonts w:hint="eastAsia"/>
          <w:b/>
          <w:lang w:val="en-US" w:eastAsia="zh-CN"/>
        </w:rPr>
        <w:t xml:space="preserve">  </w:t>
      </w:r>
      <w:r>
        <w:rPr>
          <w:rFonts w:hint="eastAsia"/>
          <w:b/>
          <w:lang w:val="en-GB" w:eastAsia="zh-CN"/>
        </w:rPr>
        <w:t xml:space="preserve">  </w:t>
      </w:r>
      <w:r>
        <w:rPr>
          <w:rFonts w:hint="eastAsia"/>
          <w:lang w:val="en-GB"/>
        </w:rPr>
        <w:t xml:space="preserve">                  </w:t>
      </w:r>
    </w:p>
    <w:p w14:paraId="096C624F">
      <w:pPr>
        <w:pStyle w:val="4"/>
        <w:snapToGrid w:val="0"/>
        <w:spacing w:line="360" w:lineRule="auto"/>
        <w:ind w:left="420" w:leftChars="200" w:right="290"/>
        <w:rPr>
          <w:rFonts w:hint="eastAsia"/>
        </w:rPr>
      </w:pPr>
    </w:p>
    <w:p w14:paraId="4994B3E9">
      <w:pPr>
        <w:pStyle w:val="4"/>
        <w:snapToGrid w:val="0"/>
        <w:spacing w:line="360" w:lineRule="auto"/>
        <w:ind w:left="0" w:leftChars="0" w:right="290" w:firstLine="495" w:firstLineChars="236"/>
        <w:rPr>
          <w:rFonts w:hint="eastAsia"/>
        </w:rPr>
      </w:pPr>
      <w:r>
        <w:rPr>
          <w:rFonts w:hint="eastAsia"/>
        </w:rPr>
        <w:t>为加强承包项目实施过程中安全、职业健康和环境保护（简称安健环</w:t>
      </w:r>
      <w:r>
        <w:t>）</w:t>
      </w:r>
      <w:r>
        <w:rPr>
          <w:rFonts w:hint="eastAsia"/>
        </w:rPr>
        <w:t>管理，明确甲乙双方安健环管理职责、应当采取的措施、违约责任及违约金扣缴或处罚等内容，</w:t>
      </w:r>
      <w:r>
        <w:t>最大限度地减少事故、职业病和环境污染的发生</w:t>
      </w:r>
      <w:r>
        <w:rPr>
          <w:rFonts w:hint="eastAsia"/>
        </w:rPr>
        <w:t>，根据国家、行业有关法律法规和规范性文件要求，结合承包工程项目特点，经双方协商一致签订本协议，并严格遵守。</w:t>
      </w:r>
    </w:p>
    <w:p w14:paraId="031438F5">
      <w:pPr>
        <w:pStyle w:val="4"/>
        <w:numPr>
          <w:ilvl w:val="0"/>
          <w:numId w:val="6"/>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定义与解释</w:t>
      </w:r>
    </w:p>
    <w:p w14:paraId="014C3549">
      <w:pPr>
        <w:pStyle w:val="4"/>
        <w:numPr>
          <w:ilvl w:val="0"/>
          <w:numId w:val="7"/>
        </w:numPr>
        <w:snapToGrid w:val="0"/>
        <w:spacing w:line="360" w:lineRule="auto"/>
        <w:ind w:left="0" w:leftChars="0" w:right="290" w:firstLine="567"/>
        <w:rPr>
          <w:rFonts w:hint="eastAsia"/>
        </w:rPr>
      </w:pPr>
      <w:r>
        <w:rPr>
          <w:rFonts w:hint="eastAsia"/>
        </w:rPr>
        <w:t>定义：(以下定义适用于本协议）</w:t>
      </w:r>
    </w:p>
    <w:p w14:paraId="6CFD02FC">
      <w:pPr>
        <w:pStyle w:val="4"/>
        <w:snapToGrid w:val="0"/>
        <w:spacing w:line="360" w:lineRule="auto"/>
        <w:ind w:left="0" w:leftChars="0" w:right="290" w:firstLine="495" w:firstLineChars="235"/>
        <w:rPr>
          <w:rFonts w:hint="eastAsia"/>
        </w:rPr>
      </w:pPr>
      <w:r>
        <w:rPr>
          <w:rFonts w:hint="eastAsia"/>
          <w:b/>
        </w:rPr>
        <w:t>中国</w:t>
      </w:r>
      <w:r>
        <w:rPr>
          <w:rFonts w:hint="eastAsia"/>
        </w:rPr>
        <w:t>或</w:t>
      </w:r>
      <w:r>
        <w:rPr>
          <w:rFonts w:hint="eastAsia"/>
          <w:b/>
        </w:rPr>
        <w:t>国家</w:t>
      </w:r>
      <w:r>
        <w:rPr>
          <w:rFonts w:hint="eastAsia"/>
        </w:rPr>
        <w:t>：指中华人民共和国，仅为本协议之目的，不包括香港特别行政区、澳门特别行政区和台湾地区。</w:t>
      </w:r>
    </w:p>
    <w:p w14:paraId="64CE2466">
      <w:pPr>
        <w:pStyle w:val="4"/>
        <w:snapToGrid w:val="0"/>
        <w:spacing w:line="360" w:lineRule="auto"/>
        <w:ind w:left="0" w:leftChars="0" w:right="290" w:firstLine="495" w:firstLineChars="235"/>
        <w:rPr>
          <w:rFonts w:hint="eastAsia"/>
        </w:rPr>
      </w:pPr>
      <w:r>
        <w:rPr>
          <w:rFonts w:hint="eastAsia"/>
          <w:b/>
        </w:rPr>
        <w:t>法律</w:t>
      </w:r>
      <w:r>
        <w:rPr>
          <w:rFonts w:hint="eastAsia"/>
        </w:rPr>
        <w:t>：指所有适用的中国法律、行政法规、规章、自治条例、单行条例、地方性法规、司法解释及其它有法律约束力的规范性文件。本协议适用之法律包括签订生效时已现行发布实施之法律及日后进行重新修订、修改、废除等变更后之法律。</w:t>
      </w:r>
    </w:p>
    <w:p w14:paraId="69DBCD2F">
      <w:pPr>
        <w:pStyle w:val="4"/>
        <w:snapToGrid w:val="0"/>
        <w:spacing w:line="360" w:lineRule="auto"/>
        <w:ind w:left="0" w:leftChars="0" w:right="290" w:firstLine="495" w:firstLineChars="235"/>
        <w:rPr>
          <w:rFonts w:hint="eastAsia"/>
        </w:rPr>
      </w:pPr>
      <w:r>
        <w:rPr>
          <w:rFonts w:hint="eastAsia"/>
          <w:b/>
        </w:rPr>
        <w:t>法律变更：</w:t>
      </w:r>
      <w:r>
        <w:rPr>
          <w:rFonts w:hint="eastAsia"/>
        </w:rPr>
        <w:t>指在生效日后，中华人民共和国任何立法机构、政府部门或司法机关对本协议生效时所适用的法律、法规、规章、规范性文件</w:t>
      </w:r>
      <w:r>
        <w:t>(</w:t>
      </w:r>
      <w:r>
        <w:rPr>
          <w:rFonts w:hint="eastAsia"/>
        </w:rPr>
        <w:t>包括但不限于与履行本协议有关的各种标准）进行重新修订、修改、废除的情况。还包括项目所在地政府、上级管理部门、甲方及与本协议履行有关的行政机关对现行规范性文件的修改。</w:t>
      </w:r>
    </w:p>
    <w:p w14:paraId="5F411D10">
      <w:pPr>
        <w:pStyle w:val="4"/>
        <w:snapToGrid w:val="0"/>
        <w:spacing w:line="360" w:lineRule="auto"/>
        <w:ind w:left="2" w:leftChars="0" w:right="290" w:firstLine="493" w:firstLineChars="234"/>
        <w:rPr>
          <w:rFonts w:hint="eastAsia"/>
        </w:rPr>
      </w:pPr>
      <w:r>
        <w:rPr>
          <w:rFonts w:hint="eastAsia"/>
          <w:b/>
        </w:rPr>
        <w:t>安健环：</w:t>
      </w:r>
      <w:r>
        <w:rPr>
          <w:rFonts w:hint="eastAsia"/>
        </w:rPr>
        <w:t>指</w:t>
      </w:r>
      <w:r>
        <w:t>安全（safe）、</w:t>
      </w:r>
      <w:r>
        <w:rPr>
          <w:rFonts w:hint="eastAsia"/>
        </w:rPr>
        <w:t>职业</w:t>
      </w:r>
      <w:r>
        <w:t>健康（health）、</w:t>
      </w:r>
      <w:r>
        <w:rPr>
          <w:rFonts w:hint="eastAsia"/>
        </w:rPr>
        <w:t>环境保护</w:t>
      </w:r>
      <w:r>
        <w:t>（environment）</w:t>
      </w:r>
      <w:r>
        <w:rPr>
          <w:rFonts w:hint="eastAsia"/>
        </w:rPr>
        <w:t>，</w:t>
      </w:r>
      <w:r>
        <w:t>安健环（SHE）管理体系是指建立起一种通过系统化的预防管理机制，彻底消除各种事故、环境和职业病隐患，以便最大限度地减少事故、环境污染和职业病的发生，从而达到改善企业安全、环境与健康业绩的管理方法。</w:t>
      </w:r>
    </w:p>
    <w:p w14:paraId="375E3D19">
      <w:pPr>
        <w:pStyle w:val="4"/>
        <w:snapToGrid w:val="0"/>
        <w:spacing w:line="360" w:lineRule="auto"/>
        <w:ind w:left="0" w:leftChars="0" w:right="290" w:firstLine="495" w:firstLineChars="235"/>
        <w:rPr>
          <w:rFonts w:hint="eastAsia"/>
          <w:b/>
        </w:rPr>
      </w:pPr>
      <w:r>
        <w:rPr>
          <w:rFonts w:hint="eastAsia"/>
          <w:b/>
        </w:rPr>
        <w:t>协议</w:t>
      </w:r>
      <w:r>
        <w:rPr>
          <w:rFonts w:hint="eastAsia"/>
        </w:rPr>
        <w:t>或</w:t>
      </w:r>
      <w:r>
        <w:rPr>
          <w:rFonts w:hint="eastAsia"/>
          <w:b/>
        </w:rPr>
        <w:t>本协议</w:t>
      </w:r>
      <w:r>
        <w:rPr>
          <w:rFonts w:hint="eastAsia"/>
        </w:rPr>
        <w:t>：指甲方与乙方之间签订的本《安健环协议》（包含其附件）和目前及日后签订生效的任何承包项目的具体业务合同（包含其附件，简称为项目合同），以及本《安健环协议》和各项目合同两方面日后可能签订之补充协议和附件，上述每一文件均被视为本安健环协议不可分割的一部分。</w:t>
      </w:r>
    </w:p>
    <w:p w14:paraId="6047D7C6">
      <w:pPr>
        <w:pStyle w:val="4"/>
        <w:snapToGrid w:val="0"/>
        <w:spacing w:line="360" w:lineRule="auto"/>
        <w:ind w:left="0" w:leftChars="0" w:right="290" w:firstLine="495" w:firstLineChars="235"/>
        <w:rPr>
          <w:rFonts w:hint="eastAsia"/>
        </w:rPr>
      </w:pPr>
      <w:r>
        <w:rPr>
          <w:rFonts w:hint="eastAsia"/>
          <w:b/>
        </w:rPr>
        <w:t>项目</w:t>
      </w:r>
      <w:r>
        <w:rPr>
          <w:rFonts w:hint="eastAsia"/>
        </w:rPr>
        <w:t>：指在本协议签订生效至双方另行签订更新版本的安健环协议生效而被取代之日前，经甲方（发包方）交由乙方(承包方)进行具体承包负责实施完成的建设施工和生产运行阶段每一个业务项目合同范围及内容，也简称为本项目或外包项目或工程项目等。</w:t>
      </w:r>
    </w:p>
    <w:p w14:paraId="6B256952">
      <w:pPr>
        <w:pStyle w:val="4"/>
        <w:snapToGrid w:val="0"/>
        <w:spacing w:line="360" w:lineRule="auto"/>
        <w:ind w:left="0" w:leftChars="0" w:right="290" w:firstLine="495" w:firstLineChars="235"/>
        <w:rPr>
          <w:rFonts w:hint="eastAsia"/>
        </w:rPr>
      </w:pPr>
      <w:r>
        <w:rPr>
          <w:rFonts w:hint="eastAsia"/>
          <w:b/>
        </w:rPr>
        <w:t>现场</w:t>
      </w:r>
      <w:r>
        <w:rPr>
          <w:rFonts w:hint="eastAsia"/>
        </w:rPr>
        <w:t>：指在本协议项目</w:t>
      </w:r>
      <w:r>
        <w:rPr>
          <w:rFonts w:hint="eastAsia"/>
          <w:color w:val="auto"/>
          <w:u w:val="single"/>
          <w:lang w:val="en-US" w:eastAsia="zh-CN"/>
        </w:rPr>
        <w:t>实施及</w:t>
      </w:r>
      <w:r>
        <w:rPr>
          <w:rFonts w:hint="eastAsia"/>
        </w:rPr>
        <w:t>甲方（发包方）办公区域、施工场地、厂区范围内的场所或地点。</w:t>
      </w:r>
    </w:p>
    <w:p w14:paraId="225D0E3F">
      <w:pPr>
        <w:pStyle w:val="4"/>
        <w:numPr>
          <w:ilvl w:val="0"/>
          <w:numId w:val="7"/>
        </w:numPr>
        <w:snapToGrid w:val="0"/>
        <w:spacing w:line="360" w:lineRule="auto"/>
        <w:ind w:left="0" w:leftChars="0" w:right="290" w:firstLine="567"/>
      </w:pPr>
      <w:r>
        <w:rPr>
          <w:rFonts w:hint="eastAsia"/>
        </w:rPr>
        <w:t>解释：(在本协议中，除非另有明确规定，以下释义适用)</w:t>
      </w:r>
    </w:p>
    <w:p w14:paraId="24059A51">
      <w:pPr>
        <w:pStyle w:val="4"/>
        <w:numPr>
          <w:ilvl w:val="0"/>
          <w:numId w:val="8"/>
        </w:numPr>
        <w:snapToGrid w:val="0"/>
        <w:spacing w:line="360" w:lineRule="auto"/>
        <w:ind w:left="0" w:leftChars="0" w:right="290" w:firstLine="567"/>
      </w:pPr>
      <w:r>
        <w:rPr>
          <w:rFonts w:hint="eastAsia"/>
        </w:rPr>
        <w:t>一方、双方指本协议的一方或双方，并且包括经允许的替代该方的人或该方的继承人或受让人；</w:t>
      </w:r>
    </w:p>
    <w:p w14:paraId="3047EF13">
      <w:pPr>
        <w:pStyle w:val="4"/>
        <w:numPr>
          <w:ilvl w:val="0"/>
          <w:numId w:val="8"/>
        </w:numPr>
        <w:snapToGrid w:val="0"/>
        <w:spacing w:line="360" w:lineRule="auto"/>
        <w:ind w:left="0" w:leftChars="0" w:right="290" w:firstLine="567"/>
      </w:pPr>
      <w:r>
        <w:rPr>
          <w:rFonts w:hint="eastAsia"/>
        </w:rPr>
        <w:t>条款或附件指本协议的条款或附件；</w:t>
      </w:r>
    </w:p>
    <w:p w14:paraId="6B1E0313">
      <w:pPr>
        <w:pStyle w:val="4"/>
        <w:numPr>
          <w:ilvl w:val="0"/>
          <w:numId w:val="8"/>
        </w:numPr>
        <w:snapToGrid w:val="0"/>
        <w:spacing w:line="360" w:lineRule="auto"/>
        <w:ind w:left="0" w:leftChars="0" w:right="290" w:firstLine="567"/>
      </w:pPr>
      <w:r>
        <w:rPr>
          <w:rFonts w:hint="eastAsia"/>
        </w:rPr>
        <w:t>“包括”均应理解为“包括但不限于”的意思；</w:t>
      </w:r>
    </w:p>
    <w:p w14:paraId="4B7220F9">
      <w:pPr>
        <w:pStyle w:val="4"/>
        <w:numPr>
          <w:ilvl w:val="0"/>
          <w:numId w:val="8"/>
        </w:numPr>
        <w:snapToGrid w:val="0"/>
        <w:spacing w:line="360" w:lineRule="auto"/>
        <w:ind w:left="0" w:leftChars="0" w:right="290" w:firstLine="567"/>
      </w:pPr>
      <w:r>
        <w:rPr>
          <w:rFonts w:hint="eastAsia"/>
        </w:rPr>
        <w:t>任何协议或文件还指经补充或替代后的该协议或文件；</w:t>
      </w:r>
    </w:p>
    <w:p w14:paraId="074D8599">
      <w:pPr>
        <w:pStyle w:val="4"/>
        <w:numPr>
          <w:ilvl w:val="0"/>
          <w:numId w:val="8"/>
        </w:numPr>
        <w:snapToGrid w:val="0"/>
        <w:spacing w:line="360" w:lineRule="auto"/>
        <w:ind w:left="0" w:leftChars="0" w:right="290" w:firstLine="567"/>
      </w:pPr>
      <w:r>
        <w:rPr>
          <w:rFonts w:hint="eastAsia"/>
        </w:rPr>
        <w:t>本协议指连同本协议附件、附录及附表在内的本协议，如本协议正文与附件、附录、附表冲突，以本协议正文为准；</w:t>
      </w:r>
    </w:p>
    <w:p w14:paraId="096FA15E">
      <w:pPr>
        <w:pStyle w:val="4"/>
        <w:numPr>
          <w:ilvl w:val="0"/>
          <w:numId w:val="8"/>
        </w:numPr>
        <w:snapToGrid w:val="0"/>
        <w:spacing w:line="360" w:lineRule="auto"/>
        <w:ind w:left="0" w:leftChars="0" w:right="290" w:firstLine="567"/>
      </w:pPr>
      <w:r>
        <w:rPr>
          <w:rFonts w:hint="eastAsia"/>
        </w:rPr>
        <w:t>标题仅供阅读方便而设，不应影响条文的解释。</w:t>
      </w:r>
    </w:p>
    <w:p w14:paraId="56BC39AD">
      <w:pPr>
        <w:pStyle w:val="4"/>
        <w:numPr>
          <w:ilvl w:val="0"/>
          <w:numId w:val="6"/>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总则</w:t>
      </w:r>
    </w:p>
    <w:p w14:paraId="7E82592E">
      <w:pPr>
        <w:pStyle w:val="4"/>
        <w:numPr>
          <w:ilvl w:val="0"/>
          <w:numId w:val="9"/>
        </w:numPr>
        <w:snapToGrid w:val="0"/>
        <w:spacing w:line="360" w:lineRule="auto"/>
        <w:ind w:left="0" w:leftChars="0" w:right="290" w:firstLine="567"/>
        <w:rPr>
          <w:rFonts w:hint="eastAsia"/>
        </w:rPr>
      </w:pPr>
      <w:r>
        <w:rPr>
          <w:rFonts w:hint="eastAsia"/>
        </w:rPr>
        <w:t>甲乙双方必须严格遵守安健环有关</w:t>
      </w:r>
      <w:r>
        <w:t>法律法规</w:t>
      </w:r>
      <w:r>
        <w:rPr>
          <w:rFonts w:hint="eastAsia"/>
        </w:rPr>
        <w:t>和规范性文件要求</w:t>
      </w:r>
      <w:r>
        <w:t>，依法承担</w:t>
      </w:r>
      <w:r>
        <w:rPr>
          <w:rFonts w:hint="eastAsia"/>
        </w:rPr>
        <w:t>安健环</w:t>
      </w:r>
      <w:r>
        <w:t>责任。</w:t>
      </w:r>
    </w:p>
    <w:p w14:paraId="3FDC1BD5">
      <w:pPr>
        <w:pStyle w:val="4"/>
        <w:numPr>
          <w:ilvl w:val="0"/>
          <w:numId w:val="9"/>
        </w:numPr>
        <w:snapToGrid w:val="0"/>
        <w:spacing w:line="360" w:lineRule="auto"/>
        <w:ind w:left="0" w:leftChars="0" w:right="290" w:firstLine="567"/>
        <w:rPr>
          <w:rFonts w:hint="eastAsia"/>
        </w:rPr>
      </w:pPr>
      <w:r>
        <w:rPr>
          <w:rFonts w:hint="eastAsia"/>
        </w:rPr>
        <w:t>甲乙双方履行</w:t>
      </w:r>
      <w:r>
        <w:t>法律</w:t>
      </w:r>
      <w:r>
        <w:rPr>
          <w:rFonts w:hint="eastAsia"/>
        </w:rPr>
        <w:t>法规和规范性文件要求的及项目承包合同和本协议约定应履行的安健环管理职责，采取必要的安健环措施，共同管理本项目实施过程中的安健环工作。</w:t>
      </w:r>
    </w:p>
    <w:p w14:paraId="240FBDAE">
      <w:pPr>
        <w:pStyle w:val="4"/>
        <w:numPr>
          <w:ilvl w:val="0"/>
          <w:numId w:val="9"/>
        </w:numPr>
        <w:snapToGrid w:val="0"/>
        <w:spacing w:line="360" w:lineRule="auto"/>
        <w:ind w:left="0" w:leftChars="0" w:right="290" w:firstLine="567"/>
        <w:rPr>
          <w:rFonts w:hint="eastAsia"/>
        </w:rPr>
      </w:pPr>
      <w:r>
        <w:rPr>
          <w:rFonts w:hint="eastAsia"/>
        </w:rPr>
        <w:t>甲方对承包项目具有安健环一票否决权。乙方在项目实施过程中未切实履行有关安健环管理职责、未有效落实有关安健环措施，危及生命财产安全、危及甲方安全生产或可能造成环境污染事故或事件的，甲方可勒令乙方整改、停止作业、</w:t>
      </w:r>
      <w:r>
        <w:t>停工</w:t>
      </w:r>
      <w:r>
        <w:rPr>
          <w:rFonts w:hint="eastAsia"/>
        </w:rPr>
        <w:t>整顿直至解除项目合同，可采取通报批评、</w:t>
      </w:r>
      <w:r>
        <w:t>警告</w:t>
      </w:r>
      <w:r>
        <w:rPr>
          <w:rFonts w:hint="eastAsia"/>
        </w:rPr>
        <w:t>、</w:t>
      </w:r>
      <w:r>
        <w:t>约谈</w:t>
      </w:r>
      <w:r>
        <w:rPr>
          <w:rFonts w:hint="eastAsia"/>
        </w:rPr>
        <w:t>乙方相关负责人、违规人员安全再教育、</w:t>
      </w:r>
      <w:r>
        <w:t>回收</w:t>
      </w:r>
      <w:r>
        <w:rPr>
          <w:rFonts w:hint="eastAsia"/>
        </w:rPr>
        <w:t>施工安健环开工许可证、要求撤换乙方不合格人员等措施，并可根据承包合同、本协议及甲方有关安健环管理规定对乙方给予相应的追责和扣缴违约金或经济处罚。对上述原因造成停止作业、停工整顿产生的损失，甲方不承担任何责任，乙方无权要求调整合同总价、工期等既定条件；上述原因导致解除合同造成损的，由乙方负责赔偿。</w:t>
      </w:r>
    </w:p>
    <w:p w14:paraId="3E404780">
      <w:pPr>
        <w:pStyle w:val="4"/>
        <w:numPr>
          <w:ilvl w:val="0"/>
          <w:numId w:val="9"/>
        </w:numPr>
        <w:snapToGrid w:val="0"/>
        <w:spacing w:line="360" w:lineRule="auto"/>
        <w:ind w:left="0" w:leftChars="0" w:right="290" w:firstLine="567"/>
        <w:rPr>
          <w:rFonts w:hint="eastAsia"/>
        </w:rPr>
      </w:pPr>
      <w:r>
        <w:rPr>
          <w:rFonts w:hint="eastAsia"/>
        </w:rPr>
        <w:t>本协议适用于甲方因工程建设、生产经营等需要，委托外部组织在甲方项目现场实施新建、</w:t>
      </w:r>
      <w:r>
        <w:t>改建</w:t>
      </w:r>
      <w:r>
        <w:rPr>
          <w:rFonts w:hint="eastAsia"/>
        </w:rPr>
        <w:t>、扩建等工程</w:t>
      </w:r>
      <w:r>
        <w:rPr>
          <w:rFonts w:hint="eastAsia" w:ascii="宋体" w:hAnsi="宋体" w:cs="Tahoma"/>
        </w:rPr>
        <w:t>建设，以及</w:t>
      </w:r>
      <w:r>
        <w:rPr>
          <w:rFonts w:hint="eastAsia"/>
        </w:rPr>
        <w:t>进行</w:t>
      </w:r>
      <w:r>
        <w:t>检（维）修、</w:t>
      </w:r>
      <w:r>
        <w:rPr>
          <w:rFonts w:hint="eastAsia"/>
        </w:rPr>
        <w:t>维护、</w:t>
      </w:r>
      <w:r>
        <w:t>安装、试验</w:t>
      </w:r>
      <w:r>
        <w:rPr>
          <w:rFonts w:hint="eastAsia"/>
        </w:rPr>
        <w:t>、装修、拆除、处置、技改、小型基建等现场业务；委托外部组织进行现场物资供应、技术服务、咨询服务、劳务服务（含临时用工</w:t>
      </w:r>
      <w:r>
        <w:t>）</w:t>
      </w:r>
      <w:r>
        <w:rPr>
          <w:rFonts w:hint="eastAsia"/>
        </w:rPr>
        <w:t>、</w:t>
      </w:r>
      <w:r>
        <w:t>监理服务</w:t>
      </w:r>
      <w:r>
        <w:rPr>
          <w:rFonts w:hint="eastAsia"/>
        </w:rPr>
        <w:t>及其他服务或信息提供时，涉及外委人员进入甲方工程</w:t>
      </w:r>
      <w:r>
        <w:t>、生产</w:t>
      </w:r>
      <w:r>
        <w:rPr>
          <w:rFonts w:hint="eastAsia"/>
        </w:rPr>
        <w:t>现场的外包业务，也适用本协议。</w:t>
      </w:r>
    </w:p>
    <w:p w14:paraId="1CB5B0FF">
      <w:pPr>
        <w:pStyle w:val="4"/>
        <w:numPr>
          <w:ilvl w:val="0"/>
          <w:numId w:val="6"/>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安健环管理目标</w:t>
      </w:r>
    </w:p>
    <w:p w14:paraId="3B5E34E7">
      <w:pPr>
        <w:pStyle w:val="4"/>
        <w:numPr>
          <w:ilvl w:val="0"/>
          <w:numId w:val="10"/>
        </w:numPr>
        <w:snapToGrid w:val="0"/>
        <w:spacing w:line="360" w:lineRule="auto"/>
        <w:ind w:left="0" w:leftChars="0" w:right="290" w:firstLine="567"/>
        <w:rPr>
          <w:rFonts w:hint="eastAsia"/>
        </w:rPr>
      </w:pPr>
      <w:r>
        <w:rPr>
          <w:rFonts w:hint="eastAsia"/>
        </w:rPr>
        <w:t>不发生安全生产事故；</w:t>
      </w:r>
    </w:p>
    <w:p w14:paraId="7423CD5D">
      <w:pPr>
        <w:pStyle w:val="4"/>
        <w:numPr>
          <w:ilvl w:val="0"/>
          <w:numId w:val="10"/>
        </w:numPr>
        <w:snapToGrid w:val="0"/>
        <w:spacing w:line="360" w:lineRule="auto"/>
        <w:ind w:left="0" w:leftChars="0" w:right="290" w:firstLine="567"/>
        <w:rPr>
          <w:rFonts w:hint="eastAsia"/>
        </w:rPr>
      </w:pPr>
      <w:r>
        <w:rPr>
          <w:rFonts w:hint="eastAsia"/>
        </w:rPr>
        <w:t>不发生火灾事故；</w:t>
      </w:r>
    </w:p>
    <w:p w14:paraId="2F7A9DBD">
      <w:pPr>
        <w:pStyle w:val="4"/>
        <w:numPr>
          <w:ilvl w:val="0"/>
          <w:numId w:val="10"/>
        </w:numPr>
        <w:snapToGrid w:val="0"/>
        <w:spacing w:line="360" w:lineRule="auto"/>
        <w:ind w:left="0" w:leftChars="0" w:right="290" w:firstLine="567"/>
        <w:rPr>
          <w:rFonts w:hint="eastAsia"/>
        </w:rPr>
      </w:pPr>
      <w:r>
        <w:rPr>
          <w:rFonts w:hint="eastAsia"/>
        </w:rPr>
        <w:t>不发生交通事故；</w:t>
      </w:r>
    </w:p>
    <w:p w14:paraId="1243B837">
      <w:pPr>
        <w:pStyle w:val="4"/>
        <w:numPr>
          <w:ilvl w:val="0"/>
          <w:numId w:val="10"/>
        </w:numPr>
        <w:snapToGrid w:val="0"/>
        <w:spacing w:line="360" w:lineRule="auto"/>
        <w:ind w:left="0" w:leftChars="0" w:right="290" w:firstLine="567"/>
        <w:rPr>
          <w:rFonts w:hint="eastAsia"/>
        </w:rPr>
      </w:pPr>
      <w:r>
        <w:rPr>
          <w:rFonts w:hint="eastAsia"/>
        </w:rPr>
        <w:t>不发生责任性全厂停电事故；</w:t>
      </w:r>
    </w:p>
    <w:p w14:paraId="765787AA">
      <w:pPr>
        <w:pStyle w:val="4"/>
        <w:numPr>
          <w:ilvl w:val="0"/>
          <w:numId w:val="10"/>
        </w:numPr>
        <w:snapToGrid w:val="0"/>
        <w:spacing w:line="360" w:lineRule="auto"/>
        <w:ind w:left="0" w:leftChars="0" w:right="290" w:firstLine="567"/>
        <w:rPr>
          <w:rFonts w:hint="eastAsia"/>
        </w:rPr>
      </w:pPr>
      <w:r>
        <w:rPr>
          <w:rFonts w:hint="eastAsia"/>
        </w:rPr>
        <w:t>不发生职业病危害事故；</w:t>
      </w:r>
    </w:p>
    <w:p w14:paraId="223D63D3">
      <w:pPr>
        <w:pStyle w:val="4"/>
        <w:numPr>
          <w:ilvl w:val="0"/>
          <w:numId w:val="10"/>
        </w:numPr>
        <w:snapToGrid w:val="0"/>
        <w:spacing w:line="360" w:lineRule="auto"/>
        <w:ind w:left="0" w:leftChars="0" w:right="290" w:firstLine="567"/>
        <w:rPr>
          <w:rFonts w:hint="eastAsia"/>
        </w:rPr>
      </w:pPr>
      <w:r>
        <w:rPr>
          <w:rFonts w:hint="eastAsia"/>
        </w:rPr>
        <w:t>不发生污染物超标排放、危险废弃物违法处置、化学品泄漏、环境处罚等环境污染事故、事件；</w:t>
      </w:r>
    </w:p>
    <w:p w14:paraId="4C65D294">
      <w:pPr>
        <w:pStyle w:val="4"/>
        <w:numPr>
          <w:ilvl w:val="0"/>
          <w:numId w:val="10"/>
        </w:numPr>
        <w:snapToGrid w:val="0"/>
        <w:spacing w:line="360" w:lineRule="auto"/>
        <w:ind w:left="0" w:leftChars="0" w:right="290" w:firstLine="567"/>
        <w:rPr>
          <w:rFonts w:hint="eastAsia"/>
        </w:rPr>
      </w:pPr>
      <w:r>
        <w:rPr>
          <w:rFonts w:hint="eastAsia"/>
        </w:rPr>
        <w:t>不发生责任性甲方二类障碍及以上安健环事件等。</w:t>
      </w:r>
    </w:p>
    <w:p w14:paraId="58C625AC">
      <w:pPr>
        <w:pStyle w:val="4"/>
        <w:numPr>
          <w:ilvl w:val="0"/>
          <w:numId w:val="6"/>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甲方安健环职责</w:t>
      </w:r>
    </w:p>
    <w:p w14:paraId="79F908DB">
      <w:pPr>
        <w:pStyle w:val="4"/>
        <w:numPr>
          <w:ilvl w:val="0"/>
          <w:numId w:val="11"/>
        </w:numPr>
        <w:snapToGrid w:val="0"/>
        <w:spacing w:line="360" w:lineRule="auto"/>
        <w:ind w:left="0" w:leftChars="0" w:right="290" w:firstLine="567"/>
      </w:pPr>
      <w:r>
        <w:rPr>
          <w:rFonts w:hint="eastAsia" w:ascii="宋体" w:hAnsi="宋体"/>
        </w:rPr>
        <w:t>甲方有权根据</w:t>
      </w:r>
      <w:r>
        <w:rPr>
          <w:rFonts w:hint="eastAsia" w:ascii="宋体" w:hAnsi="宋体" w:cs="Tahoma"/>
        </w:rPr>
        <w:t>有关</w:t>
      </w:r>
      <w:r>
        <w:rPr>
          <w:rFonts w:ascii="宋体" w:hAnsi="宋体" w:cs="Tahoma"/>
        </w:rPr>
        <w:t>法律法规</w:t>
      </w:r>
      <w:r>
        <w:rPr>
          <w:rFonts w:hint="eastAsia" w:ascii="宋体" w:hAnsi="宋体" w:cs="Tahoma"/>
        </w:rPr>
        <w:t>和</w:t>
      </w:r>
      <w:r>
        <w:rPr>
          <w:rFonts w:hint="eastAsia" w:ascii="宋体" w:hAnsi="宋体" w:cs="宋体"/>
        </w:rPr>
        <w:t>规范性文件</w:t>
      </w:r>
      <w:r>
        <w:rPr>
          <w:rFonts w:hint="eastAsia" w:ascii="宋体" w:hAnsi="宋体" w:cs="Tahoma"/>
        </w:rPr>
        <w:t>要求，结合</w:t>
      </w:r>
      <w:r>
        <w:rPr>
          <w:rFonts w:hint="eastAsia" w:ascii="宋体" w:hAnsi="宋体"/>
        </w:rPr>
        <w:t>电厂项目</w:t>
      </w:r>
      <w:r>
        <w:rPr>
          <w:rFonts w:hint="eastAsia" w:ascii="宋体" w:hAnsi="宋体" w:cs="Tahoma"/>
        </w:rPr>
        <w:t>建设和</w:t>
      </w:r>
      <w:r>
        <w:rPr>
          <w:rFonts w:hint="eastAsia" w:ascii="宋体" w:hAnsi="宋体"/>
        </w:rPr>
        <w:t>生产运营等实际需要，</w:t>
      </w:r>
      <w:r>
        <w:rPr>
          <w:rFonts w:hint="eastAsia"/>
        </w:rPr>
        <w:t>制订并颁布施行</w:t>
      </w:r>
      <w:r>
        <w:rPr>
          <w:rFonts w:hint="eastAsia" w:ascii="宋体" w:hAnsi="宋体" w:cs="Tahoma"/>
        </w:rPr>
        <w:t>安健环</w:t>
      </w:r>
      <w:r>
        <w:rPr>
          <w:rFonts w:hint="eastAsia"/>
        </w:rPr>
        <w:t>相关</w:t>
      </w:r>
      <w:r>
        <w:rPr>
          <w:rFonts w:hint="eastAsia" w:ascii="宋体" w:hAnsi="宋体" w:cs="Tahoma"/>
        </w:rPr>
        <w:t>规章制度。</w:t>
      </w:r>
    </w:p>
    <w:p w14:paraId="5943B171">
      <w:pPr>
        <w:pStyle w:val="4"/>
        <w:numPr>
          <w:ilvl w:val="0"/>
          <w:numId w:val="11"/>
        </w:numPr>
        <w:snapToGrid w:val="0"/>
        <w:spacing w:line="360" w:lineRule="auto"/>
        <w:ind w:left="0" w:leftChars="0" w:right="290" w:firstLine="567"/>
        <w:rPr>
          <w:rFonts w:hint="eastAsia"/>
        </w:rPr>
      </w:pPr>
      <w:r>
        <w:rPr>
          <w:rFonts w:hint="eastAsia"/>
        </w:rPr>
        <w:t>项目开工前由甲方自行或组织相关参建单位对乙方进行资质和开工条件审查。</w:t>
      </w:r>
    </w:p>
    <w:p w14:paraId="2AC59AF5">
      <w:pPr>
        <w:pStyle w:val="4"/>
        <w:numPr>
          <w:ilvl w:val="0"/>
          <w:numId w:val="11"/>
        </w:numPr>
        <w:snapToGrid w:val="0"/>
        <w:spacing w:line="360" w:lineRule="auto"/>
        <w:ind w:left="0" w:leftChars="0" w:right="290" w:firstLine="567"/>
        <w:rPr>
          <w:rFonts w:hint="eastAsia"/>
        </w:rPr>
      </w:pPr>
      <w:r>
        <w:rPr>
          <w:rFonts w:hint="eastAsia"/>
        </w:rPr>
        <w:t>根据法规规定向乙方提供施工现场及毗邻区域内供水、排水、供电、供气、供热、通信、广播电视等地下管线资料，气象和水文观测资料，相邻建筑物和构筑物、地下工程的有关资料，并保证资料的真实、准确、完整。</w:t>
      </w:r>
    </w:p>
    <w:p w14:paraId="2FB3F443">
      <w:pPr>
        <w:pStyle w:val="4"/>
        <w:numPr>
          <w:ilvl w:val="0"/>
          <w:numId w:val="11"/>
        </w:numPr>
        <w:snapToGrid w:val="0"/>
        <w:spacing w:line="360" w:lineRule="auto"/>
        <w:ind w:left="0" w:leftChars="0" w:right="290" w:firstLine="567"/>
        <w:rPr>
          <w:rFonts w:hint="eastAsia"/>
        </w:rPr>
      </w:pPr>
      <w:r>
        <w:rPr>
          <w:rFonts w:hint="eastAsia"/>
        </w:rPr>
        <w:t>自行或组织监理</w:t>
      </w:r>
      <w:r>
        <w:t>单位</w:t>
      </w:r>
      <w:r>
        <w:rPr>
          <w:rFonts w:hint="eastAsia"/>
        </w:rPr>
        <w:t>审查乙方项目安全保证及监督体系、</w:t>
      </w:r>
      <w:r>
        <w:t>安全生产</w:t>
      </w:r>
      <w:r>
        <w:rPr>
          <w:rFonts w:hint="eastAsia"/>
        </w:rPr>
        <w:t>管理组织机构、</w:t>
      </w:r>
      <w:r>
        <w:t>安全生产</w:t>
      </w:r>
      <w:r>
        <w:rPr>
          <w:rFonts w:hint="eastAsia"/>
        </w:rPr>
        <w:t>条件、施工组织设计、安全技术措施、职业健康防治措施、环境保护与污染防治措施等安健环管理满足法规要求和项目需求。</w:t>
      </w:r>
    </w:p>
    <w:p w14:paraId="3522A8AC">
      <w:pPr>
        <w:pStyle w:val="4"/>
        <w:numPr>
          <w:ilvl w:val="0"/>
          <w:numId w:val="11"/>
        </w:numPr>
        <w:snapToGrid w:val="0"/>
        <w:spacing w:line="360" w:lineRule="auto"/>
        <w:ind w:left="0" w:leftChars="0" w:right="290" w:firstLine="567"/>
        <w:rPr>
          <w:rFonts w:hint="eastAsia"/>
        </w:rPr>
      </w:pPr>
      <w:r>
        <w:rPr>
          <w:rFonts w:hint="eastAsia"/>
        </w:rPr>
        <w:t>向乙方进行必要的书面安健环技术交底（实行工程总承包的，由总承包单位组织落实）。</w:t>
      </w:r>
    </w:p>
    <w:p w14:paraId="312EA677">
      <w:pPr>
        <w:pStyle w:val="4"/>
        <w:numPr>
          <w:ilvl w:val="0"/>
          <w:numId w:val="11"/>
        </w:numPr>
        <w:snapToGrid w:val="0"/>
        <w:spacing w:line="360" w:lineRule="auto"/>
        <w:ind w:left="0" w:leftChars="0" w:right="290" w:firstLine="567"/>
      </w:pPr>
      <w:r>
        <w:rPr>
          <w:rFonts w:hint="eastAsia"/>
        </w:rPr>
        <w:t>自行或委托监理单位对项目实施过程的现场人员、设备设施、材料、安健环管理实施监督检查，促进现场安全文明生产、职业病防治、节能环保和防止污染事件。</w:t>
      </w:r>
    </w:p>
    <w:p w14:paraId="6BE448BD">
      <w:pPr>
        <w:pStyle w:val="4"/>
        <w:numPr>
          <w:ilvl w:val="0"/>
          <w:numId w:val="11"/>
        </w:numPr>
        <w:snapToGrid w:val="0"/>
        <w:spacing w:line="360" w:lineRule="auto"/>
        <w:ind w:left="0" w:leftChars="0" w:right="290" w:firstLine="567"/>
      </w:pPr>
      <w:r>
        <w:rPr>
          <w:rFonts w:hint="eastAsia"/>
        </w:rPr>
        <w:t>甲方及其上级单位或其委托的监理单位有权对乙方安健环</w:t>
      </w:r>
      <w:r>
        <w:t>违法</w:t>
      </w:r>
      <w:r>
        <w:rPr>
          <w:rFonts w:hint="eastAsia"/>
        </w:rPr>
        <w:t>、违规、违章及不文明施工等行为及时进行制止，必要时向乙方下达整改通知书，</w:t>
      </w:r>
      <w:r>
        <w:t>并</w:t>
      </w:r>
      <w:r>
        <w:rPr>
          <w:rFonts w:hint="eastAsia"/>
        </w:rPr>
        <w:t>可根据约定条件对承包商给予相应的追责和扣缴违约金以及经济处罚。对于严重违法违章行为、重大安健环隐患，可勒令乙方无条件停止作业、</w:t>
      </w:r>
      <w:r>
        <w:t>停工</w:t>
      </w:r>
      <w:r>
        <w:rPr>
          <w:rFonts w:hint="eastAsia"/>
        </w:rPr>
        <w:t>整顿，直至问题或隐患排除，方允许继续作业。</w:t>
      </w:r>
      <w:r>
        <w:t>情况</w:t>
      </w:r>
      <w:r>
        <w:rPr>
          <w:rFonts w:hint="eastAsia"/>
        </w:rPr>
        <w:t>特别严重的，甲方有权终止合同。</w:t>
      </w:r>
    </w:p>
    <w:p w14:paraId="02ECCB9A">
      <w:pPr>
        <w:pStyle w:val="4"/>
        <w:numPr>
          <w:ilvl w:val="0"/>
          <w:numId w:val="11"/>
        </w:numPr>
        <w:snapToGrid w:val="0"/>
        <w:spacing w:line="360" w:lineRule="auto"/>
        <w:ind w:left="0" w:leftChars="0" w:right="290" w:firstLine="567"/>
        <w:rPr>
          <w:rFonts w:hint="eastAsia"/>
        </w:rPr>
      </w:pPr>
      <w:r>
        <w:rPr>
          <w:rFonts w:hint="eastAsia"/>
        </w:rPr>
        <w:t>发生以下情况，甲方可勒令乙方无条件停工整顿。</w:t>
      </w:r>
    </w:p>
    <w:p w14:paraId="73838336">
      <w:pPr>
        <w:pStyle w:val="4"/>
        <w:numPr>
          <w:ilvl w:val="0"/>
          <w:numId w:val="12"/>
        </w:numPr>
        <w:snapToGrid w:val="0"/>
        <w:spacing w:line="360" w:lineRule="auto"/>
        <w:ind w:left="0" w:leftChars="0" w:right="290" w:firstLine="567"/>
        <w:rPr>
          <w:rFonts w:hint="eastAsia"/>
        </w:rPr>
      </w:pPr>
      <w:r>
        <w:rPr>
          <w:rFonts w:hint="eastAsia"/>
        </w:rPr>
        <w:t>发生人身伤亡事故、职业病危害事故、</w:t>
      </w:r>
      <w:r>
        <w:t>环境</w:t>
      </w:r>
      <w:r>
        <w:rPr>
          <w:rFonts w:hint="eastAsia"/>
        </w:rPr>
        <w:t>污染事故；</w:t>
      </w:r>
    </w:p>
    <w:p w14:paraId="0F7F378F">
      <w:pPr>
        <w:pStyle w:val="4"/>
        <w:numPr>
          <w:ilvl w:val="0"/>
          <w:numId w:val="12"/>
        </w:numPr>
        <w:snapToGrid w:val="0"/>
        <w:spacing w:line="360" w:lineRule="auto"/>
        <w:ind w:left="0" w:leftChars="0" w:right="290" w:firstLine="567"/>
        <w:rPr>
          <w:rFonts w:hint="eastAsia"/>
        </w:rPr>
      </w:pPr>
      <w:r>
        <w:rPr>
          <w:rFonts w:hint="eastAsia"/>
        </w:rPr>
        <w:t>发生机械、设备严重损坏事故；</w:t>
      </w:r>
    </w:p>
    <w:p w14:paraId="520DEB6A">
      <w:pPr>
        <w:pStyle w:val="4"/>
        <w:numPr>
          <w:ilvl w:val="0"/>
          <w:numId w:val="12"/>
        </w:numPr>
        <w:snapToGrid w:val="0"/>
        <w:spacing w:line="360" w:lineRule="auto"/>
        <w:ind w:left="0" w:leftChars="0" w:right="290" w:firstLine="567"/>
        <w:rPr>
          <w:rFonts w:hint="eastAsia"/>
        </w:rPr>
      </w:pPr>
      <w:r>
        <w:rPr>
          <w:rFonts w:hint="eastAsia"/>
        </w:rPr>
        <w:t>发生厂（场）内火灾事故、交通事故；</w:t>
      </w:r>
    </w:p>
    <w:p w14:paraId="7434D498">
      <w:pPr>
        <w:pStyle w:val="4"/>
        <w:numPr>
          <w:ilvl w:val="0"/>
          <w:numId w:val="12"/>
        </w:numPr>
        <w:snapToGrid w:val="0"/>
        <w:spacing w:line="360" w:lineRule="auto"/>
        <w:ind w:left="0" w:leftChars="0" w:right="290" w:firstLine="567"/>
        <w:rPr>
          <w:rFonts w:hint="eastAsia"/>
        </w:rPr>
      </w:pPr>
      <w:r>
        <w:rPr>
          <w:rFonts w:hint="eastAsia"/>
        </w:rPr>
        <w:t>设备、设施、工器具和安全防护用品用具存在重大隐患，可能导致事故发生；</w:t>
      </w:r>
    </w:p>
    <w:p w14:paraId="3A2FF36F">
      <w:pPr>
        <w:pStyle w:val="4"/>
        <w:numPr>
          <w:ilvl w:val="0"/>
          <w:numId w:val="12"/>
        </w:numPr>
        <w:snapToGrid w:val="0"/>
        <w:spacing w:line="360" w:lineRule="auto"/>
        <w:ind w:left="0" w:leftChars="0" w:right="290" w:firstLine="567"/>
        <w:rPr>
          <w:rFonts w:hint="eastAsia"/>
        </w:rPr>
      </w:pPr>
      <w:r>
        <w:rPr>
          <w:rFonts w:hint="eastAsia"/>
        </w:rPr>
        <w:t>乙方有严重安健环违法、违规、违章、冒险作业可能导致事故发生的；</w:t>
      </w:r>
    </w:p>
    <w:p w14:paraId="4A955260">
      <w:pPr>
        <w:pStyle w:val="4"/>
        <w:numPr>
          <w:ilvl w:val="0"/>
          <w:numId w:val="12"/>
        </w:numPr>
        <w:snapToGrid w:val="0"/>
        <w:spacing w:line="360" w:lineRule="auto"/>
        <w:ind w:left="0" w:leftChars="0" w:right="290" w:firstLine="567"/>
      </w:pPr>
      <w:r>
        <w:rPr>
          <w:rFonts w:hint="eastAsia"/>
        </w:rPr>
        <w:t>作业现场脏、乱、差，严重影响安全文明环境的；</w:t>
      </w:r>
    </w:p>
    <w:p w14:paraId="084C0C97">
      <w:pPr>
        <w:pStyle w:val="4"/>
        <w:numPr>
          <w:ilvl w:val="0"/>
          <w:numId w:val="12"/>
        </w:numPr>
        <w:snapToGrid w:val="0"/>
        <w:spacing w:line="360" w:lineRule="auto"/>
        <w:ind w:left="0" w:leftChars="0" w:right="290" w:firstLine="567"/>
      </w:pPr>
      <w:r>
        <w:rPr>
          <w:rFonts w:hint="eastAsia"/>
        </w:rPr>
        <w:t>乙方疏于管理可能导致职业危害事故发生的；</w:t>
      </w:r>
    </w:p>
    <w:p w14:paraId="3E818746">
      <w:pPr>
        <w:pStyle w:val="4"/>
        <w:numPr>
          <w:ilvl w:val="0"/>
          <w:numId w:val="12"/>
        </w:numPr>
        <w:snapToGrid w:val="0"/>
        <w:spacing w:line="360" w:lineRule="auto"/>
        <w:ind w:left="0" w:leftChars="0" w:right="290" w:firstLine="567"/>
        <w:rPr>
          <w:rFonts w:hint="eastAsia"/>
        </w:rPr>
      </w:pPr>
      <w:r>
        <w:rPr>
          <w:rFonts w:hint="eastAsia"/>
        </w:rPr>
        <w:t>污水、粉尘、有毒气体、噪声和辐射等违规排放，可能导致环保和污染事故；</w:t>
      </w:r>
    </w:p>
    <w:p w14:paraId="3EC5A1C3">
      <w:pPr>
        <w:pStyle w:val="4"/>
        <w:numPr>
          <w:ilvl w:val="0"/>
          <w:numId w:val="12"/>
        </w:numPr>
        <w:snapToGrid w:val="0"/>
        <w:spacing w:line="360" w:lineRule="auto"/>
        <w:ind w:left="0" w:leftChars="0" w:right="290" w:firstLine="567"/>
        <w:rPr>
          <w:rFonts w:hint="eastAsia"/>
        </w:rPr>
      </w:pPr>
      <w:r>
        <w:rPr>
          <w:rFonts w:hint="eastAsia"/>
        </w:rPr>
        <w:t>化学品储存、搬运和使用存在严重隐患，可能导致泄漏、伤害和污染事件的。</w:t>
      </w:r>
    </w:p>
    <w:p w14:paraId="11EAE5F4">
      <w:pPr>
        <w:pStyle w:val="4"/>
        <w:numPr>
          <w:ilvl w:val="0"/>
          <w:numId w:val="12"/>
        </w:numPr>
        <w:tabs>
          <w:tab w:val="left" w:pos="993"/>
        </w:tabs>
        <w:snapToGrid w:val="0"/>
        <w:spacing w:line="360" w:lineRule="auto"/>
        <w:ind w:left="0" w:leftChars="0" w:right="290" w:firstLine="567"/>
        <w:rPr>
          <w:rFonts w:hint="eastAsia"/>
        </w:rPr>
      </w:pPr>
      <w:r>
        <w:rPr>
          <w:rFonts w:hint="eastAsia"/>
        </w:rPr>
        <w:t>其他因乙方未有效履行有关安健环管理职责和落实有关安健环措施，危及生命财产安全、危及发包方安全生产或可能造成环境污染事故事件。</w:t>
      </w:r>
    </w:p>
    <w:p w14:paraId="348C7ACF">
      <w:pPr>
        <w:pStyle w:val="4"/>
        <w:numPr>
          <w:ilvl w:val="0"/>
          <w:numId w:val="11"/>
        </w:numPr>
        <w:snapToGrid w:val="0"/>
        <w:spacing w:line="360" w:lineRule="auto"/>
        <w:ind w:left="0" w:leftChars="0" w:right="290" w:firstLine="567"/>
        <w:rPr>
          <w:rFonts w:hint="eastAsia"/>
        </w:rPr>
      </w:pPr>
      <w:r>
        <w:rPr>
          <w:rFonts w:hint="eastAsia"/>
        </w:rPr>
        <w:t>督促乙方</w:t>
      </w:r>
      <w:r>
        <w:t>办理</w:t>
      </w:r>
      <w:r>
        <w:rPr>
          <w:rFonts w:hint="eastAsia"/>
        </w:rPr>
        <w:t>并严格执行相关工作许可文件，</w:t>
      </w:r>
      <w:r>
        <w:t>如</w:t>
      </w:r>
      <w:r>
        <w:rPr>
          <w:rFonts w:hint="eastAsia"/>
        </w:rPr>
        <w:t>工作票、开工许可证等。</w:t>
      </w:r>
    </w:p>
    <w:p w14:paraId="565A9378">
      <w:pPr>
        <w:pStyle w:val="4"/>
        <w:numPr>
          <w:ilvl w:val="0"/>
          <w:numId w:val="11"/>
        </w:numPr>
        <w:snapToGrid w:val="0"/>
        <w:spacing w:line="360" w:lineRule="auto"/>
        <w:ind w:left="0" w:leftChars="0" w:right="290" w:firstLine="567"/>
        <w:rPr>
          <w:rFonts w:hint="eastAsia"/>
        </w:rPr>
      </w:pPr>
      <w:r>
        <w:rPr>
          <w:rFonts w:hint="eastAsia"/>
        </w:rPr>
        <w:t>建立协调机制，协调解决项目实施过程中的安健环问题，检查、布置安健环工作。</w:t>
      </w:r>
    </w:p>
    <w:p w14:paraId="169A3C83">
      <w:pPr>
        <w:pStyle w:val="4"/>
        <w:numPr>
          <w:ilvl w:val="0"/>
          <w:numId w:val="11"/>
        </w:numPr>
        <w:snapToGrid w:val="0"/>
        <w:spacing w:line="360" w:lineRule="auto"/>
        <w:ind w:left="0" w:leftChars="0" w:right="290" w:firstLine="567"/>
        <w:rPr>
          <w:rFonts w:hint="eastAsia"/>
        </w:rPr>
      </w:pPr>
      <w:r>
        <w:rPr>
          <w:rFonts w:hint="eastAsia"/>
        </w:rPr>
        <w:t>组织或协助上级有关单位进行事故调查处理。对乙方发生的任何一起事故有权要求乙方调查处理。</w:t>
      </w:r>
    </w:p>
    <w:p w14:paraId="047C5601">
      <w:pPr>
        <w:pStyle w:val="4"/>
        <w:numPr>
          <w:ilvl w:val="0"/>
          <w:numId w:val="11"/>
        </w:numPr>
        <w:snapToGrid w:val="0"/>
        <w:spacing w:line="360" w:lineRule="auto"/>
        <w:ind w:left="0" w:leftChars="0" w:right="290" w:firstLine="567"/>
        <w:rPr>
          <w:rFonts w:hint="eastAsia"/>
        </w:rPr>
      </w:pPr>
      <w:r>
        <w:rPr>
          <w:rFonts w:hint="eastAsia"/>
        </w:rPr>
        <w:t>委托工程监理的项目，可按法规规定及合同约定由工程监理单位依法履行上述的部分甲方责任。</w:t>
      </w:r>
    </w:p>
    <w:p w14:paraId="5A9A78C1">
      <w:pPr>
        <w:pStyle w:val="4"/>
        <w:numPr>
          <w:ilvl w:val="0"/>
          <w:numId w:val="6"/>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乙方安健环职责</w:t>
      </w:r>
    </w:p>
    <w:p w14:paraId="55B9A981">
      <w:pPr>
        <w:pStyle w:val="4"/>
        <w:numPr>
          <w:ilvl w:val="0"/>
          <w:numId w:val="13"/>
        </w:numPr>
        <w:snapToGrid w:val="0"/>
        <w:spacing w:line="360" w:lineRule="auto"/>
        <w:ind w:left="0" w:leftChars="0" w:right="290" w:firstLine="567"/>
      </w:pPr>
      <w:r>
        <w:rPr>
          <w:rFonts w:hint="eastAsia"/>
        </w:rPr>
        <w:t>乙方对所承包项目的安健环管理全面负责，并承担所承包项目安健环主体责任。实施建设项目总承包的，</w:t>
      </w:r>
      <w:r>
        <w:t>执行</w:t>
      </w:r>
      <w:r>
        <w:rPr>
          <w:rFonts w:hint="eastAsia"/>
        </w:rPr>
        <w:t>国家有关规定。</w:t>
      </w:r>
    </w:p>
    <w:p w14:paraId="10126B2F">
      <w:pPr>
        <w:pStyle w:val="4"/>
        <w:numPr>
          <w:ilvl w:val="0"/>
          <w:numId w:val="13"/>
        </w:numPr>
        <w:snapToGrid w:val="0"/>
        <w:spacing w:line="360" w:lineRule="auto"/>
        <w:ind w:left="0" w:leftChars="0" w:right="290" w:firstLine="567"/>
        <w:rPr>
          <w:rFonts w:hint="eastAsia"/>
        </w:rPr>
      </w:pPr>
      <w:r>
        <w:rPr>
          <w:rFonts w:hint="eastAsia"/>
        </w:rPr>
        <w:t>乙方负责</w:t>
      </w:r>
      <w:r>
        <w:rPr>
          <w:rFonts w:hint="eastAsia"/>
          <w:lang w:val="en-GB"/>
        </w:rPr>
        <w:t>宣贯传达并</w:t>
      </w:r>
      <w:r>
        <w:rPr>
          <w:rFonts w:hint="eastAsia"/>
        </w:rPr>
        <w:t>严格遵守国家、行业有关安健环法律、法规、方针、政策、标准、规定和规范性文件、</w:t>
      </w:r>
      <w:r>
        <w:rPr>
          <w:rFonts w:hint="eastAsia"/>
          <w:lang w:val="en-GB"/>
        </w:rPr>
        <w:t>操作规程等</w:t>
      </w:r>
      <w:r>
        <w:rPr>
          <w:rFonts w:hint="eastAsia"/>
        </w:rPr>
        <w:t>要求，</w:t>
      </w:r>
      <w:r>
        <w:rPr>
          <w:rFonts w:hint="eastAsia"/>
          <w:lang w:val="en-GB"/>
        </w:rPr>
        <w:t>自行宣贯落实并严格</w:t>
      </w:r>
      <w:r>
        <w:rPr>
          <w:rFonts w:hint="eastAsia"/>
        </w:rPr>
        <w:t>履行法律法规、承包合同、本协议及甲方有关安健环管理制度规定的安健环职责，严格执行甲方安健环管理和安全文明生产等现场规定和规章制度，</w:t>
      </w:r>
      <w:r>
        <w:rPr>
          <w:rFonts w:hint="eastAsia" w:ascii="宋体" w:hAnsi="宋体"/>
        </w:rPr>
        <w:t>主动依约依规</w:t>
      </w:r>
      <w:r>
        <w:rPr>
          <w:rFonts w:hint="eastAsia"/>
        </w:rPr>
        <w:t>接受甲方或其委托的监理方的管理、监督、检查和指导。</w:t>
      </w:r>
    </w:p>
    <w:p w14:paraId="02DDF18C">
      <w:pPr>
        <w:pStyle w:val="4"/>
        <w:numPr>
          <w:ilvl w:val="0"/>
          <w:numId w:val="13"/>
        </w:numPr>
        <w:snapToGrid w:val="0"/>
        <w:spacing w:line="360" w:lineRule="auto"/>
        <w:ind w:left="0" w:leftChars="0" w:right="290" w:firstLine="567"/>
        <w:rPr>
          <w:rFonts w:hint="eastAsia"/>
          <w:color w:val="FF0000"/>
        </w:rPr>
      </w:pPr>
      <w:r>
        <w:rPr>
          <w:rFonts w:hint="eastAsia"/>
          <w:color w:val="auto"/>
          <w:u w:val="single"/>
          <w:lang w:val="en-US" w:eastAsia="zh-CN"/>
        </w:rPr>
        <w:t>乙方应严格执行甲方安全管理网格化要求，接受甲方安全管理网格化培训，全员认真履行日常网格化管理职责，加强日常巡检和隐患排查，及时发现和消除现场安全隐患，接受甲方安全管理网格化监督和考核。</w:t>
      </w:r>
    </w:p>
    <w:p w14:paraId="6BDAA1CC">
      <w:pPr>
        <w:pStyle w:val="4"/>
        <w:numPr>
          <w:ilvl w:val="0"/>
          <w:numId w:val="13"/>
        </w:numPr>
        <w:snapToGrid w:val="0"/>
        <w:spacing w:line="360" w:lineRule="auto"/>
        <w:ind w:left="0" w:leftChars="0" w:right="290" w:firstLine="567"/>
        <w:rPr>
          <w:rFonts w:hint="eastAsia"/>
        </w:rPr>
      </w:pPr>
      <w:r>
        <w:rPr>
          <w:rFonts w:hint="eastAsia"/>
        </w:rPr>
        <w:t>乙方应具备满足所承担承包项目要求的安健环等级资质，持有合法有效的营业执照、资质证书等资质证明。有关资质证明应在开工前书面提交甲方现场审查、备案。</w:t>
      </w:r>
    </w:p>
    <w:p w14:paraId="1D83CCC7">
      <w:pPr>
        <w:pStyle w:val="4"/>
        <w:numPr>
          <w:ilvl w:val="0"/>
          <w:numId w:val="13"/>
        </w:numPr>
        <w:snapToGrid w:val="0"/>
        <w:spacing w:line="360" w:lineRule="auto"/>
        <w:ind w:left="0" w:leftChars="0" w:right="290" w:firstLine="567"/>
        <w:rPr>
          <w:rFonts w:hint="eastAsia"/>
        </w:rPr>
      </w:pPr>
      <w:r>
        <w:rPr>
          <w:rFonts w:hint="eastAsia"/>
        </w:rPr>
        <w:t>乙方应有完善的安健环组织机构和安健环管理体系，</w:t>
      </w:r>
      <w:r>
        <w:rPr>
          <w:rFonts w:hint="eastAsia" w:ascii="宋体" w:hAnsi="宋体" w:cs="Tahoma"/>
        </w:rPr>
        <w:t>以</w:t>
      </w:r>
      <w:r>
        <w:rPr>
          <w:rFonts w:hint="eastAsia"/>
        </w:rPr>
        <w:t>确保对本协议的有效贯彻执行。</w:t>
      </w:r>
      <w:r>
        <w:rPr>
          <w:rFonts w:hint="eastAsia" w:ascii="宋体" w:hAnsi="宋体" w:cs="Tahoma"/>
        </w:rPr>
        <w:t>乙方须</w:t>
      </w:r>
      <w:r>
        <w:rPr>
          <w:rFonts w:hint="eastAsia"/>
        </w:rPr>
        <w:t>自觉加强</w:t>
      </w:r>
      <w:r>
        <w:rPr>
          <w:rFonts w:hint="eastAsia"/>
          <w:lang w:val="en-GB"/>
        </w:rPr>
        <w:t>落实</w:t>
      </w:r>
      <w:r>
        <w:rPr>
          <w:rFonts w:hint="eastAsia"/>
        </w:rPr>
        <w:t>内部安健环管理、监督、检查</w:t>
      </w:r>
      <w:r>
        <w:t>、</w:t>
      </w:r>
      <w:r>
        <w:rPr>
          <w:rFonts w:hint="eastAsia"/>
        </w:rPr>
        <w:t>教育、整改和考核，确保安健环费用的有效投入，</w:t>
      </w:r>
      <w:r>
        <w:t>根据</w:t>
      </w:r>
      <w:r>
        <w:rPr>
          <w:rFonts w:hint="eastAsia"/>
        </w:rPr>
        <w:t>工程项目</w:t>
      </w:r>
      <w:r>
        <w:t>的特点组织制定</w:t>
      </w:r>
      <w:r>
        <w:rPr>
          <w:rFonts w:hint="eastAsia"/>
        </w:rPr>
        <w:t>安健环管理</w:t>
      </w:r>
      <w:r>
        <w:t>措施，消除事故隐患，及时、如实报告生产安全事故</w:t>
      </w:r>
      <w:r>
        <w:rPr>
          <w:rFonts w:hint="eastAsia"/>
        </w:rPr>
        <w:t>、</w:t>
      </w:r>
      <w:r>
        <w:t>事件</w:t>
      </w:r>
      <w:r>
        <w:rPr>
          <w:rFonts w:hint="eastAsia"/>
        </w:rPr>
        <w:t>。</w:t>
      </w:r>
    </w:p>
    <w:p w14:paraId="558527F5">
      <w:pPr>
        <w:pStyle w:val="4"/>
        <w:numPr>
          <w:ilvl w:val="0"/>
          <w:numId w:val="13"/>
        </w:numPr>
        <w:snapToGrid w:val="0"/>
        <w:spacing w:line="360" w:lineRule="auto"/>
        <w:ind w:left="0" w:leftChars="0" w:right="290" w:firstLine="567"/>
      </w:pPr>
      <w:r>
        <w:rPr>
          <w:rFonts w:hint="eastAsia" w:ascii="宋体" w:hAnsi="宋体"/>
        </w:rPr>
        <w:t>乙方现场从业人员超过50人（含50人）的，必须设置安全生产监督管理机构。乙方应同时按现场管理需要配备专职安全管理人员，从业人员超过300人的不得少于3人；从业人员在50人以下30人以上（含30人）的必须配备专职安全监督管理人员，从业人员在30人以下的应配备专职或兼职安全监督管理人员。主体工程监理单位，应设置安全生产监督管理机构，专职安全管理人员不得少于3人；非主体工程的监理单位，应配备专职安全监督管理人员。其他参建单位应按法规要求设立安全生产监督管理机构或配备安全管理人员。</w:t>
      </w:r>
    </w:p>
    <w:p w14:paraId="40C164D6">
      <w:pPr>
        <w:pStyle w:val="4"/>
        <w:numPr>
          <w:ilvl w:val="0"/>
          <w:numId w:val="13"/>
        </w:numPr>
        <w:snapToGrid w:val="0"/>
        <w:spacing w:line="360" w:lineRule="auto"/>
        <w:ind w:left="0" w:leftChars="0" w:right="290" w:firstLine="567"/>
      </w:pPr>
      <w:r>
        <w:rPr>
          <w:rFonts w:hint="eastAsia"/>
        </w:rPr>
        <w:t>乙方主要负责人、项目负责人、安全生产管理人员、特种作业人员、危化品从业人员及法律法规要求应持证的其他从业人员，均应当按照国家有关法律法规规定接受培训，持证上岗。开工前，有关人员资质证件应书面提交甲方现场审查、备案。新改扩建建设工程乙方主要负责人还应最低持有：一级</w:t>
      </w:r>
      <w:r>
        <w:t>建造师</w:t>
      </w:r>
      <w:r>
        <w:rPr>
          <w:rFonts w:hint="eastAsia"/>
        </w:rPr>
        <w:t>证和安全员B证；安全负责人最低应持有注册安全工程师证和建设主管部门颁发的安全</w:t>
      </w:r>
      <w:r>
        <w:t>C</w:t>
      </w:r>
      <w:r>
        <w:rPr>
          <w:rFonts w:hint="eastAsia"/>
        </w:rPr>
        <w:t>证；</w:t>
      </w:r>
      <w:r>
        <w:t>安全</w:t>
      </w:r>
      <w:r>
        <w:rPr>
          <w:rFonts w:hint="eastAsia"/>
        </w:rPr>
        <w:t>管理人员最低持有建设主管部门颁发的安全</w:t>
      </w:r>
      <w:r>
        <w:t>C</w:t>
      </w:r>
      <w:r>
        <w:rPr>
          <w:rFonts w:hint="eastAsia"/>
        </w:rPr>
        <w:t>证；监理安全管理负责人应最低持有注册安全工程师证；监理安全管理人员应最低持有安全监理员证。</w:t>
      </w:r>
    </w:p>
    <w:p w14:paraId="7243F16D">
      <w:pPr>
        <w:pStyle w:val="4"/>
        <w:numPr>
          <w:ilvl w:val="0"/>
          <w:numId w:val="13"/>
        </w:numPr>
        <w:snapToGrid w:val="0"/>
        <w:spacing w:line="360" w:lineRule="auto"/>
        <w:ind w:left="0" w:leftChars="0" w:right="290" w:firstLine="567"/>
        <w:rPr>
          <w:rFonts w:hint="eastAsia"/>
        </w:rPr>
      </w:pPr>
      <w:r>
        <w:rPr>
          <w:rFonts w:hint="eastAsia"/>
        </w:rPr>
        <w:t>乙方现场到岗项目经理、</w:t>
      </w:r>
      <w:r>
        <w:t>技术</w:t>
      </w:r>
      <w:r>
        <w:rPr>
          <w:rFonts w:hint="eastAsia"/>
        </w:rPr>
        <w:t>负责人、安全负责人、监理总监、</w:t>
      </w:r>
      <w:r>
        <w:t>安全</w:t>
      </w:r>
      <w:r>
        <w:rPr>
          <w:rFonts w:hint="eastAsia"/>
        </w:rPr>
        <w:t>监理等主要岗位人员必须与投标文件一致，工作能力和履责表现应符合现场安全生产要求，</w:t>
      </w:r>
      <w:r>
        <w:t>不得</w:t>
      </w:r>
      <w:r>
        <w:rPr>
          <w:rFonts w:hint="eastAsia"/>
        </w:rPr>
        <w:t>擅自更换、不得设置其他岗位代替其履行职责。主要岗位人员必须全职常驻现场履责，严禁无故离岗、严禁他人代签署文件资料。</w:t>
      </w:r>
    </w:p>
    <w:p w14:paraId="775A60E7">
      <w:pPr>
        <w:pStyle w:val="4"/>
        <w:numPr>
          <w:ilvl w:val="0"/>
          <w:numId w:val="13"/>
        </w:numPr>
        <w:snapToGrid w:val="0"/>
        <w:spacing w:line="360" w:lineRule="auto"/>
        <w:ind w:left="0" w:leftChars="0" w:right="290" w:firstLine="567"/>
        <w:rPr>
          <w:rFonts w:hint="eastAsia"/>
        </w:rPr>
      </w:pPr>
      <w:r>
        <w:rPr>
          <w:rFonts w:hint="eastAsia"/>
        </w:rPr>
        <w:t>乙方应依法合规用工，加强协调管理，杜绝因劳资纠纷引起的社会安全事件。</w:t>
      </w:r>
    </w:p>
    <w:p w14:paraId="44A7E618">
      <w:pPr>
        <w:pStyle w:val="4"/>
        <w:numPr>
          <w:ilvl w:val="0"/>
          <w:numId w:val="13"/>
        </w:numPr>
        <w:snapToGrid w:val="0"/>
        <w:spacing w:line="360" w:lineRule="auto"/>
        <w:ind w:left="0" w:leftChars="0" w:right="290" w:firstLine="567"/>
        <w:rPr>
          <w:rFonts w:hint="eastAsia"/>
        </w:rPr>
      </w:pPr>
      <w:r>
        <w:rPr>
          <w:rFonts w:hint="eastAsia"/>
        </w:rPr>
        <w:t>乙方所有工作人员的身体状况符合工程要求，严禁使用未成年工、有犯罪前科人员和不适应现场安全施工要求的老、弱、病、残和职业禁忌症人员。</w:t>
      </w:r>
    </w:p>
    <w:p w14:paraId="7AA468A5">
      <w:pPr>
        <w:pStyle w:val="4"/>
        <w:numPr>
          <w:ilvl w:val="0"/>
          <w:numId w:val="13"/>
        </w:numPr>
        <w:snapToGrid w:val="0"/>
        <w:spacing w:line="360" w:lineRule="auto"/>
        <w:ind w:left="0" w:leftChars="0" w:right="290" w:firstLine="567"/>
        <w:rPr>
          <w:rFonts w:hint="eastAsia"/>
        </w:rPr>
      </w:pPr>
      <w:r>
        <w:rPr>
          <w:rFonts w:hint="eastAsia"/>
        </w:rPr>
        <w:t>乙方应对所有进入甲方现场的人员（含增补或调换人员、更换工种等）进行入场（厂）安健环教育培训，并经考试合格后方可上岗，培训考核结果提交甲方现场备案。</w:t>
      </w:r>
    </w:p>
    <w:p w14:paraId="77D32FC1">
      <w:pPr>
        <w:pStyle w:val="4"/>
        <w:numPr>
          <w:ilvl w:val="0"/>
          <w:numId w:val="13"/>
        </w:numPr>
        <w:tabs>
          <w:tab w:val="left" w:pos="993"/>
        </w:tabs>
        <w:snapToGrid w:val="0"/>
        <w:spacing w:line="360" w:lineRule="auto"/>
        <w:ind w:left="0" w:leftChars="0" w:right="290" w:firstLine="567"/>
        <w:rPr>
          <w:rFonts w:hint="eastAsia"/>
        </w:rPr>
      </w:pPr>
      <w:r>
        <w:rPr>
          <w:rFonts w:hint="eastAsia"/>
        </w:rPr>
        <w:t>乙方人员进入生产现场必须办理入场（厂）手续，作业前应按甲方有关规定办理开工许可、工作票、工作许可或授权。未经许可或授权不得擅自进入非授权场所，不得擅自开工。</w:t>
      </w:r>
    </w:p>
    <w:p w14:paraId="22198D34">
      <w:pPr>
        <w:pStyle w:val="4"/>
        <w:numPr>
          <w:ilvl w:val="0"/>
          <w:numId w:val="13"/>
        </w:numPr>
        <w:tabs>
          <w:tab w:val="left" w:pos="993"/>
        </w:tabs>
        <w:snapToGrid w:val="0"/>
        <w:spacing w:line="360" w:lineRule="auto"/>
        <w:ind w:left="0" w:leftChars="0" w:right="290" w:firstLine="567"/>
        <w:rPr>
          <w:rFonts w:hint="eastAsia"/>
        </w:rPr>
      </w:pPr>
      <w:r>
        <w:rPr>
          <w:rFonts w:hint="eastAsia"/>
        </w:rPr>
        <w:t>乙方必须为进入现场的所有人员配备足够齐全合格的个人安健</w:t>
      </w:r>
      <w:r>
        <w:t>环</w:t>
      </w:r>
      <w:r>
        <w:rPr>
          <w:rFonts w:hint="eastAsia"/>
        </w:rPr>
        <w:t>防护用品，并自行督促正确佩戴使用，自行加强日常培训和落实管理工作，</w:t>
      </w:r>
      <w:r>
        <w:rPr>
          <w:rFonts w:hint="eastAsia" w:ascii="宋体" w:hAnsi="宋体" w:cs="Tahoma"/>
        </w:rPr>
        <w:t>杜绝</w:t>
      </w:r>
      <w:r>
        <w:rPr>
          <w:rFonts w:hint="eastAsia"/>
        </w:rPr>
        <w:t>安健</w:t>
      </w:r>
      <w:r>
        <w:rPr>
          <w:rFonts w:ascii="宋体" w:hAnsi="宋体" w:cs="宋体"/>
        </w:rPr>
        <w:t>环</w:t>
      </w:r>
      <w:r>
        <w:rPr>
          <w:rFonts w:hint="eastAsia"/>
        </w:rPr>
        <w:t>等责任事故或事件的发生。</w:t>
      </w:r>
    </w:p>
    <w:p w14:paraId="22865B36">
      <w:pPr>
        <w:pStyle w:val="4"/>
        <w:numPr>
          <w:ilvl w:val="0"/>
          <w:numId w:val="13"/>
        </w:numPr>
        <w:tabs>
          <w:tab w:val="left" w:pos="993"/>
        </w:tabs>
        <w:snapToGrid w:val="0"/>
        <w:spacing w:line="360" w:lineRule="auto"/>
        <w:ind w:left="0" w:leftChars="0" w:right="290" w:firstLine="567"/>
        <w:rPr>
          <w:rFonts w:hint="eastAsia"/>
        </w:rPr>
      </w:pPr>
      <w:r>
        <w:rPr>
          <w:rFonts w:hint="eastAsia"/>
        </w:rPr>
        <w:t>乙方必须评估并制定现场职业病危害因素防控措施，杜绝职业病危害事故发生。</w:t>
      </w:r>
    </w:p>
    <w:p w14:paraId="78290959">
      <w:pPr>
        <w:pStyle w:val="4"/>
        <w:numPr>
          <w:ilvl w:val="0"/>
          <w:numId w:val="13"/>
        </w:numPr>
        <w:tabs>
          <w:tab w:val="left" w:pos="993"/>
        </w:tabs>
        <w:snapToGrid w:val="0"/>
        <w:spacing w:line="360" w:lineRule="auto"/>
        <w:ind w:left="0" w:leftChars="0" w:right="290" w:firstLine="567"/>
        <w:rPr>
          <w:rFonts w:hint="eastAsia"/>
        </w:rPr>
      </w:pPr>
      <w:r>
        <w:rPr>
          <w:rFonts w:hint="eastAsia"/>
        </w:rPr>
        <w:t>乙方</w:t>
      </w:r>
      <w:r>
        <w:rPr>
          <w:rFonts w:hint="eastAsia" w:ascii="宋体" w:hAnsi="宋体" w:cs="Tahoma"/>
        </w:rPr>
        <w:t>按照法律法规和</w:t>
      </w:r>
      <w:r>
        <w:rPr>
          <w:rFonts w:hint="eastAsia" w:ascii="宋体" w:hAnsi="宋体"/>
        </w:rPr>
        <w:t>有关规定，</w:t>
      </w:r>
      <w:r>
        <w:rPr>
          <w:rFonts w:hint="eastAsia"/>
        </w:rPr>
        <w:t>必须为其进入现场的全部作业人员办理覆盖整个工程期间的必要医疗、工伤、意外伤害等保险，并在甲方现场备案。工伤保险不得替代意外伤害保险。</w:t>
      </w:r>
    </w:p>
    <w:p w14:paraId="1521B85B">
      <w:pPr>
        <w:pStyle w:val="4"/>
        <w:numPr>
          <w:ilvl w:val="0"/>
          <w:numId w:val="13"/>
        </w:numPr>
        <w:tabs>
          <w:tab w:val="left" w:pos="993"/>
        </w:tabs>
        <w:snapToGrid w:val="0"/>
        <w:spacing w:line="360" w:lineRule="auto"/>
        <w:ind w:left="0" w:leftChars="0" w:right="290" w:firstLine="567"/>
        <w:rPr>
          <w:rFonts w:hint="eastAsia"/>
        </w:rPr>
      </w:pPr>
      <w:r>
        <w:rPr>
          <w:rFonts w:hint="eastAsia"/>
        </w:rPr>
        <w:t>乙方应使用合格的机械（含车辆）、工器具及安全防护设施、安全用具，各类特种设备、工、用、机具必须经过质监部门或有关技术部门定期检验合格。开工前乙方必须完成自查，并向甲方现场提交清单及自查结果。不合格的，不得进入作业现场。</w:t>
      </w:r>
    </w:p>
    <w:p w14:paraId="7E0F54E1">
      <w:pPr>
        <w:pStyle w:val="4"/>
        <w:numPr>
          <w:ilvl w:val="0"/>
          <w:numId w:val="13"/>
        </w:numPr>
        <w:tabs>
          <w:tab w:val="left" w:pos="993"/>
        </w:tabs>
        <w:snapToGrid w:val="0"/>
        <w:spacing w:line="360" w:lineRule="auto"/>
        <w:ind w:left="0" w:leftChars="0" w:right="290" w:firstLine="567"/>
        <w:rPr>
          <w:rFonts w:hint="eastAsia"/>
        </w:rPr>
      </w:pPr>
      <w:r>
        <w:rPr>
          <w:rFonts w:hint="eastAsia"/>
        </w:rPr>
        <w:t>乙方进出甲方安保区域的车辆，必须按甲方现场规定办理通行证件，并接受甲方现场保安人员的检查。</w:t>
      </w:r>
    </w:p>
    <w:p w14:paraId="7942E5D2">
      <w:pPr>
        <w:pStyle w:val="4"/>
        <w:numPr>
          <w:ilvl w:val="0"/>
          <w:numId w:val="13"/>
        </w:numPr>
        <w:tabs>
          <w:tab w:val="left" w:pos="993"/>
        </w:tabs>
        <w:snapToGrid w:val="0"/>
        <w:spacing w:line="360" w:lineRule="auto"/>
        <w:ind w:left="0" w:leftChars="0" w:right="290" w:firstLine="567"/>
        <w:rPr>
          <w:rFonts w:hint="eastAsia"/>
        </w:rPr>
      </w:pPr>
      <w:r>
        <w:rPr>
          <w:rFonts w:hint="eastAsia"/>
        </w:rPr>
        <w:t>乙方开工前须针对复杂、危险、专业性较强、风险较大的作业或危险区域作业制定专门的安健环技术</w:t>
      </w:r>
      <w:r>
        <w:t>措施或</w:t>
      </w:r>
      <w:r>
        <w:rPr>
          <w:rFonts w:hint="eastAsia"/>
        </w:rPr>
        <w:t>专项施工方案，由甲方或监理单位审查合格并监督实施。甲方或监理方的有关参与行为，将不分摊或减免乙方的安健环责任。对</w:t>
      </w:r>
      <w:r>
        <w:t>达到一定规模</w:t>
      </w:r>
      <w:r>
        <w:rPr>
          <w:rFonts w:hint="eastAsia"/>
        </w:rPr>
        <w:t>及</w:t>
      </w:r>
      <w:r>
        <w:t>以上危险性较大</w:t>
      </w:r>
      <w:r>
        <w:rPr>
          <w:rFonts w:hint="eastAsia"/>
        </w:rPr>
        <w:t>的</w:t>
      </w:r>
      <w:r>
        <w:t>工程，</w:t>
      </w:r>
      <w:r>
        <w:rPr>
          <w:rFonts w:hint="eastAsia"/>
        </w:rPr>
        <w:t>国家、行业规定必须进行专家论证的，应从其规定。</w:t>
      </w:r>
    </w:p>
    <w:p w14:paraId="3A9645CD">
      <w:pPr>
        <w:pStyle w:val="4"/>
        <w:numPr>
          <w:ilvl w:val="0"/>
          <w:numId w:val="13"/>
        </w:numPr>
        <w:tabs>
          <w:tab w:val="left" w:pos="993"/>
        </w:tabs>
        <w:snapToGrid w:val="0"/>
        <w:spacing w:line="360" w:lineRule="auto"/>
        <w:ind w:left="0" w:leftChars="0" w:right="290" w:firstLine="567"/>
        <w:rPr>
          <w:rFonts w:hint="eastAsia"/>
        </w:rPr>
      </w:pPr>
      <w:r>
        <w:rPr>
          <w:rFonts w:hint="eastAsia"/>
        </w:rPr>
        <w:t>乙方负责组织项目或分项作业开工前的安全技术交底，并将交底内容和交底人、被交底人签字的记录，一份存档，另一份送达甲方现场安全负责人备案。</w:t>
      </w:r>
    </w:p>
    <w:p w14:paraId="573B9AAE">
      <w:pPr>
        <w:pStyle w:val="4"/>
        <w:numPr>
          <w:ilvl w:val="0"/>
          <w:numId w:val="13"/>
        </w:numPr>
        <w:tabs>
          <w:tab w:val="left" w:pos="993"/>
        </w:tabs>
        <w:snapToGrid w:val="0"/>
        <w:spacing w:line="360" w:lineRule="auto"/>
        <w:ind w:left="0" w:leftChars="0" w:right="290" w:firstLine="567"/>
      </w:pPr>
      <w:r>
        <w:rPr>
          <w:rFonts w:hint="eastAsia"/>
        </w:rPr>
        <w:t>乙方应</w:t>
      </w:r>
      <w:r>
        <w:t>落实</w:t>
      </w:r>
      <w:r>
        <w:rPr>
          <w:rFonts w:hint="eastAsia"/>
        </w:rPr>
        <w:t>文明生产各项要求，安全</w:t>
      </w:r>
      <w:r>
        <w:t>设施及安全警示标志齐全，</w:t>
      </w:r>
      <w:r>
        <w:rPr>
          <w:rFonts w:hint="eastAsia"/>
        </w:rPr>
        <w:t>作业区域装设临时围栏（必要时</w:t>
      </w:r>
      <w:r>
        <w:t>实施封闭作业</w:t>
      </w:r>
      <w:r>
        <w:rPr>
          <w:rFonts w:hint="eastAsia"/>
        </w:rPr>
        <w:t>），夜间设置警告灯。不得超越指定的作业区域作业。未经甲方事前同意，不得擅自动用甲方设备设施，不得擅自拆除、变更甲方防护设施及安全标志。</w:t>
      </w:r>
    </w:p>
    <w:p w14:paraId="1A82886B">
      <w:pPr>
        <w:pStyle w:val="4"/>
        <w:numPr>
          <w:ilvl w:val="0"/>
          <w:numId w:val="13"/>
        </w:numPr>
        <w:tabs>
          <w:tab w:val="left" w:pos="993"/>
        </w:tabs>
        <w:snapToGrid w:val="0"/>
        <w:spacing w:line="360" w:lineRule="auto"/>
        <w:ind w:left="0" w:leftChars="0" w:right="290" w:firstLine="567"/>
        <w:rPr>
          <w:rFonts w:hint="eastAsia"/>
        </w:rPr>
      </w:pPr>
      <w:r>
        <w:rPr>
          <w:rFonts w:hint="eastAsia"/>
        </w:rPr>
        <w:t>乙方在项目实施过程中不得超范围工作，</w:t>
      </w:r>
      <w:r>
        <w:t>不得</w:t>
      </w:r>
      <w:r>
        <w:rPr>
          <w:rFonts w:hint="eastAsia"/>
        </w:rPr>
        <w:t>随意碰触无关设备或改变状态，</w:t>
      </w:r>
      <w:r>
        <w:t>对施工可能造成损害的毗邻建构筑物、设施设备、</w:t>
      </w:r>
      <w:r>
        <w:rPr>
          <w:rFonts w:hint="eastAsia"/>
        </w:rPr>
        <w:t>地下</w:t>
      </w:r>
      <w:r>
        <w:t>管线等应采取专项保护措施</w:t>
      </w:r>
      <w:r>
        <w:rPr>
          <w:rFonts w:hint="eastAsia"/>
        </w:rPr>
        <w:t>。</w:t>
      </w:r>
    </w:p>
    <w:p w14:paraId="06C16FBE">
      <w:pPr>
        <w:pStyle w:val="4"/>
        <w:numPr>
          <w:ilvl w:val="0"/>
          <w:numId w:val="13"/>
        </w:numPr>
        <w:tabs>
          <w:tab w:val="left" w:pos="993"/>
        </w:tabs>
        <w:snapToGrid w:val="0"/>
        <w:spacing w:line="360" w:lineRule="auto"/>
        <w:ind w:left="0" w:leftChars="0" w:right="290" w:firstLine="567"/>
        <w:rPr>
          <w:rFonts w:hint="eastAsia"/>
        </w:rPr>
      </w:pPr>
      <w:r>
        <w:rPr>
          <w:rFonts w:hint="eastAsia"/>
        </w:rPr>
        <w:t>乙方需使用水、电、气源，必须提出申请并执行甲方相关规定，不得私拉乱接。乙方作业过程中必须严格执行国家、行业有关法律法规和规范性文件要求以及甲方的规章制度，安全用水、用电、用气。</w:t>
      </w:r>
    </w:p>
    <w:p w14:paraId="49F44D82">
      <w:pPr>
        <w:pStyle w:val="4"/>
        <w:numPr>
          <w:ilvl w:val="0"/>
          <w:numId w:val="13"/>
        </w:numPr>
        <w:tabs>
          <w:tab w:val="left" w:pos="993"/>
        </w:tabs>
        <w:snapToGrid w:val="0"/>
        <w:spacing w:line="360" w:lineRule="auto"/>
        <w:ind w:left="0" w:leftChars="0" w:right="290" w:firstLine="567"/>
        <w:rPr>
          <w:rFonts w:hint="eastAsia"/>
        </w:rPr>
      </w:pPr>
      <w:r>
        <w:rPr>
          <w:rFonts w:hint="eastAsia"/>
        </w:rPr>
        <w:t>乙方施工过程中必须对现场进行定置管理，做到“三不落地”（材料、工具、水和油不落地），保持地面整洁及自觉保护环境（如草地、树木、绿化带等），如有损坏要负责恢复、赔偿。</w:t>
      </w:r>
    </w:p>
    <w:p w14:paraId="6886E4A7">
      <w:pPr>
        <w:pStyle w:val="4"/>
        <w:numPr>
          <w:ilvl w:val="0"/>
          <w:numId w:val="13"/>
        </w:numPr>
        <w:tabs>
          <w:tab w:val="left" w:pos="993"/>
        </w:tabs>
        <w:snapToGrid w:val="0"/>
        <w:spacing w:line="360" w:lineRule="auto"/>
        <w:ind w:left="0" w:leftChars="0" w:right="290" w:firstLine="567"/>
        <w:rPr>
          <w:rFonts w:hint="eastAsia"/>
        </w:rPr>
      </w:pPr>
      <w:r>
        <w:rPr>
          <w:rFonts w:hint="eastAsia"/>
        </w:rPr>
        <w:t xml:space="preserve">乙方负责对施工过程中物料和废料进行分类管理，采取措施防止扬尘、泄漏、污染事件，作业后，必须做到工完、料净、场地清。 </w:t>
      </w:r>
    </w:p>
    <w:p w14:paraId="7E8C6B8B">
      <w:pPr>
        <w:pStyle w:val="4"/>
        <w:numPr>
          <w:ilvl w:val="0"/>
          <w:numId w:val="13"/>
        </w:numPr>
        <w:tabs>
          <w:tab w:val="left" w:pos="993"/>
        </w:tabs>
        <w:snapToGrid w:val="0"/>
        <w:spacing w:line="360" w:lineRule="auto"/>
        <w:ind w:left="0" w:leftChars="0" w:right="290" w:firstLine="567"/>
        <w:rPr>
          <w:rFonts w:hint="eastAsia"/>
        </w:rPr>
      </w:pPr>
      <w:r>
        <w:rPr>
          <w:rFonts w:hint="eastAsia"/>
        </w:rPr>
        <w:t>乙方负责采取措施，防治工程项目实施过程中产生的废气、废水、废渣、粉尘、恶臭气体、放射性物质以及噪声、振动、光辐射、电磁辐射等对环境的污染和危害。污染物处置、排放必须依法合规且达标。</w:t>
      </w:r>
      <w:r>
        <w:t>采取措施避免施工中产生的灰尘、噪音、强光、废水等有害污染物影响到施工及周边区域的环境及人员健康。</w:t>
      </w:r>
    </w:p>
    <w:p w14:paraId="3969224D">
      <w:pPr>
        <w:pStyle w:val="4"/>
        <w:numPr>
          <w:ilvl w:val="0"/>
          <w:numId w:val="13"/>
        </w:numPr>
        <w:tabs>
          <w:tab w:val="left" w:pos="993"/>
        </w:tabs>
        <w:snapToGrid w:val="0"/>
        <w:spacing w:line="360" w:lineRule="auto"/>
        <w:ind w:left="0" w:leftChars="0" w:right="290" w:firstLine="567"/>
        <w:rPr>
          <w:color w:val="auto"/>
          <w:u w:val="single"/>
        </w:rPr>
      </w:pPr>
      <w:r>
        <w:rPr>
          <w:rFonts w:hint="eastAsia"/>
          <w:color w:val="auto"/>
          <w:u w:val="single"/>
        </w:rPr>
        <w:t>乙方</w:t>
      </w:r>
      <w:r>
        <w:rPr>
          <w:rFonts w:hint="eastAsia"/>
          <w:color w:val="auto"/>
          <w:u w:val="single"/>
          <w:lang w:val="en-US" w:eastAsia="zh-CN"/>
        </w:rPr>
        <w:t>应加强所承包项目安健环管理，作业过程严格遵守《电力建设安全工作规程》、《电业安全工作规程》、《建筑施工高处作业施工规范》、《施工现场临时用电安全技术规范》、《建筑深基坑工程施工安全技术规范》、《建筑施工扣件式钢管脚手架安全技术规范》、《建筑施工安全检查标准》等规范、标准规定，符合甲方《深能环保生产企业安全管理指引》、《深能环保检修安全管理指引》、《深能环保基建工程安全文明施工标准》等标准、指引要求，杜绝以下习惯性违章行为（包括但不限于以下内容）主要有：</w:t>
      </w:r>
    </w:p>
    <w:p w14:paraId="1A89F77A">
      <w:pPr>
        <w:pStyle w:val="4"/>
        <w:numPr>
          <w:ilvl w:val="0"/>
          <w:numId w:val="14"/>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进入施工现场未戴安全帽，或安全帽没有正确佩戴，安全帽带未系紧</w:t>
      </w:r>
    </w:p>
    <w:p w14:paraId="3C4E8EA8">
      <w:pPr>
        <w:pStyle w:val="4"/>
        <w:numPr>
          <w:ilvl w:val="0"/>
          <w:numId w:val="14"/>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着装不规范（如：未戴出入证，工作服未扣好钮扣，穿背心、短裤、裙子、拖鞋、高跟鞋进入施工现场，踩鞋后跟等）</w:t>
      </w:r>
    </w:p>
    <w:p w14:paraId="1E43D4EE">
      <w:pPr>
        <w:pStyle w:val="4"/>
        <w:numPr>
          <w:ilvl w:val="0"/>
          <w:numId w:val="14"/>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特种工种无证作业</w:t>
      </w:r>
    </w:p>
    <w:p w14:paraId="6A8D39C1">
      <w:pPr>
        <w:pStyle w:val="4"/>
        <w:numPr>
          <w:ilvl w:val="0"/>
          <w:numId w:val="14"/>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超负荷或超期限使用电气、机械设备</w:t>
      </w:r>
    </w:p>
    <w:p w14:paraId="27026FEE">
      <w:pPr>
        <w:pStyle w:val="4"/>
        <w:numPr>
          <w:ilvl w:val="0"/>
          <w:numId w:val="14"/>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酒后进入施工现场，在现场睡觉</w:t>
      </w:r>
    </w:p>
    <w:p w14:paraId="506AC8F5">
      <w:pPr>
        <w:pStyle w:val="4"/>
        <w:numPr>
          <w:ilvl w:val="0"/>
          <w:numId w:val="14"/>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未按规定布置或擅自拆除、损坏、移动安全设施、标志、警告牌</w:t>
      </w:r>
    </w:p>
    <w:p w14:paraId="2DC15B36">
      <w:pPr>
        <w:pStyle w:val="4"/>
        <w:numPr>
          <w:ilvl w:val="0"/>
          <w:numId w:val="14"/>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检修、清理运行中设备</w:t>
      </w:r>
    </w:p>
    <w:p w14:paraId="5D153775">
      <w:pPr>
        <w:pStyle w:val="4"/>
        <w:numPr>
          <w:ilvl w:val="0"/>
          <w:numId w:val="14"/>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各类施工机械、电气安全保护装置不齐</w:t>
      </w:r>
    </w:p>
    <w:p w14:paraId="288CDDFE">
      <w:pPr>
        <w:pStyle w:val="4"/>
        <w:numPr>
          <w:ilvl w:val="0"/>
          <w:numId w:val="14"/>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机械设备的电气、转动部件外露部分无防护装置</w:t>
      </w:r>
    </w:p>
    <w:p w14:paraId="1E67090A">
      <w:pPr>
        <w:pStyle w:val="4"/>
        <w:numPr>
          <w:ilvl w:val="0"/>
          <w:numId w:val="14"/>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使用不合格的设备、机械、工器具、劳动保护用品</w:t>
      </w:r>
    </w:p>
    <w:p w14:paraId="2287050D">
      <w:pPr>
        <w:pStyle w:val="4"/>
        <w:numPr>
          <w:ilvl w:val="0"/>
          <w:numId w:val="14"/>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夜间或光线不足地点未有充足照明或警示红灯</w:t>
      </w:r>
    </w:p>
    <w:p w14:paraId="7BB60232">
      <w:pPr>
        <w:pStyle w:val="4"/>
        <w:numPr>
          <w:ilvl w:val="0"/>
          <w:numId w:val="14"/>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起吊、存放零散物件未做好防坠措施</w:t>
      </w:r>
    </w:p>
    <w:p w14:paraId="2073D72A">
      <w:pPr>
        <w:pStyle w:val="4"/>
        <w:numPr>
          <w:ilvl w:val="0"/>
          <w:numId w:val="14"/>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对地下设施、管线不采取保护、标识措施</w:t>
      </w:r>
    </w:p>
    <w:p w14:paraId="35D3B6C3">
      <w:pPr>
        <w:pStyle w:val="4"/>
        <w:numPr>
          <w:ilvl w:val="0"/>
          <w:numId w:val="14"/>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交叉、起重、带电作业未有隔离措施、警戒区域，并未设专人监护</w:t>
      </w:r>
    </w:p>
    <w:p w14:paraId="37FEDA86">
      <w:pPr>
        <w:pStyle w:val="4"/>
        <w:numPr>
          <w:ilvl w:val="0"/>
          <w:numId w:val="14"/>
        </w:numPr>
        <w:tabs>
          <w:tab w:val="left" w:pos="993"/>
          <w:tab w:val="clear" w:pos="0"/>
        </w:tabs>
        <w:snapToGrid w:val="0"/>
        <w:spacing w:line="360" w:lineRule="auto"/>
        <w:ind w:left="454" w:leftChars="0" w:right="254" w:rightChars="121" w:hanging="454" w:firstLineChars="0"/>
        <w:rPr>
          <w:rFonts w:hint="eastAsia"/>
          <w:color w:val="auto"/>
          <w:u w:val="single"/>
        </w:rPr>
      </w:pPr>
      <w:r>
        <w:rPr>
          <w:rFonts w:hint="eastAsia"/>
          <w:color w:val="auto"/>
          <w:u w:val="single"/>
        </w:rPr>
        <w:t>密闭容器内、潮湿地点电源未使用安全电压或设置漏电保护开关，密闭容器未有良好通风、未设专人监护</w:t>
      </w:r>
    </w:p>
    <w:p w14:paraId="6CAF08FD">
      <w:pPr>
        <w:pStyle w:val="4"/>
        <w:numPr>
          <w:ilvl w:val="0"/>
          <w:numId w:val="14"/>
        </w:numPr>
        <w:tabs>
          <w:tab w:val="left" w:pos="993"/>
          <w:tab w:val="clear" w:pos="0"/>
        </w:tabs>
        <w:snapToGrid w:val="0"/>
        <w:spacing w:line="360" w:lineRule="auto"/>
        <w:ind w:left="454" w:leftChars="0" w:right="254" w:rightChars="121" w:hanging="454" w:firstLineChars="0"/>
        <w:rPr>
          <w:color w:val="auto"/>
          <w:u w:val="single"/>
        </w:rPr>
      </w:pPr>
      <w:r>
        <w:rPr>
          <w:rFonts w:hint="eastAsia"/>
          <w:color w:val="auto"/>
          <w:u w:val="single"/>
        </w:rPr>
        <w:t>梯长不按规定驳长使用或放置不稳，多人同时站在梯子上作业</w:t>
      </w:r>
    </w:p>
    <w:p w14:paraId="66468549">
      <w:pPr>
        <w:pStyle w:val="4"/>
        <w:numPr>
          <w:ilvl w:val="0"/>
          <w:numId w:val="14"/>
        </w:numPr>
        <w:tabs>
          <w:tab w:val="left" w:pos="993"/>
          <w:tab w:val="clear" w:pos="0"/>
        </w:tabs>
        <w:snapToGrid w:val="0"/>
        <w:spacing w:line="360" w:lineRule="auto"/>
        <w:ind w:left="454" w:leftChars="0" w:right="254" w:rightChars="121" w:hanging="454" w:firstLineChars="0"/>
      </w:pPr>
      <w:r>
        <w:rPr>
          <w:rFonts w:hint="eastAsia"/>
          <w:color w:val="auto"/>
          <w:u w:val="single"/>
          <w:lang w:val="en-US" w:eastAsia="zh-CN"/>
        </w:rPr>
        <w:t>其他不符合高处作业、土石方作业、施工用电、深基坑作业、脚手架作业、模板工程、起重作业、有限空间作业、危化品管理、调试施工等作业规范的行为。</w:t>
      </w:r>
    </w:p>
    <w:p w14:paraId="07CE9D84">
      <w:pPr>
        <w:pStyle w:val="4"/>
        <w:numPr>
          <w:ilvl w:val="0"/>
          <w:numId w:val="13"/>
        </w:numPr>
        <w:tabs>
          <w:tab w:val="left" w:pos="993"/>
        </w:tabs>
        <w:snapToGrid w:val="0"/>
        <w:spacing w:line="360" w:lineRule="auto"/>
        <w:ind w:left="0" w:leftChars="0" w:right="290" w:firstLine="567"/>
        <w:rPr>
          <w:rFonts w:hint="eastAsia"/>
        </w:rPr>
      </w:pPr>
      <w:r>
        <w:rPr>
          <w:rFonts w:hint="eastAsia"/>
        </w:rPr>
        <w:t>乙方应根据工作范围、作业环境以及工程项目的特点，对施工现场容易引发安全生产事故的危险源、危险部位、危险环节进行监控，并制定施工现场安全应急预案, 建立应急救援组织、配备应急物资和器材，并定期组织应急培训和演练。</w:t>
      </w:r>
    </w:p>
    <w:p w14:paraId="048760CD">
      <w:pPr>
        <w:pStyle w:val="4"/>
        <w:numPr>
          <w:ilvl w:val="0"/>
          <w:numId w:val="13"/>
        </w:numPr>
        <w:tabs>
          <w:tab w:val="left" w:pos="993"/>
        </w:tabs>
        <w:snapToGrid w:val="0"/>
        <w:spacing w:line="360" w:lineRule="auto"/>
        <w:ind w:left="0" w:leftChars="0" w:right="290" w:firstLine="567"/>
      </w:pPr>
      <w:r>
        <w:rPr>
          <w:rFonts w:hint="eastAsia"/>
        </w:rPr>
        <w:t>发生人身、设备、火灾、环境污染等事故或危及生产运行的不安全情况及其他不安全和环境污染事件时，乙方须首先救治伤员，及时向甲方报告，并积极落实应急措施防止事态扩大、减少事故损失。同时应保护好事故现场，视事故事件大小、类别按有关规定向政府有关部门报告。执行国家事故信息上报规定，并按国家的有关规定开展事故调查处理。</w:t>
      </w:r>
    </w:p>
    <w:p w14:paraId="13F6E5C9">
      <w:pPr>
        <w:pStyle w:val="4"/>
        <w:numPr>
          <w:ilvl w:val="0"/>
          <w:numId w:val="13"/>
        </w:numPr>
        <w:tabs>
          <w:tab w:val="left" w:pos="993"/>
        </w:tabs>
        <w:snapToGrid w:val="0"/>
        <w:spacing w:line="360" w:lineRule="auto"/>
        <w:ind w:left="0" w:leftChars="0" w:right="290" w:firstLine="567"/>
        <w:rPr>
          <w:rFonts w:hint="eastAsia"/>
        </w:rPr>
      </w:pPr>
      <w:r>
        <w:rPr>
          <w:rFonts w:hint="eastAsia"/>
        </w:rPr>
        <w:t>项目</w:t>
      </w:r>
      <w:r>
        <w:t>建设工程实行施工总承包的，由总承包单位对施工现场的</w:t>
      </w:r>
      <w:r>
        <w:rPr>
          <w:rFonts w:hint="eastAsia"/>
        </w:rPr>
        <w:t>安健环管理特别是</w:t>
      </w:r>
      <w:r>
        <w:t>安全生产方面负总责。总承包单位依法合规并事前签订书面合约将建设工程分包给其他单位的，</w:t>
      </w:r>
      <w:r>
        <w:rPr>
          <w:rFonts w:hint="eastAsia"/>
        </w:rPr>
        <w:t>总承包单位要按甲方有关规定和要求对项目分包商进行严格审查，不合格的不得承接分包项目，严禁层层转包。总承包单位必须与分包方签订安健环管理协议，明确双方管理职责和应采取的安健环措施。总承包单位须将分包方纳入到自己的管理范围，并对其安健环管理过程和结果负连带责任。</w:t>
      </w:r>
      <w:r>
        <w:t>分包单位必须服从总承包单位的</w:t>
      </w:r>
      <w:r>
        <w:rPr>
          <w:rFonts w:hint="eastAsia"/>
        </w:rPr>
        <w:t>安健环</w:t>
      </w:r>
      <w:r>
        <w:t>管理，</w:t>
      </w:r>
      <w:r>
        <w:rPr>
          <w:rFonts w:hint="eastAsia"/>
        </w:rPr>
        <w:t>因</w:t>
      </w:r>
      <w:r>
        <w:t>分包单位不服从管理导致</w:t>
      </w:r>
      <w:r>
        <w:rPr>
          <w:rFonts w:hint="eastAsia"/>
        </w:rPr>
        <w:t>安健环</w:t>
      </w:r>
      <w:r>
        <w:t>事故</w:t>
      </w:r>
      <w:r>
        <w:rPr>
          <w:rFonts w:hint="eastAsia"/>
        </w:rPr>
        <w:t>、事件</w:t>
      </w:r>
      <w:r>
        <w:t>的，由分包单位承担主要责任。</w:t>
      </w:r>
    </w:p>
    <w:p w14:paraId="0F2A0163">
      <w:pPr>
        <w:pStyle w:val="4"/>
        <w:numPr>
          <w:ilvl w:val="0"/>
          <w:numId w:val="13"/>
        </w:numPr>
        <w:tabs>
          <w:tab w:val="left" w:pos="993"/>
        </w:tabs>
        <w:snapToGrid w:val="0"/>
        <w:spacing w:line="360" w:lineRule="auto"/>
        <w:ind w:left="0" w:leftChars="0" w:right="290" w:firstLine="567"/>
        <w:rPr>
          <w:rFonts w:hint="eastAsia"/>
        </w:rPr>
      </w:pPr>
      <w:r>
        <w:t>承包人应承担各类事件后的维稳运作和费用</w:t>
      </w:r>
      <w:r>
        <w:rPr>
          <w:rFonts w:hint="eastAsia"/>
        </w:rPr>
        <w:t>。</w:t>
      </w:r>
    </w:p>
    <w:p w14:paraId="41D3BABC">
      <w:pPr>
        <w:pStyle w:val="4"/>
        <w:numPr>
          <w:ilvl w:val="0"/>
          <w:numId w:val="6"/>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违约责任与违约金扣缴或处罚</w:t>
      </w:r>
    </w:p>
    <w:p w14:paraId="7943AFD4">
      <w:pPr>
        <w:pStyle w:val="4"/>
        <w:numPr>
          <w:ilvl w:val="0"/>
          <w:numId w:val="15"/>
        </w:numPr>
        <w:snapToGrid w:val="0"/>
        <w:spacing w:line="360" w:lineRule="auto"/>
        <w:ind w:left="0" w:leftChars="0" w:right="290" w:firstLine="567"/>
      </w:pPr>
      <w:r>
        <w:rPr>
          <w:rFonts w:hint="eastAsia"/>
        </w:rPr>
        <w:t>由于责任方原因造成安健环事故、</w:t>
      </w:r>
      <w:r>
        <w:t>事件</w:t>
      </w:r>
      <w:r>
        <w:rPr>
          <w:rFonts w:hint="eastAsia"/>
        </w:rPr>
        <w:t>发生，引发对方或第三方的人身伤害、设备损坏或财产损失，由责任方承担相应安健环责任、</w:t>
      </w:r>
      <w:r>
        <w:t>法律责任和全部经济损</w:t>
      </w:r>
      <w:r>
        <w:rPr>
          <w:rFonts w:hint="eastAsia"/>
        </w:rPr>
        <w:t>失（包括</w:t>
      </w:r>
      <w:r>
        <w:t>但不限于</w:t>
      </w:r>
      <w:r>
        <w:rPr>
          <w:rFonts w:hint="eastAsia"/>
        </w:rPr>
        <w:t>有关赔偿或补偿）。双方均有责任的，甲乙双方</w:t>
      </w:r>
      <w:r>
        <w:t>按</w:t>
      </w:r>
      <w:r>
        <w:rPr>
          <w:rFonts w:hint="eastAsia"/>
        </w:rPr>
        <w:t>认定的责任各自承担。</w:t>
      </w:r>
    </w:p>
    <w:p w14:paraId="0A6FC0B0">
      <w:pPr>
        <w:pStyle w:val="4"/>
        <w:numPr>
          <w:ilvl w:val="0"/>
          <w:numId w:val="15"/>
        </w:numPr>
        <w:snapToGrid w:val="0"/>
        <w:spacing w:line="360" w:lineRule="auto"/>
        <w:ind w:left="0" w:leftChars="0" w:right="290" w:firstLine="567"/>
      </w:pPr>
      <w:r>
        <w:rPr>
          <w:rFonts w:hint="eastAsia"/>
        </w:rPr>
        <w:t>甲乙双方向对方提供的有关文件、资料应准确有效，符合安健环法规要求，否则接受方有权拒绝；对于因虚假或不实文件、资料引起的安健环责任和不良后果，由提供方独自承担全部责任并负责有关赔偿或补偿。</w:t>
      </w:r>
    </w:p>
    <w:p w14:paraId="480F14CA">
      <w:pPr>
        <w:pStyle w:val="4"/>
        <w:numPr>
          <w:ilvl w:val="0"/>
          <w:numId w:val="15"/>
        </w:numPr>
        <w:snapToGrid w:val="0"/>
        <w:spacing w:line="360" w:lineRule="auto"/>
        <w:ind w:left="0" w:leftChars="0" w:right="290" w:firstLine="567"/>
      </w:pPr>
      <w:r>
        <w:rPr>
          <w:rFonts w:hint="eastAsia"/>
        </w:rPr>
        <w:t xml:space="preserve">乙方因工程需要使用甲方设备、设施、工器具和安全防护用品的，必须经甲方批准，并由乙方书面验收合格后方能使用。验收不合格，不得使用。未经甲方批准擅自使用或因乙方使用不当等情况造成设备设施损坏或引发事故的，由乙方独自承担全部责任并负责有关赔偿或补偿。 </w:t>
      </w:r>
    </w:p>
    <w:p w14:paraId="7802E169">
      <w:pPr>
        <w:pStyle w:val="4"/>
        <w:numPr>
          <w:ilvl w:val="0"/>
          <w:numId w:val="15"/>
        </w:numPr>
        <w:snapToGrid w:val="0"/>
        <w:spacing w:line="360" w:lineRule="auto"/>
        <w:ind w:left="0" w:leftChars="0" w:right="290" w:firstLine="567"/>
        <w:rPr>
          <w:rFonts w:hint="eastAsia"/>
        </w:rPr>
      </w:pPr>
      <w:r>
        <w:rPr>
          <w:rFonts w:hint="eastAsia"/>
        </w:rPr>
        <w:t>乙方发生下列情况之一，由乙方独自负全部责任、承担全部经济损失赔偿、补偿和相关罚款、</w:t>
      </w:r>
      <w:r>
        <w:t>违约</w:t>
      </w:r>
      <w:r>
        <w:rPr>
          <w:rFonts w:hint="eastAsia"/>
        </w:rPr>
        <w:t>金，</w:t>
      </w:r>
      <w:r>
        <w:t>并</w:t>
      </w:r>
      <w:r>
        <w:rPr>
          <w:rFonts w:hint="eastAsia"/>
        </w:rPr>
        <w:t>由乙方完成（包括但不限于</w:t>
      </w:r>
      <w:r>
        <w:t>受理</w:t>
      </w:r>
      <w:r>
        <w:rPr>
          <w:rFonts w:hint="eastAsia"/>
        </w:rPr>
        <w:t>、</w:t>
      </w:r>
      <w:r>
        <w:t>调查核实</w:t>
      </w:r>
      <w:r>
        <w:rPr>
          <w:rFonts w:hint="eastAsia"/>
        </w:rPr>
        <w:t>、</w:t>
      </w:r>
      <w:r>
        <w:t>提</w:t>
      </w:r>
      <w:r>
        <w:rPr>
          <w:rFonts w:hint="eastAsia"/>
        </w:rPr>
        <w:t>交报告、配合认定、安抚谈判、承担责任、污染复原、支付赔偿等）等</w:t>
      </w:r>
      <w:r>
        <w:t>善后事宜</w:t>
      </w:r>
      <w:r>
        <w:rPr>
          <w:rFonts w:hint="eastAsia"/>
        </w:rPr>
        <w:t>。</w:t>
      </w:r>
      <w:r>
        <w:t>造成</w:t>
      </w:r>
      <w:r>
        <w:rPr>
          <w:rFonts w:hint="eastAsia"/>
        </w:rPr>
        <w:t>甲方</w:t>
      </w:r>
      <w:r>
        <w:t>或第三方损失的也由</w:t>
      </w:r>
      <w:r>
        <w:rPr>
          <w:rFonts w:hint="eastAsia"/>
        </w:rPr>
        <w:t>乙方</w:t>
      </w:r>
      <w:r>
        <w:t>全部承担</w:t>
      </w:r>
      <w:r>
        <w:rPr>
          <w:rFonts w:hint="eastAsia"/>
        </w:rPr>
        <w:t>：</w:t>
      </w:r>
    </w:p>
    <w:p w14:paraId="2081C97D">
      <w:pPr>
        <w:pStyle w:val="4"/>
        <w:numPr>
          <w:ilvl w:val="0"/>
          <w:numId w:val="16"/>
        </w:numPr>
        <w:snapToGrid w:val="0"/>
        <w:spacing w:line="360" w:lineRule="auto"/>
        <w:ind w:leftChars="0" w:right="290"/>
      </w:pPr>
      <w:r>
        <w:rPr>
          <w:rFonts w:hint="eastAsia"/>
        </w:rPr>
        <w:t>擅自更换投标文件列明的项目经理、监理总监、技术负责人、安全负责人、安全监理等关键岗位人员或关键岗位人员不到岗、履责不到位引起、导致、造成事故。</w:t>
      </w:r>
    </w:p>
    <w:p w14:paraId="1C48DD50">
      <w:pPr>
        <w:pStyle w:val="4"/>
        <w:numPr>
          <w:ilvl w:val="0"/>
          <w:numId w:val="16"/>
        </w:numPr>
        <w:snapToGrid w:val="0"/>
        <w:spacing w:line="360" w:lineRule="auto"/>
        <w:ind w:left="0" w:leftChars="0" w:right="290" w:firstLine="567"/>
        <w:rPr>
          <w:rFonts w:hint="eastAsia"/>
        </w:rPr>
      </w:pPr>
      <w:r>
        <w:rPr>
          <w:rFonts w:hint="eastAsia"/>
        </w:rPr>
        <w:t>不按施工方案施工、不执行安全技术措施、安健环</w:t>
      </w:r>
      <w:r>
        <w:t>监管不到位、安健环投入不足、</w:t>
      </w:r>
      <w:r>
        <w:rPr>
          <w:rFonts w:hint="eastAsia"/>
        </w:rPr>
        <w:t>人员</w:t>
      </w:r>
      <w:r>
        <w:t>安健环教育不到位</w:t>
      </w:r>
      <w:r>
        <w:rPr>
          <w:rFonts w:hint="eastAsia"/>
        </w:rPr>
        <w:t>、</w:t>
      </w:r>
      <w:r>
        <w:t>隐患整改不及时</w:t>
      </w:r>
      <w:r>
        <w:rPr>
          <w:rFonts w:hint="eastAsia"/>
        </w:rPr>
        <w:t>或</w:t>
      </w:r>
      <w:r>
        <w:t>不彻底</w:t>
      </w:r>
      <w:r>
        <w:rPr>
          <w:rFonts w:hint="eastAsia"/>
        </w:rPr>
        <w:t>、</w:t>
      </w:r>
      <w:r>
        <w:t>施工</w:t>
      </w:r>
      <w:r>
        <w:rPr>
          <w:rFonts w:hint="eastAsia"/>
        </w:rPr>
        <w:t>用机具</w:t>
      </w:r>
      <w:r>
        <w:t>及安全防护用品不满足施工需求等情况</w:t>
      </w:r>
      <w:r>
        <w:rPr>
          <w:rFonts w:hint="eastAsia"/>
        </w:rPr>
        <w:t>所引起、导致、造成事故。</w:t>
      </w:r>
    </w:p>
    <w:p w14:paraId="335D1687">
      <w:pPr>
        <w:pStyle w:val="4"/>
        <w:numPr>
          <w:ilvl w:val="0"/>
          <w:numId w:val="16"/>
        </w:numPr>
        <w:snapToGrid w:val="0"/>
        <w:spacing w:line="360" w:lineRule="auto"/>
        <w:ind w:left="0" w:leftChars="0" w:right="290" w:firstLine="567"/>
        <w:rPr>
          <w:rFonts w:hint="eastAsia"/>
        </w:rPr>
      </w:pPr>
      <w:r>
        <w:rPr>
          <w:rFonts w:hint="eastAsia"/>
        </w:rPr>
        <w:t>违法、违规、违章指挥、违章作业、违反劳动纪律、违反本协议、</w:t>
      </w:r>
      <w:r>
        <w:t>违反</w:t>
      </w:r>
      <w:r>
        <w:rPr>
          <w:rFonts w:hint="eastAsia"/>
        </w:rPr>
        <w:t>甲方安健环</w:t>
      </w:r>
      <w:r>
        <w:t>规定</w:t>
      </w:r>
      <w:r>
        <w:rPr>
          <w:rFonts w:hint="eastAsia"/>
        </w:rPr>
        <w:t>等所引起、导致、造成事故。</w:t>
      </w:r>
    </w:p>
    <w:p w14:paraId="7DEFB92D">
      <w:pPr>
        <w:pStyle w:val="4"/>
        <w:numPr>
          <w:ilvl w:val="0"/>
          <w:numId w:val="16"/>
        </w:numPr>
        <w:snapToGrid w:val="0"/>
        <w:spacing w:line="360" w:lineRule="auto"/>
        <w:ind w:left="0" w:leftChars="0" w:right="290" w:firstLine="567"/>
        <w:rPr>
          <w:rFonts w:hint="eastAsia"/>
        </w:rPr>
      </w:pPr>
      <w:r>
        <w:rPr>
          <w:rFonts w:hint="eastAsia"/>
        </w:rPr>
        <w:t>使用有隐患的或未经许可擅自拆除安全防护设施所引起、导致、造成事故。</w:t>
      </w:r>
    </w:p>
    <w:p w14:paraId="3954282A">
      <w:pPr>
        <w:pStyle w:val="4"/>
        <w:numPr>
          <w:ilvl w:val="0"/>
          <w:numId w:val="16"/>
        </w:numPr>
        <w:snapToGrid w:val="0"/>
        <w:spacing w:line="360" w:lineRule="auto"/>
        <w:ind w:left="0" w:leftChars="0" w:right="290" w:firstLine="567"/>
        <w:rPr>
          <w:rFonts w:hint="eastAsia"/>
        </w:rPr>
      </w:pPr>
      <w:r>
        <w:rPr>
          <w:rFonts w:hint="eastAsia"/>
        </w:rPr>
        <w:t xml:space="preserve"> 擅自损坏、毁坏安全防护设施所引起、导致、造成事故。</w:t>
      </w:r>
    </w:p>
    <w:p w14:paraId="7B52A20A">
      <w:pPr>
        <w:pStyle w:val="4"/>
        <w:numPr>
          <w:ilvl w:val="0"/>
          <w:numId w:val="16"/>
        </w:numPr>
        <w:snapToGrid w:val="0"/>
        <w:spacing w:line="360" w:lineRule="auto"/>
        <w:ind w:left="0" w:leftChars="0" w:right="290" w:firstLine="567"/>
      </w:pPr>
      <w:r>
        <w:rPr>
          <w:rFonts w:hint="eastAsia"/>
        </w:rPr>
        <w:t>由于乙方故意、过失、渎职、疏于管理等原因或责任所引起、导致、造成事故。</w:t>
      </w:r>
    </w:p>
    <w:p w14:paraId="3EDFFA58">
      <w:pPr>
        <w:pStyle w:val="4"/>
        <w:numPr>
          <w:ilvl w:val="0"/>
          <w:numId w:val="16"/>
        </w:numPr>
        <w:snapToGrid w:val="0"/>
        <w:spacing w:line="360" w:lineRule="auto"/>
        <w:ind w:left="0" w:leftChars="0" w:right="290" w:firstLine="567"/>
        <w:rPr>
          <w:rFonts w:hint="eastAsia"/>
        </w:rPr>
      </w:pPr>
      <w:r>
        <w:rPr>
          <w:rFonts w:hint="eastAsia"/>
        </w:rPr>
        <w:t>乙方与其派往现场等人员产生劳动争议和任何纠纷。</w:t>
      </w:r>
    </w:p>
    <w:p w14:paraId="16690EF1">
      <w:pPr>
        <w:pStyle w:val="4"/>
        <w:numPr>
          <w:ilvl w:val="0"/>
          <w:numId w:val="16"/>
        </w:numPr>
        <w:snapToGrid w:val="0"/>
        <w:spacing w:line="360" w:lineRule="auto"/>
        <w:ind w:left="0" w:leftChars="0" w:right="290" w:firstLine="567"/>
        <w:rPr>
          <w:rFonts w:hint="eastAsia"/>
        </w:rPr>
      </w:pPr>
      <w:r>
        <w:rPr>
          <w:rFonts w:hint="eastAsia"/>
        </w:rPr>
        <w:t>其他因乙方未有效履行有关安健环管理职责和落实有关安健环措施，造成生命财产损失、发生安全生产事故</w:t>
      </w:r>
      <w:r>
        <w:t>事件、</w:t>
      </w:r>
      <w:r>
        <w:rPr>
          <w:rFonts w:hint="eastAsia"/>
        </w:rPr>
        <w:t>发生</w:t>
      </w:r>
      <w:r>
        <w:t>职业危害事件</w:t>
      </w:r>
      <w:r>
        <w:rPr>
          <w:rFonts w:hint="eastAsia"/>
        </w:rPr>
        <w:t>或环境污染事故事件。</w:t>
      </w:r>
    </w:p>
    <w:p w14:paraId="05B7FED8">
      <w:pPr>
        <w:pStyle w:val="4"/>
        <w:numPr>
          <w:ilvl w:val="0"/>
          <w:numId w:val="15"/>
        </w:numPr>
        <w:snapToGrid w:val="0"/>
        <w:spacing w:line="360" w:lineRule="auto"/>
        <w:ind w:left="0" w:leftChars="0" w:right="290" w:firstLine="567"/>
      </w:pPr>
      <w:r>
        <w:rPr>
          <w:rFonts w:hint="eastAsia"/>
        </w:rPr>
        <w:t>发生以下乙方</w:t>
      </w:r>
      <w:r>
        <w:t>责任</w:t>
      </w:r>
      <w:r>
        <w:rPr>
          <w:rFonts w:hint="eastAsia"/>
        </w:rPr>
        <w:t>安健环</w:t>
      </w:r>
      <w:r>
        <w:t>事故事件</w:t>
      </w:r>
      <w:r>
        <w:rPr>
          <w:rFonts w:hint="eastAsia"/>
        </w:rPr>
        <w:t>的</w:t>
      </w:r>
      <w:r>
        <w:t>，</w:t>
      </w:r>
      <w:r>
        <w:rPr>
          <w:rFonts w:hint="eastAsia"/>
        </w:rPr>
        <w:t>甲方有权依约依规</w:t>
      </w:r>
      <w:r>
        <w:t>对</w:t>
      </w:r>
      <w:r>
        <w:rPr>
          <w:rFonts w:hint="eastAsia"/>
        </w:rPr>
        <w:t>乙</w:t>
      </w:r>
      <w:r>
        <w:t>方进行</w:t>
      </w:r>
      <w:r>
        <w:rPr>
          <w:rFonts w:hint="eastAsia"/>
        </w:rPr>
        <w:t>违约金扣除，违约金</w:t>
      </w:r>
      <w:r>
        <w:t>额从</w:t>
      </w:r>
      <w:r>
        <w:rPr>
          <w:rFonts w:hint="eastAsia"/>
        </w:rPr>
        <w:t>甲方应支付乙方的合同费用、履约保证金或履约保函中直接给予扣除（此并不构成甲方违约）</w:t>
      </w:r>
      <w:r>
        <w:t>。</w:t>
      </w:r>
      <w:r>
        <w:rPr>
          <w:rFonts w:hint="eastAsia"/>
        </w:rPr>
        <w:t>违约金扣除标准</w:t>
      </w:r>
      <w:r>
        <w:t>如下</w:t>
      </w:r>
      <w:r>
        <w:rPr>
          <w:rFonts w:hint="eastAsia"/>
        </w:rPr>
        <w:t>：</w:t>
      </w:r>
    </w:p>
    <w:p w14:paraId="1204DA7D">
      <w:pPr>
        <w:pStyle w:val="4"/>
        <w:numPr>
          <w:ilvl w:val="0"/>
          <w:numId w:val="17"/>
        </w:numPr>
        <w:snapToGrid w:val="0"/>
        <w:spacing w:line="360" w:lineRule="auto"/>
        <w:ind w:leftChars="0" w:right="290"/>
        <w:rPr>
          <w:color w:val="auto"/>
          <w:u w:val="single"/>
        </w:rPr>
      </w:pPr>
      <w:r>
        <w:rPr>
          <w:rFonts w:hint="eastAsia"/>
          <w:color w:val="auto"/>
          <w:u w:val="single"/>
        </w:rPr>
        <w:t>发生一般及以上</w:t>
      </w:r>
      <w:r>
        <w:rPr>
          <w:color w:val="auto"/>
          <w:u w:val="single"/>
        </w:rPr>
        <w:t>安全生产事故、火灾事故、交通事故、环境污染事故，</w:t>
      </w:r>
      <w:r>
        <w:rPr>
          <w:rFonts w:hint="eastAsia"/>
          <w:color w:val="auto"/>
          <w:u w:val="single"/>
        </w:rPr>
        <w:t>导致人员轻伤的每人次</w:t>
      </w:r>
      <w:r>
        <w:rPr>
          <w:rFonts w:hint="eastAsia"/>
          <w:color w:val="auto"/>
          <w:u w:val="single"/>
          <w:lang w:val="en-US" w:eastAsia="zh-CN"/>
        </w:rPr>
        <w:t>30</w:t>
      </w:r>
      <w:r>
        <w:rPr>
          <w:color w:val="auto"/>
          <w:u w:val="single"/>
        </w:rPr>
        <w:t>000</w:t>
      </w:r>
      <w:r>
        <w:rPr>
          <w:rFonts w:hint="eastAsia"/>
          <w:color w:val="auto"/>
          <w:u w:val="single"/>
        </w:rPr>
        <w:t>元、人员重伤的每人次</w:t>
      </w:r>
      <w:r>
        <w:rPr>
          <w:color w:val="auto"/>
          <w:u w:val="single"/>
        </w:rPr>
        <w:t>50000</w:t>
      </w:r>
      <w:r>
        <w:rPr>
          <w:rFonts w:hint="eastAsia"/>
          <w:color w:val="auto"/>
          <w:u w:val="single"/>
        </w:rPr>
        <w:t>元、人身死亡的每人次</w:t>
      </w:r>
      <w:r>
        <w:rPr>
          <w:color w:val="auto"/>
          <w:u w:val="single"/>
        </w:rPr>
        <w:t>100000</w:t>
      </w:r>
      <w:r>
        <w:rPr>
          <w:rFonts w:hint="eastAsia"/>
          <w:color w:val="auto"/>
          <w:u w:val="single"/>
        </w:rPr>
        <w:t>元；造成经济损失的，并罚直接经济损失金额的百分之十，并由乙方承担全部经济损失。</w:t>
      </w:r>
    </w:p>
    <w:p w14:paraId="36D1759B">
      <w:pPr>
        <w:pStyle w:val="4"/>
        <w:numPr>
          <w:ilvl w:val="0"/>
          <w:numId w:val="17"/>
        </w:numPr>
        <w:snapToGrid w:val="0"/>
        <w:spacing w:line="360" w:lineRule="auto"/>
        <w:ind w:left="0" w:leftChars="0" w:right="290" w:firstLine="567"/>
        <w:rPr>
          <w:color w:val="auto"/>
          <w:u w:val="single"/>
        </w:rPr>
      </w:pPr>
      <w:r>
        <w:rPr>
          <w:rFonts w:hint="eastAsia"/>
          <w:color w:val="auto"/>
          <w:u w:val="single"/>
        </w:rPr>
        <w:t>发生</w:t>
      </w:r>
      <w:r>
        <w:rPr>
          <w:color w:val="auto"/>
          <w:u w:val="single"/>
        </w:rPr>
        <w:t>职业病危害事故</w:t>
      </w:r>
      <w:r>
        <w:rPr>
          <w:rFonts w:hint="eastAsia"/>
          <w:color w:val="auto"/>
          <w:u w:val="single"/>
        </w:rPr>
        <w:t>、事件</w:t>
      </w:r>
      <w:r>
        <w:rPr>
          <w:color w:val="auto"/>
          <w:u w:val="single"/>
        </w:rPr>
        <w:t>，</w:t>
      </w:r>
      <w:r>
        <w:rPr>
          <w:rFonts w:hint="eastAsia"/>
          <w:color w:val="auto"/>
          <w:u w:val="single"/>
        </w:rPr>
        <w:t>每人次</w:t>
      </w:r>
      <w:r>
        <w:rPr>
          <w:rFonts w:hint="eastAsia"/>
          <w:color w:val="auto"/>
          <w:u w:val="single"/>
          <w:lang w:val="en-US" w:eastAsia="zh-CN"/>
        </w:rPr>
        <w:t>2</w:t>
      </w:r>
      <w:r>
        <w:rPr>
          <w:color w:val="auto"/>
          <w:u w:val="single"/>
        </w:rPr>
        <w:t>0000元；</w:t>
      </w:r>
    </w:p>
    <w:p w14:paraId="3CB6FE28">
      <w:pPr>
        <w:pStyle w:val="4"/>
        <w:numPr>
          <w:ilvl w:val="0"/>
          <w:numId w:val="17"/>
        </w:numPr>
        <w:snapToGrid w:val="0"/>
        <w:spacing w:line="360" w:lineRule="auto"/>
        <w:ind w:left="0" w:leftChars="0" w:right="290" w:firstLine="567"/>
        <w:rPr>
          <w:color w:val="auto"/>
          <w:u w:val="single"/>
        </w:rPr>
      </w:pPr>
      <w:r>
        <w:rPr>
          <w:color w:val="auto"/>
          <w:u w:val="single"/>
        </w:rPr>
        <w:t>造成发包方全厂停电事故，</w:t>
      </w:r>
      <w:r>
        <w:rPr>
          <w:rFonts w:hint="eastAsia"/>
          <w:color w:val="auto"/>
          <w:u w:val="single"/>
        </w:rPr>
        <w:t>每起</w:t>
      </w:r>
      <w:r>
        <w:rPr>
          <w:rFonts w:hint="eastAsia"/>
          <w:color w:val="auto"/>
          <w:u w:val="single"/>
          <w:lang w:val="en-US" w:eastAsia="zh-CN"/>
        </w:rPr>
        <w:t>3</w:t>
      </w:r>
      <w:r>
        <w:rPr>
          <w:color w:val="auto"/>
          <w:u w:val="single"/>
        </w:rPr>
        <w:t>0000</w:t>
      </w:r>
      <w:r>
        <w:rPr>
          <w:rFonts w:hint="eastAsia"/>
          <w:color w:val="auto"/>
          <w:u w:val="single"/>
        </w:rPr>
        <w:t>元</w:t>
      </w:r>
      <w:r>
        <w:rPr>
          <w:color w:val="auto"/>
          <w:u w:val="single"/>
        </w:rPr>
        <w:t>；</w:t>
      </w:r>
    </w:p>
    <w:p w14:paraId="1B9E31B8">
      <w:pPr>
        <w:pStyle w:val="4"/>
        <w:numPr>
          <w:ilvl w:val="0"/>
          <w:numId w:val="17"/>
        </w:numPr>
        <w:snapToGrid w:val="0"/>
        <w:spacing w:line="360" w:lineRule="auto"/>
        <w:ind w:left="0" w:leftChars="0" w:right="290" w:firstLine="567"/>
        <w:rPr>
          <w:color w:val="auto"/>
          <w:u w:val="single"/>
        </w:rPr>
      </w:pPr>
      <w:r>
        <w:rPr>
          <w:color w:val="auto"/>
          <w:u w:val="single"/>
        </w:rPr>
        <w:t>造成发包方</w:t>
      </w:r>
      <w:r>
        <w:rPr>
          <w:rFonts w:hint="eastAsia"/>
          <w:color w:val="auto"/>
          <w:u w:val="single"/>
        </w:rPr>
        <w:t>内部统计事故</w:t>
      </w:r>
      <w:r>
        <w:rPr>
          <w:color w:val="auto"/>
          <w:u w:val="single"/>
        </w:rPr>
        <w:t>，</w:t>
      </w:r>
      <w:r>
        <w:rPr>
          <w:rFonts w:hint="eastAsia"/>
          <w:color w:val="auto"/>
          <w:u w:val="single"/>
        </w:rPr>
        <w:t>每起</w:t>
      </w:r>
      <w:r>
        <w:rPr>
          <w:rFonts w:hint="eastAsia"/>
          <w:color w:val="auto"/>
          <w:u w:val="single"/>
          <w:lang w:val="en-US" w:eastAsia="zh-CN"/>
        </w:rPr>
        <w:t>30</w:t>
      </w:r>
      <w:r>
        <w:rPr>
          <w:color w:val="auto"/>
          <w:u w:val="single"/>
        </w:rPr>
        <w:t>000元</w:t>
      </w:r>
      <w:r>
        <w:rPr>
          <w:rFonts w:hint="eastAsia"/>
          <w:color w:val="auto"/>
          <w:u w:val="single"/>
        </w:rPr>
        <w:t>；</w:t>
      </w:r>
    </w:p>
    <w:p w14:paraId="5961A8E6">
      <w:pPr>
        <w:pStyle w:val="4"/>
        <w:numPr>
          <w:ilvl w:val="0"/>
          <w:numId w:val="17"/>
        </w:numPr>
        <w:snapToGrid w:val="0"/>
        <w:spacing w:line="360" w:lineRule="auto"/>
        <w:ind w:left="0" w:leftChars="0" w:right="290" w:firstLine="567"/>
        <w:rPr>
          <w:color w:val="auto"/>
          <w:u w:val="single"/>
        </w:rPr>
      </w:pPr>
      <w:r>
        <w:rPr>
          <w:color w:val="auto"/>
          <w:u w:val="single"/>
        </w:rPr>
        <w:t>造成发包方一类障碍，</w:t>
      </w:r>
      <w:r>
        <w:rPr>
          <w:rFonts w:hint="eastAsia"/>
          <w:color w:val="auto"/>
          <w:u w:val="single"/>
        </w:rPr>
        <w:t>每起</w:t>
      </w:r>
      <w:r>
        <w:rPr>
          <w:rFonts w:hint="eastAsia"/>
          <w:color w:val="auto"/>
          <w:u w:val="single"/>
          <w:lang w:val="en-US" w:eastAsia="zh-CN"/>
        </w:rPr>
        <w:t>25</w:t>
      </w:r>
      <w:r>
        <w:rPr>
          <w:color w:val="auto"/>
          <w:u w:val="single"/>
        </w:rPr>
        <w:t>000元；</w:t>
      </w:r>
    </w:p>
    <w:p w14:paraId="08445D8C">
      <w:pPr>
        <w:pStyle w:val="4"/>
        <w:numPr>
          <w:ilvl w:val="0"/>
          <w:numId w:val="17"/>
        </w:numPr>
        <w:snapToGrid w:val="0"/>
        <w:spacing w:line="360" w:lineRule="auto"/>
        <w:ind w:left="0" w:leftChars="0" w:right="290" w:firstLine="567"/>
        <w:rPr>
          <w:rFonts w:hint="eastAsia"/>
          <w:color w:val="auto"/>
          <w:u w:val="single"/>
        </w:rPr>
      </w:pPr>
      <w:r>
        <w:rPr>
          <w:color w:val="auto"/>
          <w:u w:val="single"/>
        </w:rPr>
        <w:t>造成发包方二类障碍，</w:t>
      </w:r>
      <w:r>
        <w:rPr>
          <w:rFonts w:hint="eastAsia"/>
          <w:color w:val="auto"/>
          <w:u w:val="single"/>
        </w:rPr>
        <w:t>每起</w:t>
      </w:r>
      <w:r>
        <w:rPr>
          <w:rFonts w:hint="eastAsia"/>
          <w:color w:val="auto"/>
          <w:u w:val="single"/>
          <w:lang w:val="en-US" w:eastAsia="zh-CN"/>
        </w:rPr>
        <w:t>10</w:t>
      </w:r>
      <w:r>
        <w:rPr>
          <w:color w:val="auto"/>
          <w:u w:val="single"/>
        </w:rPr>
        <w:t>000元；</w:t>
      </w:r>
    </w:p>
    <w:p w14:paraId="3F44CA14">
      <w:pPr>
        <w:pStyle w:val="4"/>
        <w:numPr>
          <w:ilvl w:val="0"/>
          <w:numId w:val="17"/>
        </w:numPr>
        <w:snapToGrid w:val="0"/>
        <w:spacing w:line="360" w:lineRule="auto"/>
        <w:ind w:left="0" w:leftChars="0" w:right="290" w:firstLine="567"/>
        <w:rPr>
          <w:rFonts w:hint="eastAsia"/>
        </w:rPr>
      </w:pPr>
      <w:r>
        <w:rPr>
          <w:rFonts w:hint="eastAsia"/>
        </w:rPr>
        <w:t>发生上述安健环事故、事件后，承包方弄虚作假、隐瞒不报、迟报或谎报，一经查出，除按上述规定进行处罚外，另外加罚一倍。</w:t>
      </w:r>
    </w:p>
    <w:p w14:paraId="547B60D6">
      <w:pPr>
        <w:pStyle w:val="4"/>
        <w:numPr>
          <w:ilvl w:val="0"/>
          <w:numId w:val="15"/>
        </w:numPr>
        <w:snapToGrid w:val="0"/>
        <w:spacing w:line="360" w:lineRule="auto"/>
        <w:ind w:left="0" w:leftChars="0" w:right="290" w:firstLine="567"/>
      </w:pPr>
      <w:r>
        <w:rPr>
          <w:rFonts w:hint="eastAsia"/>
        </w:rPr>
        <w:t>有关事故定级、</w:t>
      </w:r>
      <w:r>
        <w:t>职业</w:t>
      </w:r>
      <w:r>
        <w:rPr>
          <w:rFonts w:hint="eastAsia"/>
        </w:rPr>
        <w:t>病危害认定、</w:t>
      </w:r>
      <w:r>
        <w:t>经济</w:t>
      </w:r>
      <w:r>
        <w:rPr>
          <w:rFonts w:hint="eastAsia"/>
        </w:rPr>
        <w:t>损失等，依照国家有关法规或事故调查、专业鉴定结果；乙</w:t>
      </w:r>
      <w:r>
        <w:t>方</w:t>
      </w:r>
      <w:r>
        <w:rPr>
          <w:rFonts w:hint="eastAsia"/>
        </w:rPr>
        <w:t>二类障碍、</w:t>
      </w:r>
      <w:r>
        <w:t>一类障碍</w:t>
      </w:r>
      <w:r>
        <w:rPr>
          <w:rFonts w:hint="eastAsia"/>
        </w:rPr>
        <w:t>、全厂停电、</w:t>
      </w:r>
      <w:r>
        <w:t>内部</w:t>
      </w:r>
      <w:r>
        <w:rPr>
          <w:rFonts w:hint="eastAsia"/>
        </w:rPr>
        <w:t>统计事故的定义依据甲方安健环事故事件调查有关管理制度。</w:t>
      </w:r>
    </w:p>
    <w:p w14:paraId="27D46F9E">
      <w:pPr>
        <w:pStyle w:val="4"/>
        <w:numPr>
          <w:ilvl w:val="0"/>
          <w:numId w:val="15"/>
        </w:numPr>
        <w:snapToGrid w:val="0"/>
        <w:spacing w:line="360" w:lineRule="auto"/>
        <w:ind w:left="0" w:leftChars="0" w:right="290" w:firstLine="567"/>
      </w:pPr>
      <w:r>
        <w:rPr>
          <w:rFonts w:hint="eastAsia"/>
        </w:rPr>
        <w:t>由于乙方责任（含</w:t>
      </w:r>
      <w:r>
        <w:t>其派出人员</w:t>
      </w:r>
      <w:r>
        <w:rPr>
          <w:rFonts w:hint="eastAsia"/>
        </w:rPr>
        <w:t>）造成的一切人身事故、设备损坏、职业病</w:t>
      </w:r>
      <w:r>
        <w:t>危害事故、环境污染等安健环</w:t>
      </w:r>
      <w:r>
        <w:rPr>
          <w:rFonts w:hint="eastAsia"/>
        </w:rPr>
        <w:t>事故事件，均由乙方自行承担全部安健环责任和</w:t>
      </w:r>
      <w:r>
        <w:t>法律责任</w:t>
      </w:r>
      <w:r>
        <w:rPr>
          <w:rFonts w:hint="eastAsia"/>
        </w:rPr>
        <w:t>，</w:t>
      </w:r>
      <w:r>
        <w:t>并负责所有赔偿</w:t>
      </w:r>
      <w:r>
        <w:rPr>
          <w:rFonts w:hint="eastAsia"/>
        </w:rPr>
        <w:t>、</w:t>
      </w:r>
      <w:r>
        <w:t>补偿善后处置工作</w:t>
      </w:r>
      <w:r>
        <w:rPr>
          <w:rFonts w:hint="eastAsia"/>
        </w:rPr>
        <w:t>。如使甲方或</w:t>
      </w:r>
      <w:r>
        <w:t>第三方</w:t>
      </w:r>
      <w:r>
        <w:rPr>
          <w:rFonts w:hint="eastAsia"/>
        </w:rPr>
        <w:t>造成损失，乙方负责赔偿或补偿；乙方不及时支付赔偿或补偿金额的，甲方有权从应支付乙方的合同费用、履约保证金或履约保函中直接给予扣除（此并不构成甲方违约）；尚不足赔偿或补偿部分的金额，由乙方于收到甲方催缴通知一个月内另行向甲方和受损第三方一次性付清。</w:t>
      </w:r>
    </w:p>
    <w:p w14:paraId="7401D686">
      <w:pPr>
        <w:pStyle w:val="4"/>
        <w:numPr>
          <w:ilvl w:val="0"/>
          <w:numId w:val="15"/>
        </w:numPr>
        <w:snapToGrid w:val="0"/>
        <w:spacing w:line="360" w:lineRule="auto"/>
        <w:ind w:left="0" w:leftChars="0" w:right="290" w:firstLine="567"/>
        <w:rPr>
          <w:color w:val="auto"/>
          <w:u w:val="single"/>
        </w:rPr>
      </w:pPr>
      <w:r>
        <w:rPr>
          <w:rFonts w:hint="eastAsia"/>
          <w:color w:val="auto"/>
          <w:u w:val="single"/>
        </w:rPr>
        <w:t>为进一步加强对生产、基建现场典型违章隐患的治理，加大对典型隐患、习惯性违章的考核处罚力度，贯彻集团和公司“严惩制度化”的管理要求</w:t>
      </w:r>
      <w:r>
        <w:rPr>
          <w:rFonts w:hint="eastAsia"/>
          <w:color w:val="auto"/>
          <w:u w:val="single"/>
          <w:lang w:eastAsia="zh-CN"/>
        </w:rPr>
        <w:t>，</w:t>
      </w:r>
      <w:r>
        <w:rPr>
          <w:rFonts w:hint="eastAsia"/>
          <w:color w:val="auto"/>
          <w:u w:val="single"/>
        </w:rPr>
        <w:t>公司规定凡是与公司及所属单位签订合同的乙方或其</w:t>
      </w:r>
      <w:r>
        <w:rPr>
          <w:color w:val="auto"/>
          <w:u w:val="single"/>
        </w:rPr>
        <w:t>施工人员有</w:t>
      </w:r>
      <w:r>
        <w:rPr>
          <w:rFonts w:hint="eastAsia"/>
          <w:color w:val="auto"/>
          <w:u w:val="single"/>
        </w:rPr>
        <w:t>以下</w:t>
      </w:r>
      <w:r>
        <w:rPr>
          <w:color w:val="auto"/>
          <w:u w:val="single"/>
        </w:rPr>
        <w:t>行为的，</w:t>
      </w:r>
      <w:r>
        <w:rPr>
          <w:rFonts w:hint="eastAsia"/>
          <w:color w:val="auto"/>
          <w:u w:val="single"/>
          <w:lang w:val="en-US" w:eastAsia="zh-CN"/>
        </w:rPr>
        <w:t>视为乙方违反安全管理行为，</w:t>
      </w:r>
      <w:r>
        <w:rPr>
          <w:color w:val="auto"/>
          <w:u w:val="single"/>
        </w:rPr>
        <w:t>甲方</w:t>
      </w:r>
      <w:r>
        <w:rPr>
          <w:rFonts w:hint="eastAsia"/>
          <w:color w:val="auto"/>
          <w:u w:val="single"/>
        </w:rPr>
        <w:t>有权</w:t>
      </w:r>
      <w:r>
        <w:rPr>
          <w:color w:val="auto"/>
          <w:u w:val="single"/>
        </w:rPr>
        <w:t>对</w:t>
      </w:r>
      <w:r>
        <w:rPr>
          <w:rFonts w:hint="eastAsia"/>
          <w:color w:val="auto"/>
          <w:u w:val="single"/>
        </w:rPr>
        <w:t>乙方处以每起或每人次5000</w:t>
      </w:r>
      <w:r>
        <w:rPr>
          <w:color w:val="auto"/>
          <w:u w:val="single"/>
        </w:rPr>
        <w:t>-20000</w:t>
      </w:r>
      <w:r>
        <w:rPr>
          <w:rFonts w:hint="eastAsia"/>
          <w:color w:val="auto"/>
          <w:u w:val="single"/>
        </w:rPr>
        <w:t>元</w:t>
      </w:r>
      <w:r>
        <w:rPr>
          <w:color w:val="auto"/>
          <w:u w:val="single"/>
        </w:rPr>
        <w:t>的</w:t>
      </w:r>
      <w:r>
        <w:rPr>
          <w:rFonts w:hint="eastAsia"/>
          <w:color w:val="auto"/>
          <w:u w:val="single"/>
        </w:rPr>
        <w:t>违约</w:t>
      </w:r>
      <w:r>
        <w:rPr>
          <w:color w:val="auto"/>
          <w:u w:val="single"/>
        </w:rPr>
        <w:t>经济处罚</w:t>
      </w:r>
      <w:r>
        <w:rPr>
          <w:rFonts w:hint="eastAsia"/>
          <w:color w:val="auto"/>
          <w:u w:val="single"/>
        </w:rPr>
        <w:t>，</w:t>
      </w:r>
      <w:r>
        <w:rPr>
          <w:color w:val="auto"/>
          <w:u w:val="single"/>
        </w:rPr>
        <w:t>处罚金额从</w:t>
      </w:r>
      <w:r>
        <w:rPr>
          <w:rFonts w:hint="eastAsia"/>
          <w:color w:val="auto"/>
          <w:u w:val="single"/>
        </w:rPr>
        <w:t>甲方应支付乙方的当期合同费用、履约保证金或履约保函中直接给予扣除（此并不构成甲方违约）。</w:t>
      </w:r>
      <w:r>
        <w:rPr>
          <w:color w:val="auto"/>
          <w:u w:val="single"/>
        </w:rPr>
        <w:t>现场安健环奖惩</w:t>
      </w:r>
      <w:r>
        <w:rPr>
          <w:rFonts w:hint="eastAsia"/>
          <w:color w:val="auto"/>
          <w:u w:val="single"/>
        </w:rPr>
        <w:t>规定由甲方在乙方入场（厂</w:t>
      </w:r>
      <w:r>
        <w:rPr>
          <w:color w:val="auto"/>
          <w:u w:val="single"/>
        </w:rPr>
        <w:t>）</w:t>
      </w:r>
      <w:r>
        <w:rPr>
          <w:rFonts w:hint="eastAsia"/>
          <w:color w:val="auto"/>
          <w:u w:val="single"/>
        </w:rPr>
        <w:t>前进行解读宣贯，并交由乙方书面签收确认。常见习惯性违章行为（包括但不限于以下内容）处罚标准如下：</w:t>
      </w:r>
    </w:p>
    <w:tbl>
      <w:tblPr>
        <w:tblStyle w:val="8"/>
        <w:tblW w:w="9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7308"/>
        <w:gridCol w:w="63"/>
        <w:gridCol w:w="79"/>
        <w:gridCol w:w="1063"/>
      </w:tblGrid>
      <w:tr w14:paraId="3D80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7C1F8BB">
            <w:pPr>
              <w:snapToGrid w:val="0"/>
              <w:jc w:val="center"/>
              <w:rPr>
                <w:color w:val="auto"/>
                <w:sz w:val="21"/>
                <w:szCs w:val="21"/>
                <w:u w:val="single"/>
              </w:rPr>
            </w:pPr>
            <w:r>
              <w:rPr>
                <w:color w:val="auto"/>
                <w:sz w:val="21"/>
                <w:szCs w:val="21"/>
                <w:u w:val="single"/>
              </w:rPr>
              <w:t>序号</w:t>
            </w:r>
          </w:p>
        </w:tc>
        <w:tc>
          <w:tcPr>
            <w:tcW w:w="7450" w:type="dxa"/>
            <w:gridSpan w:val="3"/>
            <w:noWrap w:val="0"/>
            <w:vAlign w:val="top"/>
          </w:tcPr>
          <w:p w14:paraId="76602256">
            <w:pPr>
              <w:snapToGrid w:val="0"/>
              <w:rPr>
                <w:color w:val="auto"/>
                <w:sz w:val="21"/>
                <w:szCs w:val="21"/>
                <w:u w:val="single"/>
              </w:rPr>
            </w:pPr>
            <w:r>
              <w:rPr>
                <w:color w:val="auto"/>
                <w:sz w:val="21"/>
                <w:szCs w:val="21"/>
                <w:u w:val="single"/>
              </w:rPr>
              <w:t>违章行为</w:t>
            </w:r>
          </w:p>
        </w:tc>
        <w:tc>
          <w:tcPr>
            <w:tcW w:w="1063" w:type="dxa"/>
            <w:noWrap w:val="0"/>
            <w:vAlign w:val="top"/>
          </w:tcPr>
          <w:p w14:paraId="3F9D052F">
            <w:pPr>
              <w:snapToGrid w:val="0"/>
              <w:jc w:val="center"/>
              <w:rPr>
                <w:color w:val="auto"/>
                <w:sz w:val="21"/>
                <w:szCs w:val="21"/>
                <w:u w:val="single"/>
              </w:rPr>
            </w:pPr>
            <w:r>
              <w:rPr>
                <w:color w:val="auto"/>
                <w:sz w:val="21"/>
                <w:szCs w:val="21"/>
                <w:u w:val="single"/>
              </w:rPr>
              <w:t>处罚标准</w:t>
            </w:r>
          </w:p>
        </w:tc>
      </w:tr>
      <w:tr w14:paraId="51D0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9200" w:type="dxa"/>
            <w:gridSpan w:val="5"/>
            <w:noWrap w:val="0"/>
            <w:vAlign w:val="center"/>
          </w:tcPr>
          <w:p w14:paraId="6F702ABE">
            <w:pPr>
              <w:pStyle w:val="10"/>
              <w:snapToGrid w:val="0"/>
              <w:spacing w:after="120"/>
              <w:ind w:firstLine="0" w:firstLineChars="0"/>
              <w:jc w:val="left"/>
              <w:rPr>
                <w:color w:val="auto"/>
                <w:sz w:val="21"/>
                <w:szCs w:val="21"/>
                <w:u w:val="single"/>
              </w:rPr>
            </w:pPr>
            <w:r>
              <w:rPr>
                <w:color w:val="auto"/>
                <w:sz w:val="21"/>
                <w:szCs w:val="21"/>
                <w:u w:val="single"/>
              </w:rPr>
              <w:t>1.一般习惯性违章行为     有下列行为之一者给予相关责任人</w:t>
            </w:r>
            <w:r>
              <w:rPr>
                <w:rFonts w:hint="eastAsia"/>
                <w:color w:val="auto"/>
                <w:sz w:val="21"/>
                <w:szCs w:val="21"/>
                <w:u w:val="single"/>
                <w:lang w:val="en-US" w:eastAsia="zh-CN"/>
              </w:rPr>
              <w:t>5</w:t>
            </w:r>
            <w:r>
              <w:rPr>
                <w:color w:val="auto"/>
                <w:sz w:val="21"/>
                <w:szCs w:val="21"/>
                <w:u w:val="single"/>
              </w:rPr>
              <w:t>000-</w:t>
            </w:r>
            <w:r>
              <w:rPr>
                <w:rFonts w:hint="eastAsia"/>
                <w:color w:val="auto"/>
                <w:sz w:val="21"/>
                <w:szCs w:val="21"/>
                <w:u w:val="single"/>
                <w:lang w:val="en-US" w:eastAsia="zh-CN"/>
              </w:rPr>
              <w:t>10</w:t>
            </w:r>
            <w:r>
              <w:rPr>
                <w:color w:val="auto"/>
                <w:sz w:val="21"/>
                <w:szCs w:val="21"/>
                <w:u w:val="single"/>
              </w:rPr>
              <w:t>000元处罚</w:t>
            </w:r>
          </w:p>
        </w:tc>
      </w:tr>
      <w:tr w14:paraId="59AF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2ED417B">
            <w:pPr>
              <w:snapToGrid w:val="0"/>
              <w:jc w:val="center"/>
              <w:rPr>
                <w:color w:val="auto"/>
                <w:sz w:val="21"/>
                <w:szCs w:val="21"/>
                <w:u w:val="single"/>
              </w:rPr>
            </w:pPr>
            <w:r>
              <w:rPr>
                <w:color w:val="auto"/>
                <w:sz w:val="21"/>
                <w:szCs w:val="21"/>
                <w:u w:val="single"/>
              </w:rPr>
              <w:t>1.1</w:t>
            </w:r>
          </w:p>
        </w:tc>
        <w:tc>
          <w:tcPr>
            <w:tcW w:w="7308" w:type="dxa"/>
            <w:noWrap w:val="0"/>
            <w:vAlign w:val="top"/>
          </w:tcPr>
          <w:p w14:paraId="2038BCA0">
            <w:pPr>
              <w:snapToGrid w:val="0"/>
              <w:rPr>
                <w:color w:val="auto"/>
                <w:sz w:val="21"/>
                <w:szCs w:val="21"/>
                <w:u w:val="single"/>
              </w:rPr>
            </w:pPr>
            <w:r>
              <w:rPr>
                <w:rFonts w:hint="eastAsia"/>
                <w:color w:val="auto"/>
                <w:sz w:val="21"/>
                <w:szCs w:val="21"/>
                <w:u w:val="single"/>
              </w:rPr>
              <w:t>进入施工现场未戴安全帽，或</w:t>
            </w:r>
            <w:r>
              <w:rPr>
                <w:color w:val="auto"/>
                <w:sz w:val="21"/>
                <w:szCs w:val="21"/>
                <w:u w:val="single"/>
              </w:rPr>
              <w:t>安全帽没有正确佩戴，安全帽带未系紧</w:t>
            </w:r>
          </w:p>
        </w:tc>
        <w:tc>
          <w:tcPr>
            <w:tcW w:w="1205" w:type="dxa"/>
            <w:gridSpan w:val="3"/>
            <w:noWrap w:val="0"/>
            <w:vAlign w:val="top"/>
          </w:tcPr>
          <w:p w14:paraId="5110B44A">
            <w:pPr>
              <w:snapToGrid w:val="0"/>
              <w:jc w:val="center"/>
              <w:rPr>
                <w:color w:val="auto"/>
                <w:sz w:val="21"/>
                <w:szCs w:val="21"/>
                <w:u w:val="single"/>
              </w:rPr>
            </w:pPr>
          </w:p>
        </w:tc>
      </w:tr>
      <w:tr w14:paraId="7F625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EEEFAC7">
            <w:pPr>
              <w:snapToGrid w:val="0"/>
              <w:jc w:val="center"/>
              <w:rPr>
                <w:color w:val="auto"/>
                <w:sz w:val="21"/>
                <w:szCs w:val="21"/>
                <w:u w:val="single"/>
              </w:rPr>
            </w:pPr>
            <w:r>
              <w:rPr>
                <w:color w:val="auto"/>
                <w:sz w:val="21"/>
                <w:szCs w:val="21"/>
                <w:u w:val="single"/>
              </w:rPr>
              <w:t>1.2</w:t>
            </w:r>
          </w:p>
        </w:tc>
        <w:tc>
          <w:tcPr>
            <w:tcW w:w="7308" w:type="dxa"/>
            <w:noWrap w:val="0"/>
            <w:vAlign w:val="top"/>
          </w:tcPr>
          <w:p w14:paraId="6468ACEF">
            <w:pPr>
              <w:snapToGrid w:val="0"/>
              <w:rPr>
                <w:color w:val="auto"/>
                <w:sz w:val="21"/>
                <w:szCs w:val="21"/>
                <w:u w:val="single"/>
              </w:rPr>
            </w:pPr>
            <w:r>
              <w:rPr>
                <w:color w:val="auto"/>
                <w:sz w:val="21"/>
                <w:szCs w:val="21"/>
                <w:u w:val="single"/>
              </w:rPr>
              <w:t>着装不规范（如：未戴出入证，工作服未扣好钮扣，穿背心、短裤、裙子、拖鞋、高跟鞋进入施工现场，踩鞋后跟等）</w:t>
            </w:r>
          </w:p>
        </w:tc>
        <w:tc>
          <w:tcPr>
            <w:tcW w:w="1205" w:type="dxa"/>
            <w:gridSpan w:val="3"/>
            <w:noWrap w:val="0"/>
            <w:vAlign w:val="top"/>
          </w:tcPr>
          <w:p w14:paraId="1400C898">
            <w:pPr>
              <w:snapToGrid w:val="0"/>
              <w:jc w:val="center"/>
              <w:rPr>
                <w:color w:val="auto"/>
                <w:sz w:val="21"/>
                <w:szCs w:val="21"/>
                <w:u w:val="single"/>
              </w:rPr>
            </w:pPr>
          </w:p>
        </w:tc>
      </w:tr>
      <w:tr w14:paraId="7B27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17FD84E">
            <w:pPr>
              <w:snapToGrid w:val="0"/>
              <w:jc w:val="center"/>
              <w:rPr>
                <w:color w:val="auto"/>
                <w:sz w:val="21"/>
                <w:szCs w:val="21"/>
                <w:u w:val="single"/>
              </w:rPr>
            </w:pPr>
            <w:r>
              <w:rPr>
                <w:color w:val="auto"/>
                <w:sz w:val="21"/>
                <w:szCs w:val="21"/>
                <w:u w:val="single"/>
              </w:rPr>
              <w:t>1.3</w:t>
            </w:r>
          </w:p>
        </w:tc>
        <w:tc>
          <w:tcPr>
            <w:tcW w:w="7308" w:type="dxa"/>
            <w:noWrap w:val="0"/>
            <w:vAlign w:val="top"/>
          </w:tcPr>
          <w:p w14:paraId="76A06803">
            <w:pPr>
              <w:snapToGrid w:val="0"/>
              <w:rPr>
                <w:color w:val="auto"/>
                <w:sz w:val="21"/>
                <w:szCs w:val="21"/>
                <w:u w:val="single"/>
              </w:rPr>
            </w:pPr>
            <w:r>
              <w:rPr>
                <w:color w:val="auto"/>
                <w:sz w:val="21"/>
                <w:szCs w:val="21"/>
                <w:u w:val="single"/>
              </w:rPr>
              <w:t>特种工种无证作业</w:t>
            </w:r>
          </w:p>
        </w:tc>
        <w:tc>
          <w:tcPr>
            <w:tcW w:w="1205" w:type="dxa"/>
            <w:gridSpan w:val="3"/>
            <w:noWrap w:val="0"/>
            <w:vAlign w:val="top"/>
          </w:tcPr>
          <w:p w14:paraId="518A2E50">
            <w:pPr>
              <w:snapToGrid w:val="0"/>
              <w:jc w:val="center"/>
              <w:rPr>
                <w:color w:val="auto"/>
                <w:sz w:val="21"/>
                <w:szCs w:val="21"/>
                <w:u w:val="single"/>
              </w:rPr>
            </w:pPr>
          </w:p>
        </w:tc>
      </w:tr>
      <w:tr w14:paraId="0A00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FDD27E9">
            <w:pPr>
              <w:snapToGrid w:val="0"/>
              <w:jc w:val="center"/>
              <w:rPr>
                <w:color w:val="auto"/>
                <w:sz w:val="21"/>
                <w:szCs w:val="21"/>
                <w:u w:val="single"/>
              </w:rPr>
            </w:pPr>
            <w:r>
              <w:rPr>
                <w:color w:val="auto"/>
                <w:sz w:val="21"/>
                <w:szCs w:val="21"/>
                <w:u w:val="single"/>
              </w:rPr>
              <w:t>1.4</w:t>
            </w:r>
          </w:p>
        </w:tc>
        <w:tc>
          <w:tcPr>
            <w:tcW w:w="7308" w:type="dxa"/>
            <w:noWrap w:val="0"/>
            <w:vAlign w:val="top"/>
          </w:tcPr>
          <w:p w14:paraId="3670ED5B">
            <w:pPr>
              <w:snapToGrid w:val="0"/>
              <w:rPr>
                <w:color w:val="auto"/>
                <w:sz w:val="21"/>
                <w:szCs w:val="21"/>
                <w:u w:val="single"/>
              </w:rPr>
            </w:pPr>
            <w:r>
              <w:rPr>
                <w:color w:val="auto"/>
                <w:sz w:val="21"/>
                <w:szCs w:val="21"/>
                <w:u w:val="single"/>
              </w:rPr>
              <w:t>超负荷或超期限使用电气、机械设备</w:t>
            </w:r>
          </w:p>
        </w:tc>
        <w:tc>
          <w:tcPr>
            <w:tcW w:w="1205" w:type="dxa"/>
            <w:gridSpan w:val="3"/>
            <w:noWrap w:val="0"/>
            <w:vAlign w:val="top"/>
          </w:tcPr>
          <w:p w14:paraId="73308A9D">
            <w:pPr>
              <w:snapToGrid w:val="0"/>
              <w:jc w:val="center"/>
              <w:rPr>
                <w:color w:val="auto"/>
                <w:sz w:val="21"/>
                <w:szCs w:val="21"/>
                <w:u w:val="single"/>
              </w:rPr>
            </w:pPr>
          </w:p>
        </w:tc>
      </w:tr>
      <w:tr w14:paraId="375F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4B6F148">
            <w:pPr>
              <w:snapToGrid w:val="0"/>
              <w:jc w:val="center"/>
              <w:rPr>
                <w:color w:val="auto"/>
                <w:sz w:val="21"/>
                <w:szCs w:val="21"/>
                <w:u w:val="single"/>
              </w:rPr>
            </w:pPr>
            <w:r>
              <w:rPr>
                <w:color w:val="auto"/>
                <w:sz w:val="21"/>
                <w:szCs w:val="21"/>
                <w:u w:val="single"/>
              </w:rPr>
              <w:t>1.5</w:t>
            </w:r>
          </w:p>
        </w:tc>
        <w:tc>
          <w:tcPr>
            <w:tcW w:w="7308" w:type="dxa"/>
            <w:noWrap w:val="0"/>
            <w:vAlign w:val="top"/>
          </w:tcPr>
          <w:p w14:paraId="7CC736AC">
            <w:pPr>
              <w:snapToGrid w:val="0"/>
              <w:rPr>
                <w:color w:val="auto"/>
                <w:sz w:val="21"/>
                <w:szCs w:val="21"/>
                <w:u w:val="single"/>
              </w:rPr>
            </w:pPr>
            <w:r>
              <w:rPr>
                <w:color w:val="auto"/>
                <w:sz w:val="21"/>
                <w:szCs w:val="21"/>
                <w:u w:val="single"/>
              </w:rPr>
              <w:t>酒后进入施工现场，在现场睡觉</w:t>
            </w:r>
          </w:p>
        </w:tc>
        <w:tc>
          <w:tcPr>
            <w:tcW w:w="1205" w:type="dxa"/>
            <w:gridSpan w:val="3"/>
            <w:noWrap w:val="0"/>
            <w:vAlign w:val="top"/>
          </w:tcPr>
          <w:p w14:paraId="0C9FF45D">
            <w:pPr>
              <w:snapToGrid w:val="0"/>
              <w:jc w:val="center"/>
              <w:rPr>
                <w:color w:val="auto"/>
                <w:sz w:val="21"/>
                <w:szCs w:val="21"/>
                <w:u w:val="single"/>
              </w:rPr>
            </w:pPr>
          </w:p>
        </w:tc>
      </w:tr>
      <w:tr w14:paraId="6BA1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174F868">
            <w:pPr>
              <w:snapToGrid w:val="0"/>
              <w:jc w:val="center"/>
              <w:rPr>
                <w:color w:val="auto"/>
                <w:sz w:val="21"/>
                <w:szCs w:val="21"/>
                <w:u w:val="single"/>
              </w:rPr>
            </w:pPr>
            <w:r>
              <w:rPr>
                <w:color w:val="auto"/>
                <w:sz w:val="21"/>
                <w:szCs w:val="21"/>
                <w:u w:val="single"/>
              </w:rPr>
              <w:t>1.6</w:t>
            </w:r>
          </w:p>
        </w:tc>
        <w:tc>
          <w:tcPr>
            <w:tcW w:w="7308" w:type="dxa"/>
            <w:noWrap w:val="0"/>
            <w:vAlign w:val="top"/>
          </w:tcPr>
          <w:p w14:paraId="5AC8E996">
            <w:pPr>
              <w:snapToGrid w:val="0"/>
              <w:rPr>
                <w:color w:val="auto"/>
                <w:sz w:val="21"/>
                <w:szCs w:val="21"/>
                <w:u w:val="single"/>
              </w:rPr>
            </w:pPr>
            <w:r>
              <w:rPr>
                <w:color w:val="auto"/>
                <w:sz w:val="21"/>
                <w:szCs w:val="21"/>
                <w:u w:val="single"/>
              </w:rPr>
              <w:t>未按规定布置或擅自拆除、损坏、移动安全设施、标志、警告牌</w:t>
            </w:r>
          </w:p>
        </w:tc>
        <w:tc>
          <w:tcPr>
            <w:tcW w:w="1205" w:type="dxa"/>
            <w:gridSpan w:val="3"/>
            <w:noWrap w:val="0"/>
            <w:vAlign w:val="top"/>
          </w:tcPr>
          <w:p w14:paraId="1A30095D">
            <w:pPr>
              <w:snapToGrid w:val="0"/>
              <w:jc w:val="center"/>
              <w:rPr>
                <w:color w:val="auto"/>
                <w:sz w:val="21"/>
                <w:szCs w:val="21"/>
                <w:u w:val="single"/>
              </w:rPr>
            </w:pPr>
          </w:p>
        </w:tc>
      </w:tr>
      <w:tr w14:paraId="25CF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40FF63C">
            <w:pPr>
              <w:snapToGrid w:val="0"/>
              <w:jc w:val="center"/>
              <w:rPr>
                <w:color w:val="auto"/>
                <w:sz w:val="21"/>
                <w:szCs w:val="21"/>
                <w:u w:val="single"/>
              </w:rPr>
            </w:pPr>
            <w:r>
              <w:rPr>
                <w:color w:val="auto"/>
                <w:sz w:val="21"/>
                <w:szCs w:val="21"/>
                <w:u w:val="single"/>
              </w:rPr>
              <w:t>1.7</w:t>
            </w:r>
          </w:p>
        </w:tc>
        <w:tc>
          <w:tcPr>
            <w:tcW w:w="7308" w:type="dxa"/>
            <w:noWrap w:val="0"/>
            <w:vAlign w:val="top"/>
          </w:tcPr>
          <w:p w14:paraId="22A3BC2F">
            <w:pPr>
              <w:snapToGrid w:val="0"/>
              <w:rPr>
                <w:rFonts w:hint="eastAsia"/>
                <w:color w:val="auto"/>
                <w:sz w:val="21"/>
                <w:szCs w:val="21"/>
                <w:u w:val="single"/>
              </w:rPr>
            </w:pPr>
            <w:r>
              <w:rPr>
                <w:color w:val="auto"/>
                <w:sz w:val="21"/>
                <w:szCs w:val="21"/>
                <w:u w:val="single"/>
              </w:rPr>
              <w:t>检修、清理运行中设备</w:t>
            </w:r>
          </w:p>
        </w:tc>
        <w:tc>
          <w:tcPr>
            <w:tcW w:w="1205" w:type="dxa"/>
            <w:gridSpan w:val="3"/>
            <w:noWrap w:val="0"/>
            <w:vAlign w:val="top"/>
          </w:tcPr>
          <w:p w14:paraId="749586A9">
            <w:pPr>
              <w:snapToGrid w:val="0"/>
              <w:jc w:val="center"/>
              <w:rPr>
                <w:color w:val="auto"/>
                <w:sz w:val="21"/>
                <w:szCs w:val="21"/>
                <w:u w:val="single"/>
              </w:rPr>
            </w:pPr>
          </w:p>
        </w:tc>
      </w:tr>
      <w:tr w14:paraId="79A9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8DD0A7D">
            <w:pPr>
              <w:snapToGrid w:val="0"/>
              <w:jc w:val="center"/>
              <w:rPr>
                <w:color w:val="auto"/>
                <w:sz w:val="21"/>
                <w:szCs w:val="21"/>
                <w:u w:val="single"/>
              </w:rPr>
            </w:pPr>
            <w:r>
              <w:rPr>
                <w:color w:val="auto"/>
                <w:sz w:val="21"/>
                <w:szCs w:val="21"/>
                <w:u w:val="single"/>
              </w:rPr>
              <w:t>1.8</w:t>
            </w:r>
          </w:p>
        </w:tc>
        <w:tc>
          <w:tcPr>
            <w:tcW w:w="7308" w:type="dxa"/>
            <w:noWrap w:val="0"/>
            <w:vAlign w:val="top"/>
          </w:tcPr>
          <w:p w14:paraId="5BE1EE60">
            <w:pPr>
              <w:snapToGrid w:val="0"/>
              <w:rPr>
                <w:color w:val="auto"/>
                <w:sz w:val="21"/>
                <w:szCs w:val="21"/>
                <w:u w:val="single"/>
              </w:rPr>
            </w:pPr>
            <w:r>
              <w:rPr>
                <w:color w:val="auto"/>
                <w:sz w:val="21"/>
                <w:szCs w:val="21"/>
                <w:u w:val="single"/>
              </w:rPr>
              <w:t>各类施工机械、电气安全保护装置不齐</w:t>
            </w:r>
          </w:p>
        </w:tc>
        <w:tc>
          <w:tcPr>
            <w:tcW w:w="1205" w:type="dxa"/>
            <w:gridSpan w:val="3"/>
            <w:noWrap w:val="0"/>
            <w:vAlign w:val="top"/>
          </w:tcPr>
          <w:p w14:paraId="347ED43C">
            <w:pPr>
              <w:snapToGrid w:val="0"/>
              <w:jc w:val="center"/>
              <w:rPr>
                <w:color w:val="auto"/>
                <w:sz w:val="21"/>
                <w:szCs w:val="21"/>
                <w:u w:val="single"/>
              </w:rPr>
            </w:pPr>
          </w:p>
        </w:tc>
      </w:tr>
      <w:tr w14:paraId="6590E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E47BFA7">
            <w:pPr>
              <w:snapToGrid w:val="0"/>
              <w:jc w:val="center"/>
              <w:rPr>
                <w:color w:val="auto"/>
                <w:sz w:val="21"/>
                <w:szCs w:val="21"/>
                <w:u w:val="single"/>
              </w:rPr>
            </w:pPr>
            <w:r>
              <w:rPr>
                <w:color w:val="auto"/>
                <w:sz w:val="21"/>
                <w:szCs w:val="21"/>
                <w:u w:val="single"/>
              </w:rPr>
              <w:t>1.9</w:t>
            </w:r>
          </w:p>
        </w:tc>
        <w:tc>
          <w:tcPr>
            <w:tcW w:w="7308" w:type="dxa"/>
            <w:noWrap w:val="0"/>
            <w:vAlign w:val="top"/>
          </w:tcPr>
          <w:p w14:paraId="50FB12EE">
            <w:pPr>
              <w:snapToGrid w:val="0"/>
              <w:rPr>
                <w:color w:val="auto"/>
                <w:sz w:val="21"/>
                <w:szCs w:val="21"/>
                <w:u w:val="single"/>
              </w:rPr>
            </w:pPr>
            <w:r>
              <w:rPr>
                <w:color w:val="auto"/>
                <w:sz w:val="21"/>
                <w:szCs w:val="21"/>
                <w:u w:val="single"/>
              </w:rPr>
              <w:t>机械设备的电气、转动部件外露部分无防护装置</w:t>
            </w:r>
          </w:p>
        </w:tc>
        <w:tc>
          <w:tcPr>
            <w:tcW w:w="1205" w:type="dxa"/>
            <w:gridSpan w:val="3"/>
            <w:noWrap w:val="0"/>
            <w:vAlign w:val="top"/>
          </w:tcPr>
          <w:p w14:paraId="0FD3A019">
            <w:pPr>
              <w:snapToGrid w:val="0"/>
              <w:jc w:val="center"/>
              <w:rPr>
                <w:color w:val="auto"/>
                <w:sz w:val="21"/>
                <w:szCs w:val="21"/>
                <w:u w:val="single"/>
              </w:rPr>
            </w:pPr>
          </w:p>
        </w:tc>
      </w:tr>
      <w:tr w14:paraId="6C73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6E1D3DF">
            <w:pPr>
              <w:snapToGrid w:val="0"/>
              <w:jc w:val="center"/>
              <w:rPr>
                <w:color w:val="auto"/>
                <w:sz w:val="21"/>
                <w:szCs w:val="21"/>
                <w:u w:val="single"/>
              </w:rPr>
            </w:pPr>
            <w:r>
              <w:rPr>
                <w:color w:val="auto"/>
                <w:sz w:val="21"/>
                <w:szCs w:val="21"/>
                <w:u w:val="single"/>
              </w:rPr>
              <w:t>1.10</w:t>
            </w:r>
          </w:p>
        </w:tc>
        <w:tc>
          <w:tcPr>
            <w:tcW w:w="7308" w:type="dxa"/>
            <w:noWrap w:val="0"/>
            <w:vAlign w:val="top"/>
          </w:tcPr>
          <w:p w14:paraId="24D7DED1">
            <w:pPr>
              <w:snapToGrid w:val="0"/>
              <w:rPr>
                <w:color w:val="auto"/>
                <w:sz w:val="21"/>
                <w:szCs w:val="21"/>
                <w:u w:val="single"/>
              </w:rPr>
            </w:pPr>
            <w:r>
              <w:rPr>
                <w:color w:val="auto"/>
                <w:sz w:val="21"/>
                <w:szCs w:val="21"/>
                <w:u w:val="single"/>
              </w:rPr>
              <w:t>使用不合格的设备、机械、工器具、劳动保护用品</w:t>
            </w:r>
          </w:p>
        </w:tc>
        <w:tc>
          <w:tcPr>
            <w:tcW w:w="1205" w:type="dxa"/>
            <w:gridSpan w:val="3"/>
            <w:noWrap w:val="0"/>
            <w:vAlign w:val="top"/>
          </w:tcPr>
          <w:p w14:paraId="737328AF">
            <w:pPr>
              <w:snapToGrid w:val="0"/>
              <w:jc w:val="center"/>
              <w:rPr>
                <w:color w:val="auto"/>
                <w:sz w:val="21"/>
                <w:szCs w:val="21"/>
                <w:u w:val="single"/>
              </w:rPr>
            </w:pPr>
          </w:p>
        </w:tc>
      </w:tr>
      <w:tr w14:paraId="63C5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7BCF9FC">
            <w:pPr>
              <w:snapToGrid w:val="0"/>
              <w:jc w:val="center"/>
              <w:rPr>
                <w:color w:val="auto"/>
                <w:sz w:val="21"/>
                <w:szCs w:val="21"/>
                <w:u w:val="single"/>
              </w:rPr>
            </w:pPr>
            <w:r>
              <w:rPr>
                <w:color w:val="auto"/>
                <w:sz w:val="21"/>
                <w:szCs w:val="21"/>
                <w:u w:val="single"/>
              </w:rPr>
              <w:t>1.11</w:t>
            </w:r>
          </w:p>
        </w:tc>
        <w:tc>
          <w:tcPr>
            <w:tcW w:w="7308" w:type="dxa"/>
            <w:noWrap w:val="0"/>
            <w:vAlign w:val="top"/>
          </w:tcPr>
          <w:p w14:paraId="54FCF599">
            <w:pPr>
              <w:snapToGrid w:val="0"/>
              <w:rPr>
                <w:color w:val="auto"/>
                <w:sz w:val="21"/>
                <w:szCs w:val="21"/>
                <w:u w:val="single"/>
              </w:rPr>
            </w:pPr>
            <w:r>
              <w:rPr>
                <w:color w:val="auto"/>
                <w:sz w:val="21"/>
                <w:szCs w:val="21"/>
                <w:u w:val="single"/>
              </w:rPr>
              <w:t>夜间或光线不足地点未有充足照明或警示红灯</w:t>
            </w:r>
          </w:p>
        </w:tc>
        <w:tc>
          <w:tcPr>
            <w:tcW w:w="1205" w:type="dxa"/>
            <w:gridSpan w:val="3"/>
            <w:noWrap w:val="0"/>
            <w:vAlign w:val="top"/>
          </w:tcPr>
          <w:p w14:paraId="19556852">
            <w:pPr>
              <w:snapToGrid w:val="0"/>
              <w:jc w:val="center"/>
              <w:rPr>
                <w:color w:val="auto"/>
                <w:sz w:val="21"/>
                <w:szCs w:val="21"/>
                <w:u w:val="single"/>
              </w:rPr>
            </w:pPr>
          </w:p>
        </w:tc>
      </w:tr>
      <w:tr w14:paraId="7B95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8193D1F">
            <w:pPr>
              <w:snapToGrid w:val="0"/>
              <w:jc w:val="center"/>
              <w:rPr>
                <w:color w:val="auto"/>
                <w:sz w:val="21"/>
                <w:szCs w:val="21"/>
                <w:u w:val="single"/>
              </w:rPr>
            </w:pPr>
            <w:r>
              <w:rPr>
                <w:color w:val="auto"/>
                <w:sz w:val="21"/>
                <w:szCs w:val="21"/>
                <w:u w:val="single"/>
              </w:rPr>
              <w:t>1.12</w:t>
            </w:r>
          </w:p>
        </w:tc>
        <w:tc>
          <w:tcPr>
            <w:tcW w:w="7308" w:type="dxa"/>
            <w:noWrap w:val="0"/>
            <w:vAlign w:val="top"/>
          </w:tcPr>
          <w:p w14:paraId="3AD97D95">
            <w:pPr>
              <w:snapToGrid w:val="0"/>
              <w:rPr>
                <w:color w:val="auto"/>
                <w:sz w:val="21"/>
                <w:szCs w:val="21"/>
                <w:u w:val="single"/>
              </w:rPr>
            </w:pPr>
            <w:r>
              <w:rPr>
                <w:color w:val="auto"/>
                <w:sz w:val="21"/>
                <w:szCs w:val="21"/>
                <w:u w:val="single"/>
              </w:rPr>
              <w:t>起吊、存放零散物件未做好防坠措施</w:t>
            </w:r>
          </w:p>
        </w:tc>
        <w:tc>
          <w:tcPr>
            <w:tcW w:w="1205" w:type="dxa"/>
            <w:gridSpan w:val="3"/>
            <w:noWrap w:val="0"/>
            <w:vAlign w:val="top"/>
          </w:tcPr>
          <w:p w14:paraId="20907FF2">
            <w:pPr>
              <w:snapToGrid w:val="0"/>
              <w:jc w:val="center"/>
              <w:rPr>
                <w:color w:val="auto"/>
                <w:sz w:val="21"/>
                <w:szCs w:val="21"/>
                <w:u w:val="single"/>
              </w:rPr>
            </w:pPr>
          </w:p>
        </w:tc>
      </w:tr>
      <w:tr w14:paraId="1FD1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3A49A7D">
            <w:pPr>
              <w:snapToGrid w:val="0"/>
              <w:jc w:val="center"/>
              <w:rPr>
                <w:color w:val="auto"/>
                <w:sz w:val="21"/>
                <w:szCs w:val="21"/>
                <w:u w:val="single"/>
              </w:rPr>
            </w:pPr>
            <w:r>
              <w:rPr>
                <w:color w:val="auto"/>
                <w:sz w:val="21"/>
                <w:szCs w:val="21"/>
                <w:u w:val="single"/>
              </w:rPr>
              <w:t>1.13</w:t>
            </w:r>
          </w:p>
        </w:tc>
        <w:tc>
          <w:tcPr>
            <w:tcW w:w="7308" w:type="dxa"/>
            <w:noWrap w:val="0"/>
            <w:vAlign w:val="top"/>
          </w:tcPr>
          <w:p w14:paraId="4F673425">
            <w:pPr>
              <w:snapToGrid w:val="0"/>
              <w:rPr>
                <w:color w:val="auto"/>
                <w:sz w:val="21"/>
                <w:szCs w:val="21"/>
                <w:u w:val="single"/>
              </w:rPr>
            </w:pPr>
            <w:r>
              <w:rPr>
                <w:color w:val="auto"/>
                <w:sz w:val="21"/>
                <w:szCs w:val="21"/>
                <w:u w:val="single"/>
              </w:rPr>
              <w:t>对地下设施、管线不采取保护、标识措施</w:t>
            </w:r>
          </w:p>
        </w:tc>
        <w:tc>
          <w:tcPr>
            <w:tcW w:w="1205" w:type="dxa"/>
            <w:gridSpan w:val="3"/>
            <w:noWrap w:val="0"/>
            <w:vAlign w:val="top"/>
          </w:tcPr>
          <w:p w14:paraId="3FC84E1E">
            <w:pPr>
              <w:snapToGrid w:val="0"/>
              <w:jc w:val="center"/>
              <w:rPr>
                <w:color w:val="auto"/>
                <w:sz w:val="21"/>
                <w:szCs w:val="21"/>
                <w:u w:val="single"/>
              </w:rPr>
            </w:pPr>
          </w:p>
        </w:tc>
      </w:tr>
      <w:tr w14:paraId="7AAB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62CB6F9">
            <w:pPr>
              <w:snapToGrid w:val="0"/>
              <w:jc w:val="center"/>
              <w:rPr>
                <w:color w:val="auto"/>
                <w:sz w:val="21"/>
                <w:szCs w:val="21"/>
                <w:u w:val="single"/>
              </w:rPr>
            </w:pPr>
            <w:r>
              <w:rPr>
                <w:color w:val="auto"/>
                <w:sz w:val="21"/>
                <w:szCs w:val="21"/>
                <w:u w:val="single"/>
              </w:rPr>
              <w:t>1.14</w:t>
            </w:r>
          </w:p>
        </w:tc>
        <w:tc>
          <w:tcPr>
            <w:tcW w:w="7308" w:type="dxa"/>
            <w:noWrap w:val="0"/>
            <w:vAlign w:val="top"/>
          </w:tcPr>
          <w:p w14:paraId="298F4E95">
            <w:pPr>
              <w:snapToGrid w:val="0"/>
              <w:rPr>
                <w:color w:val="auto"/>
                <w:sz w:val="21"/>
                <w:szCs w:val="21"/>
                <w:u w:val="single"/>
              </w:rPr>
            </w:pPr>
            <w:r>
              <w:rPr>
                <w:color w:val="auto"/>
                <w:sz w:val="21"/>
                <w:szCs w:val="21"/>
                <w:u w:val="single"/>
              </w:rPr>
              <w:t>交叉、起重、带电作业未有隔离措施、警戒区域，并未设专人监护</w:t>
            </w:r>
          </w:p>
        </w:tc>
        <w:tc>
          <w:tcPr>
            <w:tcW w:w="1205" w:type="dxa"/>
            <w:gridSpan w:val="3"/>
            <w:noWrap w:val="0"/>
            <w:vAlign w:val="top"/>
          </w:tcPr>
          <w:p w14:paraId="3BEB072F">
            <w:pPr>
              <w:snapToGrid w:val="0"/>
              <w:jc w:val="center"/>
              <w:rPr>
                <w:color w:val="auto"/>
                <w:sz w:val="21"/>
                <w:szCs w:val="21"/>
                <w:u w:val="single"/>
              </w:rPr>
            </w:pPr>
          </w:p>
        </w:tc>
      </w:tr>
      <w:tr w14:paraId="01B7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50C4D2C">
            <w:pPr>
              <w:snapToGrid w:val="0"/>
              <w:jc w:val="center"/>
              <w:rPr>
                <w:color w:val="auto"/>
                <w:sz w:val="21"/>
                <w:szCs w:val="21"/>
                <w:u w:val="single"/>
              </w:rPr>
            </w:pPr>
            <w:r>
              <w:rPr>
                <w:color w:val="auto"/>
                <w:sz w:val="21"/>
                <w:szCs w:val="21"/>
                <w:u w:val="single"/>
              </w:rPr>
              <w:t>1.15</w:t>
            </w:r>
          </w:p>
        </w:tc>
        <w:tc>
          <w:tcPr>
            <w:tcW w:w="7308" w:type="dxa"/>
            <w:noWrap w:val="0"/>
            <w:vAlign w:val="top"/>
          </w:tcPr>
          <w:p w14:paraId="76CAE92C">
            <w:pPr>
              <w:snapToGrid w:val="0"/>
              <w:rPr>
                <w:color w:val="auto"/>
                <w:sz w:val="21"/>
                <w:szCs w:val="21"/>
                <w:u w:val="single"/>
              </w:rPr>
            </w:pPr>
            <w:r>
              <w:rPr>
                <w:color w:val="auto"/>
                <w:sz w:val="21"/>
                <w:szCs w:val="21"/>
                <w:u w:val="single"/>
              </w:rPr>
              <w:t>密闭容器内、潮湿地点电源未使用安全电压或设置漏电保护开关，密闭容器未有良好通风、未设专人监护</w:t>
            </w:r>
          </w:p>
        </w:tc>
        <w:tc>
          <w:tcPr>
            <w:tcW w:w="1205" w:type="dxa"/>
            <w:gridSpan w:val="3"/>
            <w:noWrap w:val="0"/>
            <w:vAlign w:val="top"/>
          </w:tcPr>
          <w:p w14:paraId="74D90ED4">
            <w:pPr>
              <w:snapToGrid w:val="0"/>
              <w:jc w:val="center"/>
              <w:rPr>
                <w:color w:val="auto"/>
                <w:sz w:val="21"/>
                <w:szCs w:val="21"/>
                <w:u w:val="single"/>
              </w:rPr>
            </w:pPr>
          </w:p>
        </w:tc>
      </w:tr>
      <w:tr w14:paraId="0E81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13490C8">
            <w:pPr>
              <w:snapToGrid w:val="0"/>
              <w:jc w:val="center"/>
              <w:rPr>
                <w:color w:val="auto"/>
                <w:sz w:val="21"/>
                <w:szCs w:val="21"/>
                <w:u w:val="single"/>
              </w:rPr>
            </w:pPr>
            <w:r>
              <w:rPr>
                <w:color w:val="auto"/>
                <w:sz w:val="21"/>
                <w:szCs w:val="21"/>
                <w:u w:val="single"/>
              </w:rPr>
              <w:t>1.16</w:t>
            </w:r>
          </w:p>
        </w:tc>
        <w:tc>
          <w:tcPr>
            <w:tcW w:w="7308" w:type="dxa"/>
            <w:noWrap w:val="0"/>
            <w:vAlign w:val="top"/>
          </w:tcPr>
          <w:p w14:paraId="1AC15A54">
            <w:pPr>
              <w:snapToGrid w:val="0"/>
              <w:rPr>
                <w:color w:val="auto"/>
                <w:sz w:val="21"/>
                <w:szCs w:val="21"/>
                <w:u w:val="single"/>
              </w:rPr>
            </w:pPr>
            <w:r>
              <w:rPr>
                <w:color w:val="auto"/>
                <w:sz w:val="21"/>
                <w:szCs w:val="21"/>
                <w:u w:val="single"/>
              </w:rPr>
              <w:t>梯长不按规定驳长使用或放置不稳，多人同时站在梯子上作业</w:t>
            </w:r>
          </w:p>
        </w:tc>
        <w:tc>
          <w:tcPr>
            <w:tcW w:w="1205" w:type="dxa"/>
            <w:gridSpan w:val="3"/>
            <w:noWrap w:val="0"/>
            <w:vAlign w:val="top"/>
          </w:tcPr>
          <w:p w14:paraId="48A4AAAE">
            <w:pPr>
              <w:snapToGrid w:val="0"/>
              <w:jc w:val="center"/>
              <w:rPr>
                <w:color w:val="auto"/>
                <w:sz w:val="21"/>
                <w:szCs w:val="21"/>
                <w:u w:val="single"/>
              </w:rPr>
            </w:pPr>
          </w:p>
        </w:tc>
      </w:tr>
      <w:tr w14:paraId="2C86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200" w:type="dxa"/>
            <w:gridSpan w:val="5"/>
            <w:noWrap w:val="0"/>
            <w:vAlign w:val="top"/>
          </w:tcPr>
          <w:p w14:paraId="63FAD4B9">
            <w:pPr>
              <w:snapToGrid w:val="0"/>
              <w:rPr>
                <w:color w:val="auto"/>
                <w:sz w:val="21"/>
                <w:szCs w:val="21"/>
                <w:u w:val="single"/>
              </w:rPr>
            </w:pPr>
            <w:r>
              <w:rPr>
                <w:color w:val="auto"/>
                <w:sz w:val="21"/>
                <w:szCs w:val="21"/>
                <w:u w:val="single"/>
              </w:rPr>
              <w:t>2.高空与交叉作业   违反下列行为给予</w:t>
            </w:r>
            <w:r>
              <w:rPr>
                <w:rFonts w:hint="eastAsia"/>
                <w:color w:val="auto"/>
                <w:sz w:val="21"/>
                <w:szCs w:val="21"/>
                <w:u w:val="single"/>
                <w:lang w:val="en-US" w:eastAsia="zh-CN"/>
              </w:rPr>
              <w:t>10</w:t>
            </w:r>
            <w:r>
              <w:rPr>
                <w:color w:val="auto"/>
                <w:sz w:val="21"/>
                <w:szCs w:val="21"/>
                <w:u w:val="single"/>
              </w:rPr>
              <w:t>000-</w:t>
            </w:r>
            <w:r>
              <w:rPr>
                <w:rFonts w:hint="eastAsia"/>
                <w:color w:val="auto"/>
                <w:sz w:val="21"/>
                <w:szCs w:val="21"/>
                <w:u w:val="single"/>
                <w:lang w:val="en-US" w:eastAsia="zh-CN"/>
              </w:rPr>
              <w:t>2</w:t>
            </w:r>
            <w:r>
              <w:rPr>
                <w:rFonts w:hint="eastAsia"/>
                <w:color w:val="auto"/>
                <w:sz w:val="21"/>
                <w:szCs w:val="21"/>
                <w:u w:val="single"/>
              </w:rPr>
              <w:t>0000</w:t>
            </w:r>
            <w:r>
              <w:rPr>
                <w:color w:val="auto"/>
                <w:sz w:val="21"/>
                <w:szCs w:val="21"/>
                <w:u w:val="single"/>
              </w:rPr>
              <w:t>元处罚</w:t>
            </w:r>
          </w:p>
        </w:tc>
      </w:tr>
      <w:tr w14:paraId="7C73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2577FDC">
            <w:pPr>
              <w:snapToGrid w:val="0"/>
              <w:jc w:val="center"/>
              <w:rPr>
                <w:color w:val="auto"/>
                <w:sz w:val="21"/>
                <w:szCs w:val="21"/>
                <w:u w:val="single"/>
              </w:rPr>
            </w:pPr>
            <w:r>
              <w:rPr>
                <w:color w:val="auto"/>
                <w:sz w:val="21"/>
                <w:szCs w:val="21"/>
                <w:u w:val="single"/>
              </w:rPr>
              <w:t>2.1</w:t>
            </w:r>
          </w:p>
        </w:tc>
        <w:tc>
          <w:tcPr>
            <w:tcW w:w="7371" w:type="dxa"/>
            <w:gridSpan w:val="2"/>
            <w:noWrap w:val="0"/>
            <w:vAlign w:val="top"/>
          </w:tcPr>
          <w:p w14:paraId="58901FD1">
            <w:pPr>
              <w:snapToGrid w:val="0"/>
              <w:rPr>
                <w:color w:val="auto"/>
                <w:sz w:val="21"/>
                <w:szCs w:val="21"/>
                <w:u w:val="single"/>
              </w:rPr>
            </w:pPr>
            <w:r>
              <w:rPr>
                <w:color w:val="auto"/>
                <w:sz w:val="21"/>
                <w:szCs w:val="21"/>
                <w:u w:val="single"/>
              </w:rPr>
              <w:t xml:space="preserve">高空作业平台临边、孔洞、深坑、边坡高处等地点未设置围栏、盖板，或围栏、盖板不符合要求的 </w:t>
            </w:r>
          </w:p>
        </w:tc>
        <w:tc>
          <w:tcPr>
            <w:tcW w:w="1142" w:type="dxa"/>
            <w:gridSpan w:val="2"/>
            <w:noWrap w:val="0"/>
            <w:vAlign w:val="top"/>
          </w:tcPr>
          <w:p w14:paraId="773C0BF2">
            <w:pPr>
              <w:snapToGrid w:val="0"/>
              <w:jc w:val="center"/>
              <w:rPr>
                <w:color w:val="auto"/>
                <w:sz w:val="21"/>
                <w:szCs w:val="21"/>
                <w:u w:val="single"/>
              </w:rPr>
            </w:pPr>
          </w:p>
        </w:tc>
      </w:tr>
      <w:tr w14:paraId="1A16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A85C121">
            <w:pPr>
              <w:snapToGrid w:val="0"/>
              <w:jc w:val="center"/>
              <w:rPr>
                <w:color w:val="auto"/>
                <w:sz w:val="21"/>
                <w:szCs w:val="21"/>
                <w:u w:val="single"/>
              </w:rPr>
            </w:pPr>
            <w:r>
              <w:rPr>
                <w:color w:val="auto"/>
                <w:sz w:val="21"/>
                <w:szCs w:val="21"/>
                <w:u w:val="single"/>
              </w:rPr>
              <w:t>2.2</w:t>
            </w:r>
          </w:p>
        </w:tc>
        <w:tc>
          <w:tcPr>
            <w:tcW w:w="7371" w:type="dxa"/>
            <w:gridSpan w:val="2"/>
            <w:noWrap w:val="0"/>
            <w:vAlign w:val="top"/>
          </w:tcPr>
          <w:p w14:paraId="65496143">
            <w:pPr>
              <w:snapToGrid w:val="0"/>
              <w:rPr>
                <w:color w:val="auto"/>
                <w:sz w:val="21"/>
                <w:szCs w:val="21"/>
                <w:u w:val="single"/>
              </w:rPr>
            </w:pPr>
            <w:r>
              <w:rPr>
                <w:color w:val="auto"/>
                <w:sz w:val="21"/>
                <w:szCs w:val="21"/>
                <w:u w:val="single"/>
              </w:rPr>
              <w:t>钢架柱梁、砼柱梁、屋架、竖梯、爬梯等没有平台或脚手架地方进行施工，未使用水平扶绳、垂直攀登自锁装置、安全网等保护措施的</w:t>
            </w:r>
          </w:p>
        </w:tc>
        <w:tc>
          <w:tcPr>
            <w:tcW w:w="1142" w:type="dxa"/>
            <w:gridSpan w:val="2"/>
            <w:noWrap w:val="0"/>
            <w:vAlign w:val="top"/>
          </w:tcPr>
          <w:p w14:paraId="5BBBB73A">
            <w:pPr>
              <w:snapToGrid w:val="0"/>
              <w:jc w:val="center"/>
              <w:rPr>
                <w:color w:val="auto"/>
                <w:sz w:val="21"/>
                <w:szCs w:val="21"/>
                <w:u w:val="single"/>
              </w:rPr>
            </w:pPr>
          </w:p>
        </w:tc>
      </w:tr>
      <w:tr w14:paraId="4DA2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3FA248F">
            <w:pPr>
              <w:snapToGrid w:val="0"/>
              <w:jc w:val="center"/>
              <w:rPr>
                <w:color w:val="auto"/>
                <w:sz w:val="21"/>
                <w:szCs w:val="21"/>
                <w:u w:val="single"/>
              </w:rPr>
            </w:pPr>
            <w:r>
              <w:rPr>
                <w:color w:val="auto"/>
                <w:sz w:val="21"/>
                <w:szCs w:val="21"/>
                <w:u w:val="single"/>
              </w:rPr>
              <w:t>2.3</w:t>
            </w:r>
          </w:p>
        </w:tc>
        <w:tc>
          <w:tcPr>
            <w:tcW w:w="7371" w:type="dxa"/>
            <w:gridSpan w:val="2"/>
            <w:noWrap w:val="0"/>
            <w:vAlign w:val="top"/>
          </w:tcPr>
          <w:p w14:paraId="383B8C2D">
            <w:pPr>
              <w:snapToGrid w:val="0"/>
              <w:rPr>
                <w:color w:val="auto"/>
                <w:sz w:val="21"/>
                <w:szCs w:val="21"/>
                <w:u w:val="single"/>
              </w:rPr>
            </w:pPr>
            <w:r>
              <w:rPr>
                <w:color w:val="auto"/>
                <w:sz w:val="21"/>
                <w:szCs w:val="21"/>
                <w:u w:val="single"/>
              </w:rPr>
              <w:t>高空作业未戴安全带，未扣挂上方牢固可靠处或者其他防坠措施</w:t>
            </w:r>
          </w:p>
        </w:tc>
        <w:tc>
          <w:tcPr>
            <w:tcW w:w="1142" w:type="dxa"/>
            <w:gridSpan w:val="2"/>
            <w:noWrap w:val="0"/>
            <w:vAlign w:val="top"/>
          </w:tcPr>
          <w:p w14:paraId="1FB0062E">
            <w:pPr>
              <w:snapToGrid w:val="0"/>
              <w:jc w:val="center"/>
              <w:rPr>
                <w:color w:val="auto"/>
                <w:sz w:val="21"/>
                <w:szCs w:val="21"/>
                <w:u w:val="single"/>
              </w:rPr>
            </w:pPr>
          </w:p>
        </w:tc>
      </w:tr>
      <w:tr w14:paraId="6568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185F4D2">
            <w:pPr>
              <w:snapToGrid w:val="0"/>
              <w:jc w:val="center"/>
              <w:rPr>
                <w:color w:val="auto"/>
                <w:sz w:val="21"/>
                <w:szCs w:val="21"/>
                <w:u w:val="single"/>
              </w:rPr>
            </w:pPr>
            <w:r>
              <w:rPr>
                <w:color w:val="auto"/>
                <w:sz w:val="21"/>
                <w:szCs w:val="21"/>
                <w:u w:val="single"/>
              </w:rPr>
              <w:t>2.4</w:t>
            </w:r>
          </w:p>
        </w:tc>
        <w:tc>
          <w:tcPr>
            <w:tcW w:w="7371" w:type="dxa"/>
            <w:gridSpan w:val="2"/>
            <w:noWrap w:val="0"/>
            <w:vAlign w:val="top"/>
          </w:tcPr>
          <w:p w14:paraId="6B8CFB7F">
            <w:pPr>
              <w:snapToGrid w:val="0"/>
              <w:rPr>
                <w:color w:val="auto"/>
                <w:sz w:val="21"/>
                <w:szCs w:val="21"/>
                <w:u w:val="single"/>
              </w:rPr>
            </w:pPr>
            <w:r>
              <w:rPr>
                <w:color w:val="auto"/>
                <w:sz w:val="21"/>
                <w:szCs w:val="21"/>
                <w:u w:val="single"/>
              </w:rPr>
              <w:t>简易结构上作业未采取可靠防坠措施</w:t>
            </w:r>
          </w:p>
        </w:tc>
        <w:tc>
          <w:tcPr>
            <w:tcW w:w="1142" w:type="dxa"/>
            <w:gridSpan w:val="2"/>
            <w:noWrap w:val="0"/>
            <w:vAlign w:val="top"/>
          </w:tcPr>
          <w:p w14:paraId="48C0C29A">
            <w:pPr>
              <w:snapToGrid w:val="0"/>
              <w:jc w:val="center"/>
              <w:rPr>
                <w:color w:val="auto"/>
                <w:sz w:val="21"/>
                <w:szCs w:val="21"/>
                <w:u w:val="single"/>
              </w:rPr>
            </w:pPr>
          </w:p>
        </w:tc>
      </w:tr>
      <w:tr w14:paraId="7940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CB5D3D1">
            <w:pPr>
              <w:snapToGrid w:val="0"/>
              <w:jc w:val="center"/>
              <w:rPr>
                <w:color w:val="auto"/>
                <w:sz w:val="21"/>
                <w:szCs w:val="21"/>
                <w:u w:val="single"/>
              </w:rPr>
            </w:pPr>
            <w:r>
              <w:rPr>
                <w:color w:val="auto"/>
                <w:sz w:val="21"/>
                <w:szCs w:val="21"/>
                <w:u w:val="single"/>
              </w:rPr>
              <w:t>2.5</w:t>
            </w:r>
          </w:p>
        </w:tc>
        <w:tc>
          <w:tcPr>
            <w:tcW w:w="7371" w:type="dxa"/>
            <w:gridSpan w:val="2"/>
            <w:noWrap w:val="0"/>
            <w:vAlign w:val="top"/>
          </w:tcPr>
          <w:p w14:paraId="2D1E2E70">
            <w:pPr>
              <w:snapToGrid w:val="0"/>
              <w:rPr>
                <w:color w:val="auto"/>
                <w:sz w:val="21"/>
                <w:szCs w:val="21"/>
                <w:u w:val="single"/>
              </w:rPr>
            </w:pPr>
            <w:r>
              <w:rPr>
                <w:color w:val="auto"/>
                <w:sz w:val="21"/>
                <w:szCs w:val="21"/>
                <w:u w:val="single"/>
              </w:rPr>
              <w:t>高空作业未按规定佩戴工具袋，上下抛扔物件</w:t>
            </w:r>
          </w:p>
        </w:tc>
        <w:tc>
          <w:tcPr>
            <w:tcW w:w="1142" w:type="dxa"/>
            <w:gridSpan w:val="2"/>
            <w:noWrap w:val="0"/>
            <w:vAlign w:val="top"/>
          </w:tcPr>
          <w:p w14:paraId="0063B335">
            <w:pPr>
              <w:snapToGrid w:val="0"/>
              <w:jc w:val="center"/>
              <w:rPr>
                <w:color w:val="auto"/>
                <w:sz w:val="21"/>
                <w:szCs w:val="21"/>
                <w:u w:val="single"/>
              </w:rPr>
            </w:pPr>
          </w:p>
        </w:tc>
      </w:tr>
      <w:tr w14:paraId="1E24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C2B40C5">
            <w:pPr>
              <w:snapToGrid w:val="0"/>
              <w:jc w:val="center"/>
              <w:rPr>
                <w:color w:val="auto"/>
                <w:sz w:val="21"/>
                <w:szCs w:val="21"/>
                <w:u w:val="single"/>
              </w:rPr>
            </w:pPr>
            <w:r>
              <w:rPr>
                <w:color w:val="auto"/>
                <w:sz w:val="21"/>
                <w:szCs w:val="21"/>
                <w:u w:val="single"/>
              </w:rPr>
              <w:t>2.6</w:t>
            </w:r>
          </w:p>
        </w:tc>
        <w:tc>
          <w:tcPr>
            <w:tcW w:w="7371" w:type="dxa"/>
            <w:gridSpan w:val="2"/>
            <w:noWrap w:val="0"/>
            <w:vAlign w:val="top"/>
          </w:tcPr>
          <w:p w14:paraId="13966FA2">
            <w:pPr>
              <w:snapToGrid w:val="0"/>
              <w:rPr>
                <w:color w:val="auto"/>
                <w:sz w:val="21"/>
                <w:szCs w:val="21"/>
                <w:u w:val="single"/>
              </w:rPr>
            </w:pPr>
            <w:r>
              <w:rPr>
                <w:color w:val="auto"/>
                <w:sz w:val="21"/>
                <w:szCs w:val="21"/>
                <w:u w:val="single"/>
              </w:rPr>
              <w:t>手持工具进行垂直攀爬</w:t>
            </w:r>
          </w:p>
        </w:tc>
        <w:tc>
          <w:tcPr>
            <w:tcW w:w="1142" w:type="dxa"/>
            <w:gridSpan w:val="2"/>
            <w:noWrap w:val="0"/>
            <w:vAlign w:val="top"/>
          </w:tcPr>
          <w:p w14:paraId="1B811EED">
            <w:pPr>
              <w:snapToGrid w:val="0"/>
              <w:jc w:val="center"/>
              <w:rPr>
                <w:color w:val="auto"/>
                <w:sz w:val="21"/>
                <w:szCs w:val="21"/>
                <w:u w:val="single"/>
              </w:rPr>
            </w:pPr>
          </w:p>
        </w:tc>
      </w:tr>
      <w:tr w14:paraId="2E043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BA907AC">
            <w:pPr>
              <w:snapToGrid w:val="0"/>
              <w:jc w:val="center"/>
              <w:rPr>
                <w:color w:val="auto"/>
                <w:sz w:val="21"/>
                <w:szCs w:val="21"/>
                <w:u w:val="single"/>
              </w:rPr>
            </w:pPr>
            <w:r>
              <w:rPr>
                <w:color w:val="auto"/>
                <w:sz w:val="21"/>
                <w:szCs w:val="21"/>
                <w:u w:val="single"/>
              </w:rPr>
              <w:t>2.7</w:t>
            </w:r>
          </w:p>
        </w:tc>
        <w:tc>
          <w:tcPr>
            <w:tcW w:w="7371" w:type="dxa"/>
            <w:gridSpan w:val="2"/>
            <w:noWrap w:val="0"/>
            <w:vAlign w:val="top"/>
          </w:tcPr>
          <w:p w14:paraId="27930B98">
            <w:pPr>
              <w:snapToGrid w:val="0"/>
              <w:rPr>
                <w:color w:val="auto"/>
                <w:sz w:val="21"/>
                <w:szCs w:val="21"/>
                <w:u w:val="single"/>
              </w:rPr>
            </w:pPr>
            <w:r>
              <w:rPr>
                <w:color w:val="auto"/>
                <w:sz w:val="21"/>
                <w:szCs w:val="21"/>
                <w:u w:val="single"/>
              </w:rPr>
              <w:t>交叉作业未及时进行信息沟通，没有采取错开垂直交叉地点或时间、搭设防护隔离设施或警示措施</w:t>
            </w:r>
          </w:p>
        </w:tc>
        <w:tc>
          <w:tcPr>
            <w:tcW w:w="1142" w:type="dxa"/>
            <w:gridSpan w:val="2"/>
            <w:noWrap w:val="0"/>
            <w:vAlign w:val="top"/>
          </w:tcPr>
          <w:p w14:paraId="6B3A2E18">
            <w:pPr>
              <w:snapToGrid w:val="0"/>
              <w:jc w:val="center"/>
              <w:rPr>
                <w:color w:val="auto"/>
                <w:sz w:val="21"/>
                <w:szCs w:val="21"/>
                <w:u w:val="single"/>
              </w:rPr>
            </w:pPr>
          </w:p>
        </w:tc>
      </w:tr>
      <w:tr w14:paraId="7989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0" w:type="dxa"/>
            <w:gridSpan w:val="5"/>
            <w:noWrap w:val="0"/>
            <w:vAlign w:val="top"/>
          </w:tcPr>
          <w:p w14:paraId="0102857E">
            <w:pPr>
              <w:snapToGrid w:val="0"/>
              <w:rPr>
                <w:color w:val="auto"/>
                <w:sz w:val="21"/>
                <w:szCs w:val="21"/>
                <w:u w:val="single"/>
              </w:rPr>
            </w:pPr>
            <w:r>
              <w:rPr>
                <w:color w:val="auto"/>
                <w:sz w:val="21"/>
                <w:szCs w:val="21"/>
                <w:u w:val="single"/>
              </w:rPr>
              <w:t>3.施工用电   违反下列行为给予</w:t>
            </w:r>
            <w:r>
              <w:rPr>
                <w:rFonts w:hint="eastAsia"/>
                <w:color w:val="auto"/>
                <w:sz w:val="21"/>
                <w:szCs w:val="21"/>
                <w:u w:val="single"/>
                <w:lang w:val="en-US" w:eastAsia="zh-CN"/>
              </w:rPr>
              <w:t>5</w:t>
            </w:r>
            <w:r>
              <w:rPr>
                <w:color w:val="auto"/>
                <w:sz w:val="21"/>
                <w:szCs w:val="21"/>
                <w:u w:val="single"/>
              </w:rPr>
              <w:t>000-</w:t>
            </w:r>
            <w:r>
              <w:rPr>
                <w:rFonts w:hint="eastAsia"/>
                <w:color w:val="auto"/>
                <w:sz w:val="21"/>
                <w:szCs w:val="21"/>
                <w:u w:val="single"/>
                <w:lang w:val="en-US" w:eastAsia="zh-CN"/>
              </w:rPr>
              <w:t>10</w:t>
            </w:r>
            <w:r>
              <w:rPr>
                <w:color w:val="auto"/>
                <w:sz w:val="21"/>
                <w:szCs w:val="21"/>
                <w:u w:val="single"/>
              </w:rPr>
              <w:t>000元处罚</w:t>
            </w:r>
          </w:p>
        </w:tc>
      </w:tr>
      <w:tr w14:paraId="2603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ACCCBE9">
            <w:pPr>
              <w:snapToGrid w:val="0"/>
              <w:jc w:val="center"/>
              <w:rPr>
                <w:color w:val="auto"/>
                <w:sz w:val="21"/>
                <w:szCs w:val="21"/>
                <w:u w:val="single"/>
              </w:rPr>
            </w:pPr>
            <w:r>
              <w:rPr>
                <w:color w:val="auto"/>
                <w:sz w:val="21"/>
                <w:szCs w:val="21"/>
                <w:u w:val="single"/>
              </w:rPr>
              <w:t>3.1</w:t>
            </w:r>
          </w:p>
        </w:tc>
        <w:tc>
          <w:tcPr>
            <w:tcW w:w="7371" w:type="dxa"/>
            <w:gridSpan w:val="2"/>
            <w:noWrap w:val="0"/>
            <w:vAlign w:val="top"/>
          </w:tcPr>
          <w:p w14:paraId="43F13686">
            <w:pPr>
              <w:snapToGrid w:val="0"/>
              <w:rPr>
                <w:color w:val="auto"/>
                <w:sz w:val="21"/>
                <w:szCs w:val="21"/>
                <w:u w:val="single"/>
              </w:rPr>
            </w:pPr>
            <w:r>
              <w:rPr>
                <w:color w:val="auto"/>
                <w:sz w:val="21"/>
                <w:szCs w:val="21"/>
                <w:u w:val="single"/>
              </w:rPr>
              <w:t>施工用电未实行三相五线制，没有采用三级配电、二级漏电保护和TN-S接零保护系统</w:t>
            </w:r>
          </w:p>
        </w:tc>
        <w:tc>
          <w:tcPr>
            <w:tcW w:w="1142" w:type="dxa"/>
            <w:gridSpan w:val="2"/>
            <w:noWrap w:val="0"/>
            <w:vAlign w:val="top"/>
          </w:tcPr>
          <w:p w14:paraId="1111F82F">
            <w:pPr>
              <w:snapToGrid w:val="0"/>
              <w:jc w:val="center"/>
              <w:rPr>
                <w:color w:val="auto"/>
                <w:sz w:val="21"/>
                <w:szCs w:val="21"/>
                <w:u w:val="single"/>
              </w:rPr>
            </w:pPr>
          </w:p>
        </w:tc>
      </w:tr>
      <w:tr w14:paraId="1D6D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7184B41">
            <w:pPr>
              <w:snapToGrid w:val="0"/>
              <w:jc w:val="center"/>
              <w:rPr>
                <w:color w:val="auto"/>
                <w:sz w:val="21"/>
                <w:szCs w:val="21"/>
                <w:u w:val="single"/>
              </w:rPr>
            </w:pPr>
            <w:r>
              <w:rPr>
                <w:color w:val="auto"/>
                <w:sz w:val="21"/>
                <w:szCs w:val="21"/>
                <w:u w:val="single"/>
              </w:rPr>
              <w:t>3.2</w:t>
            </w:r>
          </w:p>
        </w:tc>
        <w:tc>
          <w:tcPr>
            <w:tcW w:w="7371" w:type="dxa"/>
            <w:gridSpan w:val="2"/>
            <w:noWrap w:val="0"/>
            <w:vAlign w:val="top"/>
          </w:tcPr>
          <w:p w14:paraId="283F251F">
            <w:pPr>
              <w:snapToGrid w:val="0"/>
              <w:rPr>
                <w:color w:val="auto"/>
                <w:sz w:val="21"/>
                <w:szCs w:val="21"/>
                <w:u w:val="single"/>
              </w:rPr>
            </w:pPr>
            <w:r>
              <w:rPr>
                <w:color w:val="auto"/>
                <w:sz w:val="21"/>
                <w:szCs w:val="21"/>
                <w:u w:val="single"/>
              </w:rPr>
              <w:t>电气裸露部分没有采取隔离或绝缘措施，电器设备金属外壳未有接地</w:t>
            </w:r>
          </w:p>
        </w:tc>
        <w:tc>
          <w:tcPr>
            <w:tcW w:w="1142" w:type="dxa"/>
            <w:gridSpan w:val="2"/>
            <w:noWrap w:val="0"/>
            <w:vAlign w:val="top"/>
          </w:tcPr>
          <w:p w14:paraId="2BF3E37C">
            <w:pPr>
              <w:snapToGrid w:val="0"/>
              <w:jc w:val="center"/>
              <w:rPr>
                <w:color w:val="auto"/>
                <w:sz w:val="21"/>
                <w:szCs w:val="21"/>
                <w:u w:val="single"/>
              </w:rPr>
            </w:pPr>
          </w:p>
        </w:tc>
      </w:tr>
      <w:tr w14:paraId="7452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52E6926">
            <w:pPr>
              <w:snapToGrid w:val="0"/>
              <w:jc w:val="center"/>
              <w:rPr>
                <w:color w:val="auto"/>
                <w:sz w:val="21"/>
                <w:szCs w:val="21"/>
                <w:u w:val="single"/>
              </w:rPr>
            </w:pPr>
            <w:r>
              <w:rPr>
                <w:color w:val="auto"/>
                <w:sz w:val="21"/>
                <w:szCs w:val="21"/>
                <w:u w:val="single"/>
              </w:rPr>
              <w:t>3.3</w:t>
            </w:r>
          </w:p>
        </w:tc>
        <w:tc>
          <w:tcPr>
            <w:tcW w:w="7371" w:type="dxa"/>
            <w:gridSpan w:val="2"/>
            <w:noWrap w:val="0"/>
            <w:vAlign w:val="top"/>
          </w:tcPr>
          <w:p w14:paraId="28493E5B">
            <w:pPr>
              <w:snapToGrid w:val="0"/>
              <w:rPr>
                <w:color w:val="auto"/>
                <w:sz w:val="21"/>
                <w:szCs w:val="21"/>
                <w:u w:val="single"/>
              </w:rPr>
            </w:pPr>
            <w:r>
              <w:rPr>
                <w:color w:val="auto"/>
                <w:sz w:val="21"/>
                <w:szCs w:val="21"/>
                <w:u w:val="single"/>
              </w:rPr>
              <w:t>配电箱一台开关控制多台电器设备</w:t>
            </w:r>
          </w:p>
        </w:tc>
        <w:tc>
          <w:tcPr>
            <w:tcW w:w="1142" w:type="dxa"/>
            <w:gridSpan w:val="2"/>
            <w:noWrap w:val="0"/>
            <w:vAlign w:val="top"/>
          </w:tcPr>
          <w:p w14:paraId="54E7728C">
            <w:pPr>
              <w:snapToGrid w:val="0"/>
              <w:jc w:val="center"/>
              <w:rPr>
                <w:color w:val="auto"/>
                <w:sz w:val="21"/>
                <w:szCs w:val="21"/>
                <w:u w:val="single"/>
              </w:rPr>
            </w:pPr>
          </w:p>
        </w:tc>
      </w:tr>
      <w:tr w14:paraId="384F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953490C">
            <w:pPr>
              <w:snapToGrid w:val="0"/>
              <w:jc w:val="center"/>
              <w:rPr>
                <w:color w:val="auto"/>
                <w:sz w:val="21"/>
                <w:szCs w:val="21"/>
                <w:u w:val="single"/>
              </w:rPr>
            </w:pPr>
            <w:r>
              <w:rPr>
                <w:color w:val="auto"/>
                <w:sz w:val="21"/>
                <w:szCs w:val="21"/>
                <w:u w:val="single"/>
              </w:rPr>
              <w:t>3.4</w:t>
            </w:r>
          </w:p>
        </w:tc>
        <w:tc>
          <w:tcPr>
            <w:tcW w:w="7371" w:type="dxa"/>
            <w:gridSpan w:val="2"/>
            <w:noWrap w:val="0"/>
            <w:vAlign w:val="top"/>
          </w:tcPr>
          <w:p w14:paraId="5F2E4A1E">
            <w:pPr>
              <w:snapToGrid w:val="0"/>
              <w:rPr>
                <w:color w:val="auto"/>
                <w:sz w:val="21"/>
                <w:szCs w:val="21"/>
                <w:u w:val="single"/>
              </w:rPr>
            </w:pPr>
            <w:r>
              <w:rPr>
                <w:color w:val="auto"/>
                <w:sz w:val="21"/>
                <w:szCs w:val="21"/>
                <w:u w:val="single"/>
              </w:rPr>
              <w:t>配电箱、开关箱放置地点不牢固，容易被水淹、土埋，杂草没有及时清除</w:t>
            </w:r>
          </w:p>
        </w:tc>
        <w:tc>
          <w:tcPr>
            <w:tcW w:w="1142" w:type="dxa"/>
            <w:gridSpan w:val="2"/>
            <w:noWrap w:val="0"/>
            <w:vAlign w:val="top"/>
          </w:tcPr>
          <w:p w14:paraId="7848F8BC">
            <w:pPr>
              <w:snapToGrid w:val="0"/>
              <w:jc w:val="center"/>
              <w:rPr>
                <w:color w:val="auto"/>
                <w:sz w:val="21"/>
                <w:szCs w:val="21"/>
                <w:u w:val="single"/>
              </w:rPr>
            </w:pPr>
          </w:p>
        </w:tc>
      </w:tr>
      <w:tr w14:paraId="6114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D21FAA1">
            <w:pPr>
              <w:snapToGrid w:val="0"/>
              <w:jc w:val="center"/>
              <w:rPr>
                <w:color w:val="auto"/>
                <w:sz w:val="21"/>
                <w:szCs w:val="21"/>
                <w:u w:val="single"/>
              </w:rPr>
            </w:pPr>
            <w:r>
              <w:rPr>
                <w:color w:val="auto"/>
                <w:sz w:val="21"/>
                <w:szCs w:val="21"/>
                <w:u w:val="single"/>
              </w:rPr>
              <w:t>3.5</w:t>
            </w:r>
          </w:p>
        </w:tc>
        <w:tc>
          <w:tcPr>
            <w:tcW w:w="7371" w:type="dxa"/>
            <w:gridSpan w:val="2"/>
            <w:noWrap w:val="0"/>
            <w:vAlign w:val="top"/>
          </w:tcPr>
          <w:p w14:paraId="21A03A29">
            <w:pPr>
              <w:snapToGrid w:val="0"/>
              <w:rPr>
                <w:color w:val="auto"/>
                <w:sz w:val="21"/>
                <w:szCs w:val="21"/>
                <w:u w:val="single"/>
              </w:rPr>
            </w:pPr>
            <w:r>
              <w:rPr>
                <w:color w:val="auto"/>
                <w:sz w:val="21"/>
                <w:szCs w:val="21"/>
                <w:u w:val="single"/>
              </w:rPr>
              <w:t>电缆截面不能满足用电负荷要求，导致电缆发热或绝缘破损的</w:t>
            </w:r>
          </w:p>
        </w:tc>
        <w:tc>
          <w:tcPr>
            <w:tcW w:w="1142" w:type="dxa"/>
            <w:gridSpan w:val="2"/>
            <w:noWrap w:val="0"/>
            <w:vAlign w:val="top"/>
          </w:tcPr>
          <w:p w14:paraId="7735CDCA">
            <w:pPr>
              <w:snapToGrid w:val="0"/>
              <w:jc w:val="center"/>
              <w:rPr>
                <w:color w:val="auto"/>
                <w:sz w:val="21"/>
                <w:szCs w:val="21"/>
                <w:u w:val="single"/>
              </w:rPr>
            </w:pPr>
          </w:p>
        </w:tc>
      </w:tr>
      <w:tr w14:paraId="7195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3C5054B">
            <w:pPr>
              <w:snapToGrid w:val="0"/>
              <w:jc w:val="center"/>
              <w:rPr>
                <w:color w:val="auto"/>
                <w:sz w:val="21"/>
                <w:szCs w:val="21"/>
                <w:u w:val="single"/>
              </w:rPr>
            </w:pPr>
            <w:r>
              <w:rPr>
                <w:color w:val="auto"/>
                <w:sz w:val="21"/>
                <w:szCs w:val="21"/>
                <w:u w:val="single"/>
              </w:rPr>
              <w:t>3.6</w:t>
            </w:r>
          </w:p>
        </w:tc>
        <w:tc>
          <w:tcPr>
            <w:tcW w:w="7371" w:type="dxa"/>
            <w:gridSpan w:val="2"/>
            <w:noWrap w:val="0"/>
            <w:vAlign w:val="top"/>
          </w:tcPr>
          <w:p w14:paraId="322D6589">
            <w:pPr>
              <w:snapToGrid w:val="0"/>
              <w:rPr>
                <w:color w:val="auto"/>
                <w:sz w:val="21"/>
                <w:szCs w:val="21"/>
                <w:u w:val="single"/>
              </w:rPr>
            </w:pPr>
            <w:r>
              <w:rPr>
                <w:color w:val="auto"/>
                <w:sz w:val="21"/>
                <w:szCs w:val="21"/>
                <w:u w:val="single"/>
              </w:rPr>
              <w:t>电缆埋地、设架空敷设距离、深度不足，通过道路未有保护措施，埋地电缆未有标识</w:t>
            </w:r>
          </w:p>
        </w:tc>
        <w:tc>
          <w:tcPr>
            <w:tcW w:w="1142" w:type="dxa"/>
            <w:gridSpan w:val="2"/>
            <w:noWrap w:val="0"/>
            <w:vAlign w:val="top"/>
          </w:tcPr>
          <w:p w14:paraId="79F85FA2">
            <w:pPr>
              <w:snapToGrid w:val="0"/>
              <w:jc w:val="center"/>
              <w:rPr>
                <w:color w:val="auto"/>
                <w:sz w:val="21"/>
                <w:szCs w:val="21"/>
                <w:u w:val="single"/>
              </w:rPr>
            </w:pPr>
          </w:p>
        </w:tc>
      </w:tr>
      <w:tr w14:paraId="242E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26F4E5E">
            <w:pPr>
              <w:snapToGrid w:val="0"/>
              <w:jc w:val="center"/>
              <w:rPr>
                <w:color w:val="auto"/>
                <w:sz w:val="21"/>
                <w:szCs w:val="21"/>
                <w:u w:val="single"/>
              </w:rPr>
            </w:pPr>
            <w:r>
              <w:rPr>
                <w:color w:val="auto"/>
                <w:sz w:val="21"/>
                <w:szCs w:val="21"/>
                <w:u w:val="single"/>
              </w:rPr>
              <w:t>3.7</w:t>
            </w:r>
          </w:p>
        </w:tc>
        <w:tc>
          <w:tcPr>
            <w:tcW w:w="7371" w:type="dxa"/>
            <w:gridSpan w:val="2"/>
            <w:noWrap w:val="0"/>
            <w:vAlign w:val="top"/>
          </w:tcPr>
          <w:p w14:paraId="3D926BDA">
            <w:pPr>
              <w:snapToGrid w:val="0"/>
              <w:rPr>
                <w:color w:val="auto"/>
                <w:sz w:val="21"/>
                <w:szCs w:val="21"/>
                <w:u w:val="single"/>
              </w:rPr>
            </w:pPr>
            <w:r>
              <w:rPr>
                <w:color w:val="auto"/>
                <w:sz w:val="21"/>
                <w:szCs w:val="21"/>
                <w:u w:val="single"/>
              </w:rPr>
              <w:t>配电室没有配置消防措施</w:t>
            </w:r>
          </w:p>
        </w:tc>
        <w:tc>
          <w:tcPr>
            <w:tcW w:w="1142" w:type="dxa"/>
            <w:gridSpan w:val="2"/>
            <w:noWrap w:val="0"/>
            <w:vAlign w:val="top"/>
          </w:tcPr>
          <w:p w14:paraId="0F74CE2A">
            <w:pPr>
              <w:snapToGrid w:val="0"/>
              <w:jc w:val="center"/>
              <w:rPr>
                <w:color w:val="auto"/>
                <w:sz w:val="21"/>
                <w:szCs w:val="21"/>
                <w:u w:val="single"/>
              </w:rPr>
            </w:pPr>
          </w:p>
        </w:tc>
      </w:tr>
      <w:tr w14:paraId="7A26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E09E290">
            <w:pPr>
              <w:snapToGrid w:val="0"/>
              <w:jc w:val="center"/>
              <w:rPr>
                <w:color w:val="auto"/>
                <w:sz w:val="21"/>
                <w:szCs w:val="21"/>
                <w:u w:val="single"/>
              </w:rPr>
            </w:pPr>
            <w:r>
              <w:rPr>
                <w:color w:val="auto"/>
                <w:sz w:val="21"/>
                <w:szCs w:val="21"/>
                <w:u w:val="single"/>
              </w:rPr>
              <w:t>3.8</w:t>
            </w:r>
          </w:p>
        </w:tc>
        <w:tc>
          <w:tcPr>
            <w:tcW w:w="7371" w:type="dxa"/>
            <w:gridSpan w:val="2"/>
            <w:noWrap w:val="0"/>
            <w:vAlign w:val="top"/>
          </w:tcPr>
          <w:p w14:paraId="3D280762">
            <w:pPr>
              <w:snapToGrid w:val="0"/>
              <w:rPr>
                <w:color w:val="auto"/>
                <w:sz w:val="21"/>
                <w:szCs w:val="21"/>
                <w:u w:val="single"/>
              </w:rPr>
            </w:pPr>
            <w:r>
              <w:rPr>
                <w:color w:val="auto"/>
                <w:sz w:val="21"/>
                <w:szCs w:val="21"/>
                <w:u w:val="single"/>
              </w:rPr>
              <w:t>施工电源维修时未采取断电、上锁、设置警示牌、监护等措施</w:t>
            </w:r>
          </w:p>
        </w:tc>
        <w:tc>
          <w:tcPr>
            <w:tcW w:w="1142" w:type="dxa"/>
            <w:gridSpan w:val="2"/>
            <w:noWrap w:val="0"/>
            <w:vAlign w:val="top"/>
          </w:tcPr>
          <w:p w14:paraId="762797EA">
            <w:pPr>
              <w:snapToGrid w:val="0"/>
              <w:jc w:val="center"/>
              <w:rPr>
                <w:color w:val="auto"/>
                <w:sz w:val="21"/>
                <w:szCs w:val="21"/>
                <w:u w:val="single"/>
              </w:rPr>
            </w:pPr>
          </w:p>
        </w:tc>
      </w:tr>
      <w:tr w14:paraId="72AB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A5EF564">
            <w:pPr>
              <w:snapToGrid w:val="0"/>
              <w:jc w:val="center"/>
              <w:rPr>
                <w:color w:val="auto"/>
                <w:sz w:val="21"/>
                <w:szCs w:val="21"/>
                <w:u w:val="single"/>
              </w:rPr>
            </w:pPr>
            <w:r>
              <w:rPr>
                <w:color w:val="auto"/>
                <w:sz w:val="21"/>
                <w:szCs w:val="21"/>
                <w:u w:val="single"/>
              </w:rPr>
              <w:t>3.9</w:t>
            </w:r>
          </w:p>
        </w:tc>
        <w:tc>
          <w:tcPr>
            <w:tcW w:w="7371" w:type="dxa"/>
            <w:gridSpan w:val="2"/>
            <w:noWrap w:val="0"/>
            <w:vAlign w:val="top"/>
          </w:tcPr>
          <w:p w14:paraId="2A204DA0">
            <w:pPr>
              <w:snapToGrid w:val="0"/>
              <w:rPr>
                <w:color w:val="auto"/>
                <w:sz w:val="21"/>
                <w:szCs w:val="21"/>
                <w:u w:val="single"/>
              </w:rPr>
            </w:pPr>
            <w:r>
              <w:rPr>
                <w:color w:val="auto"/>
                <w:sz w:val="21"/>
                <w:szCs w:val="21"/>
                <w:u w:val="single"/>
              </w:rPr>
              <w:t>不按规定乱拉乱接电源，将电源线直接插入插座或勾挂闸刀上</w:t>
            </w:r>
          </w:p>
        </w:tc>
        <w:tc>
          <w:tcPr>
            <w:tcW w:w="1142" w:type="dxa"/>
            <w:gridSpan w:val="2"/>
            <w:noWrap w:val="0"/>
            <w:vAlign w:val="top"/>
          </w:tcPr>
          <w:p w14:paraId="1F734A85">
            <w:pPr>
              <w:snapToGrid w:val="0"/>
              <w:jc w:val="center"/>
              <w:rPr>
                <w:color w:val="auto"/>
                <w:sz w:val="21"/>
                <w:szCs w:val="21"/>
                <w:u w:val="single"/>
              </w:rPr>
            </w:pPr>
          </w:p>
        </w:tc>
      </w:tr>
      <w:tr w14:paraId="34976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ACECDEB">
            <w:pPr>
              <w:snapToGrid w:val="0"/>
              <w:jc w:val="center"/>
              <w:rPr>
                <w:color w:val="auto"/>
                <w:sz w:val="21"/>
                <w:szCs w:val="21"/>
                <w:u w:val="single"/>
              </w:rPr>
            </w:pPr>
            <w:r>
              <w:rPr>
                <w:color w:val="auto"/>
                <w:sz w:val="21"/>
                <w:szCs w:val="21"/>
                <w:u w:val="single"/>
              </w:rPr>
              <w:t>3.10</w:t>
            </w:r>
          </w:p>
        </w:tc>
        <w:tc>
          <w:tcPr>
            <w:tcW w:w="7371" w:type="dxa"/>
            <w:gridSpan w:val="2"/>
            <w:noWrap w:val="0"/>
            <w:vAlign w:val="top"/>
          </w:tcPr>
          <w:p w14:paraId="49BE27C3">
            <w:pPr>
              <w:snapToGrid w:val="0"/>
              <w:rPr>
                <w:color w:val="auto"/>
                <w:sz w:val="21"/>
                <w:szCs w:val="21"/>
                <w:u w:val="single"/>
              </w:rPr>
            </w:pPr>
            <w:r>
              <w:rPr>
                <w:color w:val="auto"/>
                <w:sz w:val="21"/>
                <w:szCs w:val="21"/>
                <w:u w:val="single"/>
              </w:rPr>
              <w:t>电气线路、电气设备连接采用缠绕方式</w:t>
            </w:r>
          </w:p>
        </w:tc>
        <w:tc>
          <w:tcPr>
            <w:tcW w:w="1142" w:type="dxa"/>
            <w:gridSpan w:val="2"/>
            <w:noWrap w:val="0"/>
            <w:vAlign w:val="top"/>
          </w:tcPr>
          <w:p w14:paraId="3140221C">
            <w:pPr>
              <w:snapToGrid w:val="0"/>
              <w:jc w:val="center"/>
              <w:rPr>
                <w:color w:val="auto"/>
                <w:sz w:val="21"/>
                <w:szCs w:val="21"/>
                <w:u w:val="single"/>
              </w:rPr>
            </w:pPr>
          </w:p>
        </w:tc>
      </w:tr>
      <w:tr w14:paraId="1788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1B4C0C8">
            <w:pPr>
              <w:snapToGrid w:val="0"/>
              <w:jc w:val="center"/>
              <w:rPr>
                <w:color w:val="auto"/>
                <w:sz w:val="21"/>
                <w:szCs w:val="21"/>
                <w:u w:val="single"/>
              </w:rPr>
            </w:pPr>
            <w:r>
              <w:rPr>
                <w:color w:val="auto"/>
                <w:sz w:val="21"/>
                <w:szCs w:val="21"/>
                <w:u w:val="single"/>
              </w:rPr>
              <w:t>3.11</w:t>
            </w:r>
          </w:p>
        </w:tc>
        <w:tc>
          <w:tcPr>
            <w:tcW w:w="7371" w:type="dxa"/>
            <w:gridSpan w:val="2"/>
            <w:noWrap w:val="0"/>
            <w:vAlign w:val="top"/>
          </w:tcPr>
          <w:p w14:paraId="7445D712">
            <w:pPr>
              <w:snapToGrid w:val="0"/>
              <w:rPr>
                <w:color w:val="auto"/>
                <w:sz w:val="21"/>
                <w:szCs w:val="21"/>
                <w:u w:val="single"/>
              </w:rPr>
            </w:pPr>
            <w:r>
              <w:rPr>
                <w:color w:val="auto"/>
                <w:sz w:val="21"/>
                <w:szCs w:val="21"/>
                <w:u w:val="single"/>
              </w:rPr>
              <w:t>移动照明灯具没有按照使用场所要求采用安全电压</w:t>
            </w:r>
          </w:p>
        </w:tc>
        <w:tc>
          <w:tcPr>
            <w:tcW w:w="1142" w:type="dxa"/>
            <w:gridSpan w:val="2"/>
            <w:noWrap w:val="0"/>
            <w:vAlign w:val="top"/>
          </w:tcPr>
          <w:p w14:paraId="4BBB73AD">
            <w:pPr>
              <w:snapToGrid w:val="0"/>
              <w:jc w:val="center"/>
              <w:rPr>
                <w:color w:val="auto"/>
                <w:sz w:val="21"/>
                <w:szCs w:val="21"/>
                <w:u w:val="single"/>
              </w:rPr>
            </w:pPr>
          </w:p>
        </w:tc>
      </w:tr>
      <w:tr w14:paraId="35C8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E36CD78">
            <w:pPr>
              <w:snapToGrid w:val="0"/>
              <w:jc w:val="center"/>
              <w:rPr>
                <w:color w:val="auto"/>
                <w:sz w:val="21"/>
                <w:szCs w:val="21"/>
                <w:u w:val="single"/>
              </w:rPr>
            </w:pPr>
            <w:r>
              <w:rPr>
                <w:color w:val="auto"/>
                <w:sz w:val="21"/>
                <w:szCs w:val="21"/>
                <w:u w:val="single"/>
              </w:rPr>
              <w:t>3.12</w:t>
            </w:r>
          </w:p>
        </w:tc>
        <w:tc>
          <w:tcPr>
            <w:tcW w:w="7371" w:type="dxa"/>
            <w:gridSpan w:val="2"/>
            <w:noWrap w:val="0"/>
            <w:vAlign w:val="top"/>
          </w:tcPr>
          <w:p w14:paraId="4F95F74C">
            <w:pPr>
              <w:snapToGrid w:val="0"/>
              <w:rPr>
                <w:color w:val="auto"/>
                <w:sz w:val="21"/>
                <w:szCs w:val="21"/>
                <w:u w:val="single"/>
              </w:rPr>
            </w:pPr>
            <w:r>
              <w:rPr>
                <w:color w:val="auto"/>
                <w:sz w:val="21"/>
                <w:szCs w:val="21"/>
                <w:u w:val="single"/>
              </w:rPr>
              <w:t>露天电气装置未做好防雨措施的</w:t>
            </w:r>
          </w:p>
        </w:tc>
        <w:tc>
          <w:tcPr>
            <w:tcW w:w="1142" w:type="dxa"/>
            <w:gridSpan w:val="2"/>
            <w:noWrap w:val="0"/>
            <w:vAlign w:val="top"/>
          </w:tcPr>
          <w:p w14:paraId="4D26C2BB">
            <w:pPr>
              <w:snapToGrid w:val="0"/>
              <w:jc w:val="center"/>
              <w:rPr>
                <w:color w:val="auto"/>
                <w:sz w:val="21"/>
                <w:szCs w:val="21"/>
                <w:u w:val="single"/>
              </w:rPr>
            </w:pPr>
          </w:p>
        </w:tc>
      </w:tr>
      <w:tr w14:paraId="4B13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4ED1008">
            <w:pPr>
              <w:snapToGrid w:val="0"/>
              <w:jc w:val="center"/>
              <w:rPr>
                <w:color w:val="auto"/>
                <w:sz w:val="21"/>
                <w:szCs w:val="21"/>
                <w:u w:val="single"/>
              </w:rPr>
            </w:pPr>
            <w:r>
              <w:rPr>
                <w:color w:val="auto"/>
                <w:sz w:val="21"/>
                <w:szCs w:val="21"/>
                <w:u w:val="single"/>
              </w:rPr>
              <w:t>3.13</w:t>
            </w:r>
          </w:p>
        </w:tc>
        <w:tc>
          <w:tcPr>
            <w:tcW w:w="7371" w:type="dxa"/>
            <w:gridSpan w:val="2"/>
            <w:noWrap w:val="0"/>
            <w:vAlign w:val="top"/>
          </w:tcPr>
          <w:p w14:paraId="18BA8860">
            <w:pPr>
              <w:snapToGrid w:val="0"/>
              <w:rPr>
                <w:color w:val="auto"/>
                <w:sz w:val="21"/>
                <w:szCs w:val="21"/>
                <w:u w:val="single"/>
              </w:rPr>
            </w:pPr>
            <w:r>
              <w:rPr>
                <w:color w:val="auto"/>
                <w:sz w:val="21"/>
                <w:szCs w:val="21"/>
                <w:u w:val="single"/>
              </w:rPr>
              <w:t>未按规范要求装配电器设备</w:t>
            </w:r>
          </w:p>
        </w:tc>
        <w:tc>
          <w:tcPr>
            <w:tcW w:w="1142" w:type="dxa"/>
            <w:gridSpan w:val="2"/>
            <w:noWrap w:val="0"/>
            <w:vAlign w:val="top"/>
          </w:tcPr>
          <w:p w14:paraId="366D3729">
            <w:pPr>
              <w:snapToGrid w:val="0"/>
              <w:jc w:val="center"/>
              <w:rPr>
                <w:color w:val="auto"/>
                <w:sz w:val="21"/>
                <w:szCs w:val="21"/>
                <w:u w:val="single"/>
              </w:rPr>
            </w:pPr>
          </w:p>
        </w:tc>
      </w:tr>
      <w:tr w14:paraId="64E8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200" w:type="dxa"/>
            <w:gridSpan w:val="5"/>
            <w:noWrap w:val="0"/>
            <w:vAlign w:val="top"/>
          </w:tcPr>
          <w:p w14:paraId="082F3E47">
            <w:pPr>
              <w:snapToGrid w:val="0"/>
              <w:rPr>
                <w:color w:val="auto"/>
                <w:sz w:val="21"/>
                <w:szCs w:val="21"/>
                <w:u w:val="single"/>
              </w:rPr>
            </w:pPr>
            <w:r>
              <w:rPr>
                <w:color w:val="auto"/>
                <w:sz w:val="21"/>
                <w:szCs w:val="21"/>
                <w:u w:val="single"/>
              </w:rPr>
              <w:t>4.脚手架与模板支撑系统  违反下列行为的给予</w:t>
            </w:r>
            <w:r>
              <w:rPr>
                <w:rFonts w:hint="eastAsia"/>
                <w:color w:val="auto"/>
                <w:sz w:val="21"/>
                <w:szCs w:val="21"/>
                <w:u w:val="single"/>
                <w:lang w:val="en-US" w:eastAsia="zh-CN"/>
              </w:rPr>
              <w:t>10</w:t>
            </w:r>
            <w:r>
              <w:rPr>
                <w:color w:val="auto"/>
                <w:sz w:val="21"/>
                <w:szCs w:val="21"/>
                <w:u w:val="single"/>
              </w:rPr>
              <w:t>000-</w:t>
            </w:r>
            <w:r>
              <w:rPr>
                <w:rFonts w:hint="eastAsia"/>
                <w:color w:val="auto"/>
                <w:sz w:val="21"/>
                <w:szCs w:val="21"/>
                <w:u w:val="single"/>
                <w:lang w:val="en-US" w:eastAsia="zh-CN"/>
              </w:rPr>
              <w:t>2</w:t>
            </w:r>
            <w:r>
              <w:rPr>
                <w:rFonts w:hint="eastAsia"/>
                <w:color w:val="auto"/>
                <w:sz w:val="21"/>
                <w:szCs w:val="21"/>
                <w:u w:val="single"/>
              </w:rPr>
              <w:t>0</w:t>
            </w:r>
            <w:r>
              <w:rPr>
                <w:color w:val="auto"/>
                <w:sz w:val="21"/>
                <w:szCs w:val="21"/>
                <w:u w:val="single"/>
              </w:rPr>
              <w:t>000元处罚</w:t>
            </w:r>
          </w:p>
        </w:tc>
      </w:tr>
      <w:tr w14:paraId="4AF9A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8E7C59E">
            <w:pPr>
              <w:snapToGrid w:val="0"/>
              <w:jc w:val="center"/>
              <w:rPr>
                <w:color w:val="auto"/>
                <w:sz w:val="21"/>
                <w:szCs w:val="21"/>
                <w:u w:val="single"/>
              </w:rPr>
            </w:pPr>
            <w:r>
              <w:rPr>
                <w:color w:val="auto"/>
                <w:sz w:val="21"/>
                <w:szCs w:val="21"/>
                <w:u w:val="single"/>
              </w:rPr>
              <w:t>4.1</w:t>
            </w:r>
          </w:p>
        </w:tc>
        <w:tc>
          <w:tcPr>
            <w:tcW w:w="7371" w:type="dxa"/>
            <w:gridSpan w:val="2"/>
            <w:noWrap w:val="0"/>
            <w:vAlign w:val="top"/>
          </w:tcPr>
          <w:p w14:paraId="142E95A7">
            <w:pPr>
              <w:snapToGrid w:val="0"/>
              <w:rPr>
                <w:color w:val="auto"/>
                <w:sz w:val="21"/>
                <w:szCs w:val="21"/>
                <w:u w:val="single"/>
              </w:rPr>
            </w:pPr>
            <w:r>
              <w:rPr>
                <w:color w:val="auto"/>
                <w:sz w:val="21"/>
                <w:szCs w:val="21"/>
                <w:u w:val="single"/>
              </w:rPr>
              <w:t>钢管、扣件、竹排、铁丝等材料不符合要求，进入现场未经检查或试验</w:t>
            </w:r>
          </w:p>
        </w:tc>
        <w:tc>
          <w:tcPr>
            <w:tcW w:w="1142" w:type="dxa"/>
            <w:gridSpan w:val="2"/>
            <w:noWrap w:val="0"/>
            <w:vAlign w:val="top"/>
          </w:tcPr>
          <w:p w14:paraId="2DB3A9E8">
            <w:pPr>
              <w:snapToGrid w:val="0"/>
              <w:jc w:val="center"/>
              <w:rPr>
                <w:color w:val="auto"/>
                <w:sz w:val="21"/>
                <w:szCs w:val="21"/>
                <w:u w:val="single"/>
              </w:rPr>
            </w:pPr>
          </w:p>
        </w:tc>
      </w:tr>
      <w:tr w14:paraId="7009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B7BE18E">
            <w:pPr>
              <w:snapToGrid w:val="0"/>
              <w:jc w:val="center"/>
              <w:rPr>
                <w:color w:val="auto"/>
                <w:sz w:val="21"/>
                <w:szCs w:val="21"/>
                <w:u w:val="single"/>
              </w:rPr>
            </w:pPr>
            <w:r>
              <w:rPr>
                <w:color w:val="auto"/>
                <w:sz w:val="21"/>
                <w:szCs w:val="21"/>
                <w:u w:val="single"/>
              </w:rPr>
              <w:t>4.2</w:t>
            </w:r>
          </w:p>
        </w:tc>
        <w:tc>
          <w:tcPr>
            <w:tcW w:w="7371" w:type="dxa"/>
            <w:gridSpan w:val="2"/>
            <w:noWrap w:val="0"/>
            <w:vAlign w:val="top"/>
          </w:tcPr>
          <w:p w14:paraId="5E5818AE">
            <w:pPr>
              <w:snapToGrid w:val="0"/>
              <w:rPr>
                <w:color w:val="auto"/>
                <w:sz w:val="21"/>
                <w:szCs w:val="21"/>
                <w:u w:val="single"/>
              </w:rPr>
            </w:pPr>
            <w:r>
              <w:rPr>
                <w:color w:val="auto"/>
                <w:sz w:val="21"/>
                <w:szCs w:val="21"/>
                <w:u w:val="single"/>
              </w:rPr>
              <w:t>钢管立柱底部不牢固，未按规定设置扫地杆</w:t>
            </w:r>
          </w:p>
        </w:tc>
        <w:tc>
          <w:tcPr>
            <w:tcW w:w="1142" w:type="dxa"/>
            <w:gridSpan w:val="2"/>
            <w:noWrap w:val="0"/>
            <w:vAlign w:val="top"/>
          </w:tcPr>
          <w:p w14:paraId="3EAA1511">
            <w:pPr>
              <w:snapToGrid w:val="0"/>
              <w:jc w:val="center"/>
              <w:rPr>
                <w:color w:val="auto"/>
                <w:sz w:val="21"/>
                <w:szCs w:val="21"/>
                <w:u w:val="single"/>
              </w:rPr>
            </w:pPr>
          </w:p>
        </w:tc>
      </w:tr>
      <w:tr w14:paraId="07E2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8F178F1">
            <w:pPr>
              <w:snapToGrid w:val="0"/>
              <w:jc w:val="center"/>
              <w:rPr>
                <w:color w:val="auto"/>
                <w:sz w:val="21"/>
                <w:szCs w:val="21"/>
                <w:u w:val="single"/>
              </w:rPr>
            </w:pPr>
            <w:r>
              <w:rPr>
                <w:color w:val="auto"/>
                <w:sz w:val="21"/>
                <w:szCs w:val="21"/>
                <w:u w:val="single"/>
              </w:rPr>
              <w:t>4.3</w:t>
            </w:r>
          </w:p>
        </w:tc>
        <w:tc>
          <w:tcPr>
            <w:tcW w:w="7371" w:type="dxa"/>
            <w:gridSpan w:val="2"/>
            <w:noWrap w:val="0"/>
            <w:vAlign w:val="top"/>
          </w:tcPr>
          <w:p w14:paraId="7A2FABDB">
            <w:pPr>
              <w:snapToGrid w:val="0"/>
              <w:rPr>
                <w:color w:val="auto"/>
                <w:sz w:val="21"/>
                <w:szCs w:val="21"/>
                <w:u w:val="single"/>
              </w:rPr>
            </w:pPr>
            <w:r>
              <w:rPr>
                <w:color w:val="auto"/>
                <w:sz w:val="21"/>
                <w:szCs w:val="21"/>
                <w:u w:val="single"/>
              </w:rPr>
              <w:t>脚手架立柱、横杆、连墙件间距过大，未按规定设置剪刀撑或支杆（抛撑）</w:t>
            </w:r>
          </w:p>
        </w:tc>
        <w:tc>
          <w:tcPr>
            <w:tcW w:w="1142" w:type="dxa"/>
            <w:gridSpan w:val="2"/>
            <w:noWrap w:val="0"/>
            <w:vAlign w:val="top"/>
          </w:tcPr>
          <w:p w14:paraId="09936744">
            <w:pPr>
              <w:snapToGrid w:val="0"/>
              <w:jc w:val="center"/>
              <w:rPr>
                <w:color w:val="auto"/>
                <w:sz w:val="21"/>
                <w:szCs w:val="21"/>
                <w:u w:val="single"/>
              </w:rPr>
            </w:pPr>
          </w:p>
        </w:tc>
      </w:tr>
      <w:tr w14:paraId="6A0F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D3BAC03">
            <w:pPr>
              <w:snapToGrid w:val="0"/>
              <w:jc w:val="center"/>
              <w:rPr>
                <w:color w:val="auto"/>
                <w:sz w:val="21"/>
                <w:szCs w:val="21"/>
                <w:u w:val="single"/>
              </w:rPr>
            </w:pPr>
            <w:r>
              <w:rPr>
                <w:color w:val="auto"/>
                <w:sz w:val="21"/>
                <w:szCs w:val="21"/>
                <w:u w:val="single"/>
              </w:rPr>
              <w:t>4.4</w:t>
            </w:r>
          </w:p>
        </w:tc>
        <w:tc>
          <w:tcPr>
            <w:tcW w:w="7371" w:type="dxa"/>
            <w:gridSpan w:val="2"/>
            <w:noWrap w:val="0"/>
            <w:vAlign w:val="top"/>
          </w:tcPr>
          <w:p w14:paraId="04242FE4">
            <w:pPr>
              <w:snapToGrid w:val="0"/>
              <w:rPr>
                <w:color w:val="auto"/>
                <w:sz w:val="21"/>
                <w:szCs w:val="21"/>
                <w:u w:val="single"/>
              </w:rPr>
            </w:pPr>
            <w:r>
              <w:rPr>
                <w:color w:val="auto"/>
                <w:sz w:val="21"/>
                <w:szCs w:val="21"/>
                <w:u w:val="single"/>
              </w:rPr>
              <w:t>脚手板未满铺或者存在空隙、探头板，脚手板未绑扎或压扣</w:t>
            </w:r>
          </w:p>
        </w:tc>
        <w:tc>
          <w:tcPr>
            <w:tcW w:w="1142" w:type="dxa"/>
            <w:gridSpan w:val="2"/>
            <w:noWrap w:val="0"/>
            <w:vAlign w:val="top"/>
          </w:tcPr>
          <w:p w14:paraId="02E812AD">
            <w:pPr>
              <w:snapToGrid w:val="0"/>
              <w:jc w:val="center"/>
              <w:rPr>
                <w:color w:val="auto"/>
                <w:sz w:val="21"/>
                <w:szCs w:val="21"/>
                <w:u w:val="single"/>
              </w:rPr>
            </w:pPr>
          </w:p>
        </w:tc>
      </w:tr>
      <w:tr w14:paraId="52EF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7652A27">
            <w:pPr>
              <w:snapToGrid w:val="0"/>
              <w:jc w:val="center"/>
              <w:rPr>
                <w:color w:val="auto"/>
                <w:sz w:val="21"/>
                <w:szCs w:val="21"/>
                <w:u w:val="single"/>
              </w:rPr>
            </w:pPr>
            <w:r>
              <w:rPr>
                <w:color w:val="auto"/>
                <w:sz w:val="21"/>
                <w:szCs w:val="21"/>
                <w:u w:val="single"/>
              </w:rPr>
              <w:t>4.5</w:t>
            </w:r>
          </w:p>
        </w:tc>
        <w:tc>
          <w:tcPr>
            <w:tcW w:w="7371" w:type="dxa"/>
            <w:gridSpan w:val="2"/>
            <w:noWrap w:val="0"/>
            <w:vAlign w:val="top"/>
          </w:tcPr>
          <w:p w14:paraId="47E637CC">
            <w:pPr>
              <w:snapToGrid w:val="0"/>
              <w:rPr>
                <w:color w:val="auto"/>
                <w:sz w:val="21"/>
                <w:szCs w:val="21"/>
                <w:u w:val="single"/>
              </w:rPr>
            </w:pPr>
            <w:r>
              <w:rPr>
                <w:color w:val="auto"/>
                <w:sz w:val="21"/>
                <w:szCs w:val="21"/>
                <w:u w:val="single"/>
              </w:rPr>
              <w:t>脚手架或模板支撑系统在搭设过程中未按规定布置安全网</w:t>
            </w:r>
          </w:p>
        </w:tc>
        <w:tc>
          <w:tcPr>
            <w:tcW w:w="1142" w:type="dxa"/>
            <w:gridSpan w:val="2"/>
            <w:noWrap w:val="0"/>
            <w:vAlign w:val="top"/>
          </w:tcPr>
          <w:p w14:paraId="01A21EF1">
            <w:pPr>
              <w:snapToGrid w:val="0"/>
              <w:jc w:val="center"/>
              <w:rPr>
                <w:color w:val="auto"/>
                <w:sz w:val="21"/>
                <w:szCs w:val="21"/>
                <w:u w:val="single"/>
              </w:rPr>
            </w:pPr>
          </w:p>
        </w:tc>
      </w:tr>
      <w:tr w14:paraId="0E9F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AF69EA6">
            <w:pPr>
              <w:snapToGrid w:val="0"/>
              <w:jc w:val="center"/>
              <w:rPr>
                <w:color w:val="auto"/>
                <w:sz w:val="21"/>
                <w:szCs w:val="21"/>
                <w:u w:val="single"/>
              </w:rPr>
            </w:pPr>
            <w:r>
              <w:rPr>
                <w:color w:val="auto"/>
                <w:sz w:val="21"/>
                <w:szCs w:val="21"/>
                <w:u w:val="single"/>
              </w:rPr>
              <w:t>4.6</w:t>
            </w:r>
          </w:p>
        </w:tc>
        <w:tc>
          <w:tcPr>
            <w:tcW w:w="7371" w:type="dxa"/>
            <w:gridSpan w:val="2"/>
            <w:noWrap w:val="0"/>
            <w:vAlign w:val="top"/>
          </w:tcPr>
          <w:p w14:paraId="799B7490">
            <w:pPr>
              <w:snapToGrid w:val="0"/>
              <w:rPr>
                <w:color w:val="auto"/>
                <w:sz w:val="21"/>
                <w:szCs w:val="21"/>
                <w:u w:val="single"/>
              </w:rPr>
            </w:pPr>
            <w:r>
              <w:rPr>
                <w:color w:val="auto"/>
                <w:sz w:val="21"/>
                <w:szCs w:val="21"/>
                <w:u w:val="single"/>
              </w:rPr>
              <w:t>脚手架拆除顺序违反安全规定，上下同时拆除脚手架，采取整体推倒方式拆除脚手架</w:t>
            </w:r>
          </w:p>
        </w:tc>
        <w:tc>
          <w:tcPr>
            <w:tcW w:w="1142" w:type="dxa"/>
            <w:gridSpan w:val="2"/>
            <w:noWrap w:val="0"/>
            <w:vAlign w:val="top"/>
          </w:tcPr>
          <w:p w14:paraId="36D02276">
            <w:pPr>
              <w:snapToGrid w:val="0"/>
              <w:jc w:val="center"/>
              <w:rPr>
                <w:color w:val="auto"/>
                <w:sz w:val="21"/>
                <w:szCs w:val="21"/>
                <w:u w:val="single"/>
              </w:rPr>
            </w:pPr>
          </w:p>
        </w:tc>
      </w:tr>
      <w:tr w14:paraId="510E9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0EE24F2">
            <w:pPr>
              <w:snapToGrid w:val="0"/>
              <w:jc w:val="center"/>
              <w:rPr>
                <w:color w:val="auto"/>
                <w:sz w:val="21"/>
                <w:szCs w:val="21"/>
                <w:u w:val="single"/>
              </w:rPr>
            </w:pPr>
            <w:r>
              <w:rPr>
                <w:color w:val="auto"/>
                <w:sz w:val="21"/>
                <w:szCs w:val="21"/>
                <w:u w:val="single"/>
              </w:rPr>
              <w:t>4.7</w:t>
            </w:r>
          </w:p>
        </w:tc>
        <w:tc>
          <w:tcPr>
            <w:tcW w:w="7371" w:type="dxa"/>
            <w:gridSpan w:val="2"/>
            <w:noWrap w:val="0"/>
            <w:vAlign w:val="top"/>
          </w:tcPr>
          <w:p w14:paraId="450ACE64">
            <w:pPr>
              <w:snapToGrid w:val="0"/>
              <w:rPr>
                <w:color w:val="auto"/>
                <w:sz w:val="21"/>
                <w:szCs w:val="21"/>
                <w:u w:val="single"/>
              </w:rPr>
            </w:pPr>
            <w:r>
              <w:rPr>
                <w:color w:val="auto"/>
                <w:sz w:val="21"/>
                <w:szCs w:val="21"/>
                <w:u w:val="single"/>
              </w:rPr>
              <w:t>脚手架、模板搭设、拆除作业未设警示区域或专人监护</w:t>
            </w:r>
          </w:p>
        </w:tc>
        <w:tc>
          <w:tcPr>
            <w:tcW w:w="1142" w:type="dxa"/>
            <w:gridSpan w:val="2"/>
            <w:noWrap w:val="0"/>
            <w:vAlign w:val="top"/>
          </w:tcPr>
          <w:p w14:paraId="7ACA49CD">
            <w:pPr>
              <w:snapToGrid w:val="0"/>
              <w:jc w:val="center"/>
              <w:rPr>
                <w:color w:val="auto"/>
                <w:sz w:val="21"/>
                <w:szCs w:val="21"/>
                <w:u w:val="single"/>
              </w:rPr>
            </w:pPr>
          </w:p>
        </w:tc>
      </w:tr>
      <w:tr w14:paraId="542E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128EBA0">
            <w:pPr>
              <w:snapToGrid w:val="0"/>
              <w:jc w:val="center"/>
              <w:rPr>
                <w:color w:val="auto"/>
                <w:sz w:val="21"/>
                <w:szCs w:val="21"/>
                <w:u w:val="single"/>
              </w:rPr>
            </w:pPr>
            <w:r>
              <w:rPr>
                <w:rFonts w:hint="eastAsia"/>
                <w:color w:val="auto"/>
                <w:sz w:val="21"/>
                <w:szCs w:val="21"/>
                <w:u w:val="single"/>
              </w:rPr>
              <w:t>4.8</w:t>
            </w:r>
          </w:p>
        </w:tc>
        <w:tc>
          <w:tcPr>
            <w:tcW w:w="7371" w:type="dxa"/>
            <w:gridSpan w:val="2"/>
            <w:noWrap w:val="0"/>
            <w:vAlign w:val="top"/>
          </w:tcPr>
          <w:p w14:paraId="47252562">
            <w:pPr>
              <w:snapToGrid w:val="0"/>
              <w:rPr>
                <w:color w:val="auto"/>
                <w:sz w:val="21"/>
                <w:szCs w:val="21"/>
                <w:u w:val="single"/>
              </w:rPr>
            </w:pPr>
            <w:r>
              <w:rPr>
                <w:rFonts w:hint="eastAsia"/>
                <w:color w:val="auto"/>
                <w:sz w:val="21"/>
                <w:szCs w:val="21"/>
                <w:u w:val="single"/>
              </w:rPr>
              <w:t>拆下的模板没有及时运到指定地点集中堆放，大量堆放在脚手架或临时搭设的工作台上</w:t>
            </w:r>
          </w:p>
        </w:tc>
        <w:tc>
          <w:tcPr>
            <w:tcW w:w="1142" w:type="dxa"/>
            <w:gridSpan w:val="2"/>
            <w:noWrap w:val="0"/>
            <w:vAlign w:val="top"/>
          </w:tcPr>
          <w:p w14:paraId="17AE1DCA">
            <w:pPr>
              <w:snapToGrid w:val="0"/>
              <w:jc w:val="center"/>
              <w:rPr>
                <w:color w:val="auto"/>
                <w:sz w:val="21"/>
                <w:szCs w:val="21"/>
                <w:u w:val="single"/>
              </w:rPr>
            </w:pPr>
          </w:p>
        </w:tc>
      </w:tr>
      <w:tr w14:paraId="376D0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98F4E65">
            <w:pPr>
              <w:snapToGrid w:val="0"/>
              <w:jc w:val="center"/>
              <w:rPr>
                <w:rFonts w:hint="eastAsia"/>
                <w:color w:val="auto"/>
                <w:sz w:val="21"/>
                <w:szCs w:val="21"/>
                <w:u w:val="single"/>
              </w:rPr>
            </w:pPr>
            <w:r>
              <w:rPr>
                <w:color w:val="auto"/>
                <w:sz w:val="21"/>
                <w:szCs w:val="21"/>
                <w:u w:val="single"/>
              </w:rPr>
              <w:t>4.</w:t>
            </w:r>
            <w:r>
              <w:rPr>
                <w:rFonts w:hint="eastAsia"/>
                <w:color w:val="auto"/>
                <w:sz w:val="21"/>
                <w:szCs w:val="21"/>
                <w:u w:val="single"/>
              </w:rPr>
              <w:t>9</w:t>
            </w:r>
          </w:p>
        </w:tc>
        <w:tc>
          <w:tcPr>
            <w:tcW w:w="7371" w:type="dxa"/>
            <w:gridSpan w:val="2"/>
            <w:noWrap w:val="0"/>
            <w:vAlign w:val="top"/>
          </w:tcPr>
          <w:p w14:paraId="6B464E6E">
            <w:pPr>
              <w:snapToGrid w:val="0"/>
              <w:rPr>
                <w:color w:val="auto"/>
                <w:sz w:val="21"/>
                <w:szCs w:val="21"/>
                <w:u w:val="single"/>
              </w:rPr>
            </w:pPr>
            <w:r>
              <w:rPr>
                <w:color w:val="auto"/>
                <w:sz w:val="21"/>
                <w:szCs w:val="21"/>
                <w:u w:val="single"/>
              </w:rPr>
              <w:t>脚手架、模板支撑搭设未进行验收与挂牌就使用</w:t>
            </w:r>
          </w:p>
        </w:tc>
        <w:tc>
          <w:tcPr>
            <w:tcW w:w="1142" w:type="dxa"/>
            <w:gridSpan w:val="2"/>
            <w:noWrap w:val="0"/>
            <w:vAlign w:val="top"/>
          </w:tcPr>
          <w:p w14:paraId="792511D6">
            <w:pPr>
              <w:snapToGrid w:val="0"/>
              <w:jc w:val="center"/>
              <w:rPr>
                <w:color w:val="auto"/>
                <w:sz w:val="21"/>
                <w:szCs w:val="21"/>
                <w:u w:val="single"/>
              </w:rPr>
            </w:pPr>
          </w:p>
        </w:tc>
      </w:tr>
      <w:tr w14:paraId="00DB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51BEE14">
            <w:pPr>
              <w:snapToGrid w:val="0"/>
              <w:jc w:val="center"/>
              <w:rPr>
                <w:color w:val="auto"/>
                <w:sz w:val="21"/>
                <w:szCs w:val="21"/>
                <w:u w:val="single"/>
              </w:rPr>
            </w:pPr>
            <w:r>
              <w:rPr>
                <w:rFonts w:hint="eastAsia"/>
                <w:color w:val="auto"/>
                <w:sz w:val="21"/>
                <w:szCs w:val="21"/>
                <w:u w:val="single"/>
              </w:rPr>
              <w:t>4.10</w:t>
            </w:r>
          </w:p>
        </w:tc>
        <w:tc>
          <w:tcPr>
            <w:tcW w:w="7371" w:type="dxa"/>
            <w:gridSpan w:val="2"/>
            <w:noWrap w:val="0"/>
            <w:vAlign w:val="top"/>
          </w:tcPr>
          <w:p w14:paraId="75BE03BF">
            <w:pPr>
              <w:snapToGrid w:val="0"/>
              <w:rPr>
                <w:color w:val="auto"/>
                <w:sz w:val="21"/>
                <w:szCs w:val="21"/>
                <w:u w:val="single"/>
              </w:rPr>
            </w:pPr>
            <w:r>
              <w:rPr>
                <w:rFonts w:hint="eastAsia"/>
                <w:color w:val="auto"/>
                <w:sz w:val="21"/>
                <w:szCs w:val="21"/>
                <w:u w:val="single"/>
              </w:rPr>
              <w:t>模板、木料集中堆放时，距离火源小于10m，且料场四周没有设置消防器材</w:t>
            </w:r>
          </w:p>
        </w:tc>
        <w:tc>
          <w:tcPr>
            <w:tcW w:w="1142" w:type="dxa"/>
            <w:gridSpan w:val="2"/>
            <w:noWrap w:val="0"/>
            <w:vAlign w:val="top"/>
          </w:tcPr>
          <w:p w14:paraId="15F8434E">
            <w:pPr>
              <w:snapToGrid w:val="0"/>
              <w:jc w:val="center"/>
              <w:rPr>
                <w:color w:val="auto"/>
                <w:sz w:val="21"/>
                <w:szCs w:val="21"/>
                <w:u w:val="single"/>
              </w:rPr>
            </w:pPr>
          </w:p>
        </w:tc>
      </w:tr>
      <w:tr w14:paraId="5790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9200" w:type="dxa"/>
            <w:gridSpan w:val="5"/>
            <w:noWrap w:val="0"/>
            <w:vAlign w:val="center"/>
          </w:tcPr>
          <w:p w14:paraId="42776555">
            <w:pPr>
              <w:snapToGrid w:val="0"/>
              <w:jc w:val="left"/>
              <w:rPr>
                <w:color w:val="auto"/>
                <w:sz w:val="21"/>
                <w:szCs w:val="21"/>
                <w:u w:val="single"/>
              </w:rPr>
            </w:pPr>
            <w:r>
              <w:rPr>
                <w:color w:val="auto"/>
                <w:sz w:val="21"/>
                <w:szCs w:val="21"/>
                <w:u w:val="single"/>
              </w:rPr>
              <w:t>5.起重</w:t>
            </w:r>
            <w:r>
              <w:rPr>
                <w:rFonts w:hint="eastAsia"/>
                <w:color w:val="auto"/>
                <w:sz w:val="21"/>
                <w:szCs w:val="21"/>
                <w:u w:val="single"/>
              </w:rPr>
              <w:t>机械</w:t>
            </w:r>
            <w:r>
              <w:rPr>
                <w:color w:val="auto"/>
                <w:sz w:val="21"/>
                <w:szCs w:val="21"/>
                <w:u w:val="single"/>
              </w:rPr>
              <w:t>与</w:t>
            </w:r>
            <w:r>
              <w:rPr>
                <w:rFonts w:hint="eastAsia"/>
                <w:color w:val="auto"/>
                <w:sz w:val="21"/>
                <w:szCs w:val="21"/>
                <w:u w:val="single"/>
              </w:rPr>
              <w:t>起重作业</w:t>
            </w:r>
            <w:r>
              <w:rPr>
                <w:color w:val="auto"/>
                <w:sz w:val="21"/>
                <w:szCs w:val="21"/>
                <w:u w:val="single"/>
              </w:rPr>
              <w:t xml:space="preserve">  </w:t>
            </w:r>
            <w:r>
              <w:rPr>
                <w:rFonts w:hint="eastAsia"/>
                <w:color w:val="auto"/>
                <w:sz w:val="21"/>
                <w:szCs w:val="21"/>
                <w:u w:val="single"/>
              </w:rPr>
              <w:t xml:space="preserve">    </w:t>
            </w:r>
            <w:r>
              <w:rPr>
                <w:color w:val="auto"/>
                <w:sz w:val="21"/>
                <w:szCs w:val="21"/>
                <w:u w:val="single"/>
              </w:rPr>
              <w:t>违反下列行为给予</w:t>
            </w:r>
            <w:r>
              <w:rPr>
                <w:rFonts w:hint="eastAsia"/>
                <w:color w:val="auto"/>
                <w:sz w:val="21"/>
                <w:szCs w:val="21"/>
                <w:u w:val="single"/>
                <w:lang w:val="en-US" w:eastAsia="zh-CN"/>
              </w:rPr>
              <w:t>10</w:t>
            </w:r>
            <w:r>
              <w:rPr>
                <w:color w:val="auto"/>
                <w:sz w:val="21"/>
                <w:szCs w:val="21"/>
                <w:u w:val="single"/>
              </w:rPr>
              <w:t>000-</w:t>
            </w:r>
            <w:r>
              <w:rPr>
                <w:rFonts w:hint="eastAsia"/>
                <w:color w:val="auto"/>
                <w:sz w:val="21"/>
                <w:szCs w:val="21"/>
                <w:u w:val="single"/>
                <w:lang w:val="en-US" w:eastAsia="zh-CN"/>
              </w:rPr>
              <w:t>2</w:t>
            </w:r>
            <w:r>
              <w:rPr>
                <w:rFonts w:hint="eastAsia"/>
                <w:color w:val="auto"/>
                <w:sz w:val="21"/>
                <w:szCs w:val="21"/>
                <w:u w:val="single"/>
              </w:rPr>
              <w:t>0</w:t>
            </w:r>
            <w:r>
              <w:rPr>
                <w:color w:val="auto"/>
                <w:sz w:val="21"/>
                <w:szCs w:val="21"/>
                <w:u w:val="single"/>
              </w:rPr>
              <w:t>000元处罚</w:t>
            </w:r>
          </w:p>
        </w:tc>
      </w:tr>
      <w:tr w14:paraId="6475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BD24D29">
            <w:pPr>
              <w:snapToGrid w:val="0"/>
              <w:jc w:val="center"/>
              <w:rPr>
                <w:color w:val="auto"/>
                <w:sz w:val="21"/>
                <w:szCs w:val="21"/>
                <w:u w:val="single"/>
              </w:rPr>
            </w:pPr>
            <w:r>
              <w:rPr>
                <w:color w:val="auto"/>
                <w:sz w:val="21"/>
                <w:szCs w:val="21"/>
                <w:u w:val="single"/>
              </w:rPr>
              <w:t>5.1</w:t>
            </w:r>
          </w:p>
        </w:tc>
        <w:tc>
          <w:tcPr>
            <w:tcW w:w="7371" w:type="dxa"/>
            <w:gridSpan w:val="2"/>
            <w:noWrap w:val="0"/>
            <w:vAlign w:val="top"/>
          </w:tcPr>
          <w:p w14:paraId="16C87485">
            <w:pPr>
              <w:snapToGrid w:val="0"/>
              <w:rPr>
                <w:color w:val="auto"/>
                <w:sz w:val="21"/>
                <w:szCs w:val="21"/>
                <w:u w:val="single"/>
              </w:rPr>
            </w:pPr>
            <w:r>
              <w:rPr>
                <w:color w:val="auto"/>
                <w:sz w:val="21"/>
                <w:szCs w:val="21"/>
                <w:u w:val="single"/>
              </w:rPr>
              <w:t>人员从起重物下方停留或通过，或吊物从人头上越过</w:t>
            </w:r>
          </w:p>
        </w:tc>
        <w:tc>
          <w:tcPr>
            <w:tcW w:w="1142" w:type="dxa"/>
            <w:gridSpan w:val="2"/>
            <w:noWrap w:val="0"/>
            <w:vAlign w:val="top"/>
          </w:tcPr>
          <w:p w14:paraId="2483A849">
            <w:pPr>
              <w:snapToGrid w:val="0"/>
              <w:jc w:val="center"/>
              <w:rPr>
                <w:color w:val="auto"/>
                <w:sz w:val="21"/>
                <w:szCs w:val="21"/>
                <w:u w:val="single"/>
              </w:rPr>
            </w:pPr>
          </w:p>
        </w:tc>
      </w:tr>
      <w:tr w14:paraId="5F4A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4685430">
            <w:pPr>
              <w:snapToGrid w:val="0"/>
              <w:jc w:val="center"/>
              <w:rPr>
                <w:color w:val="auto"/>
                <w:sz w:val="21"/>
                <w:szCs w:val="21"/>
                <w:u w:val="single"/>
              </w:rPr>
            </w:pPr>
            <w:r>
              <w:rPr>
                <w:color w:val="auto"/>
                <w:sz w:val="21"/>
                <w:szCs w:val="21"/>
                <w:u w:val="single"/>
              </w:rPr>
              <w:t>5.2</w:t>
            </w:r>
          </w:p>
        </w:tc>
        <w:tc>
          <w:tcPr>
            <w:tcW w:w="7371" w:type="dxa"/>
            <w:gridSpan w:val="2"/>
            <w:noWrap w:val="0"/>
            <w:vAlign w:val="top"/>
          </w:tcPr>
          <w:p w14:paraId="210A98F4">
            <w:pPr>
              <w:snapToGrid w:val="0"/>
              <w:rPr>
                <w:color w:val="auto"/>
                <w:sz w:val="21"/>
                <w:szCs w:val="21"/>
                <w:u w:val="single"/>
              </w:rPr>
            </w:pPr>
            <w:r>
              <w:rPr>
                <w:color w:val="auto"/>
                <w:sz w:val="21"/>
                <w:szCs w:val="21"/>
                <w:u w:val="single"/>
              </w:rPr>
              <w:t>起吊物未绑扎牢固，起吊时偏拉斜吊，吊物未放稳时松钩</w:t>
            </w:r>
          </w:p>
        </w:tc>
        <w:tc>
          <w:tcPr>
            <w:tcW w:w="1142" w:type="dxa"/>
            <w:gridSpan w:val="2"/>
            <w:noWrap w:val="0"/>
            <w:vAlign w:val="top"/>
          </w:tcPr>
          <w:p w14:paraId="799CEC06">
            <w:pPr>
              <w:snapToGrid w:val="0"/>
              <w:jc w:val="center"/>
              <w:rPr>
                <w:color w:val="auto"/>
                <w:sz w:val="21"/>
                <w:szCs w:val="21"/>
                <w:u w:val="single"/>
              </w:rPr>
            </w:pPr>
          </w:p>
        </w:tc>
      </w:tr>
      <w:tr w14:paraId="7A55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11C70A6">
            <w:pPr>
              <w:snapToGrid w:val="0"/>
              <w:jc w:val="center"/>
              <w:rPr>
                <w:color w:val="auto"/>
                <w:sz w:val="21"/>
                <w:szCs w:val="21"/>
                <w:u w:val="single"/>
              </w:rPr>
            </w:pPr>
            <w:r>
              <w:rPr>
                <w:color w:val="auto"/>
                <w:sz w:val="21"/>
                <w:szCs w:val="21"/>
                <w:u w:val="single"/>
              </w:rPr>
              <w:t>5.3</w:t>
            </w:r>
          </w:p>
        </w:tc>
        <w:tc>
          <w:tcPr>
            <w:tcW w:w="7371" w:type="dxa"/>
            <w:gridSpan w:val="2"/>
            <w:noWrap w:val="0"/>
            <w:vAlign w:val="top"/>
          </w:tcPr>
          <w:p w14:paraId="2492369E">
            <w:pPr>
              <w:snapToGrid w:val="0"/>
              <w:rPr>
                <w:color w:val="auto"/>
                <w:sz w:val="21"/>
                <w:szCs w:val="21"/>
                <w:u w:val="single"/>
              </w:rPr>
            </w:pPr>
            <w:r>
              <w:rPr>
                <w:color w:val="auto"/>
                <w:sz w:val="21"/>
                <w:szCs w:val="21"/>
                <w:u w:val="single"/>
              </w:rPr>
              <w:t>起吊大件或不规则组件未绑溜绳</w:t>
            </w:r>
          </w:p>
        </w:tc>
        <w:tc>
          <w:tcPr>
            <w:tcW w:w="1142" w:type="dxa"/>
            <w:gridSpan w:val="2"/>
            <w:noWrap w:val="0"/>
            <w:vAlign w:val="top"/>
          </w:tcPr>
          <w:p w14:paraId="58E17077">
            <w:pPr>
              <w:snapToGrid w:val="0"/>
              <w:jc w:val="center"/>
              <w:rPr>
                <w:color w:val="auto"/>
                <w:sz w:val="21"/>
                <w:szCs w:val="21"/>
                <w:u w:val="single"/>
              </w:rPr>
            </w:pPr>
          </w:p>
        </w:tc>
      </w:tr>
      <w:tr w14:paraId="74C6C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BBA89C2">
            <w:pPr>
              <w:snapToGrid w:val="0"/>
              <w:jc w:val="center"/>
              <w:rPr>
                <w:color w:val="auto"/>
                <w:sz w:val="21"/>
                <w:szCs w:val="21"/>
                <w:u w:val="single"/>
              </w:rPr>
            </w:pPr>
            <w:r>
              <w:rPr>
                <w:color w:val="auto"/>
                <w:sz w:val="21"/>
                <w:szCs w:val="21"/>
                <w:u w:val="single"/>
              </w:rPr>
              <w:t>5.4</w:t>
            </w:r>
          </w:p>
        </w:tc>
        <w:tc>
          <w:tcPr>
            <w:tcW w:w="7371" w:type="dxa"/>
            <w:gridSpan w:val="2"/>
            <w:noWrap w:val="0"/>
            <w:vAlign w:val="top"/>
          </w:tcPr>
          <w:p w14:paraId="5B92F2F7">
            <w:pPr>
              <w:snapToGrid w:val="0"/>
              <w:rPr>
                <w:color w:val="auto"/>
                <w:sz w:val="21"/>
                <w:szCs w:val="21"/>
                <w:u w:val="single"/>
              </w:rPr>
            </w:pPr>
            <w:r>
              <w:rPr>
                <w:color w:val="auto"/>
                <w:sz w:val="21"/>
                <w:szCs w:val="21"/>
                <w:u w:val="single"/>
              </w:rPr>
              <w:t>起重机同时操作三个动作，接近满负荷同时操作两个动作</w:t>
            </w:r>
          </w:p>
        </w:tc>
        <w:tc>
          <w:tcPr>
            <w:tcW w:w="1142" w:type="dxa"/>
            <w:gridSpan w:val="2"/>
            <w:noWrap w:val="0"/>
            <w:vAlign w:val="top"/>
          </w:tcPr>
          <w:p w14:paraId="6A6C9CE2">
            <w:pPr>
              <w:snapToGrid w:val="0"/>
              <w:jc w:val="center"/>
              <w:rPr>
                <w:color w:val="auto"/>
                <w:sz w:val="21"/>
                <w:szCs w:val="21"/>
                <w:u w:val="single"/>
              </w:rPr>
            </w:pPr>
          </w:p>
        </w:tc>
      </w:tr>
      <w:tr w14:paraId="3319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FFD2A02">
            <w:pPr>
              <w:snapToGrid w:val="0"/>
              <w:jc w:val="center"/>
              <w:rPr>
                <w:color w:val="auto"/>
                <w:sz w:val="21"/>
                <w:szCs w:val="21"/>
                <w:u w:val="single"/>
              </w:rPr>
            </w:pPr>
            <w:r>
              <w:rPr>
                <w:color w:val="auto"/>
                <w:sz w:val="21"/>
                <w:szCs w:val="21"/>
                <w:u w:val="single"/>
              </w:rPr>
              <w:t>5.5</w:t>
            </w:r>
          </w:p>
        </w:tc>
        <w:tc>
          <w:tcPr>
            <w:tcW w:w="7371" w:type="dxa"/>
            <w:gridSpan w:val="2"/>
            <w:noWrap w:val="0"/>
            <w:vAlign w:val="top"/>
          </w:tcPr>
          <w:p w14:paraId="602A4EA2">
            <w:pPr>
              <w:snapToGrid w:val="0"/>
              <w:rPr>
                <w:color w:val="auto"/>
                <w:sz w:val="21"/>
                <w:szCs w:val="21"/>
                <w:u w:val="single"/>
              </w:rPr>
            </w:pPr>
            <w:r>
              <w:rPr>
                <w:color w:val="auto"/>
                <w:sz w:val="21"/>
                <w:szCs w:val="21"/>
                <w:u w:val="single"/>
              </w:rPr>
              <w:t>吊起重物时司机离开操作室</w:t>
            </w:r>
          </w:p>
        </w:tc>
        <w:tc>
          <w:tcPr>
            <w:tcW w:w="1142" w:type="dxa"/>
            <w:gridSpan w:val="2"/>
            <w:noWrap w:val="0"/>
            <w:vAlign w:val="top"/>
          </w:tcPr>
          <w:p w14:paraId="2C777430">
            <w:pPr>
              <w:snapToGrid w:val="0"/>
              <w:jc w:val="center"/>
              <w:rPr>
                <w:color w:val="auto"/>
                <w:sz w:val="21"/>
                <w:szCs w:val="21"/>
                <w:u w:val="single"/>
              </w:rPr>
            </w:pPr>
          </w:p>
        </w:tc>
      </w:tr>
      <w:tr w14:paraId="68AC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08DAAF6">
            <w:pPr>
              <w:snapToGrid w:val="0"/>
              <w:jc w:val="center"/>
              <w:rPr>
                <w:color w:val="auto"/>
                <w:sz w:val="21"/>
                <w:szCs w:val="21"/>
                <w:u w:val="single"/>
              </w:rPr>
            </w:pPr>
            <w:r>
              <w:rPr>
                <w:color w:val="auto"/>
                <w:sz w:val="21"/>
                <w:szCs w:val="21"/>
                <w:u w:val="single"/>
              </w:rPr>
              <w:t>5.6</w:t>
            </w:r>
          </w:p>
        </w:tc>
        <w:tc>
          <w:tcPr>
            <w:tcW w:w="7371" w:type="dxa"/>
            <w:gridSpan w:val="2"/>
            <w:noWrap w:val="0"/>
            <w:vAlign w:val="top"/>
          </w:tcPr>
          <w:p w14:paraId="6960E441">
            <w:pPr>
              <w:snapToGrid w:val="0"/>
              <w:rPr>
                <w:color w:val="auto"/>
                <w:sz w:val="21"/>
                <w:szCs w:val="21"/>
                <w:u w:val="single"/>
              </w:rPr>
            </w:pPr>
            <w:r>
              <w:rPr>
                <w:color w:val="auto"/>
                <w:sz w:val="21"/>
                <w:szCs w:val="21"/>
                <w:u w:val="single"/>
              </w:rPr>
              <w:t>龙门吊或塔吊移动时人员上下扶梯</w:t>
            </w:r>
          </w:p>
        </w:tc>
        <w:tc>
          <w:tcPr>
            <w:tcW w:w="1142" w:type="dxa"/>
            <w:gridSpan w:val="2"/>
            <w:noWrap w:val="0"/>
            <w:vAlign w:val="top"/>
          </w:tcPr>
          <w:p w14:paraId="69636989">
            <w:pPr>
              <w:snapToGrid w:val="0"/>
              <w:jc w:val="center"/>
              <w:rPr>
                <w:color w:val="auto"/>
                <w:sz w:val="21"/>
                <w:szCs w:val="21"/>
                <w:u w:val="single"/>
              </w:rPr>
            </w:pPr>
          </w:p>
        </w:tc>
      </w:tr>
      <w:tr w14:paraId="20C9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5750D1F">
            <w:pPr>
              <w:snapToGrid w:val="0"/>
              <w:jc w:val="center"/>
              <w:rPr>
                <w:color w:val="auto"/>
                <w:sz w:val="21"/>
                <w:szCs w:val="21"/>
                <w:u w:val="single"/>
              </w:rPr>
            </w:pPr>
            <w:r>
              <w:rPr>
                <w:color w:val="auto"/>
                <w:sz w:val="21"/>
                <w:szCs w:val="21"/>
                <w:u w:val="single"/>
              </w:rPr>
              <w:t>5.7</w:t>
            </w:r>
          </w:p>
        </w:tc>
        <w:tc>
          <w:tcPr>
            <w:tcW w:w="7371" w:type="dxa"/>
            <w:gridSpan w:val="2"/>
            <w:noWrap w:val="0"/>
            <w:vAlign w:val="top"/>
          </w:tcPr>
          <w:p w14:paraId="3897CBD8">
            <w:pPr>
              <w:snapToGrid w:val="0"/>
              <w:rPr>
                <w:color w:val="auto"/>
                <w:sz w:val="21"/>
                <w:szCs w:val="21"/>
                <w:u w:val="single"/>
              </w:rPr>
            </w:pPr>
            <w:r>
              <w:rPr>
                <w:color w:val="auto"/>
                <w:sz w:val="21"/>
                <w:szCs w:val="21"/>
                <w:u w:val="single"/>
              </w:rPr>
              <w:t>移动式起重机械在起吊重物时未打支脚或在松动地面作业时未垫钢板或枕木</w:t>
            </w:r>
          </w:p>
        </w:tc>
        <w:tc>
          <w:tcPr>
            <w:tcW w:w="1142" w:type="dxa"/>
            <w:gridSpan w:val="2"/>
            <w:noWrap w:val="0"/>
            <w:vAlign w:val="top"/>
          </w:tcPr>
          <w:p w14:paraId="0112E658">
            <w:pPr>
              <w:snapToGrid w:val="0"/>
              <w:jc w:val="center"/>
              <w:rPr>
                <w:color w:val="auto"/>
                <w:sz w:val="21"/>
                <w:szCs w:val="21"/>
                <w:u w:val="single"/>
              </w:rPr>
            </w:pPr>
          </w:p>
        </w:tc>
      </w:tr>
      <w:tr w14:paraId="0A213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3B017FE">
            <w:pPr>
              <w:snapToGrid w:val="0"/>
              <w:jc w:val="center"/>
              <w:rPr>
                <w:color w:val="auto"/>
                <w:sz w:val="21"/>
                <w:szCs w:val="21"/>
                <w:u w:val="single"/>
              </w:rPr>
            </w:pPr>
            <w:r>
              <w:rPr>
                <w:color w:val="auto"/>
                <w:sz w:val="21"/>
                <w:szCs w:val="21"/>
                <w:u w:val="single"/>
              </w:rPr>
              <w:t>5.8</w:t>
            </w:r>
          </w:p>
        </w:tc>
        <w:tc>
          <w:tcPr>
            <w:tcW w:w="7371" w:type="dxa"/>
            <w:gridSpan w:val="2"/>
            <w:noWrap w:val="0"/>
            <w:vAlign w:val="top"/>
          </w:tcPr>
          <w:p w14:paraId="7C2202C2">
            <w:pPr>
              <w:snapToGrid w:val="0"/>
              <w:rPr>
                <w:color w:val="auto"/>
                <w:sz w:val="21"/>
                <w:szCs w:val="21"/>
                <w:u w:val="single"/>
              </w:rPr>
            </w:pPr>
            <w:r>
              <w:rPr>
                <w:color w:val="auto"/>
                <w:sz w:val="21"/>
                <w:szCs w:val="21"/>
                <w:u w:val="single"/>
              </w:rPr>
              <w:t>暴雨、大风等恶劣气候进行高处、起重作业</w:t>
            </w:r>
          </w:p>
        </w:tc>
        <w:tc>
          <w:tcPr>
            <w:tcW w:w="1142" w:type="dxa"/>
            <w:gridSpan w:val="2"/>
            <w:noWrap w:val="0"/>
            <w:vAlign w:val="top"/>
          </w:tcPr>
          <w:p w14:paraId="1F37E27B">
            <w:pPr>
              <w:snapToGrid w:val="0"/>
              <w:jc w:val="center"/>
              <w:rPr>
                <w:color w:val="auto"/>
                <w:sz w:val="21"/>
                <w:szCs w:val="21"/>
                <w:u w:val="single"/>
              </w:rPr>
            </w:pPr>
          </w:p>
        </w:tc>
      </w:tr>
      <w:tr w14:paraId="4E0A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73C70F9">
            <w:pPr>
              <w:snapToGrid w:val="0"/>
              <w:jc w:val="center"/>
              <w:rPr>
                <w:color w:val="auto"/>
                <w:sz w:val="21"/>
                <w:szCs w:val="21"/>
                <w:u w:val="single"/>
              </w:rPr>
            </w:pPr>
            <w:r>
              <w:rPr>
                <w:color w:val="auto"/>
                <w:sz w:val="21"/>
                <w:szCs w:val="21"/>
                <w:u w:val="single"/>
              </w:rPr>
              <w:t>5.9</w:t>
            </w:r>
          </w:p>
        </w:tc>
        <w:tc>
          <w:tcPr>
            <w:tcW w:w="7371" w:type="dxa"/>
            <w:gridSpan w:val="2"/>
            <w:noWrap w:val="0"/>
            <w:vAlign w:val="top"/>
          </w:tcPr>
          <w:p w14:paraId="4421D194">
            <w:pPr>
              <w:snapToGrid w:val="0"/>
              <w:rPr>
                <w:color w:val="auto"/>
                <w:sz w:val="21"/>
                <w:szCs w:val="21"/>
                <w:u w:val="single"/>
              </w:rPr>
            </w:pPr>
            <w:r>
              <w:rPr>
                <w:color w:val="auto"/>
                <w:sz w:val="21"/>
                <w:szCs w:val="21"/>
                <w:u w:val="single"/>
              </w:rPr>
              <w:t>卷扬机基座不稳定，卷筒与导向轮中心未对正，运行时钢丝绳小于五圈，运行时跨越钢丝绳</w:t>
            </w:r>
          </w:p>
        </w:tc>
        <w:tc>
          <w:tcPr>
            <w:tcW w:w="1142" w:type="dxa"/>
            <w:gridSpan w:val="2"/>
            <w:noWrap w:val="0"/>
            <w:vAlign w:val="top"/>
          </w:tcPr>
          <w:p w14:paraId="2517F661">
            <w:pPr>
              <w:snapToGrid w:val="0"/>
              <w:jc w:val="center"/>
              <w:rPr>
                <w:color w:val="auto"/>
                <w:sz w:val="21"/>
                <w:szCs w:val="21"/>
                <w:u w:val="single"/>
              </w:rPr>
            </w:pPr>
          </w:p>
        </w:tc>
      </w:tr>
      <w:tr w14:paraId="161ED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CB3733F">
            <w:pPr>
              <w:snapToGrid w:val="0"/>
              <w:jc w:val="center"/>
              <w:rPr>
                <w:color w:val="auto"/>
                <w:sz w:val="21"/>
                <w:szCs w:val="21"/>
                <w:u w:val="single"/>
              </w:rPr>
            </w:pPr>
            <w:r>
              <w:rPr>
                <w:color w:val="auto"/>
                <w:sz w:val="21"/>
                <w:szCs w:val="21"/>
                <w:u w:val="single"/>
              </w:rPr>
              <w:t>5.10</w:t>
            </w:r>
          </w:p>
        </w:tc>
        <w:tc>
          <w:tcPr>
            <w:tcW w:w="7371" w:type="dxa"/>
            <w:gridSpan w:val="2"/>
            <w:noWrap w:val="0"/>
            <w:vAlign w:val="top"/>
          </w:tcPr>
          <w:p w14:paraId="4067ED5B">
            <w:pPr>
              <w:snapToGrid w:val="0"/>
              <w:rPr>
                <w:color w:val="auto"/>
                <w:sz w:val="21"/>
                <w:szCs w:val="21"/>
                <w:u w:val="single"/>
              </w:rPr>
            </w:pPr>
            <w:r>
              <w:rPr>
                <w:color w:val="auto"/>
                <w:sz w:val="21"/>
                <w:szCs w:val="21"/>
                <w:u w:val="single"/>
              </w:rPr>
              <w:t>葫芦长期吊挂时不加保险绳，拆成单链使用，拉链人数超过规定要求</w:t>
            </w:r>
          </w:p>
        </w:tc>
        <w:tc>
          <w:tcPr>
            <w:tcW w:w="1142" w:type="dxa"/>
            <w:gridSpan w:val="2"/>
            <w:noWrap w:val="0"/>
            <w:vAlign w:val="top"/>
          </w:tcPr>
          <w:p w14:paraId="2C300412">
            <w:pPr>
              <w:snapToGrid w:val="0"/>
              <w:jc w:val="center"/>
              <w:rPr>
                <w:color w:val="auto"/>
                <w:sz w:val="21"/>
                <w:szCs w:val="21"/>
                <w:u w:val="single"/>
              </w:rPr>
            </w:pPr>
          </w:p>
        </w:tc>
      </w:tr>
      <w:tr w14:paraId="7E32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0697227">
            <w:pPr>
              <w:snapToGrid w:val="0"/>
              <w:jc w:val="center"/>
              <w:rPr>
                <w:color w:val="auto"/>
                <w:sz w:val="21"/>
                <w:szCs w:val="21"/>
                <w:u w:val="single"/>
              </w:rPr>
            </w:pPr>
            <w:r>
              <w:rPr>
                <w:color w:val="auto"/>
                <w:sz w:val="21"/>
                <w:szCs w:val="21"/>
                <w:u w:val="single"/>
              </w:rPr>
              <w:t>5.11</w:t>
            </w:r>
          </w:p>
        </w:tc>
        <w:tc>
          <w:tcPr>
            <w:tcW w:w="7371" w:type="dxa"/>
            <w:gridSpan w:val="2"/>
            <w:noWrap w:val="0"/>
            <w:vAlign w:val="top"/>
          </w:tcPr>
          <w:p w14:paraId="036F2DD6">
            <w:pPr>
              <w:snapToGrid w:val="0"/>
              <w:rPr>
                <w:color w:val="auto"/>
                <w:sz w:val="21"/>
                <w:szCs w:val="21"/>
                <w:u w:val="single"/>
              </w:rPr>
            </w:pPr>
            <w:r>
              <w:rPr>
                <w:color w:val="auto"/>
                <w:sz w:val="21"/>
                <w:szCs w:val="21"/>
                <w:u w:val="single"/>
              </w:rPr>
              <w:t>未经承载计算及批准利用管道、脚手架起吊物件</w:t>
            </w:r>
          </w:p>
        </w:tc>
        <w:tc>
          <w:tcPr>
            <w:tcW w:w="1142" w:type="dxa"/>
            <w:gridSpan w:val="2"/>
            <w:noWrap w:val="0"/>
            <w:vAlign w:val="top"/>
          </w:tcPr>
          <w:p w14:paraId="10C25FB4">
            <w:pPr>
              <w:snapToGrid w:val="0"/>
              <w:jc w:val="center"/>
              <w:rPr>
                <w:color w:val="auto"/>
                <w:sz w:val="21"/>
                <w:szCs w:val="21"/>
                <w:u w:val="single"/>
              </w:rPr>
            </w:pPr>
          </w:p>
        </w:tc>
      </w:tr>
      <w:tr w14:paraId="3676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A52C351">
            <w:pPr>
              <w:snapToGrid w:val="0"/>
              <w:jc w:val="center"/>
              <w:rPr>
                <w:color w:val="auto"/>
                <w:sz w:val="21"/>
                <w:szCs w:val="21"/>
                <w:u w:val="single"/>
              </w:rPr>
            </w:pPr>
            <w:r>
              <w:rPr>
                <w:color w:val="auto"/>
                <w:sz w:val="21"/>
                <w:szCs w:val="21"/>
                <w:u w:val="single"/>
              </w:rPr>
              <w:t>5.12</w:t>
            </w:r>
          </w:p>
        </w:tc>
        <w:tc>
          <w:tcPr>
            <w:tcW w:w="7371" w:type="dxa"/>
            <w:gridSpan w:val="2"/>
            <w:noWrap w:val="0"/>
            <w:vAlign w:val="top"/>
          </w:tcPr>
          <w:p w14:paraId="704CBE52">
            <w:pPr>
              <w:snapToGrid w:val="0"/>
              <w:rPr>
                <w:color w:val="auto"/>
                <w:sz w:val="21"/>
                <w:szCs w:val="21"/>
                <w:u w:val="single"/>
              </w:rPr>
            </w:pPr>
            <w:r>
              <w:rPr>
                <w:color w:val="auto"/>
                <w:sz w:val="21"/>
                <w:szCs w:val="21"/>
                <w:u w:val="single"/>
              </w:rPr>
              <w:t>使用井架载人上下，电梯和井架安全门未设置</w:t>
            </w:r>
          </w:p>
        </w:tc>
        <w:tc>
          <w:tcPr>
            <w:tcW w:w="1142" w:type="dxa"/>
            <w:gridSpan w:val="2"/>
            <w:noWrap w:val="0"/>
            <w:vAlign w:val="top"/>
          </w:tcPr>
          <w:p w14:paraId="1BFE7F6A">
            <w:pPr>
              <w:snapToGrid w:val="0"/>
              <w:jc w:val="center"/>
              <w:rPr>
                <w:color w:val="auto"/>
                <w:sz w:val="21"/>
                <w:szCs w:val="21"/>
                <w:u w:val="single"/>
              </w:rPr>
            </w:pPr>
          </w:p>
        </w:tc>
      </w:tr>
      <w:tr w14:paraId="6964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1685D84">
            <w:pPr>
              <w:snapToGrid w:val="0"/>
              <w:jc w:val="center"/>
              <w:rPr>
                <w:color w:val="auto"/>
                <w:sz w:val="21"/>
                <w:szCs w:val="21"/>
                <w:u w:val="single"/>
              </w:rPr>
            </w:pPr>
            <w:r>
              <w:rPr>
                <w:color w:val="auto"/>
                <w:sz w:val="21"/>
                <w:szCs w:val="21"/>
                <w:u w:val="single"/>
              </w:rPr>
              <w:t>5.13</w:t>
            </w:r>
          </w:p>
        </w:tc>
        <w:tc>
          <w:tcPr>
            <w:tcW w:w="7371" w:type="dxa"/>
            <w:gridSpan w:val="2"/>
            <w:noWrap w:val="0"/>
            <w:vAlign w:val="top"/>
          </w:tcPr>
          <w:p w14:paraId="61C579B3">
            <w:pPr>
              <w:snapToGrid w:val="0"/>
              <w:rPr>
                <w:color w:val="auto"/>
                <w:sz w:val="21"/>
                <w:szCs w:val="21"/>
                <w:u w:val="single"/>
              </w:rPr>
            </w:pPr>
            <w:r>
              <w:rPr>
                <w:color w:val="auto"/>
                <w:sz w:val="21"/>
                <w:szCs w:val="21"/>
                <w:u w:val="single"/>
              </w:rPr>
              <w:t>使用不合格的起重工器具或违规使用工器具</w:t>
            </w:r>
          </w:p>
        </w:tc>
        <w:tc>
          <w:tcPr>
            <w:tcW w:w="1142" w:type="dxa"/>
            <w:gridSpan w:val="2"/>
            <w:noWrap w:val="0"/>
            <w:vAlign w:val="top"/>
          </w:tcPr>
          <w:p w14:paraId="0DCC8BCA">
            <w:pPr>
              <w:snapToGrid w:val="0"/>
              <w:jc w:val="center"/>
              <w:rPr>
                <w:color w:val="auto"/>
                <w:sz w:val="21"/>
                <w:szCs w:val="21"/>
                <w:u w:val="single"/>
              </w:rPr>
            </w:pPr>
          </w:p>
        </w:tc>
      </w:tr>
      <w:tr w14:paraId="6611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9783F77">
            <w:pPr>
              <w:snapToGrid w:val="0"/>
              <w:jc w:val="center"/>
              <w:rPr>
                <w:color w:val="auto"/>
                <w:sz w:val="21"/>
                <w:szCs w:val="21"/>
                <w:u w:val="single"/>
              </w:rPr>
            </w:pPr>
            <w:r>
              <w:rPr>
                <w:color w:val="auto"/>
                <w:sz w:val="21"/>
                <w:szCs w:val="21"/>
                <w:u w:val="single"/>
              </w:rPr>
              <w:t>5.14</w:t>
            </w:r>
          </w:p>
        </w:tc>
        <w:tc>
          <w:tcPr>
            <w:tcW w:w="7371" w:type="dxa"/>
            <w:gridSpan w:val="2"/>
            <w:noWrap w:val="0"/>
            <w:vAlign w:val="top"/>
          </w:tcPr>
          <w:p w14:paraId="02C956AE">
            <w:pPr>
              <w:snapToGrid w:val="0"/>
              <w:rPr>
                <w:color w:val="auto"/>
                <w:sz w:val="21"/>
                <w:szCs w:val="21"/>
                <w:u w:val="single"/>
              </w:rPr>
            </w:pPr>
            <w:r>
              <w:rPr>
                <w:color w:val="auto"/>
                <w:sz w:val="21"/>
                <w:szCs w:val="21"/>
                <w:u w:val="single"/>
              </w:rPr>
              <w:t>钢丝绳接触棱角处未垫包角</w:t>
            </w:r>
          </w:p>
        </w:tc>
        <w:tc>
          <w:tcPr>
            <w:tcW w:w="1142" w:type="dxa"/>
            <w:gridSpan w:val="2"/>
            <w:noWrap w:val="0"/>
            <w:vAlign w:val="top"/>
          </w:tcPr>
          <w:p w14:paraId="152A3333">
            <w:pPr>
              <w:snapToGrid w:val="0"/>
              <w:jc w:val="center"/>
              <w:rPr>
                <w:color w:val="auto"/>
                <w:sz w:val="21"/>
                <w:szCs w:val="21"/>
                <w:u w:val="single"/>
              </w:rPr>
            </w:pPr>
          </w:p>
        </w:tc>
      </w:tr>
      <w:tr w14:paraId="02EA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B03221E">
            <w:pPr>
              <w:snapToGrid w:val="0"/>
              <w:jc w:val="center"/>
              <w:rPr>
                <w:color w:val="auto"/>
                <w:sz w:val="21"/>
                <w:szCs w:val="21"/>
                <w:u w:val="single"/>
              </w:rPr>
            </w:pPr>
            <w:r>
              <w:rPr>
                <w:color w:val="auto"/>
                <w:sz w:val="21"/>
                <w:szCs w:val="21"/>
                <w:u w:val="single"/>
              </w:rPr>
              <w:t>5.15</w:t>
            </w:r>
          </w:p>
        </w:tc>
        <w:tc>
          <w:tcPr>
            <w:tcW w:w="7371" w:type="dxa"/>
            <w:gridSpan w:val="2"/>
            <w:noWrap w:val="0"/>
            <w:vAlign w:val="top"/>
          </w:tcPr>
          <w:p w14:paraId="1FB3430B">
            <w:pPr>
              <w:snapToGrid w:val="0"/>
              <w:rPr>
                <w:color w:val="auto"/>
                <w:sz w:val="21"/>
                <w:szCs w:val="21"/>
                <w:u w:val="single"/>
              </w:rPr>
            </w:pPr>
            <w:r>
              <w:rPr>
                <w:color w:val="auto"/>
                <w:sz w:val="21"/>
                <w:szCs w:val="21"/>
                <w:u w:val="single"/>
              </w:rPr>
              <w:t>违反十不吊规定</w:t>
            </w:r>
          </w:p>
        </w:tc>
        <w:tc>
          <w:tcPr>
            <w:tcW w:w="1142" w:type="dxa"/>
            <w:gridSpan w:val="2"/>
            <w:noWrap w:val="0"/>
            <w:vAlign w:val="top"/>
          </w:tcPr>
          <w:p w14:paraId="06C596CB">
            <w:pPr>
              <w:snapToGrid w:val="0"/>
              <w:jc w:val="center"/>
              <w:rPr>
                <w:color w:val="auto"/>
                <w:sz w:val="21"/>
                <w:szCs w:val="21"/>
                <w:u w:val="single"/>
              </w:rPr>
            </w:pPr>
          </w:p>
        </w:tc>
      </w:tr>
      <w:tr w14:paraId="36AF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9200" w:type="dxa"/>
            <w:gridSpan w:val="5"/>
            <w:noWrap w:val="0"/>
            <w:vAlign w:val="center"/>
          </w:tcPr>
          <w:p w14:paraId="270E11C3">
            <w:pPr>
              <w:snapToGrid w:val="0"/>
              <w:jc w:val="left"/>
              <w:rPr>
                <w:color w:val="auto"/>
                <w:sz w:val="21"/>
                <w:szCs w:val="21"/>
                <w:u w:val="single"/>
              </w:rPr>
            </w:pPr>
            <w:r>
              <w:rPr>
                <w:color w:val="auto"/>
                <w:sz w:val="21"/>
                <w:szCs w:val="21"/>
                <w:u w:val="single"/>
              </w:rPr>
              <w:t>6.消防及危险化学品     违反下列行为的给予</w:t>
            </w:r>
            <w:r>
              <w:rPr>
                <w:rFonts w:hint="eastAsia"/>
                <w:color w:val="auto"/>
                <w:sz w:val="21"/>
                <w:szCs w:val="21"/>
                <w:u w:val="single"/>
                <w:lang w:val="en-US" w:eastAsia="zh-CN"/>
              </w:rPr>
              <w:t>10</w:t>
            </w:r>
            <w:r>
              <w:rPr>
                <w:color w:val="auto"/>
                <w:sz w:val="21"/>
                <w:szCs w:val="21"/>
                <w:u w:val="single"/>
              </w:rPr>
              <w:t>000-</w:t>
            </w:r>
            <w:r>
              <w:rPr>
                <w:rFonts w:hint="eastAsia"/>
                <w:color w:val="auto"/>
                <w:sz w:val="21"/>
                <w:szCs w:val="21"/>
                <w:u w:val="single"/>
                <w:lang w:val="en-US" w:eastAsia="zh-CN"/>
              </w:rPr>
              <w:t>2</w:t>
            </w:r>
            <w:r>
              <w:rPr>
                <w:rFonts w:hint="eastAsia"/>
                <w:color w:val="auto"/>
                <w:sz w:val="21"/>
                <w:szCs w:val="21"/>
                <w:u w:val="single"/>
              </w:rPr>
              <w:t>0</w:t>
            </w:r>
            <w:r>
              <w:rPr>
                <w:color w:val="auto"/>
                <w:sz w:val="21"/>
                <w:szCs w:val="21"/>
                <w:u w:val="single"/>
              </w:rPr>
              <w:t>000元考核</w:t>
            </w:r>
          </w:p>
        </w:tc>
      </w:tr>
      <w:tr w14:paraId="1DB49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186CD61">
            <w:pPr>
              <w:snapToGrid w:val="0"/>
              <w:jc w:val="center"/>
              <w:rPr>
                <w:color w:val="auto"/>
                <w:sz w:val="21"/>
                <w:szCs w:val="21"/>
                <w:u w:val="single"/>
              </w:rPr>
            </w:pPr>
            <w:r>
              <w:rPr>
                <w:color w:val="auto"/>
                <w:sz w:val="21"/>
                <w:szCs w:val="21"/>
                <w:u w:val="single"/>
              </w:rPr>
              <w:t>6.1</w:t>
            </w:r>
          </w:p>
        </w:tc>
        <w:tc>
          <w:tcPr>
            <w:tcW w:w="7308" w:type="dxa"/>
            <w:noWrap w:val="0"/>
            <w:vAlign w:val="top"/>
          </w:tcPr>
          <w:p w14:paraId="3992D52A">
            <w:pPr>
              <w:snapToGrid w:val="0"/>
              <w:rPr>
                <w:color w:val="auto"/>
                <w:sz w:val="21"/>
                <w:szCs w:val="21"/>
                <w:u w:val="single"/>
              </w:rPr>
            </w:pPr>
            <w:r>
              <w:rPr>
                <w:color w:val="auto"/>
                <w:sz w:val="21"/>
                <w:szCs w:val="21"/>
                <w:u w:val="single"/>
              </w:rPr>
              <w:t>在禁烟区内吸烟或流动吸烟的</w:t>
            </w:r>
          </w:p>
        </w:tc>
        <w:tc>
          <w:tcPr>
            <w:tcW w:w="1205" w:type="dxa"/>
            <w:gridSpan w:val="3"/>
            <w:noWrap w:val="0"/>
            <w:vAlign w:val="top"/>
          </w:tcPr>
          <w:p w14:paraId="2B599D08">
            <w:pPr>
              <w:snapToGrid w:val="0"/>
              <w:jc w:val="center"/>
              <w:rPr>
                <w:color w:val="auto"/>
                <w:sz w:val="21"/>
                <w:szCs w:val="21"/>
                <w:u w:val="single"/>
              </w:rPr>
            </w:pPr>
          </w:p>
        </w:tc>
      </w:tr>
      <w:tr w14:paraId="1203C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5E20330">
            <w:pPr>
              <w:snapToGrid w:val="0"/>
              <w:jc w:val="center"/>
              <w:rPr>
                <w:color w:val="auto"/>
                <w:sz w:val="21"/>
                <w:szCs w:val="21"/>
                <w:u w:val="single"/>
              </w:rPr>
            </w:pPr>
            <w:r>
              <w:rPr>
                <w:color w:val="auto"/>
                <w:sz w:val="21"/>
                <w:szCs w:val="21"/>
                <w:u w:val="single"/>
              </w:rPr>
              <w:t>6.2</w:t>
            </w:r>
          </w:p>
        </w:tc>
        <w:tc>
          <w:tcPr>
            <w:tcW w:w="7308" w:type="dxa"/>
            <w:noWrap w:val="0"/>
            <w:vAlign w:val="top"/>
          </w:tcPr>
          <w:p w14:paraId="2ED634D4">
            <w:pPr>
              <w:snapToGrid w:val="0"/>
              <w:rPr>
                <w:color w:val="auto"/>
                <w:sz w:val="21"/>
                <w:szCs w:val="21"/>
                <w:u w:val="single"/>
              </w:rPr>
            </w:pPr>
            <w:r>
              <w:rPr>
                <w:color w:val="auto"/>
                <w:sz w:val="21"/>
                <w:szCs w:val="21"/>
                <w:u w:val="single"/>
              </w:rPr>
              <w:t>易燃易爆物品、有毒有害物品、射源未按规定进行隔离、存放；易燃爆炸危险作业场所未有消防设施或装置，未使用防爆电器，未有警告标志，使用前未经验收</w:t>
            </w:r>
          </w:p>
        </w:tc>
        <w:tc>
          <w:tcPr>
            <w:tcW w:w="1205" w:type="dxa"/>
            <w:gridSpan w:val="3"/>
            <w:noWrap w:val="0"/>
            <w:vAlign w:val="top"/>
          </w:tcPr>
          <w:p w14:paraId="1C92DB4F">
            <w:pPr>
              <w:snapToGrid w:val="0"/>
              <w:jc w:val="center"/>
              <w:rPr>
                <w:color w:val="auto"/>
                <w:sz w:val="21"/>
                <w:szCs w:val="21"/>
                <w:u w:val="single"/>
              </w:rPr>
            </w:pPr>
          </w:p>
        </w:tc>
      </w:tr>
      <w:tr w14:paraId="77B54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BA2896D">
            <w:pPr>
              <w:snapToGrid w:val="0"/>
              <w:jc w:val="center"/>
              <w:rPr>
                <w:color w:val="auto"/>
                <w:sz w:val="21"/>
                <w:szCs w:val="21"/>
                <w:u w:val="single"/>
              </w:rPr>
            </w:pPr>
            <w:r>
              <w:rPr>
                <w:color w:val="auto"/>
                <w:sz w:val="21"/>
                <w:szCs w:val="21"/>
                <w:u w:val="single"/>
              </w:rPr>
              <w:t>6.3</w:t>
            </w:r>
          </w:p>
        </w:tc>
        <w:tc>
          <w:tcPr>
            <w:tcW w:w="7308" w:type="dxa"/>
            <w:noWrap w:val="0"/>
            <w:vAlign w:val="top"/>
          </w:tcPr>
          <w:p w14:paraId="1DB3D8E7">
            <w:pPr>
              <w:snapToGrid w:val="0"/>
              <w:rPr>
                <w:color w:val="auto"/>
                <w:sz w:val="21"/>
                <w:szCs w:val="21"/>
                <w:u w:val="single"/>
              </w:rPr>
            </w:pPr>
            <w:r>
              <w:rPr>
                <w:color w:val="auto"/>
                <w:sz w:val="21"/>
                <w:szCs w:val="21"/>
                <w:u w:val="single"/>
              </w:rPr>
              <w:t>临时仓库的耐火等级不符合防火要求</w:t>
            </w:r>
          </w:p>
        </w:tc>
        <w:tc>
          <w:tcPr>
            <w:tcW w:w="1205" w:type="dxa"/>
            <w:gridSpan w:val="3"/>
            <w:noWrap w:val="0"/>
            <w:vAlign w:val="top"/>
          </w:tcPr>
          <w:p w14:paraId="57366D14">
            <w:pPr>
              <w:snapToGrid w:val="0"/>
              <w:jc w:val="center"/>
              <w:rPr>
                <w:color w:val="auto"/>
                <w:sz w:val="21"/>
                <w:szCs w:val="21"/>
                <w:u w:val="single"/>
              </w:rPr>
            </w:pPr>
          </w:p>
        </w:tc>
      </w:tr>
      <w:tr w14:paraId="3629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F742D42">
            <w:pPr>
              <w:snapToGrid w:val="0"/>
              <w:jc w:val="center"/>
              <w:rPr>
                <w:color w:val="auto"/>
                <w:sz w:val="21"/>
                <w:szCs w:val="21"/>
                <w:u w:val="single"/>
              </w:rPr>
            </w:pPr>
            <w:r>
              <w:rPr>
                <w:color w:val="auto"/>
                <w:sz w:val="21"/>
                <w:szCs w:val="21"/>
                <w:u w:val="single"/>
              </w:rPr>
              <w:t>6.4</w:t>
            </w:r>
          </w:p>
        </w:tc>
        <w:tc>
          <w:tcPr>
            <w:tcW w:w="7308" w:type="dxa"/>
            <w:noWrap w:val="0"/>
            <w:vAlign w:val="top"/>
          </w:tcPr>
          <w:p w14:paraId="0192AF59">
            <w:pPr>
              <w:snapToGrid w:val="0"/>
              <w:rPr>
                <w:color w:val="auto"/>
                <w:sz w:val="21"/>
                <w:szCs w:val="21"/>
                <w:u w:val="single"/>
              </w:rPr>
            </w:pPr>
            <w:r>
              <w:rPr>
                <w:color w:val="auto"/>
                <w:sz w:val="21"/>
                <w:szCs w:val="21"/>
                <w:u w:val="single"/>
              </w:rPr>
              <w:t>仓库、宿舍、办公室、加工场、施工现场等场所不按规配置消防器材，移动、破坏消防设施或器材</w:t>
            </w:r>
          </w:p>
        </w:tc>
        <w:tc>
          <w:tcPr>
            <w:tcW w:w="1205" w:type="dxa"/>
            <w:gridSpan w:val="3"/>
            <w:noWrap w:val="0"/>
            <w:vAlign w:val="top"/>
          </w:tcPr>
          <w:p w14:paraId="320ECA55">
            <w:pPr>
              <w:snapToGrid w:val="0"/>
              <w:jc w:val="center"/>
              <w:rPr>
                <w:color w:val="auto"/>
                <w:sz w:val="21"/>
                <w:szCs w:val="21"/>
                <w:u w:val="single"/>
              </w:rPr>
            </w:pPr>
          </w:p>
        </w:tc>
      </w:tr>
      <w:tr w14:paraId="6330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C4FB966">
            <w:pPr>
              <w:snapToGrid w:val="0"/>
              <w:jc w:val="center"/>
              <w:rPr>
                <w:color w:val="auto"/>
                <w:sz w:val="21"/>
                <w:szCs w:val="21"/>
                <w:u w:val="single"/>
              </w:rPr>
            </w:pPr>
            <w:r>
              <w:rPr>
                <w:color w:val="auto"/>
                <w:sz w:val="21"/>
                <w:szCs w:val="21"/>
                <w:u w:val="single"/>
              </w:rPr>
              <w:t>6.5</w:t>
            </w:r>
          </w:p>
        </w:tc>
        <w:tc>
          <w:tcPr>
            <w:tcW w:w="7308" w:type="dxa"/>
            <w:noWrap w:val="0"/>
            <w:vAlign w:val="top"/>
          </w:tcPr>
          <w:p w14:paraId="589F1044">
            <w:pPr>
              <w:snapToGrid w:val="0"/>
              <w:rPr>
                <w:color w:val="auto"/>
                <w:sz w:val="21"/>
                <w:szCs w:val="21"/>
                <w:u w:val="single"/>
              </w:rPr>
            </w:pPr>
            <w:r>
              <w:rPr>
                <w:color w:val="auto"/>
                <w:sz w:val="21"/>
                <w:szCs w:val="21"/>
                <w:u w:val="single"/>
              </w:rPr>
              <w:t>堵塞、阻碍消防通道或消防设施</w:t>
            </w:r>
          </w:p>
        </w:tc>
        <w:tc>
          <w:tcPr>
            <w:tcW w:w="1205" w:type="dxa"/>
            <w:gridSpan w:val="3"/>
            <w:noWrap w:val="0"/>
            <w:vAlign w:val="top"/>
          </w:tcPr>
          <w:p w14:paraId="308A1DBB">
            <w:pPr>
              <w:snapToGrid w:val="0"/>
              <w:jc w:val="center"/>
              <w:rPr>
                <w:color w:val="auto"/>
                <w:sz w:val="21"/>
                <w:szCs w:val="21"/>
                <w:u w:val="single"/>
              </w:rPr>
            </w:pPr>
          </w:p>
        </w:tc>
      </w:tr>
      <w:tr w14:paraId="5C73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6A952AE">
            <w:pPr>
              <w:snapToGrid w:val="0"/>
              <w:jc w:val="center"/>
              <w:rPr>
                <w:color w:val="auto"/>
                <w:sz w:val="21"/>
                <w:szCs w:val="21"/>
                <w:u w:val="single"/>
              </w:rPr>
            </w:pPr>
            <w:r>
              <w:rPr>
                <w:color w:val="auto"/>
                <w:sz w:val="21"/>
                <w:szCs w:val="21"/>
                <w:u w:val="single"/>
              </w:rPr>
              <w:t>6.6</w:t>
            </w:r>
          </w:p>
        </w:tc>
        <w:tc>
          <w:tcPr>
            <w:tcW w:w="7308" w:type="dxa"/>
            <w:noWrap w:val="0"/>
            <w:vAlign w:val="top"/>
          </w:tcPr>
          <w:p w14:paraId="127C0190">
            <w:pPr>
              <w:snapToGrid w:val="0"/>
              <w:rPr>
                <w:color w:val="auto"/>
                <w:sz w:val="21"/>
                <w:szCs w:val="21"/>
                <w:u w:val="single"/>
              </w:rPr>
            </w:pPr>
            <w:r>
              <w:rPr>
                <w:color w:val="auto"/>
                <w:sz w:val="21"/>
                <w:szCs w:val="21"/>
                <w:u w:val="single"/>
              </w:rPr>
              <w:t>在易燃易爆物品附近动火作业间距不够</w:t>
            </w:r>
          </w:p>
        </w:tc>
        <w:tc>
          <w:tcPr>
            <w:tcW w:w="1205" w:type="dxa"/>
            <w:gridSpan w:val="3"/>
            <w:noWrap w:val="0"/>
            <w:vAlign w:val="top"/>
          </w:tcPr>
          <w:p w14:paraId="779942A5">
            <w:pPr>
              <w:snapToGrid w:val="0"/>
              <w:jc w:val="center"/>
              <w:rPr>
                <w:color w:val="auto"/>
                <w:sz w:val="21"/>
                <w:szCs w:val="21"/>
                <w:u w:val="single"/>
              </w:rPr>
            </w:pPr>
          </w:p>
        </w:tc>
      </w:tr>
      <w:tr w14:paraId="45FC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420A56A">
            <w:pPr>
              <w:snapToGrid w:val="0"/>
              <w:jc w:val="center"/>
              <w:rPr>
                <w:color w:val="auto"/>
                <w:sz w:val="21"/>
                <w:szCs w:val="21"/>
                <w:u w:val="single"/>
              </w:rPr>
            </w:pPr>
            <w:r>
              <w:rPr>
                <w:color w:val="auto"/>
                <w:sz w:val="21"/>
                <w:szCs w:val="21"/>
                <w:u w:val="single"/>
              </w:rPr>
              <w:t>6.7</w:t>
            </w:r>
          </w:p>
        </w:tc>
        <w:tc>
          <w:tcPr>
            <w:tcW w:w="7308" w:type="dxa"/>
            <w:noWrap w:val="0"/>
            <w:vAlign w:val="top"/>
          </w:tcPr>
          <w:p w14:paraId="238F8AC2">
            <w:pPr>
              <w:snapToGrid w:val="0"/>
              <w:rPr>
                <w:color w:val="auto"/>
                <w:sz w:val="21"/>
                <w:szCs w:val="21"/>
                <w:u w:val="single"/>
              </w:rPr>
            </w:pPr>
            <w:r>
              <w:rPr>
                <w:color w:val="auto"/>
                <w:sz w:val="21"/>
                <w:szCs w:val="21"/>
                <w:u w:val="single"/>
              </w:rPr>
              <w:t>爆破作业未有安全措施</w:t>
            </w:r>
          </w:p>
        </w:tc>
        <w:tc>
          <w:tcPr>
            <w:tcW w:w="1205" w:type="dxa"/>
            <w:gridSpan w:val="3"/>
            <w:noWrap w:val="0"/>
            <w:vAlign w:val="top"/>
          </w:tcPr>
          <w:p w14:paraId="6E8152AE">
            <w:pPr>
              <w:snapToGrid w:val="0"/>
              <w:jc w:val="center"/>
              <w:rPr>
                <w:color w:val="auto"/>
                <w:sz w:val="21"/>
                <w:szCs w:val="21"/>
                <w:u w:val="single"/>
              </w:rPr>
            </w:pPr>
          </w:p>
        </w:tc>
      </w:tr>
      <w:tr w14:paraId="653B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848F35F">
            <w:pPr>
              <w:snapToGrid w:val="0"/>
              <w:jc w:val="center"/>
              <w:rPr>
                <w:color w:val="auto"/>
                <w:sz w:val="21"/>
                <w:szCs w:val="21"/>
                <w:u w:val="single"/>
              </w:rPr>
            </w:pPr>
            <w:r>
              <w:rPr>
                <w:color w:val="auto"/>
                <w:sz w:val="21"/>
                <w:szCs w:val="21"/>
                <w:u w:val="single"/>
              </w:rPr>
              <w:t>6.8</w:t>
            </w:r>
          </w:p>
        </w:tc>
        <w:tc>
          <w:tcPr>
            <w:tcW w:w="7308" w:type="dxa"/>
            <w:noWrap w:val="0"/>
            <w:vAlign w:val="top"/>
          </w:tcPr>
          <w:p w14:paraId="5C84A638">
            <w:pPr>
              <w:snapToGrid w:val="0"/>
              <w:rPr>
                <w:color w:val="auto"/>
                <w:sz w:val="21"/>
                <w:szCs w:val="21"/>
                <w:u w:val="single"/>
              </w:rPr>
            </w:pPr>
            <w:r>
              <w:rPr>
                <w:color w:val="auto"/>
                <w:sz w:val="21"/>
                <w:szCs w:val="21"/>
                <w:u w:val="single"/>
              </w:rPr>
              <w:t>现场使用明火进行取暖</w:t>
            </w:r>
          </w:p>
        </w:tc>
        <w:tc>
          <w:tcPr>
            <w:tcW w:w="1205" w:type="dxa"/>
            <w:gridSpan w:val="3"/>
            <w:noWrap w:val="0"/>
            <w:vAlign w:val="top"/>
          </w:tcPr>
          <w:p w14:paraId="0912115B">
            <w:pPr>
              <w:snapToGrid w:val="0"/>
              <w:jc w:val="center"/>
              <w:rPr>
                <w:color w:val="auto"/>
                <w:sz w:val="21"/>
                <w:szCs w:val="21"/>
                <w:u w:val="single"/>
              </w:rPr>
            </w:pPr>
          </w:p>
        </w:tc>
      </w:tr>
      <w:tr w14:paraId="39CA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5113A27">
            <w:pPr>
              <w:snapToGrid w:val="0"/>
              <w:jc w:val="center"/>
              <w:rPr>
                <w:color w:val="auto"/>
                <w:sz w:val="21"/>
                <w:szCs w:val="21"/>
                <w:u w:val="single"/>
              </w:rPr>
            </w:pPr>
            <w:r>
              <w:rPr>
                <w:color w:val="auto"/>
                <w:sz w:val="21"/>
                <w:szCs w:val="21"/>
                <w:u w:val="single"/>
              </w:rPr>
              <w:t>6.9</w:t>
            </w:r>
          </w:p>
        </w:tc>
        <w:tc>
          <w:tcPr>
            <w:tcW w:w="7308" w:type="dxa"/>
            <w:noWrap w:val="0"/>
            <w:vAlign w:val="top"/>
          </w:tcPr>
          <w:p w14:paraId="7C582F45">
            <w:pPr>
              <w:snapToGrid w:val="0"/>
              <w:rPr>
                <w:color w:val="auto"/>
                <w:sz w:val="21"/>
                <w:szCs w:val="21"/>
                <w:u w:val="single"/>
              </w:rPr>
            </w:pPr>
            <w:r>
              <w:rPr>
                <w:color w:val="auto"/>
                <w:sz w:val="21"/>
                <w:szCs w:val="21"/>
                <w:u w:val="single"/>
              </w:rPr>
              <w:t>炸药与雷管、乙炔与氧气等容易引起燃烧、爆炸和其他化学反应的物质同车运输或共同存放</w:t>
            </w:r>
          </w:p>
        </w:tc>
        <w:tc>
          <w:tcPr>
            <w:tcW w:w="1205" w:type="dxa"/>
            <w:gridSpan w:val="3"/>
            <w:noWrap w:val="0"/>
            <w:vAlign w:val="top"/>
          </w:tcPr>
          <w:p w14:paraId="38F2A0CD">
            <w:pPr>
              <w:snapToGrid w:val="0"/>
              <w:jc w:val="center"/>
              <w:rPr>
                <w:color w:val="auto"/>
                <w:sz w:val="21"/>
                <w:szCs w:val="21"/>
                <w:u w:val="single"/>
              </w:rPr>
            </w:pPr>
          </w:p>
        </w:tc>
      </w:tr>
      <w:tr w14:paraId="5D29C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AAAD3B4">
            <w:pPr>
              <w:snapToGrid w:val="0"/>
              <w:jc w:val="center"/>
              <w:rPr>
                <w:color w:val="auto"/>
                <w:sz w:val="21"/>
                <w:szCs w:val="21"/>
                <w:u w:val="single"/>
              </w:rPr>
            </w:pPr>
            <w:r>
              <w:rPr>
                <w:color w:val="auto"/>
                <w:sz w:val="21"/>
                <w:szCs w:val="21"/>
                <w:u w:val="single"/>
              </w:rPr>
              <w:t>6.10</w:t>
            </w:r>
          </w:p>
        </w:tc>
        <w:tc>
          <w:tcPr>
            <w:tcW w:w="7308" w:type="dxa"/>
            <w:noWrap w:val="0"/>
            <w:vAlign w:val="top"/>
          </w:tcPr>
          <w:p w14:paraId="3152838B">
            <w:pPr>
              <w:snapToGrid w:val="0"/>
              <w:rPr>
                <w:color w:val="auto"/>
                <w:sz w:val="21"/>
                <w:szCs w:val="21"/>
                <w:u w:val="single"/>
              </w:rPr>
            </w:pPr>
            <w:r>
              <w:rPr>
                <w:color w:val="auto"/>
                <w:sz w:val="21"/>
                <w:szCs w:val="21"/>
                <w:u w:val="single"/>
              </w:rPr>
              <w:t>危险化学品装卸时未轻拿轻放，未采取防止撞击、倾倒措施</w:t>
            </w:r>
          </w:p>
        </w:tc>
        <w:tc>
          <w:tcPr>
            <w:tcW w:w="1205" w:type="dxa"/>
            <w:gridSpan w:val="3"/>
            <w:noWrap w:val="0"/>
            <w:vAlign w:val="top"/>
          </w:tcPr>
          <w:p w14:paraId="423165CF">
            <w:pPr>
              <w:snapToGrid w:val="0"/>
              <w:jc w:val="center"/>
              <w:rPr>
                <w:color w:val="auto"/>
                <w:sz w:val="21"/>
                <w:szCs w:val="21"/>
                <w:u w:val="single"/>
              </w:rPr>
            </w:pPr>
          </w:p>
        </w:tc>
      </w:tr>
      <w:tr w14:paraId="7456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823D3C4">
            <w:pPr>
              <w:snapToGrid w:val="0"/>
              <w:jc w:val="center"/>
              <w:rPr>
                <w:color w:val="auto"/>
                <w:sz w:val="21"/>
                <w:szCs w:val="21"/>
                <w:u w:val="single"/>
              </w:rPr>
            </w:pPr>
            <w:r>
              <w:rPr>
                <w:color w:val="auto"/>
                <w:sz w:val="21"/>
                <w:szCs w:val="21"/>
                <w:u w:val="single"/>
              </w:rPr>
              <w:t>6.11</w:t>
            </w:r>
          </w:p>
        </w:tc>
        <w:tc>
          <w:tcPr>
            <w:tcW w:w="7308" w:type="dxa"/>
            <w:noWrap w:val="0"/>
            <w:vAlign w:val="top"/>
          </w:tcPr>
          <w:p w14:paraId="4CC8DF30">
            <w:pPr>
              <w:snapToGrid w:val="0"/>
              <w:rPr>
                <w:color w:val="auto"/>
                <w:sz w:val="21"/>
                <w:szCs w:val="21"/>
                <w:u w:val="single"/>
              </w:rPr>
            </w:pPr>
            <w:r>
              <w:rPr>
                <w:color w:val="auto"/>
                <w:sz w:val="21"/>
                <w:szCs w:val="21"/>
                <w:u w:val="single"/>
              </w:rPr>
              <w:t>射线作业未经审批，各通道未挂警示标志，未设专人监护，作业人员未戴防护用品</w:t>
            </w:r>
          </w:p>
        </w:tc>
        <w:tc>
          <w:tcPr>
            <w:tcW w:w="1205" w:type="dxa"/>
            <w:gridSpan w:val="3"/>
            <w:noWrap w:val="0"/>
            <w:vAlign w:val="top"/>
          </w:tcPr>
          <w:p w14:paraId="5876881F">
            <w:pPr>
              <w:snapToGrid w:val="0"/>
              <w:jc w:val="center"/>
              <w:rPr>
                <w:color w:val="auto"/>
                <w:sz w:val="21"/>
                <w:szCs w:val="21"/>
                <w:u w:val="single"/>
              </w:rPr>
            </w:pPr>
          </w:p>
        </w:tc>
      </w:tr>
      <w:tr w14:paraId="3EB2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1592029">
            <w:pPr>
              <w:snapToGrid w:val="0"/>
              <w:jc w:val="center"/>
              <w:rPr>
                <w:color w:val="auto"/>
                <w:sz w:val="21"/>
                <w:szCs w:val="21"/>
                <w:u w:val="single"/>
              </w:rPr>
            </w:pPr>
            <w:r>
              <w:rPr>
                <w:color w:val="auto"/>
                <w:sz w:val="21"/>
                <w:szCs w:val="21"/>
                <w:u w:val="single"/>
              </w:rPr>
              <w:t>6.12</w:t>
            </w:r>
          </w:p>
        </w:tc>
        <w:tc>
          <w:tcPr>
            <w:tcW w:w="7308" w:type="dxa"/>
            <w:noWrap w:val="0"/>
            <w:vAlign w:val="top"/>
          </w:tcPr>
          <w:p w14:paraId="76BC34FC">
            <w:pPr>
              <w:snapToGrid w:val="0"/>
              <w:rPr>
                <w:color w:val="auto"/>
                <w:sz w:val="21"/>
                <w:szCs w:val="21"/>
                <w:u w:val="single"/>
              </w:rPr>
            </w:pPr>
            <w:r>
              <w:rPr>
                <w:color w:val="auto"/>
                <w:sz w:val="21"/>
                <w:szCs w:val="21"/>
                <w:u w:val="single"/>
              </w:rPr>
              <w:t>未按规定使用危险化学品</w:t>
            </w:r>
          </w:p>
        </w:tc>
        <w:tc>
          <w:tcPr>
            <w:tcW w:w="1205" w:type="dxa"/>
            <w:gridSpan w:val="3"/>
            <w:noWrap w:val="0"/>
            <w:vAlign w:val="top"/>
          </w:tcPr>
          <w:p w14:paraId="1693CE62">
            <w:pPr>
              <w:snapToGrid w:val="0"/>
              <w:jc w:val="center"/>
              <w:rPr>
                <w:color w:val="auto"/>
                <w:sz w:val="21"/>
                <w:szCs w:val="21"/>
                <w:u w:val="single"/>
              </w:rPr>
            </w:pPr>
          </w:p>
        </w:tc>
      </w:tr>
      <w:tr w14:paraId="7868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0" w:type="dxa"/>
            <w:gridSpan w:val="5"/>
            <w:noWrap w:val="0"/>
            <w:vAlign w:val="top"/>
          </w:tcPr>
          <w:p w14:paraId="19D68789">
            <w:pPr>
              <w:snapToGrid w:val="0"/>
              <w:jc w:val="left"/>
              <w:rPr>
                <w:color w:val="auto"/>
                <w:sz w:val="21"/>
                <w:szCs w:val="21"/>
                <w:u w:val="single"/>
              </w:rPr>
            </w:pPr>
            <w:r>
              <w:rPr>
                <w:color w:val="auto"/>
                <w:sz w:val="21"/>
                <w:szCs w:val="21"/>
                <w:u w:val="single"/>
              </w:rPr>
              <w:t>7.</w:t>
            </w:r>
            <w:r>
              <w:rPr>
                <w:rFonts w:hint="eastAsia"/>
                <w:color w:val="auto"/>
                <w:sz w:val="21"/>
                <w:szCs w:val="21"/>
                <w:u w:val="single"/>
              </w:rPr>
              <w:t>有限空间作业</w:t>
            </w:r>
            <w:r>
              <w:rPr>
                <w:color w:val="auto"/>
                <w:sz w:val="21"/>
                <w:szCs w:val="21"/>
                <w:u w:val="single"/>
              </w:rPr>
              <w:t xml:space="preserve">    违反下列行为给予</w:t>
            </w:r>
            <w:r>
              <w:rPr>
                <w:rFonts w:hint="eastAsia"/>
                <w:color w:val="auto"/>
                <w:sz w:val="21"/>
                <w:szCs w:val="21"/>
                <w:u w:val="single"/>
                <w:lang w:val="en-US" w:eastAsia="zh-CN"/>
              </w:rPr>
              <w:t>10</w:t>
            </w:r>
            <w:r>
              <w:rPr>
                <w:color w:val="auto"/>
                <w:sz w:val="21"/>
                <w:szCs w:val="21"/>
                <w:u w:val="single"/>
              </w:rPr>
              <w:t>000-</w:t>
            </w:r>
            <w:r>
              <w:rPr>
                <w:rFonts w:hint="eastAsia"/>
                <w:color w:val="auto"/>
                <w:sz w:val="21"/>
                <w:szCs w:val="21"/>
                <w:u w:val="single"/>
                <w:lang w:val="en-US" w:eastAsia="zh-CN"/>
              </w:rPr>
              <w:t>2</w:t>
            </w:r>
            <w:r>
              <w:rPr>
                <w:rFonts w:hint="eastAsia"/>
                <w:color w:val="auto"/>
                <w:sz w:val="21"/>
                <w:szCs w:val="21"/>
                <w:u w:val="single"/>
              </w:rPr>
              <w:t>0</w:t>
            </w:r>
            <w:r>
              <w:rPr>
                <w:color w:val="auto"/>
                <w:sz w:val="21"/>
                <w:szCs w:val="21"/>
                <w:u w:val="single"/>
              </w:rPr>
              <w:t>000元处罚</w:t>
            </w:r>
          </w:p>
        </w:tc>
      </w:tr>
      <w:tr w14:paraId="7BC1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6794B0C">
            <w:pPr>
              <w:snapToGrid w:val="0"/>
              <w:jc w:val="center"/>
              <w:rPr>
                <w:color w:val="auto"/>
                <w:sz w:val="21"/>
                <w:szCs w:val="21"/>
                <w:u w:val="single"/>
              </w:rPr>
            </w:pPr>
            <w:r>
              <w:rPr>
                <w:rFonts w:hint="eastAsia"/>
                <w:color w:val="auto"/>
                <w:sz w:val="21"/>
                <w:szCs w:val="21"/>
                <w:u w:val="single"/>
              </w:rPr>
              <w:t>7.1</w:t>
            </w:r>
          </w:p>
        </w:tc>
        <w:tc>
          <w:tcPr>
            <w:tcW w:w="7308" w:type="dxa"/>
            <w:noWrap w:val="0"/>
            <w:vAlign w:val="top"/>
          </w:tcPr>
          <w:p w14:paraId="08FD7D0F">
            <w:pPr>
              <w:snapToGrid w:val="0"/>
              <w:rPr>
                <w:color w:val="auto"/>
                <w:sz w:val="21"/>
                <w:szCs w:val="21"/>
                <w:u w:val="single"/>
              </w:rPr>
            </w:pPr>
            <w:r>
              <w:rPr>
                <w:rFonts w:hint="eastAsia"/>
                <w:color w:val="auto"/>
                <w:sz w:val="21"/>
                <w:szCs w:val="21"/>
                <w:u w:val="single"/>
              </w:rPr>
              <w:t>作业前，未对有限空间进行危险和有害因素辨识，未制定安全技术措施，未制定紧急情况下的处置方案</w:t>
            </w:r>
          </w:p>
        </w:tc>
        <w:tc>
          <w:tcPr>
            <w:tcW w:w="1205" w:type="dxa"/>
            <w:gridSpan w:val="3"/>
            <w:noWrap w:val="0"/>
            <w:vAlign w:val="top"/>
          </w:tcPr>
          <w:p w14:paraId="2868ADBF">
            <w:pPr>
              <w:snapToGrid w:val="0"/>
              <w:jc w:val="center"/>
              <w:rPr>
                <w:color w:val="auto"/>
                <w:sz w:val="21"/>
                <w:szCs w:val="21"/>
                <w:u w:val="single"/>
              </w:rPr>
            </w:pPr>
          </w:p>
        </w:tc>
      </w:tr>
      <w:tr w14:paraId="7FD81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B88D66C">
            <w:pPr>
              <w:snapToGrid w:val="0"/>
              <w:jc w:val="center"/>
              <w:rPr>
                <w:color w:val="auto"/>
                <w:sz w:val="21"/>
                <w:szCs w:val="21"/>
                <w:u w:val="single"/>
              </w:rPr>
            </w:pPr>
            <w:r>
              <w:rPr>
                <w:rFonts w:hint="eastAsia"/>
                <w:color w:val="auto"/>
                <w:sz w:val="21"/>
                <w:szCs w:val="21"/>
                <w:u w:val="single"/>
              </w:rPr>
              <w:t>7.2</w:t>
            </w:r>
          </w:p>
        </w:tc>
        <w:tc>
          <w:tcPr>
            <w:tcW w:w="7308" w:type="dxa"/>
            <w:noWrap w:val="0"/>
            <w:vAlign w:val="top"/>
          </w:tcPr>
          <w:p w14:paraId="7F391B24">
            <w:pPr>
              <w:snapToGrid w:val="0"/>
              <w:rPr>
                <w:color w:val="auto"/>
                <w:sz w:val="21"/>
                <w:szCs w:val="21"/>
                <w:u w:val="single"/>
              </w:rPr>
            </w:pPr>
            <w:r>
              <w:rPr>
                <w:rFonts w:hint="eastAsia"/>
                <w:color w:val="auto"/>
                <w:sz w:val="21"/>
                <w:szCs w:val="21"/>
                <w:u w:val="single"/>
              </w:rPr>
              <w:t>有限空间作业没有办理审批许可手续</w:t>
            </w:r>
          </w:p>
        </w:tc>
        <w:tc>
          <w:tcPr>
            <w:tcW w:w="1205" w:type="dxa"/>
            <w:gridSpan w:val="3"/>
            <w:noWrap w:val="0"/>
            <w:vAlign w:val="top"/>
          </w:tcPr>
          <w:p w14:paraId="2B8DEB27">
            <w:pPr>
              <w:snapToGrid w:val="0"/>
              <w:jc w:val="center"/>
              <w:rPr>
                <w:color w:val="auto"/>
                <w:sz w:val="21"/>
                <w:szCs w:val="21"/>
                <w:u w:val="single"/>
              </w:rPr>
            </w:pPr>
          </w:p>
        </w:tc>
      </w:tr>
      <w:tr w14:paraId="11FB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6D89BE8">
            <w:pPr>
              <w:snapToGrid w:val="0"/>
              <w:jc w:val="center"/>
              <w:rPr>
                <w:color w:val="auto"/>
                <w:sz w:val="21"/>
                <w:szCs w:val="21"/>
                <w:u w:val="single"/>
              </w:rPr>
            </w:pPr>
            <w:r>
              <w:rPr>
                <w:rFonts w:hint="eastAsia"/>
                <w:color w:val="auto"/>
                <w:sz w:val="21"/>
                <w:szCs w:val="21"/>
                <w:u w:val="single"/>
              </w:rPr>
              <w:t>7.3</w:t>
            </w:r>
          </w:p>
        </w:tc>
        <w:tc>
          <w:tcPr>
            <w:tcW w:w="7308" w:type="dxa"/>
            <w:noWrap w:val="0"/>
            <w:vAlign w:val="top"/>
          </w:tcPr>
          <w:p w14:paraId="23245E91">
            <w:pPr>
              <w:snapToGrid w:val="0"/>
              <w:rPr>
                <w:color w:val="auto"/>
                <w:sz w:val="21"/>
                <w:szCs w:val="21"/>
                <w:u w:val="single"/>
              </w:rPr>
            </w:pPr>
            <w:r>
              <w:rPr>
                <w:rFonts w:hint="eastAsia"/>
                <w:color w:val="auto"/>
                <w:sz w:val="21"/>
                <w:szCs w:val="21"/>
                <w:u w:val="single"/>
              </w:rPr>
              <w:t>有限空间作业前，没有对有限空间内部可燃或有毒、有害气体浓度进行检测；作业过程或作业中断时，没有按照每隔30分钟测量一次</w:t>
            </w:r>
          </w:p>
        </w:tc>
        <w:tc>
          <w:tcPr>
            <w:tcW w:w="1205" w:type="dxa"/>
            <w:gridSpan w:val="3"/>
            <w:noWrap w:val="0"/>
            <w:vAlign w:val="top"/>
          </w:tcPr>
          <w:p w14:paraId="5CEF753A">
            <w:pPr>
              <w:snapToGrid w:val="0"/>
              <w:jc w:val="center"/>
              <w:rPr>
                <w:color w:val="auto"/>
                <w:sz w:val="21"/>
                <w:szCs w:val="21"/>
                <w:u w:val="single"/>
              </w:rPr>
            </w:pPr>
          </w:p>
        </w:tc>
      </w:tr>
      <w:tr w14:paraId="01C10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478EF23">
            <w:pPr>
              <w:snapToGrid w:val="0"/>
              <w:jc w:val="center"/>
              <w:rPr>
                <w:color w:val="auto"/>
                <w:sz w:val="21"/>
                <w:szCs w:val="21"/>
                <w:u w:val="single"/>
              </w:rPr>
            </w:pPr>
            <w:r>
              <w:rPr>
                <w:rFonts w:hint="eastAsia"/>
                <w:color w:val="auto"/>
                <w:sz w:val="21"/>
                <w:szCs w:val="21"/>
                <w:u w:val="single"/>
              </w:rPr>
              <w:t>7.4</w:t>
            </w:r>
          </w:p>
        </w:tc>
        <w:tc>
          <w:tcPr>
            <w:tcW w:w="7308" w:type="dxa"/>
            <w:noWrap w:val="0"/>
            <w:vAlign w:val="top"/>
          </w:tcPr>
          <w:p w14:paraId="4C06BAF9">
            <w:pPr>
              <w:snapToGrid w:val="0"/>
              <w:rPr>
                <w:color w:val="auto"/>
                <w:sz w:val="21"/>
                <w:szCs w:val="21"/>
                <w:u w:val="single"/>
              </w:rPr>
            </w:pPr>
            <w:r>
              <w:rPr>
                <w:rFonts w:hint="eastAsia"/>
                <w:color w:val="auto"/>
                <w:sz w:val="21"/>
                <w:szCs w:val="21"/>
                <w:u w:val="single"/>
              </w:rPr>
              <w:t>有限空间与其他系统连通的可能危及安全作业的管道没有采取有效隔离措施，有毒、有害气体可能通过管道进入有限空间</w:t>
            </w:r>
          </w:p>
        </w:tc>
        <w:tc>
          <w:tcPr>
            <w:tcW w:w="1205" w:type="dxa"/>
            <w:gridSpan w:val="3"/>
            <w:noWrap w:val="0"/>
            <w:vAlign w:val="top"/>
          </w:tcPr>
          <w:p w14:paraId="1C317E79">
            <w:pPr>
              <w:snapToGrid w:val="0"/>
              <w:jc w:val="center"/>
              <w:rPr>
                <w:color w:val="auto"/>
                <w:sz w:val="21"/>
                <w:szCs w:val="21"/>
                <w:u w:val="single"/>
              </w:rPr>
            </w:pPr>
          </w:p>
        </w:tc>
      </w:tr>
      <w:tr w14:paraId="51DB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95163AC">
            <w:pPr>
              <w:snapToGrid w:val="0"/>
              <w:jc w:val="center"/>
              <w:rPr>
                <w:color w:val="auto"/>
                <w:sz w:val="21"/>
                <w:szCs w:val="21"/>
                <w:u w:val="single"/>
              </w:rPr>
            </w:pPr>
            <w:r>
              <w:rPr>
                <w:rFonts w:hint="eastAsia"/>
                <w:color w:val="auto"/>
                <w:sz w:val="21"/>
                <w:szCs w:val="21"/>
                <w:u w:val="single"/>
              </w:rPr>
              <w:t>7.5</w:t>
            </w:r>
          </w:p>
        </w:tc>
        <w:tc>
          <w:tcPr>
            <w:tcW w:w="7308" w:type="dxa"/>
            <w:noWrap w:val="0"/>
            <w:vAlign w:val="top"/>
          </w:tcPr>
          <w:p w14:paraId="7D27697A">
            <w:pPr>
              <w:snapToGrid w:val="0"/>
              <w:rPr>
                <w:color w:val="auto"/>
                <w:sz w:val="21"/>
                <w:szCs w:val="21"/>
                <w:u w:val="single"/>
              </w:rPr>
            </w:pPr>
            <w:r>
              <w:rPr>
                <w:rFonts w:hint="eastAsia"/>
                <w:color w:val="auto"/>
                <w:sz w:val="21"/>
                <w:szCs w:val="21"/>
                <w:u w:val="single"/>
              </w:rPr>
              <w:t>满足有限空间安全需要的通风换气设施、人员逃生救援装备、防止火灾和塌方等设备设施不齐全</w:t>
            </w:r>
          </w:p>
        </w:tc>
        <w:tc>
          <w:tcPr>
            <w:tcW w:w="1205" w:type="dxa"/>
            <w:gridSpan w:val="3"/>
            <w:noWrap w:val="0"/>
            <w:vAlign w:val="top"/>
          </w:tcPr>
          <w:p w14:paraId="6B878034">
            <w:pPr>
              <w:snapToGrid w:val="0"/>
              <w:jc w:val="center"/>
              <w:rPr>
                <w:color w:val="auto"/>
                <w:sz w:val="21"/>
                <w:szCs w:val="21"/>
                <w:u w:val="single"/>
              </w:rPr>
            </w:pPr>
          </w:p>
        </w:tc>
      </w:tr>
      <w:tr w14:paraId="65FB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CF40B47">
            <w:pPr>
              <w:snapToGrid w:val="0"/>
              <w:jc w:val="center"/>
              <w:rPr>
                <w:color w:val="auto"/>
                <w:sz w:val="21"/>
                <w:szCs w:val="21"/>
                <w:u w:val="single"/>
              </w:rPr>
            </w:pPr>
            <w:r>
              <w:rPr>
                <w:rFonts w:hint="eastAsia"/>
                <w:color w:val="auto"/>
                <w:sz w:val="21"/>
                <w:szCs w:val="21"/>
                <w:u w:val="single"/>
              </w:rPr>
              <w:t>7.6</w:t>
            </w:r>
          </w:p>
        </w:tc>
        <w:tc>
          <w:tcPr>
            <w:tcW w:w="7308" w:type="dxa"/>
            <w:noWrap w:val="0"/>
            <w:vAlign w:val="top"/>
          </w:tcPr>
          <w:p w14:paraId="19775B8E">
            <w:pPr>
              <w:snapToGrid w:val="0"/>
              <w:rPr>
                <w:color w:val="auto"/>
                <w:sz w:val="21"/>
                <w:szCs w:val="21"/>
                <w:u w:val="single"/>
              </w:rPr>
            </w:pPr>
            <w:r>
              <w:rPr>
                <w:rFonts w:hint="eastAsia"/>
                <w:color w:val="auto"/>
                <w:sz w:val="21"/>
                <w:szCs w:val="21"/>
                <w:u w:val="single"/>
              </w:rPr>
              <w:t>有限空间作业区域无安全警示标志，出入口不畅通</w:t>
            </w:r>
          </w:p>
        </w:tc>
        <w:tc>
          <w:tcPr>
            <w:tcW w:w="1205" w:type="dxa"/>
            <w:gridSpan w:val="3"/>
            <w:noWrap w:val="0"/>
            <w:vAlign w:val="top"/>
          </w:tcPr>
          <w:p w14:paraId="62027F1C">
            <w:pPr>
              <w:snapToGrid w:val="0"/>
              <w:jc w:val="center"/>
              <w:rPr>
                <w:color w:val="auto"/>
                <w:sz w:val="21"/>
                <w:szCs w:val="21"/>
                <w:u w:val="single"/>
              </w:rPr>
            </w:pPr>
          </w:p>
        </w:tc>
      </w:tr>
      <w:tr w14:paraId="69F7C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952524A">
            <w:pPr>
              <w:snapToGrid w:val="0"/>
              <w:jc w:val="center"/>
              <w:rPr>
                <w:color w:val="auto"/>
                <w:sz w:val="21"/>
                <w:szCs w:val="21"/>
                <w:u w:val="single"/>
              </w:rPr>
            </w:pPr>
            <w:r>
              <w:rPr>
                <w:rFonts w:hint="eastAsia"/>
                <w:color w:val="auto"/>
                <w:sz w:val="21"/>
                <w:szCs w:val="21"/>
                <w:u w:val="single"/>
              </w:rPr>
              <w:t>7.7</w:t>
            </w:r>
          </w:p>
        </w:tc>
        <w:tc>
          <w:tcPr>
            <w:tcW w:w="7308" w:type="dxa"/>
            <w:noWrap w:val="0"/>
            <w:vAlign w:val="top"/>
          </w:tcPr>
          <w:p w14:paraId="7D890934">
            <w:pPr>
              <w:snapToGrid w:val="0"/>
              <w:rPr>
                <w:color w:val="auto"/>
                <w:sz w:val="21"/>
                <w:szCs w:val="21"/>
                <w:u w:val="single"/>
              </w:rPr>
            </w:pPr>
            <w:r>
              <w:rPr>
                <w:rFonts w:hint="eastAsia"/>
                <w:color w:val="auto"/>
                <w:sz w:val="21"/>
                <w:szCs w:val="21"/>
                <w:u w:val="single"/>
              </w:rPr>
              <w:t>作业时未设置专职监护人员，或监护人员私自离开</w:t>
            </w:r>
          </w:p>
        </w:tc>
        <w:tc>
          <w:tcPr>
            <w:tcW w:w="1205" w:type="dxa"/>
            <w:gridSpan w:val="3"/>
            <w:noWrap w:val="0"/>
            <w:vAlign w:val="top"/>
          </w:tcPr>
          <w:p w14:paraId="261A4EB2">
            <w:pPr>
              <w:snapToGrid w:val="0"/>
              <w:jc w:val="center"/>
              <w:rPr>
                <w:color w:val="auto"/>
                <w:sz w:val="21"/>
                <w:szCs w:val="21"/>
                <w:u w:val="single"/>
              </w:rPr>
            </w:pPr>
          </w:p>
        </w:tc>
      </w:tr>
      <w:tr w14:paraId="26AE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7689C62">
            <w:pPr>
              <w:snapToGrid w:val="0"/>
              <w:jc w:val="center"/>
              <w:rPr>
                <w:color w:val="auto"/>
                <w:sz w:val="21"/>
                <w:szCs w:val="21"/>
                <w:u w:val="single"/>
              </w:rPr>
            </w:pPr>
            <w:r>
              <w:rPr>
                <w:rFonts w:hint="eastAsia"/>
                <w:color w:val="auto"/>
                <w:sz w:val="21"/>
                <w:szCs w:val="21"/>
                <w:u w:val="single"/>
              </w:rPr>
              <w:t>7.8</w:t>
            </w:r>
          </w:p>
        </w:tc>
        <w:tc>
          <w:tcPr>
            <w:tcW w:w="7308" w:type="dxa"/>
            <w:noWrap w:val="0"/>
            <w:vAlign w:val="top"/>
          </w:tcPr>
          <w:p w14:paraId="3F933713">
            <w:pPr>
              <w:snapToGrid w:val="0"/>
              <w:rPr>
                <w:rFonts w:hint="eastAsia"/>
                <w:color w:val="auto"/>
                <w:sz w:val="21"/>
                <w:szCs w:val="21"/>
                <w:u w:val="single"/>
              </w:rPr>
            </w:pPr>
            <w:r>
              <w:rPr>
                <w:rFonts w:hint="eastAsia"/>
                <w:color w:val="auto"/>
                <w:sz w:val="21"/>
                <w:szCs w:val="21"/>
                <w:u w:val="single"/>
              </w:rPr>
              <w:t>有限空间内没有使用36V电压以下的照明，在潮湿、狭小有限空间内作业没有使用12V电压照明。</w:t>
            </w:r>
          </w:p>
        </w:tc>
        <w:tc>
          <w:tcPr>
            <w:tcW w:w="1205" w:type="dxa"/>
            <w:gridSpan w:val="3"/>
            <w:noWrap w:val="0"/>
            <w:vAlign w:val="top"/>
          </w:tcPr>
          <w:p w14:paraId="2FB25760">
            <w:pPr>
              <w:snapToGrid w:val="0"/>
              <w:jc w:val="center"/>
              <w:rPr>
                <w:color w:val="auto"/>
                <w:sz w:val="21"/>
                <w:szCs w:val="21"/>
                <w:u w:val="single"/>
              </w:rPr>
            </w:pPr>
          </w:p>
        </w:tc>
      </w:tr>
      <w:tr w14:paraId="075B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3123893">
            <w:pPr>
              <w:snapToGrid w:val="0"/>
              <w:jc w:val="center"/>
              <w:rPr>
                <w:color w:val="auto"/>
                <w:sz w:val="21"/>
                <w:szCs w:val="21"/>
                <w:u w:val="single"/>
              </w:rPr>
            </w:pPr>
            <w:r>
              <w:rPr>
                <w:rFonts w:hint="eastAsia"/>
                <w:color w:val="auto"/>
                <w:sz w:val="21"/>
                <w:szCs w:val="21"/>
                <w:u w:val="single"/>
              </w:rPr>
              <w:t>7.9</w:t>
            </w:r>
          </w:p>
        </w:tc>
        <w:tc>
          <w:tcPr>
            <w:tcW w:w="7308" w:type="dxa"/>
            <w:noWrap w:val="0"/>
            <w:vAlign w:val="top"/>
          </w:tcPr>
          <w:p w14:paraId="7C3FE973">
            <w:pPr>
              <w:snapToGrid w:val="0"/>
              <w:rPr>
                <w:rFonts w:hint="eastAsia"/>
                <w:color w:val="auto"/>
                <w:sz w:val="21"/>
                <w:szCs w:val="21"/>
                <w:u w:val="single"/>
              </w:rPr>
            </w:pPr>
            <w:r>
              <w:rPr>
                <w:rFonts w:hint="eastAsia"/>
                <w:color w:val="auto"/>
                <w:sz w:val="21"/>
                <w:szCs w:val="21"/>
                <w:u w:val="single"/>
              </w:rPr>
              <w:t>违规将行灯照明的隔离变压器带进受限空间内使用</w:t>
            </w:r>
          </w:p>
        </w:tc>
        <w:tc>
          <w:tcPr>
            <w:tcW w:w="1205" w:type="dxa"/>
            <w:gridSpan w:val="3"/>
            <w:noWrap w:val="0"/>
            <w:vAlign w:val="top"/>
          </w:tcPr>
          <w:p w14:paraId="3E2A8268">
            <w:pPr>
              <w:snapToGrid w:val="0"/>
              <w:jc w:val="center"/>
              <w:rPr>
                <w:color w:val="auto"/>
                <w:sz w:val="21"/>
                <w:szCs w:val="21"/>
                <w:u w:val="single"/>
              </w:rPr>
            </w:pPr>
          </w:p>
        </w:tc>
      </w:tr>
      <w:tr w14:paraId="5D60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4EC9B4E">
            <w:pPr>
              <w:snapToGrid w:val="0"/>
              <w:jc w:val="center"/>
              <w:rPr>
                <w:color w:val="auto"/>
                <w:sz w:val="21"/>
                <w:szCs w:val="21"/>
                <w:u w:val="single"/>
              </w:rPr>
            </w:pPr>
            <w:r>
              <w:rPr>
                <w:rFonts w:hint="eastAsia"/>
                <w:color w:val="auto"/>
                <w:sz w:val="21"/>
                <w:szCs w:val="21"/>
                <w:u w:val="single"/>
              </w:rPr>
              <w:t>7.10</w:t>
            </w:r>
          </w:p>
        </w:tc>
        <w:tc>
          <w:tcPr>
            <w:tcW w:w="7308" w:type="dxa"/>
            <w:noWrap w:val="0"/>
            <w:vAlign w:val="top"/>
          </w:tcPr>
          <w:p w14:paraId="47CF7FD7">
            <w:pPr>
              <w:snapToGrid w:val="0"/>
              <w:rPr>
                <w:rFonts w:hint="eastAsia"/>
                <w:color w:val="auto"/>
                <w:sz w:val="21"/>
                <w:szCs w:val="21"/>
                <w:u w:val="single"/>
              </w:rPr>
            </w:pPr>
            <w:r>
              <w:rPr>
                <w:rFonts w:hint="eastAsia"/>
                <w:color w:val="auto"/>
                <w:sz w:val="21"/>
                <w:szCs w:val="21"/>
                <w:u w:val="single"/>
              </w:rPr>
              <w:t>违规将氧气、乙炔等压力气瓶放置在有限空间内</w:t>
            </w:r>
          </w:p>
        </w:tc>
        <w:tc>
          <w:tcPr>
            <w:tcW w:w="1205" w:type="dxa"/>
            <w:gridSpan w:val="3"/>
            <w:noWrap w:val="0"/>
            <w:vAlign w:val="top"/>
          </w:tcPr>
          <w:p w14:paraId="0E120EAC">
            <w:pPr>
              <w:snapToGrid w:val="0"/>
              <w:jc w:val="center"/>
              <w:rPr>
                <w:color w:val="auto"/>
                <w:sz w:val="21"/>
                <w:szCs w:val="21"/>
                <w:u w:val="single"/>
              </w:rPr>
            </w:pPr>
          </w:p>
        </w:tc>
      </w:tr>
      <w:tr w14:paraId="73CF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14:paraId="26A1250A">
            <w:pPr>
              <w:snapToGrid w:val="0"/>
              <w:jc w:val="center"/>
              <w:rPr>
                <w:color w:val="auto"/>
                <w:sz w:val="21"/>
                <w:szCs w:val="21"/>
                <w:u w:val="single"/>
              </w:rPr>
            </w:pPr>
            <w:r>
              <w:rPr>
                <w:rFonts w:hint="eastAsia"/>
                <w:color w:val="auto"/>
                <w:sz w:val="21"/>
                <w:szCs w:val="21"/>
                <w:u w:val="single"/>
              </w:rPr>
              <w:t>7.11</w:t>
            </w:r>
          </w:p>
        </w:tc>
        <w:tc>
          <w:tcPr>
            <w:tcW w:w="7308" w:type="dxa"/>
            <w:noWrap w:val="0"/>
            <w:vAlign w:val="top"/>
          </w:tcPr>
          <w:p w14:paraId="020E78FD">
            <w:pPr>
              <w:snapToGrid w:val="0"/>
              <w:rPr>
                <w:rFonts w:hint="eastAsia"/>
                <w:color w:val="auto"/>
                <w:sz w:val="21"/>
                <w:szCs w:val="21"/>
                <w:u w:val="single"/>
              </w:rPr>
            </w:pPr>
            <w:r>
              <w:rPr>
                <w:rFonts w:hint="eastAsia"/>
                <w:color w:val="auto"/>
                <w:sz w:val="21"/>
                <w:szCs w:val="21"/>
                <w:u w:val="single"/>
              </w:rPr>
              <w:t>作业人员离开有限空间作业点时，没有将所有作业工器具带出。作业后关闭有限空间人孔门前没有清点作业人员和作业工器具</w:t>
            </w:r>
          </w:p>
        </w:tc>
        <w:tc>
          <w:tcPr>
            <w:tcW w:w="1205" w:type="dxa"/>
            <w:gridSpan w:val="3"/>
            <w:noWrap w:val="0"/>
            <w:vAlign w:val="top"/>
          </w:tcPr>
          <w:p w14:paraId="520510EE">
            <w:pPr>
              <w:snapToGrid w:val="0"/>
              <w:jc w:val="center"/>
              <w:rPr>
                <w:color w:val="auto"/>
                <w:sz w:val="21"/>
                <w:szCs w:val="21"/>
                <w:u w:val="single"/>
              </w:rPr>
            </w:pPr>
          </w:p>
        </w:tc>
      </w:tr>
      <w:tr w14:paraId="45D97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DE99D72">
            <w:pPr>
              <w:snapToGrid w:val="0"/>
              <w:jc w:val="center"/>
              <w:rPr>
                <w:color w:val="auto"/>
                <w:sz w:val="21"/>
                <w:szCs w:val="21"/>
                <w:u w:val="single"/>
              </w:rPr>
            </w:pPr>
          </w:p>
        </w:tc>
        <w:tc>
          <w:tcPr>
            <w:tcW w:w="7308" w:type="dxa"/>
            <w:noWrap w:val="0"/>
            <w:vAlign w:val="top"/>
          </w:tcPr>
          <w:p w14:paraId="56EE0AD3">
            <w:pPr>
              <w:snapToGrid w:val="0"/>
              <w:rPr>
                <w:color w:val="auto"/>
                <w:sz w:val="21"/>
                <w:szCs w:val="21"/>
                <w:u w:val="single"/>
              </w:rPr>
            </w:pPr>
          </w:p>
        </w:tc>
        <w:tc>
          <w:tcPr>
            <w:tcW w:w="1205" w:type="dxa"/>
            <w:gridSpan w:val="3"/>
            <w:noWrap w:val="0"/>
            <w:vAlign w:val="top"/>
          </w:tcPr>
          <w:p w14:paraId="60102FC2">
            <w:pPr>
              <w:snapToGrid w:val="0"/>
              <w:jc w:val="center"/>
              <w:rPr>
                <w:color w:val="auto"/>
                <w:sz w:val="21"/>
                <w:szCs w:val="21"/>
                <w:u w:val="single"/>
              </w:rPr>
            </w:pPr>
          </w:p>
        </w:tc>
      </w:tr>
      <w:tr w14:paraId="2313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200" w:type="dxa"/>
            <w:gridSpan w:val="5"/>
            <w:noWrap w:val="0"/>
            <w:vAlign w:val="center"/>
          </w:tcPr>
          <w:p w14:paraId="086596AE">
            <w:pPr>
              <w:snapToGrid w:val="0"/>
              <w:jc w:val="left"/>
              <w:rPr>
                <w:color w:val="auto"/>
                <w:sz w:val="21"/>
                <w:szCs w:val="21"/>
                <w:u w:val="single"/>
              </w:rPr>
            </w:pPr>
            <w:r>
              <w:rPr>
                <w:rFonts w:hint="eastAsia"/>
                <w:color w:val="auto"/>
                <w:sz w:val="21"/>
                <w:szCs w:val="21"/>
                <w:u w:val="single"/>
              </w:rPr>
              <w:t>8</w:t>
            </w:r>
            <w:r>
              <w:rPr>
                <w:color w:val="auto"/>
                <w:sz w:val="21"/>
                <w:szCs w:val="21"/>
                <w:u w:val="single"/>
              </w:rPr>
              <w:t>.交通运输    违反下列行为给予</w:t>
            </w:r>
            <w:r>
              <w:rPr>
                <w:rFonts w:hint="eastAsia"/>
                <w:color w:val="auto"/>
                <w:sz w:val="21"/>
                <w:szCs w:val="21"/>
                <w:u w:val="single"/>
                <w:lang w:val="en-US" w:eastAsia="zh-CN"/>
              </w:rPr>
              <w:t>5</w:t>
            </w:r>
            <w:r>
              <w:rPr>
                <w:color w:val="auto"/>
                <w:sz w:val="21"/>
                <w:szCs w:val="21"/>
                <w:u w:val="single"/>
              </w:rPr>
              <w:t>000-</w:t>
            </w:r>
            <w:r>
              <w:rPr>
                <w:rFonts w:hint="eastAsia"/>
                <w:color w:val="auto"/>
                <w:sz w:val="21"/>
                <w:szCs w:val="21"/>
                <w:u w:val="single"/>
                <w:lang w:val="en-US" w:eastAsia="zh-CN"/>
              </w:rPr>
              <w:t>10</w:t>
            </w:r>
            <w:r>
              <w:rPr>
                <w:color w:val="auto"/>
                <w:sz w:val="21"/>
                <w:szCs w:val="21"/>
                <w:u w:val="single"/>
              </w:rPr>
              <w:t>000元处罚</w:t>
            </w:r>
          </w:p>
        </w:tc>
      </w:tr>
      <w:tr w14:paraId="095FC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E6198B8">
            <w:pPr>
              <w:snapToGrid w:val="0"/>
              <w:jc w:val="center"/>
              <w:rPr>
                <w:color w:val="auto"/>
                <w:sz w:val="21"/>
                <w:szCs w:val="21"/>
                <w:u w:val="single"/>
              </w:rPr>
            </w:pPr>
            <w:r>
              <w:rPr>
                <w:rFonts w:hint="eastAsia"/>
                <w:color w:val="auto"/>
                <w:sz w:val="21"/>
                <w:szCs w:val="21"/>
                <w:u w:val="single"/>
              </w:rPr>
              <w:t>8</w:t>
            </w:r>
            <w:r>
              <w:rPr>
                <w:color w:val="auto"/>
                <w:sz w:val="21"/>
                <w:szCs w:val="21"/>
                <w:u w:val="single"/>
              </w:rPr>
              <w:t>.1</w:t>
            </w:r>
          </w:p>
        </w:tc>
        <w:tc>
          <w:tcPr>
            <w:tcW w:w="7371" w:type="dxa"/>
            <w:gridSpan w:val="2"/>
            <w:noWrap w:val="0"/>
            <w:vAlign w:val="top"/>
          </w:tcPr>
          <w:p w14:paraId="06CCE1E7">
            <w:pPr>
              <w:snapToGrid w:val="0"/>
              <w:rPr>
                <w:color w:val="auto"/>
                <w:sz w:val="21"/>
                <w:szCs w:val="21"/>
                <w:u w:val="single"/>
              </w:rPr>
            </w:pPr>
            <w:r>
              <w:rPr>
                <w:color w:val="auto"/>
                <w:sz w:val="21"/>
                <w:szCs w:val="21"/>
                <w:u w:val="single"/>
              </w:rPr>
              <w:t>车辆无行驶证，驾驶员无证驾驶</w:t>
            </w:r>
          </w:p>
        </w:tc>
        <w:tc>
          <w:tcPr>
            <w:tcW w:w="1142" w:type="dxa"/>
            <w:gridSpan w:val="2"/>
            <w:noWrap w:val="0"/>
            <w:vAlign w:val="top"/>
          </w:tcPr>
          <w:p w14:paraId="3C2EFC13">
            <w:pPr>
              <w:snapToGrid w:val="0"/>
              <w:jc w:val="center"/>
              <w:rPr>
                <w:color w:val="auto"/>
                <w:sz w:val="21"/>
                <w:szCs w:val="21"/>
                <w:u w:val="single"/>
              </w:rPr>
            </w:pPr>
          </w:p>
        </w:tc>
      </w:tr>
      <w:tr w14:paraId="7690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C19E606">
            <w:pPr>
              <w:snapToGrid w:val="0"/>
              <w:jc w:val="center"/>
              <w:rPr>
                <w:color w:val="auto"/>
                <w:sz w:val="21"/>
                <w:szCs w:val="21"/>
                <w:u w:val="single"/>
              </w:rPr>
            </w:pPr>
            <w:r>
              <w:rPr>
                <w:rFonts w:hint="eastAsia"/>
                <w:color w:val="auto"/>
                <w:sz w:val="21"/>
                <w:szCs w:val="21"/>
                <w:u w:val="single"/>
              </w:rPr>
              <w:t>8</w:t>
            </w:r>
            <w:r>
              <w:rPr>
                <w:color w:val="auto"/>
                <w:sz w:val="21"/>
                <w:szCs w:val="21"/>
                <w:u w:val="single"/>
              </w:rPr>
              <w:t>.2</w:t>
            </w:r>
          </w:p>
        </w:tc>
        <w:tc>
          <w:tcPr>
            <w:tcW w:w="7371" w:type="dxa"/>
            <w:gridSpan w:val="2"/>
            <w:noWrap w:val="0"/>
            <w:vAlign w:val="top"/>
          </w:tcPr>
          <w:p w14:paraId="09ABD5A9">
            <w:pPr>
              <w:snapToGrid w:val="0"/>
              <w:rPr>
                <w:color w:val="auto"/>
                <w:sz w:val="21"/>
                <w:szCs w:val="21"/>
                <w:u w:val="single"/>
              </w:rPr>
            </w:pPr>
            <w:r>
              <w:rPr>
                <w:color w:val="auto"/>
                <w:sz w:val="21"/>
                <w:szCs w:val="21"/>
                <w:u w:val="single"/>
              </w:rPr>
              <w:t>车辆状况不良，刹车、灯光装置不齐全</w:t>
            </w:r>
          </w:p>
        </w:tc>
        <w:tc>
          <w:tcPr>
            <w:tcW w:w="1142" w:type="dxa"/>
            <w:gridSpan w:val="2"/>
            <w:noWrap w:val="0"/>
            <w:vAlign w:val="top"/>
          </w:tcPr>
          <w:p w14:paraId="6520F66F">
            <w:pPr>
              <w:snapToGrid w:val="0"/>
              <w:jc w:val="center"/>
              <w:rPr>
                <w:color w:val="auto"/>
                <w:sz w:val="21"/>
                <w:szCs w:val="21"/>
                <w:u w:val="single"/>
              </w:rPr>
            </w:pPr>
          </w:p>
        </w:tc>
      </w:tr>
      <w:tr w14:paraId="101D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A5A348B">
            <w:pPr>
              <w:snapToGrid w:val="0"/>
              <w:jc w:val="center"/>
              <w:rPr>
                <w:color w:val="auto"/>
                <w:sz w:val="21"/>
                <w:szCs w:val="21"/>
                <w:u w:val="single"/>
              </w:rPr>
            </w:pPr>
            <w:r>
              <w:rPr>
                <w:rFonts w:hint="eastAsia"/>
                <w:color w:val="auto"/>
                <w:sz w:val="21"/>
                <w:szCs w:val="21"/>
                <w:u w:val="single"/>
              </w:rPr>
              <w:t>8</w:t>
            </w:r>
            <w:r>
              <w:rPr>
                <w:color w:val="auto"/>
                <w:sz w:val="21"/>
                <w:szCs w:val="21"/>
                <w:u w:val="single"/>
              </w:rPr>
              <w:t>.3</w:t>
            </w:r>
          </w:p>
        </w:tc>
        <w:tc>
          <w:tcPr>
            <w:tcW w:w="7371" w:type="dxa"/>
            <w:gridSpan w:val="2"/>
            <w:noWrap w:val="0"/>
            <w:vAlign w:val="top"/>
          </w:tcPr>
          <w:p w14:paraId="4EB31C43">
            <w:pPr>
              <w:snapToGrid w:val="0"/>
              <w:rPr>
                <w:color w:val="auto"/>
                <w:sz w:val="21"/>
                <w:szCs w:val="21"/>
                <w:u w:val="single"/>
              </w:rPr>
            </w:pPr>
            <w:r>
              <w:rPr>
                <w:color w:val="auto"/>
                <w:sz w:val="21"/>
                <w:szCs w:val="21"/>
                <w:u w:val="single"/>
              </w:rPr>
              <w:t>机动车辆超速行驶或争道、抢道</w:t>
            </w:r>
          </w:p>
        </w:tc>
        <w:tc>
          <w:tcPr>
            <w:tcW w:w="1142" w:type="dxa"/>
            <w:gridSpan w:val="2"/>
            <w:noWrap w:val="0"/>
            <w:vAlign w:val="top"/>
          </w:tcPr>
          <w:p w14:paraId="3C92441D">
            <w:pPr>
              <w:snapToGrid w:val="0"/>
              <w:jc w:val="center"/>
              <w:rPr>
                <w:color w:val="auto"/>
                <w:sz w:val="21"/>
                <w:szCs w:val="21"/>
                <w:u w:val="single"/>
              </w:rPr>
            </w:pPr>
          </w:p>
        </w:tc>
      </w:tr>
      <w:tr w14:paraId="1A2F0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A5FA899">
            <w:pPr>
              <w:snapToGrid w:val="0"/>
              <w:jc w:val="center"/>
              <w:rPr>
                <w:color w:val="auto"/>
                <w:sz w:val="21"/>
                <w:szCs w:val="21"/>
                <w:u w:val="single"/>
              </w:rPr>
            </w:pPr>
            <w:r>
              <w:rPr>
                <w:rFonts w:hint="eastAsia"/>
                <w:color w:val="auto"/>
                <w:sz w:val="21"/>
                <w:szCs w:val="21"/>
                <w:u w:val="single"/>
              </w:rPr>
              <w:t>8</w:t>
            </w:r>
            <w:r>
              <w:rPr>
                <w:color w:val="auto"/>
                <w:sz w:val="21"/>
                <w:szCs w:val="21"/>
                <w:u w:val="single"/>
              </w:rPr>
              <w:t>.4</w:t>
            </w:r>
          </w:p>
        </w:tc>
        <w:tc>
          <w:tcPr>
            <w:tcW w:w="7371" w:type="dxa"/>
            <w:gridSpan w:val="2"/>
            <w:noWrap w:val="0"/>
            <w:vAlign w:val="top"/>
          </w:tcPr>
          <w:p w14:paraId="4D4E651C">
            <w:pPr>
              <w:snapToGrid w:val="0"/>
              <w:rPr>
                <w:color w:val="auto"/>
                <w:sz w:val="21"/>
                <w:szCs w:val="21"/>
                <w:u w:val="single"/>
              </w:rPr>
            </w:pPr>
            <w:r>
              <w:rPr>
                <w:color w:val="auto"/>
                <w:sz w:val="21"/>
                <w:szCs w:val="21"/>
                <w:u w:val="single"/>
              </w:rPr>
              <w:t>人货混载</w:t>
            </w:r>
          </w:p>
        </w:tc>
        <w:tc>
          <w:tcPr>
            <w:tcW w:w="1142" w:type="dxa"/>
            <w:gridSpan w:val="2"/>
            <w:noWrap w:val="0"/>
            <w:vAlign w:val="top"/>
          </w:tcPr>
          <w:p w14:paraId="0282174E">
            <w:pPr>
              <w:snapToGrid w:val="0"/>
              <w:jc w:val="center"/>
              <w:rPr>
                <w:color w:val="auto"/>
                <w:sz w:val="21"/>
                <w:szCs w:val="21"/>
                <w:u w:val="single"/>
              </w:rPr>
            </w:pPr>
          </w:p>
        </w:tc>
      </w:tr>
      <w:tr w14:paraId="425E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AB0CBA7">
            <w:pPr>
              <w:snapToGrid w:val="0"/>
              <w:jc w:val="center"/>
              <w:rPr>
                <w:color w:val="auto"/>
                <w:sz w:val="21"/>
                <w:szCs w:val="21"/>
                <w:u w:val="single"/>
              </w:rPr>
            </w:pPr>
            <w:r>
              <w:rPr>
                <w:rFonts w:hint="eastAsia"/>
                <w:color w:val="auto"/>
                <w:sz w:val="21"/>
                <w:szCs w:val="21"/>
                <w:u w:val="single"/>
              </w:rPr>
              <w:t>8</w:t>
            </w:r>
            <w:r>
              <w:rPr>
                <w:color w:val="auto"/>
                <w:sz w:val="21"/>
                <w:szCs w:val="21"/>
                <w:u w:val="single"/>
              </w:rPr>
              <w:t>.5</w:t>
            </w:r>
          </w:p>
        </w:tc>
        <w:tc>
          <w:tcPr>
            <w:tcW w:w="7371" w:type="dxa"/>
            <w:gridSpan w:val="2"/>
            <w:noWrap w:val="0"/>
            <w:vAlign w:val="top"/>
          </w:tcPr>
          <w:p w14:paraId="0C891E4B">
            <w:pPr>
              <w:snapToGrid w:val="0"/>
              <w:rPr>
                <w:color w:val="auto"/>
                <w:sz w:val="21"/>
                <w:szCs w:val="21"/>
                <w:u w:val="single"/>
              </w:rPr>
            </w:pPr>
            <w:r>
              <w:rPr>
                <w:color w:val="auto"/>
                <w:sz w:val="21"/>
                <w:szCs w:val="21"/>
                <w:u w:val="single"/>
              </w:rPr>
              <w:t>在装载机货斗、货车、叉车等违规搭人</w:t>
            </w:r>
          </w:p>
        </w:tc>
        <w:tc>
          <w:tcPr>
            <w:tcW w:w="1142" w:type="dxa"/>
            <w:gridSpan w:val="2"/>
            <w:noWrap w:val="0"/>
            <w:vAlign w:val="top"/>
          </w:tcPr>
          <w:p w14:paraId="57AA199E">
            <w:pPr>
              <w:snapToGrid w:val="0"/>
              <w:jc w:val="center"/>
              <w:rPr>
                <w:color w:val="auto"/>
                <w:sz w:val="21"/>
                <w:szCs w:val="21"/>
                <w:u w:val="single"/>
              </w:rPr>
            </w:pPr>
          </w:p>
        </w:tc>
      </w:tr>
      <w:tr w14:paraId="0A7D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53B4909">
            <w:pPr>
              <w:snapToGrid w:val="0"/>
              <w:jc w:val="center"/>
              <w:rPr>
                <w:color w:val="auto"/>
                <w:sz w:val="21"/>
                <w:szCs w:val="21"/>
                <w:u w:val="single"/>
              </w:rPr>
            </w:pPr>
            <w:r>
              <w:rPr>
                <w:rFonts w:hint="eastAsia"/>
                <w:color w:val="auto"/>
                <w:sz w:val="21"/>
                <w:szCs w:val="21"/>
                <w:u w:val="single"/>
              </w:rPr>
              <w:t>8</w:t>
            </w:r>
            <w:r>
              <w:rPr>
                <w:color w:val="auto"/>
                <w:sz w:val="21"/>
                <w:szCs w:val="21"/>
                <w:u w:val="single"/>
              </w:rPr>
              <w:t>.6</w:t>
            </w:r>
          </w:p>
        </w:tc>
        <w:tc>
          <w:tcPr>
            <w:tcW w:w="7371" w:type="dxa"/>
            <w:gridSpan w:val="2"/>
            <w:noWrap w:val="0"/>
            <w:vAlign w:val="top"/>
          </w:tcPr>
          <w:p w14:paraId="62FB2E0F">
            <w:pPr>
              <w:snapToGrid w:val="0"/>
              <w:rPr>
                <w:color w:val="auto"/>
                <w:sz w:val="21"/>
                <w:szCs w:val="21"/>
                <w:u w:val="single"/>
              </w:rPr>
            </w:pPr>
            <w:r>
              <w:rPr>
                <w:color w:val="auto"/>
                <w:sz w:val="21"/>
                <w:szCs w:val="21"/>
                <w:u w:val="single"/>
              </w:rPr>
              <w:t>危险品运输时未办理相关手续</w:t>
            </w:r>
          </w:p>
        </w:tc>
        <w:tc>
          <w:tcPr>
            <w:tcW w:w="1142" w:type="dxa"/>
            <w:gridSpan w:val="2"/>
            <w:noWrap w:val="0"/>
            <w:vAlign w:val="top"/>
          </w:tcPr>
          <w:p w14:paraId="2CC76C83">
            <w:pPr>
              <w:snapToGrid w:val="0"/>
              <w:jc w:val="center"/>
              <w:rPr>
                <w:color w:val="auto"/>
                <w:sz w:val="21"/>
                <w:szCs w:val="21"/>
                <w:u w:val="single"/>
              </w:rPr>
            </w:pPr>
          </w:p>
        </w:tc>
      </w:tr>
      <w:tr w14:paraId="681F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200" w:type="dxa"/>
            <w:gridSpan w:val="5"/>
            <w:noWrap w:val="0"/>
            <w:vAlign w:val="top"/>
          </w:tcPr>
          <w:p w14:paraId="01D73F1C">
            <w:pPr>
              <w:snapToGrid w:val="0"/>
              <w:rPr>
                <w:color w:val="auto"/>
                <w:sz w:val="21"/>
                <w:szCs w:val="21"/>
                <w:u w:val="single"/>
              </w:rPr>
            </w:pPr>
            <w:r>
              <w:rPr>
                <w:rFonts w:hint="eastAsia"/>
                <w:color w:val="auto"/>
                <w:sz w:val="21"/>
                <w:szCs w:val="21"/>
                <w:u w:val="single"/>
              </w:rPr>
              <w:t>9</w:t>
            </w:r>
            <w:r>
              <w:rPr>
                <w:color w:val="auto"/>
                <w:sz w:val="21"/>
                <w:szCs w:val="21"/>
                <w:u w:val="single"/>
              </w:rPr>
              <w:t>.焊接与切割    违反下列行为给予</w:t>
            </w:r>
            <w:r>
              <w:rPr>
                <w:rFonts w:hint="eastAsia"/>
                <w:color w:val="auto"/>
                <w:sz w:val="21"/>
                <w:szCs w:val="21"/>
                <w:u w:val="single"/>
                <w:lang w:val="en-US" w:eastAsia="zh-CN"/>
              </w:rPr>
              <w:t>5</w:t>
            </w:r>
            <w:r>
              <w:rPr>
                <w:color w:val="auto"/>
                <w:sz w:val="21"/>
                <w:szCs w:val="21"/>
                <w:u w:val="single"/>
              </w:rPr>
              <w:t>000-</w:t>
            </w:r>
            <w:r>
              <w:rPr>
                <w:rFonts w:hint="eastAsia"/>
                <w:color w:val="auto"/>
                <w:sz w:val="21"/>
                <w:szCs w:val="21"/>
                <w:u w:val="single"/>
                <w:lang w:val="en-US" w:eastAsia="zh-CN"/>
              </w:rPr>
              <w:t>10</w:t>
            </w:r>
            <w:r>
              <w:rPr>
                <w:color w:val="auto"/>
                <w:sz w:val="21"/>
                <w:szCs w:val="21"/>
                <w:u w:val="single"/>
              </w:rPr>
              <w:t>000元处罚</w:t>
            </w:r>
          </w:p>
        </w:tc>
      </w:tr>
      <w:tr w14:paraId="6487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41718D2">
            <w:pPr>
              <w:snapToGrid w:val="0"/>
              <w:jc w:val="center"/>
              <w:rPr>
                <w:color w:val="auto"/>
                <w:sz w:val="21"/>
                <w:szCs w:val="21"/>
                <w:u w:val="single"/>
              </w:rPr>
            </w:pPr>
            <w:r>
              <w:rPr>
                <w:rFonts w:hint="eastAsia"/>
                <w:color w:val="auto"/>
                <w:sz w:val="21"/>
                <w:szCs w:val="21"/>
                <w:u w:val="single"/>
              </w:rPr>
              <w:t>9</w:t>
            </w:r>
            <w:r>
              <w:rPr>
                <w:color w:val="auto"/>
                <w:sz w:val="21"/>
                <w:szCs w:val="21"/>
                <w:u w:val="single"/>
              </w:rPr>
              <w:t>.1</w:t>
            </w:r>
          </w:p>
        </w:tc>
        <w:tc>
          <w:tcPr>
            <w:tcW w:w="7371" w:type="dxa"/>
            <w:gridSpan w:val="2"/>
            <w:noWrap w:val="0"/>
            <w:vAlign w:val="top"/>
          </w:tcPr>
          <w:p w14:paraId="360F962D">
            <w:pPr>
              <w:snapToGrid w:val="0"/>
              <w:rPr>
                <w:color w:val="auto"/>
                <w:sz w:val="21"/>
                <w:szCs w:val="21"/>
                <w:u w:val="single"/>
              </w:rPr>
            </w:pPr>
            <w:r>
              <w:rPr>
                <w:color w:val="auto"/>
                <w:sz w:val="21"/>
                <w:szCs w:val="21"/>
                <w:u w:val="single"/>
              </w:rPr>
              <w:t>焊工施焊未戴手套，高空作业未做好防止焊花飞溅措施</w:t>
            </w:r>
          </w:p>
        </w:tc>
        <w:tc>
          <w:tcPr>
            <w:tcW w:w="1142" w:type="dxa"/>
            <w:gridSpan w:val="2"/>
            <w:noWrap w:val="0"/>
            <w:vAlign w:val="top"/>
          </w:tcPr>
          <w:p w14:paraId="0D15AF88">
            <w:pPr>
              <w:snapToGrid w:val="0"/>
              <w:jc w:val="center"/>
              <w:rPr>
                <w:color w:val="auto"/>
                <w:sz w:val="21"/>
                <w:szCs w:val="21"/>
                <w:u w:val="single"/>
              </w:rPr>
            </w:pPr>
          </w:p>
        </w:tc>
      </w:tr>
      <w:tr w14:paraId="031F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9FAB9D8">
            <w:pPr>
              <w:snapToGrid w:val="0"/>
              <w:jc w:val="center"/>
              <w:rPr>
                <w:color w:val="auto"/>
                <w:sz w:val="21"/>
                <w:szCs w:val="21"/>
                <w:u w:val="single"/>
              </w:rPr>
            </w:pPr>
            <w:r>
              <w:rPr>
                <w:rFonts w:hint="eastAsia"/>
                <w:color w:val="auto"/>
                <w:sz w:val="21"/>
                <w:szCs w:val="21"/>
                <w:u w:val="single"/>
              </w:rPr>
              <w:t>9</w:t>
            </w:r>
            <w:r>
              <w:rPr>
                <w:color w:val="auto"/>
                <w:sz w:val="21"/>
                <w:szCs w:val="21"/>
                <w:u w:val="single"/>
              </w:rPr>
              <w:t>.2</w:t>
            </w:r>
          </w:p>
        </w:tc>
        <w:tc>
          <w:tcPr>
            <w:tcW w:w="7371" w:type="dxa"/>
            <w:gridSpan w:val="2"/>
            <w:noWrap w:val="0"/>
            <w:vAlign w:val="top"/>
          </w:tcPr>
          <w:p w14:paraId="56BCA828">
            <w:pPr>
              <w:snapToGrid w:val="0"/>
              <w:rPr>
                <w:color w:val="auto"/>
                <w:sz w:val="21"/>
                <w:szCs w:val="21"/>
                <w:u w:val="single"/>
              </w:rPr>
            </w:pPr>
            <w:r>
              <w:rPr>
                <w:color w:val="auto"/>
                <w:sz w:val="21"/>
                <w:szCs w:val="21"/>
                <w:u w:val="single"/>
              </w:rPr>
              <w:t>不关乙炔、氧气气瓶、管道阀门，使用胶管拆弯方法切断供气</w:t>
            </w:r>
          </w:p>
        </w:tc>
        <w:tc>
          <w:tcPr>
            <w:tcW w:w="1142" w:type="dxa"/>
            <w:gridSpan w:val="2"/>
            <w:noWrap w:val="0"/>
            <w:vAlign w:val="top"/>
          </w:tcPr>
          <w:p w14:paraId="65B182D0">
            <w:pPr>
              <w:snapToGrid w:val="0"/>
              <w:jc w:val="center"/>
              <w:rPr>
                <w:color w:val="auto"/>
                <w:sz w:val="21"/>
                <w:szCs w:val="21"/>
                <w:u w:val="single"/>
              </w:rPr>
            </w:pPr>
          </w:p>
        </w:tc>
      </w:tr>
      <w:tr w14:paraId="4517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AB278BE">
            <w:pPr>
              <w:snapToGrid w:val="0"/>
              <w:jc w:val="center"/>
              <w:rPr>
                <w:color w:val="auto"/>
                <w:sz w:val="21"/>
                <w:szCs w:val="21"/>
                <w:u w:val="single"/>
              </w:rPr>
            </w:pPr>
            <w:r>
              <w:rPr>
                <w:rFonts w:hint="eastAsia"/>
                <w:color w:val="auto"/>
                <w:sz w:val="21"/>
                <w:szCs w:val="21"/>
                <w:u w:val="single"/>
                <w:lang w:val="en-US" w:eastAsia="zh-CN"/>
              </w:rPr>
              <w:t>9</w:t>
            </w:r>
            <w:r>
              <w:rPr>
                <w:color w:val="auto"/>
                <w:sz w:val="21"/>
                <w:szCs w:val="21"/>
                <w:u w:val="single"/>
              </w:rPr>
              <w:t>.3</w:t>
            </w:r>
          </w:p>
        </w:tc>
        <w:tc>
          <w:tcPr>
            <w:tcW w:w="7371" w:type="dxa"/>
            <w:gridSpan w:val="2"/>
            <w:noWrap w:val="0"/>
            <w:vAlign w:val="top"/>
          </w:tcPr>
          <w:p w14:paraId="2F621EC3">
            <w:pPr>
              <w:snapToGrid w:val="0"/>
              <w:rPr>
                <w:color w:val="auto"/>
                <w:sz w:val="21"/>
                <w:szCs w:val="21"/>
                <w:u w:val="single"/>
              </w:rPr>
            </w:pPr>
            <w:r>
              <w:rPr>
                <w:color w:val="auto"/>
                <w:sz w:val="21"/>
                <w:szCs w:val="21"/>
                <w:u w:val="single"/>
              </w:rPr>
              <w:t>乙炔、氧气气瓶未做好防晒措施，乙炔气瓶横放、无回火器，乙炔、氧气胶管绑扎不牢</w:t>
            </w:r>
          </w:p>
        </w:tc>
        <w:tc>
          <w:tcPr>
            <w:tcW w:w="1142" w:type="dxa"/>
            <w:gridSpan w:val="2"/>
            <w:noWrap w:val="0"/>
            <w:vAlign w:val="top"/>
          </w:tcPr>
          <w:p w14:paraId="020A21AB">
            <w:pPr>
              <w:snapToGrid w:val="0"/>
              <w:jc w:val="center"/>
              <w:rPr>
                <w:color w:val="auto"/>
                <w:sz w:val="21"/>
                <w:szCs w:val="21"/>
                <w:u w:val="single"/>
              </w:rPr>
            </w:pPr>
          </w:p>
        </w:tc>
      </w:tr>
      <w:tr w14:paraId="46CD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C7F1EB4">
            <w:pPr>
              <w:snapToGrid w:val="0"/>
              <w:jc w:val="center"/>
              <w:rPr>
                <w:color w:val="auto"/>
                <w:sz w:val="21"/>
                <w:szCs w:val="21"/>
                <w:u w:val="single"/>
              </w:rPr>
            </w:pPr>
            <w:r>
              <w:rPr>
                <w:rFonts w:hint="eastAsia"/>
                <w:color w:val="auto"/>
                <w:sz w:val="21"/>
                <w:szCs w:val="21"/>
                <w:u w:val="single"/>
              </w:rPr>
              <w:t>9</w:t>
            </w:r>
            <w:r>
              <w:rPr>
                <w:color w:val="auto"/>
                <w:sz w:val="21"/>
                <w:szCs w:val="21"/>
                <w:u w:val="single"/>
              </w:rPr>
              <w:t>.4</w:t>
            </w:r>
          </w:p>
        </w:tc>
        <w:tc>
          <w:tcPr>
            <w:tcW w:w="7371" w:type="dxa"/>
            <w:gridSpan w:val="2"/>
            <w:noWrap w:val="0"/>
            <w:vAlign w:val="top"/>
          </w:tcPr>
          <w:p w14:paraId="45191E0A">
            <w:pPr>
              <w:snapToGrid w:val="0"/>
              <w:rPr>
                <w:color w:val="auto"/>
                <w:sz w:val="21"/>
                <w:szCs w:val="21"/>
                <w:u w:val="single"/>
              </w:rPr>
            </w:pPr>
            <w:r>
              <w:rPr>
                <w:color w:val="auto"/>
                <w:sz w:val="21"/>
                <w:szCs w:val="21"/>
                <w:u w:val="single"/>
              </w:rPr>
              <w:t>焊接、切割地点10米内存放易燃易爆物品，乙炔、氧气气瓶间距小于5米</w:t>
            </w:r>
          </w:p>
        </w:tc>
        <w:tc>
          <w:tcPr>
            <w:tcW w:w="1142" w:type="dxa"/>
            <w:gridSpan w:val="2"/>
            <w:noWrap w:val="0"/>
            <w:vAlign w:val="top"/>
          </w:tcPr>
          <w:p w14:paraId="335E69F0">
            <w:pPr>
              <w:snapToGrid w:val="0"/>
              <w:jc w:val="center"/>
              <w:rPr>
                <w:color w:val="auto"/>
                <w:sz w:val="21"/>
                <w:szCs w:val="21"/>
                <w:u w:val="single"/>
              </w:rPr>
            </w:pPr>
          </w:p>
        </w:tc>
      </w:tr>
      <w:tr w14:paraId="55CE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C0AD25D">
            <w:pPr>
              <w:snapToGrid w:val="0"/>
              <w:jc w:val="center"/>
              <w:rPr>
                <w:color w:val="auto"/>
                <w:sz w:val="21"/>
                <w:szCs w:val="21"/>
                <w:u w:val="single"/>
              </w:rPr>
            </w:pPr>
            <w:r>
              <w:rPr>
                <w:rFonts w:hint="eastAsia"/>
                <w:color w:val="auto"/>
                <w:sz w:val="21"/>
                <w:szCs w:val="21"/>
                <w:u w:val="single"/>
              </w:rPr>
              <w:t>9</w:t>
            </w:r>
            <w:r>
              <w:rPr>
                <w:color w:val="auto"/>
                <w:sz w:val="21"/>
                <w:szCs w:val="21"/>
                <w:u w:val="single"/>
              </w:rPr>
              <w:t>.5</w:t>
            </w:r>
          </w:p>
        </w:tc>
        <w:tc>
          <w:tcPr>
            <w:tcW w:w="7371" w:type="dxa"/>
            <w:gridSpan w:val="2"/>
            <w:noWrap w:val="0"/>
            <w:vAlign w:val="top"/>
          </w:tcPr>
          <w:p w14:paraId="55E7113E">
            <w:pPr>
              <w:snapToGrid w:val="0"/>
              <w:rPr>
                <w:color w:val="auto"/>
                <w:sz w:val="21"/>
                <w:szCs w:val="21"/>
                <w:u w:val="single"/>
              </w:rPr>
            </w:pPr>
            <w:r>
              <w:rPr>
                <w:color w:val="auto"/>
                <w:sz w:val="21"/>
                <w:szCs w:val="21"/>
                <w:u w:val="single"/>
              </w:rPr>
              <w:t>对盛装油脂、可燃液体进行焊接、切割时未采取冲洗和置换措施</w:t>
            </w:r>
          </w:p>
        </w:tc>
        <w:tc>
          <w:tcPr>
            <w:tcW w:w="1142" w:type="dxa"/>
            <w:gridSpan w:val="2"/>
            <w:noWrap w:val="0"/>
            <w:vAlign w:val="top"/>
          </w:tcPr>
          <w:p w14:paraId="26F18B68">
            <w:pPr>
              <w:snapToGrid w:val="0"/>
              <w:jc w:val="center"/>
              <w:rPr>
                <w:color w:val="auto"/>
                <w:sz w:val="21"/>
                <w:szCs w:val="21"/>
                <w:u w:val="single"/>
              </w:rPr>
            </w:pPr>
          </w:p>
        </w:tc>
      </w:tr>
      <w:tr w14:paraId="73B8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9200" w:type="dxa"/>
            <w:gridSpan w:val="5"/>
            <w:noWrap w:val="0"/>
            <w:vAlign w:val="center"/>
          </w:tcPr>
          <w:p w14:paraId="004B7D87">
            <w:pPr>
              <w:snapToGrid w:val="0"/>
              <w:jc w:val="left"/>
              <w:rPr>
                <w:color w:val="auto"/>
                <w:sz w:val="21"/>
                <w:szCs w:val="21"/>
                <w:u w:val="single"/>
              </w:rPr>
            </w:pPr>
            <w:r>
              <w:rPr>
                <w:rFonts w:hint="eastAsia"/>
                <w:color w:val="auto"/>
                <w:sz w:val="21"/>
                <w:szCs w:val="21"/>
                <w:u w:val="single"/>
              </w:rPr>
              <w:t>10</w:t>
            </w:r>
            <w:r>
              <w:rPr>
                <w:color w:val="auto"/>
                <w:sz w:val="21"/>
                <w:szCs w:val="21"/>
                <w:u w:val="single"/>
              </w:rPr>
              <w:t>.修配加工与小型机具   违反下列行为给予</w:t>
            </w:r>
            <w:r>
              <w:rPr>
                <w:rFonts w:hint="eastAsia"/>
                <w:color w:val="auto"/>
                <w:sz w:val="21"/>
                <w:szCs w:val="21"/>
                <w:u w:val="single"/>
                <w:lang w:val="en-US" w:eastAsia="zh-CN"/>
              </w:rPr>
              <w:t>5</w:t>
            </w:r>
            <w:r>
              <w:rPr>
                <w:color w:val="auto"/>
                <w:sz w:val="21"/>
                <w:szCs w:val="21"/>
                <w:u w:val="single"/>
              </w:rPr>
              <w:t>000-</w:t>
            </w:r>
            <w:r>
              <w:rPr>
                <w:rFonts w:hint="eastAsia"/>
                <w:color w:val="auto"/>
                <w:sz w:val="21"/>
                <w:szCs w:val="21"/>
                <w:u w:val="single"/>
                <w:lang w:val="en-US" w:eastAsia="zh-CN"/>
              </w:rPr>
              <w:t>10</w:t>
            </w:r>
            <w:r>
              <w:rPr>
                <w:color w:val="auto"/>
                <w:sz w:val="21"/>
                <w:szCs w:val="21"/>
                <w:u w:val="single"/>
              </w:rPr>
              <w:t>000元处罚</w:t>
            </w:r>
          </w:p>
        </w:tc>
      </w:tr>
      <w:tr w14:paraId="5F940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05A7646">
            <w:pPr>
              <w:snapToGrid w:val="0"/>
              <w:jc w:val="center"/>
              <w:rPr>
                <w:color w:val="auto"/>
                <w:sz w:val="21"/>
                <w:szCs w:val="21"/>
                <w:u w:val="single"/>
              </w:rPr>
            </w:pPr>
            <w:r>
              <w:rPr>
                <w:rFonts w:hint="eastAsia"/>
                <w:color w:val="auto"/>
                <w:sz w:val="21"/>
                <w:szCs w:val="21"/>
                <w:u w:val="single"/>
              </w:rPr>
              <w:t>10</w:t>
            </w:r>
            <w:r>
              <w:rPr>
                <w:color w:val="auto"/>
                <w:sz w:val="21"/>
                <w:szCs w:val="21"/>
                <w:u w:val="single"/>
              </w:rPr>
              <w:t>.1</w:t>
            </w:r>
          </w:p>
        </w:tc>
        <w:tc>
          <w:tcPr>
            <w:tcW w:w="7371" w:type="dxa"/>
            <w:gridSpan w:val="2"/>
            <w:noWrap w:val="0"/>
            <w:vAlign w:val="top"/>
          </w:tcPr>
          <w:p w14:paraId="38B8DE19">
            <w:pPr>
              <w:snapToGrid w:val="0"/>
              <w:rPr>
                <w:color w:val="auto"/>
                <w:sz w:val="21"/>
                <w:szCs w:val="21"/>
                <w:u w:val="single"/>
              </w:rPr>
            </w:pPr>
            <w:r>
              <w:rPr>
                <w:color w:val="auto"/>
                <w:sz w:val="21"/>
                <w:szCs w:val="21"/>
                <w:u w:val="single"/>
              </w:rPr>
              <w:t>机具安全装置不齐全</w:t>
            </w:r>
          </w:p>
        </w:tc>
        <w:tc>
          <w:tcPr>
            <w:tcW w:w="1142" w:type="dxa"/>
            <w:gridSpan w:val="2"/>
            <w:noWrap w:val="0"/>
            <w:vAlign w:val="top"/>
          </w:tcPr>
          <w:p w14:paraId="0A377534">
            <w:pPr>
              <w:snapToGrid w:val="0"/>
              <w:jc w:val="center"/>
              <w:rPr>
                <w:color w:val="auto"/>
                <w:sz w:val="21"/>
                <w:szCs w:val="21"/>
                <w:u w:val="single"/>
              </w:rPr>
            </w:pPr>
          </w:p>
        </w:tc>
      </w:tr>
      <w:tr w14:paraId="512E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A499526">
            <w:pPr>
              <w:snapToGrid w:val="0"/>
              <w:jc w:val="center"/>
              <w:rPr>
                <w:color w:val="auto"/>
                <w:sz w:val="21"/>
                <w:szCs w:val="21"/>
                <w:u w:val="single"/>
              </w:rPr>
            </w:pPr>
            <w:r>
              <w:rPr>
                <w:rFonts w:hint="eastAsia"/>
                <w:color w:val="auto"/>
                <w:sz w:val="21"/>
                <w:szCs w:val="21"/>
                <w:u w:val="single"/>
              </w:rPr>
              <w:t>10</w:t>
            </w:r>
            <w:r>
              <w:rPr>
                <w:color w:val="auto"/>
                <w:sz w:val="21"/>
                <w:szCs w:val="21"/>
                <w:u w:val="single"/>
              </w:rPr>
              <w:t>.2</w:t>
            </w:r>
          </w:p>
        </w:tc>
        <w:tc>
          <w:tcPr>
            <w:tcW w:w="7371" w:type="dxa"/>
            <w:gridSpan w:val="2"/>
            <w:noWrap w:val="0"/>
            <w:vAlign w:val="top"/>
          </w:tcPr>
          <w:p w14:paraId="37108AC8">
            <w:pPr>
              <w:snapToGrid w:val="0"/>
              <w:rPr>
                <w:color w:val="auto"/>
                <w:sz w:val="21"/>
                <w:szCs w:val="21"/>
                <w:u w:val="single"/>
              </w:rPr>
            </w:pPr>
            <w:r>
              <w:rPr>
                <w:color w:val="auto"/>
                <w:sz w:val="21"/>
                <w:szCs w:val="21"/>
                <w:u w:val="single"/>
              </w:rPr>
              <w:t>打锤时戴手套，挥动方向对人</w:t>
            </w:r>
          </w:p>
        </w:tc>
        <w:tc>
          <w:tcPr>
            <w:tcW w:w="1142" w:type="dxa"/>
            <w:gridSpan w:val="2"/>
            <w:noWrap w:val="0"/>
            <w:vAlign w:val="top"/>
          </w:tcPr>
          <w:p w14:paraId="303C9A27">
            <w:pPr>
              <w:snapToGrid w:val="0"/>
              <w:jc w:val="center"/>
              <w:rPr>
                <w:color w:val="auto"/>
                <w:sz w:val="21"/>
                <w:szCs w:val="21"/>
                <w:u w:val="single"/>
              </w:rPr>
            </w:pPr>
          </w:p>
        </w:tc>
      </w:tr>
      <w:tr w14:paraId="0247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31505BD">
            <w:pPr>
              <w:snapToGrid w:val="0"/>
              <w:jc w:val="center"/>
              <w:rPr>
                <w:color w:val="auto"/>
                <w:sz w:val="21"/>
                <w:szCs w:val="21"/>
                <w:u w:val="single"/>
              </w:rPr>
            </w:pPr>
            <w:r>
              <w:rPr>
                <w:rFonts w:hint="eastAsia"/>
                <w:color w:val="auto"/>
                <w:sz w:val="21"/>
                <w:szCs w:val="21"/>
                <w:u w:val="single"/>
              </w:rPr>
              <w:t>10</w:t>
            </w:r>
            <w:r>
              <w:rPr>
                <w:color w:val="auto"/>
                <w:sz w:val="21"/>
                <w:szCs w:val="21"/>
                <w:u w:val="single"/>
              </w:rPr>
              <w:t>.3</w:t>
            </w:r>
          </w:p>
        </w:tc>
        <w:tc>
          <w:tcPr>
            <w:tcW w:w="7371" w:type="dxa"/>
            <w:gridSpan w:val="2"/>
            <w:noWrap w:val="0"/>
            <w:vAlign w:val="top"/>
          </w:tcPr>
          <w:p w14:paraId="0F220BA6">
            <w:pPr>
              <w:snapToGrid w:val="0"/>
              <w:rPr>
                <w:color w:val="auto"/>
                <w:sz w:val="21"/>
                <w:szCs w:val="21"/>
                <w:u w:val="single"/>
              </w:rPr>
            </w:pPr>
            <w:r>
              <w:rPr>
                <w:color w:val="auto"/>
                <w:sz w:val="21"/>
                <w:szCs w:val="21"/>
                <w:u w:val="single"/>
              </w:rPr>
              <w:t>穿手套操作车、刨、钻、铣、弯、切机械设备</w:t>
            </w:r>
          </w:p>
        </w:tc>
        <w:tc>
          <w:tcPr>
            <w:tcW w:w="1142" w:type="dxa"/>
            <w:gridSpan w:val="2"/>
            <w:noWrap w:val="0"/>
            <w:vAlign w:val="top"/>
          </w:tcPr>
          <w:p w14:paraId="17D89B63">
            <w:pPr>
              <w:snapToGrid w:val="0"/>
              <w:jc w:val="center"/>
              <w:rPr>
                <w:color w:val="auto"/>
                <w:sz w:val="21"/>
                <w:szCs w:val="21"/>
                <w:u w:val="single"/>
              </w:rPr>
            </w:pPr>
          </w:p>
        </w:tc>
      </w:tr>
      <w:tr w14:paraId="73FA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8AD83FD">
            <w:pPr>
              <w:snapToGrid w:val="0"/>
              <w:jc w:val="center"/>
              <w:rPr>
                <w:color w:val="auto"/>
                <w:sz w:val="21"/>
                <w:szCs w:val="21"/>
                <w:u w:val="single"/>
              </w:rPr>
            </w:pPr>
            <w:r>
              <w:rPr>
                <w:rFonts w:hint="eastAsia"/>
                <w:color w:val="auto"/>
                <w:sz w:val="21"/>
                <w:szCs w:val="21"/>
                <w:u w:val="single"/>
              </w:rPr>
              <w:t>10</w:t>
            </w:r>
            <w:r>
              <w:rPr>
                <w:color w:val="auto"/>
                <w:sz w:val="21"/>
                <w:szCs w:val="21"/>
                <w:u w:val="single"/>
              </w:rPr>
              <w:t>.4</w:t>
            </w:r>
          </w:p>
        </w:tc>
        <w:tc>
          <w:tcPr>
            <w:tcW w:w="7371" w:type="dxa"/>
            <w:gridSpan w:val="2"/>
            <w:noWrap w:val="0"/>
            <w:vAlign w:val="top"/>
          </w:tcPr>
          <w:p w14:paraId="2AE72B8D">
            <w:pPr>
              <w:snapToGrid w:val="0"/>
              <w:rPr>
                <w:color w:val="auto"/>
                <w:sz w:val="21"/>
                <w:szCs w:val="21"/>
                <w:u w:val="single"/>
              </w:rPr>
            </w:pPr>
            <w:r>
              <w:rPr>
                <w:color w:val="auto"/>
                <w:sz w:val="21"/>
                <w:szCs w:val="21"/>
                <w:u w:val="single"/>
              </w:rPr>
              <w:t>使用有裂纹或磨损超标的砂轮片，使用切割砂轮片进行打磨</w:t>
            </w:r>
          </w:p>
        </w:tc>
        <w:tc>
          <w:tcPr>
            <w:tcW w:w="1142" w:type="dxa"/>
            <w:gridSpan w:val="2"/>
            <w:noWrap w:val="0"/>
            <w:vAlign w:val="top"/>
          </w:tcPr>
          <w:p w14:paraId="3AC34ACA">
            <w:pPr>
              <w:snapToGrid w:val="0"/>
              <w:jc w:val="center"/>
              <w:rPr>
                <w:color w:val="auto"/>
                <w:sz w:val="21"/>
                <w:szCs w:val="21"/>
                <w:u w:val="single"/>
              </w:rPr>
            </w:pPr>
          </w:p>
        </w:tc>
      </w:tr>
      <w:tr w14:paraId="743C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09DFFE8">
            <w:pPr>
              <w:snapToGrid w:val="0"/>
              <w:jc w:val="center"/>
              <w:rPr>
                <w:color w:val="auto"/>
                <w:sz w:val="21"/>
                <w:szCs w:val="21"/>
                <w:u w:val="single"/>
              </w:rPr>
            </w:pPr>
            <w:r>
              <w:rPr>
                <w:rFonts w:hint="eastAsia"/>
                <w:color w:val="auto"/>
                <w:sz w:val="21"/>
                <w:szCs w:val="21"/>
                <w:u w:val="single"/>
              </w:rPr>
              <w:t>10</w:t>
            </w:r>
            <w:r>
              <w:rPr>
                <w:color w:val="auto"/>
                <w:sz w:val="21"/>
                <w:szCs w:val="21"/>
                <w:u w:val="single"/>
              </w:rPr>
              <w:t>.5</w:t>
            </w:r>
          </w:p>
        </w:tc>
        <w:tc>
          <w:tcPr>
            <w:tcW w:w="7371" w:type="dxa"/>
            <w:gridSpan w:val="2"/>
            <w:noWrap w:val="0"/>
            <w:vAlign w:val="top"/>
          </w:tcPr>
          <w:p w14:paraId="10F0C262">
            <w:pPr>
              <w:snapToGrid w:val="0"/>
              <w:rPr>
                <w:color w:val="auto"/>
                <w:sz w:val="21"/>
                <w:szCs w:val="21"/>
                <w:u w:val="single"/>
              </w:rPr>
            </w:pPr>
            <w:r>
              <w:rPr>
                <w:color w:val="auto"/>
                <w:sz w:val="21"/>
                <w:szCs w:val="21"/>
                <w:u w:val="single"/>
              </w:rPr>
              <w:t>潜水泵运行时进入坑池</w:t>
            </w:r>
          </w:p>
        </w:tc>
        <w:tc>
          <w:tcPr>
            <w:tcW w:w="1142" w:type="dxa"/>
            <w:gridSpan w:val="2"/>
            <w:noWrap w:val="0"/>
            <w:vAlign w:val="top"/>
          </w:tcPr>
          <w:p w14:paraId="4C126644">
            <w:pPr>
              <w:snapToGrid w:val="0"/>
              <w:jc w:val="center"/>
              <w:rPr>
                <w:color w:val="auto"/>
                <w:sz w:val="21"/>
                <w:szCs w:val="21"/>
                <w:u w:val="single"/>
              </w:rPr>
            </w:pPr>
          </w:p>
        </w:tc>
      </w:tr>
      <w:tr w14:paraId="1310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35813E0">
            <w:pPr>
              <w:snapToGrid w:val="0"/>
              <w:jc w:val="center"/>
              <w:rPr>
                <w:color w:val="auto"/>
                <w:sz w:val="21"/>
                <w:szCs w:val="21"/>
                <w:u w:val="single"/>
              </w:rPr>
            </w:pPr>
            <w:r>
              <w:rPr>
                <w:rFonts w:hint="eastAsia"/>
                <w:color w:val="auto"/>
                <w:sz w:val="21"/>
                <w:szCs w:val="21"/>
                <w:u w:val="single"/>
              </w:rPr>
              <w:t>10</w:t>
            </w:r>
            <w:r>
              <w:rPr>
                <w:color w:val="auto"/>
                <w:sz w:val="21"/>
                <w:szCs w:val="21"/>
                <w:u w:val="single"/>
              </w:rPr>
              <w:t>.6</w:t>
            </w:r>
          </w:p>
        </w:tc>
        <w:tc>
          <w:tcPr>
            <w:tcW w:w="7371" w:type="dxa"/>
            <w:gridSpan w:val="2"/>
            <w:noWrap w:val="0"/>
            <w:vAlign w:val="top"/>
          </w:tcPr>
          <w:p w14:paraId="6E8DFAB0">
            <w:pPr>
              <w:snapToGrid w:val="0"/>
              <w:rPr>
                <w:color w:val="auto"/>
                <w:sz w:val="21"/>
                <w:szCs w:val="21"/>
                <w:u w:val="single"/>
              </w:rPr>
            </w:pPr>
            <w:r>
              <w:rPr>
                <w:color w:val="auto"/>
                <w:sz w:val="21"/>
                <w:szCs w:val="21"/>
                <w:u w:val="single"/>
              </w:rPr>
              <w:t>打磨、切割、焊接等作业时未使用护目镜</w:t>
            </w:r>
          </w:p>
        </w:tc>
        <w:tc>
          <w:tcPr>
            <w:tcW w:w="1142" w:type="dxa"/>
            <w:gridSpan w:val="2"/>
            <w:noWrap w:val="0"/>
            <w:vAlign w:val="top"/>
          </w:tcPr>
          <w:p w14:paraId="49A6AB80">
            <w:pPr>
              <w:snapToGrid w:val="0"/>
              <w:jc w:val="center"/>
              <w:rPr>
                <w:color w:val="auto"/>
                <w:sz w:val="21"/>
                <w:szCs w:val="21"/>
                <w:u w:val="single"/>
              </w:rPr>
            </w:pPr>
          </w:p>
        </w:tc>
      </w:tr>
      <w:tr w14:paraId="64DB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2B30DD6">
            <w:pPr>
              <w:snapToGrid w:val="0"/>
              <w:jc w:val="center"/>
              <w:rPr>
                <w:color w:val="auto"/>
                <w:sz w:val="21"/>
                <w:szCs w:val="21"/>
                <w:u w:val="single"/>
              </w:rPr>
            </w:pPr>
            <w:r>
              <w:rPr>
                <w:rFonts w:hint="eastAsia"/>
                <w:color w:val="auto"/>
                <w:sz w:val="21"/>
                <w:szCs w:val="21"/>
                <w:u w:val="single"/>
              </w:rPr>
              <w:t>10</w:t>
            </w:r>
            <w:r>
              <w:rPr>
                <w:color w:val="auto"/>
                <w:sz w:val="21"/>
                <w:szCs w:val="21"/>
                <w:u w:val="single"/>
              </w:rPr>
              <w:t>.7</w:t>
            </w:r>
          </w:p>
        </w:tc>
        <w:tc>
          <w:tcPr>
            <w:tcW w:w="7371" w:type="dxa"/>
            <w:gridSpan w:val="2"/>
            <w:noWrap w:val="0"/>
            <w:vAlign w:val="top"/>
          </w:tcPr>
          <w:p w14:paraId="4B68D213">
            <w:pPr>
              <w:snapToGrid w:val="0"/>
              <w:rPr>
                <w:color w:val="auto"/>
                <w:sz w:val="21"/>
                <w:szCs w:val="21"/>
                <w:u w:val="single"/>
              </w:rPr>
            </w:pPr>
            <w:r>
              <w:rPr>
                <w:color w:val="auto"/>
                <w:sz w:val="21"/>
                <w:szCs w:val="21"/>
                <w:u w:val="single"/>
              </w:rPr>
              <w:t>千斤顶加长手柄或超过规定人员操作</w:t>
            </w:r>
          </w:p>
        </w:tc>
        <w:tc>
          <w:tcPr>
            <w:tcW w:w="1142" w:type="dxa"/>
            <w:gridSpan w:val="2"/>
            <w:noWrap w:val="0"/>
            <w:vAlign w:val="top"/>
          </w:tcPr>
          <w:p w14:paraId="7D4BFD28">
            <w:pPr>
              <w:snapToGrid w:val="0"/>
              <w:jc w:val="center"/>
              <w:rPr>
                <w:color w:val="auto"/>
                <w:sz w:val="21"/>
                <w:szCs w:val="21"/>
                <w:u w:val="single"/>
              </w:rPr>
            </w:pPr>
          </w:p>
        </w:tc>
      </w:tr>
      <w:tr w14:paraId="23D5A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0" w:type="dxa"/>
            <w:gridSpan w:val="5"/>
            <w:noWrap w:val="0"/>
            <w:vAlign w:val="top"/>
          </w:tcPr>
          <w:p w14:paraId="3EED9E46">
            <w:pPr>
              <w:snapToGrid w:val="0"/>
              <w:rPr>
                <w:color w:val="auto"/>
                <w:sz w:val="21"/>
                <w:szCs w:val="21"/>
                <w:u w:val="single"/>
              </w:rPr>
            </w:pPr>
            <w:r>
              <w:rPr>
                <w:color w:val="auto"/>
                <w:sz w:val="21"/>
                <w:szCs w:val="21"/>
                <w:u w:val="single"/>
              </w:rPr>
              <w:t>1</w:t>
            </w:r>
            <w:r>
              <w:rPr>
                <w:rFonts w:hint="eastAsia"/>
                <w:color w:val="auto"/>
                <w:sz w:val="21"/>
                <w:szCs w:val="21"/>
                <w:u w:val="single"/>
              </w:rPr>
              <w:t>1</w:t>
            </w:r>
            <w:r>
              <w:rPr>
                <w:color w:val="auto"/>
                <w:sz w:val="21"/>
                <w:szCs w:val="21"/>
                <w:u w:val="single"/>
              </w:rPr>
              <w:t>.</w:t>
            </w:r>
            <w:r>
              <w:rPr>
                <w:rFonts w:hint="eastAsia"/>
                <w:color w:val="auto"/>
                <w:sz w:val="21"/>
                <w:szCs w:val="21"/>
                <w:u w:val="single"/>
              </w:rPr>
              <w:t>吊篮作业</w:t>
            </w:r>
            <w:r>
              <w:rPr>
                <w:color w:val="auto"/>
                <w:sz w:val="21"/>
                <w:szCs w:val="21"/>
                <w:u w:val="single"/>
              </w:rPr>
              <w:t xml:space="preserve">    违反下列行为给予</w:t>
            </w:r>
            <w:r>
              <w:rPr>
                <w:rFonts w:hint="eastAsia"/>
                <w:color w:val="auto"/>
                <w:sz w:val="21"/>
                <w:szCs w:val="21"/>
                <w:u w:val="single"/>
                <w:lang w:val="en-US" w:eastAsia="zh-CN"/>
              </w:rPr>
              <w:t>10</w:t>
            </w:r>
            <w:r>
              <w:rPr>
                <w:color w:val="auto"/>
                <w:sz w:val="21"/>
                <w:szCs w:val="21"/>
                <w:u w:val="single"/>
              </w:rPr>
              <w:t>000</w:t>
            </w:r>
            <w:r>
              <w:rPr>
                <w:rFonts w:hint="eastAsia"/>
                <w:color w:val="auto"/>
                <w:sz w:val="21"/>
                <w:szCs w:val="21"/>
                <w:u w:val="single"/>
                <w:lang w:val="en-US" w:eastAsia="zh-CN"/>
              </w:rPr>
              <w:t>-2</w:t>
            </w:r>
            <w:r>
              <w:rPr>
                <w:rFonts w:hint="eastAsia"/>
                <w:color w:val="auto"/>
                <w:sz w:val="21"/>
                <w:szCs w:val="21"/>
                <w:u w:val="single"/>
              </w:rPr>
              <w:t>0</w:t>
            </w:r>
            <w:r>
              <w:rPr>
                <w:color w:val="auto"/>
                <w:sz w:val="21"/>
                <w:szCs w:val="21"/>
                <w:u w:val="single"/>
              </w:rPr>
              <w:t>000元处罚</w:t>
            </w:r>
          </w:p>
        </w:tc>
      </w:tr>
      <w:tr w14:paraId="7625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8600F0C">
            <w:pPr>
              <w:snapToGrid w:val="0"/>
              <w:jc w:val="center"/>
              <w:rPr>
                <w:color w:val="auto"/>
                <w:sz w:val="21"/>
                <w:szCs w:val="21"/>
                <w:u w:val="single"/>
              </w:rPr>
            </w:pPr>
            <w:r>
              <w:rPr>
                <w:color w:val="auto"/>
                <w:sz w:val="21"/>
                <w:szCs w:val="21"/>
                <w:u w:val="single"/>
              </w:rPr>
              <w:t>1</w:t>
            </w:r>
            <w:r>
              <w:rPr>
                <w:rFonts w:hint="eastAsia"/>
                <w:color w:val="auto"/>
                <w:sz w:val="21"/>
                <w:szCs w:val="21"/>
                <w:u w:val="single"/>
              </w:rPr>
              <w:t>1</w:t>
            </w:r>
            <w:r>
              <w:rPr>
                <w:color w:val="auto"/>
                <w:sz w:val="21"/>
                <w:szCs w:val="21"/>
                <w:u w:val="single"/>
              </w:rPr>
              <w:t>.1</w:t>
            </w:r>
          </w:p>
        </w:tc>
        <w:tc>
          <w:tcPr>
            <w:tcW w:w="7308" w:type="dxa"/>
            <w:noWrap w:val="0"/>
            <w:vAlign w:val="top"/>
          </w:tcPr>
          <w:p w14:paraId="1D231D11">
            <w:pPr>
              <w:snapToGrid w:val="0"/>
              <w:rPr>
                <w:color w:val="auto"/>
                <w:sz w:val="21"/>
                <w:szCs w:val="21"/>
                <w:u w:val="single"/>
              </w:rPr>
            </w:pPr>
            <w:r>
              <w:rPr>
                <w:rFonts w:hint="eastAsia"/>
                <w:color w:val="auto"/>
                <w:sz w:val="21"/>
                <w:szCs w:val="21"/>
                <w:u w:val="single"/>
              </w:rPr>
              <w:t>吊篮安装人员未持有效证件作业</w:t>
            </w:r>
          </w:p>
        </w:tc>
        <w:tc>
          <w:tcPr>
            <w:tcW w:w="1205" w:type="dxa"/>
            <w:gridSpan w:val="3"/>
            <w:noWrap w:val="0"/>
            <w:vAlign w:val="top"/>
          </w:tcPr>
          <w:p w14:paraId="49ACF414">
            <w:pPr>
              <w:snapToGrid w:val="0"/>
              <w:jc w:val="center"/>
              <w:rPr>
                <w:color w:val="auto"/>
                <w:sz w:val="21"/>
                <w:szCs w:val="21"/>
                <w:u w:val="single"/>
              </w:rPr>
            </w:pPr>
          </w:p>
        </w:tc>
      </w:tr>
      <w:tr w14:paraId="059E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E664935">
            <w:pPr>
              <w:snapToGrid w:val="0"/>
              <w:jc w:val="center"/>
              <w:rPr>
                <w:color w:val="auto"/>
                <w:sz w:val="21"/>
                <w:szCs w:val="21"/>
                <w:u w:val="single"/>
              </w:rPr>
            </w:pPr>
            <w:r>
              <w:rPr>
                <w:color w:val="auto"/>
                <w:sz w:val="21"/>
                <w:szCs w:val="21"/>
                <w:u w:val="single"/>
              </w:rPr>
              <w:t>1</w:t>
            </w:r>
            <w:r>
              <w:rPr>
                <w:rFonts w:hint="eastAsia"/>
                <w:color w:val="auto"/>
                <w:sz w:val="21"/>
                <w:szCs w:val="21"/>
                <w:u w:val="single"/>
              </w:rPr>
              <w:t>1</w:t>
            </w:r>
            <w:r>
              <w:rPr>
                <w:color w:val="auto"/>
                <w:sz w:val="21"/>
                <w:szCs w:val="21"/>
                <w:u w:val="single"/>
              </w:rPr>
              <w:t>.2</w:t>
            </w:r>
          </w:p>
        </w:tc>
        <w:tc>
          <w:tcPr>
            <w:tcW w:w="7308" w:type="dxa"/>
            <w:noWrap w:val="0"/>
            <w:vAlign w:val="top"/>
          </w:tcPr>
          <w:p w14:paraId="543D9D57">
            <w:pPr>
              <w:snapToGrid w:val="0"/>
              <w:rPr>
                <w:color w:val="auto"/>
                <w:sz w:val="21"/>
                <w:szCs w:val="21"/>
                <w:u w:val="single"/>
              </w:rPr>
            </w:pPr>
            <w:r>
              <w:rPr>
                <w:rFonts w:hint="eastAsia"/>
                <w:color w:val="auto"/>
                <w:sz w:val="21"/>
                <w:szCs w:val="21"/>
                <w:u w:val="single"/>
              </w:rPr>
              <w:t>吊篮安装完成后没有进行验收，没有第三方检验验收报告</w:t>
            </w:r>
          </w:p>
        </w:tc>
        <w:tc>
          <w:tcPr>
            <w:tcW w:w="1205" w:type="dxa"/>
            <w:gridSpan w:val="3"/>
            <w:noWrap w:val="0"/>
            <w:vAlign w:val="top"/>
          </w:tcPr>
          <w:p w14:paraId="1EC26687">
            <w:pPr>
              <w:snapToGrid w:val="0"/>
              <w:jc w:val="center"/>
              <w:rPr>
                <w:color w:val="auto"/>
                <w:sz w:val="21"/>
                <w:szCs w:val="21"/>
                <w:u w:val="single"/>
              </w:rPr>
            </w:pPr>
          </w:p>
        </w:tc>
      </w:tr>
      <w:tr w14:paraId="18B6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1B0B1E3">
            <w:pPr>
              <w:snapToGrid w:val="0"/>
              <w:jc w:val="center"/>
              <w:rPr>
                <w:color w:val="auto"/>
                <w:sz w:val="21"/>
                <w:szCs w:val="21"/>
                <w:u w:val="single"/>
              </w:rPr>
            </w:pPr>
            <w:r>
              <w:rPr>
                <w:color w:val="auto"/>
                <w:sz w:val="21"/>
                <w:szCs w:val="21"/>
                <w:u w:val="single"/>
              </w:rPr>
              <w:t>1</w:t>
            </w:r>
            <w:r>
              <w:rPr>
                <w:rFonts w:hint="eastAsia"/>
                <w:color w:val="auto"/>
                <w:sz w:val="21"/>
                <w:szCs w:val="21"/>
                <w:u w:val="single"/>
              </w:rPr>
              <w:t>1</w:t>
            </w:r>
            <w:r>
              <w:rPr>
                <w:color w:val="auto"/>
                <w:sz w:val="21"/>
                <w:szCs w:val="21"/>
                <w:u w:val="single"/>
              </w:rPr>
              <w:t>.3</w:t>
            </w:r>
          </w:p>
        </w:tc>
        <w:tc>
          <w:tcPr>
            <w:tcW w:w="7308" w:type="dxa"/>
            <w:noWrap w:val="0"/>
            <w:vAlign w:val="top"/>
          </w:tcPr>
          <w:p w14:paraId="79396E95">
            <w:pPr>
              <w:snapToGrid w:val="0"/>
              <w:rPr>
                <w:color w:val="auto"/>
                <w:sz w:val="21"/>
                <w:szCs w:val="21"/>
                <w:u w:val="single"/>
              </w:rPr>
            </w:pPr>
            <w:r>
              <w:rPr>
                <w:rFonts w:hint="eastAsia"/>
                <w:color w:val="auto"/>
                <w:sz w:val="21"/>
                <w:szCs w:val="21"/>
                <w:u w:val="single"/>
              </w:rPr>
              <w:t>吊篮安全锁缺失或未在检验有效期内</w:t>
            </w:r>
          </w:p>
        </w:tc>
        <w:tc>
          <w:tcPr>
            <w:tcW w:w="1205" w:type="dxa"/>
            <w:gridSpan w:val="3"/>
            <w:noWrap w:val="0"/>
            <w:vAlign w:val="top"/>
          </w:tcPr>
          <w:p w14:paraId="7FF879A1">
            <w:pPr>
              <w:snapToGrid w:val="0"/>
              <w:jc w:val="center"/>
              <w:rPr>
                <w:color w:val="auto"/>
                <w:sz w:val="21"/>
                <w:szCs w:val="21"/>
                <w:u w:val="single"/>
              </w:rPr>
            </w:pPr>
          </w:p>
        </w:tc>
      </w:tr>
      <w:tr w14:paraId="3298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6C57125">
            <w:pPr>
              <w:snapToGrid w:val="0"/>
              <w:jc w:val="center"/>
              <w:rPr>
                <w:color w:val="auto"/>
                <w:sz w:val="21"/>
                <w:szCs w:val="21"/>
                <w:u w:val="single"/>
              </w:rPr>
            </w:pPr>
            <w:r>
              <w:rPr>
                <w:color w:val="auto"/>
                <w:sz w:val="21"/>
                <w:szCs w:val="21"/>
                <w:u w:val="single"/>
              </w:rPr>
              <w:t>1</w:t>
            </w:r>
            <w:r>
              <w:rPr>
                <w:rFonts w:hint="eastAsia"/>
                <w:color w:val="auto"/>
                <w:sz w:val="21"/>
                <w:szCs w:val="21"/>
                <w:u w:val="single"/>
              </w:rPr>
              <w:t>1</w:t>
            </w:r>
            <w:r>
              <w:rPr>
                <w:color w:val="auto"/>
                <w:sz w:val="21"/>
                <w:szCs w:val="21"/>
                <w:u w:val="single"/>
              </w:rPr>
              <w:t>.4</w:t>
            </w:r>
          </w:p>
        </w:tc>
        <w:tc>
          <w:tcPr>
            <w:tcW w:w="7308" w:type="dxa"/>
            <w:noWrap w:val="0"/>
            <w:vAlign w:val="top"/>
          </w:tcPr>
          <w:p w14:paraId="3BB472B9">
            <w:pPr>
              <w:snapToGrid w:val="0"/>
              <w:rPr>
                <w:color w:val="auto"/>
                <w:sz w:val="21"/>
                <w:szCs w:val="21"/>
                <w:u w:val="single"/>
              </w:rPr>
            </w:pPr>
            <w:r>
              <w:rPr>
                <w:rFonts w:hint="eastAsia"/>
                <w:color w:val="auto"/>
                <w:sz w:val="21"/>
                <w:szCs w:val="21"/>
                <w:u w:val="single"/>
              </w:rPr>
              <w:t>吊篮限位开关缺失或故障</w:t>
            </w:r>
          </w:p>
        </w:tc>
        <w:tc>
          <w:tcPr>
            <w:tcW w:w="1205" w:type="dxa"/>
            <w:gridSpan w:val="3"/>
            <w:noWrap w:val="0"/>
            <w:vAlign w:val="top"/>
          </w:tcPr>
          <w:p w14:paraId="0C41416B">
            <w:pPr>
              <w:snapToGrid w:val="0"/>
              <w:jc w:val="center"/>
              <w:rPr>
                <w:color w:val="auto"/>
                <w:sz w:val="21"/>
                <w:szCs w:val="21"/>
                <w:u w:val="single"/>
              </w:rPr>
            </w:pPr>
          </w:p>
        </w:tc>
      </w:tr>
      <w:tr w14:paraId="118B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99C61A1">
            <w:pPr>
              <w:snapToGrid w:val="0"/>
              <w:jc w:val="center"/>
              <w:rPr>
                <w:color w:val="auto"/>
                <w:sz w:val="21"/>
                <w:szCs w:val="21"/>
                <w:u w:val="single"/>
              </w:rPr>
            </w:pPr>
            <w:r>
              <w:rPr>
                <w:color w:val="auto"/>
                <w:sz w:val="21"/>
                <w:szCs w:val="21"/>
                <w:u w:val="single"/>
              </w:rPr>
              <w:t>1</w:t>
            </w:r>
            <w:r>
              <w:rPr>
                <w:rFonts w:hint="eastAsia"/>
                <w:color w:val="auto"/>
                <w:sz w:val="21"/>
                <w:szCs w:val="21"/>
                <w:u w:val="single"/>
              </w:rPr>
              <w:t>1</w:t>
            </w:r>
            <w:r>
              <w:rPr>
                <w:color w:val="auto"/>
                <w:sz w:val="21"/>
                <w:szCs w:val="21"/>
                <w:u w:val="single"/>
              </w:rPr>
              <w:t>.5</w:t>
            </w:r>
          </w:p>
        </w:tc>
        <w:tc>
          <w:tcPr>
            <w:tcW w:w="7308" w:type="dxa"/>
            <w:noWrap w:val="0"/>
            <w:vAlign w:val="top"/>
          </w:tcPr>
          <w:p w14:paraId="68D0FF49">
            <w:pPr>
              <w:snapToGrid w:val="0"/>
              <w:rPr>
                <w:color w:val="auto"/>
                <w:sz w:val="21"/>
                <w:szCs w:val="21"/>
                <w:u w:val="single"/>
              </w:rPr>
            </w:pPr>
            <w:r>
              <w:rPr>
                <w:rFonts w:hint="eastAsia"/>
                <w:color w:val="auto"/>
                <w:sz w:val="21"/>
                <w:szCs w:val="21"/>
                <w:u w:val="single"/>
              </w:rPr>
              <w:t>吊篮电气配电箱功能不齐全，电气控制按钮、紧急停运按钮等动作不可靠</w:t>
            </w:r>
          </w:p>
        </w:tc>
        <w:tc>
          <w:tcPr>
            <w:tcW w:w="1205" w:type="dxa"/>
            <w:gridSpan w:val="3"/>
            <w:noWrap w:val="0"/>
            <w:vAlign w:val="top"/>
          </w:tcPr>
          <w:p w14:paraId="5538BD2D">
            <w:pPr>
              <w:snapToGrid w:val="0"/>
              <w:jc w:val="center"/>
              <w:rPr>
                <w:color w:val="auto"/>
                <w:sz w:val="21"/>
                <w:szCs w:val="21"/>
                <w:u w:val="single"/>
              </w:rPr>
            </w:pPr>
          </w:p>
        </w:tc>
      </w:tr>
      <w:tr w14:paraId="01CE6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61947B4">
            <w:pPr>
              <w:snapToGrid w:val="0"/>
              <w:jc w:val="center"/>
              <w:rPr>
                <w:color w:val="auto"/>
                <w:sz w:val="21"/>
                <w:szCs w:val="21"/>
                <w:u w:val="single"/>
              </w:rPr>
            </w:pPr>
            <w:r>
              <w:rPr>
                <w:color w:val="auto"/>
                <w:sz w:val="21"/>
                <w:szCs w:val="21"/>
                <w:u w:val="single"/>
              </w:rPr>
              <w:t>1</w:t>
            </w:r>
            <w:r>
              <w:rPr>
                <w:rFonts w:hint="eastAsia"/>
                <w:color w:val="auto"/>
                <w:sz w:val="21"/>
                <w:szCs w:val="21"/>
                <w:u w:val="single"/>
              </w:rPr>
              <w:t>1</w:t>
            </w:r>
            <w:r>
              <w:rPr>
                <w:color w:val="auto"/>
                <w:sz w:val="21"/>
                <w:szCs w:val="21"/>
                <w:u w:val="single"/>
              </w:rPr>
              <w:t>.6</w:t>
            </w:r>
          </w:p>
        </w:tc>
        <w:tc>
          <w:tcPr>
            <w:tcW w:w="7308" w:type="dxa"/>
            <w:noWrap w:val="0"/>
            <w:vAlign w:val="top"/>
          </w:tcPr>
          <w:p w14:paraId="60E84DB6">
            <w:pPr>
              <w:snapToGrid w:val="0"/>
              <w:rPr>
                <w:color w:val="auto"/>
                <w:sz w:val="21"/>
                <w:szCs w:val="21"/>
                <w:u w:val="single"/>
              </w:rPr>
            </w:pPr>
            <w:r>
              <w:rPr>
                <w:rFonts w:hint="eastAsia"/>
                <w:color w:val="auto"/>
                <w:sz w:val="21"/>
                <w:szCs w:val="21"/>
                <w:u w:val="single"/>
              </w:rPr>
              <w:t>吊篮本体上无编号、额定载重量、操作注意事项等安全警示标牌</w:t>
            </w:r>
          </w:p>
        </w:tc>
        <w:tc>
          <w:tcPr>
            <w:tcW w:w="1205" w:type="dxa"/>
            <w:gridSpan w:val="3"/>
            <w:noWrap w:val="0"/>
            <w:vAlign w:val="top"/>
          </w:tcPr>
          <w:p w14:paraId="6DC915D4">
            <w:pPr>
              <w:snapToGrid w:val="0"/>
              <w:jc w:val="center"/>
              <w:rPr>
                <w:color w:val="auto"/>
                <w:sz w:val="21"/>
                <w:szCs w:val="21"/>
                <w:u w:val="single"/>
              </w:rPr>
            </w:pPr>
          </w:p>
        </w:tc>
      </w:tr>
      <w:tr w14:paraId="70EC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7CA5693">
            <w:pPr>
              <w:snapToGrid w:val="0"/>
              <w:jc w:val="center"/>
              <w:rPr>
                <w:color w:val="auto"/>
                <w:sz w:val="21"/>
                <w:szCs w:val="21"/>
                <w:u w:val="single"/>
              </w:rPr>
            </w:pPr>
            <w:r>
              <w:rPr>
                <w:rFonts w:hint="eastAsia"/>
                <w:color w:val="auto"/>
                <w:sz w:val="21"/>
                <w:szCs w:val="21"/>
                <w:u w:val="single"/>
              </w:rPr>
              <w:t>11.7</w:t>
            </w:r>
          </w:p>
        </w:tc>
        <w:tc>
          <w:tcPr>
            <w:tcW w:w="7308" w:type="dxa"/>
            <w:noWrap w:val="0"/>
            <w:vAlign w:val="top"/>
          </w:tcPr>
          <w:p w14:paraId="14586D7A">
            <w:pPr>
              <w:snapToGrid w:val="0"/>
              <w:rPr>
                <w:color w:val="auto"/>
                <w:sz w:val="21"/>
                <w:szCs w:val="21"/>
                <w:u w:val="single"/>
              </w:rPr>
            </w:pPr>
            <w:r>
              <w:rPr>
                <w:rFonts w:hint="eastAsia"/>
                <w:color w:val="auto"/>
                <w:sz w:val="21"/>
                <w:szCs w:val="21"/>
                <w:u w:val="single"/>
              </w:rPr>
              <w:t>悬挂机构存在缺陷，或工作钢丝绳、安全钢丝绳存在折弯、断股等缺陷</w:t>
            </w:r>
          </w:p>
        </w:tc>
        <w:tc>
          <w:tcPr>
            <w:tcW w:w="1205" w:type="dxa"/>
            <w:gridSpan w:val="3"/>
            <w:noWrap w:val="0"/>
            <w:vAlign w:val="top"/>
          </w:tcPr>
          <w:p w14:paraId="49452EE9">
            <w:pPr>
              <w:snapToGrid w:val="0"/>
              <w:jc w:val="center"/>
              <w:rPr>
                <w:color w:val="auto"/>
                <w:sz w:val="21"/>
                <w:szCs w:val="21"/>
                <w:u w:val="single"/>
              </w:rPr>
            </w:pPr>
          </w:p>
        </w:tc>
      </w:tr>
      <w:tr w14:paraId="51A7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B55B51E">
            <w:pPr>
              <w:snapToGrid w:val="0"/>
              <w:jc w:val="center"/>
              <w:rPr>
                <w:color w:val="auto"/>
                <w:sz w:val="21"/>
                <w:szCs w:val="21"/>
                <w:u w:val="single"/>
              </w:rPr>
            </w:pPr>
            <w:r>
              <w:rPr>
                <w:rFonts w:hint="eastAsia"/>
                <w:color w:val="auto"/>
                <w:sz w:val="21"/>
                <w:szCs w:val="21"/>
                <w:u w:val="single"/>
              </w:rPr>
              <w:t>11.8</w:t>
            </w:r>
          </w:p>
        </w:tc>
        <w:tc>
          <w:tcPr>
            <w:tcW w:w="7308" w:type="dxa"/>
            <w:noWrap w:val="0"/>
            <w:vAlign w:val="top"/>
          </w:tcPr>
          <w:p w14:paraId="66238A92">
            <w:pPr>
              <w:snapToGrid w:val="0"/>
              <w:rPr>
                <w:color w:val="auto"/>
                <w:sz w:val="21"/>
                <w:szCs w:val="21"/>
                <w:u w:val="single"/>
              </w:rPr>
            </w:pPr>
            <w:r>
              <w:rPr>
                <w:rFonts w:hint="eastAsia"/>
                <w:color w:val="auto"/>
                <w:sz w:val="21"/>
                <w:szCs w:val="21"/>
                <w:u w:val="single"/>
              </w:rPr>
              <w:t>配重不符合使用说明书要求，配重块破损严重等</w:t>
            </w:r>
          </w:p>
        </w:tc>
        <w:tc>
          <w:tcPr>
            <w:tcW w:w="1205" w:type="dxa"/>
            <w:gridSpan w:val="3"/>
            <w:noWrap w:val="0"/>
            <w:vAlign w:val="top"/>
          </w:tcPr>
          <w:p w14:paraId="1AE4056B">
            <w:pPr>
              <w:snapToGrid w:val="0"/>
              <w:jc w:val="center"/>
              <w:rPr>
                <w:color w:val="auto"/>
                <w:sz w:val="21"/>
                <w:szCs w:val="21"/>
                <w:u w:val="single"/>
              </w:rPr>
            </w:pPr>
          </w:p>
        </w:tc>
      </w:tr>
      <w:tr w14:paraId="2B58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D9D338D">
            <w:pPr>
              <w:snapToGrid w:val="0"/>
              <w:jc w:val="center"/>
              <w:rPr>
                <w:color w:val="auto"/>
                <w:sz w:val="21"/>
                <w:szCs w:val="21"/>
                <w:u w:val="single"/>
              </w:rPr>
            </w:pPr>
            <w:r>
              <w:rPr>
                <w:rFonts w:hint="eastAsia"/>
                <w:color w:val="auto"/>
                <w:sz w:val="21"/>
                <w:szCs w:val="21"/>
                <w:u w:val="single"/>
              </w:rPr>
              <w:t>11.9</w:t>
            </w:r>
          </w:p>
        </w:tc>
        <w:tc>
          <w:tcPr>
            <w:tcW w:w="7308" w:type="dxa"/>
            <w:noWrap w:val="0"/>
            <w:vAlign w:val="top"/>
          </w:tcPr>
          <w:p w14:paraId="01CCABB1">
            <w:pPr>
              <w:snapToGrid w:val="0"/>
              <w:rPr>
                <w:color w:val="auto"/>
                <w:sz w:val="21"/>
                <w:szCs w:val="21"/>
                <w:u w:val="single"/>
              </w:rPr>
            </w:pPr>
            <w:r>
              <w:rPr>
                <w:rFonts w:hint="eastAsia"/>
                <w:color w:val="auto"/>
                <w:sz w:val="21"/>
                <w:szCs w:val="21"/>
                <w:u w:val="single"/>
              </w:rPr>
              <w:t>吊篮内作业人员超过或少于2人</w:t>
            </w:r>
          </w:p>
        </w:tc>
        <w:tc>
          <w:tcPr>
            <w:tcW w:w="1205" w:type="dxa"/>
            <w:gridSpan w:val="3"/>
            <w:noWrap w:val="0"/>
            <w:vAlign w:val="top"/>
          </w:tcPr>
          <w:p w14:paraId="6A928B7F">
            <w:pPr>
              <w:snapToGrid w:val="0"/>
              <w:jc w:val="center"/>
              <w:rPr>
                <w:color w:val="auto"/>
                <w:sz w:val="21"/>
                <w:szCs w:val="21"/>
                <w:u w:val="single"/>
              </w:rPr>
            </w:pPr>
          </w:p>
        </w:tc>
      </w:tr>
      <w:tr w14:paraId="311C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05F917C">
            <w:pPr>
              <w:snapToGrid w:val="0"/>
              <w:jc w:val="center"/>
              <w:rPr>
                <w:color w:val="auto"/>
                <w:sz w:val="21"/>
                <w:szCs w:val="21"/>
                <w:u w:val="single"/>
              </w:rPr>
            </w:pPr>
            <w:r>
              <w:rPr>
                <w:rFonts w:hint="eastAsia"/>
                <w:color w:val="auto"/>
                <w:sz w:val="21"/>
                <w:szCs w:val="21"/>
                <w:u w:val="single"/>
              </w:rPr>
              <w:t>11.10</w:t>
            </w:r>
          </w:p>
        </w:tc>
        <w:tc>
          <w:tcPr>
            <w:tcW w:w="7308" w:type="dxa"/>
            <w:noWrap w:val="0"/>
            <w:vAlign w:val="top"/>
          </w:tcPr>
          <w:p w14:paraId="71A70039">
            <w:pPr>
              <w:snapToGrid w:val="0"/>
              <w:rPr>
                <w:color w:val="auto"/>
                <w:sz w:val="21"/>
                <w:szCs w:val="21"/>
                <w:u w:val="single"/>
              </w:rPr>
            </w:pPr>
            <w:r>
              <w:rPr>
                <w:rFonts w:hint="eastAsia"/>
                <w:color w:val="auto"/>
                <w:sz w:val="21"/>
                <w:szCs w:val="21"/>
                <w:u w:val="single"/>
              </w:rPr>
              <w:t>吊篮内2名作业人员没有使用2条独立设置的安全绳</w:t>
            </w:r>
          </w:p>
        </w:tc>
        <w:tc>
          <w:tcPr>
            <w:tcW w:w="1205" w:type="dxa"/>
            <w:gridSpan w:val="3"/>
            <w:noWrap w:val="0"/>
            <w:vAlign w:val="top"/>
          </w:tcPr>
          <w:p w14:paraId="0BBEA939">
            <w:pPr>
              <w:snapToGrid w:val="0"/>
              <w:jc w:val="center"/>
              <w:rPr>
                <w:color w:val="auto"/>
                <w:sz w:val="21"/>
                <w:szCs w:val="21"/>
                <w:u w:val="single"/>
              </w:rPr>
            </w:pPr>
          </w:p>
        </w:tc>
      </w:tr>
      <w:tr w14:paraId="0FBA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652019B">
            <w:pPr>
              <w:snapToGrid w:val="0"/>
              <w:jc w:val="center"/>
              <w:rPr>
                <w:color w:val="auto"/>
                <w:sz w:val="21"/>
                <w:szCs w:val="21"/>
                <w:u w:val="single"/>
              </w:rPr>
            </w:pPr>
            <w:r>
              <w:rPr>
                <w:rFonts w:hint="eastAsia"/>
                <w:color w:val="auto"/>
                <w:sz w:val="21"/>
                <w:szCs w:val="21"/>
                <w:u w:val="single"/>
              </w:rPr>
              <w:t>11.11</w:t>
            </w:r>
          </w:p>
        </w:tc>
        <w:tc>
          <w:tcPr>
            <w:tcW w:w="7308" w:type="dxa"/>
            <w:noWrap w:val="0"/>
            <w:vAlign w:val="top"/>
          </w:tcPr>
          <w:p w14:paraId="3BA507A8">
            <w:pPr>
              <w:snapToGrid w:val="0"/>
              <w:rPr>
                <w:color w:val="auto"/>
                <w:sz w:val="21"/>
                <w:szCs w:val="21"/>
                <w:u w:val="single"/>
              </w:rPr>
            </w:pPr>
            <w:r>
              <w:rPr>
                <w:rFonts w:hint="eastAsia"/>
                <w:color w:val="auto"/>
                <w:sz w:val="21"/>
                <w:szCs w:val="21"/>
                <w:u w:val="single"/>
              </w:rPr>
              <w:t>吊篮内堆放过多物品，超载使用</w:t>
            </w:r>
          </w:p>
        </w:tc>
        <w:tc>
          <w:tcPr>
            <w:tcW w:w="1205" w:type="dxa"/>
            <w:gridSpan w:val="3"/>
            <w:noWrap w:val="0"/>
            <w:vAlign w:val="top"/>
          </w:tcPr>
          <w:p w14:paraId="10725D1E">
            <w:pPr>
              <w:snapToGrid w:val="0"/>
              <w:jc w:val="center"/>
              <w:rPr>
                <w:color w:val="auto"/>
                <w:sz w:val="21"/>
                <w:szCs w:val="21"/>
                <w:u w:val="single"/>
              </w:rPr>
            </w:pPr>
          </w:p>
        </w:tc>
      </w:tr>
      <w:tr w14:paraId="0F4BD0E4">
        <w:tblPrEx>
          <w:tblCellMar>
            <w:top w:w="0" w:type="dxa"/>
            <w:left w:w="108" w:type="dxa"/>
            <w:bottom w:w="0" w:type="dxa"/>
            <w:right w:w="108" w:type="dxa"/>
          </w:tblCellMar>
        </w:tblPrEx>
        <w:trPr>
          <w:jc w:val="center"/>
        </w:trPr>
        <w:tc>
          <w:tcPr>
            <w:tcW w:w="687" w:type="dxa"/>
            <w:noWrap w:val="0"/>
            <w:vAlign w:val="top"/>
          </w:tcPr>
          <w:p w14:paraId="2CEAD0A4">
            <w:pPr>
              <w:snapToGrid w:val="0"/>
              <w:jc w:val="center"/>
              <w:rPr>
                <w:color w:val="auto"/>
                <w:sz w:val="21"/>
                <w:szCs w:val="21"/>
                <w:u w:val="single"/>
              </w:rPr>
            </w:pPr>
            <w:r>
              <w:rPr>
                <w:rFonts w:hint="eastAsia"/>
                <w:color w:val="auto"/>
                <w:sz w:val="21"/>
                <w:szCs w:val="21"/>
                <w:u w:val="single"/>
              </w:rPr>
              <w:t>11.12</w:t>
            </w:r>
          </w:p>
        </w:tc>
        <w:tc>
          <w:tcPr>
            <w:tcW w:w="7308" w:type="dxa"/>
            <w:noWrap w:val="0"/>
            <w:vAlign w:val="top"/>
          </w:tcPr>
          <w:p w14:paraId="00798BE5">
            <w:pPr>
              <w:snapToGrid w:val="0"/>
              <w:rPr>
                <w:color w:val="auto"/>
                <w:sz w:val="21"/>
                <w:szCs w:val="21"/>
                <w:u w:val="single"/>
              </w:rPr>
            </w:pPr>
            <w:r>
              <w:rPr>
                <w:rFonts w:hint="eastAsia"/>
                <w:color w:val="auto"/>
                <w:sz w:val="21"/>
                <w:szCs w:val="21"/>
                <w:u w:val="single"/>
              </w:rPr>
              <w:t>吊篮内放置乙炔瓶、氧气瓶等易燃易爆物品</w:t>
            </w:r>
          </w:p>
        </w:tc>
        <w:tc>
          <w:tcPr>
            <w:tcW w:w="1205" w:type="dxa"/>
            <w:gridSpan w:val="3"/>
            <w:noWrap w:val="0"/>
            <w:vAlign w:val="top"/>
          </w:tcPr>
          <w:p w14:paraId="3588D19C">
            <w:pPr>
              <w:snapToGrid w:val="0"/>
              <w:jc w:val="center"/>
              <w:rPr>
                <w:color w:val="auto"/>
                <w:sz w:val="21"/>
                <w:szCs w:val="21"/>
                <w:u w:val="single"/>
              </w:rPr>
            </w:pPr>
          </w:p>
        </w:tc>
      </w:tr>
      <w:tr w14:paraId="7ABC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1FC3D7A">
            <w:pPr>
              <w:snapToGrid w:val="0"/>
              <w:jc w:val="center"/>
              <w:rPr>
                <w:rFonts w:hint="eastAsia"/>
                <w:color w:val="auto"/>
                <w:sz w:val="21"/>
                <w:szCs w:val="21"/>
                <w:u w:val="single"/>
              </w:rPr>
            </w:pPr>
          </w:p>
        </w:tc>
        <w:tc>
          <w:tcPr>
            <w:tcW w:w="7308" w:type="dxa"/>
            <w:noWrap w:val="0"/>
            <w:vAlign w:val="top"/>
          </w:tcPr>
          <w:p w14:paraId="07CD0120">
            <w:pPr>
              <w:snapToGrid w:val="0"/>
              <w:rPr>
                <w:rFonts w:hint="eastAsia"/>
                <w:color w:val="auto"/>
                <w:sz w:val="21"/>
                <w:szCs w:val="21"/>
                <w:u w:val="single"/>
              </w:rPr>
            </w:pPr>
          </w:p>
        </w:tc>
        <w:tc>
          <w:tcPr>
            <w:tcW w:w="1205" w:type="dxa"/>
            <w:gridSpan w:val="3"/>
            <w:noWrap w:val="0"/>
            <w:vAlign w:val="top"/>
          </w:tcPr>
          <w:p w14:paraId="6FBE1B55">
            <w:pPr>
              <w:snapToGrid w:val="0"/>
              <w:jc w:val="center"/>
              <w:rPr>
                <w:color w:val="auto"/>
                <w:sz w:val="21"/>
                <w:szCs w:val="21"/>
                <w:u w:val="single"/>
              </w:rPr>
            </w:pPr>
          </w:p>
        </w:tc>
      </w:tr>
      <w:tr w14:paraId="158C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0" w:type="dxa"/>
            <w:gridSpan w:val="5"/>
            <w:noWrap w:val="0"/>
            <w:vAlign w:val="top"/>
          </w:tcPr>
          <w:p w14:paraId="18FE6912">
            <w:pPr>
              <w:snapToGrid w:val="0"/>
              <w:rPr>
                <w:color w:val="auto"/>
                <w:sz w:val="21"/>
                <w:szCs w:val="21"/>
                <w:u w:val="single"/>
              </w:rPr>
            </w:pPr>
            <w:r>
              <w:rPr>
                <w:color w:val="auto"/>
                <w:sz w:val="21"/>
                <w:szCs w:val="21"/>
                <w:u w:val="single"/>
              </w:rPr>
              <w:t>1</w:t>
            </w:r>
            <w:r>
              <w:rPr>
                <w:rFonts w:hint="eastAsia"/>
                <w:color w:val="auto"/>
                <w:sz w:val="21"/>
                <w:szCs w:val="21"/>
                <w:u w:val="single"/>
              </w:rPr>
              <w:t>2</w:t>
            </w:r>
            <w:r>
              <w:rPr>
                <w:color w:val="auto"/>
                <w:sz w:val="21"/>
                <w:szCs w:val="21"/>
                <w:u w:val="single"/>
              </w:rPr>
              <w:t>.土石方施工   违反下列行为给予</w:t>
            </w:r>
            <w:r>
              <w:rPr>
                <w:rFonts w:hint="eastAsia"/>
                <w:color w:val="auto"/>
                <w:sz w:val="21"/>
                <w:szCs w:val="21"/>
                <w:u w:val="single"/>
                <w:lang w:val="en-US" w:eastAsia="zh-CN"/>
              </w:rPr>
              <w:t>5</w:t>
            </w:r>
            <w:r>
              <w:rPr>
                <w:color w:val="auto"/>
                <w:sz w:val="21"/>
                <w:szCs w:val="21"/>
                <w:u w:val="single"/>
              </w:rPr>
              <w:t>000-</w:t>
            </w:r>
            <w:r>
              <w:rPr>
                <w:rFonts w:hint="eastAsia"/>
                <w:color w:val="auto"/>
                <w:sz w:val="21"/>
                <w:szCs w:val="21"/>
                <w:u w:val="single"/>
                <w:lang w:val="en-US" w:eastAsia="zh-CN"/>
              </w:rPr>
              <w:t>10</w:t>
            </w:r>
            <w:r>
              <w:rPr>
                <w:color w:val="auto"/>
                <w:sz w:val="21"/>
                <w:szCs w:val="21"/>
                <w:u w:val="single"/>
              </w:rPr>
              <w:t>000元处罚</w:t>
            </w:r>
          </w:p>
        </w:tc>
      </w:tr>
      <w:tr w14:paraId="3C46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1FC047E">
            <w:pPr>
              <w:snapToGrid w:val="0"/>
              <w:jc w:val="center"/>
              <w:rPr>
                <w:color w:val="auto"/>
                <w:sz w:val="21"/>
                <w:szCs w:val="21"/>
                <w:u w:val="single"/>
              </w:rPr>
            </w:pPr>
            <w:r>
              <w:rPr>
                <w:color w:val="auto"/>
                <w:sz w:val="21"/>
                <w:szCs w:val="21"/>
                <w:u w:val="single"/>
              </w:rPr>
              <w:t>1</w:t>
            </w:r>
            <w:r>
              <w:rPr>
                <w:rFonts w:hint="eastAsia"/>
                <w:color w:val="auto"/>
                <w:sz w:val="21"/>
                <w:szCs w:val="21"/>
                <w:u w:val="single"/>
              </w:rPr>
              <w:t>2</w:t>
            </w:r>
            <w:r>
              <w:rPr>
                <w:color w:val="auto"/>
                <w:sz w:val="21"/>
                <w:szCs w:val="21"/>
                <w:u w:val="single"/>
              </w:rPr>
              <w:t>.1</w:t>
            </w:r>
          </w:p>
        </w:tc>
        <w:tc>
          <w:tcPr>
            <w:tcW w:w="7308" w:type="dxa"/>
            <w:noWrap w:val="0"/>
            <w:vAlign w:val="top"/>
          </w:tcPr>
          <w:p w14:paraId="4F569BEC">
            <w:pPr>
              <w:snapToGrid w:val="0"/>
              <w:rPr>
                <w:color w:val="auto"/>
                <w:sz w:val="21"/>
                <w:szCs w:val="21"/>
                <w:u w:val="single"/>
              </w:rPr>
            </w:pPr>
            <w:r>
              <w:rPr>
                <w:color w:val="auto"/>
                <w:sz w:val="21"/>
                <w:szCs w:val="21"/>
                <w:u w:val="single"/>
              </w:rPr>
              <w:t>斜坡上浮石前未清理，基坑开挖临边、斜坡未有可靠防护围栏</w:t>
            </w:r>
          </w:p>
        </w:tc>
        <w:tc>
          <w:tcPr>
            <w:tcW w:w="1205" w:type="dxa"/>
            <w:gridSpan w:val="3"/>
            <w:noWrap w:val="0"/>
            <w:vAlign w:val="top"/>
          </w:tcPr>
          <w:p w14:paraId="2D79528D">
            <w:pPr>
              <w:snapToGrid w:val="0"/>
              <w:jc w:val="center"/>
              <w:rPr>
                <w:color w:val="auto"/>
                <w:sz w:val="21"/>
                <w:szCs w:val="21"/>
                <w:u w:val="single"/>
              </w:rPr>
            </w:pPr>
          </w:p>
        </w:tc>
      </w:tr>
      <w:tr w14:paraId="60F48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EB16350">
            <w:pPr>
              <w:snapToGrid w:val="0"/>
              <w:jc w:val="center"/>
              <w:rPr>
                <w:color w:val="auto"/>
                <w:sz w:val="21"/>
                <w:szCs w:val="21"/>
                <w:u w:val="single"/>
              </w:rPr>
            </w:pPr>
            <w:r>
              <w:rPr>
                <w:color w:val="auto"/>
                <w:sz w:val="21"/>
                <w:szCs w:val="21"/>
                <w:u w:val="single"/>
              </w:rPr>
              <w:t>1</w:t>
            </w:r>
            <w:r>
              <w:rPr>
                <w:rFonts w:hint="eastAsia"/>
                <w:color w:val="auto"/>
                <w:sz w:val="21"/>
                <w:szCs w:val="21"/>
                <w:u w:val="single"/>
              </w:rPr>
              <w:t>2</w:t>
            </w:r>
            <w:r>
              <w:rPr>
                <w:color w:val="auto"/>
                <w:sz w:val="21"/>
                <w:szCs w:val="21"/>
                <w:u w:val="single"/>
              </w:rPr>
              <w:t>.2</w:t>
            </w:r>
          </w:p>
        </w:tc>
        <w:tc>
          <w:tcPr>
            <w:tcW w:w="7308" w:type="dxa"/>
            <w:noWrap w:val="0"/>
            <w:vAlign w:val="top"/>
          </w:tcPr>
          <w:p w14:paraId="27D3B8D6">
            <w:pPr>
              <w:snapToGrid w:val="0"/>
              <w:rPr>
                <w:color w:val="auto"/>
                <w:sz w:val="21"/>
                <w:szCs w:val="21"/>
                <w:u w:val="single"/>
              </w:rPr>
            </w:pPr>
            <w:r>
              <w:rPr>
                <w:color w:val="auto"/>
                <w:sz w:val="21"/>
                <w:szCs w:val="21"/>
                <w:u w:val="single"/>
              </w:rPr>
              <w:t>有地下水或地面水流入基坑未采取排水或降水措施</w:t>
            </w:r>
          </w:p>
        </w:tc>
        <w:tc>
          <w:tcPr>
            <w:tcW w:w="1205" w:type="dxa"/>
            <w:gridSpan w:val="3"/>
            <w:noWrap w:val="0"/>
            <w:vAlign w:val="top"/>
          </w:tcPr>
          <w:p w14:paraId="07FF43E8">
            <w:pPr>
              <w:snapToGrid w:val="0"/>
              <w:jc w:val="center"/>
              <w:rPr>
                <w:color w:val="auto"/>
                <w:sz w:val="21"/>
                <w:szCs w:val="21"/>
                <w:u w:val="single"/>
              </w:rPr>
            </w:pPr>
          </w:p>
        </w:tc>
      </w:tr>
      <w:tr w14:paraId="15AB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98E5680">
            <w:pPr>
              <w:snapToGrid w:val="0"/>
              <w:jc w:val="center"/>
              <w:rPr>
                <w:color w:val="auto"/>
                <w:sz w:val="21"/>
                <w:szCs w:val="21"/>
                <w:u w:val="single"/>
              </w:rPr>
            </w:pPr>
            <w:r>
              <w:rPr>
                <w:color w:val="auto"/>
                <w:sz w:val="21"/>
                <w:szCs w:val="21"/>
                <w:u w:val="single"/>
              </w:rPr>
              <w:t>1</w:t>
            </w:r>
            <w:r>
              <w:rPr>
                <w:rFonts w:hint="eastAsia"/>
                <w:color w:val="auto"/>
                <w:sz w:val="21"/>
                <w:szCs w:val="21"/>
                <w:u w:val="single"/>
              </w:rPr>
              <w:t>2</w:t>
            </w:r>
            <w:r>
              <w:rPr>
                <w:color w:val="auto"/>
                <w:sz w:val="21"/>
                <w:szCs w:val="21"/>
                <w:u w:val="single"/>
              </w:rPr>
              <w:t>.3</w:t>
            </w:r>
          </w:p>
        </w:tc>
        <w:tc>
          <w:tcPr>
            <w:tcW w:w="7308" w:type="dxa"/>
            <w:noWrap w:val="0"/>
            <w:vAlign w:val="top"/>
          </w:tcPr>
          <w:p w14:paraId="644DE06B">
            <w:pPr>
              <w:snapToGrid w:val="0"/>
              <w:rPr>
                <w:color w:val="auto"/>
                <w:sz w:val="21"/>
                <w:szCs w:val="21"/>
                <w:u w:val="single"/>
              </w:rPr>
            </w:pPr>
            <w:r>
              <w:rPr>
                <w:color w:val="auto"/>
                <w:sz w:val="21"/>
                <w:szCs w:val="21"/>
                <w:u w:val="single"/>
              </w:rPr>
              <w:t>堆土距离边坡边缘不足0.8米,高度超1.5米</w:t>
            </w:r>
          </w:p>
        </w:tc>
        <w:tc>
          <w:tcPr>
            <w:tcW w:w="1205" w:type="dxa"/>
            <w:gridSpan w:val="3"/>
            <w:noWrap w:val="0"/>
            <w:vAlign w:val="top"/>
          </w:tcPr>
          <w:p w14:paraId="67B36F4F">
            <w:pPr>
              <w:snapToGrid w:val="0"/>
              <w:jc w:val="center"/>
              <w:rPr>
                <w:color w:val="auto"/>
                <w:sz w:val="21"/>
                <w:szCs w:val="21"/>
                <w:u w:val="single"/>
              </w:rPr>
            </w:pPr>
          </w:p>
        </w:tc>
      </w:tr>
      <w:tr w14:paraId="11EA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37C0BB9">
            <w:pPr>
              <w:snapToGrid w:val="0"/>
              <w:jc w:val="center"/>
              <w:rPr>
                <w:color w:val="auto"/>
                <w:sz w:val="21"/>
                <w:szCs w:val="21"/>
                <w:u w:val="single"/>
              </w:rPr>
            </w:pPr>
            <w:r>
              <w:rPr>
                <w:color w:val="auto"/>
                <w:sz w:val="21"/>
                <w:szCs w:val="21"/>
                <w:u w:val="single"/>
              </w:rPr>
              <w:t>1</w:t>
            </w:r>
            <w:r>
              <w:rPr>
                <w:rFonts w:hint="eastAsia"/>
                <w:color w:val="auto"/>
                <w:sz w:val="21"/>
                <w:szCs w:val="21"/>
                <w:u w:val="single"/>
              </w:rPr>
              <w:t>2</w:t>
            </w:r>
            <w:r>
              <w:rPr>
                <w:color w:val="auto"/>
                <w:sz w:val="21"/>
                <w:szCs w:val="21"/>
                <w:u w:val="single"/>
              </w:rPr>
              <w:t>.4</w:t>
            </w:r>
          </w:p>
        </w:tc>
        <w:tc>
          <w:tcPr>
            <w:tcW w:w="7308" w:type="dxa"/>
            <w:noWrap w:val="0"/>
            <w:vAlign w:val="top"/>
          </w:tcPr>
          <w:p w14:paraId="30DF31FC">
            <w:pPr>
              <w:snapToGrid w:val="0"/>
              <w:rPr>
                <w:color w:val="auto"/>
                <w:sz w:val="21"/>
                <w:szCs w:val="21"/>
                <w:u w:val="single"/>
              </w:rPr>
            </w:pPr>
            <w:r>
              <w:rPr>
                <w:color w:val="auto"/>
                <w:sz w:val="21"/>
                <w:szCs w:val="21"/>
                <w:u w:val="single"/>
              </w:rPr>
              <w:t>爆破作业未设警戒范围及信号标志，未派专人指挥</w:t>
            </w:r>
          </w:p>
        </w:tc>
        <w:tc>
          <w:tcPr>
            <w:tcW w:w="1205" w:type="dxa"/>
            <w:gridSpan w:val="3"/>
            <w:noWrap w:val="0"/>
            <w:vAlign w:val="top"/>
          </w:tcPr>
          <w:p w14:paraId="785E7DAF">
            <w:pPr>
              <w:snapToGrid w:val="0"/>
              <w:jc w:val="center"/>
              <w:rPr>
                <w:color w:val="auto"/>
                <w:sz w:val="21"/>
                <w:szCs w:val="21"/>
                <w:u w:val="single"/>
              </w:rPr>
            </w:pPr>
          </w:p>
        </w:tc>
      </w:tr>
      <w:tr w14:paraId="5F767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F962D11">
            <w:pPr>
              <w:snapToGrid w:val="0"/>
              <w:jc w:val="center"/>
              <w:rPr>
                <w:color w:val="auto"/>
                <w:sz w:val="21"/>
                <w:szCs w:val="21"/>
                <w:u w:val="single"/>
              </w:rPr>
            </w:pPr>
            <w:r>
              <w:rPr>
                <w:color w:val="auto"/>
                <w:sz w:val="21"/>
                <w:szCs w:val="21"/>
                <w:u w:val="single"/>
              </w:rPr>
              <w:t>1</w:t>
            </w:r>
            <w:r>
              <w:rPr>
                <w:rFonts w:hint="eastAsia"/>
                <w:color w:val="auto"/>
                <w:sz w:val="21"/>
                <w:szCs w:val="21"/>
                <w:u w:val="single"/>
              </w:rPr>
              <w:t>2</w:t>
            </w:r>
            <w:r>
              <w:rPr>
                <w:color w:val="auto"/>
                <w:sz w:val="21"/>
                <w:szCs w:val="21"/>
                <w:u w:val="single"/>
              </w:rPr>
              <w:t>.5</w:t>
            </w:r>
          </w:p>
        </w:tc>
        <w:tc>
          <w:tcPr>
            <w:tcW w:w="7308" w:type="dxa"/>
            <w:noWrap w:val="0"/>
            <w:vAlign w:val="top"/>
          </w:tcPr>
          <w:p w14:paraId="1CA0C00B">
            <w:pPr>
              <w:snapToGrid w:val="0"/>
              <w:rPr>
                <w:color w:val="auto"/>
                <w:sz w:val="21"/>
                <w:szCs w:val="21"/>
                <w:u w:val="single"/>
              </w:rPr>
            </w:pPr>
            <w:r>
              <w:rPr>
                <w:color w:val="auto"/>
                <w:sz w:val="21"/>
                <w:szCs w:val="21"/>
                <w:u w:val="single"/>
              </w:rPr>
              <w:t>深基坑或地质复杂基坑未采取支护措施</w:t>
            </w:r>
          </w:p>
        </w:tc>
        <w:tc>
          <w:tcPr>
            <w:tcW w:w="1205" w:type="dxa"/>
            <w:gridSpan w:val="3"/>
            <w:noWrap w:val="0"/>
            <w:vAlign w:val="top"/>
          </w:tcPr>
          <w:p w14:paraId="6F65D7CF">
            <w:pPr>
              <w:snapToGrid w:val="0"/>
              <w:jc w:val="center"/>
              <w:rPr>
                <w:color w:val="auto"/>
                <w:sz w:val="21"/>
                <w:szCs w:val="21"/>
                <w:u w:val="single"/>
              </w:rPr>
            </w:pPr>
          </w:p>
        </w:tc>
      </w:tr>
      <w:tr w14:paraId="77A1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0" w:type="dxa"/>
            <w:gridSpan w:val="5"/>
            <w:noWrap w:val="0"/>
            <w:vAlign w:val="top"/>
          </w:tcPr>
          <w:p w14:paraId="435A98DC">
            <w:pPr>
              <w:tabs>
                <w:tab w:val="center" w:pos="4765"/>
                <w:tab w:val="left" w:pos="6315"/>
              </w:tabs>
              <w:snapToGrid w:val="0"/>
              <w:rPr>
                <w:color w:val="auto"/>
                <w:sz w:val="21"/>
                <w:szCs w:val="21"/>
                <w:u w:val="single"/>
              </w:rPr>
            </w:pPr>
            <w:r>
              <w:rPr>
                <w:color w:val="auto"/>
                <w:sz w:val="21"/>
                <w:szCs w:val="21"/>
                <w:u w:val="single"/>
              </w:rPr>
              <w:t>1</w:t>
            </w:r>
            <w:r>
              <w:rPr>
                <w:rFonts w:hint="eastAsia"/>
                <w:color w:val="auto"/>
                <w:sz w:val="21"/>
                <w:szCs w:val="21"/>
                <w:u w:val="single"/>
              </w:rPr>
              <w:t>3</w:t>
            </w:r>
            <w:r>
              <w:rPr>
                <w:color w:val="auto"/>
                <w:sz w:val="21"/>
                <w:szCs w:val="21"/>
                <w:u w:val="single"/>
              </w:rPr>
              <w:t>.桩基及地基处理</w:t>
            </w:r>
            <w:r>
              <w:rPr>
                <w:rFonts w:hint="eastAsia"/>
                <w:color w:val="auto"/>
                <w:sz w:val="21"/>
                <w:szCs w:val="21"/>
                <w:u w:val="single"/>
              </w:rPr>
              <w:t xml:space="preserve">     </w:t>
            </w:r>
            <w:r>
              <w:rPr>
                <w:color w:val="auto"/>
                <w:sz w:val="21"/>
                <w:szCs w:val="21"/>
                <w:u w:val="single"/>
              </w:rPr>
              <w:t>违反下列行为给予</w:t>
            </w:r>
            <w:r>
              <w:rPr>
                <w:rFonts w:hint="eastAsia"/>
                <w:color w:val="auto"/>
                <w:sz w:val="21"/>
                <w:szCs w:val="21"/>
                <w:u w:val="single"/>
                <w:lang w:val="en-US" w:eastAsia="zh-CN"/>
              </w:rPr>
              <w:t>5</w:t>
            </w:r>
            <w:r>
              <w:rPr>
                <w:color w:val="auto"/>
                <w:sz w:val="21"/>
                <w:szCs w:val="21"/>
                <w:u w:val="single"/>
              </w:rPr>
              <w:t>000-</w:t>
            </w:r>
            <w:r>
              <w:rPr>
                <w:rFonts w:hint="eastAsia"/>
                <w:color w:val="auto"/>
                <w:sz w:val="21"/>
                <w:szCs w:val="21"/>
                <w:u w:val="single"/>
                <w:lang w:val="en-US" w:eastAsia="zh-CN"/>
              </w:rPr>
              <w:t>10</w:t>
            </w:r>
            <w:r>
              <w:rPr>
                <w:color w:val="auto"/>
                <w:sz w:val="21"/>
                <w:szCs w:val="21"/>
                <w:u w:val="single"/>
              </w:rPr>
              <w:t>000元处罚</w:t>
            </w:r>
          </w:p>
        </w:tc>
      </w:tr>
      <w:tr w14:paraId="791C8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2548C50">
            <w:pPr>
              <w:snapToGrid w:val="0"/>
              <w:jc w:val="center"/>
              <w:rPr>
                <w:color w:val="auto"/>
                <w:sz w:val="21"/>
                <w:szCs w:val="21"/>
                <w:u w:val="single"/>
              </w:rPr>
            </w:pPr>
            <w:r>
              <w:rPr>
                <w:color w:val="auto"/>
                <w:sz w:val="21"/>
                <w:szCs w:val="21"/>
                <w:u w:val="single"/>
              </w:rPr>
              <w:t>1</w:t>
            </w:r>
            <w:r>
              <w:rPr>
                <w:rFonts w:hint="eastAsia"/>
                <w:color w:val="auto"/>
                <w:sz w:val="21"/>
                <w:szCs w:val="21"/>
                <w:u w:val="single"/>
              </w:rPr>
              <w:t>3</w:t>
            </w:r>
            <w:r>
              <w:rPr>
                <w:color w:val="auto"/>
                <w:sz w:val="21"/>
                <w:szCs w:val="21"/>
                <w:u w:val="single"/>
              </w:rPr>
              <w:t>.1</w:t>
            </w:r>
          </w:p>
        </w:tc>
        <w:tc>
          <w:tcPr>
            <w:tcW w:w="7371" w:type="dxa"/>
            <w:gridSpan w:val="2"/>
            <w:noWrap w:val="0"/>
            <w:vAlign w:val="top"/>
          </w:tcPr>
          <w:p w14:paraId="13139016">
            <w:pPr>
              <w:snapToGrid w:val="0"/>
              <w:rPr>
                <w:color w:val="auto"/>
                <w:sz w:val="21"/>
                <w:szCs w:val="21"/>
                <w:u w:val="single"/>
              </w:rPr>
            </w:pPr>
            <w:r>
              <w:rPr>
                <w:color w:val="auto"/>
                <w:sz w:val="21"/>
                <w:szCs w:val="21"/>
                <w:u w:val="single"/>
              </w:rPr>
              <w:t>移动桩架时未采取防倾倒措施</w:t>
            </w:r>
          </w:p>
        </w:tc>
        <w:tc>
          <w:tcPr>
            <w:tcW w:w="1142" w:type="dxa"/>
            <w:gridSpan w:val="2"/>
            <w:noWrap w:val="0"/>
            <w:vAlign w:val="top"/>
          </w:tcPr>
          <w:p w14:paraId="0BC29BF7">
            <w:pPr>
              <w:snapToGrid w:val="0"/>
              <w:jc w:val="center"/>
              <w:rPr>
                <w:color w:val="auto"/>
                <w:sz w:val="21"/>
                <w:szCs w:val="21"/>
                <w:u w:val="single"/>
              </w:rPr>
            </w:pPr>
          </w:p>
        </w:tc>
      </w:tr>
      <w:tr w14:paraId="41C0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642ECF3">
            <w:pPr>
              <w:snapToGrid w:val="0"/>
              <w:jc w:val="center"/>
              <w:rPr>
                <w:color w:val="auto"/>
                <w:sz w:val="21"/>
                <w:szCs w:val="21"/>
                <w:u w:val="single"/>
              </w:rPr>
            </w:pPr>
            <w:r>
              <w:rPr>
                <w:color w:val="auto"/>
                <w:sz w:val="21"/>
                <w:szCs w:val="21"/>
                <w:u w:val="single"/>
              </w:rPr>
              <w:t>1</w:t>
            </w:r>
            <w:r>
              <w:rPr>
                <w:rFonts w:hint="eastAsia"/>
                <w:color w:val="auto"/>
                <w:sz w:val="21"/>
                <w:szCs w:val="21"/>
                <w:u w:val="single"/>
              </w:rPr>
              <w:t>3</w:t>
            </w:r>
            <w:r>
              <w:rPr>
                <w:color w:val="auto"/>
                <w:sz w:val="21"/>
                <w:szCs w:val="21"/>
                <w:u w:val="single"/>
              </w:rPr>
              <w:t>.2</w:t>
            </w:r>
          </w:p>
        </w:tc>
        <w:tc>
          <w:tcPr>
            <w:tcW w:w="7371" w:type="dxa"/>
            <w:gridSpan w:val="2"/>
            <w:noWrap w:val="0"/>
            <w:vAlign w:val="top"/>
          </w:tcPr>
          <w:p w14:paraId="43679F5E">
            <w:pPr>
              <w:snapToGrid w:val="0"/>
              <w:rPr>
                <w:color w:val="auto"/>
                <w:sz w:val="21"/>
                <w:szCs w:val="21"/>
                <w:u w:val="single"/>
              </w:rPr>
            </w:pPr>
            <w:r>
              <w:rPr>
                <w:color w:val="auto"/>
                <w:sz w:val="21"/>
                <w:szCs w:val="21"/>
                <w:u w:val="single"/>
              </w:rPr>
              <w:t>人工挖孔桩未有可靠护壁并设专人监护</w:t>
            </w:r>
          </w:p>
        </w:tc>
        <w:tc>
          <w:tcPr>
            <w:tcW w:w="1142" w:type="dxa"/>
            <w:gridSpan w:val="2"/>
            <w:noWrap w:val="0"/>
            <w:vAlign w:val="top"/>
          </w:tcPr>
          <w:p w14:paraId="6755DBBE">
            <w:pPr>
              <w:snapToGrid w:val="0"/>
              <w:jc w:val="center"/>
              <w:rPr>
                <w:color w:val="auto"/>
                <w:sz w:val="21"/>
                <w:szCs w:val="21"/>
                <w:u w:val="single"/>
              </w:rPr>
            </w:pPr>
          </w:p>
        </w:tc>
      </w:tr>
      <w:tr w14:paraId="2ECD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C93C061">
            <w:pPr>
              <w:snapToGrid w:val="0"/>
              <w:jc w:val="center"/>
              <w:rPr>
                <w:color w:val="auto"/>
                <w:sz w:val="21"/>
                <w:szCs w:val="21"/>
                <w:u w:val="single"/>
              </w:rPr>
            </w:pPr>
            <w:r>
              <w:rPr>
                <w:color w:val="auto"/>
                <w:sz w:val="21"/>
                <w:szCs w:val="21"/>
                <w:u w:val="single"/>
              </w:rPr>
              <w:t>1</w:t>
            </w:r>
            <w:r>
              <w:rPr>
                <w:rFonts w:hint="eastAsia"/>
                <w:color w:val="auto"/>
                <w:sz w:val="21"/>
                <w:szCs w:val="21"/>
                <w:u w:val="single"/>
              </w:rPr>
              <w:t>3</w:t>
            </w:r>
            <w:r>
              <w:rPr>
                <w:color w:val="auto"/>
                <w:sz w:val="21"/>
                <w:szCs w:val="21"/>
                <w:u w:val="single"/>
              </w:rPr>
              <w:t>.3</w:t>
            </w:r>
          </w:p>
        </w:tc>
        <w:tc>
          <w:tcPr>
            <w:tcW w:w="7371" w:type="dxa"/>
            <w:gridSpan w:val="2"/>
            <w:noWrap w:val="0"/>
            <w:vAlign w:val="top"/>
          </w:tcPr>
          <w:p w14:paraId="46341875">
            <w:pPr>
              <w:snapToGrid w:val="0"/>
              <w:rPr>
                <w:color w:val="auto"/>
                <w:sz w:val="21"/>
                <w:szCs w:val="21"/>
                <w:u w:val="single"/>
              </w:rPr>
            </w:pPr>
            <w:r>
              <w:rPr>
                <w:color w:val="auto"/>
                <w:sz w:val="21"/>
                <w:szCs w:val="21"/>
                <w:u w:val="single"/>
              </w:rPr>
              <w:t>强夯区域未设警戒区域</w:t>
            </w:r>
          </w:p>
        </w:tc>
        <w:tc>
          <w:tcPr>
            <w:tcW w:w="1142" w:type="dxa"/>
            <w:gridSpan w:val="2"/>
            <w:noWrap w:val="0"/>
            <w:vAlign w:val="top"/>
          </w:tcPr>
          <w:p w14:paraId="713C58DB">
            <w:pPr>
              <w:snapToGrid w:val="0"/>
              <w:jc w:val="center"/>
              <w:rPr>
                <w:color w:val="auto"/>
                <w:sz w:val="21"/>
                <w:szCs w:val="21"/>
                <w:u w:val="single"/>
              </w:rPr>
            </w:pPr>
          </w:p>
        </w:tc>
      </w:tr>
      <w:tr w14:paraId="7BF8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0" w:type="dxa"/>
            <w:gridSpan w:val="5"/>
            <w:noWrap w:val="0"/>
            <w:vAlign w:val="top"/>
          </w:tcPr>
          <w:p w14:paraId="5211E7E6">
            <w:pPr>
              <w:snapToGrid w:val="0"/>
              <w:rPr>
                <w:color w:val="auto"/>
                <w:sz w:val="21"/>
                <w:szCs w:val="21"/>
                <w:u w:val="single"/>
              </w:rPr>
            </w:pPr>
            <w:r>
              <w:rPr>
                <w:color w:val="auto"/>
                <w:sz w:val="21"/>
                <w:szCs w:val="21"/>
                <w:u w:val="single"/>
              </w:rPr>
              <w:t>1</w:t>
            </w:r>
            <w:r>
              <w:rPr>
                <w:rFonts w:hint="eastAsia"/>
                <w:color w:val="auto"/>
                <w:sz w:val="21"/>
                <w:szCs w:val="21"/>
                <w:u w:val="single"/>
              </w:rPr>
              <w:t>4</w:t>
            </w:r>
            <w:r>
              <w:rPr>
                <w:color w:val="auto"/>
                <w:sz w:val="21"/>
                <w:szCs w:val="21"/>
                <w:u w:val="single"/>
              </w:rPr>
              <w:t>.混凝土结构施工    违反下列行为给予</w:t>
            </w:r>
            <w:r>
              <w:rPr>
                <w:rFonts w:hint="eastAsia"/>
                <w:color w:val="auto"/>
                <w:sz w:val="21"/>
                <w:szCs w:val="21"/>
                <w:u w:val="single"/>
                <w:lang w:val="en-US" w:eastAsia="zh-CN"/>
              </w:rPr>
              <w:t>5</w:t>
            </w:r>
            <w:r>
              <w:rPr>
                <w:color w:val="auto"/>
                <w:sz w:val="21"/>
                <w:szCs w:val="21"/>
                <w:u w:val="single"/>
              </w:rPr>
              <w:t>000-</w:t>
            </w:r>
            <w:r>
              <w:rPr>
                <w:rFonts w:hint="eastAsia"/>
                <w:color w:val="auto"/>
                <w:sz w:val="21"/>
                <w:szCs w:val="21"/>
                <w:u w:val="single"/>
                <w:lang w:val="en-US" w:eastAsia="zh-CN"/>
              </w:rPr>
              <w:t>10</w:t>
            </w:r>
            <w:r>
              <w:rPr>
                <w:color w:val="auto"/>
                <w:sz w:val="21"/>
                <w:szCs w:val="21"/>
                <w:u w:val="single"/>
              </w:rPr>
              <w:t>000元处罚</w:t>
            </w:r>
          </w:p>
        </w:tc>
      </w:tr>
      <w:tr w14:paraId="07CA9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1DF52E4">
            <w:pPr>
              <w:snapToGrid w:val="0"/>
              <w:jc w:val="center"/>
              <w:rPr>
                <w:color w:val="auto"/>
                <w:sz w:val="21"/>
                <w:szCs w:val="21"/>
                <w:u w:val="single"/>
              </w:rPr>
            </w:pPr>
            <w:r>
              <w:rPr>
                <w:color w:val="auto"/>
                <w:sz w:val="21"/>
                <w:szCs w:val="21"/>
                <w:u w:val="single"/>
              </w:rPr>
              <w:t>1</w:t>
            </w:r>
            <w:r>
              <w:rPr>
                <w:rFonts w:hint="eastAsia"/>
                <w:color w:val="auto"/>
                <w:sz w:val="21"/>
                <w:szCs w:val="21"/>
                <w:u w:val="single"/>
              </w:rPr>
              <w:t>4</w:t>
            </w:r>
            <w:r>
              <w:rPr>
                <w:color w:val="auto"/>
                <w:sz w:val="21"/>
                <w:szCs w:val="21"/>
                <w:u w:val="single"/>
              </w:rPr>
              <w:t>.1</w:t>
            </w:r>
          </w:p>
        </w:tc>
        <w:tc>
          <w:tcPr>
            <w:tcW w:w="7371" w:type="dxa"/>
            <w:gridSpan w:val="2"/>
            <w:noWrap w:val="0"/>
            <w:vAlign w:val="top"/>
          </w:tcPr>
          <w:p w14:paraId="0C86EC07">
            <w:pPr>
              <w:snapToGrid w:val="0"/>
              <w:rPr>
                <w:color w:val="auto"/>
                <w:sz w:val="21"/>
                <w:szCs w:val="21"/>
                <w:u w:val="single"/>
              </w:rPr>
            </w:pPr>
            <w:r>
              <w:rPr>
                <w:color w:val="auto"/>
                <w:sz w:val="21"/>
                <w:szCs w:val="21"/>
                <w:u w:val="single"/>
              </w:rPr>
              <w:t>松动或悬挂模板、扣件、混凝土块未及时清理</w:t>
            </w:r>
          </w:p>
        </w:tc>
        <w:tc>
          <w:tcPr>
            <w:tcW w:w="1142" w:type="dxa"/>
            <w:gridSpan w:val="2"/>
            <w:noWrap w:val="0"/>
            <w:vAlign w:val="top"/>
          </w:tcPr>
          <w:p w14:paraId="467A78D8">
            <w:pPr>
              <w:snapToGrid w:val="0"/>
              <w:jc w:val="center"/>
              <w:rPr>
                <w:color w:val="auto"/>
                <w:sz w:val="21"/>
                <w:szCs w:val="21"/>
                <w:u w:val="single"/>
              </w:rPr>
            </w:pPr>
          </w:p>
        </w:tc>
      </w:tr>
      <w:tr w14:paraId="62ED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31DC4DF">
            <w:pPr>
              <w:snapToGrid w:val="0"/>
              <w:jc w:val="center"/>
              <w:rPr>
                <w:color w:val="auto"/>
                <w:sz w:val="21"/>
                <w:szCs w:val="21"/>
                <w:u w:val="single"/>
              </w:rPr>
            </w:pPr>
            <w:r>
              <w:rPr>
                <w:color w:val="auto"/>
                <w:sz w:val="21"/>
                <w:szCs w:val="21"/>
                <w:u w:val="single"/>
              </w:rPr>
              <w:t>1</w:t>
            </w:r>
            <w:r>
              <w:rPr>
                <w:rFonts w:hint="eastAsia"/>
                <w:color w:val="auto"/>
                <w:sz w:val="21"/>
                <w:szCs w:val="21"/>
                <w:u w:val="single"/>
              </w:rPr>
              <w:t>4</w:t>
            </w:r>
            <w:r>
              <w:rPr>
                <w:color w:val="auto"/>
                <w:sz w:val="21"/>
                <w:szCs w:val="21"/>
                <w:u w:val="single"/>
              </w:rPr>
              <w:t>.2</w:t>
            </w:r>
          </w:p>
        </w:tc>
        <w:tc>
          <w:tcPr>
            <w:tcW w:w="7371" w:type="dxa"/>
            <w:gridSpan w:val="2"/>
            <w:noWrap w:val="0"/>
            <w:vAlign w:val="top"/>
          </w:tcPr>
          <w:p w14:paraId="6EB88CC4">
            <w:pPr>
              <w:snapToGrid w:val="0"/>
              <w:rPr>
                <w:color w:val="auto"/>
                <w:sz w:val="21"/>
                <w:szCs w:val="21"/>
                <w:u w:val="single"/>
              </w:rPr>
            </w:pPr>
            <w:r>
              <w:rPr>
                <w:color w:val="auto"/>
                <w:sz w:val="21"/>
                <w:szCs w:val="21"/>
                <w:u w:val="single"/>
              </w:rPr>
              <w:t>钢筋冷拉两侧2米未设警戒区域，使用不符合要求冷拉夹头，冷拉卷扬机处未设档板</w:t>
            </w:r>
          </w:p>
        </w:tc>
        <w:tc>
          <w:tcPr>
            <w:tcW w:w="1142" w:type="dxa"/>
            <w:gridSpan w:val="2"/>
            <w:noWrap w:val="0"/>
            <w:vAlign w:val="top"/>
          </w:tcPr>
          <w:p w14:paraId="63F79C92">
            <w:pPr>
              <w:snapToGrid w:val="0"/>
              <w:jc w:val="center"/>
              <w:rPr>
                <w:color w:val="auto"/>
                <w:sz w:val="21"/>
                <w:szCs w:val="21"/>
                <w:u w:val="single"/>
              </w:rPr>
            </w:pPr>
          </w:p>
        </w:tc>
      </w:tr>
      <w:tr w14:paraId="5CAA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E8B623D">
            <w:pPr>
              <w:snapToGrid w:val="0"/>
              <w:jc w:val="center"/>
              <w:rPr>
                <w:color w:val="auto"/>
                <w:sz w:val="21"/>
                <w:szCs w:val="21"/>
                <w:u w:val="single"/>
              </w:rPr>
            </w:pPr>
            <w:r>
              <w:rPr>
                <w:color w:val="auto"/>
                <w:sz w:val="21"/>
                <w:szCs w:val="21"/>
                <w:u w:val="single"/>
              </w:rPr>
              <w:t>1</w:t>
            </w:r>
            <w:r>
              <w:rPr>
                <w:rFonts w:hint="eastAsia"/>
                <w:color w:val="auto"/>
                <w:sz w:val="21"/>
                <w:szCs w:val="21"/>
                <w:u w:val="single"/>
              </w:rPr>
              <w:t>4</w:t>
            </w:r>
            <w:r>
              <w:rPr>
                <w:color w:val="auto"/>
                <w:sz w:val="21"/>
                <w:szCs w:val="21"/>
                <w:u w:val="single"/>
              </w:rPr>
              <w:t>.3</w:t>
            </w:r>
          </w:p>
        </w:tc>
        <w:tc>
          <w:tcPr>
            <w:tcW w:w="7371" w:type="dxa"/>
            <w:gridSpan w:val="2"/>
            <w:noWrap w:val="0"/>
            <w:vAlign w:val="top"/>
          </w:tcPr>
          <w:p w14:paraId="4F92A809">
            <w:pPr>
              <w:snapToGrid w:val="0"/>
              <w:rPr>
                <w:color w:val="auto"/>
                <w:sz w:val="21"/>
                <w:szCs w:val="21"/>
                <w:u w:val="single"/>
              </w:rPr>
            </w:pPr>
            <w:r>
              <w:rPr>
                <w:color w:val="auto"/>
                <w:sz w:val="21"/>
                <w:szCs w:val="21"/>
                <w:u w:val="single"/>
              </w:rPr>
              <w:t>钢筋绑扎未采取防止倾倒和人员坠落措施</w:t>
            </w:r>
          </w:p>
        </w:tc>
        <w:tc>
          <w:tcPr>
            <w:tcW w:w="1142" w:type="dxa"/>
            <w:gridSpan w:val="2"/>
            <w:noWrap w:val="0"/>
            <w:vAlign w:val="top"/>
          </w:tcPr>
          <w:p w14:paraId="0F6C3767">
            <w:pPr>
              <w:snapToGrid w:val="0"/>
              <w:jc w:val="center"/>
              <w:rPr>
                <w:color w:val="auto"/>
                <w:sz w:val="21"/>
                <w:szCs w:val="21"/>
                <w:u w:val="single"/>
              </w:rPr>
            </w:pPr>
          </w:p>
        </w:tc>
      </w:tr>
      <w:tr w14:paraId="6F08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DCBAD15">
            <w:pPr>
              <w:snapToGrid w:val="0"/>
              <w:jc w:val="center"/>
              <w:rPr>
                <w:color w:val="auto"/>
                <w:sz w:val="21"/>
                <w:szCs w:val="21"/>
                <w:u w:val="single"/>
              </w:rPr>
            </w:pPr>
            <w:r>
              <w:rPr>
                <w:color w:val="auto"/>
                <w:sz w:val="21"/>
                <w:szCs w:val="21"/>
                <w:u w:val="single"/>
              </w:rPr>
              <w:t>1</w:t>
            </w:r>
            <w:r>
              <w:rPr>
                <w:rFonts w:hint="eastAsia"/>
                <w:color w:val="auto"/>
                <w:sz w:val="21"/>
                <w:szCs w:val="21"/>
                <w:u w:val="single"/>
              </w:rPr>
              <w:t>4</w:t>
            </w:r>
            <w:r>
              <w:rPr>
                <w:color w:val="auto"/>
                <w:sz w:val="21"/>
                <w:szCs w:val="21"/>
                <w:u w:val="single"/>
              </w:rPr>
              <w:t>.4</w:t>
            </w:r>
          </w:p>
        </w:tc>
        <w:tc>
          <w:tcPr>
            <w:tcW w:w="7371" w:type="dxa"/>
            <w:gridSpan w:val="2"/>
            <w:noWrap w:val="0"/>
            <w:vAlign w:val="top"/>
          </w:tcPr>
          <w:p w14:paraId="1ECF6343">
            <w:pPr>
              <w:snapToGrid w:val="0"/>
              <w:rPr>
                <w:color w:val="auto"/>
                <w:sz w:val="21"/>
                <w:szCs w:val="21"/>
                <w:u w:val="single"/>
              </w:rPr>
            </w:pPr>
            <w:r>
              <w:rPr>
                <w:color w:val="auto"/>
                <w:sz w:val="21"/>
                <w:szCs w:val="21"/>
                <w:u w:val="single"/>
              </w:rPr>
              <w:t>振动器操作人员未穿胶鞋、戴绝缘手套</w:t>
            </w:r>
          </w:p>
        </w:tc>
        <w:tc>
          <w:tcPr>
            <w:tcW w:w="1142" w:type="dxa"/>
            <w:gridSpan w:val="2"/>
            <w:noWrap w:val="0"/>
            <w:vAlign w:val="top"/>
          </w:tcPr>
          <w:p w14:paraId="07410578">
            <w:pPr>
              <w:snapToGrid w:val="0"/>
              <w:jc w:val="center"/>
              <w:rPr>
                <w:color w:val="auto"/>
                <w:sz w:val="21"/>
                <w:szCs w:val="21"/>
                <w:u w:val="single"/>
              </w:rPr>
            </w:pPr>
          </w:p>
        </w:tc>
      </w:tr>
      <w:tr w14:paraId="2D65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0" w:type="dxa"/>
            <w:gridSpan w:val="5"/>
            <w:noWrap w:val="0"/>
            <w:vAlign w:val="center"/>
          </w:tcPr>
          <w:p w14:paraId="7CC095AD">
            <w:pPr>
              <w:snapToGrid w:val="0"/>
              <w:jc w:val="left"/>
              <w:rPr>
                <w:color w:val="auto"/>
                <w:sz w:val="21"/>
                <w:szCs w:val="21"/>
                <w:u w:val="single"/>
              </w:rPr>
            </w:pPr>
            <w:r>
              <w:rPr>
                <w:color w:val="auto"/>
                <w:sz w:val="21"/>
                <w:szCs w:val="21"/>
                <w:u w:val="single"/>
              </w:rPr>
              <w:t>1</w:t>
            </w:r>
            <w:r>
              <w:rPr>
                <w:rFonts w:hint="eastAsia"/>
                <w:color w:val="auto"/>
                <w:sz w:val="21"/>
                <w:szCs w:val="21"/>
                <w:u w:val="single"/>
              </w:rPr>
              <w:t>5</w:t>
            </w:r>
            <w:r>
              <w:rPr>
                <w:color w:val="auto"/>
                <w:sz w:val="21"/>
                <w:szCs w:val="21"/>
                <w:u w:val="single"/>
              </w:rPr>
              <w:t>.烟囱工程   违反下列行为给予</w:t>
            </w:r>
            <w:r>
              <w:rPr>
                <w:rFonts w:hint="eastAsia"/>
                <w:color w:val="auto"/>
                <w:sz w:val="21"/>
                <w:szCs w:val="21"/>
                <w:u w:val="single"/>
                <w:lang w:val="en-US" w:eastAsia="zh-CN"/>
              </w:rPr>
              <w:t>5</w:t>
            </w:r>
            <w:r>
              <w:rPr>
                <w:color w:val="auto"/>
                <w:sz w:val="21"/>
                <w:szCs w:val="21"/>
                <w:u w:val="single"/>
              </w:rPr>
              <w:t>000-</w:t>
            </w:r>
            <w:r>
              <w:rPr>
                <w:rFonts w:hint="eastAsia"/>
                <w:color w:val="auto"/>
                <w:sz w:val="21"/>
                <w:szCs w:val="21"/>
                <w:u w:val="single"/>
                <w:lang w:val="en-US" w:eastAsia="zh-CN"/>
              </w:rPr>
              <w:t>10</w:t>
            </w:r>
            <w:r>
              <w:rPr>
                <w:color w:val="auto"/>
                <w:sz w:val="21"/>
                <w:szCs w:val="21"/>
                <w:u w:val="single"/>
              </w:rPr>
              <w:t>000元处罚</w:t>
            </w:r>
          </w:p>
        </w:tc>
      </w:tr>
      <w:tr w14:paraId="431B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C8E8C9A">
            <w:pPr>
              <w:snapToGrid w:val="0"/>
              <w:jc w:val="center"/>
              <w:rPr>
                <w:color w:val="auto"/>
                <w:sz w:val="21"/>
                <w:szCs w:val="21"/>
                <w:u w:val="single"/>
              </w:rPr>
            </w:pPr>
            <w:r>
              <w:rPr>
                <w:color w:val="auto"/>
                <w:sz w:val="21"/>
                <w:szCs w:val="21"/>
                <w:u w:val="single"/>
              </w:rPr>
              <w:t>1</w:t>
            </w:r>
            <w:r>
              <w:rPr>
                <w:rFonts w:hint="eastAsia"/>
                <w:color w:val="auto"/>
                <w:sz w:val="21"/>
                <w:szCs w:val="21"/>
                <w:u w:val="single"/>
              </w:rPr>
              <w:t>5</w:t>
            </w:r>
            <w:r>
              <w:rPr>
                <w:color w:val="auto"/>
                <w:sz w:val="21"/>
                <w:szCs w:val="21"/>
                <w:u w:val="single"/>
              </w:rPr>
              <w:t>.1</w:t>
            </w:r>
          </w:p>
        </w:tc>
        <w:tc>
          <w:tcPr>
            <w:tcW w:w="7371" w:type="dxa"/>
            <w:gridSpan w:val="2"/>
            <w:noWrap w:val="0"/>
            <w:vAlign w:val="top"/>
          </w:tcPr>
          <w:p w14:paraId="5F0DBF43">
            <w:pPr>
              <w:snapToGrid w:val="0"/>
              <w:rPr>
                <w:color w:val="auto"/>
                <w:sz w:val="21"/>
                <w:szCs w:val="21"/>
                <w:u w:val="single"/>
              </w:rPr>
            </w:pPr>
            <w:r>
              <w:rPr>
                <w:color w:val="auto"/>
                <w:sz w:val="21"/>
                <w:szCs w:val="21"/>
                <w:u w:val="single"/>
              </w:rPr>
              <w:t>烟囱工程未划分危险区，未设置围栏和警告牌</w:t>
            </w:r>
          </w:p>
        </w:tc>
        <w:tc>
          <w:tcPr>
            <w:tcW w:w="1142" w:type="dxa"/>
            <w:gridSpan w:val="2"/>
            <w:noWrap w:val="0"/>
            <w:vAlign w:val="top"/>
          </w:tcPr>
          <w:p w14:paraId="6D5B5CA6">
            <w:pPr>
              <w:snapToGrid w:val="0"/>
              <w:jc w:val="center"/>
              <w:rPr>
                <w:color w:val="auto"/>
                <w:sz w:val="21"/>
                <w:szCs w:val="21"/>
                <w:u w:val="single"/>
              </w:rPr>
            </w:pPr>
          </w:p>
        </w:tc>
      </w:tr>
      <w:tr w14:paraId="32CD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89CC02B">
            <w:pPr>
              <w:snapToGrid w:val="0"/>
              <w:jc w:val="center"/>
              <w:rPr>
                <w:color w:val="auto"/>
                <w:sz w:val="21"/>
                <w:szCs w:val="21"/>
                <w:u w:val="single"/>
              </w:rPr>
            </w:pPr>
            <w:r>
              <w:rPr>
                <w:color w:val="auto"/>
                <w:sz w:val="21"/>
                <w:szCs w:val="21"/>
                <w:u w:val="single"/>
              </w:rPr>
              <w:t>1</w:t>
            </w:r>
            <w:r>
              <w:rPr>
                <w:rFonts w:hint="eastAsia"/>
                <w:color w:val="auto"/>
                <w:sz w:val="21"/>
                <w:szCs w:val="21"/>
                <w:u w:val="single"/>
              </w:rPr>
              <w:t>5</w:t>
            </w:r>
            <w:r>
              <w:rPr>
                <w:color w:val="auto"/>
                <w:sz w:val="21"/>
                <w:szCs w:val="21"/>
                <w:u w:val="single"/>
              </w:rPr>
              <w:t>.2</w:t>
            </w:r>
          </w:p>
        </w:tc>
        <w:tc>
          <w:tcPr>
            <w:tcW w:w="7371" w:type="dxa"/>
            <w:gridSpan w:val="2"/>
            <w:noWrap w:val="0"/>
            <w:vAlign w:val="top"/>
          </w:tcPr>
          <w:p w14:paraId="4D75CEAC">
            <w:pPr>
              <w:snapToGrid w:val="0"/>
              <w:rPr>
                <w:color w:val="auto"/>
                <w:sz w:val="21"/>
                <w:szCs w:val="21"/>
                <w:u w:val="single"/>
              </w:rPr>
            </w:pPr>
            <w:r>
              <w:rPr>
                <w:color w:val="auto"/>
                <w:sz w:val="21"/>
                <w:szCs w:val="21"/>
                <w:u w:val="single"/>
              </w:rPr>
              <w:t>烟囱入口通道未搭设</w:t>
            </w:r>
            <w:r>
              <w:rPr>
                <w:rFonts w:hint="eastAsia"/>
                <w:color w:val="auto"/>
                <w:sz w:val="21"/>
                <w:szCs w:val="21"/>
                <w:u w:val="single"/>
              </w:rPr>
              <w:t>符合规范要求的</w:t>
            </w:r>
            <w:r>
              <w:rPr>
                <w:color w:val="auto"/>
                <w:sz w:val="21"/>
                <w:szCs w:val="21"/>
                <w:u w:val="single"/>
              </w:rPr>
              <w:t>防护隔离层</w:t>
            </w:r>
          </w:p>
        </w:tc>
        <w:tc>
          <w:tcPr>
            <w:tcW w:w="1142" w:type="dxa"/>
            <w:gridSpan w:val="2"/>
            <w:noWrap w:val="0"/>
            <w:vAlign w:val="top"/>
          </w:tcPr>
          <w:p w14:paraId="5C2C8FED">
            <w:pPr>
              <w:snapToGrid w:val="0"/>
              <w:jc w:val="center"/>
              <w:rPr>
                <w:color w:val="auto"/>
                <w:sz w:val="21"/>
                <w:szCs w:val="21"/>
                <w:u w:val="single"/>
              </w:rPr>
            </w:pPr>
          </w:p>
        </w:tc>
      </w:tr>
      <w:tr w14:paraId="4854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248C2BE">
            <w:pPr>
              <w:snapToGrid w:val="0"/>
              <w:jc w:val="center"/>
              <w:rPr>
                <w:color w:val="auto"/>
                <w:sz w:val="21"/>
                <w:szCs w:val="21"/>
                <w:u w:val="single"/>
              </w:rPr>
            </w:pPr>
            <w:r>
              <w:rPr>
                <w:color w:val="auto"/>
                <w:sz w:val="21"/>
                <w:szCs w:val="21"/>
                <w:u w:val="single"/>
              </w:rPr>
              <w:t>1</w:t>
            </w:r>
            <w:r>
              <w:rPr>
                <w:rFonts w:hint="eastAsia"/>
                <w:color w:val="auto"/>
                <w:sz w:val="21"/>
                <w:szCs w:val="21"/>
                <w:u w:val="single"/>
              </w:rPr>
              <w:t>5</w:t>
            </w:r>
            <w:r>
              <w:rPr>
                <w:color w:val="auto"/>
                <w:sz w:val="21"/>
                <w:szCs w:val="21"/>
                <w:u w:val="single"/>
              </w:rPr>
              <w:t>.3</w:t>
            </w:r>
          </w:p>
        </w:tc>
        <w:tc>
          <w:tcPr>
            <w:tcW w:w="7371" w:type="dxa"/>
            <w:gridSpan w:val="2"/>
            <w:noWrap w:val="0"/>
            <w:vAlign w:val="top"/>
          </w:tcPr>
          <w:p w14:paraId="30EDC271">
            <w:pPr>
              <w:snapToGrid w:val="0"/>
              <w:rPr>
                <w:color w:val="auto"/>
                <w:sz w:val="21"/>
                <w:szCs w:val="21"/>
                <w:u w:val="single"/>
              </w:rPr>
            </w:pPr>
            <w:r>
              <w:rPr>
                <w:color w:val="auto"/>
                <w:sz w:val="21"/>
                <w:szCs w:val="21"/>
                <w:u w:val="single"/>
              </w:rPr>
              <w:t>烟囱井架未按规定设置缆风绳</w:t>
            </w:r>
          </w:p>
        </w:tc>
        <w:tc>
          <w:tcPr>
            <w:tcW w:w="1142" w:type="dxa"/>
            <w:gridSpan w:val="2"/>
            <w:noWrap w:val="0"/>
            <w:vAlign w:val="top"/>
          </w:tcPr>
          <w:p w14:paraId="67FEECB2">
            <w:pPr>
              <w:snapToGrid w:val="0"/>
              <w:jc w:val="center"/>
              <w:rPr>
                <w:color w:val="auto"/>
                <w:sz w:val="21"/>
                <w:szCs w:val="21"/>
                <w:u w:val="single"/>
              </w:rPr>
            </w:pPr>
          </w:p>
        </w:tc>
      </w:tr>
      <w:tr w14:paraId="3318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DE034F4">
            <w:pPr>
              <w:snapToGrid w:val="0"/>
              <w:jc w:val="center"/>
              <w:rPr>
                <w:color w:val="auto"/>
                <w:sz w:val="21"/>
                <w:szCs w:val="21"/>
                <w:u w:val="single"/>
              </w:rPr>
            </w:pPr>
            <w:r>
              <w:rPr>
                <w:color w:val="auto"/>
                <w:sz w:val="21"/>
                <w:szCs w:val="21"/>
                <w:u w:val="single"/>
              </w:rPr>
              <w:t>1</w:t>
            </w:r>
            <w:r>
              <w:rPr>
                <w:rFonts w:hint="eastAsia"/>
                <w:color w:val="auto"/>
                <w:sz w:val="21"/>
                <w:szCs w:val="21"/>
                <w:u w:val="single"/>
              </w:rPr>
              <w:t>5</w:t>
            </w:r>
            <w:r>
              <w:rPr>
                <w:color w:val="auto"/>
                <w:sz w:val="21"/>
                <w:szCs w:val="21"/>
                <w:u w:val="single"/>
              </w:rPr>
              <w:t>.4</w:t>
            </w:r>
          </w:p>
        </w:tc>
        <w:tc>
          <w:tcPr>
            <w:tcW w:w="7371" w:type="dxa"/>
            <w:gridSpan w:val="2"/>
            <w:noWrap w:val="0"/>
            <w:vAlign w:val="top"/>
          </w:tcPr>
          <w:p w14:paraId="6FD46BD3">
            <w:pPr>
              <w:snapToGrid w:val="0"/>
              <w:rPr>
                <w:color w:val="auto"/>
                <w:sz w:val="21"/>
                <w:szCs w:val="21"/>
                <w:u w:val="single"/>
              </w:rPr>
            </w:pPr>
            <w:r>
              <w:rPr>
                <w:color w:val="auto"/>
                <w:sz w:val="21"/>
                <w:szCs w:val="21"/>
                <w:u w:val="single"/>
              </w:rPr>
              <w:t>烟囱平台未按规定设置栏杆与安全网</w:t>
            </w:r>
          </w:p>
        </w:tc>
        <w:tc>
          <w:tcPr>
            <w:tcW w:w="1142" w:type="dxa"/>
            <w:gridSpan w:val="2"/>
            <w:noWrap w:val="0"/>
            <w:vAlign w:val="top"/>
          </w:tcPr>
          <w:p w14:paraId="509BAE3D">
            <w:pPr>
              <w:snapToGrid w:val="0"/>
              <w:jc w:val="center"/>
              <w:rPr>
                <w:color w:val="auto"/>
                <w:sz w:val="21"/>
                <w:szCs w:val="21"/>
                <w:u w:val="single"/>
              </w:rPr>
            </w:pPr>
          </w:p>
        </w:tc>
      </w:tr>
      <w:tr w14:paraId="3C19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BAC28DF">
            <w:pPr>
              <w:snapToGrid w:val="0"/>
              <w:jc w:val="center"/>
              <w:rPr>
                <w:color w:val="auto"/>
                <w:sz w:val="21"/>
                <w:szCs w:val="21"/>
                <w:u w:val="single"/>
              </w:rPr>
            </w:pPr>
            <w:r>
              <w:rPr>
                <w:color w:val="auto"/>
                <w:sz w:val="21"/>
                <w:szCs w:val="21"/>
                <w:u w:val="single"/>
              </w:rPr>
              <w:t>1</w:t>
            </w:r>
            <w:r>
              <w:rPr>
                <w:rFonts w:hint="eastAsia"/>
                <w:color w:val="auto"/>
                <w:sz w:val="21"/>
                <w:szCs w:val="21"/>
                <w:u w:val="single"/>
              </w:rPr>
              <w:t>5</w:t>
            </w:r>
            <w:r>
              <w:rPr>
                <w:color w:val="auto"/>
                <w:sz w:val="21"/>
                <w:szCs w:val="21"/>
                <w:u w:val="single"/>
              </w:rPr>
              <w:t>.5</w:t>
            </w:r>
          </w:p>
        </w:tc>
        <w:tc>
          <w:tcPr>
            <w:tcW w:w="7371" w:type="dxa"/>
            <w:gridSpan w:val="2"/>
            <w:noWrap w:val="0"/>
            <w:vAlign w:val="top"/>
          </w:tcPr>
          <w:p w14:paraId="0B583D66">
            <w:pPr>
              <w:snapToGrid w:val="0"/>
              <w:rPr>
                <w:color w:val="auto"/>
                <w:sz w:val="21"/>
                <w:szCs w:val="21"/>
                <w:u w:val="single"/>
              </w:rPr>
            </w:pPr>
            <w:r>
              <w:rPr>
                <w:color w:val="auto"/>
                <w:sz w:val="21"/>
                <w:szCs w:val="21"/>
                <w:u w:val="single"/>
              </w:rPr>
              <w:t>烟囱外侧使用</w:t>
            </w:r>
            <w:r>
              <w:rPr>
                <w:rFonts w:hint="eastAsia"/>
                <w:color w:val="auto"/>
                <w:sz w:val="21"/>
                <w:szCs w:val="21"/>
                <w:u w:val="single"/>
              </w:rPr>
              <w:t>吊篮</w:t>
            </w:r>
            <w:r>
              <w:rPr>
                <w:color w:val="auto"/>
                <w:sz w:val="21"/>
                <w:szCs w:val="21"/>
                <w:u w:val="single"/>
              </w:rPr>
              <w:t>进行作业时未设保险钢绳、防护绳，人员未扣安全带</w:t>
            </w:r>
          </w:p>
        </w:tc>
        <w:tc>
          <w:tcPr>
            <w:tcW w:w="1142" w:type="dxa"/>
            <w:gridSpan w:val="2"/>
            <w:noWrap w:val="0"/>
            <w:vAlign w:val="top"/>
          </w:tcPr>
          <w:p w14:paraId="26406348">
            <w:pPr>
              <w:snapToGrid w:val="0"/>
              <w:jc w:val="center"/>
              <w:rPr>
                <w:color w:val="auto"/>
                <w:sz w:val="21"/>
                <w:szCs w:val="21"/>
                <w:u w:val="single"/>
              </w:rPr>
            </w:pPr>
          </w:p>
        </w:tc>
      </w:tr>
      <w:tr w14:paraId="4F71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0" w:type="dxa"/>
            <w:gridSpan w:val="5"/>
            <w:noWrap w:val="0"/>
            <w:vAlign w:val="top"/>
          </w:tcPr>
          <w:p w14:paraId="65BB483C">
            <w:pPr>
              <w:snapToGrid w:val="0"/>
              <w:rPr>
                <w:color w:val="auto"/>
                <w:sz w:val="21"/>
                <w:szCs w:val="21"/>
                <w:u w:val="single"/>
              </w:rPr>
            </w:pPr>
            <w:r>
              <w:rPr>
                <w:color w:val="auto"/>
                <w:sz w:val="21"/>
                <w:szCs w:val="21"/>
                <w:u w:val="single"/>
              </w:rPr>
              <w:t>1</w:t>
            </w:r>
            <w:r>
              <w:rPr>
                <w:rFonts w:hint="eastAsia"/>
                <w:color w:val="auto"/>
                <w:sz w:val="21"/>
                <w:szCs w:val="21"/>
                <w:u w:val="single"/>
              </w:rPr>
              <w:t>6</w:t>
            </w:r>
            <w:r>
              <w:rPr>
                <w:color w:val="auto"/>
                <w:sz w:val="21"/>
                <w:szCs w:val="21"/>
                <w:u w:val="single"/>
              </w:rPr>
              <w:t>.调试    违反下列行为给予</w:t>
            </w:r>
            <w:r>
              <w:rPr>
                <w:rFonts w:hint="eastAsia"/>
                <w:color w:val="auto"/>
                <w:sz w:val="21"/>
                <w:szCs w:val="21"/>
                <w:u w:val="single"/>
                <w:lang w:val="en-US" w:eastAsia="zh-CN"/>
              </w:rPr>
              <w:t>5</w:t>
            </w:r>
            <w:r>
              <w:rPr>
                <w:color w:val="auto"/>
                <w:sz w:val="21"/>
                <w:szCs w:val="21"/>
                <w:u w:val="single"/>
              </w:rPr>
              <w:t>000-</w:t>
            </w:r>
            <w:r>
              <w:rPr>
                <w:rFonts w:hint="eastAsia"/>
                <w:color w:val="auto"/>
                <w:sz w:val="21"/>
                <w:szCs w:val="21"/>
                <w:u w:val="single"/>
                <w:lang w:val="en-US" w:eastAsia="zh-CN"/>
              </w:rPr>
              <w:t>10</w:t>
            </w:r>
            <w:r>
              <w:rPr>
                <w:color w:val="auto"/>
                <w:sz w:val="21"/>
                <w:szCs w:val="21"/>
                <w:u w:val="single"/>
              </w:rPr>
              <w:t>000元处罚</w:t>
            </w:r>
          </w:p>
        </w:tc>
      </w:tr>
      <w:tr w14:paraId="2FF5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5972BD4">
            <w:pPr>
              <w:snapToGrid w:val="0"/>
              <w:jc w:val="center"/>
              <w:rPr>
                <w:color w:val="auto"/>
                <w:sz w:val="21"/>
                <w:szCs w:val="21"/>
                <w:u w:val="single"/>
              </w:rPr>
            </w:pPr>
            <w:r>
              <w:rPr>
                <w:color w:val="auto"/>
                <w:sz w:val="21"/>
                <w:szCs w:val="21"/>
                <w:u w:val="single"/>
              </w:rPr>
              <w:t>1</w:t>
            </w:r>
            <w:r>
              <w:rPr>
                <w:rFonts w:hint="eastAsia"/>
                <w:color w:val="auto"/>
                <w:sz w:val="21"/>
                <w:szCs w:val="21"/>
                <w:u w:val="single"/>
              </w:rPr>
              <w:t>6</w:t>
            </w:r>
            <w:r>
              <w:rPr>
                <w:color w:val="auto"/>
                <w:sz w:val="21"/>
                <w:szCs w:val="21"/>
                <w:u w:val="single"/>
              </w:rPr>
              <w:t>.1</w:t>
            </w:r>
          </w:p>
        </w:tc>
        <w:tc>
          <w:tcPr>
            <w:tcW w:w="7308" w:type="dxa"/>
            <w:noWrap w:val="0"/>
            <w:vAlign w:val="top"/>
          </w:tcPr>
          <w:p w14:paraId="7D80B420">
            <w:pPr>
              <w:snapToGrid w:val="0"/>
              <w:rPr>
                <w:color w:val="auto"/>
                <w:sz w:val="21"/>
                <w:szCs w:val="21"/>
                <w:u w:val="single"/>
              </w:rPr>
            </w:pPr>
            <w:r>
              <w:rPr>
                <w:color w:val="auto"/>
                <w:sz w:val="21"/>
                <w:szCs w:val="21"/>
                <w:u w:val="single"/>
              </w:rPr>
              <w:t>电气设备受电前、机械设备试转前，未有警戒区域，未设专人监护</w:t>
            </w:r>
          </w:p>
        </w:tc>
        <w:tc>
          <w:tcPr>
            <w:tcW w:w="1205" w:type="dxa"/>
            <w:gridSpan w:val="3"/>
            <w:noWrap w:val="0"/>
            <w:vAlign w:val="top"/>
          </w:tcPr>
          <w:p w14:paraId="39B24070">
            <w:pPr>
              <w:snapToGrid w:val="0"/>
              <w:jc w:val="center"/>
              <w:rPr>
                <w:color w:val="auto"/>
                <w:sz w:val="21"/>
                <w:szCs w:val="21"/>
                <w:u w:val="single"/>
              </w:rPr>
            </w:pPr>
          </w:p>
        </w:tc>
      </w:tr>
      <w:tr w14:paraId="15B7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D8620DA">
            <w:pPr>
              <w:snapToGrid w:val="0"/>
              <w:jc w:val="center"/>
              <w:rPr>
                <w:color w:val="auto"/>
                <w:sz w:val="21"/>
                <w:szCs w:val="21"/>
                <w:u w:val="single"/>
              </w:rPr>
            </w:pPr>
            <w:r>
              <w:rPr>
                <w:color w:val="auto"/>
                <w:sz w:val="21"/>
                <w:szCs w:val="21"/>
                <w:u w:val="single"/>
              </w:rPr>
              <w:t>1</w:t>
            </w:r>
            <w:r>
              <w:rPr>
                <w:rFonts w:hint="eastAsia"/>
                <w:color w:val="auto"/>
                <w:sz w:val="21"/>
                <w:szCs w:val="21"/>
                <w:u w:val="single"/>
              </w:rPr>
              <w:t>6</w:t>
            </w:r>
            <w:r>
              <w:rPr>
                <w:color w:val="auto"/>
                <w:sz w:val="21"/>
                <w:szCs w:val="21"/>
                <w:u w:val="single"/>
              </w:rPr>
              <w:t>.2</w:t>
            </w:r>
          </w:p>
        </w:tc>
        <w:tc>
          <w:tcPr>
            <w:tcW w:w="7308" w:type="dxa"/>
            <w:noWrap w:val="0"/>
            <w:vAlign w:val="top"/>
          </w:tcPr>
          <w:p w14:paraId="2780FAC8">
            <w:pPr>
              <w:snapToGrid w:val="0"/>
              <w:rPr>
                <w:color w:val="auto"/>
                <w:sz w:val="21"/>
                <w:szCs w:val="21"/>
                <w:u w:val="single"/>
              </w:rPr>
            </w:pPr>
            <w:r>
              <w:rPr>
                <w:color w:val="auto"/>
                <w:sz w:val="21"/>
                <w:szCs w:val="21"/>
                <w:u w:val="single"/>
              </w:rPr>
              <w:t>对运行设备的旋转部分进行清扫、擦拭或润滑</w:t>
            </w:r>
          </w:p>
        </w:tc>
        <w:tc>
          <w:tcPr>
            <w:tcW w:w="1205" w:type="dxa"/>
            <w:gridSpan w:val="3"/>
            <w:noWrap w:val="0"/>
            <w:vAlign w:val="top"/>
          </w:tcPr>
          <w:p w14:paraId="0B41DF9C">
            <w:pPr>
              <w:snapToGrid w:val="0"/>
              <w:jc w:val="center"/>
              <w:rPr>
                <w:color w:val="auto"/>
                <w:sz w:val="21"/>
                <w:szCs w:val="21"/>
                <w:u w:val="single"/>
              </w:rPr>
            </w:pPr>
          </w:p>
        </w:tc>
      </w:tr>
      <w:tr w14:paraId="1ABB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D6BBE27">
            <w:pPr>
              <w:snapToGrid w:val="0"/>
              <w:jc w:val="center"/>
              <w:rPr>
                <w:color w:val="auto"/>
                <w:sz w:val="21"/>
                <w:szCs w:val="21"/>
                <w:u w:val="single"/>
              </w:rPr>
            </w:pPr>
            <w:r>
              <w:rPr>
                <w:color w:val="auto"/>
                <w:sz w:val="21"/>
                <w:szCs w:val="21"/>
                <w:u w:val="single"/>
              </w:rPr>
              <w:t>1</w:t>
            </w:r>
            <w:r>
              <w:rPr>
                <w:rFonts w:hint="eastAsia"/>
                <w:color w:val="auto"/>
                <w:sz w:val="21"/>
                <w:szCs w:val="21"/>
                <w:u w:val="single"/>
              </w:rPr>
              <w:t>6</w:t>
            </w:r>
            <w:r>
              <w:rPr>
                <w:color w:val="auto"/>
                <w:sz w:val="21"/>
                <w:szCs w:val="21"/>
                <w:u w:val="single"/>
              </w:rPr>
              <w:t>.3</w:t>
            </w:r>
          </w:p>
        </w:tc>
        <w:tc>
          <w:tcPr>
            <w:tcW w:w="7308" w:type="dxa"/>
            <w:noWrap w:val="0"/>
            <w:vAlign w:val="top"/>
          </w:tcPr>
          <w:p w14:paraId="335EC7AB">
            <w:pPr>
              <w:snapToGrid w:val="0"/>
              <w:rPr>
                <w:color w:val="auto"/>
                <w:sz w:val="21"/>
                <w:szCs w:val="21"/>
                <w:u w:val="single"/>
              </w:rPr>
            </w:pPr>
            <w:r>
              <w:rPr>
                <w:color w:val="auto"/>
                <w:sz w:val="21"/>
                <w:szCs w:val="21"/>
                <w:u w:val="single"/>
              </w:rPr>
              <w:t>在带有压力管道、阀门进行检修工作</w:t>
            </w:r>
          </w:p>
        </w:tc>
        <w:tc>
          <w:tcPr>
            <w:tcW w:w="1205" w:type="dxa"/>
            <w:gridSpan w:val="3"/>
            <w:noWrap w:val="0"/>
            <w:vAlign w:val="top"/>
          </w:tcPr>
          <w:p w14:paraId="350A09A0">
            <w:pPr>
              <w:snapToGrid w:val="0"/>
              <w:jc w:val="center"/>
              <w:rPr>
                <w:color w:val="auto"/>
                <w:sz w:val="21"/>
                <w:szCs w:val="21"/>
                <w:u w:val="single"/>
              </w:rPr>
            </w:pPr>
          </w:p>
        </w:tc>
      </w:tr>
      <w:tr w14:paraId="15DB4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18F0B3B">
            <w:pPr>
              <w:snapToGrid w:val="0"/>
              <w:jc w:val="center"/>
              <w:rPr>
                <w:color w:val="auto"/>
                <w:sz w:val="21"/>
                <w:szCs w:val="21"/>
                <w:u w:val="single"/>
              </w:rPr>
            </w:pPr>
            <w:r>
              <w:rPr>
                <w:color w:val="auto"/>
                <w:sz w:val="21"/>
                <w:szCs w:val="21"/>
                <w:u w:val="single"/>
              </w:rPr>
              <w:t>1</w:t>
            </w:r>
            <w:r>
              <w:rPr>
                <w:rFonts w:hint="eastAsia"/>
                <w:color w:val="auto"/>
                <w:sz w:val="21"/>
                <w:szCs w:val="21"/>
                <w:u w:val="single"/>
              </w:rPr>
              <w:t>6</w:t>
            </w:r>
            <w:r>
              <w:rPr>
                <w:color w:val="auto"/>
                <w:sz w:val="21"/>
                <w:szCs w:val="21"/>
                <w:u w:val="single"/>
              </w:rPr>
              <w:t>.4</w:t>
            </w:r>
          </w:p>
        </w:tc>
        <w:tc>
          <w:tcPr>
            <w:tcW w:w="7308" w:type="dxa"/>
            <w:noWrap w:val="0"/>
            <w:vAlign w:val="top"/>
          </w:tcPr>
          <w:p w14:paraId="21D857D8">
            <w:pPr>
              <w:snapToGrid w:val="0"/>
              <w:rPr>
                <w:color w:val="auto"/>
                <w:sz w:val="21"/>
                <w:szCs w:val="21"/>
                <w:u w:val="single"/>
              </w:rPr>
            </w:pPr>
            <w:r>
              <w:rPr>
                <w:color w:val="auto"/>
                <w:sz w:val="21"/>
                <w:szCs w:val="21"/>
                <w:u w:val="single"/>
              </w:rPr>
              <w:t>违反两票制度</w:t>
            </w:r>
          </w:p>
        </w:tc>
        <w:tc>
          <w:tcPr>
            <w:tcW w:w="1205" w:type="dxa"/>
            <w:gridSpan w:val="3"/>
            <w:noWrap w:val="0"/>
            <w:vAlign w:val="top"/>
          </w:tcPr>
          <w:p w14:paraId="2E5C924C">
            <w:pPr>
              <w:snapToGrid w:val="0"/>
              <w:jc w:val="center"/>
              <w:rPr>
                <w:color w:val="auto"/>
                <w:sz w:val="21"/>
                <w:szCs w:val="21"/>
                <w:u w:val="single"/>
              </w:rPr>
            </w:pPr>
          </w:p>
        </w:tc>
      </w:tr>
      <w:tr w14:paraId="2194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46472C8">
            <w:pPr>
              <w:snapToGrid w:val="0"/>
              <w:jc w:val="center"/>
              <w:rPr>
                <w:color w:val="auto"/>
                <w:sz w:val="21"/>
                <w:szCs w:val="21"/>
                <w:u w:val="single"/>
              </w:rPr>
            </w:pPr>
            <w:r>
              <w:rPr>
                <w:color w:val="auto"/>
                <w:sz w:val="21"/>
                <w:szCs w:val="21"/>
                <w:u w:val="single"/>
              </w:rPr>
              <w:t>1</w:t>
            </w:r>
            <w:r>
              <w:rPr>
                <w:rFonts w:hint="eastAsia"/>
                <w:color w:val="auto"/>
                <w:sz w:val="21"/>
                <w:szCs w:val="21"/>
                <w:u w:val="single"/>
              </w:rPr>
              <w:t>6</w:t>
            </w:r>
            <w:r>
              <w:rPr>
                <w:color w:val="auto"/>
                <w:sz w:val="21"/>
                <w:szCs w:val="21"/>
                <w:u w:val="single"/>
              </w:rPr>
              <w:t>.5</w:t>
            </w:r>
          </w:p>
        </w:tc>
        <w:tc>
          <w:tcPr>
            <w:tcW w:w="7308" w:type="dxa"/>
            <w:noWrap w:val="0"/>
            <w:vAlign w:val="top"/>
          </w:tcPr>
          <w:p w14:paraId="5D7A7D3E">
            <w:pPr>
              <w:snapToGrid w:val="0"/>
              <w:rPr>
                <w:color w:val="auto"/>
                <w:sz w:val="21"/>
                <w:szCs w:val="21"/>
                <w:u w:val="single"/>
              </w:rPr>
            </w:pPr>
            <w:r>
              <w:rPr>
                <w:color w:val="auto"/>
                <w:sz w:val="21"/>
                <w:szCs w:val="21"/>
                <w:u w:val="single"/>
              </w:rPr>
              <w:t>对安装或消缺电气线路未挂警示牌</w:t>
            </w:r>
          </w:p>
        </w:tc>
        <w:tc>
          <w:tcPr>
            <w:tcW w:w="1205" w:type="dxa"/>
            <w:gridSpan w:val="3"/>
            <w:noWrap w:val="0"/>
            <w:vAlign w:val="top"/>
          </w:tcPr>
          <w:p w14:paraId="59C94BE3">
            <w:pPr>
              <w:snapToGrid w:val="0"/>
              <w:jc w:val="center"/>
              <w:rPr>
                <w:color w:val="auto"/>
                <w:sz w:val="21"/>
                <w:szCs w:val="21"/>
                <w:u w:val="single"/>
              </w:rPr>
            </w:pPr>
          </w:p>
        </w:tc>
      </w:tr>
      <w:tr w14:paraId="769E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91B86C8">
            <w:pPr>
              <w:snapToGrid w:val="0"/>
              <w:jc w:val="center"/>
              <w:rPr>
                <w:color w:val="auto"/>
                <w:sz w:val="21"/>
                <w:szCs w:val="21"/>
                <w:u w:val="single"/>
              </w:rPr>
            </w:pPr>
            <w:r>
              <w:rPr>
                <w:color w:val="auto"/>
                <w:sz w:val="21"/>
                <w:szCs w:val="21"/>
                <w:u w:val="single"/>
              </w:rPr>
              <w:t>1</w:t>
            </w:r>
            <w:r>
              <w:rPr>
                <w:rFonts w:hint="eastAsia"/>
                <w:color w:val="auto"/>
                <w:sz w:val="21"/>
                <w:szCs w:val="21"/>
                <w:u w:val="single"/>
              </w:rPr>
              <w:t>6</w:t>
            </w:r>
            <w:r>
              <w:rPr>
                <w:color w:val="auto"/>
                <w:sz w:val="21"/>
                <w:szCs w:val="21"/>
                <w:u w:val="single"/>
              </w:rPr>
              <w:t>.6</w:t>
            </w:r>
          </w:p>
        </w:tc>
        <w:tc>
          <w:tcPr>
            <w:tcW w:w="7308" w:type="dxa"/>
            <w:noWrap w:val="0"/>
            <w:vAlign w:val="top"/>
          </w:tcPr>
          <w:p w14:paraId="4D2991E0">
            <w:pPr>
              <w:snapToGrid w:val="0"/>
              <w:rPr>
                <w:color w:val="auto"/>
                <w:sz w:val="21"/>
                <w:szCs w:val="21"/>
                <w:u w:val="single"/>
              </w:rPr>
            </w:pPr>
            <w:r>
              <w:rPr>
                <w:color w:val="auto"/>
                <w:sz w:val="21"/>
                <w:szCs w:val="21"/>
                <w:u w:val="single"/>
              </w:rPr>
              <w:t>其他违反电厂运行规定违章行为</w:t>
            </w:r>
          </w:p>
        </w:tc>
        <w:tc>
          <w:tcPr>
            <w:tcW w:w="1205" w:type="dxa"/>
            <w:gridSpan w:val="3"/>
            <w:noWrap w:val="0"/>
            <w:vAlign w:val="top"/>
          </w:tcPr>
          <w:p w14:paraId="1BAB271B">
            <w:pPr>
              <w:snapToGrid w:val="0"/>
              <w:jc w:val="center"/>
              <w:rPr>
                <w:color w:val="auto"/>
                <w:sz w:val="21"/>
                <w:szCs w:val="21"/>
                <w:u w:val="single"/>
              </w:rPr>
            </w:pPr>
          </w:p>
        </w:tc>
      </w:tr>
    </w:tbl>
    <w:p w14:paraId="32562647">
      <w:pPr>
        <w:pStyle w:val="4"/>
        <w:snapToGrid w:val="0"/>
        <w:spacing w:line="360" w:lineRule="auto"/>
        <w:ind w:left="0" w:leftChars="0" w:right="290"/>
        <w:rPr>
          <w:color w:val="auto"/>
          <w:u w:val="single"/>
        </w:rPr>
      </w:pPr>
    </w:p>
    <w:p w14:paraId="54A143AD">
      <w:pPr>
        <w:pStyle w:val="4"/>
        <w:snapToGrid w:val="0"/>
        <w:spacing w:line="360" w:lineRule="auto"/>
        <w:ind w:left="0" w:leftChars="0" w:right="290"/>
        <w:rPr>
          <w:color w:val="auto"/>
          <w:u w:val="single"/>
        </w:rPr>
      </w:pPr>
    </w:p>
    <w:p w14:paraId="19991C93">
      <w:pPr>
        <w:pStyle w:val="4"/>
        <w:numPr>
          <w:ilvl w:val="0"/>
          <w:numId w:val="18"/>
        </w:numPr>
        <w:snapToGrid w:val="0"/>
        <w:spacing w:line="360" w:lineRule="auto"/>
        <w:ind w:left="0" w:leftChars="0" w:right="290" w:firstLine="567"/>
        <w:rPr>
          <w:color w:val="auto"/>
          <w:u w:val="single"/>
        </w:rPr>
      </w:pPr>
      <w:r>
        <w:rPr>
          <w:rFonts w:hint="eastAsia"/>
          <w:color w:val="auto"/>
          <w:u w:val="single"/>
        </w:rPr>
        <w:t>对于管理性违章行为，如无方案施工、违章指挥或强令冒险作业、安全管理职责履职不到位、上级专项工作或安全检查整改落实不及时、屡教不改等行为的，要加倍进行处罚；</w:t>
      </w:r>
    </w:p>
    <w:p w14:paraId="51004ACE">
      <w:pPr>
        <w:pStyle w:val="4"/>
        <w:numPr>
          <w:ilvl w:val="0"/>
          <w:numId w:val="18"/>
        </w:numPr>
        <w:snapToGrid w:val="0"/>
        <w:spacing w:line="360" w:lineRule="auto"/>
        <w:ind w:left="0" w:leftChars="0" w:right="290" w:firstLine="567"/>
        <w:rPr>
          <w:rFonts w:hint="eastAsia"/>
          <w:color w:val="auto"/>
          <w:u w:val="single"/>
        </w:rPr>
      </w:pPr>
      <w:r>
        <w:rPr>
          <w:rFonts w:hint="eastAsia"/>
          <w:color w:val="auto"/>
          <w:u w:val="single"/>
        </w:rPr>
        <w:t>对于有监理单位监督的施工合同，发现上述习惯性违章行为对施工单位进行处罚的，如果监理单位没有履职到位的，甲方有权按照相同的处罚标准对监理单位进行考核。</w:t>
      </w:r>
    </w:p>
    <w:p w14:paraId="05835CDE">
      <w:pPr>
        <w:pStyle w:val="4"/>
        <w:numPr>
          <w:ilvl w:val="0"/>
          <w:numId w:val="15"/>
        </w:numPr>
        <w:snapToGrid w:val="0"/>
        <w:spacing w:line="360" w:lineRule="auto"/>
        <w:ind w:left="0" w:leftChars="0" w:right="290" w:firstLine="567"/>
      </w:pPr>
      <w:r>
        <w:rPr>
          <w:rFonts w:hint="eastAsia"/>
        </w:rPr>
        <w:t>上述甲方</w:t>
      </w:r>
      <w:r>
        <w:t>对乙方的</w:t>
      </w:r>
      <w:r>
        <w:rPr>
          <w:rFonts w:hint="eastAsia"/>
        </w:rPr>
        <w:t>安健环违约金扣缴或</w:t>
      </w:r>
      <w:r>
        <w:t>经济处罚</w:t>
      </w:r>
      <w:r>
        <w:rPr>
          <w:rFonts w:hint="eastAsia"/>
        </w:rPr>
        <w:t>从</w:t>
      </w:r>
      <w:r>
        <w:t>甲方应付乙方</w:t>
      </w:r>
      <w:r>
        <w:rPr>
          <w:rFonts w:hint="eastAsia"/>
        </w:rPr>
        <w:t>合同费用、履约保证金或履约保函中直接给予扣除（此并不构成甲方违约）。尚不足部分的金额，由乙方于收到违约金或处罚</w:t>
      </w:r>
      <w:r>
        <w:t>单</w:t>
      </w:r>
      <w:r>
        <w:rPr>
          <w:rFonts w:hint="eastAsia"/>
        </w:rPr>
        <w:t>一个月内另行向甲方一次性付清，否则每日按逾期未付款金额千分之五的标准计算向甲方支付滞纳金，直至付清全部欠款（含本金和滞纳金）。</w:t>
      </w:r>
    </w:p>
    <w:p w14:paraId="3E30F976">
      <w:pPr>
        <w:pStyle w:val="4"/>
        <w:numPr>
          <w:ilvl w:val="0"/>
          <w:numId w:val="15"/>
        </w:numPr>
        <w:snapToGrid w:val="0"/>
        <w:spacing w:line="360" w:lineRule="auto"/>
        <w:ind w:left="0" w:leftChars="0" w:right="290" w:firstLine="567"/>
        <w:rPr>
          <w:rFonts w:hint="eastAsia"/>
        </w:rPr>
      </w:pPr>
      <w:r>
        <w:rPr>
          <w:rFonts w:hint="eastAsia"/>
        </w:rPr>
        <w:t>如乙方是承包项目安健环监理承包方，因监理职责履行不到位造成安健环事故、事件或者发生安健环违约金扣缴或处罚的，甲方除对被监理方实施违约处罚外，可对监理单位处以</w:t>
      </w:r>
      <w:r>
        <w:t>被监理方</w:t>
      </w:r>
      <w:r>
        <w:rPr>
          <w:rFonts w:hint="eastAsia"/>
        </w:rPr>
        <w:t>同等违约处罚。</w:t>
      </w:r>
    </w:p>
    <w:p w14:paraId="5CB6DAC1">
      <w:pPr>
        <w:pStyle w:val="4"/>
        <w:numPr>
          <w:ilvl w:val="0"/>
          <w:numId w:val="15"/>
        </w:numPr>
        <w:tabs>
          <w:tab w:val="left" w:pos="993"/>
        </w:tabs>
        <w:snapToGrid w:val="0"/>
        <w:spacing w:line="360" w:lineRule="auto"/>
        <w:ind w:left="0" w:leftChars="0" w:right="290" w:firstLine="567"/>
        <w:rPr>
          <w:rFonts w:hint="eastAsia"/>
        </w:rPr>
      </w:pPr>
      <w:r>
        <w:rPr>
          <w:rFonts w:hint="eastAsia"/>
        </w:rPr>
        <w:t>在任何情况下，不因为甲方对乙方</w:t>
      </w:r>
      <w:r>
        <w:t>发生安健环事故事件或</w:t>
      </w:r>
      <w:r>
        <w:rPr>
          <w:rFonts w:hint="eastAsia"/>
        </w:rPr>
        <w:t>其</w:t>
      </w:r>
      <w:r>
        <w:t>安健环违规</w:t>
      </w:r>
      <w:r>
        <w:rPr>
          <w:rFonts w:hint="eastAsia"/>
        </w:rPr>
        <w:t>、</w:t>
      </w:r>
      <w:r>
        <w:t>违法</w:t>
      </w:r>
      <w:r>
        <w:rPr>
          <w:rFonts w:hint="eastAsia"/>
        </w:rPr>
        <w:t>、</w:t>
      </w:r>
      <w:r>
        <w:t>违章等行为</w:t>
      </w:r>
      <w:r>
        <w:rPr>
          <w:rFonts w:hint="eastAsia"/>
        </w:rPr>
        <w:t>进行违约金扣缴或</w:t>
      </w:r>
      <w:r>
        <w:t>经济处罚</w:t>
      </w:r>
      <w:r>
        <w:rPr>
          <w:rFonts w:hint="eastAsia"/>
        </w:rPr>
        <w:t>而免除乙方应负的安健环责任、</w:t>
      </w:r>
      <w:r>
        <w:t>法律责任</w:t>
      </w:r>
      <w:r>
        <w:rPr>
          <w:rFonts w:hint="eastAsia"/>
        </w:rPr>
        <w:t>、</w:t>
      </w:r>
      <w:r>
        <w:t>赔偿补偿责任</w:t>
      </w:r>
      <w:r>
        <w:rPr>
          <w:rFonts w:hint="eastAsia"/>
        </w:rPr>
        <w:t>、</w:t>
      </w:r>
      <w:r>
        <w:t>善后处理</w:t>
      </w:r>
      <w:r>
        <w:rPr>
          <w:rFonts w:hint="eastAsia"/>
        </w:rPr>
        <w:t>责任及</w:t>
      </w:r>
      <w:r>
        <w:t>其他义务</w:t>
      </w:r>
      <w:r>
        <w:rPr>
          <w:rFonts w:hint="eastAsia"/>
        </w:rPr>
        <w:t>。</w:t>
      </w:r>
    </w:p>
    <w:p w14:paraId="50E4CB28">
      <w:pPr>
        <w:pStyle w:val="4"/>
        <w:numPr>
          <w:ilvl w:val="0"/>
          <w:numId w:val="15"/>
        </w:numPr>
        <w:tabs>
          <w:tab w:val="left" w:pos="993"/>
        </w:tabs>
        <w:snapToGrid w:val="0"/>
        <w:spacing w:line="360" w:lineRule="auto"/>
        <w:ind w:left="0" w:leftChars="0" w:right="290" w:firstLine="567"/>
        <w:rPr>
          <w:rFonts w:hint="eastAsia"/>
        </w:rPr>
      </w:pPr>
      <w:r>
        <w:rPr>
          <w:rFonts w:hint="eastAsia"/>
        </w:rPr>
        <w:t>对于乙方其自身本应独立主动地负责依法依规进行处理的任何纠纷或者</w:t>
      </w:r>
      <w:r>
        <w:t>事故</w:t>
      </w:r>
      <w:r>
        <w:rPr>
          <w:rFonts w:hint="eastAsia"/>
        </w:rPr>
        <w:t>事件，当因乙方拖延慢作为或回避不作为而</w:t>
      </w:r>
      <w:r>
        <w:t>扩散</w:t>
      </w:r>
      <w:r>
        <w:rPr>
          <w:rFonts w:hint="eastAsia"/>
        </w:rPr>
        <w:t>漫延影响到或者损害到甲方的声誉形象等任何权益之时，甲方基于保护本身的权益免受伤害，有权选择主动参与到乙方该纠纷或者事件的合情合理调解和依法依规处理。但甲方对乙方该纠纷或者事故</w:t>
      </w:r>
      <w:r>
        <w:t>、</w:t>
      </w:r>
      <w:r>
        <w:rPr>
          <w:rFonts w:hint="eastAsia"/>
        </w:rPr>
        <w:t>事件任何形式的参与和处理，并不导致乙方其自身本应独立承担的任何责任和义务等发生转移、变更、减少、减轻、终止等任何形式的改变，即乙方自身本应独立承担的任何责任和义务仍然由其全部承担。</w:t>
      </w:r>
    </w:p>
    <w:p w14:paraId="61E6E28B">
      <w:pPr>
        <w:pStyle w:val="4"/>
        <w:numPr>
          <w:ilvl w:val="0"/>
          <w:numId w:val="15"/>
        </w:numPr>
        <w:tabs>
          <w:tab w:val="left" w:pos="993"/>
        </w:tabs>
        <w:snapToGrid w:val="0"/>
        <w:spacing w:line="360" w:lineRule="auto"/>
        <w:ind w:left="0" w:leftChars="0" w:right="290" w:firstLine="567"/>
        <w:rPr>
          <w:rFonts w:hint="eastAsia"/>
        </w:rPr>
      </w:pPr>
      <w:r>
        <w:rPr>
          <w:rFonts w:hint="eastAsia"/>
        </w:rPr>
        <w:t>上述责任和违约处罚，不包括因安健环问题而来自政府的问责、罚款和其它索赔等。来自政府的问责、罚款和其它索赔等，因乙方原因造成的，全部由乙方承担。</w:t>
      </w:r>
    </w:p>
    <w:p w14:paraId="030E66D8">
      <w:pPr>
        <w:pStyle w:val="4"/>
        <w:numPr>
          <w:ilvl w:val="0"/>
          <w:numId w:val="6"/>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协议的货币种类</w:t>
      </w:r>
    </w:p>
    <w:p w14:paraId="0C1CC45F">
      <w:pPr>
        <w:pStyle w:val="4"/>
        <w:snapToGrid w:val="0"/>
        <w:spacing w:line="360" w:lineRule="auto"/>
        <w:ind w:left="0" w:leftChars="0" w:right="290" w:firstLine="495" w:firstLineChars="236"/>
        <w:rPr>
          <w:rFonts w:hint="eastAsia"/>
        </w:rPr>
      </w:pPr>
      <w:r>
        <w:rPr>
          <w:rFonts w:hint="eastAsia"/>
        </w:rPr>
        <w:t>本协议中所涉及的费用、处罚、</w:t>
      </w:r>
      <w:r>
        <w:t>罚款</w:t>
      </w:r>
      <w:r>
        <w:rPr>
          <w:rFonts w:hint="eastAsia"/>
        </w:rPr>
        <w:t>、违约金、赔偿、补偿等的计量货币币种均为人民币。</w:t>
      </w:r>
    </w:p>
    <w:p w14:paraId="6057E5E7">
      <w:pPr>
        <w:pStyle w:val="4"/>
        <w:numPr>
          <w:ilvl w:val="0"/>
          <w:numId w:val="6"/>
        </w:numPr>
        <w:tabs>
          <w:tab w:val="left" w:pos="1134"/>
        </w:tabs>
        <w:snapToGrid w:val="0"/>
        <w:spacing w:line="360" w:lineRule="auto"/>
        <w:ind w:left="0" w:leftChars="0" w:right="290" w:firstLine="567"/>
        <w:rPr>
          <w:rFonts w:hint="eastAsia" w:ascii="黑体" w:hAnsi="黑体" w:eastAsia="黑体"/>
          <w:sz w:val="32"/>
          <w:szCs w:val="32"/>
        </w:rPr>
      </w:pPr>
      <w:bookmarkStart w:id="10" w:name="_Toc11813316"/>
      <w:bookmarkStart w:id="11" w:name="_Toc11847879"/>
      <w:r>
        <w:rPr>
          <w:rFonts w:hint="eastAsia" w:ascii="黑体" w:hAnsi="黑体" w:eastAsia="黑体"/>
          <w:sz w:val="32"/>
          <w:szCs w:val="32"/>
        </w:rPr>
        <w:t>组成协议的文件及解释顺序</w:t>
      </w:r>
      <w:bookmarkEnd w:id="10"/>
      <w:bookmarkEnd w:id="11"/>
    </w:p>
    <w:p w14:paraId="2E984D0A">
      <w:pPr>
        <w:pStyle w:val="4"/>
        <w:snapToGrid w:val="0"/>
        <w:spacing w:line="360" w:lineRule="auto"/>
        <w:ind w:left="0" w:leftChars="0" w:right="290" w:firstLine="495" w:firstLineChars="236"/>
        <w:rPr>
          <w:rFonts w:hint="eastAsia"/>
        </w:rPr>
      </w:pPr>
      <w:r>
        <w:rPr>
          <w:rFonts w:hint="eastAsia"/>
        </w:rPr>
        <w:t>组成本协议的各个文件应该是一整体，彼此相互解释，互为说明。本协议的文件及优先解释顺序如下：</w:t>
      </w:r>
    </w:p>
    <w:p w14:paraId="579BC892">
      <w:pPr>
        <w:pStyle w:val="4"/>
        <w:numPr>
          <w:ilvl w:val="0"/>
          <w:numId w:val="19"/>
        </w:numPr>
        <w:snapToGrid w:val="0"/>
        <w:spacing w:line="360" w:lineRule="auto"/>
        <w:ind w:left="0" w:leftChars="0" w:right="290" w:firstLine="567"/>
        <w:rPr>
          <w:rFonts w:hint="eastAsia"/>
        </w:rPr>
      </w:pPr>
      <w:r>
        <w:rPr>
          <w:rFonts w:hint="eastAsia"/>
        </w:rPr>
        <w:t>本《安健环协议》条款和附件，以及有关</w:t>
      </w:r>
      <w:r>
        <w:t>法律、法规</w:t>
      </w:r>
      <w:r>
        <w:rPr>
          <w:rFonts w:hint="eastAsia"/>
        </w:rPr>
        <w:t>和规范性文件要求；</w:t>
      </w:r>
    </w:p>
    <w:p w14:paraId="5BA0F134">
      <w:pPr>
        <w:pStyle w:val="4"/>
        <w:numPr>
          <w:ilvl w:val="0"/>
          <w:numId w:val="19"/>
        </w:numPr>
        <w:snapToGrid w:val="0"/>
        <w:spacing w:line="360" w:lineRule="auto"/>
        <w:ind w:left="0" w:leftChars="0" w:right="290" w:firstLine="567"/>
        <w:rPr>
          <w:rFonts w:hint="eastAsia"/>
        </w:rPr>
      </w:pPr>
      <w:r>
        <w:rPr>
          <w:rFonts w:hint="eastAsia"/>
        </w:rPr>
        <w:t xml:space="preserve">甲乙双方另行每次签订生效的项目合同条款及附件； </w:t>
      </w:r>
    </w:p>
    <w:p w14:paraId="492A5FC3">
      <w:pPr>
        <w:pStyle w:val="4"/>
        <w:numPr>
          <w:ilvl w:val="0"/>
          <w:numId w:val="19"/>
        </w:numPr>
        <w:snapToGrid w:val="0"/>
        <w:spacing w:line="360" w:lineRule="auto"/>
        <w:ind w:left="0" w:leftChars="0" w:right="290" w:firstLine="567"/>
        <w:rPr>
          <w:rFonts w:hint="eastAsia"/>
        </w:rPr>
      </w:pPr>
      <w:r>
        <w:rPr>
          <w:rFonts w:hint="eastAsia"/>
        </w:rPr>
        <w:t>甲方及其各属下分公司、分支机构、各中心或各部门等制定实施的规章制度、操作规范，以及现场公示的标语、提示、警告、宣传、通知等任何形式的管理要求；</w:t>
      </w:r>
    </w:p>
    <w:p w14:paraId="3212642C">
      <w:pPr>
        <w:pStyle w:val="4"/>
        <w:numPr>
          <w:ilvl w:val="0"/>
          <w:numId w:val="19"/>
        </w:numPr>
        <w:snapToGrid w:val="0"/>
        <w:spacing w:line="360" w:lineRule="auto"/>
        <w:ind w:left="0" w:leftChars="0" w:right="290" w:firstLine="567"/>
        <w:rPr>
          <w:rFonts w:hint="eastAsia"/>
        </w:rPr>
      </w:pPr>
      <w:r>
        <w:rPr>
          <w:rFonts w:hint="eastAsia"/>
        </w:rPr>
        <w:t>乙方及其各属下分公司、分支机构、各中心或各部门等制定实施的规章制度、操作规范，以及现场公示的标语、提示、警告、宣传、通知等任何形式的管理要求；</w:t>
      </w:r>
    </w:p>
    <w:p w14:paraId="27BC628D">
      <w:pPr>
        <w:pStyle w:val="4"/>
        <w:numPr>
          <w:ilvl w:val="0"/>
          <w:numId w:val="19"/>
        </w:numPr>
        <w:snapToGrid w:val="0"/>
        <w:spacing w:line="360" w:lineRule="auto"/>
        <w:ind w:left="0" w:leftChars="0" w:right="290" w:firstLine="567"/>
        <w:rPr>
          <w:rFonts w:hint="eastAsia"/>
        </w:rPr>
      </w:pPr>
      <w:r>
        <w:rPr>
          <w:rFonts w:hint="eastAsia"/>
        </w:rPr>
        <w:t>双方就安健环事项进行培训、考核、整改等过程监管当中所书面下发的文件要求。</w:t>
      </w:r>
    </w:p>
    <w:p w14:paraId="1CAF3B61">
      <w:pPr>
        <w:pStyle w:val="4"/>
        <w:numPr>
          <w:ilvl w:val="0"/>
          <w:numId w:val="6"/>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协议争议与</w:t>
      </w:r>
      <w:r>
        <w:rPr>
          <w:rFonts w:hint="eastAsia" w:ascii="黑体" w:hAnsi="黑体" w:eastAsia="黑体"/>
          <w:sz w:val="32"/>
          <w:szCs w:val="32"/>
          <w:lang w:val="en-US" w:eastAsia="zh-CN"/>
        </w:rPr>
        <w:t>诉讼</w:t>
      </w:r>
    </w:p>
    <w:p w14:paraId="2B0CFE52">
      <w:pPr>
        <w:pStyle w:val="4"/>
        <w:numPr>
          <w:ilvl w:val="0"/>
          <w:numId w:val="20"/>
        </w:numPr>
        <w:snapToGrid w:val="0"/>
        <w:spacing w:line="360" w:lineRule="auto"/>
        <w:ind w:left="0" w:leftChars="0" w:right="290" w:firstLine="495" w:firstLineChars="236"/>
        <w:rPr>
          <w:rFonts w:hint="eastAsia"/>
          <w:color w:val="auto"/>
          <w:u w:val="single"/>
        </w:rPr>
      </w:pPr>
      <w:r>
        <w:rPr>
          <w:rFonts w:hint="eastAsia"/>
        </w:rPr>
        <w:t>本协议执行过程中，如发生争议，由双方协商解决；若经协商不能解决争议的，可以由项目所在地</w:t>
      </w:r>
      <w:r>
        <w:t>行业主管部门</w:t>
      </w:r>
      <w:r>
        <w:rPr>
          <w:rFonts w:hint="eastAsia"/>
        </w:rPr>
        <w:t>通过</w:t>
      </w:r>
      <w:r>
        <w:t>调解</w:t>
      </w:r>
      <w:r>
        <w:rPr>
          <w:rFonts w:hint="eastAsia"/>
        </w:rPr>
        <w:t>的方式</w:t>
      </w:r>
      <w:r>
        <w:t>解决。</w:t>
      </w:r>
      <w:r>
        <w:rPr>
          <w:rFonts w:hint="eastAsia"/>
        </w:rPr>
        <w:t>调解</w:t>
      </w:r>
      <w:r>
        <w:t>不成的，</w:t>
      </w:r>
      <w:r>
        <w:rPr>
          <w:rFonts w:hint="eastAsia"/>
        </w:rPr>
        <w:t>双方</w:t>
      </w:r>
      <w:r>
        <w:rPr>
          <w:rFonts w:hint="eastAsia"/>
          <w:color w:val="auto"/>
          <w:u w:val="single"/>
        </w:rPr>
        <w:t>可以在项目所在地的选择通过</w:t>
      </w:r>
      <w:r>
        <w:rPr>
          <w:rFonts w:hint="eastAsia"/>
          <w:color w:val="auto"/>
          <w:u w:val="single"/>
          <w:lang w:val="en-US" w:eastAsia="zh-CN"/>
        </w:rPr>
        <w:t>诉讼</w:t>
      </w:r>
      <w:r>
        <w:rPr>
          <w:rFonts w:hint="eastAsia"/>
          <w:color w:val="auto"/>
          <w:u w:val="single"/>
        </w:rPr>
        <w:t>的方式来最终解决。</w:t>
      </w:r>
    </w:p>
    <w:p w14:paraId="30BAB79C">
      <w:pPr>
        <w:pStyle w:val="4"/>
        <w:numPr>
          <w:ilvl w:val="0"/>
          <w:numId w:val="20"/>
        </w:numPr>
        <w:snapToGrid w:val="0"/>
        <w:spacing w:line="360" w:lineRule="auto"/>
        <w:ind w:left="0" w:leftChars="0" w:right="290" w:firstLine="495" w:firstLineChars="236"/>
        <w:rPr>
          <w:rFonts w:hint="eastAsia"/>
          <w:color w:val="auto"/>
          <w:u w:val="single"/>
        </w:rPr>
      </w:pPr>
      <w:r>
        <w:rPr>
          <w:rFonts w:hint="eastAsia"/>
          <w:color w:val="auto"/>
          <w:u w:val="single"/>
        </w:rPr>
        <w:t>除非生效判决或裁决另行确定，各方为</w:t>
      </w:r>
      <w:r>
        <w:rPr>
          <w:rFonts w:hint="eastAsia"/>
          <w:color w:val="auto"/>
          <w:u w:val="single"/>
          <w:lang w:val="en-US" w:eastAsia="zh-CN"/>
        </w:rPr>
        <w:t>诉讼</w:t>
      </w:r>
      <w:r>
        <w:rPr>
          <w:rFonts w:hint="eastAsia"/>
          <w:color w:val="auto"/>
          <w:u w:val="single"/>
        </w:rPr>
        <w:t>而实际支付的费用（包括但不限于</w:t>
      </w:r>
      <w:r>
        <w:rPr>
          <w:rFonts w:hint="eastAsia"/>
          <w:color w:val="auto"/>
          <w:u w:val="single"/>
          <w:lang w:val="en-US" w:eastAsia="zh-CN"/>
        </w:rPr>
        <w:t>诉讼</w:t>
      </w:r>
      <w:r>
        <w:rPr>
          <w:rFonts w:hint="eastAsia"/>
          <w:color w:val="auto"/>
          <w:u w:val="single"/>
        </w:rPr>
        <w:t>费和合理的律师费、保全费用、执行费用）由败诉方承担</w:t>
      </w:r>
      <w:r>
        <w:rPr>
          <w:rFonts w:hint="eastAsia"/>
          <w:color w:val="auto"/>
          <w:u w:val="single"/>
          <w:lang w:eastAsia="zh-CN"/>
        </w:rPr>
        <w:t>。</w:t>
      </w:r>
    </w:p>
    <w:p w14:paraId="5E2B9DDF">
      <w:pPr>
        <w:pStyle w:val="4"/>
        <w:numPr>
          <w:ilvl w:val="0"/>
          <w:numId w:val="20"/>
        </w:numPr>
        <w:snapToGrid w:val="0"/>
        <w:spacing w:line="360" w:lineRule="auto"/>
        <w:ind w:left="0" w:leftChars="0" w:right="290" w:firstLine="495" w:firstLineChars="236"/>
        <w:rPr>
          <w:rFonts w:hint="eastAsia"/>
          <w:color w:val="auto"/>
          <w:u w:val="single"/>
        </w:rPr>
      </w:pPr>
      <w:r>
        <w:rPr>
          <w:rFonts w:hint="eastAsia"/>
          <w:color w:val="auto"/>
          <w:u w:val="single"/>
        </w:rPr>
        <w:t>因本项目乙方原因引起或乙方派出现场人员或乙方作为责任主体而导致的纠纷诉讼或仲裁案件，均由乙方负责承担。争议案件发生后，乙方应指定专人负责并聘请律师全过程妥善解决，若因此造成甲方或相关第三方的费用或损失，均由乙方承担或支付赔偿</w:t>
      </w:r>
      <w:r>
        <w:rPr>
          <w:rFonts w:hint="eastAsia"/>
          <w:color w:val="auto"/>
          <w:u w:val="single"/>
          <w:lang w:eastAsia="zh-CN"/>
        </w:rPr>
        <w:t>。</w:t>
      </w:r>
    </w:p>
    <w:p w14:paraId="388DCBCE">
      <w:pPr>
        <w:pStyle w:val="4"/>
        <w:numPr>
          <w:ilvl w:val="0"/>
          <w:numId w:val="6"/>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协议生效及有效期限</w:t>
      </w:r>
    </w:p>
    <w:p w14:paraId="5AF04A72">
      <w:pPr>
        <w:pStyle w:val="4"/>
        <w:numPr>
          <w:ilvl w:val="0"/>
          <w:numId w:val="21"/>
        </w:numPr>
        <w:snapToGrid w:val="0"/>
        <w:spacing w:line="360" w:lineRule="auto"/>
        <w:ind w:left="0" w:leftChars="0" w:right="290" w:firstLine="567"/>
        <w:rPr>
          <w:rFonts w:hint="eastAsia"/>
        </w:rPr>
      </w:pPr>
      <w:r>
        <w:rPr>
          <w:rFonts w:hint="eastAsia"/>
        </w:rPr>
        <w:t>本协议经双方法定代表人或授权代表人签字盖章后生效。</w:t>
      </w:r>
    </w:p>
    <w:p w14:paraId="31B4477A">
      <w:pPr>
        <w:pStyle w:val="4"/>
        <w:numPr>
          <w:ilvl w:val="0"/>
          <w:numId w:val="21"/>
        </w:numPr>
        <w:snapToGrid w:val="0"/>
        <w:spacing w:line="360" w:lineRule="auto"/>
        <w:ind w:left="0" w:leftChars="0" w:right="290" w:firstLine="567"/>
        <w:rPr>
          <w:rFonts w:hint="eastAsia"/>
        </w:rPr>
      </w:pPr>
      <w:r>
        <w:rPr>
          <w:rFonts w:hint="eastAsia"/>
        </w:rPr>
        <w:t>甲乙双方签订本协议有授权代表人的，应将其法定代表人证明书、授权代表人的授权委托书等作为本协议的附件。</w:t>
      </w:r>
    </w:p>
    <w:p w14:paraId="2E3403BC">
      <w:pPr>
        <w:pStyle w:val="4"/>
        <w:numPr>
          <w:ilvl w:val="0"/>
          <w:numId w:val="6"/>
        </w:numPr>
        <w:tabs>
          <w:tab w:val="left" w:pos="1134"/>
        </w:tabs>
        <w:snapToGrid w:val="0"/>
        <w:spacing w:line="360" w:lineRule="auto"/>
        <w:ind w:left="0" w:leftChars="0" w:right="290" w:firstLine="567"/>
        <w:rPr>
          <w:rFonts w:hint="eastAsia" w:ascii="黑体" w:hAnsi="黑体" w:eastAsia="黑体"/>
          <w:sz w:val="32"/>
          <w:szCs w:val="32"/>
        </w:rPr>
      </w:pPr>
      <w:r>
        <w:rPr>
          <w:rFonts w:hint="eastAsia" w:ascii="黑体" w:hAnsi="黑体" w:eastAsia="黑体"/>
          <w:sz w:val="32"/>
          <w:szCs w:val="32"/>
        </w:rPr>
        <w:t>协议的份数及移交执行</w:t>
      </w:r>
    </w:p>
    <w:p w14:paraId="39D4E5F8">
      <w:pPr>
        <w:pStyle w:val="4"/>
        <w:numPr>
          <w:ilvl w:val="0"/>
          <w:numId w:val="22"/>
        </w:numPr>
        <w:snapToGrid w:val="0"/>
        <w:spacing w:line="360" w:lineRule="auto"/>
        <w:ind w:left="0" w:leftChars="0" w:right="290" w:firstLine="567"/>
        <w:rPr>
          <w:rFonts w:hint="eastAsia"/>
        </w:rPr>
      </w:pPr>
      <w:r>
        <w:rPr>
          <w:rFonts w:hint="eastAsia"/>
        </w:rPr>
        <w:t>本协议一式四份，甲方执三份，乙方执一份，均具有同等法律效力。</w:t>
      </w:r>
    </w:p>
    <w:p w14:paraId="7818EC7E">
      <w:pPr>
        <w:pStyle w:val="4"/>
        <w:numPr>
          <w:ilvl w:val="0"/>
          <w:numId w:val="22"/>
        </w:numPr>
        <w:snapToGrid w:val="0"/>
        <w:spacing w:line="360" w:lineRule="auto"/>
        <w:ind w:left="0" w:leftChars="0" w:right="290" w:firstLine="567"/>
        <w:rPr>
          <w:rFonts w:hint="eastAsia"/>
        </w:rPr>
      </w:pPr>
      <w:r>
        <w:rPr>
          <w:rFonts w:hint="eastAsia"/>
        </w:rPr>
        <w:t xml:space="preserve">甲方可通过制度颁布宣贯实行、办公系统合同审批流程会签备查、扫描件或复印件信息采集移交等多种有效可行之形式，将本协议版本传达至现场安健环管理者；乙方须自行通过本协议扫描件或复印件分发移交、自行组织培训教育宣传落实等多种有效可行之形式，将本协议传达至现场进场的所有人员，以便现场人员更好地遵照执行本协议。 </w:t>
      </w:r>
    </w:p>
    <w:p w14:paraId="32A3629A">
      <w:pPr>
        <w:pStyle w:val="4"/>
        <w:snapToGrid w:val="0"/>
        <w:spacing w:line="360" w:lineRule="auto"/>
        <w:ind w:left="420" w:leftChars="200" w:right="290"/>
        <w:rPr>
          <w:rFonts w:hint="eastAsia"/>
          <w:b/>
        </w:rPr>
      </w:pPr>
      <w:r>
        <w:rPr>
          <w:rFonts w:hint="eastAsia"/>
          <w:b/>
        </w:rPr>
        <w:t>（以下无正文）</w:t>
      </w:r>
    </w:p>
    <w:p w14:paraId="2683A4AA">
      <w:pPr>
        <w:pStyle w:val="4"/>
        <w:snapToGrid w:val="0"/>
        <w:spacing w:line="360" w:lineRule="auto"/>
        <w:ind w:left="420" w:leftChars="200" w:right="290"/>
        <w:rPr>
          <w:rFonts w:hint="eastAsia"/>
          <w:b/>
        </w:rPr>
      </w:pPr>
    </w:p>
    <w:p w14:paraId="56841822">
      <w:pPr>
        <w:pStyle w:val="4"/>
        <w:snapToGrid w:val="0"/>
        <w:spacing w:line="360" w:lineRule="auto"/>
        <w:ind w:left="420" w:leftChars="200" w:right="290"/>
        <w:rPr>
          <w:rFonts w:hint="eastAsia"/>
          <w:b/>
        </w:rPr>
      </w:pPr>
    </w:p>
    <w:p w14:paraId="5415FAF4">
      <w:pPr>
        <w:pStyle w:val="4"/>
        <w:snapToGrid w:val="0"/>
        <w:spacing w:line="360" w:lineRule="auto"/>
        <w:ind w:left="420" w:leftChars="200" w:right="290"/>
        <w:rPr>
          <w:rFonts w:hint="eastAsia"/>
          <w:b/>
        </w:rPr>
      </w:pPr>
    </w:p>
    <w:p w14:paraId="3AE24CE7">
      <w:pPr>
        <w:pStyle w:val="4"/>
        <w:snapToGrid w:val="0"/>
        <w:spacing w:line="360" w:lineRule="auto"/>
        <w:ind w:left="0" w:leftChars="0" w:right="-92" w:rightChars="-44" w:firstLine="0" w:firstLineChars="0"/>
        <w:rPr>
          <w:rFonts w:hint="eastAsia"/>
        </w:rPr>
      </w:pPr>
      <w:r>
        <w:rPr>
          <w:rFonts w:hint="eastAsia"/>
          <w:b/>
        </w:rPr>
        <w:t>甲方：</w:t>
      </w:r>
      <w:r>
        <w:rPr>
          <w:rFonts w:hint="eastAsia"/>
          <w:b/>
          <w:lang w:val="en-US" w:eastAsia="zh-CN"/>
        </w:rPr>
        <w:t>阳朔县深能环保有限公司</w:t>
      </w:r>
      <w:r>
        <w:rPr>
          <w:rFonts w:hint="eastAsia"/>
          <w:b/>
        </w:rPr>
        <w:t xml:space="preserve">     </w:t>
      </w:r>
      <w:r>
        <w:rPr>
          <w:rFonts w:hint="eastAsia"/>
          <w:b/>
          <w:lang w:val="en-US" w:eastAsia="zh-CN"/>
        </w:rPr>
        <w:t xml:space="preserve">          </w:t>
      </w:r>
      <w:r>
        <w:rPr>
          <w:rFonts w:hint="eastAsia"/>
          <w:b/>
        </w:rPr>
        <w:t xml:space="preserve"> 乙方：</w:t>
      </w:r>
      <w:r>
        <w:rPr>
          <w:rFonts w:hint="eastAsia"/>
          <w:b/>
          <w:lang w:val="en-US" w:eastAsia="zh-CN"/>
        </w:rPr>
        <w:t>长沙华维检测技术有限公司</w:t>
      </w:r>
      <w:r>
        <w:rPr>
          <w:rFonts w:hint="eastAsia"/>
        </w:rPr>
        <w:t xml:space="preserve">（公章） </w:t>
      </w:r>
      <w:r>
        <w:t xml:space="preserve">                                </w:t>
      </w:r>
      <w:r>
        <w:rPr>
          <w:rFonts w:hint="eastAsia"/>
          <w:lang w:val="en-US" w:eastAsia="zh-CN"/>
        </w:rPr>
        <w:t xml:space="preserve">    </w:t>
      </w:r>
      <w:r>
        <w:rPr>
          <w:rFonts w:hint="eastAsia"/>
        </w:rPr>
        <w:t>（公章）</w:t>
      </w:r>
    </w:p>
    <w:p w14:paraId="2E4675CF">
      <w:pPr>
        <w:pStyle w:val="4"/>
        <w:snapToGrid w:val="0"/>
        <w:spacing w:line="360" w:lineRule="auto"/>
        <w:ind w:left="0" w:leftChars="0" w:right="290" w:firstLine="0" w:firstLineChars="0"/>
      </w:pPr>
      <w:r>
        <w:rPr>
          <w:rFonts w:hint="eastAsia"/>
        </w:rPr>
        <w:t>法定代表人或</w:t>
      </w:r>
      <w:r>
        <w:t>授权委托</w:t>
      </w:r>
      <w:r>
        <w:rPr>
          <w:rFonts w:hint="eastAsia"/>
        </w:rPr>
        <w:t>代理</w:t>
      </w:r>
      <w:r>
        <w:t>人</w:t>
      </w:r>
      <w:r>
        <w:rPr>
          <w:rFonts w:hint="eastAsia"/>
        </w:rPr>
        <w:t xml:space="preserve">            </w:t>
      </w:r>
      <w:r>
        <w:rPr>
          <w:rFonts w:hint="eastAsia"/>
          <w:lang w:val="en-US" w:eastAsia="zh-CN"/>
        </w:rPr>
        <w:t xml:space="preserve">      </w:t>
      </w:r>
      <w:r>
        <w:rPr>
          <w:rFonts w:hint="eastAsia"/>
        </w:rPr>
        <w:t>法定代表人或</w:t>
      </w:r>
      <w:r>
        <w:t>授权委托</w:t>
      </w:r>
      <w:r>
        <w:rPr>
          <w:rFonts w:hint="eastAsia"/>
        </w:rPr>
        <w:t>代理</w:t>
      </w:r>
      <w:r>
        <w:t>人</w:t>
      </w:r>
    </w:p>
    <w:p w14:paraId="182CEDD0">
      <w:pPr>
        <w:pStyle w:val="4"/>
        <w:snapToGrid w:val="0"/>
        <w:spacing w:line="360" w:lineRule="auto"/>
        <w:ind w:left="420" w:leftChars="200" w:right="290"/>
      </w:pPr>
    </w:p>
    <w:p w14:paraId="66B44D6E">
      <w:pPr>
        <w:pStyle w:val="4"/>
        <w:snapToGrid w:val="0"/>
        <w:spacing w:line="360" w:lineRule="auto"/>
        <w:ind w:left="420" w:leftChars="200" w:right="290"/>
        <w:rPr>
          <w:rFonts w:hint="eastAsia"/>
        </w:rPr>
      </w:pPr>
    </w:p>
    <w:p w14:paraId="7A49B14A">
      <w:pPr>
        <w:pStyle w:val="4"/>
        <w:snapToGrid w:val="0"/>
        <w:spacing w:line="360" w:lineRule="auto"/>
        <w:ind w:left="0" w:leftChars="0" w:right="290" w:firstLine="0" w:firstLineChars="0"/>
        <w:rPr>
          <w:rFonts w:hint="eastAsia"/>
        </w:rPr>
      </w:pPr>
      <w:r>
        <w:rPr>
          <w:rFonts w:hint="eastAsia"/>
        </w:rPr>
        <w:t>（签字）</w:t>
      </w:r>
      <w:r>
        <w:rPr>
          <w:rFonts w:hint="eastAsia"/>
          <w:u w:val="single"/>
          <w:lang w:val="en-US" w:eastAsia="zh-CN"/>
        </w:rPr>
        <w:t xml:space="preserve">                   </w:t>
      </w:r>
      <w:r>
        <w:rPr>
          <w:rFonts w:hint="eastAsia"/>
        </w:rPr>
        <w:t xml:space="preserve">        </w:t>
      </w:r>
      <w:r>
        <w:rPr>
          <w:rFonts w:hint="eastAsia"/>
          <w:lang w:val="en-US" w:eastAsia="zh-CN"/>
        </w:rPr>
        <w:t xml:space="preserve">        </w:t>
      </w:r>
      <w:r>
        <w:rPr>
          <w:rFonts w:hint="eastAsia"/>
        </w:rPr>
        <w:t xml:space="preserve"> （签字）</w:t>
      </w:r>
      <w:r>
        <w:rPr>
          <w:u w:val="single"/>
        </w:rPr>
        <w:t xml:space="preserve">                 </w:t>
      </w:r>
    </w:p>
    <w:p w14:paraId="2D508530">
      <w:pPr>
        <w:spacing w:line="380" w:lineRule="exact"/>
        <w:rPr>
          <w:rFonts w:ascii="宋体" w:hAnsi="宋体" w:cs="Tahoma"/>
        </w:rPr>
      </w:pPr>
    </w:p>
    <w:p w14:paraId="6C26C317">
      <w:pPr>
        <w:spacing w:line="380" w:lineRule="exact"/>
        <w:rPr>
          <w:rFonts w:ascii="宋体" w:hAnsi="宋体" w:cs="Tahoma"/>
        </w:rPr>
      </w:pPr>
    </w:p>
    <w:p w14:paraId="5F88BA41">
      <w:pPr>
        <w:spacing w:line="380" w:lineRule="exact"/>
        <w:jc w:val="center"/>
        <w:rPr>
          <w:rFonts w:hint="eastAsia" w:ascii="宋体" w:hAnsi="宋体"/>
        </w:rPr>
      </w:pPr>
      <w:r>
        <w:rPr>
          <w:rFonts w:hint="eastAsia" w:ascii="宋体" w:hAnsi="宋体" w:cs="Tahoma"/>
        </w:rPr>
        <w:t xml:space="preserve">本协议签订生效时间：   </w:t>
      </w:r>
      <w:r>
        <w:rPr>
          <w:rFonts w:hint="eastAsia" w:ascii="宋体" w:hAnsi="宋体" w:cs="Tahoma"/>
          <w:lang w:val="en-US" w:eastAsia="zh-CN"/>
        </w:rPr>
        <w:t xml:space="preserve">   </w:t>
      </w:r>
      <w:r>
        <w:rPr>
          <w:rFonts w:hint="eastAsia" w:ascii="宋体" w:hAnsi="宋体" w:cs="Tahoma"/>
        </w:rPr>
        <w:t xml:space="preserve">年 </w:t>
      </w:r>
      <w:r>
        <w:rPr>
          <w:rFonts w:hint="eastAsia" w:ascii="宋体" w:hAnsi="宋体" w:cs="Tahoma"/>
          <w:lang w:val="en-US" w:eastAsia="zh-CN"/>
        </w:rPr>
        <w:t xml:space="preserve">  </w:t>
      </w:r>
      <w:r>
        <w:rPr>
          <w:rFonts w:hint="eastAsia" w:ascii="宋体" w:hAnsi="宋体" w:cs="Tahoma"/>
        </w:rPr>
        <w:t xml:space="preserve"> 月  </w:t>
      </w:r>
      <w:r>
        <w:rPr>
          <w:rFonts w:hint="eastAsia" w:ascii="宋体" w:hAnsi="宋体" w:cs="Tahoma"/>
          <w:lang w:val="en-US" w:eastAsia="zh-CN"/>
        </w:rPr>
        <w:t xml:space="preserve">  </w:t>
      </w:r>
      <w:r>
        <w:rPr>
          <w:rFonts w:hint="eastAsia" w:ascii="宋体" w:hAnsi="宋体" w:cs="Tahoma"/>
        </w:rPr>
        <w:t>日</w:t>
      </w:r>
    </w:p>
    <w:p w14:paraId="1DEB612C">
      <w:bookmarkStart w:id="12" w:name="_GoBack"/>
      <w:bookmarkEnd w:id="12"/>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隶书">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汉仪综艺体简">
    <w:altName w:val="宋体"/>
    <w:panose1 w:val="02010609000101010101"/>
    <w:charset w:val="86"/>
    <w:family w:val="modern"/>
    <w:pitch w:val="default"/>
    <w:sig w:usb0="00000000" w:usb1="00000000" w:usb2="00000012"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C87EF">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ACEEE5B">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ACEEE5B">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51529">
    <w:pPr>
      <w:pStyle w:val="5"/>
      <w:tabs>
        <w:tab w:val="left" w:pos="4504"/>
        <w:tab w:val="clear" w:pos="4153"/>
      </w:tabs>
      <w:rPr>
        <w:rFonts w:hint="eastAsia" w:ascii="Arial" w:hAnsi="Arial" w:eastAsia="宋体" w:cs="Arial"/>
        <w:color w:val="FFFFFF"/>
        <w:lang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8FD717E">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58FD717E">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r>
      <w:rPr>
        <w:rFonts w:hint="eastAsia" w:ascii="Arial" w:hAnsi="Arial" w:cs="Arial"/>
        <w:color w:val="FFFFFF"/>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FA5BB">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F59C514">
                          <w:pPr>
                            <w:pStyle w:val="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F59C514">
                    <w:pPr>
                      <w:pStyle w:val="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BA1F9">
    <w:pPr>
      <w:pStyle w:val="5"/>
      <w:rPr>
        <w:rFonts w:hint="eastAsia" w:ascii="Arial" w:hAnsi="Arial" w:cs="Arial"/>
        <w:color w:val="FFFFFF"/>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39E48A8">
                          <w:pPr>
                            <w:pStyle w:val="5"/>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739E48A8">
                    <w:pPr>
                      <w:pStyle w:val="5"/>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A352F">
    <w:pPr>
      <w:pStyle w:val="6"/>
      <w:pBdr>
        <w:bottom w:val="single" w:color="auto" w:sz="6" w:space="0"/>
      </w:pBdr>
      <w:jc w:val="both"/>
      <w:rPr>
        <w:rFonts w:hint="eastAsia"/>
      </w:rPr>
    </w:pPr>
  </w:p>
  <w:p w14:paraId="5B84026A">
    <w:pPr>
      <w:pStyle w:val="6"/>
      <w:pBdr>
        <w:bottom w:val="single" w:color="auto" w:sz="6" w:space="0"/>
      </w:pBdr>
      <w:ind w:firstLine="103" w:firstLineChars="49"/>
      <w:jc w:val="both"/>
      <w:rPr>
        <w:rFonts w:hint="eastAsia" w:ascii="Arial" w:hAnsi="Arial" w:cs="Arial"/>
        <w:b/>
        <w:color w:val="808080"/>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8EBF6">
    <w:pPr>
      <w:pStyle w:val="6"/>
      <w:pBdr>
        <w:bottom w:val="thinThickSmallGap" w:color="auto" w:sz="12" w:space="1"/>
      </w:pBdr>
      <w:rPr>
        <w:rFonts w:hint="default" w:eastAsia="宋体"/>
        <w:lang w:val="en-US" w:eastAsia="zh-CN"/>
      </w:rPr>
    </w:pPr>
    <w:r>
      <w:rPr>
        <w:rFonts w:hint="eastAsia"/>
        <w:lang w:val="en-US" w:eastAsia="zh-CN"/>
      </w:rPr>
      <w:t>阳朔县深能环保有限公司                                                     化学实验室仪器校准技术规范书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F09D1">
    <w:pPr>
      <w:pBdr>
        <w:bottom w:val="none" w:color="auto" w:sz="0" w:space="0"/>
      </w:pBdr>
      <w:spacing w:line="500" w:lineRule="atLeast"/>
      <w:rPr>
        <w:sz w:val="18"/>
        <w:szCs w:val="18"/>
      </w:rPr>
    </w:pPr>
    <w:r>
      <w:rPr>
        <w:rFonts w:hint="eastAsia"/>
        <w:sz w:val="18"/>
        <w:szCs w:val="18"/>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86297">
    <w:pPr>
      <w:pStyle w:val="6"/>
      <w:pBdr>
        <w:bottom w:val="thinThickSmallGap" w:color="auto" w:sz="12" w:space="1"/>
      </w:pBdr>
      <w:rPr>
        <w:rFonts w:hint="default"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BF17E"/>
    <w:multiLevelType w:val="singleLevel"/>
    <w:tmpl w:val="A76BF17E"/>
    <w:lvl w:ilvl="0" w:tentative="0">
      <w:start w:val="1"/>
      <w:numFmt w:val="decimal"/>
      <w:suff w:val="space"/>
      <w:lvlText w:val="%1)"/>
      <w:lvlJc w:val="left"/>
      <w:pPr>
        <w:tabs>
          <w:tab w:val="left" w:pos="0"/>
        </w:tabs>
        <w:ind w:left="454" w:hanging="454"/>
      </w:pPr>
      <w:rPr>
        <w:rFonts w:hint="default"/>
      </w:rPr>
    </w:lvl>
  </w:abstractNum>
  <w:abstractNum w:abstractNumId="1">
    <w:nsid w:val="FE68FC61"/>
    <w:multiLevelType w:val="singleLevel"/>
    <w:tmpl w:val="FE68FC61"/>
    <w:lvl w:ilvl="0" w:tentative="0">
      <w:start w:val="3"/>
      <w:numFmt w:val="chineseCounting"/>
      <w:suff w:val="nothing"/>
      <w:lvlText w:val="%1、"/>
      <w:lvlJc w:val="left"/>
      <w:rPr>
        <w:rFonts w:hint="eastAsia"/>
      </w:rPr>
    </w:lvl>
  </w:abstractNum>
  <w:abstractNum w:abstractNumId="2">
    <w:nsid w:val="01C500B5"/>
    <w:multiLevelType w:val="multilevel"/>
    <w:tmpl w:val="01C500B5"/>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03F340E2"/>
    <w:multiLevelType w:val="multilevel"/>
    <w:tmpl w:val="03F340E2"/>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05973345"/>
    <w:multiLevelType w:val="multilevel"/>
    <w:tmpl w:val="05973345"/>
    <w:lvl w:ilvl="0" w:tentative="0">
      <w:start w:val="1"/>
      <w:numFmt w:val="decimal"/>
      <w:lvlText w:val="%1."/>
      <w:lvlJc w:val="left"/>
      <w:pPr>
        <w:ind w:left="1979"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0D9B32B9"/>
    <w:multiLevelType w:val="multilevel"/>
    <w:tmpl w:val="0D9B32B9"/>
    <w:lvl w:ilvl="0" w:tentative="0">
      <w:start w:val="1"/>
      <w:numFmt w:val="decimal"/>
      <w:lvlText w:val="%1、"/>
      <w:lvlJc w:val="left"/>
      <w:pPr>
        <w:tabs>
          <w:tab w:val="left" w:pos="1440"/>
        </w:tabs>
        <w:ind w:left="1440" w:hanging="360"/>
      </w:pPr>
      <w:rPr>
        <w:rFonts w:hint="default"/>
      </w:rPr>
    </w:lvl>
    <w:lvl w:ilvl="1" w:tentative="0">
      <w:start w:val="2"/>
      <w:numFmt w:val="decimal"/>
      <w:lvlText w:val="（%2）"/>
      <w:lvlJc w:val="left"/>
      <w:pPr>
        <w:tabs>
          <w:tab w:val="left" w:pos="2220"/>
        </w:tabs>
        <w:ind w:left="2220" w:hanging="720"/>
      </w:pPr>
      <w:rPr>
        <w:rFonts w:hint="default"/>
      </w:rPr>
    </w:lvl>
    <w:lvl w:ilvl="2" w:tentative="0">
      <w:start w:val="1"/>
      <w:numFmt w:val="lowerRoman"/>
      <w:lvlText w:val="%3."/>
      <w:lvlJc w:val="right"/>
      <w:pPr>
        <w:tabs>
          <w:tab w:val="left" w:pos="2340"/>
        </w:tabs>
        <w:ind w:left="2340" w:hanging="420"/>
      </w:pPr>
    </w:lvl>
    <w:lvl w:ilvl="3" w:tentative="0">
      <w:start w:val="1"/>
      <w:numFmt w:val="decimal"/>
      <w:lvlText w:val="%4."/>
      <w:lvlJc w:val="left"/>
      <w:pPr>
        <w:tabs>
          <w:tab w:val="left" w:pos="2760"/>
        </w:tabs>
        <w:ind w:left="2760" w:hanging="420"/>
      </w:pPr>
    </w:lvl>
    <w:lvl w:ilvl="4" w:tentative="0">
      <w:start w:val="1"/>
      <w:numFmt w:val="lowerLetter"/>
      <w:lvlText w:val="%5)"/>
      <w:lvlJc w:val="left"/>
      <w:pPr>
        <w:tabs>
          <w:tab w:val="left" w:pos="3180"/>
        </w:tabs>
        <w:ind w:left="3180" w:hanging="420"/>
      </w:pPr>
    </w:lvl>
    <w:lvl w:ilvl="5" w:tentative="0">
      <w:start w:val="1"/>
      <w:numFmt w:val="lowerRoman"/>
      <w:lvlText w:val="%6."/>
      <w:lvlJc w:val="right"/>
      <w:pPr>
        <w:tabs>
          <w:tab w:val="left" w:pos="3600"/>
        </w:tabs>
        <w:ind w:left="3600" w:hanging="420"/>
      </w:pPr>
    </w:lvl>
    <w:lvl w:ilvl="6" w:tentative="0">
      <w:start w:val="1"/>
      <w:numFmt w:val="decimal"/>
      <w:lvlText w:val="%7."/>
      <w:lvlJc w:val="left"/>
      <w:pPr>
        <w:tabs>
          <w:tab w:val="left" w:pos="4020"/>
        </w:tabs>
        <w:ind w:left="4020" w:hanging="420"/>
      </w:pPr>
    </w:lvl>
    <w:lvl w:ilvl="7" w:tentative="0">
      <w:start w:val="1"/>
      <w:numFmt w:val="lowerLetter"/>
      <w:lvlText w:val="%8)"/>
      <w:lvlJc w:val="left"/>
      <w:pPr>
        <w:tabs>
          <w:tab w:val="left" w:pos="4440"/>
        </w:tabs>
        <w:ind w:left="4440" w:hanging="420"/>
      </w:pPr>
    </w:lvl>
    <w:lvl w:ilvl="8" w:tentative="0">
      <w:start w:val="1"/>
      <w:numFmt w:val="lowerRoman"/>
      <w:lvlText w:val="%9."/>
      <w:lvlJc w:val="right"/>
      <w:pPr>
        <w:tabs>
          <w:tab w:val="left" w:pos="4860"/>
        </w:tabs>
        <w:ind w:left="4860" w:hanging="420"/>
      </w:pPr>
    </w:lvl>
  </w:abstractNum>
  <w:abstractNum w:abstractNumId="6">
    <w:nsid w:val="1B5116F3"/>
    <w:multiLevelType w:val="multilevel"/>
    <w:tmpl w:val="1B5116F3"/>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71A5AFC"/>
    <w:multiLevelType w:val="multilevel"/>
    <w:tmpl w:val="271A5AFC"/>
    <w:lvl w:ilvl="0" w:tentative="0">
      <w:start w:val="1"/>
      <w:numFmt w:val="decimal"/>
      <w:lvlText w:val="%1."/>
      <w:lvlJc w:val="left"/>
      <w:pPr>
        <w:ind w:left="4956"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282C6360"/>
    <w:multiLevelType w:val="multilevel"/>
    <w:tmpl w:val="282C6360"/>
    <w:lvl w:ilvl="0" w:tentative="0">
      <w:start w:val="1"/>
      <w:numFmt w:val="chineseCountingThousand"/>
      <w:lvlText w:val="%1、"/>
      <w:lvlJc w:val="left"/>
      <w:pPr>
        <w:ind w:left="1212" w:hanging="36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9">
    <w:nsid w:val="2C836791"/>
    <w:multiLevelType w:val="multilevel"/>
    <w:tmpl w:val="2C836791"/>
    <w:lvl w:ilvl="0" w:tentative="0">
      <w:start w:val="1"/>
      <w:numFmt w:val="decimal"/>
      <w:lvlText w:val="%1."/>
      <w:lvlJc w:val="left"/>
      <w:pPr>
        <w:ind w:left="4248"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2F8C39A7"/>
    <w:multiLevelType w:val="multilevel"/>
    <w:tmpl w:val="2F8C39A7"/>
    <w:lvl w:ilvl="0" w:tentative="0">
      <w:start w:val="1"/>
      <w:numFmt w:val="decimal"/>
      <w:lvlText w:val="%1)"/>
      <w:lvlJc w:val="left"/>
      <w:pPr>
        <w:ind w:left="987" w:hanging="4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1">
    <w:nsid w:val="317F1516"/>
    <w:multiLevelType w:val="multilevel"/>
    <w:tmpl w:val="317F1516"/>
    <w:lvl w:ilvl="0" w:tentative="0">
      <w:start w:val="4"/>
      <w:numFmt w:val="japaneseCounting"/>
      <w:lvlText w:val="第%1条"/>
      <w:lvlJc w:val="left"/>
      <w:pPr>
        <w:tabs>
          <w:tab w:val="left" w:pos="885"/>
        </w:tabs>
        <w:ind w:left="885" w:hanging="88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321B0382"/>
    <w:multiLevelType w:val="multilevel"/>
    <w:tmpl w:val="321B0382"/>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3A9059D"/>
    <w:multiLevelType w:val="multilevel"/>
    <w:tmpl w:val="33A9059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38DA3A0D"/>
    <w:multiLevelType w:val="multilevel"/>
    <w:tmpl w:val="38DA3A0D"/>
    <w:lvl w:ilvl="0" w:tentative="0">
      <w:start w:val="1"/>
      <w:numFmt w:val="decimal"/>
      <w:lvlText w:val="%1)"/>
      <w:lvlJc w:val="left"/>
      <w:pPr>
        <w:ind w:left="960" w:hanging="36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5">
    <w:nsid w:val="3BC402ED"/>
    <w:multiLevelType w:val="multilevel"/>
    <w:tmpl w:val="3BC402ED"/>
    <w:lvl w:ilvl="0" w:tentative="0">
      <w:start w:val="1"/>
      <w:numFmt w:val="decimal"/>
      <w:lvlText w:val="%1."/>
      <w:lvlJc w:val="left"/>
      <w:pPr>
        <w:ind w:left="1271" w:hanging="420"/>
      </w:pPr>
    </w:lvl>
    <w:lvl w:ilvl="1" w:tentative="0">
      <w:start w:val="1"/>
      <w:numFmt w:val="lowerLetter"/>
      <w:lvlText w:val="%2)"/>
      <w:lvlJc w:val="left"/>
      <w:pPr>
        <w:ind w:left="1691" w:hanging="420"/>
      </w:pPr>
    </w:lvl>
    <w:lvl w:ilvl="2" w:tentative="0">
      <w:start w:val="1"/>
      <w:numFmt w:val="lowerRoman"/>
      <w:lvlText w:val="%3."/>
      <w:lvlJc w:val="right"/>
      <w:pPr>
        <w:ind w:left="2111" w:hanging="420"/>
      </w:pPr>
    </w:lvl>
    <w:lvl w:ilvl="3" w:tentative="0">
      <w:start w:val="1"/>
      <w:numFmt w:val="decimal"/>
      <w:lvlText w:val="%4."/>
      <w:lvlJc w:val="left"/>
      <w:pPr>
        <w:ind w:left="2531" w:hanging="420"/>
      </w:pPr>
    </w:lvl>
    <w:lvl w:ilvl="4" w:tentative="0">
      <w:start w:val="1"/>
      <w:numFmt w:val="lowerLetter"/>
      <w:lvlText w:val="%5)"/>
      <w:lvlJc w:val="left"/>
      <w:pPr>
        <w:ind w:left="2951" w:hanging="420"/>
      </w:pPr>
    </w:lvl>
    <w:lvl w:ilvl="5" w:tentative="0">
      <w:start w:val="1"/>
      <w:numFmt w:val="lowerRoman"/>
      <w:lvlText w:val="%6."/>
      <w:lvlJc w:val="right"/>
      <w:pPr>
        <w:ind w:left="3371" w:hanging="420"/>
      </w:pPr>
    </w:lvl>
    <w:lvl w:ilvl="6" w:tentative="0">
      <w:start w:val="1"/>
      <w:numFmt w:val="decimal"/>
      <w:lvlText w:val="%7."/>
      <w:lvlJc w:val="left"/>
      <w:pPr>
        <w:ind w:left="3791" w:hanging="420"/>
      </w:pPr>
    </w:lvl>
    <w:lvl w:ilvl="7" w:tentative="0">
      <w:start w:val="1"/>
      <w:numFmt w:val="lowerLetter"/>
      <w:lvlText w:val="%8)"/>
      <w:lvlJc w:val="left"/>
      <w:pPr>
        <w:ind w:left="4211" w:hanging="420"/>
      </w:pPr>
    </w:lvl>
    <w:lvl w:ilvl="8" w:tentative="0">
      <w:start w:val="1"/>
      <w:numFmt w:val="lowerRoman"/>
      <w:lvlText w:val="%9."/>
      <w:lvlJc w:val="right"/>
      <w:pPr>
        <w:ind w:left="4631" w:hanging="420"/>
      </w:pPr>
    </w:lvl>
  </w:abstractNum>
  <w:abstractNum w:abstractNumId="16">
    <w:nsid w:val="40720C67"/>
    <w:multiLevelType w:val="multilevel"/>
    <w:tmpl w:val="40720C67"/>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5579410E"/>
    <w:multiLevelType w:val="multilevel"/>
    <w:tmpl w:val="5579410E"/>
    <w:lvl w:ilvl="0" w:tentative="0">
      <w:start w:val="1"/>
      <w:numFmt w:val="decimal"/>
      <w:lvlText w:val="%1)"/>
      <w:lvlJc w:val="left"/>
      <w:pPr>
        <w:ind w:left="960" w:hanging="36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8">
    <w:nsid w:val="646B16AF"/>
    <w:multiLevelType w:val="singleLevel"/>
    <w:tmpl w:val="646B16AF"/>
    <w:lvl w:ilvl="0" w:tentative="0">
      <w:start w:val="1"/>
      <w:numFmt w:val="decimal"/>
      <w:suff w:val="space"/>
      <w:lvlText w:val="%1."/>
      <w:lvlJc w:val="left"/>
    </w:lvl>
  </w:abstractNum>
  <w:abstractNum w:abstractNumId="19">
    <w:nsid w:val="6AD5496C"/>
    <w:multiLevelType w:val="multilevel"/>
    <w:tmpl w:val="6AD5496C"/>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6C0372AB"/>
    <w:multiLevelType w:val="multilevel"/>
    <w:tmpl w:val="6C0372AB"/>
    <w:lvl w:ilvl="0" w:tentative="0">
      <w:start w:val="1"/>
      <w:numFmt w:val="japaneseCounting"/>
      <w:lvlText w:val="第%1条"/>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768F0BBE"/>
    <w:multiLevelType w:val="multilevel"/>
    <w:tmpl w:val="768F0BBE"/>
    <w:lvl w:ilvl="0" w:tentative="0">
      <w:start w:val="1"/>
      <w:numFmt w:val="decimal"/>
      <w:lvlText w:val="%1、"/>
      <w:lvlJc w:val="left"/>
      <w:pPr>
        <w:tabs>
          <w:tab w:val="left" w:pos="1236"/>
        </w:tabs>
        <w:ind w:left="1236" w:hanging="360"/>
      </w:pPr>
      <w:rPr>
        <w:rFonts w:hint="default"/>
      </w:rPr>
    </w:lvl>
    <w:lvl w:ilvl="1" w:tentative="0">
      <w:start w:val="1"/>
      <w:numFmt w:val="lowerLetter"/>
      <w:lvlText w:val="%2)"/>
      <w:lvlJc w:val="left"/>
      <w:pPr>
        <w:tabs>
          <w:tab w:val="left" w:pos="1716"/>
        </w:tabs>
        <w:ind w:left="1716" w:hanging="420"/>
      </w:pPr>
    </w:lvl>
    <w:lvl w:ilvl="2" w:tentative="0">
      <w:start w:val="1"/>
      <w:numFmt w:val="lowerRoman"/>
      <w:lvlText w:val="%3."/>
      <w:lvlJc w:val="right"/>
      <w:pPr>
        <w:tabs>
          <w:tab w:val="left" w:pos="2136"/>
        </w:tabs>
        <w:ind w:left="2136" w:hanging="420"/>
      </w:pPr>
    </w:lvl>
    <w:lvl w:ilvl="3" w:tentative="0">
      <w:start w:val="1"/>
      <w:numFmt w:val="decimal"/>
      <w:lvlText w:val="%4."/>
      <w:lvlJc w:val="left"/>
      <w:pPr>
        <w:tabs>
          <w:tab w:val="left" w:pos="2556"/>
        </w:tabs>
        <w:ind w:left="2556" w:hanging="420"/>
      </w:pPr>
    </w:lvl>
    <w:lvl w:ilvl="4" w:tentative="0">
      <w:start w:val="1"/>
      <w:numFmt w:val="lowerLetter"/>
      <w:lvlText w:val="%5)"/>
      <w:lvlJc w:val="left"/>
      <w:pPr>
        <w:tabs>
          <w:tab w:val="left" w:pos="2976"/>
        </w:tabs>
        <w:ind w:left="2976" w:hanging="420"/>
      </w:pPr>
    </w:lvl>
    <w:lvl w:ilvl="5" w:tentative="0">
      <w:start w:val="1"/>
      <w:numFmt w:val="lowerRoman"/>
      <w:lvlText w:val="%6."/>
      <w:lvlJc w:val="right"/>
      <w:pPr>
        <w:tabs>
          <w:tab w:val="left" w:pos="3396"/>
        </w:tabs>
        <w:ind w:left="3396" w:hanging="420"/>
      </w:pPr>
    </w:lvl>
    <w:lvl w:ilvl="6" w:tentative="0">
      <w:start w:val="1"/>
      <w:numFmt w:val="decimal"/>
      <w:lvlText w:val="%7."/>
      <w:lvlJc w:val="left"/>
      <w:pPr>
        <w:tabs>
          <w:tab w:val="left" w:pos="3816"/>
        </w:tabs>
        <w:ind w:left="3816" w:hanging="420"/>
      </w:pPr>
    </w:lvl>
    <w:lvl w:ilvl="7" w:tentative="0">
      <w:start w:val="1"/>
      <w:numFmt w:val="lowerLetter"/>
      <w:lvlText w:val="%8)"/>
      <w:lvlJc w:val="left"/>
      <w:pPr>
        <w:tabs>
          <w:tab w:val="left" w:pos="4236"/>
        </w:tabs>
        <w:ind w:left="4236" w:hanging="420"/>
      </w:pPr>
    </w:lvl>
    <w:lvl w:ilvl="8" w:tentative="0">
      <w:start w:val="1"/>
      <w:numFmt w:val="lowerRoman"/>
      <w:lvlText w:val="%9."/>
      <w:lvlJc w:val="right"/>
      <w:pPr>
        <w:tabs>
          <w:tab w:val="left" w:pos="4656"/>
        </w:tabs>
        <w:ind w:left="4656" w:hanging="420"/>
      </w:pPr>
    </w:lvl>
  </w:abstractNum>
  <w:num w:numId="1">
    <w:abstractNumId w:val="20"/>
  </w:num>
  <w:num w:numId="2">
    <w:abstractNumId w:val="5"/>
  </w:num>
  <w:num w:numId="3">
    <w:abstractNumId w:val="11"/>
  </w:num>
  <w:num w:numId="4">
    <w:abstractNumId w:val="21"/>
  </w:num>
  <w:num w:numId="5">
    <w:abstractNumId w:val="1"/>
  </w:num>
  <w:num w:numId="6">
    <w:abstractNumId w:val="8"/>
  </w:num>
  <w:num w:numId="7">
    <w:abstractNumId w:val="15"/>
  </w:num>
  <w:num w:numId="8">
    <w:abstractNumId w:val="19"/>
  </w:num>
  <w:num w:numId="9">
    <w:abstractNumId w:val="13"/>
  </w:num>
  <w:num w:numId="10">
    <w:abstractNumId w:val="12"/>
  </w:num>
  <w:num w:numId="11">
    <w:abstractNumId w:val="4"/>
  </w:num>
  <w:num w:numId="12">
    <w:abstractNumId w:val="2"/>
  </w:num>
  <w:num w:numId="13">
    <w:abstractNumId w:val="9"/>
  </w:num>
  <w:num w:numId="14">
    <w:abstractNumId w:val="0"/>
  </w:num>
  <w:num w:numId="15">
    <w:abstractNumId w:val="7"/>
  </w:num>
  <w:num w:numId="16">
    <w:abstractNumId w:val="14"/>
  </w:num>
  <w:num w:numId="17">
    <w:abstractNumId w:val="17"/>
  </w:num>
  <w:num w:numId="18">
    <w:abstractNumId w:val="10"/>
  </w:num>
  <w:num w:numId="19">
    <w:abstractNumId w:val="16"/>
  </w:num>
  <w:num w:numId="20">
    <w:abstractNumId w:val="18"/>
  </w:num>
  <w:num w:numId="21">
    <w:abstractNumId w:val="6"/>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hYTU2YjQxY2UzZjBkZGJjNWY3NTNhZDIyYzdjMDIifQ=="/>
  </w:docVars>
  <w:rsids>
    <w:rsidRoot w:val="19C8741D"/>
    <w:rsid w:val="009826BB"/>
    <w:rsid w:val="119F3826"/>
    <w:rsid w:val="13C22CA3"/>
    <w:rsid w:val="19C8741D"/>
    <w:rsid w:val="1AB80399"/>
    <w:rsid w:val="1CCC06EE"/>
    <w:rsid w:val="2164183D"/>
    <w:rsid w:val="236751A2"/>
    <w:rsid w:val="24A00DDE"/>
    <w:rsid w:val="293E64D9"/>
    <w:rsid w:val="3DDA6619"/>
    <w:rsid w:val="430E7DD9"/>
    <w:rsid w:val="49BC039C"/>
    <w:rsid w:val="4D063625"/>
    <w:rsid w:val="4D31441A"/>
    <w:rsid w:val="50E418E4"/>
    <w:rsid w:val="57262435"/>
    <w:rsid w:val="6BA94DAF"/>
    <w:rsid w:val="6E4C47B8"/>
    <w:rsid w:val="7DFA7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spacing w:before="340" w:after="330" w:line="578" w:lineRule="auto"/>
      <w:outlineLvl w:val="0"/>
    </w:pPr>
    <w:rPr>
      <w:rFonts w:ascii="Calibri" w:hAnsi="Calibri"/>
      <w:b/>
      <w:bCs/>
      <w:kern w:val="44"/>
      <w:sz w:val="44"/>
      <w:szCs w:val="44"/>
    </w:rPr>
  </w:style>
  <w:style w:type="character" w:default="1" w:styleId="9">
    <w:name w:val="Default Paragraph Font"/>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3">
    <w:name w:val="Body Text Indent"/>
    <w:basedOn w:val="1"/>
    <w:autoRedefine/>
    <w:qFormat/>
    <w:uiPriority w:val="0"/>
    <w:pPr>
      <w:spacing w:line="360" w:lineRule="auto"/>
      <w:ind w:firstLine="425"/>
    </w:pPr>
  </w:style>
  <w:style w:type="paragraph" w:styleId="4">
    <w:name w:val="Block Text"/>
    <w:basedOn w:val="1"/>
    <w:autoRedefine/>
    <w:qFormat/>
    <w:uiPriority w:val="0"/>
    <w:pPr>
      <w:ind w:left="792" w:leftChars="377" w:right="254" w:rightChars="121"/>
    </w:p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3"/>
    <w:autoRedefine/>
    <w:semiHidden/>
    <w:unhideWhenUsed/>
    <w:qFormat/>
    <w:uiPriority w:val="0"/>
    <w:pPr>
      <w:adjustRightInd/>
      <w:spacing w:after="120" w:line="240" w:lineRule="auto"/>
      <w:ind w:left="420" w:leftChars="200" w:firstLine="420" w:firstLineChars="200"/>
      <w:textAlignment w:val="auto"/>
    </w:pPr>
    <w:rPr>
      <w:rFonts w:ascii="Calibri" w:hAnsi="Calibri"/>
      <w:sz w:val="21"/>
      <w:szCs w:val="24"/>
    </w:rPr>
  </w:style>
  <w:style w:type="paragraph" w:styleId="10">
    <w:name w:val="List Paragraph"/>
    <w:basedOn w:val="1"/>
    <w:autoRedefine/>
    <w:qFormat/>
    <w:uiPriority w:val="34"/>
    <w:pPr>
      <w:ind w:firstLine="420" w:firstLineChars="200"/>
    </w:pPr>
    <w:rPr>
      <w:rFonts w:ascii="Calibri" w:hAnsi="Calibri" w:eastAsia="宋体" w:cs="Times New Roman"/>
      <w:szCs w:val="22"/>
    </w:rPr>
  </w:style>
  <w:style w:type="character" w:customStyle="1" w:styleId="11">
    <w:name w:val="font31"/>
    <w:basedOn w:val="9"/>
    <w:autoRedefine/>
    <w:qFormat/>
    <w:uiPriority w:val="0"/>
    <w:rPr>
      <w:rFonts w:hint="eastAsia" w:ascii="宋体" w:hAnsi="宋体" w:eastAsia="宋体" w:cs="宋体"/>
      <w:color w:val="000000"/>
      <w:sz w:val="24"/>
      <w:szCs w:val="24"/>
      <w:u w:val="none"/>
    </w:rPr>
  </w:style>
  <w:style w:type="character" w:customStyle="1" w:styleId="12">
    <w:name w:val="font41"/>
    <w:basedOn w:val="9"/>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129</Words>
  <Characters>172</Characters>
  <Lines>0</Lines>
  <Paragraphs>0</Paragraphs>
  <TotalTime>4</TotalTime>
  <ScaleCrop>false</ScaleCrop>
  <LinksUpToDate>false</LinksUpToDate>
  <CharactersWithSpaces>179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2024-02-23T08:40:00Z</dcterms:created>
  <dc:creator>荼蘼</dc:creator>
  <cp:lastModifiedBy>荼蘼</cp:lastModifiedBy>
  <dcterms:modified xsi:type="dcterms:W3CDTF">2026-02-24T06:37:33Z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26FDCC60A20640FD8F1EFB415B1ECBE8_13</vt:lpwstr>
  </property>
  <property fmtid="{D5CDD505-2E9C-101B-9397-08002B2CF9AE}" pid="4" name="KSOTemplateDocerSaveRecord">
    <vt:lpwstr>eyJoZGlkIjoiYmRhYTU2YjQxY2UzZjBkZGJjNWY3NTNhZDIyYzdjMDIiLCJ1c2VySWQiOiI0MDQ4NjcwMjEifQ==</vt:lpwstr>
  </property>
</Properties>
</file>